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563657">
        <w:rPr>
          <w:rFonts w:asciiTheme="majorHAnsi" w:hAnsiTheme="majorHAnsi"/>
          <w:b/>
          <w:sz w:val="22"/>
          <w:szCs w:val="22"/>
          <w:u w:val="single"/>
        </w:rPr>
        <w:t>Session 1:</w:t>
      </w:r>
    </w:p>
    <w:p w:rsidR="00FD0161" w:rsidRPr="00B85E2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B85E27">
        <w:rPr>
          <w:rFonts w:asciiTheme="majorHAnsi" w:hAnsiTheme="majorHAnsi"/>
          <w:b/>
          <w:sz w:val="22"/>
          <w:szCs w:val="22"/>
        </w:rPr>
        <w:t>Introduction to Evaluation/Purpose of Evaluation/Describing the Program</w:t>
      </w: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FD0161" w:rsidRPr="00B85E27" w:rsidRDefault="00244378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September 18</w:t>
      </w:r>
      <w:r w:rsidR="0046364C">
        <w:rPr>
          <w:rFonts w:asciiTheme="majorHAnsi" w:hAnsiTheme="majorHAnsi"/>
          <w:b/>
          <w:sz w:val="22"/>
          <w:szCs w:val="22"/>
        </w:rPr>
        <w:t>, 2014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Lecture:  Janet Myers 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Learning Objectives:</w:t>
      </w:r>
    </w:p>
    <w:p w:rsidR="00FD0161" w:rsidRPr="00563657" w:rsidRDefault="00FD0161" w:rsidP="00FD0161">
      <w:pPr>
        <w:pStyle w:val="ListParagraph"/>
        <w:rPr>
          <w:rFonts w:asciiTheme="majorHAnsi" w:hAnsiTheme="majorHAnsi"/>
          <w:sz w:val="22"/>
          <w:szCs w:val="22"/>
        </w:rPr>
      </w:pPr>
    </w:p>
    <w:p w:rsidR="00FD0161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Define program evaluation and understand how evaluation can support program planning, implementation and accountability.</w:t>
      </w:r>
    </w:p>
    <w:p w:rsidR="00BE46EF" w:rsidRPr="00563657" w:rsidRDefault="00BE46EF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Become familiar with the history of evaluation in public health settings.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Explore the key terms and concepts associated with program evaluation.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Describe program theory and program logic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Identify elements of program theory/logic in selected case studies.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 xml:space="preserve">Required Readings: 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Weiss, Carol. Evaluation. </w:t>
      </w:r>
    </w:p>
    <w:p w:rsidR="00FD0161" w:rsidRPr="00563657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Chapter 1, “Setting the scene” and </w:t>
      </w:r>
    </w:p>
    <w:p w:rsidR="00FD0161" w:rsidRPr="00563657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Chapter 2, “Purposes of Evaluation”</w:t>
      </w:r>
    </w:p>
    <w:p w:rsidR="00FD0161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Chapter 3, “Understanding the Program”</w:t>
      </w:r>
    </w:p>
    <w:p w:rsidR="00682CF3" w:rsidRDefault="00682CF3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Chapter 5, “Roles for the Evaluator”</w:t>
      </w:r>
    </w:p>
    <w:p w:rsidR="00682CF3" w:rsidRDefault="00682CF3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Chapter 14, “Evaluating with Integrity”</w:t>
      </w:r>
    </w:p>
    <w:p w:rsidR="00FD0161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AF0B8E">
        <w:rPr>
          <w:rFonts w:asciiTheme="majorHAnsi" w:hAnsiTheme="majorHAnsi"/>
          <w:sz w:val="22"/>
          <w:szCs w:val="22"/>
        </w:rPr>
        <w:t>American Evaluation Association Guiding Principles for Evaluators (</w:t>
      </w:r>
      <w:hyperlink r:id="rId5" w:history="1">
        <w:r w:rsidRPr="00AF0B8E">
          <w:rPr>
            <w:rStyle w:val="Hyperlink"/>
            <w:rFonts w:asciiTheme="majorHAnsi" w:hAnsiTheme="majorHAnsi"/>
            <w:sz w:val="22"/>
            <w:szCs w:val="22"/>
          </w:rPr>
          <w:t>http://www.eval.org/Publications/GuidingPrinciples.asp</w:t>
        </w:r>
      </w:hyperlink>
      <w:r w:rsidRPr="00AF0B8E">
        <w:rPr>
          <w:rFonts w:asciiTheme="majorHAnsi" w:hAnsiTheme="majorHAnsi"/>
          <w:sz w:val="22"/>
          <w:szCs w:val="22"/>
        </w:rPr>
        <w:t>)</w:t>
      </w:r>
    </w:p>
    <w:p w:rsidR="0046364C" w:rsidRPr="00056CB1" w:rsidRDefault="0046364C" w:rsidP="00056CB1">
      <w:pPr>
        <w:tabs>
          <w:tab w:val="left" w:pos="1601"/>
          <w:tab w:val="left" w:pos="2718"/>
          <w:tab w:val="left" w:pos="10458"/>
          <w:tab w:val="left" w:pos="12032"/>
        </w:tabs>
        <w:ind w:left="448"/>
        <w:rPr>
          <w:rFonts w:asciiTheme="majorHAnsi" w:hAnsiTheme="majorHAnsi"/>
          <w:sz w:val="22"/>
          <w:szCs w:val="22"/>
        </w:rPr>
      </w:pP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921E6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Optional Reading:</w:t>
      </w: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Default="00FD0161" w:rsidP="00FD0161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sz w:val="22"/>
          <w:szCs w:val="22"/>
        </w:rPr>
        <w:t>Rossi, Chapter 1</w:t>
      </w:r>
      <w:r w:rsidRPr="00563657">
        <w:rPr>
          <w:rFonts w:asciiTheme="majorHAnsi" w:hAnsiTheme="majorHAnsi"/>
          <w:sz w:val="22"/>
          <w:szCs w:val="22"/>
        </w:rPr>
        <w:t xml:space="preserve">. </w:t>
      </w:r>
    </w:p>
    <w:p w:rsidR="00BE46EF" w:rsidRPr="00ED022A" w:rsidRDefault="00BE46EF" w:rsidP="00BE46EF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proofErr w:type="spellStart"/>
      <w:r w:rsidRPr="00ED022A">
        <w:rPr>
          <w:rFonts w:asciiTheme="majorHAnsi" w:hAnsiTheme="majorHAnsi" w:cs="AGaramond-Italic"/>
          <w:iCs/>
          <w:sz w:val="22"/>
          <w:szCs w:val="22"/>
        </w:rPr>
        <w:t>Hatry</w:t>
      </w:r>
      <w:proofErr w:type="spellEnd"/>
      <w:r w:rsidRPr="00ED022A">
        <w:rPr>
          <w:rFonts w:asciiTheme="majorHAnsi" w:hAnsiTheme="majorHAnsi" w:cs="AGaramond-Italic"/>
          <w:iCs/>
          <w:sz w:val="22"/>
          <w:szCs w:val="22"/>
        </w:rPr>
        <w:t xml:space="preserve"> HP. (2013). </w:t>
      </w:r>
      <w:r>
        <w:rPr>
          <w:rFonts w:asciiTheme="majorHAnsi" w:hAnsiTheme="majorHAnsi" w:cs="AGaramond-Italic"/>
          <w:iCs/>
          <w:sz w:val="22"/>
          <w:szCs w:val="22"/>
        </w:rPr>
        <w:t>Sorting the Relationships a</w:t>
      </w:r>
      <w:r w:rsidRPr="00ED022A">
        <w:rPr>
          <w:rFonts w:asciiTheme="majorHAnsi" w:hAnsiTheme="majorHAnsi" w:cs="AGaramond-Italic"/>
          <w:iCs/>
          <w:sz w:val="22"/>
          <w:szCs w:val="22"/>
        </w:rPr>
        <w:t xml:space="preserve">mong Performance Measurement, Program Evaluation and Performance management. </w:t>
      </w:r>
      <w:r w:rsidRPr="00ED022A">
        <w:rPr>
          <w:rFonts w:asciiTheme="majorHAnsi" w:hAnsiTheme="majorHAnsi" w:cs="AGaramond-Italic"/>
          <w:i/>
          <w:iCs/>
          <w:sz w:val="22"/>
          <w:szCs w:val="22"/>
        </w:rPr>
        <w:t>New Directions for Evaluation, 137:19-32</w:t>
      </w:r>
    </w:p>
    <w:p w:rsidR="00BE46EF" w:rsidRPr="00563657" w:rsidRDefault="00BE46EF" w:rsidP="00FD0161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Liket</w:t>
      </w:r>
      <w:proofErr w:type="spellEnd"/>
      <w:r>
        <w:rPr>
          <w:rFonts w:asciiTheme="majorHAnsi" w:hAnsiTheme="majorHAnsi"/>
          <w:sz w:val="22"/>
          <w:szCs w:val="22"/>
        </w:rPr>
        <w:t xml:space="preserve"> KC, Rey-Garcia M, Maas KEH. (2014). Why aren’t evaluations working and what to do about it: A framework for negotiating meaningful evaluation in nonprofits. </w:t>
      </w:r>
      <w:r w:rsidRPr="00BE46EF">
        <w:rPr>
          <w:rFonts w:asciiTheme="majorHAnsi" w:hAnsiTheme="majorHAnsi"/>
          <w:i/>
          <w:sz w:val="22"/>
          <w:szCs w:val="22"/>
        </w:rPr>
        <w:t>American Journal of Evaluation,</w:t>
      </w:r>
      <w:r>
        <w:rPr>
          <w:rFonts w:asciiTheme="majorHAnsi" w:hAnsiTheme="majorHAnsi"/>
          <w:sz w:val="22"/>
          <w:szCs w:val="22"/>
        </w:rPr>
        <w:t xml:space="preserve"> 35(2):171-188.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Case studies:</w:t>
      </w: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AETC </w:t>
      </w:r>
      <w:r>
        <w:rPr>
          <w:rFonts w:asciiTheme="majorHAnsi" w:hAnsiTheme="majorHAnsi"/>
          <w:sz w:val="22"/>
          <w:szCs w:val="22"/>
        </w:rPr>
        <w:t>Example (in class)</w:t>
      </w:r>
    </w:p>
    <w:p w:rsidR="00FD0161" w:rsidRPr="00A4335D" w:rsidRDefault="00FD0161" w:rsidP="00FD0161">
      <w:pPr>
        <w:pStyle w:val="Heading1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MARC, IMPAACT or Kiosks in EDs</w:t>
      </w:r>
      <w:r w:rsidRPr="00A4335D">
        <w:rPr>
          <w:rFonts w:asciiTheme="majorHAnsi" w:hAnsiTheme="majorHAnsi"/>
          <w:b w:val="0"/>
          <w:sz w:val="22"/>
          <w:szCs w:val="22"/>
        </w:rPr>
        <w:t xml:space="preserve">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Homework Assignment – </w:t>
      </w:r>
      <w:r w:rsidR="00244378">
        <w:rPr>
          <w:rFonts w:asciiTheme="majorHAnsi" w:hAnsiTheme="majorHAnsi"/>
          <w:i/>
          <w:sz w:val="22"/>
          <w:szCs w:val="22"/>
        </w:rPr>
        <w:t xml:space="preserve">Due </w:t>
      </w:r>
      <w:r w:rsidR="00BE46EF">
        <w:rPr>
          <w:rFonts w:asciiTheme="majorHAnsi" w:hAnsiTheme="majorHAnsi"/>
          <w:i/>
          <w:sz w:val="22"/>
          <w:szCs w:val="22"/>
        </w:rPr>
        <w:t>October 2nd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For students who are using a known or active project as their “case” for discussion, identify the goal/s, objective/s and activities associated with the program’s plan.  If you want to use a logic model to do this, that’s fine.  Identif</w:t>
      </w:r>
      <w:r w:rsidR="00474561">
        <w:rPr>
          <w:rFonts w:asciiTheme="majorHAnsi" w:hAnsiTheme="majorHAnsi"/>
          <w:sz w:val="22"/>
          <w:szCs w:val="22"/>
        </w:rPr>
        <w:t>y the goals, assumption</w:t>
      </w:r>
      <w:r w:rsidRPr="00563657">
        <w:rPr>
          <w:rFonts w:asciiTheme="majorHAnsi" w:hAnsiTheme="majorHAnsi"/>
          <w:sz w:val="22"/>
          <w:szCs w:val="22"/>
        </w:rPr>
        <w:t xml:space="preserve">s, target population, inputs and resources, activities and outputs of the program or project. 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lastRenderedPageBreak/>
        <w:t xml:space="preserve">For students who are not using their own project, identify for </w:t>
      </w:r>
      <w:r>
        <w:rPr>
          <w:rFonts w:asciiTheme="majorHAnsi" w:hAnsiTheme="majorHAnsi"/>
          <w:sz w:val="22"/>
          <w:szCs w:val="22"/>
        </w:rPr>
        <w:t>either MARC, IMPAACT or Kiosks</w:t>
      </w:r>
      <w:r w:rsidRPr="00563657">
        <w:rPr>
          <w:rFonts w:asciiTheme="majorHAnsi" w:hAnsiTheme="majorHAnsi"/>
          <w:sz w:val="22"/>
          <w:szCs w:val="22"/>
        </w:rPr>
        <w:t xml:space="preserve">, the program logic or theory, goals, </w:t>
      </w:r>
      <w:r>
        <w:rPr>
          <w:rFonts w:asciiTheme="majorHAnsi" w:hAnsiTheme="majorHAnsi"/>
          <w:sz w:val="22"/>
          <w:szCs w:val="22"/>
        </w:rPr>
        <w:t xml:space="preserve">assumptions, target population, inputs and resources, </w:t>
      </w:r>
      <w:r w:rsidRPr="00563657">
        <w:rPr>
          <w:rFonts w:asciiTheme="majorHAnsi" w:hAnsiTheme="majorHAnsi"/>
          <w:sz w:val="22"/>
          <w:szCs w:val="22"/>
        </w:rPr>
        <w:t xml:space="preserve">activities and </w:t>
      </w:r>
      <w:r>
        <w:rPr>
          <w:rFonts w:asciiTheme="majorHAnsi" w:hAnsiTheme="majorHAnsi"/>
          <w:sz w:val="22"/>
          <w:szCs w:val="22"/>
        </w:rPr>
        <w:t xml:space="preserve">outputs of the program or project.  </w:t>
      </w:r>
    </w:p>
    <w:p w:rsidR="00A63783" w:rsidRDefault="00A63783"/>
    <w:sectPr w:rsidR="00A63783" w:rsidSect="00A63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50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E41653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0CF041D"/>
    <w:multiLevelType w:val="hybridMultilevel"/>
    <w:tmpl w:val="8A62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732A"/>
    <w:multiLevelType w:val="hybridMultilevel"/>
    <w:tmpl w:val="7F78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0161"/>
    <w:rsid w:val="0002686D"/>
    <w:rsid w:val="00056CB1"/>
    <w:rsid w:val="00244378"/>
    <w:rsid w:val="0027545E"/>
    <w:rsid w:val="00275BDB"/>
    <w:rsid w:val="0046364C"/>
    <w:rsid w:val="00474561"/>
    <w:rsid w:val="004D10CB"/>
    <w:rsid w:val="00513BC1"/>
    <w:rsid w:val="00577CE9"/>
    <w:rsid w:val="00682CF3"/>
    <w:rsid w:val="00A63783"/>
    <w:rsid w:val="00BE46EF"/>
    <w:rsid w:val="00ED022A"/>
    <w:rsid w:val="00FD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01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FD0161"/>
    <w:rPr>
      <w:color w:val="0000D4"/>
      <w:u w:val="single"/>
    </w:rPr>
  </w:style>
  <w:style w:type="paragraph" w:styleId="ListParagraph">
    <w:name w:val="List Paragraph"/>
    <w:basedOn w:val="Normal"/>
    <w:qFormat/>
    <w:rsid w:val="00FD0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01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FD0161"/>
    <w:rPr>
      <w:color w:val="0000D4"/>
      <w:u w:val="single"/>
    </w:rPr>
  </w:style>
  <w:style w:type="paragraph" w:styleId="ListParagraph">
    <w:name w:val="List Paragraph"/>
    <w:basedOn w:val="Normal"/>
    <w:qFormat/>
    <w:rsid w:val="00FD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al.org/Publications/GuidingPrinciple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jmyers</dc:creator>
  <cp:lastModifiedBy>jmyers</cp:lastModifiedBy>
  <cp:revision>3</cp:revision>
  <dcterms:created xsi:type="dcterms:W3CDTF">2014-09-09T21:38:00Z</dcterms:created>
  <dcterms:modified xsi:type="dcterms:W3CDTF">2014-09-09T21:45:00Z</dcterms:modified>
</cp:coreProperties>
</file>