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63" w:rsidRPr="002343F2" w:rsidRDefault="00177E63" w:rsidP="0012670F">
      <w:pPr>
        <w:spacing w:after="0" w:line="240" w:lineRule="auto"/>
        <w:rPr>
          <w:rFonts w:eastAsia="MS Gothic"/>
          <w:b/>
          <w:bCs/>
          <w:color w:val="365F91"/>
          <w:sz w:val="28"/>
          <w:szCs w:val="28"/>
          <w:lang w:eastAsia="ja-JP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042555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77E63" w:rsidRPr="002343F2" w:rsidRDefault="00177E63">
          <w:pPr>
            <w:pStyle w:val="TOCHeading"/>
            <w:rPr>
              <w:rFonts w:asciiTheme="minorHAnsi" w:hAnsiTheme="minorHAnsi"/>
            </w:rPr>
          </w:pPr>
          <w:r w:rsidRPr="002343F2">
            <w:rPr>
              <w:rFonts w:asciiTheme="minorHAnsi" w:hAnsiTheme="minorHAnsi"/>
            </w:rPr>
            <w:t>Contents</w:t>
          </w:r>
        </w:p>
        <w:p w:rsidR="00823664" w:rsidRDefault="000E3F5D">
          <w:pPr>
            <w:pStyle w:val="TOC1"/>
            <w:tabs>
              <w:tab w:val="right" w:leader="dot" w:pos="11366"/>
            </w:tabs>
            <w:rPr>
              <w:rFonts w:eastAsiaTheme="minorEastAsia"/>
              <w:noProof/>
            </w:rPr>
          </w:pPr>
          <w:r w:rsidRPr="002343F2">
            <w:fldChar w:fldCharType="begin"/>
          </w:r>
          <w:r w:rsidR="00177E63" w:rsidRPr="002343F2">
            <w:instrText xml:space="preserve"> TOC \o "1-3" \h \z \u </w:instrText>
          </w:r>
          <w:r w:rsidRPr="002343F2">
            <w:fldChar w:fldCharType="separate"/>
          </w:r>
          <w:hyperlink w:anchor="_Toc405389394" w:history="1">
            <w:r w:rsidR="00823664" w:rsidRPr="006B2F8C">
              <w:rPr>
                <w:rStyle w:val="Hyperlink"/>
                <w:caps/>
                <w:noProof/>
                <w:spacing w:val="15"/>
              </w:rPr>
              <w:t>Overview</w:t>
            </w:r>
            <w:r w:rsidR="00823664">
              <w:rPr>
                <w:noProof/>
                <w:webHidden/>
              </w:rPr>
              <w:tab/>
            </w:r>
            <w:r w:rsidR="00823664">
              <w:rPr>
                <w:noProof/>
                <w:webHidden/>
              </w:rPr>
              <w:fldChar w:fldCharType="begin"/>
            </w:r>
            <w:r w:rsidR="00823664">
              <w:rPr>
                <w:noProof/>
                <w:webHidden/>
              </w:rPr>
              <w:instrText xml:space="preserve"> PAGEREF _Toc405389394 \h </w:instrText>
            </w:r>
            <w:r w:rsidR="00823664">
              <w:rPr>
                <w:noProof/>
                <w:webHidden/>
              </w:rPr>
            </w:r>
            <w:r w:rsidR="00823664">
              <w:rPr>
                <w:noProof/>
                <w:webHidden/>
              </w:rPr>
              <w:fldChar w:fldCharType="separate"/>
            </w:r>
            <w:r w:rsidR="00823664">
              <w:rPr>
                <w:noProof/>
                <w:webHidden/>
              </w:rPr>
              <w:t>1</w:t>
            </w:r>
            <w:r w:rsidR="00823664">
              <w:rPr>
                <w:noProof/>
                <w:webHidden/>
              </w:rPr>
              <w:fldChar w:fldCharType="end"/>
            </w:r>
          </w:hyperlink>
        </w:p>
        <w:p w:rsidR="00823664" w:rsidRDefault="00A04130">
          <w:pPr>
            <w:pStyle w:val="TOC1"/>
            <w:tabs>
              <w:tab w:val="right" w:leader="dot" w:pos="11366"/>
            </w:tabs>
            <w:rPr>
              <w:rFonts w:eastAsiaTheme="minorEastAsia"/>
              <w:noProof/>
            </w:rPr>
          </w:pPr>
          <w:hyperlink w:anchor="_Toc405389395" w:history="1">
            <w:r w:rsidR="00823664" w:rsidRPr="006B2F8C">
              <w:rPr>
                <w:rStyle w:val="Hyperlink"/>
                <w:caps/>
                <w:noProof/>
                <w:spacing w:val="15"/>
              </w:rPr>
              <w:t>Guiding principles</w:t>
            </w:r>
            <w:r w:rsidR="00823664">
              <w:rPr>
                <w:noProof/>
                <w:webHidden/>
              </w:rPr>
              <w:tab/>
            </w:r>
            <w:r w:rsidR="00823664">
              <w:rPr>
                <w:noProof/>
                <w:webHidden/>
              </w:rPr>
              <w:fldChar w:fldCharType="begin"/>
            </w:r>
            <w:r w:rsidR="00823664">
              <w:rPr>
                <w:noProof/>
                <w:webHidden/>
              </w:rPr>
              <w:instrText xml:space="preserve"> PAGEREF _Toc405389395 \h </w:instrText>
            </w:r>
            <w:r w:rsidR="00823664">
              <w:rPr>
                <w:noProof/>
                <w:webHidden/>
              </w:rPr>
            </w:r>
            <w:r w:rsidR="00823664">
              <w:rPr>
                <w:noProof/>
                <w:webHidden/>
              </w:rPr>
              <w:fldChar w:fldCharType="separate"/>
            </w:r>
            <w:r w:rsidR="00823664">
              <w:rPr>
                <w:noProof/>
                <w:webHidden/>
              </w:rPr>
              <w:t>1</w:t>
            </w:r>
            <w:r w:rsidR="00823664">
              <w:rPr>
                <w:noProof/>
                <w:webHidden/>
              </w:rPr>
              <w:fldChar w:fldCharType="end"/>
            </w:r>
          </w:hyperlink>
        </w:p>
        <w:p w:rsidR="00823664" w:rsidRDefault="00A04130">
          <w:pPr>
            <w:pStyle w:val="TOC1"/>
            <w:tabs>
              <w:tab w:val="right" w:leader="dot" w:pos="11366"/>
            </w:tabs>
            <w:rPr>
              <w:rFonts w:eastAsiaTheme="minorEastAsia"/>
              <w:noProof/>
            </w:rPr>
          </w:pPr>
          <w:hyperlink w:anchor="_Toc405389396" w:history="1">
            <w:r w:rsidR="00823664" w:rsidRPr="006B2F8C">
              <w:rPr>
                <w:rStyle w:val="Hyperlink"/>
                <w:caps/>
                <w:noProof/>
                <w:spacing w:val="15"/>
              </w:rPr>
              <w:t>Policy</w:t>
            </w:r>
            <w:r w:rsidR="00823664">
              <w:rPr>
                <w:noProof/>
                <w:webHidden/>
              </w:rPr>
              <w:tab/>
            </w:r>
            <w:r w:rsidR="00823664">
              <w:rPr>
                <w:noProof/>
                <w:webHidden/>
              </w:rPr>
              <w:fldChar w:fldCharType="begin"/>
            </w:r>
            <w:r w:rsidR="00823664">
              <w:rPr>
                <w:noProof/>
                <w:webHidden/>
              </w:rPr>
              <w:instrText xml:space="preserve"> PAGEREF _Toc405389396 \h </w:instrText>
            </w:r>
            <w:r w:rsidR="00823664">
              <w:rPr>
                <w:noProof/>
                <w:webHidden/>
              </w:rPr>
            </w:r>
            <w:r w:rsidR="00823664">
              <w:rPr>
                <w:noProof/>
                <w:webHidden/>
              </w:rPr>
              <w:fldChar w:fldCharType="separate"/>
            </w:r>
            <w:r w:rsidR="00823664">
              <w:rPr>
                <w:noProof/>
                <w:webHidden/>
              </w:rPr>
              <w:t>1</w:t>
            </w:r>
            <w:r w:rsidR="00823664">
              <w:rPr>
                <w:noProof/>
                <w:webHidden/>
              </w:rPr>
              <w:fldChar w:fldCharType="end"/>
            </w:r>
          </w:hyperlink>
        </w:p>
        <w:p w:rsidR="00823664" w:rsidRDefault="00A04130">
          <w:pPr>
            <w:pStyle w:val="TOC1"/>
            <w:tabs>
              <w:tab w:val="right" w:leader="dot" w:pos="11366"/>
            </w:tabs>
            <w:rPr>
              <w:rFonts w:eastAsiaTheme="minorEastAsia"/>
              <w:noProof/>
            </w:rPr>
          </w:pPr>
          <w:hyperlink w:anchor="_Toc405389397" w:history="1">
            <w:r w:rsidR="00823664" w:rsidRPr="006B2F8C">
              <w:rPr>
                <w:rStyle w:val="Hyperlink"/>
                <w:caps/>
                <w:noProof/>
                <w:spacing w:val="15"/>
              </w:rPr>
              <w:t>Best Practice</w:t>
            </w:r>
            <w:r w:rsidR="00823664">
              <w:rPr>
                <w:noProof/>
                <w:webHidden/>
              </w:rPr>
              <w:tab/>
            </w:r>
            <w:r w:rsidR="00823664">
              <w:rPr>
                <w:noProof/>
                <w:webHidden/>
              </w:rPr>
              <w:fldChar w:fldCharType="begin"/>
            </w:r>
            <w:r w:rsidR="00823664">
              <w:rPr>
                <w:noProof/>
                <w:webHidden/>
              </w:rPr>
              <w:instrText xml:space="preserve"> PAGEREF _Toc405389397 \h </w:instrText>
            </w:r>
            <w:r w:rsidR="00823664">
              <w:rPr>
                <w:noProof/>
                <w:webHidden/>
              </w:rPr>
            </w:r>
            <w:r w:rsidR="00823664">
              <w:rPr>
                <w:noProof/>
                <w:webHidden/>
              </w:rPr>
              <w:fldChar w:fldCharType="separate"/>
            </w:r>
            <w:r w:rsidR="00823664">
              <w:rPr>
                <w:noProof/>
                <w:webHidden/>
              </w:rPr>
              <w:t>2</w:t>
            </w:r>
            <w:r w:rsidR="00823664">
              <w:rPr>
                <w:noProof/>
                <w:webHidden/>
              </w:rPr>
              <w:fldChar w:fldCharType="end"/>
            </w:r>
          </w:hyperlink>
        </w:p>
        <w:p w:rsidR="00823664" w:rsidRDefault="00A04130">
          <w:pPr>
            <w:pStyle w:val="TOC2"/>
            <w:tabs>
              <w:tab w:val="right" w:leader="dot" w:pos="11366"/>
            </w:tabs>
            <w:rPr>
              <w:rFonts w:eastAsiaTheme="minorEastAsia"/>
              <w:noProof/>
            </w:rPr>
          </w:pPr>
          <w:hyperlink w:anchor="_Toc405389398" w:history="1">
            <w:r w:rsidR="00823664" w:rsidRPr="006B2F8C">
              <w:rPr>
                <w:rStyle w:val="Hyperlink"/>
                <w:noProof/>
              </w:rPr>
              <w:t>Best practice for choosing a new experiential education site</w:t>
            </w:r>
            <w:r w:rsidR="00823664">
              <w:rPr>
                <w:noProof/>
                <w:webHidden/>
              </w:rPr>
              <w:tab/>
            </w:r>
            <w:r w:rsidR="00823664">
              <w:rPr>
                <w:noProof/>
                <w:webHidden/>
              </w:rPr>
              <w:fldChar w:fldCharType="begin"/>
            </w:r>
            <w:r w:rsidR="00823664">
              <w:rPr>
                <w:noProof/>
                <w:webHidden/>
              </w:rPr>
              <w:instrText xml:space="preserve"> PAGEREF _Toc405389398 \h </w:instrText>
            </w:r>
            <w:r w:rsidR="00823664">
              <w:rPr>
                <w:noProof/>
                <w:webHidden/>
              </w:rPr>
            </w:r>
            <w:r w:rsidR="00823664">
              <w:rPr>
                <w:noProof/>
                <w:webHidden/>
              </w:rPr>
              <w:fldChar w:fldCharType="separate"/>
            </w:r>
            <w:r w:rsidR="00823664">
              <w:rPr>
                <w:noProof/>
                <w:webHidden/>
              </w:rPr>
              <w:t>2</w:t>
            </w:r>
            <w:r w:rsidR="00823664">
              <w:rPr>
                <w:noProof/>
                <w:webHidden/>
              </w:rPr>
              <w:fldChar w:fldCharType="end"/>
            </w:r>
          </w:hyperlink>
        </w:p>
        <w:p w:rsidR="00823664" w:rsidRDefault="00A04130">
          <w:pPr>
            <w:pStyle w:val="TOC2"/>
            <w:tabs>
              <w:tab w:val="right" w:leader="dot" w:pos="11366"/>
            </w:tabs>
            <w:rPr>
              <w:rFonts w:eastAsiaTheme="minorEastAsia"/>
              <w:noProof/>
            </w:rPr>
          </w:pPr>
          <w:hyperlink w:anchor="_Toc405389399" w:history="1">
            <w:r w:rsidR="00823664" w:rsidRPr="006B2F8C">
              <w:rPr>
                <w:rStyle w:val="Hyperlink"/>
                <w:noProof/>
              </w:rPr>
              <w:t>Best Practice for adding a rotation to an existing experiential education site</w:t>
            </w:r>
            <w:r w:rsidR="00823664">
              <w:rPr>
                <w:noProof/>
                <w:webHidden/>
              </w:rPr>
              <w:tab/>
            </w:r>
            <w:r w:rsidR="00823664">
              <w:rPr>
                <w:noProof/>
                <w:webHidden/>
              </w:rPr>
              <w:fldChar w:fldCharType="begin"/>
            </w:r>
            <w:r w:rsidR="00823664">
              <w:rPr>
                <w:noProof/>
                <w:webHidden/>
              </w:rPr>
              <w:instrText xml:space="preserve"> PAGEREF _Toc405389399 \h </w:instrText>
            </w:r>
            <w:r w:rsidR="00823664">
              <w:rPr>
                <w:noProof/>
                <w:webHidden/>
              </w:rPr>
            </w:r>
            <w:r w:rsidR="00823664">
              <w:rPr>
                <w:noProof/>
                <w:webHidden/>
              </w:rPr>
              <w:fldChar w:fldCharType="separate"/>
            </w:r>
            <w:r w:rsidR="00823664">
              <w:rPr>
                <w:noProof/>
                <w:webHidden/>
              </w:rPr>
              <w:t>2</w:t>
            </w:r>
            <w:r w:rsidR="00823664">
              <w:rPr>
                <w:noProof/>
                <w:webHidden/>
              </w:rPr>
              <w:fldChar w:fldCharType="end"/>
            </w:r>
          </w:hyperlink>
        </w:p>
        <w:p w:rsidR="003F00BB" w:rsidRPr="00F07899" w:rsidRDefault="000E3F5D" w:rsidP="00F07899">
          <w:pPr>
            <w:rPr>
              <w:noProof/>
            </w:rPr>
          </w:pPr>
          <w:r w:rsidRPr="002343F2">
            <w:rPr>
              <w:b/>
              <w:bCs/>
              <w:noProof/>
            </w:rPr>
            <w:fldChar w:fldCharType="end"/>
          </w:r>
        </w:p>
      </w:sdtContent>
    </w:sdt>
    <w:p w:rsidR="00F07899" w:rsidRPr="002343F2" w:rsidRDefault="00F07899" w:rsidP="00823664">
      <w:pPr>
        <w:pStyle w:val="Heading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 w:line="240" w:lineRule="auto"/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</w:pPr>
      <w:bookmarkStart w:id="0" w:name="_Toc405389394"/>
      <w:r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  <w:t>Overview</w:t>
      </w:r>
      <w:bookmarkEnd w:id="0"/>
      <w:r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  <w:t xml:space="preserve"> </w:t>
      </w:r>
    </w:p>
    <w:p w:rsidR="00ED7A58" w:rsidRDefault="00ED7A58" w:rsidP="00ED7A58">
      <w:pPr>
        <w:spacing w:after="0" w:line="240" w:lineRule="auto"/>
      </w:pPr>
    </w:p>
    <w:p w:rsidR="002A083C" w:rsidRDefault="00F07899" w:rsidP="00ED7A58">
      <w:pPr>
        <w:spacing w:after="0" w:line="240" w:lineRule="auto"/>
      </w:pPr>
      <w:r>
        <w:t xml:space="preserve">This document outlines guiding principles, policies and best practices for </w:t>
      </w:r>
      <w:r w:rsidR="004B3667">
        <w:t xml:space="preserve">establishing a </w:t>
      </w:r>
      <w:r>
        <w:t xml:space="preserve">Pharmacy Practice </w:t>
      </w:r>
      <w:r w:rsidR="004B3667">
        <w:t xml:space="preserve">Experiential Education </w:t>
      </w:r>
      <w:r>
        <w:t>site</w:t>
      </w:r>
      <w:r w:rsidR="00C23271">
        <w:t xml:space="preserve"> for both Introductory </w:t>
      </w:r>
      <w:bookmarkStart w:id="1" w:name="_GoBack"/>
      <w:bookmarkEnd w:id="1"/>
      <w:r w:rsidR="00C23271">
        <w:t>and Advance experiences</w:t>
      </w:r>
      <w:r>
        <w:t xml:space="preserve">.  </w:t>
      </w:r>
      <w:r w:rsidR="0070510F">
        <w:t>Corresponding p</w:t>
      </w:r>
      <w:r>
        <w:t xml:space="preserve">olicy and procedure documents </w:t>
      </w:r>
      <w:r w:rsidR="0070510F">
        <w:t>including</w:t>
      </w:r>
      <w:r>
        <w:t xml:space="preserve"> the Voluntee</w:t>
      </w:r>
      <w:r w:rsidR="0012670F">
        <w:t xml:space="preserve">r Clinical Faculty appointment </w:t>
      </w:r>
      <w:r>
        <w:t>and Tr</w:t>
      </w:r>
      <w:r w:rsidR="0070510F">
        <w:t>aining Affiliation Agreements</w:t>
      </w:r>
      <w:r>
        <w:t xml:space="preserve"> can be found on the Clinical Pharmacy Wiki site. </w:t>
      </w:r>
    </w:p>
    <w:p w:rsidR="002A083C" w:rsidRPr="002343F2" w:rsidRDefault="002A083C" w:rsidP="002A083C">
      <w:pPr>
        <w:pStyle w:val="Heading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</w:pPr>
      <w:bookmarkStart w:id="2" w:name="_Toc405389395"/>
      <w:r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  <w:t>Guiding principles</w:t>
      </w:r>
      <w:bookmarkEnd w:id="2"/>
    </w:p>
    <w:p w:rsidR="002B5869" w:rsidRPr="002B5869" w:rsidRDefault="00F3615E" w:rsidP="002B5869">
      <w:pPr>
        <w:pStyle w:val="default"/>
        <w:numPr>
          <w:ilvl w:val="0"/>
          <w:numId w:val="22"/>
        </w:numPr>
        <w:spacing w:before="100" w:beforeAutospacing="1"/>
        <w:ind w:left="360" w:firstLine="0"/>
        <w:contextualSpacing/>
        <w:rPr>
          <w:rStyle w:val="Emphasis"/>
          <w:rFonts w:asciiTheme="minorHAnsi" w:hAnsiTheme="minorHAnsi"/>
          <w:i w:val="0"/>
          <w:color w:val="000000"/>
        </w:rPr>
      </w:pPr>
      <w:r>
        <w:rPr>
          <w:rStyle w:val="Emphasis"/>
          <w:rFonts w:asciiTheme="minorHAnsi" w:hAnsiTheme="minorHAnsi"/>
          <w:i w:val="0"/>
          <w:color w:val="000000"/>
        </w:rPr>
        <w:t xml:space="preserve">A pharmacy practice site for experiential education </w:t>
      </w:r>
      <w:r w:rsidR="002A083C" w:rsidRPr="0012670F">
        <w:rPr>
          <w:rStyle w:val="Emphasis"/>
          <w:rFonts w:asciiTheme="minorHAnsi" w:hAnsiTheme="minorHAnsi"/>
          <w:i w:val="0"/>
          <w:color w:val="000000"/>
        </w:rPr>
        <w:t>will provide</w:t>
      </w:r>
      <w:r w:rsidR="002B5869">
        <w:rPr>
          <w:rStyle w:val="Emphasis"/>
          <w:rFonts w:asciiTheme="minorHAnsi" w:hAnsiTheme="minorHAnsi"/>
          <w:color w:val="000000"/>
        </w:rPr>
        <w:t>:</w:t>
      </w:r>
    </w:p>
    <w:p w:rsidR="00823664" w:rsidRDefault="0070510F" w:rsidP="00823664">
      <w:pPr>
        <w:pStyle w:val="default"/>
        <w:numPr>
          <w:ilvl w:val="1"/>
          <w:numId w:val="22"/>
        </w:numPr>
        <w:spacing w:before="100" w:beforeAutospacing="1"/>
        <w:contextualSpacing/>
        <w:rPr>
          <w:rStyle w:val="Emphasis"/>
          <w:rFonts w:asciiTheme="minorHAnsi" w:hAnsiTheme="minorHAnsi"/>
          <w:i w:val="0"/>
          <w:color w:val="000000"/>
        </w:rPr>
      </w:pPr>
      <w:r>
        <w:rPr>
          <w:rStyle w:val="Emphasis"/>
          <w:rFonts w:asciiTheme="minorHAnsi" w:hAnsiTheme="minorHAnsi"/>
          <w:i w:val="0"/>
          <w:color w:val="000000"/>
        </w:rPr>
        <w:t>E</w:t>
      </w:r>
      <w:r w:rsidR="002A083C" w:rsidRPr="002B5869">
        <w:rPr>
          <w:rStyle w:val="Emphasis"/>
          <w:rFonts w:asciiTheme="minorHAnsi" w:hAnsiTheme="minorHAnsi"/>
          <w:i w:val="0"/>
          <w:color w:val="000000"/>
        </w:rPr>
        <w:t>xperiences</w:t>
      </w:r>
      <w:r w:rsidR="002A083C" w:rsidRPr="009244AE">
        <w:rPr>
          <w:rStyle w:val="Emphasis"/>
          <w:rFonts w:asciiTheme="minorHAnsi" w:hAnsiTheme="minorHAnsi"/>
          <w:i w:val="0"/>
          <w:color w:val="000000"/>
        </w:rPr>
        <w:t xml:space="preserve"> that enable students to achieve the </w:t>
      </w:r>
      <w:r w:rsidR="002A083C" w:rsidRPr="002B5869">
        <w:rPr>
          <w:rStyle w:val="Emphasis"/>
          <w:rFonts w:asciiTheme="minorHAnsi" w:hAnsiTheme="minorHAnsi"/>
          <w:i w:val="0"/>
          <w:color w:val="000000"/>
        </w:rPr>
        <w:t>educational outcomes of the School of Pharmacy</w:t>
      </w:r>
      <w:r w:rsidR="00F3615E">
        <w:rPr>
          <w:rStyle w:val="Emphasis"/>
          <w:rFonts w:asciiTheme="minorHAnsi" w:hAnsiTheme="minorHAnsi"/>
          <w:i w:val="0"/>
          <w:color w:val="000000"/>
        </w:rPr>
        <w:t xml:space="preserve"> </w:t>
      </w:r>
      <w:hyperlink r:id="rId9" w:history="1">
        <w:r w:rsidR="00823664" w:rsidRPr="00817F70">
          <w:rPr>
            <w:rStyle w:val="Hyperlink"/>
            <w:rFonts w:asciiTheme="minorHAnsi" w:hAnsiTheme="minorHAnsi"/>
          </w:rPr>
          <w:t>http://pharmd.ucsf.edu/curriculum</w:t>
        </w:r>
      </w:hyperlink>
    </w:p>
    <w:p w:rsidR="002A083C" w:rsidRPr="00823664" w:rsidRDefault="002A083C" w:rsidP="00063651">
      <w:pPr>
        <w:pStyle w:val="default"/>
        <w:numPr>
          <w:ilvl w:val="1"/>
          <w:numId w:val="22"/>
        </w:numPr>
        <w:spacing w:before="100" w:beforeAutospacing="1"/>
        <w:contextualSpacing/>
        <w:rPr>
          <w:rStyle w:val="Emphasis"/>
          <w:rFonts w:asciiTheme="minorHAnsi" w:hAnsiTheme="minorHAnsi"/>
          <w:i w:val="0"/>
          <w:color w:val="000000"/>
        </w:rPr>
      </w:pPr>
      <w:r w:rsidRPr="00823664">
        <w:rPr>
          <w:rStyle w:val="Emphasis"/>
          <w:rFonts w:asciiTheme="minorHAnsi" w:hAnsiTheme="minorHAnsi"/>
          <w:i w:val="0"/>
          <w:color w:val="000000"/>
        </w:rPr>
        <w:t>Pharmacist</w:t>
      </w:r>
      <w:r w:rsidR="000F0535" w:rsidRPr="00823664">
        <w:rPr>
          <w:rStyle w:val="Emphasis"/>
          <w:rFonts w:asciiTheme="minorHAnsi" w:hAnsiTheme="minorHAnsi"/>
          <w:i w:val="0"/>
          <w:color w:val="000000"/>
        </w:rPr>
        <w:t xml:space="preserve"> or other health provider professional role-model</w:t>
      </w:r>
      <w:r w:rsidRPr="00823664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="0070510F" w:rsidRPr="00823664">
        <w:rPr>
          <w:rStyle w:val="Emphasis"/>
          <w:rFonts w:asciiTheme="minorHAnsi" w:hAnsiTheme="minorHAnsi"/>
          <w:i w:val="0"/>
          <w:color w:val="000000"/>
        </w:rPr>
        <w:t>preceptors</w:t>
      </w:r>
      <w:r w:rsidRPr="00823664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Pr="00823664">
        <w:rPr>
          <w:rStyle w:val="Emphasis"/>
          <w:rFonts w:asciiTheme="minorHAnsi" w:hAnsiTheme="minorHAnsi"/>
          <w:color w:val="000000"/>
        </w:rPr>
        <w:t xml:space="preserve"> </w:t>
      </w:r>
    </w:p>
    <w:p w:rsidR="002A083C" w:rsidRPr="0012670F" w:rsidRDefault="002A083C" w:rsidP="0012670F">
      <w:pPr>
        <w:pStyle w:val="default"/>
        <w:numPr>
          <w:ilvl w:val="1"/>
          <w:numId w:val="22"/>
        </w:numPr>
        <w:rPr>
          <w:rFonts w:asciiTheme="minorHAnsi" w:hAnsiTheme="minorHAnsi"/>
          <w:iCs/>
          <w:color w:val="000000"/>
        </w:rPr>
      </w:pPr>
      <w:r w:rsidRPr="009244AE">
        <w:rPr>
          <w:rStyle w:val="Emphasis"/>
          <w:rFonts w:asciiTheme="minorHAnsi" w:hAnsiTheme="minorHAnsi"/>
          <w:i w:val="0"/>
          <w:color w:val="000000"/>
        </w:rPr>
        <w:t xml:space="preserve">Access to a wide variety of </w:t>
      </w:r>
      <w:r w:rsidR="0070510F">
        <w:rPr>
          <w:rStyle w:val="Emphasis"/>
          <w:rFonts w:asciiTheme="minorHAnsi" w:hAnsiTheme="minorHAnsi"/>
          <w:i w:val="0"/>
          <w:color w:val="000000"/>
        </w:rPr>
        <w:t>learning opportunities</w:t>
      </w:r>
      <w:r w:rsidRPr="009244AE">
        <w:rPr>
          <w:rStyle w:val="Emphasis"/>
          <w:rFonts w:asciiTheme="minorHAnsi" w:hAnsiTheme="minorHAnsi"/>
          <w:i w:val="0"/>
          <w:color w:val="000000"/>
        </w:rPr>
        <w:t xml:space="preserve">, diverse patient populations, or innovative practice settings </w:t>
      </w:r>
    </w:p>
    <w:p w:rsidR="002A083C" w:rsidRPr="002B5869" w:rsidRDefault="002A083C" w:rsidP="002B5869">
      <w:pPr>
        <w:pStyle w:val="Heading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</w:pPr>
      <w:bookmarkStart w:id="3" w:name="_Toc405389396"/>
      <w:r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  <w:t>Policy</w:t>
      </w:r>
      <w:bookmarkEnd w:id="3"/>
      <w:r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  <w:t xml:space="preserve"> </w:t>
      </w:r>
    </w:p>
    <w:p w:rsidR="000B1416" w:rsidRPr="001123EF" w:rsidRDefault="000B1416" w:rsidP="001123EF">
      <w:pPr>
        <w:pStyle w:val="default"/>
        <w:numPr>
          <w:ilvl w:val="0"/>
          <w:numId w:val="22"/>
        </w:numPr>
        <w:spacing w:before="100" w:beforeAutospacing="1"/>
        <w:contextualSpacing/>
        <w:rPr>
          <w:rStyle w:val="Emphasis"/>
          <w:rFonts w:asciiTheme="minorHAnsi" w:hAnsiTheme="minorHAnsi"/>
          <w:i w:val="0"/>
          <w:color w:val="000000"/>
        </w:rPr>
      </w:pPr>
      <w:r w:rsidRPr="001123EF">
        <w:rPr>
          <w:rStyle w:val="Emphasis"/>
          <w:rFonts w:asciiTheme="minorHAnsi" w:hAnsiTheme="minorHAnsi"/>
          <w:i w:val="0"/>
          <w:color w:val="000000"/>
        </w:rPr>
        <w:t>A T</w:t>
      </w:r>
      <w:r w:rsidR="002B5869" w:rsidRPr="001123EF">
        <w:rPr>
          <w:rStyle w:val="Emphasis"/>
          <w:rFonts w:asciiTheme="minorHAnsi" w:hAnsiTheme="minorHAnsi"/>
          <w:i w:val="0"/>
          <w:color w:val="000000"/>
        </w:rPr>
        <w:t xml:space="preserve">raining Affiliation Agreement (TAA) must be in place between the APPE site and UCSF before a student </w:t>
      </w:r>
    </w:p>
    <w:p w:rsidR="000B1416" w:rsidRPr="001123EF" w:rsidRDefault="002B5869" w:rsidP="00063651">
      <w:pPr>
        <w:pStyle w:val="default"/>
        <w:spacing w:before="100" w:beforeAutospacing="1"/>
        <w:ind w:left="720"/>
        <w:contextualSpacing/>
        <w:rPr>
          <w:rStyle w:val="Emphasis"/>
          <w:rFonts w:asciiTheme="minorHAnsi" w:hAnsiTheme="minorHAnsi"/>
          <w:i w:val="0"/>
          <w:color w:val="000000"/>
        </w:rPr>
      </w:pPr>
      <w:proofErr w:type="gramStart"/>
      <w:r w:rsidRPr="001123EF">
        <w:rPr>
          <w:rStyle w:val="Emphasis"/>
          <w:rFonts w:asciiTheme="minorHAnsi" w:hAnsiTheme="minorHAnsi"/>
          <w:i w:val="0"/>
          <w:color w:val="000000"/>
        </w:rPr>
        <w:t>can</w:t>
      </w:r>
      <w:proofErr w:type="gramEnd"/>
      <w:r w:rsidRPr="001123EF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="000B1416" w:rsidRPr="001123EF">
        <w:rPr>
          <w:rStyle w:val="Emphasis"/>
          <w:rFonts w:asciiTheme="minorHAnsi" w:hAnsiTheme="minorHAnsi"/>
          <w:i w:val="0"/>
          <w:color w:val="000000"/>
        </w:rPr>
        <w:t xml:space="preserve">attend a rotation at that site. </w:t>
      </w:r>
      <w:r w:rsidR="00063651">
        <w:rPr>
          <w:rStyle w:val="Emphasis"/>
          <w:rFonts w:asciiTheme="minorHAnsi" w:hAnsiTheme="minorHAnsi"/>
          <w:i w:val="0"/>
          <w:color w:val="000000"/>
        </w:rPr>
        <w:t>Contact the experiential education coordinator, James Ferguson</w:t>
      </w:r>
      <w:r w:rsidR="00C03DBC">
        <w:rPr>
          <w:rStyle w:val="Emphasis"/>
          <w:rFonts w:asciiTheme="minorHAnsi" w:hAnsiTheme="minorHAnsi"/>
          <w:i w:val="0"/>
          <w:color w:val="000000"/>
        </w:rPr>
        <w:t xml:space="preserve"> at </w:t>
      </w:r>
      <w:r w:rsidR="00C03DBC" w:rsidRPr="00C03DBC">
        <w:rPr>
          <w:rStyle w:val="Emphasis"/>
          <w:rFonts w:asciiTheme="minorHAnsi" w:hAnsiTheme="minorHAnsi"/>
          <w:i w:val="0"/>
          <w:color w:val="000000"/>
        </w:rPr>
        <w:t>James.Ferguson@ucsf.edu</w:t>
      </w:r>
      <w:r w:rsidR="00063651">
        <w:rPr>
          <w:rStyle w:val="Emphasis"/>
          <w:rFonts w:asciiTheme="minorHAnsi" w:hAnsiTheme="minorHAnsi"/>
          <w:i w:val="0"/>
          <w:color w:val="000000"/>
        </w:rPr>
        <w:t xml:space="preserve">. </w:t>
      </w:r>
      <w:r w:rsidR="0070510F" w:rsidRPr="001123EF">
        <w:rPr>
          <w:rStyle w:val="Emphasis"/>
          <w:rFonts w:asciiTheme="minorHAnsi" w:hAnsiTheme="minorHAnsi"/>
          <w:i w:val="0"/>
          <w:color w:val="000000"/>
        </w:rPr>
        <w:t xml:space="preserve"> </w:t>
      </w:r>
    </w:p>
    <w:p w:rsidR="001123EF" w:rsidRPr="001123EF" w:rsidRDefault="000B1416" w:rsidP="001123EF">
      <w:pPr>
        <w:pStyle w:val="default"/>
        <w:numPr>
          <w:ilvl w:val="0"/>
          <w:numId w:val="22"/>
        </w:numPr>
        <w:spacing w:before="100" w:beforeAutospacing="1"/>
        <w:contextualSpacing/>
        <w:rPr>
          <w:rStyle w:val="Emphasis"/>
          <w:rFonts w:asciiTheme="minorHAnsi" w:hAnsiTheme="minorHAnsi"/>
          <w:i w:val="0"/>
          <w:color w:val="000000"/>
        </w:rPr>
      </w:pPr>
      <w:r w:rsidRPr="001123EF">
        <w:rPr>
          <w:rStyle w:val="Emphasis"/>
          <w:rFonts w:asciiTheme="minorHAnsi" w:hAnsiTheme="minorHAnsi"/>
          <w:i w:val="0"/>
          <w:color w:val="000000"/>
        </w:rPr>
        <w:t>The primary preceptor at the APPE site will obtain a volunteer clinical</w:t>
      </w:r>
      <w:r w:rsidR="0070510F" w:rsidRPr="001123EF">
        <w:rPr>
          <w:rStyle w:val="Emphasis"/>
          <w:rFonts w:asciiTheme="minorHAnsi" w:hAnsiTheme="minorHAnsi"/>
          <w:i w:val="0"/>
          <w:color w:val="000000"/>
        </w:rPr>
        <w:t xml:space="preserve"> faculty appointment with UCSF. </w:t>
      </w:r>
      <w:r w:rsidR="001123EF" w:rsidRPr="001123EF">
        <w:rPr>
          <w:rStyle w:val="Emphasis"/>
          <w:rFonts w:asciiTheme="minorHAnsi" w:hAnsiTheme="minorHAnsi"/>
          <w:i w:val="0"/>
          <w:color w:val="000000"/>
        </w:rPr>
        <w:t xml:space="preserve">The </w:t>
      </w:r>
    </w:p>
    <w:p w:rsidR="001123EF" w:rsidRPr="001123EF" w:rsidRDefault="001123EF" w:rsidP="001123EF">
      <w:pPr>
        <w:pStyle w:val="default"/>
        <w:spacing w:before="100" w:beforeAutospacing="1"/>
        <w:ind w:left="720"/>
        <w:contextualSpacing/>
        <w:rPr>
          <w:rStyle w:val="Emphasis"/>
          <w:rFonts w:asciiTheme="minorHAnsi" w:hAnsiTheme="minorHAnsi"/>
          <w:i w:val="0"/>
          <w:color w:val="000000"/>
        </w:rPr>
      </w:pPr>
      <w:proofErr w:type="gramStart"/>
      <w:r w:rsidRPr="001123EF">
        <w:rPr>
          <w:rStyle w:val="Emphasis"/>
          <w:rFonts w:asciiTheme="minorHAnsi" w:hAnsiTheme="minorHAnsi"/>
          <w:i w:val="0"/>
          <w:color w:val="000000"/>
        </w:rPr>
        <w:t>appointment</w:t>
      </w:r>
      <w:proofErr w:type="gramEnd"/>
      <w:r w:rsidRPr="001123EF">
        <w:rPr>
          <w:rStyle w:val="Emphasis"/>
          <w:rFonts w:asciiTheme="minorHAnsi" w:hAnsiTheme="minorHAnsi"/>
          <w:i w:val="0"/>
          <w:color w:val="000000"/>
        </w:rPr>
        <w:t xml:space="preserve"> process includes successful completion of the Effective Clinical Preceptor training</w:t>
      </w:r>
      <w:r>
        <w:rPr>
          <w:rStyle w:val="Emphasis"/>
          <w:rFonts w:asciiTheme="minorHAnsi" w:hAnsiTheme="minorHAnsi"/>
          <w:i w:val="0"/>
          <w:color w:val="000000"/>
        </w:rPr>
        <w:t>.</w:t>
      </w:r>
      <w:r w:rsidRPr="001123EF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="0070510F" w:rsidRPr="001123EF">
        <w:rPr>
          <w:rStyle w:val="Emphasis"/>
          <w:rFonts w:asciiTheme="minorHAnsi" w:hAnsiTheme="minorHAnsi"/>
          <w:i w:val="0"/>
          <w:color w:val="000000"/>
        </w:rPr>
        <w:t>The</w:t>
      </w:r>
      <w:r w:rsidRPr="001123EF">
        <w:rPr>
          <w:rStyle w:val="Emphasis"/>
          <w:rFonts w:asciiTheme="minorHAnsi" w:hAnsiTheme="minorHAnsi"/>
          <w:i w:val="0"/>
          <w:color w:val="000000"/>
        </w:rPr>
        <w:t xml:space="preserve"> </w:t>
      </w:r>
    </w:p>
    <w:p w:rsidR="000B1416" w:rsidRDefault="001123EF" w:rsidP="001123EF">
      <w:pPr>
        <w:pStyle w:val="default"/>
        <w:spacing w:before="100" w:beforeAutospacing="1"/>
        <w:ind w:left="720"/>
        <w:contextualSpacing/>
        <w:rPr>
          <w:rStyle w:val="Emphasis"/>
          <w:rFonts w:asciiTheme="minorHAnsi" w:hAnsiTheme="minorHAnsi"/>
          <w:i w:val="0"/>
          <w:color w:val="FF0000"/>
        </w:rPr>
      </w:pPr>
      <w:proofErr w:type="gramStart"/>
      <w:r w:rsidRPr="001123EF">
        <w:rPr>
          <w:rStyle w:val="Emphasis"/>
          <w:rFonts w:asciiTheme="minorHAnsi" w:hAnsiTheme="minorHAnsi"/>
          <w:i w:val="0"/>
          <w:color w:val="000000"/>
        </w:rPr>
        <w:t>appointment</w:t>
      </w:r>
      <w:proofErr w:type="gramEnd"/>
      <w:r w:rsidRPr="001123EF"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="000B1416" w:rsidRPr="001123EF">
        <w:rPr>
          <w:rStyle w:val="Emphasis"/>
          <w:rFonts w:asciiTheme="minorHAnsi" w:hAnsiTheme="minorHAnsi"/>
          <w:i w:val="0"/>
          <w:color w:val="000000"/>
        </w:rPr>
        <w:t>process can be found</w:t>
      </w:r>
      <w:r w:rsidR="00C03DBC">
        <w:rPr>
          <w:rStyle w:val="Emphasis"/>
          <w:rFonts w:asciiTheme="minorHAnsi" w:hAnsiTheme="minorHAnsi"/>
          <w:i w:val="0"/>
          <w:color w:val="000000"/>
        </w:rPr>
        <w:t xml:space="preserve"> </w:t>
      </w:r>
      <w:hyperlink r:id="rId10" w:history="1">
        <w:r w:rsidR="00C03DBC" w:rsidRPr="00C03DBC">
          <w:rPr>
            <w:rStyle w:val="Hyperlink"/>
            <w:rFonts w:asciiTheme="minorHAnsi" w:hAnsiTheme="minorHAnsi"/>
          </w:rPr>
          <w:t>he</w:t>
        </w:r>
        <w:r w:rsidR="00C03DBC" w:rsidRPr="00C03DBC">
          <w:rPr>
            <w:rStyle w:val="Hyperlink"/>
            <w:rFonts w:asciiTheme="minorHAnsi" w:hAnsiTheme="minorHAnsi"/>
          </w:rPr>
          <w:t>r</w:t>
        </w:r>
        <w:r w:rsidR="00C03DBC" w:rsidRPr="00C03DBC">
          <w:rPr>
            <w:rStyle w:val="Hyperlink"/>
            <w:rFonts w:asciiTheme="minorHAnsi" w:hAnsiTheme="minorHAnsi"/>
          </w:rPr>
          <w:t>e</w:t>
        </w:r>
      </w:hyperlink>
      <w:r w:rsidR="00C03DBC">
        <w:rPr>
          <w:rStyle w:val="Emphasis"/>
          <w:rFonts w:asciiTheme="minorHAnsi" w:hAnsiTheme="minorHAnsi"/>
          <w:i w:val="0"/>
          <w:color w:val="000000"/>
        </w:rPr>
        <w:t xml:space="preserve">. </w:t>
      </w:r>
    </w:p>
    <w:p w:rsidR="001123EF" w:rsidRPr="001123EF" w:rsidRDefault="001123EF" w:rsidP="00823664">
      <w:pPr>
        <w:pStyle w:val="default"/>
        <w:numPr>
          <w:ilvl w:val="0"/>
          <w:numId w:val="22"/>
        </w:numPr>
        <w:spacing w:before="100" w:beforeAutospacing="1"/>
        <w:contextualSpacing/>
        <w:rPr>
          <w:rStyle w:val="Emphasis"/>
          <w:rFonts w:asciiTheme="minorHAnsi" w:hAnsiTheme="minorHAnsi"/>
          <w:i w:val="0"/>
          <w:color w:val="000000"/>
        </w:rPr>
      </w:pPr>
      <w:r w:rsidRPr="001123EF">
        <w:rPr>
          <w:rStyle w:val="Emphasis"/>
          <w:rFonts w:asciiTheme="minorHAnsi" w:hAnsiTheme="minorHAnsi"/>
          <w:i w:val="0"/>
          <w:color w:val="000000"/>
        </w:rPr>
        <w:t>Preceptors without a volunteer clinical faculty appointment but working with students at an APPE site are encouraged to complete the Effective Clinical Preceptor CPE module.</w:t>
      </w:r>
    </w:p>
    <w:p w:rsidR="000B1416" w:rsidRDefault="000B1416" w:rsidP="0070510F">
      <w:pPr>
        <w:pStyle w:val="default"/>
        <w:spacing w:before="100" w:beforeAutospacing="1"/>
        <w:ind w:left="360"/>
        <w:contextualSpacing/>
      </w:pPr>
    </w:p>
    <w:p w:rsidR="000B1416" w:rsidRDefault="000B1416" w:rsidP="000B1416">
      <w:pPr>
        <w:pStyle w:val="default"/>
        <w:spacing w:before="100" w:beforeAutospacing="1"/>
        <w:contextualSpacing/>
      </w:pPr>
    </w:p>
    <w:p w:rsidR="0012670F" w:rsidRDefault="0012670F" w:rsidP="000B1416">
      <w:pPr>
        <w:pStyle w:val="default"/>
        <w:spacing w:before="100" w:beforeAutospacing="1"/>
        <w:contextualSpacing/>
      </w:pPr>
    </w:p>
    <w:p w:rsidR="0012670F" w:rsidRDefault="0012670F" w:rsidP="000B1416">
      <w:pPr>
        <w:pStyle w:val="default"/>
        <w:spacing w:before="100" w:beforeAutospacing="1"/>
        <w:contextualSpacing/>
      </w:pPr>
    </w:p>
    <w:p w:rsidR="0012670F" w:rsidRDefault="0012670F" w:rsidP="000B1416">
      <w:pPr>
        <w:pStyle w:val="default"/>
        <w:spacing w:before="100" w:beforeAutospacing="1"/>
        <w:contextualSpacing/>
      </w:pPr>
    </w:p>
    <w:p w:rsidR="0012670F" w:rsidRDefault="0012670F" w:rsidP="000B1416">
      <w:pPr>
        <w:pStyle w:val="default"/>
        <w:spacing w:before="100" w:beforeAutospacing="1"/>
        <w:contextualSpacing/>
      </w:pPr>
    </w:p>
    <w:p w:rsidR="0012670F" w:rsidRDefault="0012670F" w:rsidP="000B1416">
      <w:pPr>
        <w:pStyle w:val="default"/>
        <w:spacing w:before="100" w:beforeAutospacing="1"/>
        <w:contextualSpacing/>
      </w:pPr>
    </w:p>
    <w:p w:rsidR="000B1416" w:rsidRDefault="00F07899" w:rsidP="000B1416">
      <w:pPr>
        <w:pStyle w:val="Heading1"/>
        <w:keepNext w:val="0"/>
        <w:keepLines w:val="0"/>
        <w:pBdr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</w:pBdr>
        <w:shd w:val="clear" w:color="auto" w:fill="4F81BD" w:themeFill="accent1"/>
        <w:spacing w:before="200"/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</w:pPr>
      <w:bookmarkStart w:id="4" w:name="_Toc405389397"/>
      <w:r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  <w:t>Best Pra</w:t>
      </w:r>
      <w:r w:rsidR="00F3615E"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  <w:t>ctice</w:t>
      </w:r>
      <w:bookmarkEnd w:id="4"/>
      <w:r w:rsidR="00F3615E">
        <w:rPr>
          <w:rFonts w:asciiTheme="minorHAnsi" w:eastAsiaTheme="minorEastAsia" w:hAnsiTheme="minorHAnsi" w:cstheme="minorBidi"/>
          <w:caps/>
          <w:color w:val="FFFFFF" w:themeColor="background1"/>
          <w:spacing w:val="15"/>
          <w:sz w:val="22"/>
          <w:szCs w:val="22"/>
        </w:rPr>
        <w:t xml:space="preserve"> </w:t>
      </w:r>
    </w:p>
    <w:p w:rsidR="00DC6322" w:rsidRDefault="00DC6322" w:rsidP="00DC6322"/>
    <w:p w:rsidR="00DC6322" w:rsidRDefault="00DC6322" w:rsidP="00DC6322">
      <w:pPr>
        <w:pStyle w:val="Heading2"/>
      </w:pPr>
      <w:bookmarkStart w:id="5" w:name="_Toc405389398"/>
      <w:r>
        <w:rPr>
          <w:caps w:val="0"/>
        </w:rPr>
        <w:t xml:space="preserve">Best </w:t>
      </w:r>
      <w:r w:rsidR="00F3615E">
        <w:rPr>
          <w:caps w:val="0"/>
        </w:rPr>
        <w:t>practice for choosing a new experiential education</w:t>
      </w:r>
      <w:r>
        <w:rPr>
          <w:caps w:val="0"/>
        </w:rPr>
        <w:t xml:space="preserve"> site</w:t>
      </w:r>
      <w:bookmarkEnd w:id="5"/>
      <w:r>
        <w:rPr>
          <w:caps w:val="0"/>
        </w:rPr>
        <w:t xml:space="preserve"> </w:t>
      </w:r>
      <w:r w:rsidRPr="007F0043">
        <w:t xml:space="preserve"> </w:t>
      </w:r>
    </w:p>
    <w:p w:rsidR="00DC6322" w:rsidRDefault="00DC6322" w:rsidP="00DC6322">
      <w:pPr>
        <w:rPr>
          <w:b/>
        </w:rPr>
      </w:pPr>
    </w:p>
    <w:p w:rsidR="00DC6322" w:rsidRDefault="00DC6322" w:rsidP="00DC6322">
      <w:pPr>
        <w:pStyle w:val="default"/>
        <w:rPr>
          <w:rStyle w:val="Emphasis"/>
          <w:rFonts w:asciiTheme="minorHAnsi" w:hAnsiTheme="minorHAnsi"/>
          <w:i w:val="0"/>
          <w:color w:val="000000"/>
        </w:rPr>
      </w:pPr>
      <w:r>
        <w:rPr>
          <w:rStyle w:val="Emphasis"/>
          <w:rFonts w:asciiTheme="minorHAnsi" w:hAnsiTheme="minorHAnsi"/>
          <w:i w:val="0"/>
          <w:color w:val="000000"/>
        </w:rPr>
        <w:t xml:space="preserve">If a new site is being considered, the Program Director meets with the site/preceptor to evaluate the following criteria: </w:t>
      </w:r>
    </w:p>
    <w:p w:rsidR="00DC6322" w:rsidRPr="009244AE" w:rsidRDefault="00DC6322" w:rsidP="00DC6322">
      <w:pPr>
        <w:pStyle w:val="default"/>
        <w:numPr>
          <w:ilvl w:val="0"/>
          <w:numId w:val="21"/>
        </w:numPr>
        <w:rPr>
          <w:rStyle w:val="Emphasis"/>
          <w:rFonts w:asciiTheme="minorHAnsi" w:hAnsiTheme="minorHAnsi"/>
          <w:i w:val="0"/>
          <w:color w:val="000000"/>
        </w:rPr>
      </w:pPr>
      <w:r w:rsidRPr="009244AE">
        <w:rPr>
          <w:rStyle w:val="Emphasis"/>
          <w:rFonts w:asciiTheme="minorHAnsi" w:hAnsiTheme="minorHAnsi"/>
          <w:i w:val="0"/>
          <w:color w:val="000000"/>
        </w:rPr>
        <w:t xml:space="preserve">Opportunity for direct patient contact (where applicable) </w:t>
      </w:r>
    </w:p>
    <w:p w:rsidR="00DC6322" w:rsidRPr="009244AE" w:rsidRDefault="001123EF" w:rsidP="00DC6322">
      <w:pPr>
        <w:pStyle w:val="default"/>
        <w:numPr>
          <w:ilvl w:val="0"/>
          <w:numId w:val="21"/>
        </w:numPr>
        <w:rPr>
          <w:rStyle w:val="Emphasis"/>
          <w:rFonts w:asciiTheme="minorHAnsi" w:hAnsiTheme="minorHAnsi"/>
          <w:i w:val="0"/>
          <w:color w:val="000000"/>
        </w:rPr>
      </w:pPr>
      <w:proofErr w:type="spellStart"/>
      <w:r>
        <w:rPr>
          <w:rStyle w:val="Emphasis"/>
          <w:rFonts w:asciiTheme="minorHAnsi" w:hAnsiTheme="minorHAnsi"/>
          <w:i w:val="0"/>
          <w:color w:val="000000"/>
        </w:rPr>
        <w:t>Interprofessional</w:t>
      </w:r>
      <w:proofErr w:type="spellEnd"/>
      <w:r w:rsidR="00DC6322" w:rsidRPr="009244AE">
        <w:rPr>
          <w:rStyle w:val="Emphasis"/>
          <w:rFonts w:asciiTheme="minorHAnsi" w:hAnsiTheme="minorHAnsi"/>
          <w:i w:val="0"/>
          <w:color w:val="000000"/>
        </w:rPr>
        <w:t xml:space="preserve"> team environment (where applicable) </w:t>
      </w:r>
    </w:p>
    <w:p w:rsidR="001123EF" w:rsidRPr="009244AE" w:rsidRDefault="001123EF" w:rsidP="001123EF">
      <w:pPr>
        <w:pStyle w:val="default"/>
        <w:numPr>
          <w:ilvl w:val="0"/>
          <w:numId w:val="21"/>
        </w:numPr>
        <w:rPr>
          <w:rStyle w:val="Emphasis"/>
          <w:rFonts w:asciiTheme="minorHAnsi" w:hAnsiTheme="minorHAnsi"/>
          <w:i w:val="0"/>
          <w:color w:val="000000"/>
        </w:rPr>
      </w:pPr>
      <w:r w:rsidRPr="009244AE">
        <w:rPr>
          <w:rStyle w:val="Emphasis"/>
          <w:rFonts w:asciiTheme="minorHAnsi" w:hAnsiTheme="minorHAnsi"/>
          <w:i w:val="0"/>
          <w:color w:val="000000"/>
        </w:rPr>
        <w:t>Adequate references</w:t>
      </w:r>
      <w:r>
        <w:rPr>
          <w:rStyle w:val="Emphasis"/>
          <w:rFonts w:asciiTheme="minorHAnsi" w:hAnsiTheme="minorHAnsi"/>
          <w:i w:val="0"/>
          <w:color w:val="000000"/>
        </w:rPr>
        <w:t xml:space="preserve">, </w:t>
      </w:r>
      <w:r w:rsidRPr="009244AE">
        <w:rPr>
          <w:rStyle w:val="Emphasis"/>
          <w:rFonts w:asciiTheme="minorHAnsi" w:hAnsiTheme="minorHAnsi"/>
          <w:i w:val="0"/>
          <w:color w:val="000000"/>
        </w:rPr>
        <w:t>resources</w:t>
      </w:r>
      <w:r>
        <w:rPr>
          <w:rStyle w:val="Emphasis"/>
          <w:rFonts w:asciiTheme="minorHAnsi" w:hAnsiTheme="minorHAnsi"/>
          <w:i w:val="0"/>
          <w:color w:val="000000"/>
        </w:rPr>
        <w:t xml:space="preserve"> and space for students to complete assigned tasks.</w:t>
      </w:r>
      <w:r w:rsidRPr="009244AE">
        <w:rPr>
          <w:rStyle w:val="Emphasis"/>
          <w:rFonts w:asciiTheme="minorHAnsi" w:hAnsiTheme="minorHAnsi"/>
          <w:i w:val="0"/>
          <w:color w:val="000000"/>
        </w:rPr>
        <w:t xml:space="preserve"> </w:t>
      </w:r>
    </w:p>
    <w:p w:rsidR="00DC6322" w:rsidRPr="009244AE" w:rsidRDefault="002B6CDD" w:rsidP="00DC6322">
      <w:pPr>
        <w:pStyle w:val="default"/>
        <w:numPr>
          <w:ilvl w:val="0"/>
          <w:numId w:val="21"/>
        </w:numPr>
        <w:rPr>
          <w:rStyle w:val="Emphasis"/>
          <w:rFonts w:asciiTheme="minorHAnsi" w:hAnsiTheme="minorHAnsi"/>
          <w:i w:val="0"/>
          <w:color w:val="000000"/>
        </w:rPr>
      </w:pPr>
      <w:r>
        <w:rPr>
          <w:rStyle w:val="Emphasis"/>
          <w:rFonts w:asciiTheme="minorHAnsi" w:hAnsiTheme="minorHAnsi"/>
          <w:i w:val="0"/>
          <w:color w:val="000000"/>
        </w:rPr>
        <w:t xml:space="preserve">Support </w:t>
      </w:r>
      <w:r w:rsidRPr="009244AE">
        <w:rPr>
          <w:rStyle w:val="Emphasis"/>
          <w:rFonts w:asciiTheme="minorHAnsi" w:hAnsiTheme="minorHAnsi"/>
          <w:i w:val="0"/>
          <w:color w:val="000000"/>
        </w:rPr>
        <w:t xml:space="preserve">for </w:t>
      </w:r>
      <w:r>
        <w:rPr>
          <w:rStyle w:val="Emphasis"/>
          <w:rFonts w:asciiTheme="minorHAnsi" w:hAnsiTheme="minorHAnsi"/>
          <w:i w:val="0"/>
          <w:color w:val="000000"/>
        </w:rPr>
        <w:t xml:space="preserve">an innovative learning environment from </w:t>
      </w:r>
      <w:r w:rsidR="00DC6322" w:rsidRPr="009244AE">
        <w:rPr>
          <w:rStyle w:val="Emphasis"/>
          <w:rFonts w:asciiTheme="minorHAnsi" w:hAnsiTheme="minorHAnsi"/>
          <w:i w:val="0"/>
          <w:color w:val="000000"/>
        </w:rPr>
        <w:t xml:space="preserve">management or administration </w:t>
      </w:r>
    </w:p>
    <w:p w:rsidR="00DC6322" w:rsidRPr="009244AE" w:rsidRDefault="001123EF" w:rsidP="00DC6322">
      <w:pPr>
        <w:pStyle w:val="default"/>
        <w:numPr>
          <w:ilvl w:val="0"/>
          <w:numId w:val="21"/>
        </w:numPr>
        <w:rPr>
          <w:rStyle w:val="Emphasis"/>
          <w:rFonts w:asciiTheme="minorHAnsi" w:hAnsiTheme="minorHAnsi"/>
          <w:i w:val="0"/>
          <w:color w:val="000000"/>
        </w:rPr>
      </w:pPr>
      <w:r>
        <w:rPr>
          <w:rStyle w:val="Emphasis"/>
          <w:rFonts w:asciiTheme="minorHAnsi" w:hAnsiTheme="minorHAnsi"/>
          <w:i w:val="0"/>
          <w:color w:val="000000"/>
        </w:rPr>
        <w:t>Documented roles and responsibilities of students that create a “value-added” opportunity for the APPE site working with UCSF student pharmacists</w:t>
      </w:r>
    </w:p>
    <w:p w:rsidR="00DC6322" w:rsidRPr="009244AE" w:rsidRDefault="00DC6322" w:rsidP="00DC6322">
      <w:pPr>
        <w:pStyle w:val="default"/>
        <w:numPr>
          <w:ilvl w:val="0"/>
          <w:numId w:val="21"/>
        </w:numPr>
        <w:rPr>
          <w:rStyle w:val="Emphasis"/>
          <w:rFonts w:asciiTheme="minorHAnsi" w:hAnsiTheme="minorHAnsi"/>
          <w:i w:val="0"/>
          <w:color w:val="000000"/>
        </w:rPr>
      </w:pPr>
      <w:r w:rsidRPr="009244AE">
        <w:rPr>
          <w:rStyle w:val="Emphasis"/>
          <w:rFonts w:asciiTheme="minorHAnsi" w:hAnsiTheme="minorHAnsi"/>
          <w:i w:val="0"/>
          <w:color w:val="000000"/>
        </w:rPr>
        <w:t>Compliance with all applicable laws and regulation</w:t>
      </w:r>
      <w:r w:rsidR="004B3667">
        <w:rPr>
          <w:rStyle w:val="Emphasis"/>
          <w:rFonts w:asciiTheme="minorHAnsi" w:hAnsiTheme="minorHAnsi"/>
          <w:i w:val="0"/>
          <w:color w:val="000000"/>
        </w:rPr>
        <w:t>s</w:t>
      </w:r>
      <w:r w:rsidR="00DE32E0">
        <w:rPr>
          <w:rStyle w:val="Emphasis"/>
          <w:rFonts w:asciiTheme="minorHAnsi" w:hAnsiTheme="minorHAnsi"/>
          <w:i w:val="0"/>
          <w:color w:val="000000"/>
        </w:rPr>
        <w:t>, including but not limited to HIPAA</w:t>
      </w:r>
      <w:r w:rsidRPr="009244AE">
        <w:rPr>
          <w:rStyle w:val="Emphasis"/>
          <w:rFonts w:asciiTheme="minorHAnsi" w:hAnsiTheme="minorHAnsi"/>
          <w:i w:val="0"/>
          <w:color w:val="000000"/>
        </w:rPr>
        <w:t xml:space="preserve"> </w:t>
      </w:r>
    </w:p>
    <w:p w:rsidR="00DC6322" w:rsidRDefault="00DC6322" w:rsidP="00DC6322">
      <w:pPr>
        <w:pStyle w:val="default"/>
        <w:numPr>
          <w:ilvl w:val="0"/>
          <w:numId w:val="21"/>
        </w:numPr>
        <w:rPr>
          <w:rStyle w:val="Emphasis"/>
          <w:rFonts w:asciiTheme="minorHAnsi" w:hAnsiTheme="minorHAnsi"/>
          <w:i w:val="0"/>
          <w:color w:val="000000"/>
        </w:rPr>
      </w:pPr>
      <w:r w:rsidRPr="009244AE">
        <w:rPr>
          <w:rStyle w:val="Emphasis"/>
          <w:rFonts w:asciiTheme="minorHAnsi" w:hAnsiTheme="minorHAnsi"/>
          <w:i w:val="0"/>
          <w:color w:val="000000"/>
        </w:rPr>
        <w:t xml:space="preserve">Use of technology as appropriate to support professional activities </w:t>
      </w:r>
    </w:p>
    <w:p w:rsidR="001123EF" w:rsidRDefault="002B6CDD" w:rsidP="001123EF">
      <w:pPr>
        <w:pStyle w:val="default"/>
        <w:numPr>
          <w:ilvl w:val="0"/>
          <w:numId w:val="21"/>
        </w:numPr>
        <w:rPr>
          <w:rStyle w:val="Emphasis"/>
          <w:rFonts w:asciiTheme="minorHAnsi" w:hAnsiTheme="minorHAnsi"/>
          <w:i w:val="0"/>
          <w:color w:val="000000"/>
        </w:rPr>
      </w:pPr>
      <w:r>
        <w:rPr>
          <w:rStyle w:val="Emphasis"/>
          <w:rFonts w:asciiTheme="minorHAnsi" w:hAnsiTheme="minorHAnsi"/>
          <w:i w:val="0"/>
          <w:color w:val="000000"/>
        </w:rPr>
        <w:t>Documented c</w:t>
      </w:r>
      <w:r w:rsidR="001123EF">
        <w:rPr>
          <w:rStyle w:val="Emphasis"/>
          <w:rFonts w:asciiTheme="minorHAnsi" w:hAnsiTheme="minorHAnsi"/>
          <w:i w:val="0"/>
          <w:color w:val="000000"/>
        </w:rPr>
        <w:t xml:space="preserve">ompetencies and skills </w:t>
      </w:r>
      <w:r>
        <w:rPr>
          <w:rStyle w:val="Emphasis"/>
          <w:rFonts w:asciiTheme="minorHAnsi" w:hAnsiTheme="minorHAnsi"/>
          <w:i w:val="0"/>
          <w:color w:val="000000"/>
        </w:rPr>
        <w:t>the students will develop</w:t>
      </w:r>
      <w:r w:rsidR="001123EF">
        <w:rPr>
          <w:rStyle w:val="Emphasis"/>
          <w:rFonts w:asciiTheme="minorHAnsi" w:hAnsiTheme="minorHAnsi"/>
          <w:i w:val="0"/>
          <w:color w:val="000000"/>
        </w:rPr>
        <w:t xml:space="preserve"> at that site a</w:t>
      </w:r>
      <w:r>
        <w:rPr>
          <w:rStyle w:val="Emphasis"/>
          <w:rFonts w:asciiTheme="minorHAnsi" w:hAnsiTheme="minorHAnsi"/>
          <w:i w:val="0"/>
          <w:color w:val="000000"/>
        </w:rPr>
        <w:t>nd with the available rotations</w:t>
      </w:r>
    </w:p>
    <w:p w:rsidR="001123EF" w:rsidRDefault="001123EF" w:rsidP="001123EF">
      <w:pPr>
        <w:pStyle w:val="default"/>
        <w:numPr>
          <w:ilvl w:val="0"/>
          <w:numId w:val="21"/>
        </w:numPr>
        <w:rPr>
          <w:rStyle w:val="Emphasis"/>
          <w:rFonts w:asciiTheme="minorHAnsi" w:hAnsiTheme="minorHAnsi"/>
          <w:i w:val="0"/>
          <w:color w:val="000000"/>
        </w:rPr>
      </w:pPr>
      <w:r>
        <w:rPr>
          <w:rStyle w:val="Emphasis"/>
          <w:rFonts w:asciiTheme="minorHAnsi" w:hAnsiTheme="minorHAnsi"/>
          <w:i w:val="0"/>
          <w:color w:val="000000"/>
        </w:rPr>
        <w:t>Opportunities for on-going preceptor skill development</w:t>
      </w:r>
    </w:p>
    <w:p w:rsidR="00DC6322" w:rsidRDefault="00DC6322" w:rsidP="00DC6322">
      <w:pPr>
        <w:pStyle w:val="default"/>
        <w:rPr>
          <w:rStyle w:val="Emphasis"/>
          <w:rFonts w:asciiTheme="minorHAnsi" w:hAnsiTheme="minorHAnsi"/>
          <w:i w:val="0"/>
          <w:color w:val="000000"/>
        </w:rPr>
      </w:pPr>
    </w:p>
    <w:p w:rsidR="002B6CDD" w:rsidRDefault="00DC6322" w:rsidP="002B6CDD">
      <w:pPr>
        <w:pStyle w:val="default"/>
        <w:rPr>
          <w:rStyle w:val="Emphasis"/>
          <w:rFonts w:asciiTheme="minorHAnsi" w:hAnsiTheme="minorHAnsi"/>
          <w:i w:val="0"/>
          <w:color w:val="000000"/>
        </w:rPr>
      </w:pPr>
      <w:r>
        <w:rPr>
          <w:rStyle w:val="Emphasis"/>
          <w:rFonts w:asciiTheme="minorHAnsi" w:hAnsiTheme="minorHAnsi"/>
          <w:i w:val="0"/>
          <w:color w:val="000000"/>
        </w:rPr>
        <w:t xml:space="preserve">Once the site is determined to meet </w:t>
      </w:r>
      <w:r w:rsidR="002B6CDD">
        <w:rPr>
          <w:rStyle w:val="Emphasis"/>
          <w:rFonts w:asciiTheme="minorHAnsi" w:hAnsiTheme="minorHAnsi"/>
          <w:i w:val="0"/>
          <w:color w:val="000000"/>
        </w:rPr>
        <w:t xml:space="preserve">both the </w:t>
      </w:r>
      <w:r>
        <w:rPr>
          <w:rStyle w:val="Emphasis"/>
          <w:rFonts w:asciiTheme="minorHAnsi" w:hAnsiTheme="minorHAnsi"/>
          <w:i w:val="0"/>
          <w:color w:val="000000"/>
        </w:rPr>
        <w:t>program directors</w:t>
      </w:r>
      <w:r w:rsidR="002B6CDD">
        <w:rPr>
          <w:rStyle w:val="Emphasis"/>
          <w:rFonts w:asciiTheme="minorHAnsi" w:hAnsiTheme="minorHAnsi"/>
          <w:i w:val="0"/>
          <w:color w:val="000000"/>
        </w:rPr>
        <w:t xml:space="preserve"> and site’s</w:t>
      </w:r>
      <w:r>
        <w:rPr>
          <w:rStyle w:val="Emphasis"/>
          <w:rFonts w:asciiTheme="minorHAnsi" w:hAnsiTheme="minorHAnsi"/>
          <w:i w:val="0"/>
          <w:color w:val="000000"/>
        </w:rPr>
        <w:t xml:space="preserve"> need</w:t>
      </w:r>
      <w:r w:rsidR="002B6CDD">
        <w:rPr>
          <w:rStyle w:val="Emphasis"/>
          <w:rFonts w:asciiTheme="minorHAnsi" w:hAnsiTheme="minorHAnsi"/>
          <w:i w:val="0"/>
          <w:color w:val="000000"/>
        </w:rPr>
        <w:t>s</w:t>
      </w:r>
      <w:r w:rsidR="009E4204">
        <w:rPr>
          <w:rStyle w:val="Emphasis"/>
          <w:rFonts w:asciiTheme="minorHAnsi" w:hAnsiTheme="minorHAnsi"/>
          <w:i w:val="0"/>
          <w:color w:val="000000"/>
        </w:rPr>
        <w:t>,</w:t>
      </w:r>
      <w:r>
        <w:rPr>
          <w:rStyle w:val="Emphasis"/>
          <w:rFonts w:asciiTheme="minorHAnsi" w:hAnsiTheme="minorHAnsi"/>
          <w:i w:val="0"/>
          <w:color w:val="000000"/>
        </w:rPr>
        <w:t xml:space="preserve"> </w:t>
      </w:r>
      <w:r w:rsidR="002B6CDD">
        <w:rPr>
          <w:rStyle w:val="Emphasis"/>
          <w:rFonts w:asciiTheme="minorHAnsi" w:hAnsiTheme="minorHAnsi"/>
          <w:i w:val="0"/>
          <w:color w:val="000000"/>
        </w:rPr>
        <w:t xml:space="preserve">discuss how students will be assigned and the faculty appointment process; </w:t>
      </w:r>
      <w:r w:rsidR="00F3615E">
        <w:rPr>
          <w:rStyle w:val="Emphasis"/>
          <w:rFonts w:asciiTheme="minorHAnsi" w:hAnsiTheme="minorHAnsi"/>
          <w:i w:val="0"/>
          <w:color w:val="000000"/>
        </w:rPr>
        <w:t>and then</w:t>
      </w:r>
      <w:r w:rsidR="002B6CDD">
        <w:rPr>
          <w:rStyle w:val="Emphasis"/>
          <w:rFonts w:asciiTheme="minorHAnsi" w:hAnsiTheme="minorHAnsi"/>
          <w:i w:val="0"/>
          <w:color w:val="000000"/>
        </w:rPr>
        <w:t xml:space="preserve"> provide a copy of – “</w:t>
      </w:r>
      <w:r w:rsidR="002B6CDD" w:rsidRPr="00CC1D48">
        <w:rPr>
          <w:rStyle w:val="Emphasis"/>
          <w:rFonts w:asciiTheme="minorHAnsi" w:hAnsiTheme="minorHAnsi"/>
          <w:color w:val="000000"/>
        </w:rPr>
        <w:t>The Effective Clinical Preceptor</w:t>
      </w:r>
      <w:r w:rsidR="002B6CDD">
        <w:rPr>
          <w:rStyle w:val="Emphasis"/>
          <w:rFonts w:asciiTheme="minorHAnsi" w:hAnsiTheme="minorHAnsi"/>
          <w:color w:val="000000"/>
        </w:rPr>
        <w:t xml:space="preserve"> and appropriate syllabus</w:t>
      </w:r>
      <w:r w:rsidR="002B6CDD">
        <w:rPr>
          <w:rStyle w:val="Emphasis"/>
          <w:rFonts w:asciiTheme="minorHAnsi" w:hAnsiTheme="minorHAnsi"/>
          <w:i w:val="0"/>
          <w:color w:val="000000"/>
        </w:rPr>
        <w:t>.”</w:t>
      </w:r>
    </w:p>
    <w:p w:rsidR="00DC6322" w:rsidRDefault="00DC6322" w:rsidP="00DC6322">
      <w:pPr>
        <w:pStyle w:val="default"/>
        <w:rPr>
          <w:rStyle w:val="Emphasis"/>
          <w:rFonts w:asciiTheme="minorHAnsi" w:hAnsiTheme="minorHAnsi"/>
          <w:i w:val="0"/>
          <w:color w:val="000000"/>
        </w:rPr>
      </w:pPr>
    </w:p>
    <w:p w:rsidR="00DC6322" w:rsidRPr="009244AE" w:rsidRDefault="00DC6322" w:rsidP="00DC6322">
      <w:pPr>
        <w:pStyle w:val="default"/>
        <w:rPr>
          <w:rStyle w:val="Emphasis"/>
          <w:rFonts w:asciiTheme="minorHAnsi" w:hAnsiTheme="minorHAnsi"/>
          <w:i w:val="0"/>
          <w:color w:val="000000"/>
        </w:rPr>
      </w:pPr>
      <w:r>
        <w:rPr>
          <w:rStyle w:val="Emphasis"/>
          <w:rFonts w:asciiTheme="minorHAnsi" w:hAnsiTheme="minorHAnsi"/>
          <w:i w:val="0"/>
          <w:color w:val="000000"/>
        </w:rPr>
        <w:t>Collect all of the required information to initiate the Training Affiliation Agreement (TAA) and provide the information to the Experiential Education Coordinator (</w:t>
      </w:r>
      <w:r w:rsidR="009E4204">
        <w:rPr>
          <w:rStyle w:val="Emphasis"/>
          <w:rFonts w:asciiTheme="minorHAnsi" w:hAnsiTheme="minorHAnsi"/>
          <w:i w:val="0"/>
          <w:color w:val="000000"/>
        </w:rPr>
        <w:t>currently James Ferguson</w:t>
      </w:r>
      <w:r>
        <w:rPr>
          <w:rStyle w:val="Emphasis"/>
          <w:rFonts w:asciiTheme="minorHAnsi" w:hAnsiTheme="minorHAnsi"/>
          <w:i w:val="0"/>
          <w:color w:val="000000"/>
        </w:rPr>
        <w:t xml:space="preserve">).  </w:t>
      </w:r>
    </w:p>
    <w:p w:rsidR="009E4204" w:rsidRDefault="009E4204" w:rsidP="009E4204">
      <w:pPr>
        <w:pStyle w:val="Heading2"/>
      </w:pPr>
      <w:bookmarkStart w:id="6" w:name="_Toc405389399"/>
      <w:r>
        <w:rPr>
          <w:caps w:val="0"/>
        </w:rPr>
        <w:t>Best Practice for addin</w:t>
      </w:r>
      <w:r w:rsidR="00F3615E">
        <w:rPr>
          <w:caps w:val="0"/>
        </w:rPr>
        <w:t>g a rotation to an existing</w:t>
      </w:r>
      <w:r>
        <w:rPr>
          <w:caps w:val="0"/>
        </w:rPr>
        <w:t xml:space="preserve"> </w:t>
      </w:r>
      <w:r w:rsidR="00F3615E">
        <w:rPr>
          <w:caps w:val="0"/>
        </w:rPr>
        <w:t xml:space="preserve">experiential education </w:t>
      </w:r>
      <w:r>
        <w:rPr>
          <w:caps w:val="0"/>
        </w:rPr>
        <w:t>site</w:t>
      </w:r>
      <w:bookmarkEnd w:id="6"/>
      <w:r>
        <w:rPr>
          <w:caps w:val="0"/>
        </w:rPr>
        <w:t xml:space="preserve"> </w:t>
      </w:r>
      <w:r w:rsidRPr="007F0043">
        <w:t xml:space="preserve"> </w:t>
      </w:r>
    </w:p>
    <w:p w:rsidR="00DC6322" w:rsidRDefault="00DC6322" w:rsidP="00DC6322">
      <w:pPr>
        <w:pStyle w:val="default"/>
        <w:rPr>
          <w:rStyle w:val="Emphasis"/>
          <w:rFonts w:asciiTheme="minorHAnsi" w:hAnsiTheme="minorHAnsi"/>
          <w:i w:val="0"/>
          <w:color w:val="000000"/>
        </w:rPr>
      </w:pPr>
    </w:p>
    <w:p w:rsidR="002B6CDD" w:rsidRDefault="002B6CDD" w:rsidP="002B6CDD">
      <w:pPr>
        <w:pStyle w:val="default"/>
        <w:rPr>
          <w:rStyle w:val="Emphasis"/>
          <w:rFonts w:asciiTheme="minorHAnsi" w:hAnsiTheme="minorHAnsi"/>
          <w:i w:val="0"/>
          <w:color w:val="000000"/>
        </w:rPr>
      </w:pPr>
      <w:r>
        <w:rPr>
          <w:rStyle w:val="Emphasis"/>
          <w:rFonts w:asciiTheme="minorHAnsi" w:hAnsiTheme="minorHAnsi"/>
          <w:i w:val="0"/>
          <w:color w:val="000000"/>
        </w:rPr>
        <w:t>If a rotation is added to an existing site, contact the new preceptor to discuss competencies developed</w:t>
      </w:r>
      <w:r w:rsidR="000F0535">
        <w:rPr>
          <w:rStyle w:val="Emphasis"/>
          <w:rFonts w:asciiTheme="minorHAnsi" w:hAnsiTheme="minorHAnsi"/>
          <w:i w:val="0"/>
          <w:color w:val="000000"/>
        </w:rPr>
        <w:t xml:space="preserve">, </w:t>
      </w:r>
      <w:r>
        <w:rPr>
          <w:rStyle w:val="Emphasis"/>
          <w:rFonts w:asciiTheme="minorHAnsi" w:hAnsiTheme="minorHAnsi"/>
          <w:i w:val="0"/>
          <w:color w:val="000000"/>
        </w:rPr>
        <w:t>how students will be assigned</w:t>
      </w:r>
      <w:r w:rsidR="000F0535">
        <w:rPr>
          <w:rStyle w:val="Emphasis"/>
          <w:rFonts w:asciiTheme="minorHAnsi" w:hAnsiTheme="minorHAnsi"/>
          <w:i w:val="0"/>
          <w:color w:val="000000"/>
        </w:rPr>
        <w:t xml:space="preserve">, and the </w:t>
      </w:r>
      <w:r>
        <w:rPr>
          <w:rStyle w:val="Emphasis"/>
          <w:rFonts w:asciiTheme="minorHAnsi" w:hAnsiTheme="minorHAnsi"/>
          <w:i w:val="0"/>
          <w:color w:val="000000"/>
        </w:rPr>
        <w:t>faculty appointment process</w:t>
      </w:r>
      <w:r w:rsidR="000F0535">
        <w:rPr>
          <w:rStyle w:val="Emphasis"/>
          <w:rFonts w:asciiTheme="minorHAnsi" w:hAnsiTheme="minorHAnsi"/>
          <w:i w:val="0"/>
          <w:color w:val="000000"/>
        </w:rPr>
        <w:t>, if needed</w:t>
      </w:r>
      <w:r>
        <w:rPr>
          <w:rStyle w:val="Emphasis"/>
          <w:rFonts w:asciiTheme="minorHAnsi" w:hAnsiTheme="minorHAnsi"/>
          <w:i w:val="0"/>
          <w:color w:val="000000"/>
        </w:rPr>
        <w:t>. A new or amended TAA is not required</w:t>
      </w:r>
      <w:r w:rsidR="00C03DBC">
        <w:rPr>
          <w:rStyle w:val="Emphasis"/>
          <w:rFonts w:asciiTheme="minorHAnsi" w:hAnsiTheme="minorHAnsi"/>
          <w:i w:val="0"/>
          <w:color w:val="000000"/>
        </w:rPr>
        <w:t>.</w:t>
      </w:r>
    </w:p>
    <w:p w:rsidR="00DC6322" w:rsidRPr="009244AE" w:rsidRDefault="00DC6322" w:rsidP="00DC6322">
      <w:pPr>
        <w:pStyle w:val="default"/>
        <w:ind w:left="720" w:hanging="360"/>
        <w:rPr>
          <w:rStyle w:val="Emphasis"/>
          <w:rFonts w:asciiTheme="minorHAnsi" w:hAnsiTheme="minorHAnsi"/>
          <w:i w:val="0"/>
          <w:color w:val="000000"/>
        </w:rPr>
      </w:pPr>
    </w:p>
    <w:p w:rsidR="00DC6322" w:rsidRPr="00DC6322" w:rsidRDefault="00DC6322" w:rsidP="00DC6322">
      <w:pPr>
        <w:rPr>
          <w:b/>
        </w:rPr>
      </w:pPr>
    </w:p>
    <w:p w:rsidR="00DC6322" w:rsidRDefault="00DC6322" w:rsidP="00DC6322"/>
    <w:p w:rsidR="00DC6322" w:rsidRDefault="00DC6322" w:rsidP="00DC6322"/>
    <w:p w:rsidR="00DC6322" w:rsidRPr="00DC6322" w:rsidRDefault="00DC6322" w:rsidP="00DC6322"/>
    <w:p w:rsidR="00DC6322" w:rsidRDefault="00DC6322" w:rsidP="00DC6322"/>
    <w:p w:rsidR="00DC6322" w:rsidRPr="00DC6322" w:rsidRDefault="00DC6322" w:rsidP="00DC6322"/>
    <w:p w:rsidR="000B1416" w:rsidRDefault="000B1416" w:rsidP="000B1416">
      <w:r>
        <w:t xml:space="preserve"> </w:t>
      </w:r>
    </w:p>
    <w:sectPr w:rsidR="000B1416" w:rsidSect="0008036E">
      <w:headerReference w:type="default" r:id="rId11"/>
      <w:footerReference w:type="default" r:id="rId12"/>
      <w:pgSz w:w="12240" w:h="15840"/>
      <w:pgMar w:top="432" w:right="432" w:bottom="432" w:left="43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30" w:rsidRDefault="00A04130" w:rsidP="00BF6757">
      <w:pPr>
        <w:spacing w:after="0" w:line="240" w:lineRule="auto"/>
      </w:pPr>
      <w:r>
        <w:separator/>
      </w:r>
    </w:p>
  </w:endnote>
  <w:endnote w:type="continuationSeparator" w:id="0">
    <w:p w:rsidR="00A04130" w:rsidRDefault="00A04130" w:rsidP="00BF6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50305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D823FA" w:rsidRDefault="000E3F5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823FA">
          <w:instrText xml:space="preserve"> PAGE   \* MERGEFORMAT </w:instrText>
        </w:r>
        <w:r>
          <w:fldChar w:fldCharType="separate"/>
        </w:r>
        <w:r w:rsidR="00C23271">
          <w:rPr>
            <w:noProof/>
          </w:rPr>
          <w:t>1</w:t>
        </w:r>
        <w:r>
          <w:rPr>
            <w:noProof/>
          </w:rPr>
          <w:fldChar w:fldCharType="end"/>
        </w:r>
        <w:r w:rsidR="00D823FA">
          <w:t xml:space="preserve"> | </w:t>
        </w:r>
        <w:r w:rsidR="00D823FA">
          <w:rPr>
            <w:color w:val="808080" w:themeColor="background1" w:themeShade="80"/>
            <w:spacing w:val="60"/>
          </w:rPr>
          <w:t>Page</w:t>
        </w:r>
      </w:p>
    </w:sdtContent>
  </w:sdt>
  <w:p w:rsidR="00BF6757" w:rsidRDefault="00BF6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30" w:rsidRDefault="00A04130" w:rsidP="00BF6757">
      <w:pPr>
        <w:spacing w:after="0" w:line="240" w:lineRule="auto"/>
      </w:pPr>
      <w:r>
        <w:separator/>
      </w:r>
    </w:p>
  </w:footnote>
  <w:footnote w:type="continuationSeparator" w:id="0">
    <w:p w:rsidR="00A04130" w:rsidRDefault="00A04130" w:rsidP="00BF6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72" w:rsidRDefault="00C26772" w:rsidP="00C26772">
    <w:pPr>
      <w:spacing w:after="0" w:line="240" w:lineRule="auto"/>
      <w:jc w:val="center"/>
      <w:rPr>
        <w:rFonts w:ascii="Cambria" w:eastAsia="MS Gothic" w:hAnsi="Cambria"/>
        <w:b/>
        <w:bCs/>
        <w:color w:val="365F91"/>
        <w:sz w:val="28"/>
        <w:szCs w:val="28"/>
        <w:lang w:eastAsia="ja-JP"/>
      </w:rPr>
    </w:pPr>
    <w:r w:rsidRPr="00C26772">
      <w:rPr>
        <w:rFonts w:ascii="Cambria" w:eastAsia="MS Gothic" w:hAnsi="Cambria"/>
        <w:b/>
        <w:bCs/>
        <w:color w:val="365F91"/>
        <w:sz w:val="28"/>
        <w:szCs w:val="28"/>
        <w:lang w:eastAsia="ja-JP"/>
      </w:rPr>
      <w:t xml:space="preserve"> </w:t>
    </w:r>
    <w:r w:rsidR="00F3615E" w:rsidRPr="00F3615E">
      <w:rPr>
        <w:sz w:val="40"/>
        <w:szCs w:val="40"/>
      </w:rPr>
      <w:t>Establishing a New Pharmacy Practice Site for Experiential Education</w:t>
    </w:r>
  </w:p>
  <w:p w:rsidR="00FF3419" w:rsidRDefault="00FF34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138"/>
    <w:multiLevelType w:val="hybridMultilevel"/>
    <w:tmpl w:val="F8A8D554"/>
    <w:lvl w:ilvl="0" w:tplc="D99EFB36">
      <w:numFmt w:val="bullet"/>
      <w:lvlText w:val="·"/>
      <w:lvlJc w:val="left"/>
      <w:pPr>
        <w:ind w:left="720" w:hanging="360"/>
      </w:pPr>
      <w:rPr>
        <w:rFonts w:ascii="Calibri" w:eastAsia="Symbol" w:hAnsi="Calibri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7288C"/>
    <w:multiLevelType w:val="hybridMultilevel"/>
    <w:tmpl w:val="3AB69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71F"/>
    <w:multiLevelType w:val="hybridMultilevel"/>
    <w:tmpl w:val="09A2CB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4494D36"/>
    <w:multiLevelType w:val="hybridMultilevel"/>
    <w:tmpl w:val="8EC45C06"/>
    <w:lvl w:ilvl="0" w:tplc="F28690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B358C9"/>
    <w:multiLevelType w:val="hybridMultilevel"/>
    <w:tmpl w:val="006A5480"/>
    <w:lvl w:ilvl="0" w:tplc="886E80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6C4554"/>
    <w:multiLevelType w:val="hybridMultilevel"/>
    <w:tmpl w:val="D0A83E7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>
    <w:nsid w:val="33446DDF"/>
    <w:multiLevelType w:val="hybridMultilevel"/>
    <w:tmpl w:val="82FA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B5498A"/>
    <w:multiLevelType w:val="hybridMultilevel"/>
    <w:tmpl w:val="CF9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7389A"/>
    <w:multiLevelType w:val="hybridMultilevel"/>
    <w:tmpl w:val="C74AEC46"/>
    <w:lvl w:ilvl="0" w:tplc="D9506890">
      <w:start w:val="1"/>
      <w:numFmt w:val="upperRoman"/>
      <w:lvlText w:val="%1."/>
      <w:lvlJc w:val="left"/>
      <w:pPr>
        <w:ind w:left="432" w:hanging="72"/>
      </w:pPr>
      <w:rPr>
        <w:rFonts w:hint="default"/>
      </w:rPr>
    </w:lvl>
    <w:lvl w:ilvl="1" w:tplc="D208006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A67DD"/>
    <w:multiLevelType w:val="hybridMultilevel"/>
    <w:tmpl w:val="A646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17704"/>
    <w:multiLevelType w:val="hybridMultilevel"/>
    <w:tmpl w:val="43CA31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0046EC9"/>
    <w:multiLevelType w:val="hybridMultilevel"/>
    <w:tmpl w:val="A0148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C0812"/>
    <w:multiLevelType w:val="hybridMultilevel"/>
    <w:tmpl w:val="B1A49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382360"/>
    <w:multiLevelType w:val="hybridMultilevel"/>
    <w:tmpl w:val="A998D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51926"/>
    <w:multiLevelType w:val="hybridMultilevel"/>
    <w:tmpl w:val="7AC8B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0151E"/>
    <w:multiLevelType w:val="hybridMultilevel"/>
    <w:tmpl w:val="A5D453B4"/>
    <w:lvl w:ilvl="0" w:tplc="785A8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A5358"/>
    <w:multiLevelType w:val="hybridMultilevel"/>
    <w:tmpl w:val="479E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5D0A2D"/>
    <w:multiLevelType w:val="hybridMultilevel"/>
    <w:tmpl w:val="1D90A6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B4F687C"/>
    <w:multiLevelType w:val="hybridMultilevel"/>
    <w:tmpl w:val="2F3A4160"/>
    <w:lvl w:ilvl="0" w:tplc="93FA591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96676D"/>
    <w:multiLevelType w:val="hybridMultilevel"/>
    <w:tmpl w:val="2D0C7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251FD"/>
    <w:multiLevelType w:val="hybridMultilevel"/>
    <w:tmpl w:val="3B1AA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C628F9"/>
    <w:multiLevelType w:val="hybridMultilevel"/>
    <w:tmpl w:val="1F705E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4"/>
  </w:num>
  <w:num w:numId="5">
    <w:abstractNumId w:val="2"/>
  </w:num>
  <w:num w:numId="6">
    <w:abstractNumId w:val="10"/>
  </w:num>
  <w:num w:numId="7">
    <w:abstractNumId w:val="7"/>
  </w:num>
  <w:num w:numId="8">
    <w:abstractNumId w:val="18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4"/>
  </w:num>
  <w:num w:numId="14">
    <w:abstractNumId w:val="8"/>
  </w:num>
  <w:num w:numId="15">
    <w:abstractNumId w:val="20"/>
  </w:num>
  <w:num w:numId="16">
    <w:abstractNumId w:val="3"/>
  </w:num>
  <w:num w:numId="17">
    <w:abstractNumId w:val="15"/>
  </w:num>
  <w:num w:numId="18">
    <w:abstractNumId w:val="21"/>
  </w:num>
  <w:num w:numId="19">
    <w:abstractNumId w:val="17"/>
  </w:num>
  <w:num w:numId="20">
    <w:abstractNumId w:val="0"/>
  </w:num>
  <w:num w:numId="21">
    <w:abstractNumId w:val="19"/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ACF"/>
    <w:rsid w:val="0002261A"/>
    <w:rsid w:val="00031F44"/>
    <w:rsid w:val="00053649"/>
    <w:rsid w:val="00061D73"/>
    <w:rsid w:val="00063651"/>
    <w:rsid w:val="0008036E"/>
    <w:rsid w:val="00084282"/>
    <w:rsid w:val="00093E99"/>
    <w:rsid w:val="000B1416"/>
    <w:rsid w:val="000B2CED"/>
    <w:rsid w:val="000E3F5D"/>
    <w:rsid w:val="000E64C9"/>
    <w:rsid w:val="000E6C1A"/>
    <w:rsid w:val="000F0535"/>
    <w:rsid w:val="0010590E"/>
    <w:rsid w:val="001123EF"/>
    <w:rsid w:val="0012670F"/>
    <w:rsid w:val="00152707"/>
    <w:rsid w:val="00177E63"/>
    <w:rsid w:val="00196D38"/>
    <w:rsid w:val="001A39C5"/>
    <w:rsid w:val="001B1E11"/>
    <w:rsid w:val="001D0AFC"/>
    <w:rsid w:val="00203305"/>
    <w:rsid w:val="002343F2"/>
    <w:rsid w:val="00234DFD"/>
    <w:rsid w:val="002361FD"/>
    <w:rsid w:val="00253F26"/>
    <w:rsid w:val="002677E8"/>
    <w:rsid w:val="002809C8"/>
    <w:rsid w:val="00282DF5"/>
    <w:rsid w:val="00287279"/>
    <w:rsid w:val="002A083C"/>
    <w:rsid w:val="002B5869"/>
    <w:rsid w:val="002B6CDD"/>
    <w:rsid w:val="002C2693"/>
    <w:rsid w:val="002D3400"/>
    <w:rsid w:val="0030622A"/>
    <w:rsid w:val="00347821"/>
    <w:rsid w:val="00383B53"/>
    <w:rsid w:val="00386F1F"/>
    <w:rsid w:val="003872EC"/>
    <w:rsid w:val="00396A6D"/>
    <w:rsid w:val="003A3A5F"/>
    <w:rsid w:val="003B61A4"/>
    <w:rsid w:val="003B726B"/>
    <w:rsid w:val="003C14C0"/>
    <w:rsid w:val="003D1627"/>
    <w:rsid w:val="003E0602"/>
    <w:rsid w:val="003F00BB"/>
    <w:rsid w:val="00406F11"/>
    <w:rsid w:val="004208D4"/>
    <w:rsid w:val="00421EAE"/>
    <w:rsid w:val="0043407C"/>
    <w:rsid w:val="004737A8"/>
    <w:rsid w:val="0047733C"/>
    <w:rsid w:val="00480CC5"/>
    <w:rsid w:val="00482AB1"/>
    <w:rsid w:val="004A216B"/>
    <w:rsid w:val="004B3667"/>
    <w:rsid w:val="004C59D3"/>
    <w:rsid w:val="004D60FD"/>
    <w:rsid w:val="004E257C"/>
    <w:rsid w:val="005214B7"/>
    <w:rsid w:val="005279D0"/>
    <w:rsid w:val="00543429"/>
    <w:rsid w:val="0054446B"/>
    <w:rsid w:val="00564121"/>
    <w:rsid w:val="00565F34"/>
    <w:rsid w:val="005761E6"/>
    <w:rsid w:val="00582D17"/>
    <w:rsid w:val="0058414D"/>
    <w:rsid w:val="005D0358"/>
    <w:rsid w:val="005F302A"/>
    <w:rsid w:val="00610153"/>
    <w:rsid w:val="00617E74"/>
    <w:rsid w:val="00620741"/>
    <w:rsid w:val="00647AC2"/>
    <w:rsid w:val="00653795"/>
    <w:rsid w:val="0066646E"/>
    <w:rsid w:val="006669E0"/>
    <w:rsid w:val="006727BD"/>
    <w:rsid w:val="00693AAF"/>
    <w:rsid w:val="006A6114"/>
    <w:rsid w:val="006E0EE2"/>
    <w:rsid w:val="00703A87"/>
    <w:rsid w:val="0070510F"/>
    <w:rsid w:val="007227B2"/>
    <w:rsid w:val="007407B0"/>
    <w:rsid w:val="00744002"/>
    <w:rsid w:val="00763DEF"/>
    <w:rsid w:val="00772CA1"/>
    <w:rsid w:val="0079453C"/>
    <w:rsid w:val="007A08C4"/>
    <w:rsid w:val="007E43D3"/>
    <w:rsid w:val="007F0043"/>
    <w:rsid w:val="0080466D"/>
    <w:rsid w:val="00805ACF"/>
    <w:rsid w:val="00823664"/>
    <w:rsid w:val="008259D6"/>
    <w:rsid w:val="00830B1E"/>
    <w:rsid w:val="008341E3"/>
    <w:rsid w:val="00860D3C"/>
    <w:rsid w:val="00895861"/>
    <w:rsid w:val="008C3B72"/>
    <w:rsid w:val="008D3942"/>
    <w:rsid w:val="009244AE"/>
    <w:rsid w:val="009300F3"/>
    <w:rsid w:val="00966EF4"/>
    <w:rsid w:val="009818FB"/>
    <w:rsid w:val="009A033A"/>
    <w:rsid w:val="009B384E"/>
    <w:rsid w:val="009C256E"/>
    <w:rsid w:val="009D022B"/>
    <w:rsid w:val="009E220E"/>
    <w:rsid w:val="009E4204"/>
    <w:rsid w:val="00A01CF7"/>
    <w:rsid w:val="00A04130"/>
    <w:rsid w:val="00A116B5"/>
    <w:rsid w:val="00A42EAF"/>
    <w:rsid w:val="00A45E40"/>
    <w:rsid w:val="00A64671"/>
    <w:rsid w:val="00A7670B"/>
    <w:rsid w:val="00A9168E"/>
    <w:rsid w:val="00A962CC"/>
    <w:rsid w:val="00AA56E7"/>
    <w:rsid w:val="00AB4672"/>
    <w:rsid w:val="00AB7FC3"/>
    <w:rsid w:val="00AC34F9"/>
    <w:rsid w:val="00AE2BAB"/>
    <w:rsid w:val="00AE7558"/>
    <w:rsid w:val="00B0124D"/>
    <w:rsid w:val="00B202B7"/>
    <w:rsid w:val="00B55784"/>
    <w:rsid w:val="00B64D0B"/>
    <w:rsid w:val="00BA3FE1"/>
    <w:rsid w:val="00BF6757"/>
    <w:rsid w:val="00C03DBC"/>
    <w:rsid w:val="00C0739C"/>
    <w:rsid w:val="00C11A90"/>
    <w:rsid w:val="00C23271"/>
    <w:rsid w:val="00C26772"/>
    <w:rsid w:val="00C3210D"/>
    <w:rsid w:val="00C44703"/>
    <w:rsid w:val="00C542DB"/>
    <w:rsid w:val="00C6316B"/>
    <w:rsid w:val="00CC1D48"/>
    <w:rsid w:val="00CD6FED"/>
    <w:rsid w:val="00CE00B6"/>
    <w:rsid w:val="00CE070A"/>
    <w:rsid w:val="00CE6E26"/>
    <w:rsid w:val="00CE7A72"/>
    <w:rsid w:val="00CF43B8"/>
    <w:rsid w:val="00D207C6"/>
    <w:rsid w:val="00D327B3"/>
    <w:rsid w:val="00D332D0"/>
    <w:rsid w:val="00D4250E"/>
    <w:rsid w:val="00D611D5"/>
    <w:rsid w:val="00D76CF2"/>
    <w:rsid w:val="00D823FA"/>
    <w:rsid w:val="00DA5E79"/>
    <w:rsid w:val="00DC6322"/>
    <w:rsid w:val="00DD2AFE"/>
    <w:rsid w:val="00DE32E0"/>
    <w:rsid w:val="00E13ED4"/>
    <w:rsid w:val="00E1612A"/>
    <w:rsid w:val="00E52ADD"/>
    <w:rsid w:val="00E57708"/>
    <w:rsid w:val="00E61E4D"/>
    <w:rsid w:val="00ED7A58"/>
    <w:rsid w:val="00EF2678"/>
    <w:rsid w:val="00EF504E"/>
    <w:rsid w:val="00F07899"/>
    <w:rsid w:val="00F3615E"/>
    <w:rsid w:val="00F43282"/>
    <w:rsid w:val="00F4791A"/>
    <w:rsid w:val="00F64BDD"/>
    <w:rsid w:val="00F902D0"/>
    <w:rsid w:val="00FC26B3"/>
    <w:rsid w:val="00FD4D14"/>
    <w:rsid w:val="00FE3569"/>
    <w:rsid w:val="00FF3419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E6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eastAsiaTheme="minorEastAsia"/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A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0AF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30B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0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F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757"/>
  </w:style>
  <w:style w:type="paragraph" w:styleId="Footer">
    <w:name w:val="footer"/>
    <w:basedOn w:val="Normal"/>
    <w:link w:val="FooterChar"/>
    <w:uiPriority w:val="99"/>
    <w:unhideWhenUsed/>
    <w:rsid w:val="00BF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757"/>
  </w:style>
  <w:style w:type="paragraph" w:styleId="BalloonText">
    <w:name w:val="Balloon Text"/>
    <w:basedOn w:val="Normal"/>
    <w:link w:val="BalloonTextChar"/>
    <w:uiPriority w:val="99"/>
    <w:semiHidden/>
    <w:unhideWhenUsed/>
    <w:rsid w:val="00BF6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7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9300F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300F3"/>
    <w:rPr>
      <w:rFonts w:ascii="Times New Roman" w:eastAsia="Times New Roman" w:hAnsi="Times New Roman" w:cs="Times New Roman"/>
      <w:i/>
      <w:iCs/>
      <w:color w:val="0000F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4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42DB"/>
    <w:pPr>
      <w:outlineLvl w:val="9"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0E6C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1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77E63"/>
    <w:rPr>
      <w:rFonts w:eastAsiaTheme="minorEastAsia"/>
      <w:caps/>
      <w:spacing w:val="15"/>
      <w:shd w:val="clear" w:color="auto" w:fill="DBE5F1" w:themeFill="accent1" w:themeFillTint="33"/>
    </w:rPr>
  </w:style>
  <w:style w:type="paragraph" w:styleId="TOC1">
    <w:name w:val="toc 1"/>
    <w:basedOn w:val="Normal"/>
    <w:next w:val="Normal"/>
    <w:autoRedefine/>
    <w:uiPriority w:val="39"/>
    <w:unhideWhenUsed/>
    <w:rsid w:val="00177E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7E63"/>
    <w:pPr>
      <w:spacing w:after="100"/>
      <w:ind w:left="220"/>
    </w:pPr>
  </w:style>
  <w:style w:type="paragraph" w:customStyle="1" w:styleId="default">
    <w:name w:val="default"/>
    <w:basedOn w:val="Normal"/>
    <w:rsid w:val="00480C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0CC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B6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CD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2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7E6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rFonts w:eastAsiaTheme="minorEastAsia"/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AC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0AF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30B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0B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F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757"/>
  </w:style>
  <w:style w:type="paragraph" w:styleId="Footer">
    <w:name w:val="footer"/>
    <w:basedOn w:val="Normal"/>
    <w:link w:val="FooterChar"/>
    <w:uiPriority w:val="99"/>
    <w:unhideWhenUsed/>
    <w:rsid w:val="00BF6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757"/>
  </w:style>
  <w:style w:type="paragraph" w:styleId="BalloonText">
    <w:name w:val="Balloon Text"/>
    <w:basedOn w:val="Normal"/>
    <w:link w:val="BalloonTextChar"/>
    <w:uiPriority w:val="99"/>
    <w:semiHidden/>
    <w:unhideWhenUsed/>
    <w:rsid w:val="00BF6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7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9300F3"/>
    <w:pPr>
      <w:spacing w:after="0" w:line="240" w:lineRule="auto"/>
    </w:pPr>
    <w:rPr>
      <w:rFonts w:ascii="Times New Roman" w:eastAsia="Times New Roman" w:hAnsi="Times New Roman" w:cs="Times New Roman"/>
      <w:i/>
      <w:iCs/>
      <w:color w:val="0000FF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300F3"/>
    <w:rPr>
      <w:rFonts w:ascii="Times New Roman" w:eastAsia="Times New Roman" w:hAnsi="Times New Roman" w:cs="Times New Roman"/>
      <w:i/>
      <w:iCs/>
      <w:color w:val="0000F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42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42DB"/>
    <w:pPr>
      <w:outlineLvl w:val="9"/>
    </w:pPr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0E6C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C1A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77E63"/>
    <w:rPr>
      <w:rFonts w:eastAsiaTheme="minorEastAsia"/>
      <w:caps/>
      <w:spacing w:val="15"/>
      <w:shd w:val="clear" w:color="auto" w:fill="DBE5F1" w:themeFill="accent1" w:themeFillTint="33"/>
    </w:rPr>
  </w:style>
  <w:style w:type="paragraph" w:styleId="TOC1">
    <w:name w:val="toc 1"/>
    <w:basedOn w:val="Normal"/>
    <w:next w:val="Normal"/>
    <w:autoRedefine/>
    <w:uiPriority w:val="39"/>
    <w:unhideWhenUsed/>
    <w:rsid w:val="00177E6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7E63"/>
    <w:pPr>
      <w:spacing w:after="100"/>
      <w:ind w:left="220"/>
    </w:pPr>
  </w:style>
  <w:style w:type="paragraph" w:customStyle="1" w:styleId="default">
    <w:name w:val="default"/>
    <w:basedOn w:val="Normal"/>
    <w:rsid w:val="00480CC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0CC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B6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C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iki.library.ucsf.edu/display/ClinPharmAdmin/WOS+Appointment+Proces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harmd.ucsf.edu/curriculu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D4CE-C392-4943-9335-629FC875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ekloepfer</dc:creator>
  <cp:lastModifiedBy>Olinger, Lynn</cp:lastModifiedBy>
  <cp:revision>2</cp:revision>
  <cp:lastPrinted>2014-11-10T21:41:00Z</cp:lastPrinted>
  <dcterms:created xsi:type="dcterms:W3CDTF">2014-12-08T19:19:00Z</dcterms:created>
  <dcterms:modified xsi:type="dcterms:W3CDTF">2014-12-08T19:19:00Z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