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9FC" w:rsidRDefault="003C29FC">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3C29FC" w:rsidRDefault="003C29FC">
      <w:pPr>
        <w:tabs>
          <w:tab w:val="left" w:pos="0"/>
        </w:tabs>
        <w:suppressAutoHyphens/>
        <w:jc w:val="center"/>
        <w:rPr>
          <w:rFonts w:ascii="Times" w:hAnsi="Times"/>
          <w:sz w:val="24"/>
        </w:rPr>
      </w:pPr>
      <w:r>
        <w:rPr>
          <w:rFonts w:ascii="Times" w:hAnsi="Times"/>
          <w:sz w:val="24"/>
        </w:rPr>
        <w:t>Elective, Training in Clinical Research</w:t>
      </w:r>
    </w:p>
    <w:p w:rsidR="003C29FC" w:rsidRDefault="003C29FC">
      <w:pPr>
        <w:tabs>
          <w:tab w:val="left" w:pos="0"/>
        </w:tabs>
        <w:suppressAutoHyphens/>
        <w:jc w:val="center"/>
        <w:rPr>
          <w:rFonts w:ascii="Times" w:hAnsi="Times"/>
          <w:sz w:val="24"/>
        </w:rPr>
      </w:pPr>
      <w:r>
        <w:rPr>
          <w:rFonts w:ascii="Times" w:hAnsi="Times"/>
          <w:sz w:val="24"/>
        </w:rPr>
        <w:t>UCSF Department of Epidemiology and Biostatistics EPI 213</w:t>
      </w:r>
    </w:p>
    <w:p w:rsidR="003C29FC" w:rsidRDefault="00BC1A83">
      <w:pPr>
        <w:tabs>
          <w:tab w:val="left" w:pos="0"/>
        </w:tabs>
        <w:suppressAutoHyphens/>
        <w:jc w:val="center"/>
        <w:rPr>
          <w:rFonts w:ascii="Times" w:hAnsi="Times"/>
          <w:sz w:val="24"/>
        </w:rPr>
      </w:pPr>
      <w:r>
        <w:rPr>
          <w:rFonts w:ascii="Times" w:hAnsi="Times"/>
          <w:sz w:val="24"/>
        </w:rPr>
        <w:t>Jan-Mar 201</w:t>
      </w:r>
      <w:r w:rsidR="007608EC">
        <w:rPr>
          <w:rFonts w:ascii="Times" w:hAnsi="Times"/>
          <w:sz w:val="24"/>
        </w:rPr>
        <w:t>5</w:t>
      </w:r>
    </w:p>
    <w:p w:rsidR="003C29FC" w:rsidRDefault="003C29FC">
      <w:pPr>
        <w:tabs>
          <w:tab w:val="left" w:pos="0"/>
        </w:tabs>
        <w:suppressAutoHyphens/>
        <w:jc w:val="center"/>
      </w:pPr>
    </w:p>
    <w:p w:rsidR="003C29FC" w:rsidRDefault="003C29FC">
      <w:pPr>
        <w:pStyle w:val="BodyText3"/>
        <w:shd w:val="pct10" w:color="auto" w:fill="FFFFFF"/>
        <w:ind w:right="-360"/>
        <w:rPr>
          <w:shd w:val="pct10" w:color="auto" w:fill="FFFFFF"/>
        </w:rPr>
      </w:pPr>
      <w:r>
        <w:rPr>
          <w:shd w:val="pct10" w:color="auto" w:fill="FFFFFF"/>
        </w:rPr>
        <w:t xml:space="preserve">TICR DCEA Lecture </w:t>
      </w:r>
      <w:r w:rsidR="00BC1A83">
        <w:rPr>
          <w:shd w:val="pct10" w:color="auto" w:fill="FFFFFF"/>
        </w:rPr>
        <w:t>4</w:t>
      </w:r>
      <w:r>
        <w:rPr>
          <w:shd w:val="pct10" w:color="auto" w:fill="FFFFFF"/>
        </w:rPr>
        <w:t xml:space="preserve">, </w:t>
      </w:r>
      <w:r w:rsidR="007608EC">
        <w:rPr>
          <w:shd w:val="pct10" w:color="auto" w:fill="FFFFFF"/>
        </w:rPr>
        <w:t>12</w:t>
      </w:r>
      <w:r w:rsidR="00B974FC">
        <w:rPr>
          <w:shd w:val="pct10" w:color="auto" w:fill="FFFFFF"/>
        </w:rPr>
        <w:t xml:space="preserve"> </w:t>
      </w:r>
      <w:r w:rsidR="00BC1A83">
        <w:rPr>
          <w:shd w:val="pct10" w:color="auto" w:fill="FFFFFF"/>
        </w:rPr>
        <w:t>February</w:t>
      </w:r>
      <w:r w:rsidR="00B974FC">
        <w:rPr>
          <w:shd w:val="pct10" w:color="auto" w:fill="FFFFFF"/>
        </w:rPr>
        <w:t xml:space="preserve"> </w:t>
      </w:r>
      <w:r w:rsidR="00BC1A83">
        <w:rPr>
          <w:shd w:val="pct10" w:color="auto" w:fill="FFFFFF"/>
        </w:rPr>
        <w:t>201</w:t>
      </w:r>
      <w:r w:rsidR="007608EC">
        <w:rPr>
          <w:shd w:val="pct10" w:color="auto" w:fill="FFFFFF"/>
        </w:rPr>
        <w:t>5</w:t>
      </w:r>
      <w:bookmarkStart w:id="0" w:name="_GoBack"/>
      <w:bookmarkEnd w:id="0"/>
      <w:r>
        <w:rPr>
          <w:shd w:val="pct10" w:color="auto" w:fill="FFFFFF"/>
        </w:rPr>
        <w:br/>
        <w:t xml:space="preserve">Portraying Disease Progression: Markov </w:t>
      </w:r>
      <w:r w:rsidR="00BC1A83">
        <w:rPr>
          <w:shd w:val="pct10" w:color="auto" w:fill="FFFFFF"/>
        </w:rPr>
        <w:t xml:space="preserve">State </w:t>
      </w:r>
      <w:r>
        <w:rPr>
          <w:shd w:val="pct10" w:color="auto" w:fill="FFFFFF"/>
        </w:rPr>
        <w:t>Modeling</w:t>
      </w:r>
    </w:p>
    <w:p w:rsidR="003C29FC" w:rsidRDefault="003C29FC">
      <w:pPr>
        <w:pStyle w:val="indent1"/>
        <w:tabs>
          <w:tab w:val="left" w:pos="2109"/>
        </w:tabs>
        <w:ind w:left="1260"/>
        <w:rPr>
          <w:rFonts w:ascii="Times New Roman" w:hAnsi="Times New Roman"/>
        </w:rPr>
      </w:pPr>
      <w:r>
        <w:rPr>
          <w:rFonts w:ascii="Times New Roman" w:hAnsi="Times New Roman"/>
        </w:rPr>
        <w:tab/>
      </w:r>
      <w:r>
        <w:rPr>
          <w:rFonts w:ascii="Times New Roman" w:hAnsi="Times New Roman"/>
        </w:rPr>
        <w:tab/>
      </w:r>
    </w:p>
    <w:p w:rsidR="003C29FC" w:rsidRPr="00DC5075" w:rsidRDefault="003C29FC">
      <w:pPr>
        <w:ind w:left="720" w:right="-360" w:hanging="720"/>
        <w:rPr>
          <w:sz w:val="24"/>
          <w:szCs w:val="24"/>
        </w:rPr>
      </w:pPr>
      <w:r w:rsidRPr="00DC5075">
        <w:rPr>
          <w:b/>
          <w:sz w:val="24"/>
          <w:szCs w:val="24"/>
        </w:rPr>
        <w:t>Objectives:</w:t>
      </w:r>
    </w:p>
    <w:p w:rsidR="003C29FC" w:rsidRDefault="003C29FC">
      <w:pPr>
        <w:ind w:left="720" w:right="-360" w:hanging="720"/>
      </w:pPr>
    </w:p>
    <w:p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the definition and uses of a Markov simulation.</w:t>
      </w:r>
    </w:p>
    <w:p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steps in conduc</w:t>
      </w:r>
      <w:r w:rsidR="00B974FC">
        <w:rPr>
          <w:sz w:val="22"/>
          <w:szCs w:val="22"/>
        </w:rPr>
        <w:t>t</w:t>
      </w:r>
      <w:r w:rsidRPr="00DC5075">
        <w:rPr>
          <w:sz w:val="22"/>
          <w:szCs w:val="22"/>
        </w:rPr>
        <w:t>ing a Markov simulation.</w:t>
      </w:r>
    </w:p>
    <w:p w:rsidR="003C29FC" w:rsidRDefault="003C29FC">
      <w:pPr>
        <w:tabs>
          <w:tab w:val="left" w:pos="2537"/>
        </w:tabs>
        <w:ind w:right="-360"/>
      </w:pPr>
      <w:r>
        <w:tab/>
      </w:r>
    </w:p>
    <w:p w:rsidR="003C29FC" w:rsidRPr="00DC5075" w:rsidRDefault="003C29FC">
      <w:pPr>
        <w:tabs>
          <w:tab w:val="left" w:pos="0"/>
        </w:tabs>
        <w:suppressAutoHyphens/>
        <w:rPr>
          <w:b/>
          <w:sz w:val="24"/>
          <w:szCs w:val="24"/>
        </w:rPr>
      </w:pPr>
      <w:r w:rsidRPr="00DC5075">
        <w:rPr>
          <w:b/>
          <w:sz w:val="24"/>
          <w:szCs w:val="24"/>
        </w:rPr>
        <w:t>Readings:</w:t>
      </w:r>
    </w:p>
    <w:p w:rsidR="003C29FC" w:rsidRDefault="003C29FC">
      <w:pPr>
        <w:ind w:right="-1080"/>
      </w:pPr>
    </w:p>
    <w:p w:rsidR="003C29FC" w:rsidRPr="00DC5075" w:rsidRDefault="003C29FC">
      <w:pPr>
        <w:ind w:left="270" w:right="-360" w:hanging="270"/>
        <w:rPr>
          <w:b/>
          <w:bCs/>
          <w:sz w:val="22"/>
          <w:szCs w:val="22"/>
        </w:rPr>
      </w:pPr>
      <w:proofErr w:type="spellStart"/>
      <w:r w:rsidRPr="00DC5075">
        <w:rPr>
          <w:sz w:val="22"/>
          <w:szCs w:val="22"/>
        </w:rPr>
        <w:t>Naimark</w:t>
      </w:r>
      <w:proofErr w:type="spellEnd"/>
      <w:r w:rsidRPr="00DC5075">
        <w:rPr>
          <w:sz w:val="22"/>
          <w:szCs w:val="22"/>
        </w:rPr>
        <w:t xml:space="preserve"> D, </w:t>
      </w:r>
      <w:proofErr w:type="spellStart"/>
      <w:r w:rsidRPr="00DC5075">
        <w:rPr>
          <w:sz w:val="22"/>
          <w:szCs w:val="22"/>
        </w:rPr>
        <w:t>Krahn</w:t>
      </w:r>
      <w:proofErr w:type="spellEnd"/>
      <w:r w:rsidRPr="00DC5075">
        <w:rPr>
          <w:sz w:val="22"/>
          <w:szCs w:val="22"/>
        </w:rPr>
        <w:t xml:space="preserve"> MD, </w:t>
      </w:r>
      <w:proofErr w:type="spellStart"/>
      <w:r w:rsidRPr="00DC5075">
        <w:rPr>
          <w:sz w:val="22"/>
          <w:szCs w:val="22"/>
        </w:rPr>
        <w:t>Naglie</w:t>
      </w:r>
      <w:proofErr w:type="spellEnd"/>
      <w:r w:rsidRPr="00DC5075">
        <w:rPr>
          <w:sz w:val="22"/>
          <w:szCs w:val="22"/>
        </w:rPr>
        <w:t xml:space="preserve"> G, </w:t>
      </w:r>
      <w:proofErr w:type="spellStart"/>
      <w:r w:rsidRPr="00DC5075">
        <w:rPr>
          <w:sz w:val="22"/>
          <w:szCs w:val="22"/>
        </w:rPr>
        <w:t>Redelmeier</w:t>
      </w:r>
      <w:proofErr w:type="spellEnd"/>
      <w:r w:rsidRPr="00DC5075">
        <w:rPr>
          <w:sz w:val="22"/>
          <w:szCs w:val="22"/>
        </w:rPr>
        <w:t xml:space="preserve"> DA, </w:t>
      </w:r>
      <w:proofErr w:type="spellStart"/>
      <w:r w:rsidRPr="00DC5075">
        <w:rPr>
          <w:sz w:val="22"/>
          <w:szCs w:val="22"/>
        </w:rPr>
        <w:t>Detsky</w:t>
      </w:r>
      <w:proofErr w:type="spellEnd"/>
      <w:r w:rsidRPr="00DC5075">
        <w:rPr>
          <w:sz w:val="22"/>
          <w:szCs w:val="22"/>
        </w:rPr>
        <w:t xml:space="preserve"> AS. Primer on Medical Decision Analysis: Part 5 -- Working with Markov processes. Med </w:t>
      </w:r>
      <w:proofErr w:type="spellStart"/>
      <w:r w:rsidRPr="00DC5075">
        <w:rPr>
          <w:sz w:val="22"/>
          <w:szCs w:val="22"/>
        </w:rPr>
        <w:t>Decis</w:t>
      </w:r>
      <w:proofErr w:type="spellEnd"/>
      <w:r w:rsidRPr="00DC5075">
        <w:rPr>
          <w:sz w:val="22"/>
          <w:szCs w:val="22"/>
        </w:rPr>
        <w:t xml:space="preserve"> Making 1997; 17:152-159. </w:t>
      </w:r>
      <w:r w:rsidRPr="00DC5075">
        <w:rPr>
          <w:b/>
          <w:bCs/>
          <w:sz w:val="22"/>
          <w:szCs w:val="22"/>
        </w:rPr>
        <w:t xml:space="preserve">Very well written but spare; for more detail, see </w:t>
      </w:r>
      <w:proofErr w:type="spellStart"/>
      <w:r w:rsidRPr="00DC5075">
        <w:rPr>
          <w:b/>
          <w:bCs/>
          <w:sz w:val="22"/>
          <w:szCs w:val="22"/>
        </w:rPr>
        <w:t>Sonnenberg</w:t>
      </w:r>
      <w:proofErr w:type="spellEnd"/>
      <w:r w:rsidRPr="00DC5075">
        <w:rPr>
          <w:b/>
          <w:bCs/>
          <w:sz w:val="22"/>
          <w:szCs w:val="22"/>
        </w:rPr>
        <w:t xml:space="preserve"> in additional references.</w:t>
      </w:r>
    </w:p>
    <w:p w:rsidR="003C29FC" w:rsidRDefault="003C29FC">
      <w:pPr>
        <w:ind w:left="270" w:right="-1080" w:hanging="270"/>
      </w:pPr>
    </w:p>
    <w:p w:rsidR="003C29FC" w:rsidRDefault="003C29FC">
      <w:pPr>
        <w:pStyle w:val="indent1"/>
        <w:spacing w:line="240" w:lineRule="exact"/>
        <w:ind w:left="1260"/>
        <w:rPr>
          <w:rFonts w:ascii="Times New Roman" w:hAnsi="Times New Roman"/>
        </w:rPr>
      </w:pPr>
    </w:p>
    <w:p w:rsidR="003C29FC" w:rsidRPr="00DC5075" w:rsidRDefault="003C29FC">
      <w:pPr>
        <w:tabs>
          <w:tab w:val="left" w:pos="0"/>
        </w:tabs>
        <w:suppressAutoHyphens/>
        <w:rPr>
          <w:bCs/>
          <w:sz w:val="24"/>
          <w:szCs w:val="24"/>
        </w:rPr>
      </w:pPr>
      <w:r w:rsidRPr="00DC5075">
        <w:rPr>
          <w:b/>
          <w:sz w:val="24"/>
          <w:szCs w:val="24"/>
        </w:rPr>
        <w:t>Introduction</w:t>
      </w:r>
    </w:p>
    <w:p w:rsidR="003C29FC" w:rsidRDefault="003C29FC">
      <w:pPr>
        <w:tabs>
          <w:tab w:val="left" w:pos="0"/>
        </w:tabs>
        <w:suppressAutoHyphens/>
        <w:rPr>
          <w:bCs/>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Diseases often progress through stages. These stages, or states, may be quite distinct. They may include an asymptomatic period (e.g., infection or physiologic abnormality); mild signs and symptoms; moderate disease with its attendant discomfort; complications of therapy; and life-threatening clinical compromise. Tracking and trying to prevent shifts from one stage to another is a central element of medical management. Yet until now, we’ve portrayed clinical outcomes in our decision and cost-effectiveness analyses without reference to discrete stages and the risk of progression. Indeed, it is often possible to estimate clinical outcomes and the benefits of intervention using short-term or lifetime probabilities. However, it can be more powerful to portray risks and benefits by representing diseases in their component stages and the probability of movement between stages over time. For this approach, we have a tool: “Markov disease state simulation.”</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In the notes for this topic, we cover three topics:</w:t>
      </w:r>
    </w:p>
    <w:p w:rsidR="003C29FC" w:rsidRPr="00DC5075" w:rsidRDefault="003C29FC">
      <w:pPr>
        <w:tabs>
          <w:tab w:val="left" w:pos="0"/>
        </w:tabs>
        <w:suppressAutoHyphens/>
        <w:rPr>
          <w:bCs/>
          <w:sz w:val="22"/>
          <w:szCs w:val="22"/>
        </w:rPr>
      </w:pPr>
    </w:p>
    <w:p w:rsidR="003C29FC" w:rsidRPr="00DC5075" w:rsidRDefault="003C29FC">
      <w:pPr>
        <w:ind w:left="360" w:right="-720"/>
        <w:rPr>
          <w:sz w:val="22"/>
          <w:szCs w:val="22"/>
        </w:rPr>
      </w:pPr>
      <w:r w:rsidRPr="00DC5075">
        <w:rPr>
          <w:sz w:val="22"/>
          <w:szCs w:val="22"/>
        </w:rPr>
        <w:t>1. What is a Markov simulation?</w:t>
      </w:r>
    </w:p>
    <w:p w:rsidR="003C29FC" w:rsidRPr="00DC5075" w:rsidRDefault="003C29FC">
      <w:pPr>
        <w:ind w:left="360" w:right="-720"/>
        <w:rPr>
          <w:sz w:val="22"/>
          <w:szCs w:val="22"/>
        </w:rPr>
      </w:pPr>
      <w:r w:rsidRPr="00DC5075">
        <w:rPr>
          <w:sz w:val="22"/>
          <w:szCs w:val="22"/>
        </w:rPr>
        <w:t>2. When should I do a Markov simulation?</w:t>
      </w:r>
    </w:p>
    <w:p w:rsidR="003C29FC" w:rsidRPr="00DC5075" w:rsidRDefault="003C29FC">
      <w:pPr>
        <w:tabs>
          <w:tab w:val="left" w:pos="5417"/>
          <w:tab w:val="left" w:pos="6840"/>
        </w:tabs>
        <w:ind w:left="360" w:right="-720"/>
        <w:rPr>
          <w:sz w:val="22"/>
          <w:szCs w:val="22"/>
        </w:rPr>
      </w:pPr>
      <w:r w:rsidRPr="00DC5075">
        <w:rPr>
          <w:sz w:val="22"/>
          <w:szCs w:val="22"/>
        </w:rPr>
        <w:t>3. Steps in a Markov simulation</w:t>
      </w:r>
      <w:r w:rsidRPr="00DC5075">
        <w:rPr>
          <w:sz w:val="22"/>
          <w:szCs w:val="22"/>
        </w:rPr>
        <w:tab/>
      </w:r>
    </w:p>
    <w:p w:rsidR="003C29FC" w:rsidRPr="00DC5075" w:rsidRDefault="003C29FC">
      <w:pPr>
        <w:pStyle w:val="Heading8"/>
        <w:rPr>
          <w:b w:val="0"/>
          <w:smallCaps w:val="0"/>
          <w:sz w:val="22"/>
          <w:szCs w:val="22"/>
        </w:rPr>
      </w:pPr>
    </w:p>
    <w:p w:rsidR="003C29FC" w:rsidRDefault="003C29FC">
      <w:pPr>
        <w:pStyle w:val="indent1"/>
        <w:ind w:left="0" w:firstLine="0"/>
        <w:rPr>
          <w:rFonts w:ascii="Times New Roman" w:hAnsi="Times New Roman"/>
        </w:rPr>
      </w:pPr>
    </w:p>
    <w:p w:rsidR="003C29FC" w:rsidRDefault="003C29FC">
      <w:pPr>
        <w:pStyle w:val="Heading8"/>
      </w:pPr>
      <w:r>
        <w:t>1. What is a Markov simulation?</w:t>
      </w:r>
    </w:p>
    <w:p w:rsidR="003C29FC" w:rsidRDefault="003C29FC"/>
    <w:p w:rsidR="003C29FC" w:rsidRPr="00DC5075" w:rsidRDefault="003C29FC">
      <w:pPr>
        <w:rPr>
          <w:sz w:val="22"/>
          <w:szCs w:val="22"/>
        </w:rPr>
      </w:pPr>
      <w:r w:rsidRPr="00DC5075">
        <w:rPr>
          <w:sz w:val="22"/>
          <w:szCs w:val="22"/>
        </w:rPr>
        <w:t>Markov disease state simulations portray the progression of a disease over time. It does this by dividing the disease into discrete “states,” specifying the risks of progression per unit time between those states, assigning utilities and costs to each state, and conducting a simulation with a defined end-point.</w:t>
      </w:r>
    </w:p>
    <w:p w:rsidR="003C29FC" w:rsidRPr="00DC5075" w:rsidRDefault="003C29FC">
      <w:pPr>
        <w:ind w:firstLine="720"/>
        <w:rPr>
          <w:sz w:val="22"/>
          <w:szCs w:val="22"/>
        </w:rPr>
      </w:pPr>
    </w:p>
    <w:p w:rsidR="003C29FC" w:rsidRPr="00DC5075" w:rsidRDefault="003C29FC">
      <w:pPr>
        <w:rPr>
          <w:sz w:val="22"/>
          <w:szCs w:val="22"/>
        </w:rPr>
      </w:pPr>
      <w:r w:rsidRPr="00DC5075">
        <w:rPr>
          <w:sz w:val="22"/>
          <w:szCs w:val="22"/>
        </w:rPr>
        <w:t xml:space="preserve">The </w:t>
      </w:r>
      <w:r w:rsidRPr="00DC5075">
        <w:rPr>
          <w:i/>
          <w:iCs/>
          <w:sz w:val="22"/>
          <w:szCs w:val="22"/>
        </w:rPr>
        <w:t>states</w:t>
      </w:r>
      <w:r w:rsidRPr="00DC5075">
        <w:rPr>
          <w:sz w:val="22"/>
          <w:szCs w:val="22"/>
        </w:rPr>
        <w:t xml:space="preserve"> may represent different levels of disease severity, or qualitatively different directions the disease can take. For example, a Markov of renal disease in diabetes might focus on severity of renal compromise (e.g., normal, </w:t>
      </w:r>
      <w:proofErr w:type="spellStart"/>
      <w:r w:rsidRPr="00DC5075">
        <w:rPr>
          <w:sz w:val="22"/>
          <w:szCs w:val="22"/>
        </w:rPr>
        <w:t>microalbuminuria</w:t>
      </w:r>
      <w:proofErr w:type="spellEnd"/>
      <w:r w:rsidRPr="00DC5075">
        <w:rPr>
          <w:sz w:val="22"/>
          <w:szCs w:val="22"/>
        </w:rPr>
        <w:t xml:space="preserve">, </w:t>
      </w:r>
      <w:proofErr w:type="spellStart"/>
      <w:r w:rsidRPr="00DC5075">
        <w:rPr>
          <w:sz w:val="22"/>
          <w:szCs w:val="22"/>
        </w:rPr>
        <w:t>macroalbuminuria</w:t>
      </w:r>
      <w:proofErr w:type="spellEnd"/>
      <w:r w:rsidRPr="00DC5075">
        <w:rPr>
          <w:sz w:val="22"/>
          <w:szCs w:val="22"/>
        </w:rPr>
        <w:t xml:space="preserve">, and end-stage renal </w:t>
      </w:r>
      <w:r w:rsidRPr="00DC5075">
        <w:rPr>
          <w:sz w:val="22"/>
          <w:szCs w:val="22"/>
        </w:rPr>
        <w:lastRenderedPageBreak/>
        <w:t xml:space="preserve">disease). The giant cell arteritis example in the </w:t>
      </w:r>
      <w:proofErr w:type="spellStart"/>
      <w:r w:rsidRPr="00DC5075">
        <w:rPr>
          <w:sz w:val="22"/>
          <w:szCs w:val="22"/>
        </w:rPr>
        <w:t>Naimark</w:t>
      </w:r>
      <w:proofErr w:type="spellEnd"/>
      <w:r w:rsidRPr="00DC5075">
        <w:rPr>
          <w:sz w:val="22"/>
          <w:szCs w:val="22"/>
        </w:rPr>
        <w:t xml:space="preserve"> article has parallel tracks (i.e., GCA and steroid complications) rather than a single path of increasingly severe states. </w:t>
      </w:r>
    </w:p>
    <w:p w:rsidR="003C29FC" w:rsidRDefault="003C29FC"/>
    <w:p w:rsidR="003C29FC" w:rsidRPr="00DC5075" w:rsidRDefault="003C29FC">
      <w:pPr>
        <w:ind w:left="720"/>
        <w:rPr>
          <w:i/>
          <w:sz w:val="22"/>
          <w:szCs w:val="22"/>
        </w:rPr>
      </w:pPr>
      <w:r w:rsidRPr="00DC5075">
        <w:rPr>
          <w:i/>
          <w:sz w:val="22"/>
          <w:szCs w:val="22"/>
        </w:rPr>
        <w:t>Figure 1</w:t>
      </w:r>
    </w:p>
    <w:p w:rsidR="003C29FC" w:rsidRDefault="003C29FC">
      <w:pPr>
        <w:ind w:left="720"/>
      </w:pPr>
      <w:r>
        <w:object w:dxaOrig="5160" w:dyaOrig="4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9pt;height:215.1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MSDraw.Drawing.8.2" ShapeID="_x0000_i1025" DrawAspect="Content" ObjectID="_1357021286" r:id="rId9"/>
        </w:object>
      </w:r>
    </w:p>
    <w:p w:rsidR="003C29FC" w:rsidRDefault="003C29FC"/>
    <w:p w:rsidR="003C29FC" w:rsidRDefault="003C29FC"/>
    <w:p w:rsidR="003C29FC" w:rsidRPr="00DC5075" w:rsidRDefault="003C29FC">
      <w:pPr>
        <w:rPr>
          <w:sz w:val="22"/>
          <w:szCs w:val="22"/>
        </w:rPr>
      </w:pPr>
      <w:r w:rsidRPr="00DC5075">
        <w:rPr>
          <w:sz w:val="22"/>
          <w:szCs w:val="22"/>
        </w:rPr>
        <w:t xml:space="preserve">The </w:t>
      </w:r>
      <w:r w:rsidRPr="00DC5075">
        <w:rPr>
          <w:i/>
          <w:iCs/>
          <w:sz w:val="22"/>
          <w:szCs w:val="22"/>
        </w:rPr>
        <w:t>risk of progression</w:t>
      </w:r>
      <w:r w:rsidRPr="00DC5075">
        <w:rPr>
          <w:sz w:val="22"/>
          <w:szCs w:val="22"/>
        </w:rPr>
        <w:t xml:space="preserve"> is expressed per unit time (i.e., per simulation cycle) in the “source” state. For example, “For individuals with </w:t>
      </w:r>
      <w:proofErr w:type="spellStart"/>
      <w:r w:rsidRPr="00DC5075">
        <w:rPr>
          <w:sz w:val="22"/>
          <w:szCs w:val="22"/>
        </w:rPr>
        <w:t>microalbuminuria</w:t>
      </w:r>
      <w:proofErr w:type="spellEnd"/>
      <w:r w:rsidRPr="00DC5075">
        <w:rPr>
          <w:sz w:val="22"/>
          <w:szCs w:val="22"/>
        </w:rPr>
        <w:t xml:space="preserve">, there is 5% annual risk of progressing to </w:t>
      </w:r>
      <w:proofErr w:type="spellStart"/>
      <w:r w:rsidRPr="00DC5075">
        <w:rPr>
          <w:sz w:val="22"/>
          <w:szCs w:val="22"/>
        </w:rPr>
        <w:t>macroalbuminuria</w:t>
      </w:r>
      <w:proofErr w:type="spellEnd"/>
      <w:r w:rsidRPr="00DC5075">
        <w:rPr>
          <w:sz w:val="22"/>
          <w:szCs w:val="22"/>
        </w:rPr>
        <w:t xml:space="preserve">.” </w:t>
      </w:r>
    </w:p>
    <w:p w:rsidR="003C29FC" w:rsidRPr="00DC5075" w:rsidRDefault="003C29FC">
      <w:pPr>
        <w:rPr>
          <w:sz w:val="22"/>
          <w:szCs w:val="22"/>
        </w:rPr>
      </w:pPr>
    </w:p>
    <w:p w:rsidR="003C29FC" w:rsidRPr="00DC5075" w:rsidRDefault="003C29FC">
      <w:pPr>
        <w:rPr>
          <w:sz w:val="22"/>
          <w:szCs w:val="22"/>
        </w:rPr>
      </w:pPr>
      <w:r w:rsidRPr="00DC5075">
        <w:rPr>
          <w:i/>
          <w:iCs/>
          <w:sz w:val="22"/>
          <w:szCs w:val="22"/>
        </w:rPr>
        <w:t xml:space="preserve">Effectiveness of interventions </w:t>
      </w:r>
      <w:r w:rsidRPr="00DC5075">
        <w:rPr>
          <w:sz w:val="22"/>
          <w:szCs w:val="22"/>
        </w:rPr>
        <w:t xml:space="preserve">is often represented as a reduction in the risk of progression, e.g., “ACE-inhibitors decrease the risk of progressing from micro- to </w:t>
      </w:r>
      <w:proofErr w:type="spellStart"/>
      <w:r w:rsidRPr="00DC5075">
        <w:rPr>
          <w:sz w:val="22"/>
          <w:szCs w:val="22"/>
        </w:rPr>
        <w:t>macroalbuminuria</w:t>
      </w:r>
      <w:proofErr w:type="spellEnd"/>
      <w:r w:rsidRPr="00DC5075">
        <w:rPr>
          <w:sz w:val="22"/>
          <w:szCs w:val="22"/>
        </w:rPr>
        <w:t xml:space="preserve"> by 70%.”</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Each disease state is assigned a </w:t>
      </w:r>
      <w:r w:rsidRPr="00DC5075">
        <w:rPr>
          <w:i/>
          <w:iCs/>
          <w:sz w:val="22"/>
          <w:szCs w:val="22"/>
        </w:rPr>
        <w:t>utility</w:t>
      </w:r>
      <w:r w:rsidRPr="00DC5075">
        <w:rPr>
          <w:sz w:val="22"/>
          <w:szCs w:val="22"/>
        </w:rPr>
        <w:t xml:space="preserve"> and (in CEA) a </w:t>
      </w:r>
      <w:r w:rsidRPr="00DC5075">
        <w:rPr>
          <w:i/>
          <w:iCs/>
          <w:sz w:val="22"/>
          <w:szCs w:val="22"/>
        </w:rPr>
        <w:t>cost</w:t>
      </w:r>
      <w:r w:rsidRPr="00DC5075">
        <w:rPr>
          <w:sz w:val="22"/>
          <w:szCs w:val="22"/>
        </w:rPr>
        <w:t xml:space="preserve">. Thus, if annual cycles are used, the utility might be the portion of a QALY gained by being in that state for a year. Costs can be of whatever type (direct, total, </w:t>
      </w:r>
      <w:proofErr w:type="spellStart"/>
      <w:r w:rsidRPr="00DC5075">
        <w:rPr>
          <w:sz w:val="22"/>
          <w:szCs w:val="22"/>
        </w:rPr>
        <w:t>etc</w:t>
      </w:r>
      <w:proofErr w:type="spellEnd"/>
      <w:r w:rsidRPr="00DC5075">
        <w:rPr>
          <w:sz w:val="22"/>
          <w:szCs w:val="22"/>
        </w:rPr>
        <w:t>) the analyst specifies. As the Markov simulation proceeds, the program keeps track of the utilities and costs accumulated in each state in each cycle, so that cumulative totals are available at the end.</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Just as in any decision analysis, the consequences of different intervention strategies are captured by using similar tree structures for each arm, but different input values (i.e., Markov state transition probabilities). </w:t>
      </w:r>
    </w:p>
    <w:p w:rsidR="003C29FC" w:rsidRPr="00DC5075" w:rsidRDefault="003C29FC">
      <w:pPr>
        <w:pStyle w:val="Footer"/>
        <w:tabs>
          <w:tab w:val="clear" w:pos="4320"/>
          <w:tab w:val="clear" w:pos="8640"/>
        </w:tabs>
        <w:rPr>
          <w:sz w:val="22"/>
          <w:szCs w:val="22"/>
        </w:rPr>
      </w:pPr>
    </w:p>
    <w:p w:rsidR="003C29FC" w:rsidRDefault="003C29FC">
      <w:pPr>
        <w:pStyle w:val="Heading8"/>
      </w:pPr>
      <w:r>
        <w:t>2. When should I do a Markov simulation?</w:t>
      </w:r>
    </w:p>
    <w:p w:rsidR="003C29FC" w:rsidRDefault="003C29FC">
      <w:pPr>
        <w:keepNext/>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A Markov simulation sounds complicated, right? It is. It’s more technically demanding than a simple decision tree (though perhaps not as daunting as you currently imagine). You should think carefully about what you gain in doing a Markov before you dive in. Below are reasons to consider a Markov. One, some, or all may apply. The tradeoff is often added fidelity with the Markov versus greater transparency (i.e., visible and understandable workings) of a simple decision tree. To the extent that Markov and simple trees have been compared for the same problems, the results were qualitatively comparable (i.e., the same answer).</w:t>
      </w:r>
    </w:p>
    <w:p w:rsidR="003C29FC" w:rsidRDefault="003C29FC">
      <w:pPr>
        <w:pStyle w:val="indent1"/>
        <w:ind w:left="0" w:firstLine="0"/>
        <w:rPr>
          <w:rFonts w:ascii="Times New Roman" w:hAnsi="Times New Roman"/>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lastRenderedPageBreak/>
        <w:t>Probabilities/utilities change over time.</w:t>
      </w:r>
      <w:r w:rsidRPr="00DC5075">
        <w:rPr>
          <w:rFonts w:ascii="Times New Roman" w:hAnsi="Times New Roman"/>
          <w:sz w:val="22"/>
          <w:szCs w:val="22"/>
        </w:rPr>
        <w:t xml:space="preserve"> Perhaps the most technically-oriented reason to consider a Markov is that the value of one or more probabilities or utilities change over time. For example, the risk of stroke (or its disutility) increases with age. A single lifelong cumulative risk cannot be easily calculated, because unequal risks at different ages affect only the proportion of the population still alive. This is not to mention the challenges of discounting according to when risk occurs.</w:t>
      </w:r>
    </w:p>
    <w:p w:rsidR="003C29FC" w:rsidRPr="00DC5075" w:rsidRDefault="003C29FC" w:rsidP="00177A44">
      <w:pPr>
        <w:pStyle w:val="indent1"/>
        <w:tabs>
          <w:tab w:val="left" w:pos="1937"/>
        </w:tabs>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Data availability.</w:t>
      </w:r>
      <w:r w:rsidRPr="00DC5075">
        <w:rPr>
          <w:rFonts w:ascii="Times New Roman" w:hAnsi="Times New Roman"/>
          <w:sz w:val="22"/>
          <w:szCs w:val="22"/>
        </w:rPr>
        <w:t xml:space="preserve"> Data on the risk of disease progression, and on intervention effectiveness, may be more readily available for short time periods than for full lifetimes. This is usually due to the difficulty of conducting multi-decade empirical studies, and to the use of commonly accepted disease stages in clinical studies. While a CEA analyst might try to project lifetime risks “outside of the model,” it probably makes more sense to build the model to accommodate the best available data. See also the related discussion under “multiple opportunities for intervention,” below.</w:t>
      </w:r>
    </w:p>
    <w:p w:rsidR="003C29FC" w:rsidRPr="00DC5075" w:rsidRDefault="003C29FC" w:rsidP="00177A44">
      <w:pPr>
        <w:pStyle w:val="indent1"/>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Face validity.</w:t>
      </w:r>
      <w:r w:rsidRPr="00DC5075">
        <w:rPr>
          <w:rFonts w:ascii="Times New Roman" w:hAnsi="Times New Roman"/>
          <w:sz w:val="22"/>
          <w:szCs w:val="22"/>
        </w:rPr>
        <w:t xml:space="preserve"> Some diseases are conceptualized by clinicians as having discrete, progressive states. For these diseases, there may be substantial reader credibility gained by Markov simulation. We can’t think of any disease for which “face validity” is the only reason to do a Markov, since if this criterion applies others are likely to as well. However, if a decision to do Markov is on the cusp, face validity may tip the balance.</w:t>
      </w:r>
    </w:p>
    <w:p w:rsidR="003C29FC" w:rsidRPr="00DC5075" w:rsidRDefault="003C29FC" w:rsidP="00177A44">
      <w:pPr>
        <w:pStyle w:val="indent1"/>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 xml:space="preserve">Multiple opportunities for intervention. </w:t>
      </w:r>
      <w:r w:rsidRPr="00DC5075">
        <w:rPr>
          <w:rFonts w:ascii="Times New Roman" w:hAnsi="Times New Roman"/>
          <w:sz w:val="22"/>
          <w:szCs w:val="22"/>
        </w:rPr>
        <w:t>Finally, a Markov likely facilitates portraying the effects of interventions occurring at multiple stages in disease progression. A simple tree can portray disease stages as sequential chance nodes in order to segregate the effects of stage-specific interventions. However, cumulative effectiveness may not be well-captured. For example, if an intervention decreases the annual rate of progression from stage 1 to stage 2 by 50%, that does not mean it decreases lifetime progression from stage 1 to stage 2 by 50%. Instead, cumulative effectiveness is a function of the risk per unit time, the duration of that risk, competing risks, and the duration of intervention effectiveness. (Via a binomial risk equation, for those interested.) Thus, it may be easiest and most accurate to portray the disease as a temporal, probabilistic process of progression between states: a Markov.</w:t>
      </w:r>
    </w:p>
    <w:p w:rsidR="003C29FC" w:rsidRPr="00DC5075" w:rsidRDefault="003C29FC">
      <w:pPr>
        <w:pStyle w:val="indent1"/>
        <w:ind w:left="0" w:firstLine="0"/>
        <w:rPr>
          <w:rFonts w:ascii="Times New Roman" w:hAnsi="Times New Roman"/>
          <w:sz w:val="22"/>
          <w:szCs w:val="22"/>
        </w:rPr>
      </w:pPr>
    </w:p>
    <w:p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The published aneurysm CEA was conducted with a Markov simulation, for two reasons. First, although SAH risk is assumed to be constant over time, in this older population all-cause mortality competes with the risk of SAH, and of course annual mortality increases as the cohort ages. Second, SAH risk data are available for short time periods only, easily translated to annual risk and not as easily to lifetime risk.</w:t>
      </w:r>
    </w:p>
    <w:p w:rsidR="003C29FC" w:rsidRPr="00DC5075" w:rsidRDefault="003C29FC">
      <w:pPr>
        <w:rPr>
          <w:sz w:val="22"/>
          <w:szCs w:val="22"/>
        </w:rPr>
      </w:pPr>
    </w:p>
    <w:p w:rsidR="003C29FC" w:rsidRPr="00DC5075" w:rsidRDefault="003C29FC">
      <w:pPr>
        <w:rPr>
          <w:sz w:val="22"/>
          <w:szCs w:val="22"/>
        </w:rPr>
      </w:pPr>
      <w:r w:rsidRPr="00DC5075">
        <w:rPr>
          <w:sz w:val="22"/>
          <w:szCs w:val="22"/>
        </w:rPr>
        <w:t>Another example we will consider in this lecture is projecting the course of HIV disease and the impact of increased early use of HAART. This analysis was conducted using a Markov approach for three reasons: First, the data on HIV progression and especially on treatment effectiveness focus on disease state transitions. Second, face validity: clinicians, epidemiologists, other modelers, and even interested non-scientists think of HIV disease as occurring in stages: infection, worsening CD4 and viral load, pre-AIDS disease, AIDS, and death. Finally, HAART can be used in different stages of disease – in fact, the effect of HAART timing is precisely the issue being assessed.</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Medical conditions for which Markov simulations add little are those for which the key chance nodes occur in a relatively short time frame (a few years). In other words: where resolution or stabilization of the clinical condition is quick. A few examples are acute curable infections; acute cardiovascular events (MIs, strokes); cancers (if prognosis is captured with a few tree branches); and immunizations for non-epidemic childhood infections (e.g., </w:t>
      </w:r>
      <w:proofErr w:type="spellStart"/>
      <w:r w:rsidRPr="00DC5075">
        <w:rPr>
          <w:sz w:val="22"/>
          <w:szCs w:val="22"/>
        </w:rPr>
        <w:t>hemophilus</w:t>
      </w:r>
      <w:proofErr w:type="spellEnd"/>
      <w:r w:rsidRPr="00DC5075">
        <w:rPr>
          <w:sz w:val="22"/>
          <w:szCs w:val="22"/>
        </w:rPr>
        <w:t xml:space="preserve"> influenza). In these </w:t>
      </w:r>
      <w:r w:rsidRPr="00DC5075">
        <w:rPr>
          <w:sz w:val="22"/>
          <w:szCs w:val="22"/>
        </w:rPr>
        <w:lastRenderedPageBreak/>
        <w:t>conditions, while there are no doubt interesting elements amenable to Markov methods, they are sufficiently peripheral to be noted in the Discussion section (“by not portraying …, we underestimated potential intervention benefits”).</w:t>
      </w:r>
    </w:p>
    <w:p w:rsidR="003C29FC" w:rsidRDefault="003C29FC"/>
    <w:p w:rsidR="003C29FC" w:rsidRDefault="003C29FC"/>
    <w:p w:rsidR="003C29FC" w:rsidRDefault="003C29FC">
      <w:pPr>
        <w:pStyle w:val="Heading8"/>
      </w:pPr>
      <w:r>
        <w:t>3. Steps in a Markov simulation</w:t>
      </w:r>
    </w:p>
    <w:p w:rsidR="003C29FC" w:rsidRDefault="003C29FC">
      <w:pPr>
        <w:pStyle w:val="Heading8"/>
        <w:rPr>
          <w:rFonts w:ascii="Times" w:hAnsi="Times"/>
          <w:b w:val="0"/>
          <w:smallCaps w:val="0"/>
          <w:sz w:val="24"/>
        </w:rPr>
      </w:pPr>
    </w:p>
    <w:p w:rsidR="003C29FC" w:rsidRPr="00DC5075" w:rsidRDefault="003C29FC">
      <w:pPr>
        <w:rPr>
          <w:sz w:val="22"/>
          <w:szCs w:val="22"/>
        </w:rPr>
      </w:pPr>
      <w:r w:rsidRPr="00DC5075">
        <w:rPr>
          <w:sz w:val="22"/>
          <w:szCs w:val="22"/>
        </w:rPr>
        <w:t>Let’s say you decide that a Markov is warranted. There are three major steps: portraying the disease states and transitions; obtaining data for the transition probabilities, and implementing the model (including building it, calibrating it, and quality control).</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Some issues covered well in the </w:t>
      </w:r>
      <w:proofErr w:type="spellStart"/>
      <w:r w:rsidRPr="00DC5075">
        <w:rPr>
          <w:sz w:val="22"/>
          <w:szCs w:val="22"/>
        </w:rPr>
        <w:t>Naimark</w:t>
      </w:r>
      <w:proofErr w:type="spellEnd"/>
      <w:r w:rsidRPr="00DC5075">
        <w:rPr>
          <w:sz w:val="22"/>
          <w:szCs w:val="22"/>
        </w:rPr>
        <w:t xml:space="preserve"> article are not reiterated here. These include use of formulas to calculate cycle-specific utilities and costs (including discounting) and use of reference tables.</w:t>
      </w:r>
    </w:p>
    <w:p w:rsidR="003C29FC" w:rsidRPr="00DC5075" w:rsidRDefault="003C29FC">
      <w:pPr>
        <w:rPr>
          <w:sz w:val="22"/>
          <w:szCs w:val="22"/>
        </w:rPr>
      </w:pPr>
    </w:p>
    <w:p w:rsidR="003C29FC" w:rsidRPr="00177A44" w:rsidRDefault="003C29FC">
      <w:pPr>
        <w:pStyle w:val="indent1"/>
        <w:ind w:left="0" w:firstLine="0"/>
        <w:rPr>
          <w:b/>
          <w:i/>
        </w:rPr>
      </w:pPr>
      <w:r w:rsidRPr="00177A44">
        <w:rPr>
          <w:b/>
          <w:i/>
        </w:rPr>
        <w:t>Portray states and transitions</w:t>
      </w:r>
    </w:p>
    <w:p w:rsidR="003C29FC" w:rsidRPr="00DC5075" w:rsidRDefault="003C29FC">
      <w:pPr>
        <w:pStyle w:val="Heading8"/>
        <w:rPr>
          <w:rFonts w:ascii="Times" w:hAnsi="Times"/>
          <w:b w:val="0"/>
          <w:smallCaps w:val="0"/>
          <w:sz w:val="22"/>
          <w:szCs w:val="22"/>
        </w:rPr>
      </w:pPr>
    </w:p>
    <w:p w:rsidR="003C29FC" w:rsidRPr="00DC5075" w:rsidRDefault="003C29FC">
      <w:pPr>
        <w:rPr>
          <w:sz w:val="22"/>
          <w:szCs w:val="22"/>
        </w:rPr>
      </w:pPr>
      <w:r w:rsidRPr="00DC5075">
        <w:rPr>
          <w:sz w:val="22"/>
          <w:szCs w:val="22"/>
        </w:rPr>
        <w:t xml:space="preserve">This is where the analyst specifies what health states people with the disease can be in over time, and the risk of moving between them. </w:t>
      </w:r>
    </w:p>
    <w:p w:rsidR="003C29FC" w:rsidRPr="00DC5075" w:rsidRDefault="003C29FC">
      <w:pPr>
        <w:rPr>
          <w:sz w:val="22"/>
          <w:szCs w:val="22"/>
        </w:rPr>
      </w:pPr>
    </w:p>
    <w:p w:rsidR="003C29FC" w:rsidRPr="00DC5075" w:rsidRDefault="003C29FC" w:rsidP="00177A44">
      <w:pPr>
        <w:rPr>
          <w:sz w:val="22"/>
          <w:szCs w:val="22"/>
        </w:rPr>
      </w:pPr>
      <w:r w:rsidRPr="00177A44">
        <w:rPr>
          <w:b/>
          <w:i/>
          <w:iCs/>
          <w:sz w:val="22"/>
          <w:szCs w:val="22"/>
        </w:rPr>
        <w:t>Portraying states.</w:t>
      </w:r>
      <w:r w:rsidRPr="00177A44">
        <w:rPr>
          <w:b/>
          <w:sz w:val="22"/>
          <w:szCs w:val="22"/>
        </w:rPr>
        <w:t xml:space="preserve"> </w:t>
      </w:r>
      <w:r w:rsidRPr="00DC5075">
        <w:rPr>
          <w:sz w:val="22"/>
          <w:szCs w:val="22"/>
        </w:rPr>
        <w:t xml:space="preserve">Markov simulations always include all the stages of the disease being modeled. Many Markov simulations also include health states induced by therapy (e.g., side-effects). Thinking about disease states informally is natural and easy. Specifying a formal portrayal can force difficult decisions about what constitutes a separate state. The discreteness of states can be indisputable (e.g., progressing from high blood pressure to stroke), or more arbitrary (e.g., the cut-off between micro- and </w:t>
      </w:r>
      <w:proofErr w:type="spellStart"/>
      <w:r w:rsidRPr="00DC5075">
        <w:rPr>
          <w:sz w:val="22"/>
          <w:szCs w:val="22"/>
        </w:rPr>
        <w:t>macroalbuminuria</w:t>
      </w:r>
      <w:proofErr w:type="spellEnd"/>
      <w:r w:rsidRPr="00DC5075">
        <w:rPr>
          <w:sz w:val="22"/>
          <w:szCs w:val="22"/>
        </w:rPr>
        <w:t xml:space="preserve">). Deciding on “statehood” depends on several considerations: </w:t>
      </w:r>
    </w:p>
    <w:p w:rsidR="003C29FC" w:rsidRPr="00DC5075" w:rsidRDefault="003C29FC">
      <w:pPr>
        <w:rPr>
          <w:sz w:val="22"/>
          <w:szCs w:val="22"/>
        </w:rPr>
      </w:pPr>
    </w:p>
    <w:p w:rsidR="003C29FC" w:rsidRPr="00DC5075" w:rsidRDefault="003C29FC">
      <w:pPr>
        <w:pStyle w:val="ref"/>
        <w:overflowPunct w:val="0"/>
        <w:autoSpaceDE w:val="0"/>
        <w:autoSpaceDN w:val="0"/>
        <w:adjustRightInd w:val="0"/>
        <w:spacing w:after="0" w:line="240" w:lineRule="auto"/>
        <w:textAlignment w:val="baseline"/>
        <w:rPr>
          <w:rFonts w:ascii="Times" w:hAnsi="Times"/>
          <w:sz w:val="22"/>
          <w:szCs w:val="22"/>
        </w:rPr>
      </w:pPr>
      <w:r w:rsidRPr="00DC5075">
        <w:rPr>
          <w:rFonts w:ascii="Times" w:hAnsi="Times"/>
          <w:sz w:val="22"/>
          <w:szCs w:val="22"/>
        </w:rPr>
        <w:t>the discreteness of events that mark state boundaries (e.g., having an MI more clearly defines “post-MI” than getting released from the ICU defines “end of post-MI period”);</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working definitions in the field (if you’re lucky there is just one “staging” system, but at a minimum the chosen states should be widely accepted);</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the presence of data on the prevalence of states and on transitions between them;</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 xml:space="preserve">balance of simplicity and completeness; </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 xml:space="preserve">the interventions you are considering (to model an intervention at a specific stage of illness, you need that stage to be defined as such!). </w:t>
      </w:r>
    </w:p>
    <w:p w:rsidR="003C29FC" w:rsidRPr="00DC5075" w:rsidRDefault="003C29FC">
      <w:pPr>
        <w:jc w:val="center"/>
        <w:rPr>
          <w:sz w:val="22"/>
          <w:szCs w:val="22"/>
        </w:rPr>
      </w:pPr>
    </w:p>
    <w:p w:rsidR="003C29FC" w:rsidRPr="00DC5075" w:rsidRDefault="003C29FC">
      <w:pPr>
        <w:rPr>
          <w:sz w:val="22"/>
          <w:szCs w:val="22"/>
        </w:rPr>
      </w:pPr>
      <w:r w:rsidRPr="00DC5075">
        <w:rPr>
          <w:sz w:val="22"/>
          <w:szCs w:val="22"/>
        </w:rPr>
        <w:t>The initial distribution between states is specified at the start of the Markov, and must add to 100%. You may start with everyone in the least severe state, implying following them from the onset of disease. Or you may start with individuals in a mix of states, implying intervening in a population with prevalent disease.</w:t>
      </w:r>
    </w:p>
    <w:p w:rsidR="003C29FC" w:rsidRPr="00DC5075" w:rsidRDefault="003C29FC">
      <w:pPr>
        <w:ind w:firstLine="720"/>
        <w:rPr>
          <w:sz w:val="22"/>
          <w:szCs w:val="22"/>
        </w:rPr>
      </w:pPr>
    </w:p>
    <w:p w:rsidR="003C29FC" w:rsidRPr="00DC5075" w:rsidRDefault="003C29FC" w:rsidP="00177A44">
      <w:pPr>
        <w:rPr>
          <w:sz w:val="22"/>
          <w:szCs w:val="22"/>
        </w:rPr>
      </w:pPr>
      <w:r w:rsidRPr="00177A44">
        <w:rPr>
          <w:b/>
          <w:i/>
          <w:iCs/>
          <w:sz w:val="22"/>
          <w:szCs w:val="22"/>
        </w:rPr>
        <w:t>Portraying transitions.</w:t>
      </w:r>
      <w:r w:rsidRPr="00177A44">
        <w:rPr>
          <w:b/>
          <w:sz w:val="22"/>
          <w:szCs w:val="22"/>
        </w:rPr>
        <w:t xml:space="preserve"> </w:t>
      </w:r>
      <w:r w:rsidRPr="00DC5075">
        <w:rPr>
          <w:sz w:val="22"/>
          <w:szCs w:val="22"/>
        </w:rPr>
        <w:t xml:space="preserve">Possible transitions between states indicate which shifts are permitted. Single “forward” transitions (i.e., from state 1 to 2, 2 to 3, 3 to death) are always included. Forward jumps (e.g., from 1 to 3, see the HIV example below) are often permitted. Only rarely are backward transitions used (e.g., from 3 to 2). It’s usually more realistic to add another state (e.g., 3 in remission), since a state achieved via a sicker state is not necessarily the same as that </w:t>
      </w:r>
      <w:r w:rsidRPr="00DC5075">
        <w:rPr>
          <w:sz w:val="22"/>
          <w:szCs w:val="22"/>
        </w:rPr>
        <w:lastRenderedPageBreak/>
        <w:t>state achieved via a healthier state (e.g., state 2 reached via state 3 is not the same as state 2 reached via state 1). Death, included in almost all Markov simulations, can be due to the disease or to other causes.</w:t>
      </w:r>
    </w:p>
    <w:p w:rsidR="003C29FC" w:rsidRPr="00DC5075" w:rsidRDefault="003C29FC">
      <w:pPr>
        <w:rPr>
          <w:sz w:val="22"/>
          <w:szCs w:val="22"/>
        </w:rPr>
      </w:pPr>
    </w:p>
    <w:p w:rsidR="003C29FC" w:rsidRPr="00DC5075" w:rsidRDefault="003C29FC">
      <w:pPr>
        <w:rPr>
          <w:sz w:val="22"/>
          <w:szCs w:val="22"/>
        </w:rPr>
      </w:pPr>
      <w:r w:rsidRPr="00DC5075">
        <w:rPr>
          <w:sz w:val="22"/>
          <w:szCs w:val="22"/>
        </w:rPr>
        <w:t>The total of all transition probabilities from a state must equal 1.0 per cycle – each individual must have a 100% probability of ending up in the same or another state!</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Risk can evolve, e.g., the risk of mortality per year can increase as individuals age. </w:t>
      </w:r>
    </w:p>
    <w:p w:rsidR="003C29FC" w:rsidRPr="00DC5075" w:rsidRDefault="003C29FC">
      <w:pPr>
        <w:rPr>
          <w:sz w:val="22"/>
          <w:szCs w:val="22"/>
        </w:rPr>
      </w:pPr>
    </w:p>
    <w:p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In the aneurysm analysis, long-term outcomes were calculated by modeling movement among four states: healthy, mild disability (due to surgery or SAH), moderate-severe disability (also due to surgery or SAH), and death. We combined the two disability states in this syllabus.</w:t>
      </w:r>
    </w:p>
    <w:p w:rsidR="003C29FC" w:rsidRPr="00DC5075" w:rsidRDefault="003C29FC">
      <w:pPr>
        <w:rPr>
          <w:sz w:val="22"/>
          <w:szCs w:val="22"/>
        </w:rPr>
      </w:pPr>
    </w:p>
    <w:p w:rsidR="003C29FC" w:rsidRPr="00DC5075" w:rsidRDefault="003C29FC">
      <w:pPr>
        <w:rPr>
          <w:sz w:val="22"/>
          <w:szCs w:val="22"/>
        </w:rPr>
      </w:pPr>
      <w:r w:rsidRPr="00DC5075">
        <w:rPr>
          <w:sz w:val="22"/>
          <w:szCs w:val="22"/>
        </w:rPr>
        <w:t>There are several graphic techniques to portray Markov states and transitions. The lack of a single standard is because each technique has pluses and minuses. The analyst must select the method(s) that best conveys the structure of that Markov and data on transition probabilities.</w:t>
      </w:r>
    </w:p>
    <w:p w:rsidR="003C29FC" w:rsidRPr="00DC5075" w:rsidRDefault="003C29FC">
      <w:pPr>
        <w:rPr>
          <w:sz w:val="22"/>
          <w:szCs w:val="22"/>
        </w:rPr>
      </w:pPr>
    </w:p>
    <w:p w:rsidR="003C29FC" w:rsidRPr="00DC5075" w:rsidRDefault="003C29FC">
      <w:pPr>
        <w:ind w:left="360"/>
        <w:rPr>
          <w:sz w:val="22"/>
          <w:szCs w:val="22"/>
        </w:rPr>
      </w:pPr>
      <w:r w:rsidRPr="00DC5075">
        <w:rPr>
          <w:sz w:val="22"/>
          <w:szCs w:val="22"/>
        </w:rPr>
        <w:t xml:space="preserve">A </w:t>
      </w:r>
      <w:r w:rsidRPr="00177A44">
        <w:rPr>
          <w:b/>
          <w:i/>
          <w:iCs/>
          <w:sz w:val="22"/>
          <w:szCs w:val="22"/>
        </w:rPr>
        <w:t>simple flow diagram</w:t>
      </w:r>
      <w:r w:rsidRPr="00DC5075">
        <w:rPr>
          <w:sz w:val="22"/>
          <w:szCs w:val="22"/>
        </w:rPr>
        <w:t xml:space="preserve"> (e.g., diabetes renal disease example above) is effective in portraying the basic Markov states and transitions. Limited transition probabilities could be added without cluttering it up.</w:t>
      </w:r>
    </w:p>
    <w:p w:rsidR="003C29FC" w:rsidRPr="00DC5075" w:rsidRDefault="003C29FC">
      <w:pPr>
        <w:rPr>
          <w:sz w:val="22"/>
          <w:szCs w:val="22"/>
        </w:rPr>
      </w:pPr>
    </w:p>
    <w:p w:rsidR="003C29FC" w:rsidRPr="00DC5075" w:rsidRDefault="003C29FC">
      <w:pPr>
        <w:ind w:left="360"/>
        <w:rPr>
          <w:sz w:val="22"/>
          <w:szCs w:val="22"/>
        </w:rPr>
      </w:pPr>
      <w:r w:rsidRPr="00DC5075">
        <w:rPr>
          <w:sz w:val="22"/>
          <w:szCs w:val="22"/>
        </w:rPr>
        <w:t xml:space="preserve">A </w:t>
      </w:r>
      <w:r w:rsidRPr="00177A44">
        <w:rPr>
          <w:b/>
          <w:i/>
          <w:iCs/>
          <w:sz w:val="22"/>
          <w:szCs w:val="22"/>
        </w:rPr>
        <w:t>multi-cycle</w:t>
      </w:r>
      <w:r w:rsidRPr="00177A44">
        <w:rPr>
          <w:b/>
          <w:sz w:val="22"/>
          <w:szCs w:val="22"/>
        </w:rPr>
        <w:t xml:space="preserve"> </w:t>
      </w:r>
      <w:r w:rsidRPr="00177A44">
        <w:rPr>
          <w:b/>
          <w:i/>
          <w:iCs/>
          <w:sz w:val="22"/>
          <w:szCs w:val="22"/>
        </w:rPr>
        <w:t>bubble diagram</w:t>
      </w:r>
      <w:r w:rsidRPr="00DC5075">
        <w:rPr>
          <w:sz w:val="22"/>
          <w:szCs w:val="22"/>
        </w:rPr>
        <w:t xml:space="preserve"> (Fig 1 in the </w:t>
      </w:r>
      <w:proofErr w:type="spellStart"/>
      <w:r w:rsidRPr="00DC5075">
        <w:rPr>
          <w:sz w:val="22"/>
          <w:szCs w:val="22"/>
        </w:rPr>
        <w:t>Naimark</w:t>
      </w:r>
      <w:proofErr w:type="spellEnd"/>
      <w:r w:rsidRPr="00DC5075">
        <w:rPr>
          <w:sz w:val="22"/>
          <w:szCs w:val="22"/>
        </w:rPr>
        <w:t xml:space="preserve"> article) is clear and has more information -- evolving state distributions and cumulative outcomes. However, it is not often used in published Markov analyses, probably because it gets unwieldy with more than 3-4 states.</w:t>
      </w:r>
    </w:p>
    <w:p w:rsidR="003C29FC" w:rsidRPr="00DC5075" w:rsidRDefault="003C29FC">
      <w:pPr>
        <w:ind w:left="360"/>
        <w:rPr>
          <w:sz w:val="22"/>
          <w:szCs w:val="22"/>
        </w:rPr>
      </w:pPr>
    </w:p>
    <w:p w:rsidR="003C29FC" w:rsidRPr="00DC5075" w:rsidRDefault="003C29FC">
      <w:pPr>
        <w:ind w:left="360"/>
        <w:rPr>
          <w:sz w:val="22"/>
          <w:szCs w:val="22"/>
        </w:rPr>
      </w:pPr>
      <w:r w:rsidRPr="00DC5075">
        <w:rPr>
          <w:sz w:val="22"/>
          <w:szCs w:val="22"/>
        </w:rPr>
        <w:t xml:space="preserve">Another approach is the </w:t>
      </w:r>
      <w:r w:rsidRPr="00177A44">
        <w:rPr>
          <w:b/>
          <w:i/>
          <w:iCs/>
          <w:sz w:val="22"/>
          <w:szCs w:val="22"/>
        </w:rPr>
        <w:t xml:space="preserve">Markov </w:t>
      </w:r>
      <w:proofErr w:type="spellStart"/>
      <w:r w:rsidRPr="00177A44">
        <w:rPr>
          <w:b/>
          <w:i/>
          <w:iCs/>
          <w:sz w:val="22"/>
          <w:szCs w:val="22"/>
        </w:rPr>
        <w:t>subtree</w:t>
      </w:r>
      <w:proofErr w:type="spellEnd"/>
      <w:r w:rsidRPr="00DC5075">
        <w:rPr>
          <w:sz w:val="22"/>
          <w:szCs w:val="22"/>
        </w:rPr>
        <w:t xml:space="preserve"> (</w:t>
      </w:r>
      <w:proofErr w:type="spellStart"/>
      <w:r w:rsidRPr="00DC5075">
        <w:rPr>
          <w:sz w:val="22"/>
          <w:szCs w:val="22"/>
        </w:rPr>
        <w:t>Naimark</w:t>
      </w:r>
      <w:proofErr w:type="spellEnd"/>
      <w:r w:rsidRPr="00DC5075">
        <w:rPr>
          <w:sz w:val="22"/>
          <w:szCs w:val="22"/>
        </w:rPr>
        <w:t xml:space="preserve">, Fig 2-6). This represents a Markov with an infinity symbol (∞) instead of the chance node circle; states with branches; and transitions with boxes at the end of each branch or sub-branch. If the portrayal is complex, as in </w:t>
      </w:r>
      <w:proofErr w:type="spellStart"/>
      <w:r w:rsidRPr="00DC5075">
        <w:rPr>
          <w:sz w:val="22"/>
          <w:szCs w:val="22"/>
        </w:rPr>
        <w:t>Naimark’s</w:t>
      </w:r>
      <w:proofErr w:type="spellEnd"/>
      <w:r w:rsidRPr="00DC5075">
        <w:rPr>
          <w:sz w:val="22"/>
          <w:szCs w:val="22"/>
        </w:rPr>
        <w:t xml:space="preserve"> GCA example, multiple </w:t>
      </w:r>
      <w:proofErr w:type="spellStart"/>
      <w:r w:rsidRPr="00DC5075">
        <w:rPr>
          <w:sz w:val="22"/>
          <w:szCs w:val="22"/>
        </w:rPr>
        <w:t>subtrees</w:t>
      </w:r>
      <w:proofErr w:type="spellEnd"/>
      <w:r w:rsidRPr="00DC5075">
        <w:rPr>
          <w:sz w:val="22"/>
          <w:szCs w:val="22"/>
        </w:rPr>
        <w:t xml:space="preserve"> are needed. This method is excellent at documenting structure, but requires understanding trees and has no natural way to report transition probabilities.</w:t>
      </w:r>
    </w:p>
    <w:p w:rsidR="003C29FC" w:rsidRPr="00DC5075" w:rsidRDefault="003C29FC">
      <w:pPr>
        <w:ind w:left="360"/>
        <w:rPr>
          <w:sz w:val="22"/>
          <w:szCs w:val="22"/>
        </w:rPr>
      </w:pPr>
    </w:p>
    <w:p w:rsidR="003C29FC" w:rsidRPr="00DC5075" w:rsidRDefault="003C29FC">
      <w:pPr>
        <w:ind w:left="360"/>
        <w:rPr>
          <w:sz w:val="22"/>
          <w:szCs w:val="22"/>
        </w:rPr>
      </w:pPr>
      <w:r w:rsidRPr="00DC5075">
        <w:rPr>
          <w:sz w:val="22"/>
          <w:szCs w:val="22"/>
        </w:rPr>
        <w:t xml:space="preserve">Two tabular methods are well-suited to presenting transition probabilities. The </w:t>
      </w:r>
      <w:r w:rsidRPr="00177A44">
        <w:rPr>
          <w:b/>
          <w:i/>
          <w:iCs/>
          <w:sz w:val="22"/>
          <w:szCs w:val="22"/>
        </w:rPr>
        <w:t>transition matrix</w:t>
      </w:r>
      <w:r w:rsidRPr="00DC5075">
        <w:rPr>
          <w:sz w:val="22"/>
          <w:szCs w:val="22"/>
        </w:rPr>
        <w:t xml:space="preserve"> efficiently summarizes states and transitions (and corresponds to the mathematical structure used to analyze Markov problems prior to fast computers). Below is an example. Transitions not permitted are noted with “--“.</w:t>
      </w:r>
    </w:p>
    <w:p w:rsidR="003C29FC" w:rsidRDefault="003C29FC">
      <w:pPr>
        <w:ind w:left="360"/>
      </w:pPr>
    </w:p>
    <w:p w:rsidR="003C29FC" w:rsidRPr="000F374B" w:rsidRDefault="003C29FC" w:rsidP="003C29FC">
      <w:pPr>
        <w:ind w:left="180"/>
        <w:rPr>
          <w:i/>
          <w:sz w:val="22"/>
          <w:szCs w:val="22"/>
        </w:rPr>
      </w:pPr>
      <w:r w:rsidRPr="00DC5075">
        <w:rPr>
          <w:i/>
          <w:sz w:val="22"/>
          <w:szCs w:val="22"/>
        </w:rPr>
        <w:t xml:space="preserve">Figure </w:t>
      </w:r>
      <w:r>
        <w:rPr>
          <w:i/>
          <w:sz w:val="22"/>
          <w:szCs w:val="22"/>
        </w:rPr>
        <w:t>2.</w:t>
      </w:r>
      <w:r>
        <w:rPr>
          <w:sz w:val="22"/>
        </w:rPr>
        <w:t>Transition Matrix. Values are annual transition probability from source to target state.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64"/>
        <w:gridCol w:w="1565"/>
        <w:gridCol w:w="1565"/>
        <w:gridCol w:w="1373"/>
        <w:gridCol w:w="1161"/>
      </w:tblGrid>
      <w:tr w:rsidR="003C29FC">
        <w:trPr>
          <w:cantSplit/>
        </w:trPr>
        <w:tc>
          <w:tcPr>
            <w:tcW w:w="1368" w:type="dxa"/>
            <w:tcBorders>
              <w:top w:val="nil"/>
              <w:left w:val="nil"/>
            </w:tcBorders>
          </w:tcPr>
          <w:p w:rsidR="003C29FC" w:rsidRDefault="003C29FC">
            <w:pPr>
              <w:jc w:val="center"/>
              <w:rPr>
                <w:i/>
                <w:iCs/>
                <w:sz w:val="22"/>
              </w:rPr>
            </w:pPr>
          </w:p>
        </w:tc>
        <w:tc>
          <w:tcPr>
            <w:tcW w:w="7128" w:type="dxa"/>
            <w:gridSpan w:val="5"/>
          </w:tcPr>
          <w:p w:rsidR="003C29FC" w:rsidRDefault="003C29FC">
            <w:pPr>
              <w:jc w:val="center"/>
              <w:rPr>
                <w:i/>
                <w:iCs/>
                <w:sz w:val="22"/>
              </w:rPr>
            </w:pPr>
            <w:r>
              <w:rPr>
                <w:i/>
                <w:iCs/>
                <w:sz w:val="22"/>
              </w:rPr>
              <w:t>Target states</w:t>
            </w:r>
          </w:p>
        </w:tc>
      </w:tr>
      <w:tr w:rsidR="003C29FC">
        <w:tc>
          <w:tcPr>
            <w:tcW w:w="1368" w:type="dxa"/>
          </w:tcPr>
          <w:p w:rsidR="003C29FC" w:rsidRDefault="003C29FC">
            <w:pPr>
              <w:rPr>
                <w:i/>
                <w:iCs/>
                <w:sz w:val="22"/>
              </w:rPr>
            </w:pPr>
            <w:r>
              <w:rPr>
                <w:i/>
                <w:iCs/>
                <w:sz w:val="22"/>
              </w:rPr>
              <w:t>Source states</w:t>
            </w:r>
          </w:p>
        </w:tc>
        <w:tc>
          <w:tcPr>
            <w:tcW w:w="1464" w:type="dxa"/>
          </w:tcPr>
          <w:p w:rsidR="003C29FC" w:rsidRDefault="003C29FC">
            <w:pPr>
              <w:jc w:val="center"/>
              <w:rPr>
                <w:sz w:val="22"/>
              </w:rPr>
            </w:pPr>
            <w:r>
              <w:rPr>
                <w:sz w:val="22"/>
              </w:rPr>
              <w:t>Normal</w:t>
            </w:r>
          </w:p>
        </w:tc>
        <w:tc>
          <w:tcPr>
            <w:tcW w:w="1565" w:type="dxa"/>
          </w:tcPr>
          <w:p w:rsidR="003C29FC" w:rsidRDefault="003C29FC">
            <w:pPr>
              <w:jc w:val="center"/>
              <w:rPr>
                <w:sz w:val="22"/>
              </w:rPr>
            </w:pPr>
            <w:r>
              <w:rPr>
                <w:sz w:val="22"/>
              </w:rPr>
              <w:t>Micro albuminuria</w:t>
            </w:r>
          </w:p>
        </w:tc>
        <w:tc>
          <w:tcPr>
            <w:tcW w:w="1565" w:type="dxa"/>
          </w:tcPr>
          <w:p w:rsidR="003C29FC" w:rsidRDefault="003C29FC">
            <w:pPr>
              <w:jc w:val="center"/>
              <w:rPr>
                <w:sz w:val="22"/>
              </w:rPr>
            </w:pPr>
            <w:r>
              <w:rPr>
                <w:sz w:val="22"/>
              </w:rPr>
              <w:t>Macro albuminuria</w:t>
            </w:r>
          </w:p>
        </w:tc>
        <w:tc>
          <w:tcPr>
            <w:tcW w:w="1373" w:type="dxa"/>
          </w:tcPr>
          <w:p w:rsidR="003C29FC" w:rsidRDefault="003C29FC">
            <w:pPr>
              <w:jc w:val="center"/>
              <w:rPr>
                <w:sz w:val="22"/>
              </w:rPr>
            </w:pPr>
            <w:r>
              <w:rPr>
                <w:sz w:val="22"/>
              </w:rPr>
              <w:t>End-stage renal disease</w:t>
            </w:r>
          </w:p>
        </w:tc>
        <w:tc>
          <w:tcPr>
            <w:tcW w:w="1161" w:type="dxa"/>
          </w:tcPr>
          <w:p w:rsidR="003C29FC" w:rsidRDefault="003C29FC">
            <w:pPr>
              <w:jc w:val="center"/>
              <w:rPr>
                <w:sz w:val="22"/>
              </w:rPr>
            </w:pPr>
            <w:r>
              <w:rPr>
                <w:sz w:val="22"/>
              </w:rPr>
              <w:t>Death</w:t>
            </w:r>
          </w:p>
        </w:tc>
      </w:tr>
      <w:tr w:rsidR="003C29FC">
        <w:tc>
          <w:tcPr>
            <w:tcW w:w="1368" w:type="dxa"/>
          </w:tcPr>
          <w:p w:rsidR="003C29FC" w:rsidRDefault="003C29FC">
            <w:pPr>
              <w:jc w:val="center"/>
              <w:rPr>
                <w:sz w:val="22"/>
              </w:rPr>
            </w:pPr>
            <w:r>
              <w:rPr>
                <w:sz w:val="22"/>
              </w:rPr>
              <w:t>Normal</w:t>
            </w:r>
          </w:p>
        </w:tc>
        <w:tc>
          <w:tcPr>
            <w:tcW w:w="1464" w:type="dxa"/>
          </w:tcPr>
          <w:p w:rsidR="003C29FC" w:rsidRDefault="003C29FC">
            <w:pPr>
              <w:jc w:val="center"/>
              <w:rPr>
                <w:sz w:val="22"/>
              </w:rPr>
            </w:pPr>
            <w:r>
              <w:rPr>
                <w:sz w:val="22"/>
              </w:rPr>
              <w:t>.97</w:t>
            </w:r>
          </w:p>
        </w:tc>
        <w:tc>
          <w:tcPr>
            <w:tcW w:w="1565" w:type="dxa"/>
          </w:tcPr>
          <w:p w:rsidR="003C29FC" w:rsidRDefault="003C29FC">
            <w:pPr>
              <w:jc w:val="center"/>
              <w:rPr>
                <w:sz w:val="22"/>
              </w:rPr>
            </w:pPr>
            <w:r>
              <w:rPr>
                <w:sz w:val="22"/>
              </w:rPr>
              <w:t>.02</w:t>
            </w:r>
          </w:p>
        </w:tc>
        <w:tc>
          <w:tcPr>
            <w:tcW w:w="1565" w:type="dxa"/>
          </w:tcPr>
          <w:p w:rsidR="003C29FC" w:rsidRDefault="003C29FC">
            <w:pPr>
              <w:jc w:val="center"/>
              <w:rPr>
                <w:sz w:val="22"/>
              </w:rPr>
            </w:pPr>
            <w:r>
              <w:rPr>
                <w:sz w:val="22"/>
              </w:rPr>
              <w:t>--</w:t>
            </w:r>
          </w:p>
        </w:tc>
        <w:tc>
          <w:tcPr>
            <w:tcW w:w="1373" w:type="dxa"/>
          </w:tcPr>
          <w:p w:rsidR="003C29FC" w:rsidRDefault="003C29FC">
            <w:pPr>
              <w:jc w:val="center"/>
              <w:rPr>
                <w:sz w:val="22"/>
              </w:rPr>
            </w:pPr>
            <w:r>
              <w:rPr>
                <w:sz w:val="22"/>
              </w:rPr>
              <w:t>--</w:t>
            </w:r>
          </w:p>
        </w:tc>
        <w:tc>
          <w:tcPr>
            <w:tcW w:w="1161" w:type="dxa"/>
          </w:tcPr>
          <w:p w:rsidR="003C29FC" w:rsidRDefault="003C29FC">
            <w:pPr>
              <w:jc w:val="center"/>
              <w:rPr>
                <w:sz w:val="22"/>
              </w:rPr>
            </w:pPr>
            <w:r>
              <w:rPr>
                <w:sz w:val="22"/>
              </w:rPr>
              <w:t>.01</w:t>
            </w:r>
          </w:p>
        </w:tc>
      </w:tr>
      <w:tr w:rsidR="003C29FC">
        <w:tc>
          <w:tcPr>
            <w:tcW w:w="1368" w:type="dxa"/>
          </w:tcPr>
          <w:p w:rsidR="003C29FC" w:rsidRDefault="003C29FC">
            <w:pPr>
              <w:jc w:val="center"/>
              <w:rPr>
                <w:sz w:val="22"/>
              </w:rPr>
            </w:pPr>
            <w:r>
              <w:rPr>
                <w:sz w:val="22"/>
              </w:rPr>
              <w:t>Micro albuminuria</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.94</w:t>
            </w:r>
          </w:p>
        </w:tc>
        <w:tc>
          <w:tcPr>
            <w:tcW w:w="1565" w:type="dxa"/>
          </w:tcPr>
          <w:p w:rsidR="003C29FC" w:rsidRDefault="003C29FC">
            <w:pPr>
              <w:jc w:val="center"/>
              <w:rPr>
                <w:sz w:val="22"/>
              </w:rPr>
            </w:pPr>
            <w:r>
              <w:rPr>
                <w:sz w:val="22"/>
              </w:rPr>
              <w:t>.04</w:t>
            </w:r>
          </w:p>
        </w:tc>
        <w:tc>
          <w:tcPr>
            <w:tcW w:w="1373" w:type="dxa"/>
          </w:tcPr>
          <w:p w:rsidR="003C29FC" w:rsidRDefault="003C29FC">
            <w:pPr>
              <w:jc w:val="center"/>
              <w:rPr>
                <w:sz w:val="22"/>
              </w:rPr>
            </w:pPr>
            <w:r>
              <w:rPr>
                <w:sz w:val="22"/>
              </w:rPr>
              <w:t>--</w:t>
            </w:r>
          </w:p>
        </w:tc>
        <w:tc>
          <w:tcPr>
            <w:tcW w:w="1161" w:type="dxa"/>
          </w:tcPr>
          <w:p w:rsidR="003C29FC" w:rsidRDefault="003C29FC">
            <w:pPr>
              <w:jc w:val="center"/>
              <w:rPr>
                <w:sz w:val="22"/>
              </w:rPr>
            </w:pPr>
            <w:r>
              <w:rPr>
                <w:sz w:val="22"/>
              </w:rPr>
              <w:t>.02</w:t>
            </w:r>
          </w:p>
        </w:tc>
      </w:tr>
      <w:tr w:rsidR="003C29FC">
        <w:tc>
          <w:tcPr>
            <w:tcW w:w="1368" w:type="dxa"/>
          </w:tcPr>
          <w:p w:rsidR="003C29FC" w:rsidRDefault="003C29FC">
            <w:pPr>
              <w:jc w:val="center"/>
              <w:rPr>
                <w:sz w:val="22"/>
              </w:rPr>
            </w:pPr>
            <w:r>
              <w:rPr>
                <w:sz w:val="22"/>
              </w:rPr>
              <w:t>Macro albuminuria</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.90</w:t>
            </w:r>
          </w:p>
        </w:tc>
        <w:tc>
          <w:tcPr>
            <w:tcW w:w="1373" w:type="dxa"/>
          </w:tcPr>
          <w:p w:rsidR="003C29FC" w:rsidRDefault="003C29FC">
            <w:pPr>
              <w:jc w:val="center"/>
              <w:rPr>
                <w:sz w:val="22"/>
              </w:rPr>
            </w:pPr>
            <w:r>
              <w:rPr>
                <w:sz w:val="22"/>
              </w:rPr>
              <w:t>.05</w:t>
            </w:r>
          </w:p>
        </w:tc>
        <w:tc>
          <w:tcPr>
            <w:tcW w:w="1161" w:type="dxa"/>
          </w:tcPr>
          <w:p w:rsidR="003C29FC" w:rsidRDefault="003C29FC">
            <w:pPr>
              <w:jc w:val="center"/>
              <w:rPr>
                <w:sz w:val="22"/>
              </w:rPr>
            </w:pPr>
            <w:r>
              <w:rPr>
                <w:sz w:val="22"/>
              </w:rPr>
              <w:t>.05</w:t>
            </w:r>
          </w:p>
        </w:tc>
      </w:tr>
      <w:tr w:rsidR="003C29FC">
        <w:tc>
          <w:tcPr>
            <w:tcW w:w="1368" w:type="dxa"/>
          </w:tcPr>
          <w:p w:rsidR="003C29FC" w:rsidRDefault="003C29FC">
            <w:pPr>
              <w:jc w:val="center"/>
              <w:rPr>
                <w:sz w:val="22"/>
              </w:rPr>
            </w:pPr>
            <w:r>
              <w:rPr>
                <w:sz w:val="22"/>
              </w:rPr>
              <w:t>End-stage renal disease</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373" w:type="dxa"/>
          </w:tcPr>
          <w:p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.80</w:t>
            </w:r>
          </w:p>
        </w:tc>
        <w:tc>
          <w:tcPr>
            <w:tcW w:w="1161" w:type="dxa"/>
          </w:tcPr>
          <w:p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.20</w:t>
            </w:r>
          </w:p>
        </w:tc>
      </w:tr>
    </w:tbl>
    <w:p w:rsidR="003C29FC" w:rsidRDefault="003C29FC">
      <w:pPr>
        <w:ind w:left="360"/>
      </w:pPr>
    </w:p>
    <w:p w:rsidR="003C29FC" w:rsidRDefault="003C29FC"/>
    <w:p w:rsidR="003C29FC" w:rsidRPr="00DC5075" w:rsidRDefault="003C29FC">
      <w:pPr>
        <w:ind w:left="360"/>
        <w:rPr>
          <w:sz w:val="22"/>
          <w:szCs w:val="22"/>
        </w:rPr>
      </w:pPr>
      <w:r w:rsidRPr="00DC5075">
        <w:rPr>
          <w:sz w:val="22"/>
          <w:szCs w:val="22"/>
        </w:rPr>
        <w:lastRenderedPageBreak/>
        <w:t xml:space="preserve">The last approach is a </w:t>
      </w:r>
      <w:r w:rsidRPr="00177A44">
        <w:rPr>
          <w:b/>
          <w:i/>
          <w:iCs/>
          <w:sz w:val="22"/>
          <w:szCs w:val="22"/>
        </w:rPr>
        <w:t>multi-column table</w:t>
      </w:r>
      <w:r w:rsidRPr="00DC5075">
        <w:rPr>
          <w:sz w:val="22"/>
          <w:szCs w:val="22"/>
        </w:rPr>
        <w:t>, which allows for more information (e.g., effectiveness estimates) with some loss in organizational efficiency. The sources states are listed in the left column, target states in the second column, transition probabilities in the third, and other data in additional columns. Below is an example for HIV disease. The states were chosen to match definitions promulgated by CDC as well as widely used clinical distinctions. Note the blank columns for transition rates and HAART effects; we’ll fill them in later.</w:t>
      </w:r>
    </w:p>
    <w:p w:rsidR="003C29FC" w:rsidRDefault="003C29FC"/>
    <w:p w:rsidR="003C29FC" w:rsidRPr="000F374B" w:rsidRDefault="003C29FC" w:rsidP="003C29FC">
      <w:pPr>
        <w:rPr>
          <w:i/>
          <w:sz w:val="22"/>
          <w:szCs w:val="22"/>
        </w:rPr>
      </w:pPr>
      <w:r>
        <w:rPr>
          <w:i/>
          <w:sz w:val="22"/>
          <w:szCs w:val="22"/>
        </w:rPr>
        <w:t>Figure 3</w:t>
      </w:r>
    </w:p>
    <w:tbl>
      <w:tblPr>
        <w:tblW w:w="0" w:type="auto"/>
        <w:tblLayout w:type="fixed"/>
        <w:tblCellMar>
          <w:left w:w="30" w:type="dxa"/>
          <w:right w:w="30" w:type="dxa"/>
        </w:tblCellMar>
        <w:tblLook w:val="0000" w:firstRow="0" w:lastRow="0" w:firstColumn="0" w:lastColumn="0" w:noHBand="0" w:noVBand="0"/>
      </w:tblPr>
      <w:tblGrid>
        <w:gridCol w:w="3980"/>
        <w:gridCol w:w="1460"/>
        <w:gridCol w:w="1660"/>
        <w:gridCol w:w="1780"/>
      </w:tblGrid>
      <w:tr w:rsidR="003C29FC">
        <w:trPr>
          <w:cantSplit/>
          <w:trHeight w:val="700"/>
        </w:trPr>
        <w:tc>
          <w:tcPr>
            <w:tcW w:w="3980" w:type="dxa"/>
            <w:tcBorders>
              <w:top w:val="single" w:sz="6" w:space="0" w:color="auto"/>
              <w:bottom w:val="single" w:sz="6" w:space="0" w:color="auto"/>
            </w:tcBorders>
          </w:tcPr>
          <w:p w:rsidR="003C29FC" w:rsidRDefault="003C29FC">
            <w:pPr>
              <w:spacing w:before="60" w:after="60"/>
              <w:jc w:val="center"/>
              <w:rPr>
                <w:b/>
              </w:rPr>
            </w:pPr>
            <w:r>
              <w:rPr>
                <w:b/>
              </w:rPr>
              <w:t>Source State</w:t>
            </w:r>
          </w:p>
        </w:tc>
        <w:tc>
          <w:tcPr>
            <w:tcW w:w="1460" w:type="dxa"/>
            <w:tcBorders>
              <w:top w:val="single" w:sz="6" w:space="0" w:color="auto"/>
              <w:bottom w:val="single" w:sz="6" w:space="0" w:color="auto"/>
            </w:tcBorders>
          </w:tcPr>
          <w:p w:rsidR="003C29FC" w:rsidRDefault="003C29FC">
            <w:pPr>
              <w:spacing w:before="60" w:after="60"/>
              <w:jc w:val="center"/>
              <w:rPr>
                <w:b/>
              </w:rPr>
            </w:pPr>
            <w:r>
              <w:rPr>
                <w:b/>
              </w:rPr>
              <w:t>Target State</w:t>
            </w:r>
          </w:p>
        </w:tc>
        <w:tc>
          <w:tcPr>
            <w:tcW w:w="1660" w:type="dxa"/>
            <w:tcBorders>
              <w:top w:val="single" w:sz="6" w:space="0" w:color="auto"/>
              <w:bottom w:val="single" w:sz="6" w:space="0" w:color="auto"/>
            </w:tcBorders>
          </w:tcPr>
          <w:p w:rsidR="003C29FC" w:rsidRDefault="003C29FC">
            <w:pPr>
              <w:spacing w:before="60" w:after="60"/>
              <w:jc w:val="center"/>
              <w:rPr>
                <w:b/>
              </w:rPr>
            </w:pPr>
            <w:r>
              <w:rPr>
                <w:b/>
              </w:rPr>
              <w:t>Transition Probability per Quarter</w:t>
            </w:r>
          </w:p>
        </w:tc>
        <w:tc>
          <w:tcPr>
            <w:tcW w:w="1780" w:type="dxa"/>
            <w:tcBorders>
              <w:top w:val="single" w:sz="6" w:space="0" w:color="auto"/>
              <w:bottom w:val="single" w:sz="6" w:space="0" w:color="auto"/>
            </w:tcBorders>
          </w:tcPr>
          <w:p w:rsidR="003C29FC" w:rsidRDefault="003C29FC">
            <w:pPr>
              <w:spacing w:before="60" w:after="60"/>
              <w:jc w:val="center"/>
              <w:rPr>
                <w:b/>
              </w:rPr>
            </w:pPr>
            <w:r>
              <w:rPr>
                <w:b/>
              </w:rPr>
              <w:t>Reduction in Transition Rate with HAART</w:t>
            </w:r>
          </w:p>
        </w:tc>
      </w:tr>
      <w:tr w:rsidR="003C29FC">
        <w:trPr>
          <w:cantSplit/>
          <w:trHeight w:val="240"/>
        </w:trPr>
        <w:tc>
          <w:tcPr>
            <w:tcW w:w="3980" w:type="dxa"/>
            <w:tcBorders>
              <w:bottom w:val="single" w:sz="6" w:space="0" w:color="auto"/>
            </w:tcBorders>
          </w:tcPr>
          <w:p w:rsidR="003C29FC" w:rsidRDefault="003C29FC">
            <w:pPr>
              <w:spacing w:before="60" w:after="60"/>
              <w:rPr>
                <w:b/>
                <w:position w:val="12"/>
              </w:rPr>
            </w:pPr>
            <w:r>
              <w:rPr>
                <w:b/>
              </w:rPr>
              <w:t>0. Uninfected</w:t>
            </w:r>
          </w:p>
        </w:tc>
        <w:tc>
          <w:tcPr>
            <w:tcW w:w="1460" w:type="dxa"/>
            <w:tcBorders>
              <w:bottom w:val="single" w:sz="6" w:space="0" w:color="auto"/>
            </w:tcBorders>
          </w:tcPr>
          <w:p w:rsidR="003C29FC" w:rsidRDefault="003C29FC">
            <w:pPr>
              <w:spacing w:before="60" w:after="60"/>
              <w:jc w:val="center"/>
            </w:pPr>
            <w:r>
              <w:t>1</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right"/>
            </w:pPr>
          </w:p>
        </w:tc>
      </w:tr>
      <w:tr w:rsidR="003C29FC">
        <w:trPr>
          <w:cantSplit/>
          <w:trHeight w:val="220"/>
        </w:trPr>
        <w:tc>
          <w:tcPr>
            <w:tcW w:w="3980" w:type="dxa"/>
          </w:tcPr>
          <w:p w:rsidR="003C29FC" w:rsidRDefault="003C29FC">
            <w:pPr>
              <w:spacing w:before="60" w:after="60"/>
              <w:rPr>
                <w:b/>
              </w:rPr>
            </w:pPr>
            <w:r>
              <w:rPr>
                <w:b/>
              </w:rPr>
              <w:t>1. Asymptomatic, CD4&gt;500</w:t>
            </w:r>
          </w:p>
        </w:tc>
        <w:tc>
          <w:tcPr>
            <w:tcW w:w="1460" w:type="dxa"/>
          </w:tcPr>
          <w:p w:rsidR="003C29FC" w:rsidRDefault="003C29FC">
            <w:pPr>
              <w:spacing w:before="60" w:after="60"/>
              <w:jc w:val="center"/>
            </w:pPr>
            <w:r>
              <w:t>2</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rPr>
                <w:i/>
              </w:rPr>
            </w:pPr>
          </w:p>
        </w:tc>
        <w:tc>
          <w:tcPr>
            <w:tcW w:w="1460" w:type="dxa"/>
          </w:tcPr>
          <w:p w:rsidR="003C29FC" w:rsidRDefault="003C29FC">
            <w:pPr>
              <w:spacing w:before="60" w:after="60"/>
              <w:jc w:val="center"/>
            </w:pPr>
            <w:r>
              <w:t>3</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center"/>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 xml:space="preserve">2. Asymptomatic, CD4&lt;500 </w:t>
            </w:r>
          </w:p>
        </w:tc>
        <w:tc>
          <w:tcPr>
            <w:tcW w:w="1460" w:type="dxa"/>
          </w:tcPr>
          <w:p w:rsidR="003C29FC" w:rsidRDefault="003C29FC">
            <w:pPr>
              <w:spacing w:before="60" w:after="60"/>
              <w:jc w:val="center"/>
            </w:pPr>
            <w:r>
              <w:t>3</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3. Symptomatic, pre-AIDS</w:t>
            </w: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4. AIDS, 1993 definition</w:t>
            </w: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rPr>
                <w:b/>
              </w:rPr>
            </w:pPr>
            <w:r>
              <w:rPr>
                <w:b/>
              </w:rPr>
              <w:t>5. AIDS, 1987 definition</w:t>
            </w: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40"/>
        </w:trPr>
        <w:tc>
          <w:tcPr>
            <w:tcW w:w="3980" w:type="dxa"/>
            <w:tcBorders>
              <w:bottom w:val="single" w:sz="6" w:space="0" w:color="auto"/>
            </w:tcBorders>
          </w:tcPr>
          <w:p w:rsidR="003C29FC" w:rsidRDefault="003C29FC">
            <w:pPr>
              <w:spacing w:before="60" w:after="60"/>
              <w:rPr>
                <w:b/>
                <w:position w:val="12"/>
              </w:rPr>
            </w:pPr>
            <w:r>
              <w:rPr>
                <w:b/>
              </w:rPr>
              <w:t>6. Death</w:t>
            </w:r>
          </w:p>
        </w:tc>
        <w:tc>
          <w:tcPr>
            <w:tcW w:w="1460" w:type="dxa"/>
            <w:tcBorders>
              <w:bottom w:val="single" w:sz="6" w:space="0" w:color="auto"/>
            </w:tcBorders>
          </w:tcPr>
          <w:p w:rsidR="003C29FC" w:rsidRDefault="003C29FC">
            <w:pPr>
              <w:spacing w:before="60" w:after="60"/>
              <w:jc w:val="center"/>
            </w:pPr>
            <w:r>
              <w:t>(absorbing)</w:t>
            </w:r>
          </w:p>
        </w:tc>
        <w:tc>
          <w:tcPr>
            <w:tcW w:w="1660" w:type="dxa"/>
            <w:tcBorders>
              <w:bottom w:val="single" w:sz="6" w:space="0" w:color="auto"/>
            </w:tcBorders>
          </w:tcPr>
          <w:p w:rsidR="003C29FC" w:rsidRDefault="003C29FC">
            <w:pPr>
              <w:spacing w:before="60" w:after="60"/>
              <w:jc w:val="right"/>
            </w:pPr>
          </w:p>
        </w:tc>
        <w:tc>
          <w:tcPr>
            <w:tcW w:w="1780" w:type="dxa"/>
            <w:tcBorders>
              <w:bottom w:val="single" w:sz="6" w:space="0" w:color="auto"/>
            </w:tcBorders>
          </w:tcPr>
          <w:p w:rsidR="003C29FC" w:rsidRDefault="003C29FC">
            <w:pPr>
              <w:spacing w:before="60" w:after="60"/>
              <w:jc w:val="right"/>
            </w:pPr>
          </w:p>
        </w:tc>
      </w:tr>
    </w:tbl>
    <w:p w:rsidR="003C29FC" w:rsidRDefault="003C29FC"/>
    <w:p w:rsidR="003C29FC" w:rsidRDefault="003C29FC"/>
    <w:p w:rsidR="003C29FC" w:rsidRPr="00177A44" w:rsidRDefault="003C29FC">
      <w:pPr>
        <w:pStyle w:val="indent1"/>
        <w:ind w:left="0" w:firstLine="0"/>
        <w:rPr>
          <w:rFonts w:ascii="Times New Roman" w:hAnsi="Times New Roman"/>
          <w:b/>
        </w:rPr>
      </w:pPr>
      <w:r w:rsidRPr="00177A44">
        <w:rPr>
          <w:rFonts w:ascii="Times New Roman" w:hAnsi="Times New Roman"/>
          <w:b/>
          <w:i/>
          <w:iCs/>
        </w:rPr>
        <w:t>Data for transition probabilities</w:t>
      </w:r>
    </w:p>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A Markov simulation requires data for transition probabilities, in addition to the usual types of data for any CEA. Obtaining transition probabilities requires the precise extraction and adaptation of published data. </w:t>
      </w:r>
    </w:p>
    <w:p w:rsidR="003C29FC" w:rsidRDefault="003C29FC">
      <w:pPr>
        <w:pStyle w:val="indent1"/>
        <w:ind w:left="0" w:firstLine="0"/>
        <w:rPr>
          <w:rFonts w:ascii="Times New Roman" w:hAnsi="Times New Roman"/>
        </w:rPr>
      </w:pP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For the aneurysm Markov, the annual probability of aneurysm rupture (SAH) derived from a prospective cohort, and was assumed to remain constant over time. The one-time risks of death and disability from surgery and from SAH were derived from various studies. The annual age-adjusted risk of death from all causes was derived from life tables maintained by CDC and studies of individuals with disabilities.</w:t>
      </w: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This is the end of our discussion of the aneurysm example. To illustrate additional Markov issues, we shift to the HIV/HAART example.</w:t>
      </w:r>
    </w:p>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In general, data for transition probabilities come from natural history studies, clinical trials, and life tables. </w:t>
      </w:r>
      <w:r w:rsidRPr="00177A44">
        <w:rPr>
          <w:rFonts w:ascii="Times New Roman" w:hAnsi="Times New Roman"/>
          <w:b/>
          <w:i/>
          <w:iCs/>
          <w:sz w:val="22"/>
          <w:szCs w:val="22"/>
        </w:rPr>
        <w:t>Natural history studies</w:t>
      </w:r>
      <w:r w:rsidRPr="00DC5075">
        <w:rPr>
          <w:rFonts w:ascii="Times New Roman" w:hAnsi="Times New Roman"/>
          <w:sz w:val="22"/>
          <w:szCs w:val="22"/>
        </w:rPr>
        <w:t xml:space="preserve"> are usually the best source for estimates of multiple transition probabilities and often have large samples. </w:t>
      </w:r>
      <w:r w:rsidRPr="00177A44">
        <w:rPr>
          <w:rFonts w:ascii="Times New Roman" w:hAnsi="Times New Roman"/>
          <w:b/>
          <w:i/>
          <w:iCs/>
          <w:sz w:val="22"/>
          <w:szCs w:val="22"/>
        </w:rPr>
        <w:t>Clinical trials</w:t>
      </w:r>
      <w:r w:rsidRPr="00DC5075">
        <w:rPr>
          <w:rFonts w:ascii="Times New Roman" w:hAnsi="Times New Roman"/>
          <w:sz w:val="22"/>
          <w:szCs w:val="22"/>
        </w:rPr>
        <w:t xml:space="preserve"> typically have only 1 or 2 outcomes that are transition probabilities, and use shorter time frames, but also assist in estimating the change in transition probabilities with treatment. </w:t>
      </w:r>
      <w:r w:rsidRPr="00177A44">
        <w:rPr>
          <w:rFonts w:ascii="Times New Roman" w:hAnsi="Times New Roman"/>
          <w:b/>
          <w:i/>
          <w:iCs/>
          <w:sz w:val="22"/>
          <w:szCs w:val="22"/>
        </w:rPr>
        <w:t>Life tables</w:t>
      </w:r>
      <w:r w:rsidRPr="00DC5075">
        <w:rPr>
          <w:rFonts w:ascii="Times New Roman" w:hAnsi="Times New Roman"/>
          <w:sz w:val="22"/>
          <w:szCs w:val="22"/>
        </w:rPr>
        <w:t xml:space="preserve"> are often essential for estimating all-cause mortality by age. For our HIV/HAART analysis, we found some studies that reported progression from AIDS to death, and from AIDS by the CD4&lt;200 definition to AIDS by a clinical definition. </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Often not all state-to-state transitions are reported, as with our HIV/HAART analysis. It may be possible to </w:t>
      </w:r>
      <w:r w:rsidRPr="00177A44">
        <w:rPr>
          <w:rFonts w:ascii="Times New Roman" w:hAnsi="Times New Roman"/>
          <w:b/>
          <w:i/>
          <w:iCs/>
          <w:sz w:val="22"/>
          <w:szCs w:val="22"/>
        </w:rPr>
        <w:t>interpolate from data on larger jumps</w:t>
      </w:r>
      <w:r w:rsidRPr="00DC5075">
        <w:rPr>
          <w:rFonts w:ascii="Times New Roman" w:hAnsi="Times New Roman"/>
          <w:sz w:val="22"/>
          <w:szCs w:val="22"/>
        </w:rPr>
        <w:t>. These larger jumps may be across multiple states (e.g., HIV infection to AIDS) and/or over several years. They can be used to establish “</w:t>
      </w:r>
      <w:r w:rsidRPr="00DC5075">
        <w:rPr>
          <w:rFonts w:ascii="Times New Roman" w:hAnsi="Times New Roman"/>
          <w:i/>
          <w:iCs/>
          <w:sz w:val="22"/>
          <w:szCs w:val="22"/>
        </w:rPr>
        <w:t>benchmarks</w:t>
      </w:r>
      <w:r w:rsidRPr="00DC5075">
        <w:rPr>
          <w:rFonts w:ascii="Times New Roman" w:hAnsi="Times New Roman"/>
          <w:sz w:val="22"/>
          <w:szCs w:val="22"/>
        </w:rPr>
        <w:t>” that allow assigning values to intervening transition probabilities using a calibration process. The data abstraction for such benchmarking is discussed here, and the calibration under “Implement”.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HIV/HAART analysis, the data abstraction involved reviewing all available natural history studies. It’s also legitimate to rely on a single definitive study, but we were interested in seeing if and how progression varied in different populations. Each individual study review documented the source and target states, as well as study characteristics and ARV therapy in use in that cohort. Below is an example.</w:t>
      </w:r>
    </w:p>
    <w:p w:rsidR="003C29FC" w:rsidRDefault="003C29FC">
      <w:pPr>
        <w:pStyle w:val="indent1"/>
        <w:ind w:left="0" w:firstLine="0"/>
        <w:rPr>
          <w:rFonts w:ascii="Times New Roman" w:hAnsi="Times New Roman"/>
        </w:rPr>
      </w:pPr>
    </w:p>
    <w:p w:rsidR="003C29FC" w:rsidRPr="000F374B" w:rsidRDefault="003C29FC" w:rsidP="003C29FC">
      <w:pPr>
        <w:ind w:left="-90"/>
        <w:rPr>
          <w:i/>
          <w:sz w:val="22"/>
          <w:szCs w:val="22"/>
        </w:rPr>
      </w:pPr>
      <w:r w:rsidRPr="000F374B">
        <w:rPr>
          <w:i/>
        </w:rPr>
        <w:t xml:space="preserve">Figure </w:t>
      </w:r>
      <w:r>
        <w:rPr>
          <w:i/>
        </w:rPr>
        <w:t>4</w:t>
      </w:r>
    </w:p>
    <w:tbl>
      <w:tblPr>
        <w:tblW w:w="9900" w:type="dxa"/>
        <w:tblInd w:w="-342" w:type="dxa"/>
        <w:tblLayout w:type="fixed"/>
        <w:tblLook w:val="0000" w:firstRow="0" w:lastRow="0" w:firstColumn="0" w:lastColumn="0" w:noHBand="0" w:noVBand="0"/>
      </w:tblPr>
      <w:tblGrid>
        <w:gridCol w:w="3060"/>
        <w:gridCol w:w="1080"/>
        <w:gridCol w:w="1080"/>
        <w:gridCol w:w="1170"/>
        <w:gridCol w:w="3510"/>
      </w:tblGrid>
      <w:tr w:rsidR="003C29FC">
        <w:trPr>
          <w:cantSplit/>
        </w:trPr>
        <w:tc>
          <w:tcPr>
            <w:tcW w:w="3060" w:type="dxa"/>
            <w:tcBorders>
              <w:top w:val="single" w:sz="12" w:space="0" w:color="auto"/>
              <w:left w:val="single" w:sz="12" w:space="0" w:color="auto"/>
              <w:bottom w:val="single" w:sz="6" w:space="0" w:color="auto"/>
              <w:right w:val="single" w:sz="6" w:space="0" w:color="auto"/>
            </w:tcBorders>
          </w:tcPr>
          <w:p w:rsidR="003C29FC" w:rsidRDefault="003C29FC">
            <w:pPr>
              <w:keepNext/>
              <w:jc w:val="center"/>
              <w:rPr>
                <w:b/>
                <w:color w:val="000000"/>
              </w:rPr>
            </w:pPr>
            <w:r>
              <w:rPr>
                <w:b/>
                <w:color w:val="000000"/>
              </w:rPr>
              <w:t>STUDY</w:t>
            </w:r>
          </w:p>
        </w:tc>
        <w:tc>
          <w:tcPr>
            <w:tcW w:w="108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xml:space="preserve">% AT 2 YRS </w:t>
            </w:r>
          </w:p>
        </w:tc>
        <w:tc>
          <w:tcPr>
            <w:tcW w:w="108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xml:space="preserve">% AT 5 YRS </w:t>
            </w:r>
          </w:p>
        </w:tc>
        <w:tc>
          <w:tcPr>
            <w:tcW w:w="117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AT 10 YRS</w:t>
            </w:r>
          </w:p>
        </w:tc>
        <w:tc>
          <w:tcPr>
            <w:tcW w:w="351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ARV THERAPY</w:t>
            </w: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rPr>
                <w:color w:val="000000"/>
              </w:rPr>
            </w:pPr>
            <w:proofErr w:type="spellStart"/>
            <w:r>
              <w:rPr>
                <w:color w:val="000000"/>
              </w:rPr>
              <w:t>Mellors</w:t>
            </w:r>
            <w:proofErr w:type="spellEnd"/>
            <w:r>
              <w:rPr>
                <w:color w:val="000000"/>
              </w:rPr>
              <w:t>, 1997</w:t>
            </w:r>
          </w:p>
          <w:p w:rsidR="003C29FC" w:rsidRDefault="003C29FC">
            <w:pPr>
              <w:rPr>
                <w:color w:val="000000"/>
              </w:rPr>
            </w:pPr>
            <w:r>
              <w:rPr>
                <w:color w:val="000000"/>
              </w:rPr>
              <w:t>n = 1,604 MSMs, prospective cohort (MACS)</w:t>
            </w:r>
          </w:p>
          <w:p w:rsidR="003C29FC" w:rsidRDefault="003C29FC">
            <w:pPr>
              <w:rPr>
                <w:color w:val="000000"/>
              </w:rPr>
            </w:pPr>
          </w:p>
          <w:p w:rsidR="003C29FC" w:rsidRDefault="003C29FC">
            <w:pPr>
              <w:rPr>
                <w:color w:val="000000"/>
              </w:rPr>
            </w:pPr>
            <w:r>
              <w:rPr>
                <w:color w:val="000000"/>
              </w:rPr>
              <w:t xml:space="preserve">Source: 870 </w:t>
            </w:r>
            <w:proofErr w:type="spellStart"/>
            <w:r>
              <w:rPr>
                <w:color w:val="000000"/>
              </w:rPr>
              <w:t>asympt</w:t>
            </w:r>
            <w:proofErr w:type="spellEnd"/>
            <w:r>
              <w:rPr>
                <w:color w:val="000000"/>
              </w:rPr>
              <w:t>. (P)</w:t>
            </w:r>
          </w:p>
          <w:p w:rsidR="003C29FC" w:rsidRDefault="003C29FC">
            <w:pPr>
              <w:rPr>
                <w:color w:val="000000"/>
              </w:rPr>
            </w:pPr>
          </w:p>
          <w:p w:rsidR="003C29FC" w:rsidRDefault="003C29FC">
            <w:pPr>
              <w:rPr>
                <w:color w:val="000000"/>
              </w:rPr>
            </w:pPr>
            <w:r>
              <w:rPr>
                <w:color w:val="000000"/>
              </w:rPr>
              <w:t>Target: 1987 AIDS</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r>
              <w:rPr>
                <w:color w:val="000000"/>
              </w:rPr>
              <w:t>p. 953: Authors report mixed ARV use, but not results by ARV use because baseline HIV RNA values (predictive of outcome) did not differ by ARV status.</w:t>
            </w: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jc w:val="right"/>
              <w:rPr>
                <w:b/>
                <w:color w:val="000000"/>
              </w:rPr>
            </w:pPr>
            <w:r>
              <w:rPr>
                <w:i/>
                <w:color w:val="000000"/>
              </w:rPr>
              <w:t>AIDS Cum</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5%</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24%</w:t>
            </w: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55%</w:t>
            </w: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jc w:val="right"/>
              <w:rPr>
                <w:b/>
                <w:color w:val="000000"/>
              </w:rPr>
            </w:pPr>
            <w:r>
              <w:rPr>
                <w:i/>
                <w:color w:val="000000"/>
              </w:rPr>
              <w:t>Died</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r>
    </w:tbl>
    <w:p w:rsidR="003C29FC" w:rsidRDefault="003C29FC">
      <w:pPr>
        <w:pStyle w:val="indent1"/>
        <w:ind w:left="0" w:firstLine="0"/>
        <w:rPr>
          <w:rFonts w:ascii="Times New Roman" w:hAnsi="Times New Roman"/>
        </w:rPr>
      </w:pPr>
    </w:p>
    <w:p w:rsidR="003C29FC" w:rsidRPr="00DC5075" w:rsidRDefault="003C29FC">
      <w:pPr>
        <w:pStyle w:val="Heading8"/>
        <w:rPr>
          <w:rFonts w:ascii="Times" w:hAnsi="Times"/>
          <w:b w:val="0"/>
          <w:smallCaps w:val="0"/>
          <w:sz w:val="22"/>
          <w:szCs w:val="22"/>
        </w:rPr>
      </w:pPr>
      <w:r w:rsidRPr="00DC5075">
        <w:rPr>
          <w:rFonts w:ascii="Times" w:hAnsi="Times"/>
          <w:b w:val="0"/>
          <w:smallCaps w:val="0"/>
          <w:sz w:val="22"/>
          <w:szCs w:val="22"/>
        </w:rPr>
        <w:t>We then summarized multiple studies. In the table below, each study gets a row. Two- and five-year transition probabilities are reported, according to the extent of ARV use in the study cohorts (little, mixed, or most). We found that a higher prevalence of ARV use was associated, in general, with lower progression rates. Also, we found that prevalent populations (P) show more rapid progression than incident populations (I), since prevalent populations include individuals who have been in the source state for a while. In the model, we used mostly transitions from incident studies, since that more closely matched how we used the Markov. The best estimate values are in the bottom row; we used the “little” ARV values for benchmarking.</w:t>
      </w:r>
    </w:p>
    <w:p w:rsidR="003C29FC" w:rsidRDefault="003C29FC"/>
    <w:p w:rsidR="003C29FC" w:rsidRPr="000F374B" w:rsidRDefault="003C29FC" w:rsidP="003C29FC">
      <w:pPr>
        <w:keepNext/>
        <w:ind w:left="-86"/>
        <w:rPr>
          <w:i/>
          <w:sz w:val="22"/>
          <w:szCs w:val="22"/>
        </w:rPr>
      </w:pPr>
      <w:r w:rsidRPr="000F374B">
        <w:rPr>
          <w:i/>
          <w:sz w:val="22"/>
          <w:szCs w:val="22"/>
        </w:rPr>
        <w:lastRenderedPageBreak/>
        <w:t>Figure 5</w:t>
      </w:r>
    </w:p>
    <w:p w:rsidR="003C29FC" w:rsidRDefault="00BC1A83">
      <w:pPr>
        <w:ind w:left="-720"/>
      </w:pPr>
      <w:r>
        <w:rPr>
          <w:noProof/>
          <w:sz w:val="28"/>
        </w:rPr>
        <w:drawing>
          <wp:inline distT="0" distB="0" distL="0" distR="0" wp14:anchorId="0090CD00" wp14:editId="4E151699">
            <wp:extent cx="6410325" cy="3238500"/>
            <wp:effectExtent l="19050" t="1905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3238500"/>
                    </a:xfrm>
                    <a:prstGeom prst="rect">
                      <a:avLst/>
                    </a:prstGeom>
                    <a:noFill/>
                    <a:ln w="6350" cmpd="sng">
                      <a:solidFill>
                        <a:srgbClr val="000000"/>
                      </a:solidFill>
                      <a:miter lim="800000"/>
                      <a:headEnd/>
                      <a:tailEnd/>
                    </a:ln>
                    <a:effectLst/>
                  </pic:spPr>
                </pic:pic>
              </a:graphicData>
            </a:graphic>
          </wp:inline>
        </w:drawing>
      </w:r>
    </w:p>
    <w:p w:rsidR="003C29FC" w:rsidRDefault="003C29FC">
      <w:pPr>
        <w:pStyle w:val="Heading8"/>
        <w:rPr>
          <w:rFonts w:ascii="Times" w:hAnsi="Times"/>
          <w:b w:val="0"/>
          <w:smallCaps w:val="0"/>
          <w:sz w:val="24"/>
        </w:rPr>
      </w:pPr>
    </w:p>
    <w:p w:rsidR="003C29FC" w:rsidRPr="00DC5075" w:rsidRDefault="003C29FC">
      <w:pPr>
        <w:rPr>
          <w:sz w:val="22"/>
          <w:szCs w:val="22"/>
        </w:rPr>
      </w:pPr>
      <w:r w:rsidRPr="00DC5075">
        <w:rPr>
          <w:sz w:val="22"/>
          <w:szCs w:val="22"/>
        </w:rPr>
        <w:t>We also collected data on the increased use of single and two-drug ARV regimens (i.e., non-HAART) since the cohort studies were conducted, and on the decreasing death rates attributed to improved prophylaxis. We used these later to adjust transition probabilities.</w:t>
      </w:r>
    </w:p>
    <w:p w:rsidR="003C29FC" w:rsidRPr="00DC5075" w:rsidRDefault="003C29FC">
      <w:pPr>
        <w:rPr>
          <w:sz w:val="22"/>
          <w:szCs w:val="22"/>
        </w:rPr>
      </w:pPr>
    </w:p>
    <w:p w:rsidR="003C29FC" w:rsidRDefault="003C29FC">
      <w:pPr>
        <w:rPr>
          <w:sz w:val="22"/>
          <w:szCs w:val="22"/>
        </w:rPr>
      </w:pPr>
      <w:r w:rsidRPr="00DC5075">
        <w:rPr>
          <w:sz w:val="22"/>
          <w:szCs w:val="22"/>
        </w:rPr>
        <w:t xml:space="preserve">To determine HAART </w:t>
      </w:r>
      <w:r w:rsidRPr="00177A44">
        <w:rPr>
          <w:b/>
          <w:i/>
          <w:iCs/>
          <w:sz w:val="22"/>
          <w:szCs w:val="22"/>
        </w:rPr>
        <w:t>effectiveness</w:t>
      </w:r>
      <w:r w:rsidRPr="00DC5075">
        <w:rPr>
          <w:sz w:val="22"/>
          <w:szCs w:val="22"/>
        </w:rPr>
        <w:t xml:space="preserve"> (as compared no or fewer ARVs) we reviewed all clinical studies that we could find, and reduced them to the following type of concise tabular summary. ADE = AIDS defining clinical event.</w:t>
      </w:r>
    </w:p>
    <w:p w:rsidR="003C29FC" w:rsidRPr="00DC5075" w:rsidRDefault="003C29FC">
      <w:pPr>
        <w:rPr>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6</w:t>
      </w:r>
    </w:p>
    <w:tbl>
      <w:tblPr>
        <w:tblW w:w="0" w:type="auto"/>
        <w:tblInd w:w="-72" w:type="dxa"/>
        <w:tblLayout w:type="fixed"/>
        <w:tblLook w:val="0000" w:firstRow="0" w:lastRow="0" w:firstColumn="0" w:lastColumn="0" w:noHBand="0" w:noVBand="0"/>
      </w:tblPr>
      <w:tblGrid>
        <w:gridCol w:w="1620"/>
        <w:gridCol w:w="1260"/>
        <w:gridCol w:w="990"/>
        <w:gridCol w:w="900"/>
        <w:gridCol w:w="990"/>
        <w:gridCol w:w="990"/>
        <w:gridCol w:w="1080"/>
        <w:gridCol w:w="990"/>
      </w:tblGrid>
      <w:tr w:rsidR="003C29FC">
        <w:tc>
          <w:tcPr>
            <w:tcW w:w="1620" w:type="dxa"/>
          </w:tcPr>
          <w:p w:rsidR="003C29FC" w:rsidRDefault="003C29FC">
            <w:pPr>
              <w:ind w:left="90" w:hanging="90"/>
              <w:rPr>
                <w:b/>
              </w:rPr>
            </w:pPr>
          </w:p>
        </w:tc>
        <w:tc>
          <w:tcPr>
            <w:tcW w:w="1260" w:type="dxa"/>
          </w:tcPr>
          <w:p w:rsidR="003C29FC" w:rsidRDefault="003C29FC">
            <w:pPr>
              <w:ind w:left="-108" w:right="-108"/>
              <w:jc w:val="center"/>
              <w:rPr>
                <w:b/>
              </w:rPr>
            </w:pPr>
          </w:p>
        </w:tc>
        <w:tc>
          <w:tcPr>
            <w:tcW w:w="1890" w:type="dxa"/>
            <w:gridSpan w:val="2"/>
          </w:tcPr>
          <w:p w:rsidR="003C29FC" w:rsidRDefault="003C29FC">
            <w:pPr>
              <w:jc w:val="center"/>
              <w:rPr>
                <w:b/>
              </w:rPr>
            </w:pPr>
            <w:r>
              <w:rPr>
                <w:b/>
              </w:rPr>
              <w:t>vs. dual</w:t>
            </w:r>
          </w:p>
        </w:tc>
        <w:tc>
          <w:tcPr>
            <w:tcW w:w="1980" w:type="dxa"/>
            <w:gridSpan w:val="2"/>
          </w:tcPr>
          <w:p w:rsidR="003C29FC" w:rsidRDefault="003C29FC">
            <w:pPr>
              <w:jc w:val="center"/>
              <w:rPr>
                <w:b/>
              </w:rPr>
            </w:pPr>
            <w:r>
              <w:rPr>
                <w:b/>
              </w:rPr>
              <w:t>vs. mono</w:t>
            </w:r>
          </w:p>
        </w:tc>
        <w:tc>
          <w:tcPr>
            <w:tcW w:w="2070" w:type="dxa"/>
            <w:gridSpan w:val="2"/>
          </w:tcPr>
          <w:p w:rsidR="003C29FC" w:rsidRDefault="003C29FC">
            <w:pPr>
              <w:jc w:val="center"/>
              <w:rPr>
                <w:b/>
              </w:rPr>
            </w:pPr>
            <w:r>
              <w:rPr>
                <w:b/>
              </w:rPr>
              <w:t>vs. none</w:t>
            </w:r>
          </w:p>
        </w:tc>
      </w:tr>
      <w:tr w:rsidR="003C29FC">
        <w:tc>
          <w:tcPr>
            <w:tcW w:w="1620" w:type="dxa"/>
          </w:tcPr>
          <w:p w:rsidR="003C29FC" w:rsidRDefault="003C29FC">
            <w:pPr>
              <w:ind w:left="90" w:hanging="90"/>
              <w:rPr>
                <w:b/>
              </w:rPr>
            </w:pPr>
          </w:p>
        </w:tc>
        <w:tc>
          <w:tcPr>
            <w:tcW w:w="1260" w:type="dxa"/>
          </w:tcPr>
          <w:p w:rsidR="003C29FC" w:rsidRDefault="003C29FC">
            <w:pPr>
              <w:ind w:left="-108" w:right="-108"/>
              <w:jc w:val="center"/>
              <w:rPr>
                <w:b/>
              </w:rPr>
            </w:pPr>
          </w:p>
        </w:tc>
        <w:tc>
          <w:tcPr>
            <w:tcW w:w="990" w:type="dxa"/>
          </w:tcPr>
          <w:p w:rsidR="003C29FC" w:rsidRDefault="003C29FC">
            <w:pPr>
              <w:jc w:val="center"/>
              <w:rPr>
                <w:b/>
              </w:rPr>
            </w:pPr>
            <w:r>
              <w:rPr>
                <w:b/>
              </w:rPr>
              <w:t>ADE</w:t>
            </w:r>
          </w:p>
        </w:tc>
        <w:tc>
          <w:tcPr>
            <w:tcW w:w="900" w:type="dxa"/>
          </w:tcPr>
          <w:p w:rsidR="003C29FC" w:rsidRDefault="003C29FC">
            <w:pPr>
              <w:jc w:val="center"/>
              <w:rPr>
                <w:b/>
              </w:rPr>
            </w:pPr>
            <w:r>
              <w:rPr>
                <w:b/>
              </w:rPr>
              <w:t>Death</w:t>
            </w:r>
          </w:p>
        </w:tc>
        <w:tc>
          <w:tcPr>
            <w:tcW w:w="990" w:type="dxa"/>
          </w:tcPr>
          <w:p w:rsidR="003C29FC" w:rsidRDefault="003C29FC">
            <w:pPr>
              <w:jc w:val="center"/>
              <w:rPr>
                <w:b/>
              </w:rPr>
            </w:pPr>
            <w:r>
              <w:rPr>
                <w:b/>
              </w:rPr>
              <w:t>ADE</w:t>
            </w:r>
          </w:p>
        </w:tc>
        <w:tc>
          <w:tcPr>
            <w:tcW w:w="990" w:type="dxa"/>
          </w:tcPr>
          <w:p w:rsidR="003C29FC" w:rsidRDefault="003C29FC">
            <w:pPr>
              <w:jc w:val="center"/>
              <w:rPr>
                <w:b/>
              </w:rPr>
            </w:pPr>
            <w:r>
              <w:rPr>
                <w:b/>
              </w:rPr>
              <w:t>Death</w:t>
            </w:r>
          </w:p>
        </w:tc>
        <w:tc>
          <w:tcPr>
            <w:tcW w:w="1080" w:type="dxa"/>
          </w:tcPr>
          <w:p w:rsidR="003C29FC" w:rsidRDefault="003C29FC">
            <w:pPr>
              <w:jc w:val="center"/>
              <w:rPr>
                <w:b/>
              </w:rPr>
            </w:pPr>
            <w:r>
              <w:rPr>
                <w:b/>
              </w:rPr>
              <w:t>ADE</w:t>
            </w:r>
          </w:p>
        </w:tc>
        <w:tc>
          <w:tcPr>
            <w:tcW w:w="990" w:type="dxa"/>
          </w:tcPr>
          <w:p w:rsidR="003C29FC" w:rsidRDefault="003C29FC">
            <w:pPr>
              <w:jc w:val="center"/>
              <w:rPr>
                <w:b/>
              </w:rPr>
            </w:pPr>
            <w:r>
              <w:rPr>
                <w:b/>
              </w:rPr>
              <w:t>Death</w:t>
            </w:r>
          </w:p>
        </w:tc>
      </w:tr>
      <w:tr w:rsidR="003C29FC">
        <w:tc>
          <w:tcPr>
            <w:tcW w:w="1620" w:type="dxa"/>
          </w:tcPr>
          <w:p w:rsidR="003C29FC" w:rsidRDefault="003C29FC">
            <w:pPr>
              <w:ind w:left="90" w:hanging="90"/>
            </w:pPr>
          </w:p>
        </w:tc>
        <w:tc>
          <w:tcPr>
            <w:tcW w:w="1260" w:type="dxa"/>
          </w:tcPr>
          <w:p w:rsidR="003C29FC" w:rsidRDefault="003C29FC">
            <w:pPr>
              <w:ind w:left="-108" w:right="-108"/>
              <w:jc w:val="center"/>
            </w:pP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p>
        </w:tc>
        <w:tc>
          <w:tcPr>
            <w:tcW w:w="1080" w:type="dxa"/>
          </w:tcPr>
          <w:p w:rsidR="003C29FC" w:rsidRDefault="003C29FC">
            <w:pPr>
              <w:jc w:val="center"/>
            </w:pPr>
          </w:p>
        </w:tc>
        <w:tc>
          <w:tcPr>
            <w:tcW w:w="990" w:type="dxa"/>
          </w:tcPr>
          <w:p w:rsidR="003C29FC" w:rsidRDefault="003C29FC">
            <w:pPr>
              <w:jc w:val="center"/>
            </w:pPr>
          </w:p>
        </w:tc>
      </w:tr>
      <w:tr w:rsidR="003C29FC">
        <w:trPr>
          <w:cantSplit/>
        </w:trPr>
        <w:tc>
          <w:tcPr>
            <w:tcW w:w="8820" w:type="dxa"/>
            <w:gridSpan w:val="8"/>
            <w:shd w:val="pct10" w:color="auto" w:fill="auto"/>
          </w:tcPr>
          <w:p w:rsidR="003C29FC" w:rsidRDefault="003C29FC">
            <w:r>
              <w:rPr>
                <w:b/>
              </w:rPr>
              <w:t xml:space="preserve">Source state = AIDS (1993 or 1987 </w:t>
            </w:r>
            <w:proofErr w:type="spellStart"/>
            <w:r>
              <w:rPr>
                <w:b/>
              </w:rPr>
              <w:t>defn</w:t>
            </w:r>
            <w:proofErr w:type="spellEnd"/>
            <w:r>
              <w:rPr>
                <w:b/>
              </w:rPr>
              <w:t>)</w:t>
            </w:r>
          </w:p>
        </w:tc>
      </w:tr>
      <w:tr w:rsidR="003C29FC">
        <w:tc>
          <w:tcPr>
            <w:tcW w:w="1620" w:type="dxa"/>
          </w:tcPr>
          <w:p w:rsidR="003C29FC" w:rsidRDefault="003C29FC">
            <w:pPr>
              <w:ind w:left="90" w:hanging="90"/>
            </w:pPr>
            <w:r>
              <w:t>Cook 98</w:t>
            </w:r>
          </w:p>
        </w:tc>
        <w:tc>
          <w:tcPr>
            <w:tcW w:w="1260" w:type="dxa"/>
          </w:tcPr>
          <w:p w:rsidR="003C29FC" w:rsidRDefault="003C29FC">
            <w:pPr>
              <w:ind w:left="-108" w:right="-108"/>
              <w:jc w:val="center"/>
            </w:pPr>
            <w:proofErr w:type="spellStart"/>
            <w:r>
              <w:t>indinavir</w:t>
            </w:r>
            <w:proofErr w:type="spellEnd"/>
          </w:p>
        </w:tc>
        <w:tc>
          <w:tcPr>
            <w:tcW w:w="990" w:type="dxa"/>
          </w:tcPr>
          <w:p w:rsidR="003C29FC" w:rsidRDefault="003C29FC">
            <w:pPr>
              <w:jc w:val="center"/>
            </w:pPr>
            <w:r>
              <w:t>.53</w:t>
            </w:r>
          </w:p>
        </w:tc>
        <w:tc>
          <w:tcPr>
            <w:tcW w:w="900" w:type="dxa"/>
          </w:tcPr>
          <w:p w:rsidR="003C29FC" w:rsidRDefault="003C29FC">
            <w:pPr>
              <w:jc w:val="center"/>
            </w:pPr>
          </w:p>
        </w:tc>
        <w:tc>
          <w:tcPr>
            <w:tcW w:w="990" w:type="dxa"/>
          </w:tcPr>
          <w:p w:rsidR="003C29FC" w:rsidRDefault="003C29FC">
            <w:pPr>
              <w:jc w:val="center"/>
            </w:pPr>
            <w:r>
              <w:t>--</w:t>
            </w:r>
          </w:p>
        </w:tc>
        <w:tc>
          <w:tcPr>
            <w:tcW w:w="990" w:type="dxa"/>
          </w:tcPr>
          <w:p w:rsidR="003C29FC" w:rsidRDefault="003C29FC">
            <w:pPr>
              <w:jc w:val="center"/>
            </w:pPr>
          </w:p>
        </w:tc>
        <w:tc>
          <w:tcPr>
            <w:tcW w:w="1080" w:type="dxa"/>
          </w:tcPr>
          <w:p w:rsidR="003C29FC" w:rsidRDefault="003C29FC">
            <w:pPr>
              <w:jc w:val="center"/>
            </w:pPr>
            <w:r>
              <w:t>--</w:t>
            </w:r>
          </w:p>
        </w:tc>
        <w:tc>
          <w:tcPr>
            <w:tcW w:w="990" w:type="dxa"/>
          </w:tcPr>
          <w:p w:rsidR="003C29FC" w:rsidRDefault="003C29FC">
            <w:pPr>
              <w:jc w:val="center"/>
            </w:pPr>
          </w:p>
        </w:tc>
      </w:tr>
      <w:tr w:rsidR="003C29FC">
        <w:tc>
          <w:tcPr>
            <w:tcW w:w="1620" w:type="dxa"/>
          </w:tcPr>
          <w:p w:rsidR="003C29FC" w:rsidRDefault="003C29FC">
            <w:pPr>
              <w:ind w:left="90" w:hanging="90"/>
            </w:pPr>
            <w:r>
              <w:t>Curriers 98</w:t>
            </w:r>
          </w:p>
        </w:tc>
        <w:tc>
          <w:tcPr>
            <w:tcW w:w="1260" w:type="dxa"/>
          </w:tcPr>
          <w:p w:rsidR="003C29FC" w:rsidRDefault="003C29FC">
            <w:pPr>
              <w:ind w:left="-108" w:right="-108"/>
              <w:jc w:val="center"/>
            </w:pPr>
            <w:proofErr w:type="spellStart"/>
            <w:r>
              <w:t>indinavir</w:t>
            </w:r>
            <w:proofErr w:type="spellEnd"/>
          </w:p>
        </w:tc>
        <w:tc>
          <w:tcPr>
            <w:tcW w:w="990" w:type="dxa"/>
          </w:tcPr>
          <w:p w:rsidR="003C29FC" w:rsidRDefault="003C29FC">
            <w:pPr>
              <w:jc w:val="center"/>
            </w:pPr>
            <w:r>
              <w:t>.5</w:t>
            </w:r>
          </w:p>
        </w:tc>
        <w:tc>
          <w:tcPr>
            <w:tcW w:w="900" w:type="dxa"/>
          </w:tcPr>
          <w:p w:rsidR="003C29FC" w:rsidRDefault="003C29FC">
            <w:pPr>
              <w:jc w:val="center"/>
            </w:pPr>
          </w:p>
        </w:tc>
        <w:tc>
          <w:tcPr>
            <w:tcW w:w="990" w:type="dxa"/>
          </w:tcPr>
          <w:p w:rsidR="003C29FC" w:rsidRDefault="003C29FC">
            <w:pPr>
              <w:jc w:val="center"/>
            </w:pPr>
            <w:r>
              <w:t>--</w:t>
            </w:r>
          </w:p>
        </w:tc>
        <w:tc>
          <w:tcPr>
            <w:tcW w:w="990" w:type="dxa"/>
          </w:tcPr>
          <w:p w:rsidR="003C29FC" w:rsidRDefault="003C29FC">
            <w:pPr>
              <w:jc w:val="center"/>
            </w:pPr>
          </w:p>
        </w:tc>
        <w:tc>
          <w:tcPr>
            <w:tcW w:w="1080" w:type="dxa"/>
          </w:tcPr>
          <w:p w:rsidR="003C29FC" w:rsidRDefault="003C29FC">
            <w:pPr>
              <w:jc w:val="center"/>
            </w:pPr>
            <w:r>
              <w:t>--</w:t>
            </w:r>
          </w:p>
        </w:tc>
        <w:tc>
          <w:tcPr>
            <w:tcW w:w="990" w:type="dxa"/>
          </w:tcPr>
          <w:p w:rsidR="003C29FC" w:rsidRDefault="003C29FC">
            <w:pPr>
              <w:jc w:val="center"/>
            </w:pPr>
          </w:p>
        </w:tc>
      </w:tr>
      <w:tr w:rsidR="003C29FC">
        <w:tc>
          <w:tcPr>
            <w:tcW w:w="1620" w:type="dxa"/>
          </w:tcPr>
          <w:p w:rsidR="003C29FC" w:rsidRDefault="003C29FC">
            <w:pPr>
              <w:ind w:left="90" w:hanging="90"/>
            </w:pPr>
            <w:r>
              <w:t>Hammer 97</w:t>
            </w:r>
          </w:p>
        </w:tc>
        <w:tc>
          <w:tcPr>
            <w:tcW w:w="1260" w:type="dxa"/>
          </w:tcPr>
          <w:p w:rsidR="003C29FC" w:rsidRDefault="003C29FC">
            <w:pPr>
              <w:ind w:left="-108" w:right="-108"/>
              <w:jc w:val="center"/>
            </w:pPr>
            <w:proofErr w:type="spellStart"/>
            <w:r>
              <w:t>indinavir</w:t>
            </w:r>
            <w:proofErr w:type="spellEnd"/>
          </w:p>
        </w:tc>
        <w:tc>
          <w:tcPr>
            <w:tcW w:w="990" w:type="dxa"/>
          </w:tcPr>
          <w:p w:rsidR="003C29FC" w:rsidRDefault="003C29FC">
            <w:pPr>
              <w:jc w:val="center"/>
            </w:pPr>
            <w:r>
              <w:t>[.4?]</w:t>
            </w:r>
          </w:p>
        </w:tc>
        <w:tc>
          <w:tcPr>
            <w:tcW w:w="900" w:type="dxa"/>
          </w:tcPr>
          <w:p w:rsidR="003C29FC" w:rsidRDefault="003C29FC">
            <w:pPr>
              <w:jc w:val="center"/>
            </w:pPr>
            <w:r>
              <w:t>.6</w:t>
            </w:r>
          </w:p>
        </w:tc>
        <w:tc>
          <w:tcPr>
            <w:tcW w:w="990" w:type="dxa"/>
          </w:tcPr>
          <w:p w:rsidR="003C29FC" w:rsidRDefault="003C29FC">
            <w:pPr>
              <w:jc w:val="center"/>
            </w:pPr>
          </w:p>
        </w:tc>
        <w:tc>
          <w:tcPr>
            <w:tcW w:w="990" w:type="dxa"/>
          </w:tcPr>
          <w:p w:rsidR="003C29FC" w:rsidRDefault="003C29FC">
            <w:pPr>
              <w:jc w:val="center"/>
            </w:pPr>
            <w:r>
              <w:t>--</w:t>
            </w:r>
          </w:p>
        </w:tc>
        <w:tc>
          <w:tcPr>
            <w:tcW w:w="1080" w:type="dxa"/>
          </w:tcPr>
          <w:p w:rsidR="003C29FC" w:rsidRDefault="003C29FC">
            <w:pPr>
              <w:jc w:val="center"/>
            </w:pPr>
          </w:p>
        </w:tc>
        <w:tc>
          <w:tcPr>
            <w:tcW w:w="990" w:type="dxa"/>
          </w:tcPr>
          <w:p w:rsidR="003C29FC" w:rsidRDefault="003C29FC">
            <w:pPr>
              <w:jc w:val="center"/>
            </w:pPr>
            <w:r>
              <w:t>--</w:t>
            </w:r>
          </w:p>
        </w:tc>
      </w:tr>
      <w:tr w:rsidR="003C29FC">
        <w:tc>
          <w:tcPr>
            <w:tcW w:w="1620" w:type="dxa"/>
          </w:tcPr>
          <w:p w:rsidR="003C29FC" w:rsidRDefault="003C29FC">
            <w:pPr>
              <w:ind w:left="90" w:hanging="90"/>
            </w:pPr>
            <w:proofErr w:type="spellStart"/>
            <w:r>
              <w:t>Lalezari</w:t>
            </w:r>
            <w:proofErr w:type="spellEnd"/>
            <w:r>
              <w:t xml:space="preserve"> 96</w:t>
            </w:r>
          </w:p>
        </w:tc>
        <w:tc>
          <w:tcPr>
            <w:tcW w:w="1260" w:type="dxa"/>
          </w:tcPr>
          <w:p w:rsidR="003C29FC" w:rsidRDefault="003C29FC">
            <w:pPr>
              <w:ind w:left="-108" w:right="-108"/>
              <w:jc w:val="center"/>
            </w:pPr>
            <w:proofErr w:type="spellStart"/>
            <w:r>
              <w:t>saq</w:t>
            </w:r>
            <w:proofErr w:type="spellEnd"/>
            <w:r>
              <w:t>, dual</w:t>
            </w:r>
          </w:p>
        </w:tc>
        <w:tc>
          <w:tcPr>
            <w:tcW w:w="990" w:type="dxa"/>
          </w:tcPr>
          <w:p w:rsidR="003C29FC" w:rsidRDefault="003C29FC">
            <w:pPr>
              <w:jc w:val="center"/>
            </w:pPr>
          </w:p>
        </w:tc>
        <w:tc>
          <w:tcPr>
            <w:tcW w:w="900" w:type="dxa"/>
          </w:tcPr>
          <w:p w:rsidR="003C29FC" w:rsidRDefault="003C29FC">
            <w:pPr>
              <w:jc w:val="center"/>
            </w:pPr>
            <w:r>
              <w:t>n/a</w:t>
            </w:r>
          </w:p>
        </w:tc>
        <w:tc>
          <w:tcPr>
            <w:tcW w:w="990" w:type="dxa"/>
          </w:tcPr>
          <w:p w:rsidR="003C29FC" w:rsidRDefault="003C29FC">
            <w:pPr>
              <w:jc w:val="center"/>
            </w:pPr>
          </w:p>
        </w:tc>
        <w:tc>
          <w:tcPr>
            <w:tcW w:w="990" w:type="dxa"/>
          </w:tcPr>
          <w:p w:rsidR="003C29FC" w:rsidRDefault="003C29FC">
            <w:pPr>
              <w:jc w:val="center"/>
              <w:rPr>
                <w:i/>
              </w:rPr>
            </w:pPr>
            <w:r>
              <w:rPr>
                <w:i/>
              </w:rPr>
              <w:t>.70</w:t>
            </w:r>
          </w:p>
        </w:tc>
        <w:tc>
          <w:tcPr>
            <w:tcW w:w="1080" w:type="dxa"/>
          </w:tcPr>
          <w:p w:rsidR="003C29FC" w:rsidRDefault="003C29FC">
            <w:pPr>
              <w:jc w:val="center"/>
            </w:pPr>
          </w:p>
        </w:tc>
        <w:tc>
          <w:tcPr>
            <w:tcW w:w="990" w:type="dxa"/>
          </w:tcPr>
          <w:p w:rsidR="003C29FC" w:rsidRDefault="003C29FC">
            <w:pPr>
              <w:jc w:val="center"/>
            </w:pPr>
            <w:r>
              <w:t>--</w:t>
            </w:r>
          </w:p>
        </w:tc>
      </w:tr>
      <w:tr w:rsidR="003C29FC">
        <w:tc>
          <w:tcPr>
            <w:tcW w:w="1620" w:type="dxa"/>
          </w:tcPr>
          <w:p w:rsidR="003C29FC" w:rsidRDefault="003C29FC">
            <w:pPr>
              <w:ind w:left="90" w:hanging="90"/>
            </w:pPr>
            <w:r>
              <w:t>Cameron 96</w:t>
            </w:r>
          </w:p>
        </w:tc>
        <w:tc>
          <w:tcPr>
            <w:tcW w:w="1260" w:type="dxa"/>
          </w:tcPr>
          <w:p w:rsidR="003C29FC" w:rsidRDefault="003C29FC">
            <w:pPr>
              <w:ind w:left="-108" w:right="-108"/>
              <w:jc w:val="center"/>
            </w:pPr>
            <w:proofErr w:type="spellStart"/>
            <w:r>
              <w:t>rit</w:t>
            </w:r>
            <w:proofErr w:type="spellEnd"/>
            <w:r>
              <w:t>, dual</w:t>
            </w:r>
          </w:p>
        </w:tc>
        <w:tc>
          <w:tcPr>
            <w:tcW w:w="990" w:type="dxa"/>
          </w:tcPr>
          <w:p w:rsidR="003C29FC" w:rsidRDefault="003C29FC">
            <w:pPr>
              <w:jc w:val="center"/>
            </w:pPr>
            <w:r>
              <w:t>n/a</w:t>
            </w:r>
          </w:p>
        </w:tc>
        <w:tc>
          <w:tcPr>
            <w:tcW w:w="900" w:type="dxa"/>
          </w:tcPr>
          <w:p w:rsidR="003C29FC" w:rsidRDefault="003C29FC">
            <w:pPr>
              <w:jc w:val="center"/>
            </w:pPr>
            <w:r>
              <w:t>n/a</w:t>
            </w:r>
          </w:p>
        </w:tc>
        <w:tc>
          <w:tcPr>
            <w:tcW w:w="990" w:type="dxa"/>
          </w:tcPr>
          <w:p w:rsidR="003C29FC" w:rsidRDefault="003C29FC">
            <w:pPr>
              <w:jc w:val="center"/>
              <w:rPr>
                <w:i/>
              </w:rPr>
            </w:pPr>
            <w:r>
              <w:rPr>
                <w:i/>
              </w:rPr>
              <w:t>.54</w:t>
            </w:r>
          </w:p>
        </w:tc>
        <w:tc>
          <w:tcPr>
            <w:tcW w:w="990" w:type="dxa"/>
          </w:tcPr>
          <w:p w:rsidR="003C29FC" w:rsidRDefault="003C29FC">
            <w:pPr>
              <w:jc w:val="center"/>
              <w:rPr>
                <w:i/>
              </w:rPr>
            </w:pPr>
            <w:r>
              <w:rPr>
                <w:i/>
              </w:rPr>
              <w:t>.43</w:t>
            </w:r>
          </w:p>
        </w:tc>
        <w:tc>
          <w:tcPr>
            <w:tcW w:w="1080" w:type="dxa"/>
          </w:tcPr>
          <w:p w:rsidR="003C29FC" w:rsidRDefault="003C29FC">
            <w:pPr>
              <w:jc w:val="center"/>
            </w:pPr>
            <w:r>
              <w:t>--</w:t>
            </w:r>
          </w:p>
        </w:tc>
        <w:tc>
          <w:tcPr>
            <w:tcW w:w="990" w:type="dxa"/>
          </w:tcPr>
          <w:p w:rsidR="003C29FC" w:rsidRDefault="003C29FC">
            <w:pPr>
              <w:jc w:val="center"/>
            </w:pPr>
            <w:r>
              <w:t>--</w:t>
            </w:r>
          </w:p>
        </w:tc>
      </w:tr>
      <w:tr w:rsidR="003C29FC">
        <w:tc>
          <w:tcPr>
            <w:tcW w:w="1620" w:type="dxa"/>
          </w:tcPr>
          <w:p w:rsidR="003C29FC" w:rsidRDefault="003C29FC">
            <w:pPr>
              <w:ind w:left="90" w:right="-108" w:hanging="90"/>
            </w:pPr>
            <w:proofErr w:type="spellStart"/>
            <w:r>
              <w:t>McNaghten</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.4</w:t>
            </w:r>
          </w:p>
        </w:tc>
        <w:tc>
          <w:tcPr>
            <w:tcW w:w="990" w:type="dxa"/>
          </w:tcPr>
          <w:p w:rsidR="003C29FC" w:rsidRDefault="003C29FC">
            <w:pPr>
              <w:jc w:val="center"/>
            </w:pPr>
          </w:p>
        </w:tc>
        <w:tc>
          <w:tcPr>
            <w:tcW w:w="990" w:type="dxa"/>
          </w:tcPr>
          <w:p w:rsidR="003C29FC" w:rsidRDefault="003C29FC">
            <w:pPr>
              <w:jc w:val="center"/>
            </w:pPr>
            <w:r>
              <w:t>.6</w:t>
            </w:r>
          </w:p>
        </w:tc>
        <w:tc>
          <w:tcPr>
            <w:tcW w:w="1080" w:type="dxa"/>
          </w:tcPr>
          <w:p w:rsidR="003C29FC" w:rsidRDefault="003C29FC">
            <w:pPr>
              <w:jc w:val="center"/>
            </w:pPr>
          </w:p>
        </w:tc>
        <w:tc>
          <w:tcPr>
            <w:tcW w:w="990" w:type="dxa"/>
          </w:tcPr>
          <w:p w:rsidR="003C29FC" w:rsidRDefault="003C29FC">
            <w:pPr>
              <w:jc w:val="center"/>
            </w:pPr>
            <w:r>
              <w:t>.85</w:t>
            </w:r>
          </w:p>
        </w:tc>
      </w:tr>
      <w:tr w:rsidR="003C29FC">
        <w:tc>
          <w:tcPr>
            <w:tcW w:w="1620" w:type="dxa"/>
          </w:tcPr>
          <w:p w:rsidR="003C29FC" w:rsidRDefault="003C29FC">
            <w:pPr>
              <w:ind w:left="90" w:hanging="90"/>
            </w:pPr>
            <w:r>
              <w:t>Moore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w:t>
            </w:r>
          </w:p>
        </w:tc>
        <w:tc>
          <w:tcPr>
            <w:tcW w:w="990" w:type="dxa"/>
          </w:tcPr>
          <w:p w:rsidR="003C29FC" w:rsidRDefault="003C29FC">
            <w:pPr>
              <w:jc w:val="center"/>
            </w:pPr>
          </w:p>
        </w:tc>
        <w:tc>
          <w:tcPr>
            <w:tcW w:w="990" w:type="dxa"/>
          </w:tcPr>
          <w:p w:rsidR="003C29FC" w:rsidRDefault="003C29FC">
            <w:pPr>
              <w:jc w:val="center"/>
              <w:rPr>
                <w:i/>
              </w:rPr>
            </w:pPr>
            <w:r>
              <w:rPr>
                <w:i/>
              </w:rPr>
              <w:t>.75</w:t>
            </w:r>
          </w:p>
        </w:tc>
        <w:tc>
          <w:tcPr>
            <w:tcW w:w="1080" w:type="dxa"/>
          </w:tcPr>
          <w:p w:rsidR="003C29FC" w:rsidRDefault="003C29FC">
            <w:pPr>
              <w:jc w:val="center"/>
            </w:pPr>
          </w:p>
        </w:tc>
        <w:tc>
          <w:tcPr>
            <w:tcW w:w="990" w:type="dxa"/>
          </w:tcPr>
          <w:p w:rsidR="003C29FC" w:rsidRDefault="003C29FC">
            <w:pPr>
              <w:jc w:val="center"/>
              <w:rPr>
                <w:i/>
              </w:rPr>
            </w:pPr>
            <w:r>
              <w:rPr>
                <w:i/>
              </w:rPr>
              <w:t>.75</w:t>
            </w:r>
          </w:p>
        </w:tc>
      </w:tr>
      <w:tr w:rsidR="003C29FC">
        <w:tc>
          <w:tcPr>
            <w:tcW w:w="1620" w:type="dxa"/>
          </w:tcPr>
          <w:p w:rsidR="003C29FC" w:rsidRDefault="003C29FC">
            <w:pPr>
              <w:ind w:left="90" w:hanging="90"/>
            </w:pPr>
            <w:r>
              <w:t>Murphy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.78</w:t>
            </w:r>
          </w:p>
        </w:tc>
        <w:tc>
          <w:tcPr>
            <w:tcW w:w="990" w:type="dxa"/>
          </w:tcPr>
          <w:p w:rsidR="003C29FC" w:rsidRDefault="003C29FC">
            <w:pPr>
              <w:jc w:val="center"/>
            </w:pPr>
          </w:p>
        </w:tc>
        <w:tc>
          <w:tcPr>
            <w:tcW w:w="990" w:type="dxa"/>
          </w:tcPr>
          <w:p w:rsidR="003C29FC" w:rsidRDefault="003C29FC">
            <w:pPr>
              <w:jc w:val="center"/>
            </w:pPr>
            <w:r>
              <w:t>.91</w:t>
            </w:r>
          </w:p>
        </w:tc>
        <w:tc>
          <w:tcPr>
            <w:tcW w:w="1080" w:type="dxa"/>
          </w:tcPr>
          <w:p w:rsidR="003C29FC" w:rsidRDefault="003C29FC">
            <w:pPr>
              <w:jc w:val="center"/>
            </w:pPr>
            <w:r>
              <w:t xml:space="preserve">.60 </w:t>
            </w:r>
          </w:p>
        </w:tc>
        <w:tc>
          <w:tcPr>
            <w:tcW w:w="990" w:type="dxa"/>
          </w:tcPr>
          <w:p w:rsidR="003C29FC" w:rsidRDefault="003C29FC">
            <w:pPr>
              <w:jc w:val="center"/>
            </w:pPr>
            <w:r>
              <w:t>.93</w:t>
            </w:r>
          </w:p>
        </w:tc>
      </w:tr>
      <w:tr w:rsidR="003C29FC">
        <w:tc>
          <w:tcPr>
            <w:tcW w:w="1620" w:type="dxa"/>
          </w:tcPr>
          <w:p w:rsidR="003C29FC" w:rsidRDefault="003C29FC">
            <w:pPr>
              <w:ind w:left="90" w:hanging="90"/>
            </w:pPr>
            <w:proofErr w:type="spellStart"/>
            <w:r>
              <w:t>Palella</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.33</w:t>
            </w:r>
          </w:p>
        </w:tc>
        <w:tc>
          <w:tcPr>
            <w:tcW w:w="990" w:type="dxa"/>
          </w:tcPr>
          <w:p w:rsidR="003C29FC" w:rsidRDefault="003C29FC">
            <w:pPr>
              <w:jc w:val="center"/>
            </w:pPr>
          </w:p>
        </w:tc>
        <w:tc>
          <w:tcPr>
            <w:tcW w:w="990" w:type="dxa"/>
          </w:tcPr>
          <w:p w:rsidR="003C29FC" w:rsidRDefault="003C29FC">
            <w:pPr>
              <w:jc w:val="center"/>
            </w:pPr>
            <w:r>
              <w:t>.67</w:t>
            </w:r>
          </w:p>
        </w:tc>
        <w:tc>
          <w:tcPr>
            <w:tcW w:w="1080" w:type="dxa"/>
          </w:tcPr>
          <w:p w:rsidR="003C29FC" w:rsidRDefault="003C29FC">
            <w:pPr>
              <w:jc w:val="center"/>
            </w:pPr>
          </w:p>
        </w:tc>
        <w:tc>
          <w:tcPr>
            <w:tcW w:w="990" w:type="dxa"/>
          </w:tcPr>
          <w:p w:rsidR="003C29FC" w:rsidRDefault="003C29FC">
            <w:pPr>
              <w:jc w:val="center"/>
            </w:pPr>
            <w:r>
              <w:t>.82</w:t>
            </w:r>
          </w:p>
        </w:tc>
      </w:tr>
      <w:tr w:rsidR="003C29FC">
        <w:trPr>
          <w:trHeight w:val="301"/>
        </w:trPr>
        <w:tc>
          <w:tcPr>
            <w:tcW w:w="1620" w:type="dxa"/>
          </w:tcPr>
          <w:p w:rsidR="003C29FC" w:rsidRDefault="003C29FC">
            <w:pPr>
              <w:ind w:left="90" w:hanging="90"/>
            </w:pPr>
            <w:proofErr w:type="spellStart"/>
            <w:r>
              <w:t>Sherer</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rPr>
                <w:i/>
              </w:rPr>
            </w:pPr>
            <w:r>
              <w:rPr>
                <w:i/>
              </w:rPr>
              <w:t>&gt;.6</w:t>
            </w:r>
          </w:p>
        </w:tc>
        <w:tc>
          <w:tcPr>
            <w:tcW w:w="1080" w:type="dxa"/>
          </w:tcPr>
          <w:p w:rsidR="003C29FC" w:rsidRDefault="003C29FC">
            <w:pPr>
              <w:jc w:val="center"/>
            </w:pPr>
          </w:p>
        </w:tc>
        <w:tc>
          <w:tcPr>
            <w:tcW w:w="990" w:type="dxa"/>
          </w:tcPr>
          <w:p w:rsidR="003C29FC" w:rsidRDefault="003C29FC">
            <w:pPr>
              <w:jc w:val="center"/>
              <w:rPr>
                <w:i/>
              </w:rPr>
            </w:pPr>
            <w:r>
              <w:rPr>
                <w:i/>
              </w:rPr>
              <w:t>&gt;.6</w:t>
            </w:r>
          </w:p>
        </w:tc>
      </w:tr>
      <w:tr w:rsidR="003C29FC">
        <w:tc>
          <w:tcPr>
            <w:tcW w:w="1620" w:type="dxa"/>
          </w:tcPr>
          <w:p w:rsidR="003C29FC" w:rsidRDefault="003C29FC">
            <w:pPr>
              <w:ind w:left="90" w:hanging="90"/>
            </w:pPr>
            <w:r>
              <w:t>Wong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r>
              <w:t>.5 +</w:t>
            </w:r>
          </w:p>
        </w:tc>
        <w:tc>
          <w:tcPr>
            <w:tcW w:w="1080" w:type="dxa"/>
          </w:tcPr>
          <w:p w:rsidR="003C29FC" w:rsidRDefault="003C29FC">
            <w:pPr>
              <w:jc w:val="center"/>
            </w:pPr>
          </w:p>
        </w:tc>
        <w:tc>
          <w:tcPr>
            <w:tcW w:w="990" w:type="dxa"/>
          </w:tcPr>
          <w:p w:rsidR="003C29FC" w:rsidRDefault="003C29FC">
            <w:pPr>
              <w:jc w:val="center"/>
            </w:pPr>
          </w:p>
        </w:tc>
      </w:tr>
      <w:tr w:rsidR="003C29FC">
        <w:tc>
          <w:tcPr>
            <w:tcW w:w="1620" w:type="dxa"/>
          </w:tcPr>
          <w:p w:rsidR="003C29FC" w:rsidRDefault="003C29FC">
            <w:pPr>
              <w:ind w:left="90" w:hanging="90"/>
            </w:pPr>
            <w:proofErr w:type="spellStart"/>
            <w:r>
              <w:t>Thiessard</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.73</w:t>
            </w:r>
          </w:p>
        </w:tc>
        <w:tc>
          <w:tcPr>
            <w:tcW w:w="990" w:type="dxa"/>
          </w:tcPr>
          <w:p w:rsidR="003C29FC" w:rsidRDefault="003C29FC">
            <w:pPr>
              <w:jc w:val="center"/>
            </w:pPr>
          </w:p>
        </w:tc>
        <w:tc>
          <w:tcPr>
            <w:tcW w:w="990" w:type="dxa"/>
          </w:tcPr>
          <w:p w:rsidR="003C29FC" w:rsidRDefault="003C29FC">
            <w:pPr>
              <w:jc w:val="center"/>
            </w:pPr>
            <w:r>
              <w:t>&gt;.9</w:t>
            </w:r>
          </w:p>
        </w:tc>
        <w:tc>
          <w:tcPr>
            <w:tcW w:w="1080" w:type="dxa"/>
          </w:tcPr>
          <w:p w:rsidR="003C29FC" w:rsidRDefault="003C29FC">
            <w:pPr>
              <w:jc w:val="center"/>
            </w:pPr>
          </w:p>
        </w:tc>
        <w:tc>
          <w:tcPr>
            <w:tcW w:w="990" w:type="dxa"/>
          </w:tcPr>
          <w:p w:rsidR="003C29FC" w:rsidRDefault="003C29FC">
            <w:pPr>
              <w:jc w:val="center"/>
            </w:pPr>
            <w:r>
              <w:t>.93</w:t>
            </w:r>
          </w:p>
        </w:tc>
      </w:tr>
      <w:tr w:rsidR="003C29FC">
        <w:tc>
          <w:tcPr>
            <w:tcW w:w="1620" w:type="dxa"/>
          </w:tcPr>
          <w:p w:rsidR="003C29FC" w:rsidRDefault="003C29FC">
            <w:pPr>
              <w:ind w:left="90" w:hanging="90"/>
            </w:pPr>
          </w:p>
        </w:tc>
        <w:tc>
          <w:tcPr>
            <w:tcW w:w="1260" w:type="dxa"/>
          </w:tcPr>
          <w:p w:rsidR="003C29FC" w:rsidRDefault="003C29FC">
            <w:pPr>
              <w:ind w:left="-108" w:right="-108"/>
              <w:jc w:val="center"/>
            </w:pP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p>
        </w:tc>
        <w:tc>
          <w:tcPr>
            <w:tcW w:w="1080" w:type="dxa"/>
          </w:tcPr>
          <w:p w:rsidR="003C29FC" w:rsidRDefault="003C29FC">
            <w:pPr>
              <w:jc w:val="center"/>
            </w:pPr>
          </w:p>
        </w:tc>
        <w:tc>
          <w:tcPr>
            <w:tcW w:w="990" w:type="dxa"/>
          </w:tcPr>
          <w:p w:rsidR="003C29FC" w:rsidRDefault="003C29FC">
            <w:pPr>
              <w:jc w:val="center"/>
            </w:pPr>
          </w:p>
        </w:tc>
      </w:tr>
      <w:tr w:rsidR="003C29FC">
        <w:tc>
          <w:tcPr>
            <w:tcW w:w="2880" w:type="dxa"/>
            <w:gridSpan w:val="2"/>
          </w:tcPr>
          <w:p w:rsidR="003C29FC" w:rsidRDefault="003C29FC">
            <w:pPr>
              <w:rPr>
                <w:b/>
              </w:rPr>
            </w:pPr>
            <w:r>
              <w:rPr>
                <w:b/>
              </w:rPr>
              <w:t>Values in model (median)</w:t>
            </w:r>
          </w:p>
        </w:tc>
        <w:tc>
          <w:tcPr>
            <w:tcW w:w="990" w:type="dxa"/>
          </w:tcPr>
          <w:p w:rsidR="003C29FC" w:rsidRDefault="003C29FC">
            <w:pPr>
              <w:jc w:val="center"/>
              <w:rPr>
                <w:b/>
              </w:rPr>
            </w:pPr>
            <w:r>
              <w:rPr>
                <w:b/>
              </w:rPr>
              <w:t>.5</w:t>
            </w:r>
          </w:p>
        </w:tc>
        <w:tc>
          <w:tcPr>
            <w:tcW w:w="900" w:type="dxa"/>
          </w:tcPr>
          <w:p w:rsidR="003C29FC" w:rsidRDefault="003C29FC">
            <w:pPr>
              <w:jc w:val="center"/>
              <w:rPr>
                <w:b/>
              </w:rPr>
            </w:pPr>
            <w:r>
              <w:rPr>
                <w:b/>
              </w:rPr>
              <w:t>.6</w:t>
            </w:r>
          </w:p>
        </w:tc>
        <w:tc>
          <w:tcPr>
            <w:tcW w:w="990" w:type="dxa"/>
          </w:tcPr>
          <w:p w:rsidR="003C29FC" w:rsidRDefault="003C29FC">
            <w:pPr>
              <w:jc w:val="center"/>
              <w:rPr>
                <w:b/>
              </w:rPr>
            </w:pPr>
            <w:r>
              <w:rPr>
                <w:b/>
              </w:rPr>
              <w:t>.54</w:t>
            </w:r>
          </w:p>
        </w:tc>
        <w:tc>
          <w:tcPr>
            <w:tcW w:w="990" w:type="dxa"/>
          </w:tcPr>
          <w:p w:rsidR="003C29FC" w:rsidRDefault="003C29FC">
            <w:pPr>
              <w:jc w:val="center"/>
              <w:rPr>
                <w:b/>
              </w:rPr>
            </w:pPr>
            <w:r>
              <w:rPr>
                <w:b/>
              </w:rPr>
              <w:t>.75</w:t>
            </w:r>
          </w:p>
        </w:tc>
        <w:tc>
          <w:tcPr>
            <w:tcW w:w="1080" w:type="dxa"/>
          </w:tcPr>
          <w:p w:rsidR="003C29FC" w:rsidRDefault="003C29FC">
            <w:pPr>
              <w:jc w:val="center"/>
              <w:rPr>
                <w:b/>
              </w:rPr>
            </w:pPr>
            <w:r>
              <w:rPr>
                <w:b/>
              </w:rPr>
              <w:t>[.6]</w:t>
            </w:r>
          </w:p>
        </w:tc>
        <w:tc>
          <w:tcPr>
            <w:tcW w:w="990" w:type="dxa"/>
          </w:tcPr>
          <w:p w:rsidR="003C29FC" w:rsidRDefault="003C29FC">
            <w:pPr>
              <w:jc w:val="center"/>
              <w:rPr>
                <w:b/>
              </w:rPr>
            </w:pPr>
            <w:r>
              <w:rPr>
                <w:b/>
              </w:rPr>
              <w:t>.85</w:t>
            </w:r>
          </w:p>
        </w:tc>
      </w:tr>
    </w:tbl>
    <w:p w:rsidR="003C29FC" w:rsidRDefault="003C29FC">
      <w:pPr>
        <w:ind w:left="274" w:right="-990" w:hanging="274"/>
      </w:pPr>
      <w:r>
        <w:t xml:space="preserve">* Moore 98 - comparing combination </w:t>
      </w:r>
      <w:proofErr w:type="spellStart"/>
      <w:r>
        <w:t>arv</w:t>
      </w:r>
      <w:proofErr w:type="spellEnd"/>
      <w:r>
        <w:t xml:space="preserve"> (most with PI) vs. pre-combo era.</w:t>
      </w:r>
    </w:p>
    <w:p w:rsidR="003C29FC" w:rsidRDefault="003C29FC">
      <w:pPr>
        <w:ind w:left="274" w:right="-990" w:hanging="274"/>
      </w:pPr>
      <w:r>
        <w:t xml:space="preserve">† </w:t>
      </w:r>
      <w:proofErr w:type="spellStart"/>
      <w:r>
        <w:t>Sherer</w:t>
      </w:r>
      <w:proofErr w:type="spellEnd"/>
      <w:r>
        <w:t xml:space="preserve"> 98 - compared periods with 61% HAART vs. 6% HAART, found 60% drop in deaths.</w:t>
      </w:r>
    </w:p>
    <w:p w:rsidR="003C29FC" w:rsidRDefault="003C29FC">
      <w:r>
        <w:t xml:space="preserve">^ Wong 98 - combination </w:t>
      </w:r>
      <w:proofErr w:type="spellStart"/>
      <w:r>
        <w:t>arv</w:t>
      </w:r>
      <w:proofErr w:type="spellEnd"/>
      <w:r>
        <w:t xml:space="preserve"> with PI vs. no </w:t>
      </w:r>
      <w:proofErr w:type="spellStart"/>
      <w:r>
        <w:t>arv</w:t>
      </w:r>
      <w:proofErr w:type="spellEnd"/>
      <w:r>
        <w:t>/</w:t>
      </w:r>
      <w:proofErr w:type="spellStart"/>
      <w:r>
        <w:t>arv</w:t>
      </w:r>
      <w:proofErr w:type="spellEnd"/>
      <w:r>
        <w:t xml:space="preserve"> without PI. </w:t>
      </w:r>
      <w:proofErr w:type="spellStart"/>
      <w:r>
        <w:t>Adj</w:t>
      </w:r>
      <w:proofErr w:type="spellEnd"/>
      <w:r>
        <w:t xml:space="preserve"> OR = .32 (.125 - .8).</w:t>
      </w:r>
    </w:p>
    <w:p w:rsidR="003C29FC" w:rsidRDefault="003C29FC">
      <w:r>
        <w:t>** Murphy 98 – HAART vs. none 0.60 is for combination of AIDS and death outcomes.</w:t>
      </w:r>
    </w:p>
    <w:p w:rsidR="003C29FC" w:rsidRDefault="003C29FC"/>
    <w:p w:rsidR="003C29FC" w:rsidRDefault="003C29FC"/>
    <w:p w:rsidR="003C29FC" w:rsidRPr="00177A44" w:rsidRDefault="003C29FC">
      <w:pPr>
        <w:pStyle w:val="Heading8"/>
      </w:pPr>
      <w:r w:rsidRPr="00177A44">
        <w:rPr>
          <w:i/>
          <w:iCs/>
          <w:smallCaps w:val="0"/>
          <w:sz w:val="24"/>
        </w:rPr>
        <w:t>Implement the model</w:t>
      </w:r>
    </w:p>
    <w:p w:rsidR="003C29FC" w:rsidRDefault="003C29FC">
      <w:pPr>
        <w:pStyle w:val="Heading8"/>
        <w:rPr>
          <w:b w:val="0"/>
          <w:smallCaps w:val="0"/>
          <w:sz w:val="24"/>
        </w:rPr>
      </w:pPr>
    </w:p>
    <w:p w:rsidR="003C29FC" w:rsidRPr="00DC5075" w:rsidRDefault="003C29FC">
      <w:pPr>
        <w:rPr>
          <w:sz w:val="22"/>
          <w:szCs w:val="22"/>
        </w:rPr>
      </w:pPr>
      <w:r w:rsidRPr="00DC5075">
        <w:rPr>
          <w:sz w:val="22"/>
          <w:szCs w:val="22"/>
        </w:rPr>
        <w:t>Implementing a Markov simulation involves building the functional model, performing simulations, calibrating the model if possible, maintaining quality control, and running the final simulations.</w:t>
      </w:r>
    </w:p>
    <w:p w:rsidR="003C29FC" w:rsidRPr="00DC5075" w:rsidRDefault="003C29FC">
      <w:pPr>
        <w:rPr>
          <w:sz w:val="22"/>
          <w:szCs w:val="22"/>
        </w:rPr>
      </w:pPr>
    </w:p>
    <w:p w:rsidR="003C29FC" w:rsidRDefault="003C29FC">
      <w:pPr>
        <w:pStyle w:val="indent1"/>
        <w:ind w:left="0" w:firstLine="0"/>
        <w:rPr>
          <w:rFonts w:ascii="Times New Roman" w:hAnsi="Times New Roman"/>
          <w:sz w:val="22"/>
          <w:szCs w:val="22"/>
        </w:rPr>
      </w:pPr>
      <w:r w:rsidRPr="00177A44">
        <w:rPr>
          <w:rFonts w:ascii="Times New Roman" w:hAnsi="Times New Roman"/>
          <w:b/>
          <w:i/>
          <w:iCs/>
          <w:sz w:val="22"/>
          <w:szCs w:val="22"/>
        </w:rPr>
        <w:t>Building the model.</w:t>
      </w:r>
      <w:r w:rsidRPr="00DC5075">
        <w:rPr>
          <w:rFonts w:ascii="Times New Roman" w:hAnsi="Times New Roman"/>
          <w:sz w:val="22"/>
          <w:szCs w:val="22"/>
        </w:rPr>
        <w:t xml:space="preserve"> A Markov model can be constructed using standard protocols in standard decision analysis software. In a spreadsheet, the Markov can be custom programmed in a set of tables. One table tracks the number of individuals in each state over time (i.e., over Markov cycles), by placing each cycle in a row and each disease state in a column (or vice versa). The transition probabilities are specified in a similarly structured table. Likewise for the utilities and costs. </w:t>
      </w:r>
      <w:r w:rsidR="00177A44">
        <w:rPr>
          <w:rFonts w:ascii="Times New Roman" w:hAnsi="Times New Roman"/>
          <w:sz w:val="22"/>
          <w:szCs w:val="22"/>
        </w:rPr>
        <w:t xml:space="preserve">Examples are available on request. We will present a </w:t>
      </w:r>
      <w:r w:rsidR="00177A44" w:rsidRPr="00177A44">
        <w:rPr>
          <w:rFonts w:ascii="Times New Roman" w:hAnsi="Times New Roman"/>
          <w:b/>
          <w:sz w:val="22"/>
          <w:szCs w:val="22"/>
        </w:rPr>
        <w:t>flexible Markov template in Excel</w:t>
      </w:r>
      <w:r w:rsidR="00177A44">
        <w:rPr>
          <w:rFonts w:ascii="Times New Roman" w:hAnsi="Times New Roman"/>
          <w:sz w:val="22"/>
          <w:szCs w:val="22"/>
        </w:rPr>
        <w:t xml:space="preserve"> during lecture, and post it for your reference and use in your own analyses.</w:t>
      </w:r>
    </w:p>
    <w:p w:rsidR="00177A44" w:rsidRDefault="00177A44">
      <w:pPr>
        <w:pStyle w:val="indent1"/>
        <w:ind w:left="0" w:firstLine="0"/>
        <w:rPr>
          <w:rFonts w:ascii="Times New Roman" w:hAnsi="Times New Roman"/>
          <w:sz w:val="22"/>
          <w:szCs w:val="22"/>
        </w:rPr>
      </w:pPr>
    </w:p>
    <w:p w:rsidR="00177A44" w:rsidRPr="00177A44" w:rsidRDefault="00177A44">
      <w:pPr>
        <w:pStyle w:val="indent1"/>
        <w:ind w:left="0" w:firstLine="0"/>
        <w:rPr>
          <w:rFonts w:ascii="Times New Roman" w:hAnsi="Times New Roman"/>
          <w:sz w:val="22"/>
          <w:szCs w:val="22"/>
        </w:rPr>
      </w:pPr>
      <w:proofErr w:type="spellStart"/>
      <w:r>
        <w:rPr>
          <w:rFonts w:ascii="Times New Roman" w:hAnsi="Times New Roman"/>
          <w:sz w:val="22"/>
          <w:szCs w:val="22"/>
        </w:rPr>
        <w:t>TreeAge</w:t>
      </w:r>
      <w:proofErr w:type="spellEnd"/>
      <w:r>
        <w:rPr>
          <w:rFonts w:ascii="Times New Roman" w:hAnsi="Times New Roman"/>
          <w:sz w:val="22"/>
          <w:szCs w:val="22"/>
        </w:rPr>
        <w:t xml:space="preserve"> has an integral Markov building structure.</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Successful model-building requires careful planning of the required states and transitions. The programming itself should progress from simple to complex. Initially specify only a few transitions, e.g., moving forward one state or staying in the source state. Then add in transitions to death and to other states. At each step, check results to confirm that they make sense (see below).</w:t>
      </w:r>
    </w:p>
    <w:p w:rsidR="003C29FC" w:rsidRPr="00DC5075" w:rsidRDefault="003C29FC">
      <w:pPr>
        <w:rPr>
          <w:sz w:val="22"/>
          <w:szCs w:val="22"/>
        </w:rPr>
      </w:pPr>
    </w:p>
    <w:p w:rsidR="003C29FC" w:rsidRPr="00DC5075" w:rsidRDefault="003C29FC">
      <w:pPr>
        <w:rPr>
          <w:sz w:val="22"/>
          <w:szCs w:val="22"/>
        </w:rPr>
      </w:pPr>
      <w:r w:rsidRPr="00100FDF">
        <w:rPr>
          <w:b/>
          <w:i/>
          <w:iCs/>
          <w:sz w:val="22"/>
          <w:szCs w:val="22"/>
        </w:rPr>
        <w:t>Performing simulations</w:t>
      </w:r>
      <w:r w:rsidRPr="00100FDF">
        <w:rPr>
          <w:b/>
          <w:sz w:val="22"/>
          <w:szCs w:val="22"/>
        </w:rPr>
        <w:t xml:space="preserve"> </w:t>
      </w:r>
      <w:r w:rsidRPr="00DC5075">
        <w:rPr>
          <w:sz w:val="22"/>
          <w:szCs w:val="22"/>
        </w:rPr>
        <w:t>is tracking of the movement between states over time. An individual or a group of individuals (e.g., 1000) can be portrayed, whichever is easier to conceptualize (the results are equivalent). The analyst specifies the cycle duration (short enough so that a real patient would not have two state transitions in that duration). The program starts with the initial distribution between states, and for each cycle calculates the movement between states. The new distribution and the utilities and costs are recorded. This process (very quick on new computers!) is repeated until a specified duration is portrayed or, more commonly, the per cycle accumulation of utilities has dropped below a specified small threshold (e.g., 0.001 QALY). Since Markov simulations almost always have an “absorbing” state (e.g., death) which has zero utility and from whic</w:t>
      </w:r>
      <w:r w:rsidR="00100FDF">
        <w:rPr>
          <w:sz w:val="22"/>
          <w:szCs w:val="22"/>
        </w:rPr>
        <w:t>h individuals can</w:t>
      </w:r>
      <w:r w:rsidRPr="00DC5075">
        <w:rPr>
          <w:sz w:val="22"/>
          <w:szCs w:val="22"/>
        </w:rPr>
        <w:t>not leave, the accumulation of utility per cycle decreases over time and eventually drops below the stopping threshold.</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Calibration.</w:t>
      </w:r>
      <w:r w:rsidRPr="00DC5075">
        <w:rPr>
          <w:rFonts w:ascii="Times New Roman" w:hAnsi="Times New Roman"/>
          <w:sz w:val="22"/>
          <w:szCs w:val="22"/>
        </w:rPr>
        <w:t xml:space="preserve"> If reliable state transition probabilities are found, and if there are no relevant real-world benchmarks of disease progression, those transition probabilities can be used without further adjustment.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However, if empirical benchmarks are available, especially if they are more trustworthy than state transition data, the functioning model should do through a calibration process. The goal is to establish transition probabilities that produce the results most consistent with real-world data. This can be time-consuming. The only advice we offer is that for some calibrations it is more efficient to proceed backwards: Start the calibration for the most severe state to death; this may involve only one transition probability. Next, add each earlier state, modifying only the transition probabilities required to include that state. Proceeding forward (starting from the less severe states) may require revisiting earlier transition probabilities as those later in disease are adjusted, in order to maintain desired overall progression rates.</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Here is the documentation of part of the calibration process for the HIV model. Note that this calibration matched the model outputs to benchmarks from the cohort studies. </w:t>
      </w:r>
    </w:p>
    <w:p w:rsidR="003C29FC"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7</w:t>
      </w:r>
    </w:p>
    <w:p w:rsidR="003C29FC" w:rsidRDefault="003C29FC" w:rsidP="003C29FC">
      <w:pPr>
        <w:keepNext/>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t>Upright = benchmarks from cohort studies</w:t>
      </w:r>
      <w:r>
        <w:br/>
      </w:r>
      <w:proofErr w:type="spellStart"/>
      <w:r>
        <w:rPr>
          <w:i/>
        </w:rPr>
        <w:t>Italtics</w:t>
      </w:r>
      <w:proofErr w:type="spellEnd"/>
      <w:r>
        <w:rPr>
          <w:i/>
        </w:rPr>
        <w:t xml:space="preserve"> = from calibrated model</w:t>
      </w:r>
    </w:p>
    <w:p w:rsidR="003C29FC" w:rsidRDefault="003C29FC">
      <w:pPr>
        <w:pBdr>
          <w:top w:val="single" w:sz="4" w:space="6" w:color="auto"/>
          <w:left w:val="single" w:sz="4" w:space="31" w:color="auto"/>
          <w:bottom w:val="single" w:sz="4" w:space="4" w:color="auto"/>
          <w:right w:val="single" w:sz="4" w:space="31" w:color="auto"/>
        </w:pBdr>
        <w:tabs>
          <w:tab w:val="left" w:pos="360"/>
          <w:tab w:val="center" w:pos="5040"/>
          <w:tab w:val="center" w:pos="6480"/>
          <w:tab w:val="center" w:pos="7920"/>
        </w:tabs>
        <w:spacing w:after="80"/>
      </w:pPr>
      <w:r>
        <w:tab/>
      </w:r>
      <w:r>
        <w:tab/>
        <w:t>2 year</w:t>
      </w:r>
      <w:r>
        <w:tab/>
        <w:t>5 year</w:t>
      </w:r>
      <w:r>
        <w:tab/>
        <w:t>10 year</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rPr>
          <w:b/>
        </w:rPr>
        <w:t>Start at state 5 (AIDS 87 definition)</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a. Number alive with AIDS</w:t>
      </w:r>
      <w:r>
        <w:tab/>
        <w:t>27</w:t>
      </w:r>
      <w:r>
        <w:tab/>
        <w:t>10</w:t>
      </w:r>
      <w:r>
        <w:tab/>
        <w:t>1</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5</w:t>
      </w:r>
      <w:r>
        <w:rPr>
          <w:i/>
        </w:rPr>
        <w:tab/>
        <w:t>26</w:t>
      </w:r>
      <w:r>
        <w:rPr>
          <w:i/>
        </w:rPr>
        <w:tab/>
        <w:t>11</w:t>
      </w:r>
      <w:r>
        <w:rPr>
          <w:i/>
        </w:rPr>
        <w:tab/>
        <w:t>1</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rsidR="003C29FC" w:rsidRDefault="003C29FC">
      <w:pPr>
        <w:widowControl w:val="0"/>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b. Number dead</w:t>
      </w:r>
      <w:r>
        <w:tab/>
        <w:t>73</w:t>
      </w:r>
      <w:r>
        <w:tab/>
        <w:t xml:space="preserve">90 </w:t>
      </w:r>
      <w:r>
        <w:tab/>
        <w:t>99</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6</w:t>
      </w:r>
      <w:r>
        <w:rPr>
          <w:i/>
        </w:rPr>
        <w:tab/>
        <w:t>74</w:t>
      </w:r>
      <w:r>
        <w:rPr>
          <w:i/>
        </w:rPr>
        <w:tab/>
        <w:t>89</w:t>
      </w:r>
      <w:r>
        <w:rPr>
          <w:i/>
        </w:rPr>
        <w:tab/>
        <w:t>99</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rsidR="003C29FC" w:rsidRDefault="003C29FC">
      <w:pPr>
        <w:pBdr>
          <w:top w:val="single" w:sz="4" w:space="6" w:color="auto"/>
          <w:left w:val="single" w:sz="4" w:space="31" w:color="auto"/>
          <w:bottom w:val="single" w:sz="4" w:space="4" w:color="auto"/>
          <w:right w:val="single" w:sz="4" w:space="31" w:color="auto"/>
        </w:pBdr>
        <w:rPr>
          <w:b/>
          <w:sz w:val="28"/>
        </w:rPr>
      </w:pPr>
      <w:r>
        <w:rPr>
          <w:b/>
        </w:rPr>
        <w:t>Transition risk AIDS 87 to death, per 3 months = 0.128</w:t>
      </w:r>
    </w:p>
    <w:p w:rsidR="003C29FC" w:rsidRDefault="003C29FC">
      <w:pPr>
        <w:pStyle w:val="indent1"/>
        <w:ind w:left="0" w:firstLine="0"/>
        <w:rPr>
          <w:rFonts w:ascii="Times New Roman" w:hAnsi="Times New Roman"/>
        </w:rPr>
      </w:pPr>
    </w:p>
    <w:p w:rsidR="003C29FC" w:rsidRDefault="003C29FC">
      <w:pPr>
        <w:pStyle w:val="indent1"/>
        <w:ind w:left="0" w:firstLine="0"/>
        <w:rPr>
          <w:rFonts w:ascii="Times New Roman" w:hAnsi="Times New Roman"/>
          <w:sz w:val="22"/>
          <w:szCs w:val="22"/>
        </w:rPr>
      </w:pPr>
      <w:r w:rsidRPr="00DC5075">
        <w:rPr>
          <w:rFonts w:ascii="Times New Roman" w:hAnsi="Times New Roman"/>
          <w:sz w:val="22"/>
          <w:szCs w:val="22"/>
        </w:rPr>
        <w:t>Further adjustments in transition probabilities were made to reflect changing non-HAART ARV use and lower death rates for AIDS. This, along with the review of HAART effectiveness data,  yielded the following inputs for the model:</w:t>
      </w:r>
    </w:p>
    <w:p w:rsidR="003C29FC" w:rsidRPr="00DC5075"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8</w:t>
      </w:r>
    </w:p>
    <w:tbl>
      <w:tblPr>
        <w:tblW w:w="8940" w:type="dxa"/>
        <w:tblLayout w:type="fixed"/>
        <w:tblCellMar>
          <w:left w:w="30" w:type="dxa"/>
          <w:right w:w="30" w:type="dxa"/>
        </w:tblCellMar>
        <w:tblLook w:val="0000" w:firstRow="0" w:lastRow="0" w:firstColumn="0" w:lastColumn="0" w:noHBand="0" w:noVBand="0"/>
      </w:tblPr>
      <w:tblGrid>
        <w:gridCol w:w="3980"/>
        <w:gridCol w:w="1460"/>
        <w:gridCol w:w="1700"/>
        <w:gridCol w:w="1800"/>
      </w:tblGrid>
      <w:tr w:rsidR="003C29FC">
        <w:trPr>
          <w:cantSplit/>
          <w:trHeight w:val="700"/>
        </w:trPr>
        <w:tc>
          <w:tcPr>
            <w:tcW w:w="3980" w:type="dxa"/>
            <w:tcBorders>
              <w:top w:val="single" w:sz="6" w:space="0" w:color="auto"/>
              <w:bottom w:val="single" w:sz="6" w:space="0" w:color="auto"/>
            </w:tcBorders>
          </w:tcPr>
          <w:p w:rsidR="003C29FC" w:rsidRDefault="003C29FC">
            <w:pPr>
              <w:spacing w:before="40" w:after="40"/>
              <w:jc w:val="center"/>
              <w:rPr>
                <w:b/>
                <w:sz w:val="22"/>
              </w:rPr>
            </w:pPr>
            <w:r>
              <w:rPr>
                <w:b/>
                <w:sz w:val="22"/>
              </w:rPr>
              <w:t>Source State</w:t>
            </w:r>
          </w:p>
        </w:tc>
        <w:tc>
          <w:tcPr>
            <w:tcW w:w="1460" w:type="dxa"/>
            <w:tcBorders>
              <w:top w:val="single" w:sz="6" w:space="0" w:color="auto"/>
              <w:bottom w:val="single" w:sz="6" w:space="0" w:color="auto"/>
            </w:tcBorders>
          </w:tcPr>
          <w:p w:rsidR="003C29FC" w:rsidRDefault="003C29FC">
            <w:pPr>
              <w:spacing w:before="40" w:after="40"/>
              <w:jc w:val="center"/>
              <w:rPr>
                <w:b/>
                <w:sz w:val="22"/>
              </w:rPr>
            </w:pPr>
            <w:r>
              <w:rPr>
                <w:b/>
                <w:sz w:val="22"/>
              </w:rPr>
              <w:t>Target State</w:t>
            </w:r>
          </w:p>
        </w:tc>
        <w:tc>
          <w:tcPr>
            <w:tcW w:w="1700" w:type="dxa"/>
            <w:tcBorders>
              <w:top w:val="single" w:sz="6" w:space="0" w:color="auto"/>
              <w:bottom w:val="single" w:sz="6" w:space="0" w:color="auto"/>
            </w:tcBorders>
          </w:tcPr>
          <w:p w:rsidR="003C29FC" w:rsidRDefault="003C29FC">
            <w:pPr>
              <w:spacing w:before="40" w:after="40" w:line="240" w:lineRule="exact"/>
              <w:jc w:val="center"/>
              <w:rPr>
                <w:b/>
                <w:sz w:val="22"/>
              </w:rPr>
            </w:pPr>
            <w:r>
              <w:rPr>
                <w:b/>
                <w:sz w:val="22"/>
              </w:rPr>
              <w:t xml:space="preserve">Transition Risk per Quarter, </w:t>
            </w:r>
            <w:r>
              <w:rPr>
                <w:b/>
                <w:sz w:val="22"/>
              </w:rPr>
              <w:br/>
              <w:t xml:space="preserve">no HAART </w:t>
            </w:r>
            <w:r>
              <w:rPr>
                <w:b/>
                <w:position w:val="12"/>
                <w:sz w:val="22"/>
              </w:rPr>
              <w:t>1</w:t>
            </w:r>
          </w:p>
        </w:tc>
        <w:tc>
          <w:tcPr>
            <w:tcW w:w="1800" w:type="dxa"/>
            <w:tcBorders>
              <w:top w:val="single" w:sz="6" w:space="0" w:color="auto"/>
              <w:bottom w:val="single" w:sz="6" w:space="0" w:color="auto"/>
            </w:tcBorders>
          </w:tcPr>
          <w:p w:rsidR="003C29FC" w:rsidRDefault="003C29FC">
            <w:pPr>
              <w:spacing w:before="40" w:after="40"/>
              <w:jc w:val="center"/>
              <w:rPr>
                <w:b/>
                <w:sz w:val="22"/>
              </w:rPr>
            </w:pPr>
            <w:r>
              <w:rPr>
                <w:b/>
                <w:sz w:val="22"/>
              </w:rPr>
              <w:t>Reduction in Transition Rate with HAART</w:t>
            </w:r>
            <w:r>
              <w:rPr>
                <w:b/>
                <w:sz w:val="22"/>
                <w:vertAlign w:val="superscript"/>
              </w:rPr>
              <w:t>2</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t xml:space="preserve">0. Uninfected </w:t>
            </w:r>
            <w:r>
              <w:rPr>
                <w:b/>
                <w:position w:val="12"/>
                <w:sz w:val="22"/>
              </w:rPr>
              <w:t>3</w:t>
            </w:r>
          </w:p>
        </w:tc>
        <w:tc>
          <w:tcPr>
            <w:tcW w:w="1460" w:type="dxa"/>
            <w:tcBorders>
              <w:bottom w:val="single" w:sz="6" w:space="0" w:color="auto"/>
            </w:tcBorders>
          </w:tcPr>
          <w:p w:rsidR="003C29FC" w:rsidRDefault="003C29FC">
            <w:pPr>
              <w:spacing w:before="40" w:after="40"/>
              <w:jc w:val="center"/>
              <w:rPr>
                <w:sz w:val="22"/>
              </w:rPr>
            </w:pPr>
            <w:r>
              <w:rPr>
                <w:sz w:val="22"/>
              </w:rPr>
              <w:t>1</w:t>
            </w:r>
          </w:p>
        </w:tc>
        <w:tc>
          <w:tcPr>
            <w:tcW w:w="1700" w:type="dxa"/>
            <w:tcBorders>
              <w:bottom w:val="single" w:sz="6" w:space="0" w:color="auto"/>
            </w:tcBorders>
          </w:tcPr>
          <w:p w:rsidR="003C29FC" w:rsidRDefault="003C29FC">
            <w:pPr>
              <w:spacing w:before="40" w:after="40"/>
              <w:jc w:val="center"/>
              <w:rPr>
                <w:sz w:val="22"/>
              </w:rPr>
            </w:pPr>
            <w:r>
              <w:rPr>
                <w:sz w:val="22"/>
              </w:rPr>
              <w:t>0.00004</w:t>
            </w:r>
          </w:p>
        </w:tc>
        <w:tc>
          <w:tcPr>
            <w:tcW w:w="1800" w:type="dxa"/>
            <w:tcBorders>
              <w:bottom w:val="single" w:sz="6" w:space="0" w:color="auto"/>
            </w:tcBorders>
          </w:tcPr>
          <w:p w:rsidR="003C29FC" w:rsidRDefault="003C29FC">
            <w:pPr>
              <w:spacing w:before="40" w:after="40"/>
              <w:jc w:val="right"/>
              <w:rPr>
                <w:sz w:val="22"/>
              </w:rPr>
            </w:pPr>
          </w:p>
        </w:tc>
      </w:tr>
      <w:tr w:rsidR="003C29FC">
        <w:trPr>
          <w:cantSplit/>
          <w:trHeight w:val="220"/>
        </w:trPr>
        <w:tc>
          <w:tcPr>
            <w:tcW w:w="3980" w:type="dxa"/>
          </w:tcPr>
          <w:p w:rsidR="003C29FC" w:rsidRDefault="003C29FC">
            <w:pPr>
              <w:spacing w:before="40" w:after="40"/>
              <w:rPr>
                <w:b/>
                <w:sz w:val="22"/>
              </w:rPr>
            </w:pPr>
            <w:r>
              <w:rPr>
                <w:b/>
                <w:sz w:val="22"/>
              </w:rPr>
              <w:t>1. Asymptomatic, CD4 &gt;500</w:t>
            </w:r>
          </w:p>
        </w:tc>
        <w:tc>
          <w:tcPr>
            <w:tcW w:w="1460" w:type="dxa"/>
          </w:tcPr>
          <w:p w:rsidR="003C29FC" w:rsidRDefault="003C29FC">
            <w:pPr>
              <w:spacing w:before="40" w:after="40"/>
              <w:jc w:val="center"/>
              <w:rPr>
                <w:sz w:val="22"/>
              </w:rPr>
            </w:pPr>
            <w:r>
              <w:rPr>
                <w:sz w:val="22"/>
              </w:rPr>
              <w:t>2</w:t>
            </w:r>
          </w:p>
        </w:tc>
        <w:tc>
          <w:tcPr>
            <w:tcW w:w="1700" w:type="dxa"/>
          </w:tcPr>
          <w:p w:rsidR="003C29FC" w:rsidRDefault="003C29FC">
            <w:pPr>
              <w:spacing w:before="40" w:after="40"/>
              <w:jc w:val="center"/>
              <w:rPr>
                <w:sz w:val="22"/>
              </w:rPr>
            </w:pPr>
            <w:r>
              <w:rPr>
                <w:sz w:val="22"/>
              </w:rPr>
              <w:t>0.0200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i/>
                <w:sz w:val="22"/>
              </w:rPr>
            </w:pPr>
          </w:p>
        </w:tc>
        <w:tc>
          <w:tcPr>
            <w:tcW w:w="1460" w:type="dxa"/>
          </w:tcPr>
          <w:p w:rsidR="003C29FC" w:rsidRDefault="003C29FC">
            <w:pPr>
              <w:spacing w:before="40" w:after="40"/>
              <w:jc w:val="center"/>
              <w:rPr>
                <w:sz w:val="22"/>
              </w:rPr>
            </w:pPr>
            <w:r>
              <w:rPr>
                <w:sz w:val="22"/>
              </w:rPr>
              <w:t>3</w:t>
            </w:r>
          </w:p>
        </w:tc>
        <w:tc>
          <w:tcPr>
            <w:tcW w:w="1700" w:type="dxa"/>
          </w:tcPr>
          <w:p w:rsidR="003C29FC" w:rsidRDefault="003C29FC">
            <w:pPr>
              <w:spacing w:before="40" w:after="40"/>
              <w:jc w:val="center"/>
              <w:rPr>
                <w:sz w:val="22"/>
              </w:rPr>
            </w:pPr>
            <w:r>
              <w:rPr>
                <w:sz w:val="22"/>
              </w:rPr>
              <w:t>0.0100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0.0020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0.0005</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Borders>
              <w:bottom w:val="single" w:sz="6" w:space="0" w:color="auto"/>
            </w:tcBorders>
          </w:tcPr>
          <w:p w:rsidR="003C29FC" w:rsidRDefault="003C29FC">
            <w:pPr>
              <w:spacing w:before="40" w:after="40"/>
              <w:jc w:val="center"/>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0.0018</w:t>
            </w:r>
          </w:p>
        </w:tc>
        <w:tc>
          <w:tcPr>
            <w:tcW w:w="1800" w:type="dxa"/>
            <w:tcBorders>
              <w:bottom w:val="single" w:sz="6" w:space="0" w:color="auto"/>
            </w:tcBorders>
          </w:tcPr>
          <w:p w:rsidR="003C29FC" w:rsidRDefault="003C29FC">
            <w:pPr>
              <w:spacing w:before="40" w:after="40"/>
              <w:jc w:val="center"/>
              <w:rPr>
                <w:sz w:val="22"/>
              </w:rPr>
            </w:pPr>
            <w:r>
              <w:rPr>
                <w:sz w:val="22"/>
              </w:rPr>
              <w:t>0.84</w:t>
            </w:r>
          </w:p>
        </w:tc>
      </w:tr>
      <w:tr w:rsidR="003C29FC">
        <w:trPr>
          <w:cantSplit/>
          <w:trHeight w:val="220"/>
        </w:trPr>
        <w:tc>
          <w:tcPr>
            <w:tcW w:w="3980" w:type="dxa"/>
          </w:tcPr>
          <w:p w:rsidR="003C29FC" w:rsidRDefault="003C29FC">
            <w:pPr>
              <w:spacing w:before="40" w:after="40"/>
              <w:rPr>
                <w:b/>
                <w:sz w:val="22"/>
              </w:rPr>
            </w:pPr>
            <w:r>
              <w:rPr>
                <w:b/>
                <w:sz w:val="22"/>
              </w:rPr>
              <w:t xml:space="preserve">2. Asymptomatic, CD4 &lt;500 </w:t>
            </w:r>
          </w:p>
        </w:tc>
        <w:tc>
          <w:tcPr>
            <w:tcW w:w="1460" w:type="dxa"/>
          </w:tcPr>
          <w:p w:rsidR="003C29FC" w:rsidRDefault="003C29FC">
            <w:pPr>
              <w:spacing w:before="40" w:after="40"/>
              <w:jc w:val="center"/>
              <w:rPr>
                <w:sz w:val="22"/>
              </w:rPr>
            </w:pPr>
            <w:r>
              <w:rPr>
                <w:sz w:val="22"/>
              </w:rPr>
              <w:t>3</w:t>
            </w:r>
          </w:p>
        </w:tc>
        <w:tc>
          <w:tcPr>
            <w:tcW w:w="1700" w:type="dxa"/>
          </w:tcPr>
          <w:p w:rsidR="003C29FC" w:rsidRDefault="003C29FC">
            <w:pPr>
              <w:spacing w:before="40" w:after="40"/>
              <w:jc w:val="center"/>
              <w:rPr>
                <w:sz w:val="22"/>
              </w:rPr>
            </w:pPr>
            <w:r>
              <w:rPr>
                <w:sz w:val="22"/>
              </w:rPr>
              <w:t>0.0400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0.0050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0.0030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0.0027</w:t>
            </w:r>
          </w:p>
        </w:tc>
        <w:tc>
          <w:tcPr>
            <w:tcW w:w="1800" w:type="dxa"/>
            <w:tcBorders>
              <w:bottom w:val="single" w:sz="6" w:space="0" w:color="auto"/>
            </w:tcBorders>
          </w:tcPr>
          <w:p w:rsidR="003C29FC" w:rsidRDefault="003C29FC">
            <w:pPr>
              <w:spacing w:before="40" w:after="40"/>
              <w:jc w:val="center"/>
              <w:rPr>
                <w:sz w:val="22"/>
              </w:rPr>
            </w:pPr>
            <w:r>
              <w:rPr>
                <w:sz w:val="22"/>
              </w:rPr>
              <w:t>0.82</w:t>
            </w:r>
          </w:p>
        </w:tc>
      </w:tr>
      <w:tr w:rsidR="003C29FC">
        <w:trPr>
          <w:cantSplit/>
          <w:trHeight w:val="220"/>
        </w:trPr>
        <w:tc>
          <w:tcPr>
            <w:tcW w:w="3980" w:type="dxa"/>
          </w:tcPr>
          <w:p w:rsidR="003C29FC" w:rsidRDefault="003C29FC">
            <w:pPr>
              <w:spacing w:before="40" w:after="40"/>
              <w:rPr>
                <w:b/>
                <w:sz w:val="22"/>
              </w:rPr>
            </w:pPr>
            <w:r>
              <w:rPr>
                <w:b/>
                <w:sz w:val="22"/>
              </w:rPr>
              <w:t>3. Symptomatic, pre-AIDS</w:t>
            </w: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0.0600</w:t>
            </w:r>
          </w:p>
        </w:tc>
        <w:tc>
          <w:tcPr>
            <w:tcW w:w="1800" w:type="dxa"/>
          </w:tcPr>
          <w:p w:rsidR="003C29FC" w:rsidRDefault="003C29FC">
            <w:pPr>
              <w:spacing w:before="40" w:after="40"/>
              <w:jc w:val="center"/>
              <w:rPr>
                <w:sz w:val="22"/>
              </w:rPr>
            </w:pPr>
            <w:r>
              <w:rPr>
                <w:sz w:val="22"/>
              </w:rPr>
              <w:t>0.87</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0.0200</w:t>
            </w:r>
          </w:p>
        </w:tc>
        <w:tc>
          <w:tcPr>
            <w:tcW w:w="1800" w:type="dxa"/>
          </w:tcPr>
          <w:p w:rsidR="003C29FC" w:rsidRDefault="003C29FC">
            <w:pPr>
              <w:spacing w:before="40" w:after="40"/>
              <w:jc w:val="center"/>
              <w:rPr>
                <w:sz w:val="22"/>
              </w:rPr>
            </w:pPr>
            <w:r>
              <w:rPr>
                <w:sz w:val="22"/>
              </w:rPr>
              <w:t>0.87</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0.0030</w:t>
            </w:r>
          </w:p>
        </w:tc>
        <w:tc>
          <w:tcPr>
            <w:tcW w:w="1800" w:type="dxa"/>
            <w:tcBorders>
              <w:bottom w:val="single" w:sz="6" w:space="0" w:color="auto"/>
            </w:tcBorders>
          </w:tcPr>
          <w:p w:rsidR="003C29FC" w:rsidRDefault="003C29FC">
            <w:pPr>
              <w:spacing w:before="40" w:after="40"/>
              <w:jc w:val="center"/>
              <w:rPr>
                <w:sz w:val="22"/>
              </w:rPr>
            </w:pPr>
            <w:r>
              <w:rPr>
                <w:sz w:val="22"/>
              </w:rPr>
              <w:t>0.79</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t xml:space="preserve">4*. AIDS, 1993 but not 1987 definition, incident </w:t>
            </w:r>
            <w:r>
              <w:rPr>
                <w:b/>
                <w:position w:val="12"/>
                <w:sz w:val="22"/>
              </w:rPr>
              <w:t>4</w:t>
            </w:r>
          </w:p>
        </w:tc>
        <w:tc>
          <w:tcPr>
            <w:tcW w:w="1460" w:type="dxa"/>
            <w:tcBorders>
              <w:bottom w:val="single" w:sz="6" w:space="0" w:color="auto"/>
            </w:tcBorders>
          </w:tcPr>
          <w:p w:rsidR="003C29FC" w:rsidRDefault="003C29FC">
            <w:pPr>
              <w:spacing w:before="40" w:after="40"/>
              <w:jc w:val="center"/>
              <w:rPr>
                <w:sz w:val="22"/>
              </w:rPr>
            </w:pPr>
            <w:r>
              <w:rPr>
                <w:sz w:val="22"/>
              </w:rPr>
              <w:t>4</w:t>
            </w:r>
          </w:p>
        </w:tc>
        <w:tc>
          <w:tcPr>
            <w:tcW w:w="1700" w:type="dxa"/>
            <w:tcBorders>
              <w:bottom w:val="single" w:sz="6" w:space="0" w:color="auto"/>
            </w:tcBorders>
          </w:tcPr>
          <w:p w:rsidR="003C29FC" w:rsidRDefault="003C29FC">
            <w:pPr>
              <w:spacing w:before="40" w:after="40"/>
              <w:jc w:val="center"/>
              <w:rPr>
                <w:sz w:val="22"/>
              </w:rPr>
            </w:pPr>
            <w:r>
              <w:rPr>
                <w:sz w:val="22"/>
              </w:rPr>
              <w:t>0.1200</w:t>
            </w:r>
          </w:p>
        </w:tc>
        <w:tc>
          <w:tcPr>
            <w:tcW w:w="1800" w:type="dxa"/>
            <w:tcBorders>
              <w:bottom w:val="single" w:sz="6" w:space="0" w:color="auto"/>
            </w:tcBorders>
          </w:tcPr>
          <w:p w:rsidR="003C29FC" w:rsidRDefault="003C29FC">
            <w:pPr>
              <w:spacing w:before="40" w:after="40"/>
              <w:jc w:val="center"/>
              <w:rPr>
                <w:sz w:val="22"/>
              </w:rPr>
            </w:pPr>
            <w:r>
              <w:rPr>
                <w:sz w:val="22"/>
              </w:rPr>
              <w:t>0.54</w:t>
            </w:r>
          </w:p>
        </w:tc>
      </w:tr>
      <w:tr w:rsidR="003C29FC">
        <w:trPr>
          <w:cantSplit/>
          <w:trHeight w:val="220"/>
        </w:trPr>
        <w:tc>
          <w:tcPr>
            <w:tcW w:w="3980" w:type="dxa"/>
          </w:tcPr>
          <w:p w:rsidR="003C29FC" w:rsidRDefault="003C29FC">
            <w:pPr>
              <w:spacing w:before="40" w:after="40"/>
              <w:rPr>
                <w:b/>
                <w:sz w:val="22"/>
              </w:rPr>
            </w:pPr>
            <w:r>
              <w:rPr>
                <w:b/>
                <w:sz w:val="22"/>
              </w:rPr>
              <w:t>4. AIDS, 1993 but not 1987 definition</w:t>
            </w: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0.0300</w:t>
            </w:r>
          </w:p>
        </w:tc>
        <w:tc>
          <w:tcPr>
            <w:tcW w:w="1800" w:type="dxa"/>
          </w:tcPr>
          <w:p w:rsidR="003C29FC" w:rsidRDefault="003C29FC">
            <w:pPr>
              <w:spacing w:before="40" w:after="40"/>
              <w:jc w:val="center"/>
              <w:rPr>
                <w:sz w:val="22"/>
              </w:rPr>
            </w:pPr>
            <w:r>
              <w:rPr>
                <w:sz w:val="22"/>
              </w:rPr>
              <w:t>0.54</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0.0120</w:t>
            </w:r>
          </w:p>
        </w:tc>
        <w:tc>
          <w:tcPr>
            <w:tcW w:w="1800" w:type="dxa"/>
            <w:tcBorders>
              <w:bottom w:val="single" w:sz="6" w:space="0" w:color="auto"/>
            </w:tcBorders>
          </w:tcPr>
          <w:p w:rsidR="003C29FC" w:rsidRDefault="003C29FC">
            <w:pPr>
              <w:spacing w:before="40" w:after="40"/>
              <w:jc w:val="center"/>
              <w:rPr>
                <w:sz w:val="22"/>
              </w:rPr>
            </w:pPr>
            <w:r>
              <w:rPr>
                <w:sz w:val="22"/>
              </w:rPr>
              <w:t>0.70</w:t>
            </w:r>
          </w:p>
        </w:tc>
      </w:tr>
      <w:tr w:rsidR="003C29FC">
        <w:trPr>
          <w:cantSplit/>
          <w:trHeight w:val="220"/>
        </w:trPr>
        <w:tc>
          <w:tcPr>
            <w:tcW w:w="3980" w:type="dxa"/>
            <w:tcBorders>
              <w:bottom w:val="single" w:sz="6" w:space="0" w:color="auto"/>
            </w:tcBorders>
          </w:tcPr>
          <w:p w:rsidR="003C29FC" w:rsidRDefault="003C29FC">
            <w:pPr>
              <w:spacing w:before="40" w:after="40"/>
              <w:rPr>
                <w:b/>
                <w:sz w:val="22"/>
              </w:rPr>
            </w:pPr>
            <w:r>
              <w:rPr>
                <w:b/>
                <w:sz w:val="22"/>
              </w:rPr>
              <w:t>5. AIDS, 1987 definition</w:t>
            </w: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0.0470</w:t>
            </w:r>
          </w:p>
        </w:tc>
        <w:tc>
          <w:tcPr>
            <w:tcW w:w="1800" w:type="dxa"/>
            <w:tcBorders>
              <w:bottom w:val="single" w:sz="6" w:space="0" w:color="auto"/>
            </w:tcBorders>
          </w:tcPr>
          <w:p w:rsidR="003C29FC" w:rsidRDefault="003C29FC">
            <w:pPr>
              <w:spacing w:before="40" w:after="40"/>
              <w:jc w:val="center"/>
              <w:rPr>
                <w:sz w:val="22"/>
              </w:rPr>
            </w:pPr>
            <w:r>
              <w:rPr>
                <w:sz w:val="22"/>
              </w:rPr>
              <w:t>0.67</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t>6. Death</w:t>
            </w:r>
          </w:p>
        </w:tc>
        <w:tc>
          <w:tcPr>
            <w:tcW w:w="1460" w:type="dxa"/>
            <w:tcBorders>
              <w:bottom w:val="single" w:sz="6" w:space="0" w:color="auto"/>
            </w:tcBorders>
          </w:tcPr>
          <w:p w:rsidR="003C29FC" w:rsidRDefault="003C29FC">
            <w:pPr>
              <w:spacing w:before="40" w:after="40"/>
              <w:jc w:val="center"/>
              <w:rPr>
                <w:sz w:val="22"/>
              </w:rPr>
            </w:pPr>
            <w:r>
              <w:rPr>
                <w:sz w:val="22"/>
              </w:rPr>
              <w:t>n/a</w:t>
            </w:r>
          </w:p>
        </w:tc>
        <w:tc>
          <w:tcPr>
            <w:tcW w:w="1700" w:type="dxa"/>
            <w:tcBorders>
              <w:bottom w:val="single" w:sz="6" w:space="0" w:color="auto"/>
            </w:tcBorders>
          </w:tcPr>
          <w:p w:rsidR="003C29FC" w:rsidRDefault="003C29FC">
            <w:pPr>
              <w:spacing w:before="40" w:after="40"/>
              <w:jc w:val="center"/>
              <w:rPr>
                <w:sz w:val="22"/>
              </w:rPr>
            </w:pPr>
            <w:r>
              <w:rPr>
                <w:sz w:val="22"/>
              </w:rPr>
              <w:t>n/a</w:t>
            </w:r>
          </w:p>
        </w:tc>
        <w:tc>
          <w:tcPr>
            <w:tcW w:w="1800" w:type="dxa"/>
            <w:tcBorders>
              <w:bottom w:val="single" w:sz="6" w:space="0" w:color="auto"/>
            </w:tcBorders>
          </w:tcPr>
          <w:p w:rsidR="003C29FC" w:rsidRDefault="003C29FC">
            <w:pPr>
              <w:spacing w:before="40" w:after="40"/>
              <w:jc w:val="center"/>
              <w:rPr>
                <w:sz w:val="22"/>
              </w:rPr>
            </w:pPr>
            <w:r>
              <w:rPr>
                <w:sz w:val="22"/>
              </w:rPr>
              <w:t>n/a</w:t>
            </w:r>
          </w:p>
        </w:tc>
      </w:tr>
      <w:tr w:rsidR="003C29FC">
        <w:trPr>
          <w:cantSplit/>
          <w:trHeight w:val="377"/>
        </w:trPr>
        <w:tc>
          <w:tcPr>
            <w:tcW w:w="3980" w:type="dxa"/>
          </w:tcPr>
          <w:p w:rsidR="003C29FC" w:rsidRDefault="003C29FC">
            <w:pPr>
              <w:rPr>
                <w:sz w:val="22"/>
              </w:rPr>
            </w:pPr>
            <w:r>
              <w:rPr>
                <w:sz w:val="22"/>
              </w:rPr>
              <w:lastRenderedPageBreak/>
              <w:t>Notes:</w:t>
            </w:r>
          </w:p>
        </w:tc>
        <w:tc>
          <w:tcPr>
            <w:tcW w:w="1460" w:type="dxa"/>
          </w:tcPr>
          <w:p w:rsidR="003C29FC" w:rsidRDefault="003C29FC">
            <w:pPr>
              <w:jc w:val="right"/>
              <w:rPr>
                <w:sz w:val="22"/>
              </w:rPr>
            </w:pPr>
          </w:p>
        </w:tc>
        <w:tc>
          <w:tcPr>
            <w:tcW w:w="1700" w:type="dxa"/>
          </w:tcPr>
          <w:p w:rsidR="003C29FC" w:rsidRDefault="003C29FC">
            <w:pPr>
              <w:jc w:val="right"/>
              <w:rPr>
                <w:sz w:val="22"/>
              </w:rPr>
            </w:pPr>
          </w:p>
        </w:tc>
        <w:tc>
          <w:tcPr>
            <w:tcW w:w="1800" w:type="dxa"/>
          </w:tcPr>
          <w:p w:rsidR="003C29FC" w:rsidRDefault="003C29FC">
            <w:pPr>
              <w:jc w:val="right"/>
              <w:rPr>
                <w:sz w:val="22"/>
              </w:rPr>
            </w:pPr>
          </w:p>
        </w:tc>
      </w:tr>
      <w:tr w:rsidR="003C29FC">
        <w:trPr>
          <w:cantSplit/>
          <w:trHeight w:val="220"/>
        </w:trPr>
        <w:tc>
          <w:tcPr>
            <w:tcW w:w="8940" w:type="dxa"/>
            <w:gridSpan w:val="4"/>
          </w:tcPr>
          <w:p w:rsidR="003C29FC" w:rsidRDefault="003C29FC">
            <w:pPr>
              <w:pStyle w:val="Footer"/>
              <w:tabs>
                <w:tab w:val="clear" w:pos="4320"/>
                <w:tab w:val="clear" w:pos="8640"/>
              </w:tabs>
              <w:rPr>
                <w:sz w:val="22"/>
              </w:rPr>
            </w:pPr>
            <w:r>
              <w:rPr>
                <w:sz w:val="22"/>
              </w:rPr>
              <w:t>1. Transition probabilities without HAART assume current mix of non-HAART ARVs</w:t>
            </w:r>
          </w:p>
        </w:tc>
      </w:tr>
      <w:tr w:rsidR="003C29FC">
        <w:trPr>
          <w:cantSplit/>
          <w:trHeight w:val="220"/>
        </w:trPr>
        <w:tc>
          <w:tcPr>
            <w:tcW w:w="8940" w:type="dxa"/>
            <w:gridSpan w:val="4"/>
          </w:tcPr>
          <w:p w:rsidR="003C29FC" w:rsidRDefault="003C29FC">
            <w:pPr>
              <w:rPr>
                <w:sz w:val="22"/>
              </w:rPr>
            </w:pPr>
            <w:r>
              <w:rPr>
                <w:sz w:val="22"/>
              </w:rPr>
              <w:t>2. HAART effects assume current mix of non-HAART antiretroviral use.</w:t>
            </w:r>
          </w:p>
        </w:tc>
      </w:tr>
      <w:tr w:rsidR="003C29FC">
        <w:trPr>
          <w:cantSplit/>
          <w:trHeight w:val="220"/>
        </w:trPr>
        <w:tc>
          <w:tcPr>
            <w:tcW w:w="8940" w:type="dxa"/>
            <w:gridSpan w:val="4"/>
          </w:tcPr>
          <w:p w:rsidR="003C29FC" w:rsidRDefault="003C29FC">
            <w:pPr>
              <w:rPr>
                <w:sz w:val="22"/>
              </w:rPr>
            </w:pPr>
            <w:r>
              <w:rPr>
                <w:sz w:val="22"/>
              </w:rPr>
              <w:t>3. Stage 0 transition yields HIV incidence in U.S. of 40,000 per year</w:t>
            </w:r>
          </w:p>
        </w:tc>
      </w:tr>
      <w:tr w:rsidR="003C29FC">
        <w:trPr>
          <w:cantSplit/>
          <w:trHeight w:val="220"/>
        </w:trPr>
        <w:tc>
          <w:tcPr>
            <w:tcW w:w="8940" w:type="dxa"/>
            <w:gridSpan w:val="4"/>
          </w:tcPr>
          <w:p w:rsidR="003C29FC" w:rsidRDefault="003C29FC">
            <w:pPr>
              <w:rPr>
                <w:sz w:val="22"/>
              </w:rPr>
            </w:pPr>
            <w:r>
              <w:rPr>
                <w:sz w:val="22"/>
              </w:rPr>
              <w:t>4. Stage 4* adjusts for the use of prevalent cohorts to calibrate progression from stage 4.</w:t>
            </w:r>
          </w:p>
        </w:tc>
      </w:tr>
    </w:tbl>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Quality</w:t>
      </w:r>
      <w:r w:rsidR="00100FDF">
        <w:rPr>
          <w:rFonts w:ascii="Times New Roman" w:hAnsi="Times New Roman"/>
          <w:b/>
          <w:i/>
          <w:iCs/>
          <w:sz w:val="22"/>
          <w:szCs w:val="22"/>
        </w:rPr>
        <w:t xml:space="preserve"> </w:t>
      </w:r>
      <w:r w:rsidRPr="00100FDF">
        <w:rPr>
          <w:rFonts w:ascii="Times New Roman" w:hAnsi="Times New Roman"/>
          <w:b/>
          <w:i/>
          <w:iCs/>
          <w:sz w:val="22"/>
          <w:szCs w:val="22"/>
        </w:rPr>
        <w:t>control/debugging.</w:t>
      </w:r>
      <w:r w:rsidRPr="00DC5075">
        <w:rPr>
          <w:rFonts w:ascii="Times New Roman" w:hAnsi="Times New Roman"/>
          <w:sz w:val="22"/>
          <w:szCs w:val="22"/>
        </w:rPr>
        <w:t xml:space="preserve"> Markov models are complex. They are rarely “transparent” – the workings are hidden from view. Thus it is particularly important to monitor the accuracy of model outputs. The calibration process, when necessary, accomplishes part of that. However, other checks are worthwhile. We suggest the following:</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Range checks:</w:t>
      </w:r>
      <w:r w:rsidRPr="00DC5075">
        <w:rPr>
          <w:rFonts w:ascii="Times New Roman" w:hAnsi="Times New Roman"/>
          <w:sz w:val="22"/>
          <w:szCs w:val="22"/>
        </w:rPr>
        <w:t xml:space="preserve"> Are the results within a plausible range? For example, could there really be only 6.2 QALYs expected per person when mean survival is 12 years?</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1-way SA:</w:t>
      </w:r>
      <w:r w:rsidRPr="00DC5075">
        <w:rPr>
          <w:rFonts w:ascii="Times New Roman" w:hAnsi="Times New Roman"/>
          <w:sz w:val="22"/>
          <w:szCs w:val="22"/>
        </w:rPr>
        <w:t xml:space="preserve"> Do extreme values produce expected effects? </w:t>
      </w:r>
      <w:proofErr w:type="spellStart"/>
      <w:r w:rsidRPr="00DC5075">
        <w:rPr>
          <w:rFonts w:ascii="Times New Roman" w:hAnsi="Times New Roman"/>
          <w:sz w:val="22"/>
          <w:szCs w:val="22"/>
        </w:rPr>
        <w:t>E.g</w:t>
      </w:r>
      <w:proofErr w:type="spellEnd"/>
      <w:r w:rsidRPr="00DC5075">
        <w:rPr>
          <w:rFonts w:ascii="Times New Roman" w:hAnsi="Times New Roman"/>
          <w:sz w:val="22"/>
          <w:szCs w:val="22"/>
        </w:rPr>
        <w:t>, does zero effectiveness generate zero gain in QALYs, and does 100% effectiveness freeze disease progression? Does each unit change in effectiveness (e.g., from 10% to 20% and from 80% to 90%) generate equal magnitude changes in outcome? As always, 1-way SA are easier to track and interpret when applied to the narrowest outcome (e.g., QALYs expected rather than $/QALY).</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Markov trace:</w:t>
      </w:r>
      <w:r w:rsidRPr="00DC5075">
        <w:rPr>
          <w:rFonts w:ascii="Times New Roman" w:hAnsi="Times New Roman"/>
          <w:sz w:val="22"/>
          <w:szCs w:val="22"/>
        </w:rPr>
        <w:t xml:space="preserve"> A trace shows the distribution by state for each Markov cycle. If examined closely, or preferably graphed, it shows the evolution of disease progression, and can reveal if patterns seems reasonable.</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 modeling, we used all of these techniques. We found (and fixed!) multiple errors, some blatant and some subtle, in a very complex Excel spreadsheet.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Run final simulations.</w:t>
      </w:r>
      <w:r w:rsidRPr="00100FDF">
        <w:rPr>
          <w:rFonts w:ascii="Times New Roman" w:hAnsi="Times New Roman"/>
          <w:b/>
          <w:sz w:val="22"/>
          <w:szCs w:val="22"/>
        </w:rPr>
        <w:t xml:space="preserve"> </w:t>
      </w:r>
      <w:r w:rsidRPr="00DC5075">
        <w:rPr>
          <w:rFonts w:ascii="Times New Roman" w:hAnsi="Times New Roman"/>
          <w:sz w:val="22"/>
          <w:szCs w:val="22"/>
        </w:rPr>
        <w:t xml:space="preserve">The last step is running the final simulations to generate the results you will report. This is an exciting culmination of preparatory work, leaving you confident that you have a Markov simulation that portrays the right health states, with the right transitions and defensible transition risks, all debugged and ready to roll. Some models will calculate all the desired outcomes (e.g., QALYs and costs for all arms, net differences, and CE ratios). Other models may require you to repeat the analysis with a different set of inputs, and set up the comparisons afterwards. The concept and end product are the same. </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Reporting of results is similar to that for any CEA – showing expected values for each arm and the net differences between arms, using a combination of standard format and customized tables and figures. Below are the clinical results from the HIV analysis. How this analysis is reported reflects the reason we conducted it – to examine a potential change in Medicaid eligibility rules. Medicaid rule changes are evaluated in terms of expected outcomes with and without the Medicaid rule change, over five years. </w:t>
      </w:r>
    </w:p>
    <w:p w:rsidR="003C29FC" w:rsidRPr="00DC5075"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br w:type="page"/>
      </w:r>
      <w:r w:rsidRPr="000F374B">
        <w:rPr>
          <w:i/>
          <w:sz w:val="22"/>
          <w:szCs w:val="22"/>
        </w:rPr>
        <w:lastRenderedPageBreak/>
        <w:t xml:space="preserve">Figure </w:t>
      </w:r>
      <w:r>
        <w:rPr>
          <w:i/>
          <w:sz w:val="22"/>
          <w:szCs w:val="22"/>
        </w:rPr>
        <w:t>9</w:t>
      </w:r>
    </w:p>
    <w:tbl>
      <w:tblPr>
        <w:tblW w:w="10020" w:type="dxa"/>
        <w:tblInd w:w="-510" w:type="dxa"/>
        <w:tblLayout w:type="fixed"/>
        <w:tblCellMar>
          <w:left w:w="30" w:type="dxa"/>
          <w:right w:w="30" w:type="dxa"/>
        </w:tblCellMar>
        <w:tblLook w:val="0000" w:firstRow="0" w:lastRow="0" w:firstColumn="0" w:lastColumn="0" w:noHBand="0" w:noVBand="0"/>
      </w:tblPr>
      <w:tblGrid>
        <w:gridCol w:w="2910"/>
        <w:gridCol w:w="990"/>
        <w:gridCol w:w="1080"/>
        <w:gridCol w:w="1080"/>
        <w:gridCol w:w="1080"/>
        <w:gridCol w:w="1080"/>
        <w:gridCol w:w="1800"/>
      </w:tblGrid>
      <w:tr w:rsidR="003C29FC">
        <w:trPr>
          <w:trHeight w:val="400"/>
        </w:trPr>
        <w:tc>
          <w:tcPr>
            <w:tcW w:w="2910" w:type="dxa"/>
            <w:tcBorders>
              <w:bottom w:val="single" w:sz="6" w:space="0" w:color="auto"/>
            </w:tcBorders>
          </w:tcPr>
          <w:p w:rsidR="003C29FC" w:rsidRDefault="003C29FC">
            <w:pPr>
              <w:spacing w:before="60" w:after="60"/>
              <w:ind w:right="60"/>
              <w:jc w:val="center"/>
              <w:rPr>
                <w:b/>
              </w:rPr>
            </w:pPr>
          </w:p>
        </w:tc>
        <w:tc>
          <w:tcPr>
            <w:tcW w:w="990" w:type="dxa"/>
            <w:tcBorders>
              <w:top w:val="single" w:sz="6" w:space="0" w:color="auto"/>
              <w:bottom w:val="single" w:sz="6" w:space="0" w:color="auto"/>
            </w:tcBorders>
          </w:tcPr>
          <w:p w:rsidR="003C29FC" w:rsidRDefault="003C29FC">
            <w:pPr>
              <w:spacing w:before="60" w:after="60"/>
              <w:jc w:val="center"/>
              <w:rPr>
                <w:b/>
              </w:rPr>
            </w:pPr>
            <w:r>
              <w:rPr>
                <w:b/>
              </w:rPr>
              <w:t>Year 1</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2</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3</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4</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5</w:t>
            </w:r>
          </w:p>
        </w:tc>
        <w:tc>
          <w:tcPr>
            <w:tcW w:w="1800" w:type="dxa"/>
            <w:tcBorders>
              <w:top w:val="single" w:sz="6" w:space="0" w:color="auto"/>
              <w:bottom w:val="single" w:sz="6" w:space="0" w:color="auto"/>
            </w:tcBorders>
          </w:tcPr>
          <w:p w:rsidR="003C29FC" w:rsidRDefault="003C29FC">
            <w:pPr>
              <w:spacing w:before="60" w:after="60"/>
              <w:jc w:val="center"/>
              <w:rPr>
                <w:b/>
              </w:rPr>
            </w:pPr>
            <w:r>
              <w:rPr>
                <w:b/>
              </w:rPr>
              <w:t>Total</w:t>
            </w:r>
          </w:p>
        </w:tc>
      </w:tr>
      <w:tr w:rsidR="003C29FC">
        <w:trPr>
          <w:trHeight w:val="400"/>
        </w:trPr>
        <w:tc>
          <w:tcPr>
            <w:tcW w:w="2910" w:type="dxa"/>
          </w:tcPr>
          <w:p w:rsidR="003C29FC" w:rsidRDefault="003C29FC">
            <w:pPr>
              <w:spacing w:before="60" w:after="60"/>
              <w:ind w:right="60"/>
              <w:jc w:val="right"/>
            </w:pPr>
          </w:p>
        </w:tc>
        <w:tc>
          <w:tcPr>
            <w:tcW w:w="99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800" w:type="dxa"/>
          </w:tcPr>
          <w:p w:rsidR="003C29FC" w:rsidRDefault="003C29FC">
            <w:pPr>
              <w:spacing w:before="60" w:after="60"/>
              <w:jc w:val="right"/>
            </w:pPr>
          </w:p>
        </w:tc>
      </w:tr>
      <w:tr w:rsidR="003C29FC">
        <w:trPr>
          <w:trHeight w:val="400"/>
        </w:trPr>
        <w:tc>
          <w:tcPr>
            <w:tcW w:w="2910" w:type="dxa"/>
          </w:tcPr>
          <w:p w:rsidR="003C29FC" w:rsidRDefault="003C29FC">
            <w:pPr>
              <w:spacing w:before="60" w:after="60"/>
              <w:ind w:right="60"/>
              <w:rPr>
                <w:b/>
              </w:rPr>
            </w:pPr>
            <w:r>
              <w:rPr>
                <w:b/>
              </w:rPr>
              <w:t>New AIDS diagnoses</w:t>
            </w:r>
          </w:p>
        </w:tc>
        <w:tc>
          <w:tcPr>
            <w:tcW w:w="99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800" w:type="dxa"/>
          </w:tcPr>
          <w:p w:rsidR="003C29FC" w:rsidRDefault="003C29FC">
            <w:pPr>
              <w:spacing w:before="60" w:after="60"/>
              <w:jc w:val="center"/>
              <w:rPr>
                <w:b/>
              </w:rP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49,745</w:t>
            </w:r>
          </w:p>
        </w:tc>
        <w:tc>
          <w:tcPr>
            <w:tcW w:w="1080" w:type="dxa"/>
          </w:tcPr>
          <w:p w:rsidR="003C29FC" w:rsidRDefault="003C29FC">
            <w:pPr>
              <w:spacing w:before="60" w:after="60"/>
              <w:ind w:right="60"/>
              <w:jc w:val="right"/>
            </w:pPr>
            <w:r>
              <w:t>44,535</w:t>
            </w:r>
          </w:p>
        </w:tc>
        <w:tc>
          <w:tcPr>
            <w:tcW w:w="1080" w:type="dxa"/>
          </w:tcPr>
          <w:p w:rsidR="003C29FC" w:rsidRDefault="003C29FC">
            <w:pPr>
              <w:spacing w:before="60" w:after="60"/>
              <w:ind w:right="60"/>
              <w:jc w:val="right"/>
            </w:pPr>
            <w:r>
              <w:t>40,451</w:t>
            </w:r>
          </w:p>
        </w:tc>
        <w:tc>
          <w:tcPr>
            <w:tcW w:w="1080" w:type="dxa"/>
          </w:tcPr>
          <w:p w:rsidR="003C29FC" w:rsidRDefault="003C29FC">
            <w:pPr>
              <w:spacing w:before="60" w:after="60"/>
              <w:ind w:right="60"/>
              <w:jc w:val="right"/>
            </w:pPr>
            <w:r>
              <w:t>37,294</w:t>
            </w:r>
          </w:p>
        </w:tc>
        <w:tc>
          <w:tcPr>
            <w:tcW w:w="1080" w:type="dxa"/>
          </w:tcPr>
          <w:p w:rsidR="003C29FC" w:rsidRDefault="003C29FC">
            <w:pPr>
              <w:spacing w:before="60" w:after="60"/>
              <w:ind w:right="60"/>
              <w:jc w:val="right"/>
            </w:pPr>
            <w:r>
              <w:t>34,893</w:t>
            </w:r>
          </w:p>
        </w:tc>
        <w:tc>
          <w:tcPr>
            <w:tcW w:w="1800" w:type="dxa"/>
          </w:tcPr>
          <w:p w:rsidR="003C29FC" w:rsidRDefault="003C29FC">
            <w:pPr>
              <w:spacing w:before="60" w:after="60"/>
              <w:jc w:val="center"/>
            </w:pPr>
            <w:r>
              <w:t>206,918</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46,313</w:t>
            </w:r>
          </w:p>
        </w:tc>
        <w:tc>
          <w:tcPr>
            <w:tcW w:w="1080" w:type="dxa"/>
          </w:tcPr>
          <w:p w:rsidR="003C29FC" w:rsidRDefault="003C29FC">
            <w:pPr>
              <w:spacing w:before="60" w:after="60"/>
              <w:ind w:right="60"/>
              <w:jc w:val="right"/>
            </w:pPr>
            <w:r>
              <w:t>41,599</w:t>
            </w:r>
          </w:p>
        </w:tc>
        <w:tc>
          <w:tcPr>
            <w:tcW w:w="1080" w:type="dxa"/>
          </w:tcPr>
          <w:p w:rsidR="003C29FC" w:rsidRDefault="003C29FC">
            <w:pPr>
              <w:spacing w:before="60" w:after="60"/>
              <w:ind w:right="60"/>
              <w:jc w:val="right"/>
            </w:pPr>
            <w:r>
              <w:t>37,912</w:t>
            </w:r>
          </w:p>
        </w:tc>
        <w:tc>
          <w:tcPr>
            <w:tcW w:w="1080" w:type="dxa"/>
          </w:tcPr>
          <w:p w:rsidR="003C29FC" w:rsidRDefault="003C29FC">
            <w:pPr>
              <w:spacing w:before="60" w:after="60"/>
              <w:ind w:right="60"/>
              <w:jc w:val="right"/>
            </w:pPr>
            <w:r>
              <w:t>35,070</w:t>
            </w:r>
          </w:p>
        </w:tc>
        <w:tc>
          <w:tcPr>
            <w:tcW w:w="1080" w:type="dxa"/>
          </w:tcPr>
          <w:p w:rsidR="003C29FC" w:rsidRDefault="003C29FC">
            <w:pPr>
              <w:spacing w:before="60" w:after="60"/>
              <w:ind w:right="60"/>
              <w:jc w:val="right"/>
            </w:pPr>
            <w:r>
              <w:t>32,916</w:t>
            </w:r>
          </w:p>
        </w:tc>
        <w:tc>
          <w:tcPr>
            <w:tcW w:w="1800" w:type="dxa"/>
          </w:tcPr>
          <w:p w:rsidR="003C29FC" w:rsidRDefault="003C29FC">
            <w:pPr>
              <w:spacing w:before="60" w:after="60"/>
              <w:jc w:val="center"/>
            </w:pPr>
            <w:r>
              <w:t>193,810</w:t>
            </w:r>
          </w:p>
        </w:tc>
      </w:tr>
      <w:tr w:rsidR="003C29FC">
        <w:trPr>
          <w:trHeight w:val="400"/>
        </w:trPr>
        <w:tc>
          <w:tcPr>
            <w:tcW w:w="2910" w:type="dxa"/>
          </w:tcPr>
          <w:p w:rsidR="003C29FC" w:rsidRDefault="003C29FC">
            <w:pPr>
              <w:spacing w:before="60" w:after="60"/>
              <w:ind w:right="60"/>
              <w:jc w:val="right"/>
            </w:pPr>
            <w:r>
              <w:t>Difference</w:t>
            </w:r>
          </w:p>
        </w:tc>
        <w:tc>
          <w:tcPr>
            <w:tcW w:w="990" w:type="dxa"/>
          </w:tcPr>
          <w:p w:rsidR="003C29FC" w:rsidRDefault="003C29FC">
            <w:pPr>
              <w:spacing w:before="60" w:after="60"/>
              <w:ind w:right="60"/>
              <w:jc w:val="right"/>
            </w:pPr>
            <w:r>
              <w:t>-3,432</w:t>
            </w:r>
          </w:p>
        </w:tc>
        <w:tc>
          <w:tcPr>
            <w:tcW w:w="1080" w:type="dxa"/>
          </w:tcPr>
          <w:p w:rsidR="003C29FC" w:rsidRDefault="003C29FC">
            <w:pPr>
              <w:spacing w:before="60" w:after="60"/>
              <w:ind w:right="60"/>
              <w:jc w:val="right"/>
            </w:pPr>
            <w:r>
              <w:t>-2,935</w:t>
            </w:r>
          </w:p>
        </w:tc>
        <w:tc>
          <w:tcPr>
            <w:tcW w:w="1080" w:type="dxa"/>
          </w:tcPr>
          <w:p w:rsidR="003C29FC" w:rsidRDefault="003C29FC">
            <w:pPr>
              <w:spacing w:before="60" w:after="60"/>
              <w:ind w:right="60"/>
              <w:jc w:val="right"/>
            </w:pPr>
            <w:r>
              <w:t>-2,539</w:t>
            </w:r>
          </w:p>
        </w:tc>
        <w:tc>
          <w:tcPr>
            <w:tcW w:w="1080" w:type="dxa"/>
          </w:tcPr>
          <w:p w:rsidR="003C29FC" w:rsidRDefault="003C29FC">
            <w:pPr>
              <w:spacing w:before="60" w:after="60"/>
              <w:ind w:right="60"/>
              <w:jc w:val="right"/>
            </w:pPr>
            <w:r>
              <w:t>-2,225</w:t>
            </w:r>
          </w:p>
        </w:tc>
        <w:tc>
          <w:tcPr>
            <w:tcW w:w="1080" w:type="dxa"/>
          </w:tcPr>
          <w:p w:rsidR="003C29FC" w:rsidRDefault="003C29FC">
            <w:pPr>
              <w:spacing w:before="60" w:after="60"/>
              <w:ind w:right="60"/>
              <w:jc w:val="right"/>
            </w:pPr>
            <w:r>
              <w:t>-1,978</w:t>
            </w:r>
          </w:p>
        </w:tc>
        <w:tc>
          <w:tcPr>
            <w:tcW w:w="1800" w:type="dxa"/>
          </w:tcPr>
          <w:p w:rsidR="003C29FC" w:rsidRDefault="003C29FC">
            <w:pPr>
              <w:spacing w:before="60" w:after="60"/>
              <w:jc w:val="center"/>
            </w:pPr>
            <w:r>
              <w:t>-13,108</w:t>
            </w:r>
          </w:p>
        </w:tc>
      </w:tr>
      <w:tr w:rsidR="003C29FC">
        <w:trPr>
          <w:trHeight w:val="400"/>
        </w:trPr>
        <w:tc>
          <w:tcPr>
            <w:tcW w:w="2910" w:type="dxa"/>
          </w:tcPr>
          <w:p w:rsidR="003C29FC" w:rsidRDefault="003C29FC">
            <w:pPr>
              <w:spacing w:before="60" w:after="60"/>
              <w:ind w:right="60"/>
              <w:jc w:val="center"/>
            </w:pPr>
          </w:p>
        </w:tc>
        <w:tc>
          <w:tcPr>
            <w:tcW w:w="99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800" w:type="dxa"/>
          </w:tcPr>
          <w:p w:rsidR="003C29FC" w:rsidRDefault="003C29FC">
            <w:pPr>
              <w:jc w:val="center"/>
              <w:rPr>
                <w:rFonts w:ascii="Geneva" w:hAnsi="Geneva"/>
                <w:color w:val="000000"/>
              </w:rPr>
            </w:pPr>
          </w:p>
        </w:tc>
      </w:tr>
      <w:tr w:rsidR="003C29FC">
        <w:trPr>
          <w:trHeight w:val="400"/>
        </w:trPr>
        <w:tc>
          <w:tcPr>
            <w:tcW w:w="2910" w:type="dxa"/>
          </w:tcPr>
          <w:p w:rsidR="003C29FC" w:rsidRDefault="003C29FC">
            <w:pPr>
              <w:spacing w:before="60" w:after="60"/>
              <w:ind w:right="60"/>
              <w:rPr>
                <w:b/>
              </w:rPr>
            </w:pPr>
            <w:r>
              <w:rPr>
                <w:b/>
              </w:rPr>
              <w:t>Deaths</w:t>
            </w:r>
          </w:p>
        </w:tc>
        <w:tc>
          <w:tcPr>
            <w:tcW w:w="99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800" w:type="dxa"/>
          </w:tcPr>
          <w:p w:rsidR="003C29FC" w:rsidRDefault="003C29FC">
            <w:pPr>
              <w:spacing w:before="60" w:after="60"/>
              <w:jc w:val="center"/>
              <w:rPr>
                <w:b/>
              </w:rP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18,209</w:t>
            </w:r>
          </w:p>
        </w:tc>
        <w:tc>
          <w:tcPr>
            <w:tcW w:w="1080" w:type="dxa"/>
          </w:tcPr>
          <w:p w:rsidR="003C29FC" w:rsidRDefault="003C29FC">
            <w:pPr>
              <w:spacing w:before="60" w:after="60"/>
              <w:ind w:right="60"/>
              <w:jc w:val="right"/>
            </w:pPr>
            <w:r>
              <w:t>18,872</w:t>
            </w:r>
          </w:p>
        </w:tc>
        <w:tc>
          <w:tcPr>
            <w:tcW w:w="1080" w:type="dxa"/>
          </w:tcPr>
          <w:p w:rsidR="003C29FC" w:rsidRDefault="003C29FC">
            <w:pPr>
              <w:spacing w:before="60" w:after="60"/>
              <w:ind w:right="60"/>
              <w:jc w:val="right"/>
            </w:pPr>
            <w:r>
              <w:t>19,659</w:t>
            </w:r>
          </w:p>
        </w:tc>
        <w:tc>
          <w:tcPr>
            <w:tcW w:w="1080" w:type="dxa"/>
          </w:tcPr>
          <w:p w:rsidR="003C29FC" w:rsidRDefault="003C29FC">
            <w:pPr>
              <w:spacing w:before="60" w:after="60"/>
              <w:ind w:right="60"/>
              <w:jc w:val="right"/>
            </w:pPr>
            <w:r>
              <w:t>20,479</w:t>
            </w:r>
          </w:p>
        </w:tc>
        <w:tc>
          <w:tcPr>
            <w:tcW w:w="1080" w:type="dxa"/>
          </w:tcPr>
          <w:p w:rsidR="003C29FC" w:rsidRDefault="003C29FC">
            <w:pPr>
              <w:spacing w:before="60" w:after="60"/>
              <w:ind w:right="60"/>
              <w:jc w:val="right"/>
            </w:pPr>
            <w:r>
              <w:t>21,280</w:t>
            </w:r>
          </w:p>
        </w:tc>
        <w:tc>
          <w:tcPr>
            <w:tcW w:w="1800" w:type="dxa"/>
          </w:tcPr>
          <w:p w:rsidR="003C29FC" w:rsidRDefault="003C29FC">
            <w:pPr>
              <w:spacing w:before="60" w:after="60"/>
              <w:jc w:val="center"/>
            </w:pPr>
            <w:r>
              <w:t>98,497</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17,763</w:t>
            </w:r>
          </w:p>
        </w:tc>
        <w:tc>
          <w:tcPr>
            <w:tcW w:w="1080" w:type="dxa"/>
          </w:tcPr>
          <w:p w:rsidR="003C29FC" w:rsidRDefault="003C29FC">
            <w:pPr>
              <w:spacing w:before="60" w:after="60"/>
              <w:ind w:right="60"/>
              <w:jc w:val="right"/>
            </w:pPr>
            <w:r>
              <w:t>18,390</w:t>
            </w:r>
          </w:p>
        </w:tc>
        <w:tc>
          <w:tcPr>
            <w:tcW w:w="1080" w:type="dxa"/>
          </w:tcPr>
          <w:p w:rsidR="003C29FC" w:rsidRDefault="003C29FC">
            <w:pPr>
              <w:spacing w:before="60" w:after="60"/>
              <w:ind w:right="60"/>
              <w:jc w:val="right"/>
            </w:pPr>
            <w:r>
              <w:t>19,134</w:t>
            </w:r>
          </w:p>
        </w:tc>
        <w:tc>
          <w:tcPr>
            <w:tcW w:w="1080" w:type="dxa"/>
          </w:tcPr>
          <w:p w:rsidR="003C29FC" w:rsidRDefault="003C29FC">
            <w:pPr>
              <w:spacing w:before="60" w:after="60"/>
              <w:ind w:right="60"/>
              <w:jc w:val="right"/>
            </w:pPr>
            <w:r>
              <w:t>19,909</w:t>
            </w:r>
          </w:p>
        </w:tc>
        <w:tc>
          <w:tcPr>
            <w:tcW w:w="1080" w:type="dxa"/>
          </w:tcPr>
          <w:p w:rsidR="003C29FC" w:rsidRDefault="003C29FC">
            <w:pPr>
              <w:spacing w:before="60" w:after="60"/>
              <w:ind w:right="60"/>
              <w:jc w:val="right"/>
            </w:pPr>
            <w:r>
              <w:t>20,665</w:t>
            </w:r>
          </w:p>
        </w:tc>
        <w:tc>
          <w:tcPr>
            <w:tcW w:w="1800" w:type="dxa"/>
          </w:tcPr>
          <w:p w:rsidR="003C29FC" w:rsidRDefault="003C29FC">
            <w:pPr>
              <w:spacing w:before="60" w:after="60"/>
              <w:jc w:val="center"/>
            </w:pPr>
            <w:r>
              <w:t>95,862</w:t>
            </w:r>
          </w:p>
        </w:tc>
      </w:tr>
      <w:tr w:rsidR="003C29FC">
        <w:trPr>
          <w:trHeight w:val="400"/>
        </w:trPr>
        <w:tc>
          <w:tcPr>
            <w:tcW w:w="2910" w:type="dxa"/>
          </w:tcPr>
          <w:p w:rsidR="003C29FC" w:rsidRDefault="003C29FC">
            <w:pPr>
              <w:spacing w:before="60" w:after="60"/>
              <w:ind w:right="60"/>
              <w:jc w:val="right"/>
            </w:pPr>
            <w:r>
              <w:t>Difference</w:t>
            </w:r>
          </w:p>
        </w:tc>
        <w:tc>
          <w:tcPr>
            <w:tcW w:w="990" w:type="dxa"/>
          </w:tcPr>
          <w:p w:rsidR="003C29FC" w:rsidRDefault="003C29FC">
            <w:pPr>
              <w:spacing w:before="60" w:after="60"/>
              <w:ind w:right="60"/>
              <w:jc w:val="right"/>
            </w:pPr>
            <w:r>
              <w:t>-446</w:t>
            </w:r>
          </w:p>
        </w:tc>
        <w:tc>
          <w:tcPr>
            <w:tcW w:w="1080" w:type="dxa"/>
          </w:tcPr>
          <w:p w:rsidR="003C29FC" w:rsidRDefault="003C29FC">
            <w:pPr>
              <w:spacing w:before="60" w:after="60"/>
              <w:ind w:right="60"/>
              <w:jc w:val="right"/>
            </w:pPr>
            <w:r>
              <w:t>-481</w:t>
            </w:r>
          </w:p>
        </w:tc>
        <w:tc>
          <w:tcPr>
            <w:tcW w:w="1080" w:type="dxa"/>
          </w:tcPr>
          <w:p w:rsidR="003C29FC" w:rsidRDefault="003C29FC">
            <w:pPr>
              <w:spacing w:before="60" w:after="60"/>
              <w:ind w:right="60"/>
              <w:jc w:val="right"/>
            </w:pPr>
            <w:r>
              <w:t>-524</w:t>
            </w:r>
          </w:p>
        </w:tc>
        <w:tc>
          <w:tcPr>
            <w:tcW w:w="1080" w:type="dxa"/>
          </w:tcPr>
          <w:p w:rsidR="003C29FC" w:rsidRDefault="003C29FC">
            <w:pPr>
              <w:spacing w:before="60" w:after="60"/>
              <w:ind w:right="60"/>
              <w:jc w:val="right"/>
            </w:pPr>
            <w:r>
              <w:t>-570</w:t>
            </w:r>
          </w:p>
        </w:tc>
        <w:tc>
          <w:tcPr>
            <w:tcW w:w="1080" w:type="dxa"/>
          </w:tcPr>
          <w:p w:rsidR="003C29FC" w:rsidRDefault="003C29FC">
            <w:pPr>
              <w:spacing w:before="60" w:after="60"/>
              <w:ind w:right="60"/>
              <w:jc w:val="right"/>
            </w:pPr>
            <w:r>
              <w:t>-615</w:t>
            </w:r>
          </w:p>
        </w:tc>
        <w:tc>
          <w:tcPr>
            <w:tcW w:w="1800" w:type="dxa"/>
          </w:tcPr>
          <w:p w:rsidR="003C29FC" w:rsidRDefault="003C29FC">
            <w:pPr>
              <w:spacing w:before="60" w:after="60"/>
              <w:jc w:val="center"/>
            </w:pPr>
            <w:r>
              <w:t>-2,635</w:t>
            </w:r>
          </w:p>
        </w:tc>
      </w:tr>
      <w:tr w:rsidR="003C29FC">
        <w:trPr>
          <w:trHeight w:val="400"/>
        </w:trPr>
        <w:tc>
          <w:tcPr>
            <w:tcW w:w="2910" w:type="dxa"/>
          </w:tcPr>
          <w:p w:rsidR="003C29FC" w:rsidRDefault="003C29FC">
            <w:pPr>
              <w:spacing w:before="60" w:after="60"/>
              <w:ind w:right="60"/>
              <w:jc w:val="center"/>
            </w:pPr>
          </w:p>
        </w:tc>
        <w:tc>
          <w:tcPr>
            <w:tcW w:w="99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800" w:type="dxa"/>
          </w:tcPr>
          <w:p w:rsidR="003C29FC" w:rsidRDefault="003C29FC">
            <w:pPr>
              <w:spacing w:before="60" w:after="60"/>
              <w:jc w:val="center"/>
            </w:pPr>
          </w:p>
        </w:tc>
      </w:tr>
      <w:tr w:rsidR="003C29FC">
        <w:trPr>
          <w:trHeight w:val="400"/>
        </w:trPr>
        <w:tc>
          <w:tcPr>
            <w:tcW w:w="2910" w:type="dxa"/>
          </w:tcPr>
          <w:p w:rsidR="003C29FC" w:rsidRDefault="003C29FC">
            <w:pPr>
              <w:spacing w:before="60" w:after="60"/>
              <w:ind w:right="60"/>
              <w:rPr>
                <w:b/>
              </w:rPr>
            </w:pPr>
            <w:r>
              <w:rPr>
                <w:b/>
              </w:rPr>
              <w:t>Life years</w:t>
            </w:r>
          </w:p>
        </w:tc>
        <w:tc>
          <w:tcPr>
            <w:tcW w:w="99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800" w:type="dxa"/>
          </w:tcPr>
          <w:p w:rsidR="003C29FC" w:rsidRDefault="003C29FC">
            <w:pPr>
              <w:spacing w:before="60" w:after="60"/>
              <w:jc w:val="cente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758,215</w:t>
            </w:r>
          </w:p>
        </w:tc>
        <w:tc>
          <w:tcPr>
            <w:tcW w:w="1080" w:type="dxa"/>
          </w:tcPr>
          <w:p w:rsidR="003C29FC" w:rsidRDefault="003C29FC">
            <w:pPr>
              <w:spacing w:before="60" w:after="60"/>
              <w:ind w:right="60"/>
              <w:jc w:val="right"/>
            </w:pPr>
            <w:r>
              <w:t>779,768</w:t>
            </w:r>
          </w:p>
        </w:tc>
        <w:tc>
          <w:tcPr>
            <w:tcW w:w="1080" w:type="dxa"/>
          </w:tcPr>
          <w:p w:rsidR="003C29FC" w:rsidRDefault="003C29FC">
            <w:pPr>
              <w:spacing w:before="60" w:after="60"/>
              <w:ind w:right="60"/>
              <w:jc w:val="right"/>
            </w:pPr>
            <w:r>
              <w:t>800,595</w:t>
            </w:r>
          </w:p>
        </w:tc>
        <w:tc>
          <w:tcPr>
            <w:tcW w:w="1080" w:type="dxa"/>
          </w:tcPr>
          <w:p w:rsidR="003C29FC" w:rsidRDefault="003C29FC">
            <w:pPr>
              <w:spacing w:before="60" w:after="60"/>
              <w:ind w:right="60"/>
              <w:jc w:val="right"/>
            </w:pPr>
            <w:r>
              <w:t>820,611</w:t>
            </w:r>
          </w:p>
        </w:tc>
        <w:tc>
          <w:tcPr>
            <w:tcW w:w="1080" w:type="dxa"/>
          </w:tcPr>
          <w:p w:rsidR="003C29FC" w:rsidRDefault="003C29FC">
            <w:pPr>
              <w:spacing w:before="60" w:after="60"/>
              <w:ind w:right="60"/>
              <w:jc w:val="right"/>
            </w:pPr>
            <w:r>
              <w:t>839,806</w:t>
            </w:r>
          </w:p>
        </w:tc>
        <w:tc>
          <w:tcPr>
            <w:tcW w:w="1800" w:type="dxa"/>
          </w:tcPr>
          <w:p w:rsidR="003C29FC" w:rsidRDefault="003C29FC">
            <w:pPr>
              <w:spacing w:before="60" w:after="60"/>
              <w:jc w:val="center"/>
            </w:pPr>
            <w:r>
              <w:t>3,998,995</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758,380</w:t>
            </w:r>
          </w:p>
        </w:tc>
        <w:tc>
          <w:tcPr>
            <w:tcW w:w="1080" w:type="dxa"/>
          </w:tcPr>
          <w:p w:rsidR="003C29FC" w:rsidRDefault="003C29FC">
            <w:pPr>
              <w:spacing w:before="60" w:after="60"/>
              <w:ind w:right="60"/>
              <w:jc w:val="right"/>
            </w:pPr>
            <w:r>
              <w:t>780,390</w:t>
            </w:r>
          </w:p>
        </w:tc>
        <w:tc>
          <w:tcPr>
            <w:tcW w:w="1080" w:type="dxa"/>
          </w:tcPr>
          <w:p w:rsidR="003C29FC" w:rsidRDefault="003C29FC">
            <w:pPr>
              <w:spacing w:before="60" w:after="60"/>
              <w:ind w:right="60"/>
              <w:jc w:val="right"/>
            </w:pPr>
            <w:r>
              <w:t>801,715</w:t>
            </w:r>
          </w:p>
        </w:tc>
        <w:tc>
          <w:tcPr>
            <w:tcW w:w="1080" w:type="dxa"/>
          </w:tcPr>
          <w:p w:rsidR="003C29FC" w:rsidRDefault="003C29FC">
            <w:pPr>
              <w:spacing w:before="60" w:after="60"/>
              <w:ind w:right="60"/>
              <w:jc w:val="right"/>
            </w:pPr>
            <w:r>
              <w:t>822,272</w:t>
            </w:r>
          </w:p>
        </w:tc>
        <w:tc>
          <w:tcPr>
            <w:tcW w:w="1080" w:type="dxa"/>
          </w:tcPr>
          <w:p w:rsidR="003C29FC" w:rsidRDefault="003C29FC">
            <w:pPr>
              <w:spacing w:before="60" w:after="60"/>
              <w:ind w:right="60"/>
              <w:jc w:val="right"/>
            </w:pPr>
            <w:r>
              <w:t>842,053</w:t>
            </w:r>
          </w:p>
        </w:tc>
        <w:tc>
          <w:tcPr>
            <w:tcW w:w="1800" w:type="dxa"/>
          </w:tcPr>
          <w:p w:rsidR="003C29FC" w:rsidRDefault="003C29FC">
            <w:pPr>
              <w:spacing w:before="60" w:after="60"/>
              <w:jc w:val="center"/>
            </w:pPr>
            <w:r>
              <w:t>4,004,811</w:t>
            </w:r>
          </w:p>
        </w:tc>
      </w:tr>
      <w:tr w:rsidR="003C29FC">
        <w:trPr>
          <w:trHeight w:val="400"/>
        </w:trPr>
        <w:tc>
          <w:tcPr>
            <w:tcW w:w="2910" w:type="dxa"/>
            <w:tcBorders>
              <w:bottom w:val="single" w:sz="6" w:space="0" w:color="auto"/>
            </w:tcBorders>
          </w:tcPr>
          <w:p w:rsidR="003C29FC" w:rsidRDefault="003C29FC">
            <w:pPr>
              <w:spacing w:before="60" w:after="60"/>
              <w:ind w:right="60"/>
              <w:jc w:val="right"/>
            </w:pPr>
            <w:r>
              <w:t>Difference</w:t>
            </w:r>
          </w:p>
        </w:tc>
        <w:tc>
          <w:tcPr>
            <w:tcW w:w="990" w:type="dxa"/>
            <w:tcBorders>
              <w:bottom w:val="single" w:sz="6" w:space="0" w:color="auto"/>
            </w:tcBorders>
          </w:tcPr>
          <w:p w:rsidR="003C29FC" w:rsidRDefault="003C29FC">
            <w:pPr>
              <w:spacing w:before="60" w:after="60"/>
              <w:ind w:right="60"/>
              <w:jc w:val="right"/>
            </w:pPr>
            <w:r>
              <w:t>165</w:t>
            </w:r>
          </w:p>
        </w:tc>
        <w:tc>
          <w:tcPr>
            <w:tcW w:w="1080" w:type="dxa"/>
            <w:tcBorders>
              <w:bottom w:val="single" w:sz="6" w:space="0" w:color="auto"/>
            </w:tcBorders>
          </w:tcPr>
          <w:p w:rsidR="003C29FC" w:rsidRDefault="003C29FC">
            <w:pPr>
              <w:spacing w:before="60" w:after="60"/>
              <w:ind w:right="60"/>
              <w:jc w:val="right"/>
            </w:pPr>
            <w:r>
              <w:t>623</w:t>
            </w:r>
          </w:p>
        </w:tc>
        <w:tc>
          <w:tcPr>
            <w:tcW w:w="1080" w:type="dxa"/>
            <w:tcBorders>
              <w:bottom w:val="single" w:sz="6" w:space="0" w:color="auto"/>
            </w:tcBorders>
          </w:tcPr>
          <w:p w:rsidR="003C29FC" w:rsidRDefault="003C29FC">
            <w:pPr>
              <w:spacing w:before="60" w:after="60"/>
              <w:ind w:right="60"/>
              <w:jc w:val="right"/>
            </w:pPr>
            <w:r>
              <w:t>1,120</w:t>
            </w:r>
          </w:p>
        </w:tc>
        <w:tc>
          <w:tcPr>
            <w:tcW w:w="1080" w:type="dxa"/>
            <w:tcBorders>
              <w:bottom w:val="single" w:sz="6" w:space="0" w:color="auto"/>
            </w:tcBorders>
          </w:tcPr>
          <w:p w:rsidR="003C29FC" w:rsidRDefault="003C29FC">
            <w:pPr>
              <w:spacing w:before="60" w:after="60"/>
              <w:ind w:right="60"/>
              <w:jc w:val="right"/>
            </w:pPr>
            <w:r>
              <w:t>1,661</w:t>
            </w:r>
          </w:p>
        </w:tc>
        <w:tc>
          <w:tcPr>
            <w:tcW w:w="1080" w:type="dxa"/>
            <w:tcBorders>
              <w:bottom w:val="single" w:sz="6" w:space="0" w:color="auto"/>
            </w:tcBorders>
          </w:tcPr>
          <w:p w:rsidR="003C29FC" w:rsidRDefault="003C29FC">
            <w:pPr>
              <w:spacing w:before="60" w:after="60"/>
              <w:ind w:right="60"/>
              <w:jc w:val="right"/>
            </w:pPr>
            <w:r>
              <w:t>2,248</w:t>
            </w:r>
          </w:p>
        </w:tc>
        <w:tc>
          <w:tcPr>
            <w:tcW w:w="1800" w:type="dxa"/>
            <w:tcBorders>
              <w:bottom w:val="single" w:sz="6" w:space="0" w:color="auto"/>
            </w:tcBorders>
          </w:tcPr>
          <w:p w:rsidR="003C29FC" w:rsidRDefault="003C29FC">
            <w:pPr>
              <w:spacing w:before="60" w:after="60"/>
              <w:jc w:val="center"/>
            </w:pPr>
            <w:r>
              <w:t>5,816</w:t>
            </w:r>
          </w:p>
        </w:tc>
      </w:tr>
    </w:tbl>
    <w:p w:rsidR="003C29FC" w:rsidRDefault="003C29FC">
      <w:pPr>
        <w:pStyle w:val="indent1"/>
        <w:ind w:left="0" w:firstLine="0"/>
        <w:rPr>
          <w:rFonts w:ascii="Times New Roman" w:hAnsi="Times New Roman"/>
        </w:rPr>
      </w:pPr>
    </w:p>
    <w:p w:rsidR="003C29FC" w:rsidRDefault="003C29FC">
      <w:pPr>
        <w:pStyle w:val="indent1"/>
        <w:keepNext/>
        <w:ind w:left="0" w:firstLine="0"/>
        <w:rPr>
          <w:rFonts w:ascii="Times New Roman" w:hAnsi="Times New Roman"/>
          <w:b/>
          <w:bCs/>
        </w:rPr>
      </w:pPr>
      <w:r>
        <w:rPr>
          <w:rFonts w:ascii="Times New Roman" w:hAnsi="Times New Roman"/>
          <w:b/>
          <w:bCs/>
        </w:rPr>
        <w:t>Additional reference:</w:t>
      </w:r>
    </w:p>
    <w:p w:rsidR="003C29FC" w:rsidRDefault="003C29FC">
      <w:pPr>
        <w:pStyle w:val="indent1"/>
        <w:keepNext/>
        <w:ind w:left="0" w:firstLine="0"/>
        <w:rPr>
          <w:rFonts w:ascii="Times New Roman" w:hAnsi="Times New Roman"/>
        </w:rPr>
      </w:pPr>
    </w:p>
    <w:p w:rsidR="003C29FC" w:rsidRDefault="003C29FC">
      <w:pPr>
        <w:pStyle w:val="indent1"/>
        <w:ind w:left="0" w:firstLine="0"/>
      </w:pPr>
      <w:proofErr w:type="spellStart"/>
      <w:r>
        <w:t>Sonnenberg</w:t>
      </w:r>
      <w:proofErr w:type="spellEnd"/>
      <w:r>
        <w:t xml:space="preserve"> FA, Beck JR. Markov models in medical decision making: a practical guide. </w:t>
      </w:r>
      <w:r>
        <w:rPr>
          <w:i/>
          <w:iCs/>
        </w:rPr>
        <w:tab/>
        <w:t xml:space="preserve">Med </w:t>
      </w:r>
      <w:proofErr w:type="spellStart"/>
      <w:r>
        <w:rPr>
          <w:i/>
          <w:iCs/>
        </w:rPr>
        <w:t>Decis</w:t>
      </w:r>
      <w:proofErr w:type="spellEnd"/>
      <w:r>
        <w:rPr>
          <w:i/>
          <w:iCs/>
        </w:rPr>
        <w:t xml:space="preserve"> Making. </w:t>
      </w:r>
      <w:r>
        <w:t>1993; 13:322-338.</w:t>
      </w:r>
    </w:p>
    <w:p w:rsidR="003C29FC" w:rsidRDefault="003C29FC">
      <w:pPr>
        <w:pStyle w:val="indent1"/>
        <w:ind w:left="0" w:firstLine="0"/>
      </w:pPr>
    </w:p>
    <w:p w:rsidR="003C29FC" w:rsidRDefault="003C29FC"/>
    <w:sectPr w:rsidR="003C29FC">
      <w:headerReference w:type="default" r:id="rId11"/>
      <w:headerReference w:type="first" r:id="rId12"/>
      <w:pgSz w:w="12240" w:h="15840" w:code="1"/>
      <w:pgMar w:top="1714" w:right="1800" w:bottom="994" w:left="1800" w:header="720" w:footer="533"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4E" w:rsidRDefault="00A3494E">
      <w:r>
        <w:separator/>
      </w:r>
    </w:p>
  </w:endnote>
  <w:endnote w:type="continuationSeparator" w:id="0">
    <w:p w:rsidR="00A3494E" w:rsidRDefault="00A3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New Century Schlbk">
    <w:altName w:val="Century Schoolbook"/>
    <w:panose1 w:val="00000000000000000000"/>
    <w:charset w:val="4D"/>
    <w:family w:val="auto"/>
    <w:notTrueType/>
    <w:pitch w:val="default"/>
  </w:font>
  <w:font w:name="Tahoma">
    <w:panose1 w:val="020B0604030504040204"/>
    <w:charset w:val="00"/>
    <w:family w:val="auto"/>
    <w:pitch w:val="variable"/>
    <w:sig w:usb0="E1002AFF" w:usb1="C000605B" w:usb2="00000029" w:usb3="00000000" w:csb0="000101FF" w:csb1="00000000"/>
  </w:font>
  <w:font w:name="Geneva">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4E" w:rsidRDefault="00A3494E">
      <w:r>
        <w:separator/>
      </w:r>
    </w:p>
  </w:footnote>
  <w:footnote w:type="continuationSeparator" w:id="0">
    <w:p w:rsidR="00A3494E" w:rsidRDefault="00A349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44" w:rsidRDefault="00177A44" w:rsidP="003C29FC">
    <w:pPr>
      <w:pStyle w:val="Header"/>
      <w:jc w:val="center"/>
    </w:pPr>
    <w:r>
      <w:rPr>
        <w:smallCaps/>
      </w:rPr>
      <w:t xml:space="preserve">                                                                       Decision and Cost-Effectiveness Analysis</w:t>
    </w:r>
    <w:r>
      <w:rPr>
        <w:smallCaps/>
      </w:rPr>
      <w:br/>
    </w:r>
    <w:proofErr w:type="gramStart"/>
    <w:r>
      <w:rPr>
        <w:smallCaps/>
      </w:rPr>
      <w:t xml:space="preserve">                                                              </w:t>
    </w:r>
    <w:r w:rsidR="007608EC">
      <w:rPr>
        <w:smallCaps/>
      </w:rPr>
      <w:t xml:space="preserve">         TICR</w:t>
    </w:r>
    <w:proofErr w:type="gramEnd"/>
    <w:r w:rsidR="007608EC">
      <w:rPr>
        <w:smallCaps/>
      </w:rPr>
      <w:t>, UCSF, Winter 2015</w:t>
    </w:r>
    <w:r>
      <w:rPr>
        <w:smallCaps/>
      </w:rPr>
      <w:t xml:space="preserve">.  Lecture 4, </w:t>
    </w:r>
    <w:r w:rsidRPr="00591B6E">
      <w:rPr>
        <w:smallCaps/>
      </w:rPr>
      <w:t xml:space="preserve">Page </w:t>
    </w:r>
    <w:r w:rsidRPr="00591B6E">
      <w:rPr>
        <w:smallCaps/>
      </w:rPr>
      <w:fldChar w:fldCharType="begin"/>
    </w:r>
    <w:r w:rsidRPr="00591B6E">
      <w:rPr>
        <w:smallCaps/>
      </w:rPr>
      <w:instrText xml:space="preserve"> PAGE </w:instrText>
    </w:r>
    <w:r w:rsidRPr="00591B6E">
      <w:rPr>
        <w:smallCaps/>
      </w:rPr>
      <w:fldChar w:fldCharType="separate"/>
    </w:r>
    <w:r w:rsidR="007608EC">
      <w:rPr>
        <w:smallCaps/>
        <w:noProof/>
      </w:rPr>
      <w:t>12</w:t>
    </w:r>
    <w:r w:rsidRPr="00591B6E">
      <w:rPr>
        <w:smallCaps/>
      </w:rPr>
      <w:fldChar w:fldCharType="end"/>
    </w:r>
    <w:r w:rsidRPr="00591B6E">
      <w:rPr>
        <w:smallCaps/>
      </w:rPr>
      <w:t xml:space="preserve"> of </w:t>
    </w:r>
    <w:r w:rsidRPr="00591B6E">
      <w:rPr>
        <w:smallCaps/>
      </w:rPr>
      <w:fldChar w:fldCharType="begin"/>
    </w:r>
    <w:r w:rsidRPr="00591B6E">
      <w:rPr>
        <w:smallCaps/>
      </w:rPr>
      <w:instrText xml:space="preserve"> NUMPAGES </w:instrText>
    </w:r>
    <w:r w:rsidRPr="00591B6E">
      <w:rPr>
        <w:smallCaps/>
      </w:rPr>
      <w:fldChar w:fldCharType="separate"/>
    </w:r>
    <w:r w:rsidR="007608EC">
      <w:rPr>
        <w:smallCaps/>
        <w:noProof/>
      </w:rPr>
      <w:t>12</w:t>
    </w:r>
    <w:r w:rsidRPr="00591B6E">
      <w:rPr>
        <w:smallCaps/>
      </w:rPr>
      <w:fldChar w:fldCharType="end"/>
    </w:r>
  </w:p>
  <w:p w:rsidR="00177A44" w:rsidRPr="003D654F" w:rsidRDefault="00177A44" w:rsidP="003C29F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44" w:rsidRDefault="00177A44" w:rsidP="003C29FC">
    <w:pPr>
      <w:pStyle w:val="Header"/>
      <w:jc w:val="center"/>
    </w:pPr>
    <w:r>
      <w:rPr>
        <w:smallCaps/>
      </w:rPr>
      <w:t xml:space="preserve">                                                                      Decision and Cost-Effectiveness Analysis</w:t>
    </w:r>
    <w:r>
      <w:rPr>
        <w:smallCaps/>
      </w:rPr>
      <w:br/>
    </w:r>
    <w:proofErr w:type="gramStart"/>
    <w:r>
      <w:rPr>
        <w:smallCaps/>
      </w:rPr>
      <w:t xml:space="preserve">                                                             </w:t>
    </w:r>
    <w:r w:rsidR="007608EC">
      <w:rPr>
        <w:smallCaps/>
      </w:rPr>
      <w:t xml:space="preserve">         TICR</w:t>
    </w:r>
    <w:proofErr w:type="gramEnd"/>
    <w:r w:rsidR="007608EC">
      <w:rPr>
        <w:smallCaps/>
      </w:rPr>
      <w:t>, UCSF, Winter 2015</w:t>
    </w:r>
    <w:r>
      <w:rPr>
        <w:smallCaps/>
      </w:rPr>
      <w:t>.  Lecture 4, Page 1 of 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E82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FFFFFFFE"/>
    <w:multiLevelType w:val="singleLevel"/>
    <w:tmpl w:val="FFFFFFFF"/>
    <w:lvl w:ilvl="0">
      <w:numFmt w:val="decimal"/>
      <w:lvlText w:val="*"/>
      <w:lvlJc w:val="left"/>
    </w:lvl>
  </w:abstractNum>
  <w:abstractNum w:abstractNumId="3">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5">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2"/>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numFmt w:val="bullet"/>
        <w:lvlText w:val="•"/>
        <w:legacy w:legacy="1" w:legacySpace="0" w:legacyIndent="0"/>
        <w:lvlJc w:val="left"/>
        <w:rPr>
          <w:rFonts w:ascii="Times New Roman" w:hAnsi="Times New Roman" w:hint="default"/>
          <w:sz w:val="28"/>
        </w:rPr>
      </w:lvl>
    </w:lvlOverride>
  </w:num>
  <w:num w:numId="5">
    <w:abstractNumId w:val="2"/>
    <w:lvlOverride w:ilvl="0">
      <w:lvl w:ilvl="0">
        <w:numFmt w:val="bullet"/>
        <w:lvlText w:val="–"/>
        <w:legacy w:legacy="1" w:legacySpace="0" w:legacyIndent="0"/>
        <w:lvlJc w:val="left"/>
        <w:rPr>
          <w:rFonts w:ascii="Times New Roman" w:hAnsi="Times New Roman" w:hint="default"/>
          <w:sz w:val="24"/>
        </w:rPr>
      </w:lvl>
    </w:lvlOverride>
  </w:num>
  <w:num w:numId="6">
    <w:abstractNumId w:val="1"/>
  </w:num>
  <w:num w:numId="7">
    <w:abstractNumId w:val="6"/>
  </w:num>
  <w:num w:numId="8">
    <w:abstractNumId w:val="8"/>
  </w:num>
  <w:num w:numId="9">
    <w:abstractNumId w:val="4"/>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7C"/>
    <w:rsid w:val="00016988"/>
    <w:rsid w:val="00100FDF"/>
    <w:rsid w:val="00177A44"/>
    <w:rsid w:val="002A6594"/>
    <w:rsid w:val="003A0CCD"/>
    <w:rsid w:val="003C29FC"/>
    <w:rsid w:val="004A1B7C"/>
    <w:rsid w:val="00545C84"/>
    <w:rsid w:val="006211E3"/>
    <w:rsid w:val="007608EC"/>
    <w:rsid w:val="007A6BE4"/>
    <w:rsid w:val="00A3494E"/>
    <w:rsid w:val="00B974FC"/>
    <w:rsid w:val="00BC1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customStyle="1" w:styleId="ref">
    <w:name w:val="ref"/>
    <w:basedOn w:val="Normal"/>
    <w:pPr>
      <w:spacing w:after="260" w:line="240" w:lineRule="atLeast"/>
      <w:ind w:left="720"/>
    </w:pPr>
    <w:rPr>
      <w:rFonts w:ascii="New Century Schlbk" w:hAnsi="New Century Schlbk"/>
      <w:sz w:val="24"/>
    </w:rPr>
  </w:style>
  <w:style w:type="character" w:styleId="PageNumber">
    <w:name w:val="page number"/>
    <w:basedOn w:val="DefaultParagraphFont"/>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177A44"/>
    <w:rPr>
      <w:rFonts w:ascii="Tahoma" w:hAnsi="Tahoma" w:cs="Tahoma"/>
      <w:sz w:val="16"/>
      <w:szCs w:val="16"/>
    </w:rPr>
  </w:style>
  <w:style w:type="character" w:customStyle="1" w:styleId="BalloonTextChar">
    <w:name w:val="Balloon Text Char"/>
    <w:basedOn w:val="DefaultParagraphFont"/>
    <w:link w:val="BalloonText"/>
    <w:rsid w:val="00177A4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customStyle="1" w:styleId="ref">
    <w:name w:val="ref"/>
    <w:basedOn w:val="Normal"/>
    <w:pPr>
      <w:spacing w:after="260" w:line="240" w:lineRule="atLeast"/>
      <w:ind w:left="720"/>
    </w:pPr>
    <w:rPr>
      <w:rFonts w:ascii="New Century Schlbk" w:hAnsi="New Century Schlbk"/>
      <w:sz w:val="24"/>
    </w:rPr>
  </w:style>
  <w:style w:type="character" w:styleId="PageNumber">
    <w:name w:val="page number"/>
    <w:basedOn w:val="DefaultParagraphFont"/>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177A44"/>
    <w:rPr>
      <w:rFonts w:ascii="Tahoma" w:hAnsi="Tahoma" w:cs="Tahoma"/>
      <w:sz w:val="16"/>
      <w:szCs w:val="16"/>
    </w:rPr>
  </w:style>
  <w:style w:type="character" w:customStyle="1" w:styleId="BalloonTextChar">
    <w:name w:val="Balloon Text Char"/>
    <w:basedOn w:val="DefaultParagraphFont"/>
    <w:link w:val="BalloonText"/>
    <w:rsid w:val="00177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4201</Words>
  <Characters>23951</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Betsy E. O'Donnell</cp:lastModifiedBy>
  <cp:revision>2</cp:revision>
  <cp:lastPrinted>2008-03-06T12:33:00Z</cp:lastPrinted>
  <dcterms:created xsi:type="dcterms:W3CDTF">2015-01-19T17:35:00Z</dcterms:created>
  <dcterms:modified xsi:type="dcterms:W3CDTF">2015-01-19T17:35:00Z</dcterms:modified>
</cp:coreProperties>
</file>