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95" w:rsidRDefault="00541795">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rsidR="00541795" w:rsidRDefault="00541795">
      <w:pPr>
        <w:tabs>
          <w:tab w:val="left" w:pos="0"/>
        </w:tabs>
        <w:suppressAutoHyphens/>
        <w:jc w:val="center"/>
        <w:rPr>
          <w:rFonts w:ascii="Times" w:hAnsi="Times"/>
          <w:sz w:val="24"/>
        </w:rPr>
      </w:pPr>
      <w:r>
        <w:rPr>
          <w:rFonts w:ascii="Times" w:hAnsi="Times"/>
          <w:sz w:val="24"/>
        </w:rPr>
        <w:t>Elective, Training in Clinical Research</w:t>
      </w:r>
    </w:p>
    <w:p w:rsidR="00541795" w:rsidRDefault="00541795">
      <w:pPr>
        <w:tabs>
          <w:tab w:val="left" w:pos="0"/>
        </w:tabs>
        <w:suppressAutoHyphens/>
        <w:jc w:val="center"/>
        <w:rPr>
          <w:rFonts w:ascii="Times" w:hAnsi="Times"/>
          <w:sz w:val="24"/>
        </w:rPr>
      </w:pPr>
      <w:r>
        <w:rPr>
          <w:rFonts w:ascii="Times" w:hAnsi="Times"/>
          <w:sz w:val="24"/>
        </w:rPr>
        <w:t>UCSF Department of Epidemiology and Biostatistics EPI 213</w:t>
      </w:r>
    </w:p>
    <w:p w:rsidR="00541795" w:rsidRDefault="00541795">
      <w:pPr>
        <w:tabs>
          <w:tab w:val="left" w:pos="0"/>
        </w:tabs>
        <w:suppressAutoHyphens/>
        <w:jc w:val="center"/>
        <w:rPr>
          <w:rFonts w:ascii="Times" w:hAnsi="Times"/>
          <w:sz w:val="24"/>
        </w:rPr>
      </w:pPr>
    </w:p>
    <w:p w:rsidR="00541795" w:rsidRDefault="00715FA3">
      <w:pPr>
        <w:pStyle w:val="BodyText3"/>
        <w:shd w:val="pct10" w:color="auto" w:fill="FFFFFF"/>
        <w:ind w:right="-360"/>
        <w:rPr>
          <w:shd w:val="pct10" w:color="auto" w:fill="FFFFFF"/>
        </w:rPr>
      </w:pPr>
      <w:r>
        <w:rPr>
          <w:shd w:val="pct10" w:color="auto" w:fill="FFFFFF"/>
        </w:rPr>
        <w:t>TICR</w:t>
      </w:r>
      <w:r w:rsidR="00541795">
        <w:rPr>
          <w:shd w:val="pct10" w:color="auto" w:fill="FFFFFF"/>
        </w:rPr>
        <w:t xml:space="preserve"> </w:t>
      </w:r>
      <w:r w:rsidR="00792A4E">
        <w:rPr>
          <w:shd w:val="pct10" w:color="auto" w:fill="FFFFFF"/>
        </w:rPr>
        <w:t xml:space="preserve">DCEA Lecture </w:t>
      </w:r>
      <w:r>
        <w:rPr>
          <w:shd w:val="pct10" w:color="auto" w:fill="FFFFFF"/>
        </w:rPr>
        <w:t>5</w:t>
      </w:r>
      <w:r w:rsidR="00792A4E">
        <w:rPr>
          <w:shd w:val="pct10" w:color="auto" w:fill="FFFFFF"/>
        </w:rPr>
        <w:t xml:space="preserve">, </w:t>
      </w:r>
      <w:r w:rsidR="00E13776">
        <w:rPr>
          <w:shd w:val="pct10" w:color="auto" w:fill="FFFFFF"/>
        </w:rPr>
        <w:t>26</w:t>
      </w:r>
      <w:r w:rsidR="00405374">
        <w:rPr>
          <w:shd w:val="pct10" w:color="auto" w:fill="FFFFFF"/>
        </w:rPr>
        <w:t xml:space="preserve"> </w:t>
      </w:r>
      <w:r w:rsidR="00792A4E">
        <w:rPr>
          <w:shd w:val="pct10" w:color="auto" w:fill="FFFFFF"/>
        </w:rPr>
        <w:t>Feb</w:t>
      </w:r>
      <w:r w:rsidR="00405374">
        <w:rPr>
          <w:shd w:val="pct10" w:color="auto" w:fill="FFFFFF"/>
        </w:rPr>
        <w:t xml:space="preserve"> </w:t>
      </w:r>
      <w:r w:rsidR="00792A4E">
        <w:rPr>
          <w:shd w:val="pct10" w:color="auto" w:fill="FFFFFF"/>
        </w:rPr>
        <w:t>201</w:t>
      </w:r>
      <w:r w:rsidR="00E13776">
        <w:rPr>
          <w:shd w:val="pct10" w:color="auto" w:fill="FFFFFF"/>
        </w:rPr>
        <w:t>5</w:t>
      </w:r>
      <w:r w:rsidR="00541795">
        <w:rPr>
          <w:shd w:val="pct10" w:color="auto" w:fill="FFFFFF"/>
        </w:rPr>
        <w:t>:</w:t>
      </w:r>
      <w:r w:rsidR="00541795">
        <w:rPr>
          <w:shd w:val="pct10" w:color="auto" w:fill="FFFFFF"/>
        </w:rPr>
        <w:br/>
        <w:t>Cost-Effectiveness Analysis: Data inputs</w:t>
      </w:r>
    </w:p>
    <w:p w:rsidR="00541795" w:rsidRDefault="00541795">
      <w:pPr>
        <w:pStyle w:val="indent1"/>
        <w:spacing w:line="240" w:lineRule="exact"/>
        <w:ind w:left="1260"/>
        <w:rPr>
          <w:rFonts w:ascii="Times New Roman" w:hAnsi="Times New Roman"/>
        </w:rPr>
      </w:pPr>
    </w:p>
    <w:p w:rsidR="00541795" w:rsidRPr="00B41E98" w:rsidRDefault="00541795">
      <w:pPr>
        <w:ind w:left="720" w:right="-360" w:hanging="720"/>
        <w:rPr>
          <w:sz w:val="24"/>
          <w:szCs w:val="24"/>
        </w:rPr>
      </w:pPr>
      <w:r w:rsidRPr="00B41E98">
        <w:rPr>
          <w:b/>
          <w:sz w:val="24"/>
          <w:szCs w:val="24"/>
        </w:rPr>
        <w:t>Objectives:</w:t>
      </w:r>
    </w:p>
    <w:p w:rsidR="00541795" w:rsidRPr="00B41E98" w:rsidRDefault="00541795">
      <w:pPr>
        <w:ind w:left="720" w:right="-360" w:hanging="720"/>
        <w:rPr>
          <w:sz w:val="22"/>
          <w:szCs w:val="22"/>
        </w:rPr>
      </w:pPr>
    </w:p>
    <w:p w:rsidR="00541795" w:rsidRPr="00B41E98" w:rsidRDefault="00541795">
      <w:pPr>
        <w:tabs>
          <w:tab w:val="left" w:pos="260"/>
        </w:tabs>
        <w:ind w:right="-360"/>
        <w:rPr>
          <w:sz w:val="22"/>
          <w:szCs w:val="22"/>
        </w:rPr>
      </w:pPr>
      <w:r w:rsidRPr="00B41E98">
        <w:rPr>
          <w:sz w:val="22"/>
          <w:szCs w:val="22"/>
        </w:rPr>
        <w:t>•</w:t>
      </w:r>
      <w:r w:rsidRPr="00B41E98">
        <w:rPr>
          <w:sz w:val="22"/>
          <w:szCs w:val="22"/>
        </w:rPr>
        <w:tab/>
      </w:r>
      <w:proofErr w:type="gramStart"/>
      <w:r w:rsidRPr="00B41E98">
        <w:rPr>
          <w:sz w:val="22"/>
          <w:szCs w:val="22"/>
        </w:rPr>
        <w:t>To</w:t>
      </w:r>
      <w:proofErr w:type="gramEnd"/>
      <w:r w:rsidRPr="00B41E98">
        <w:rPr>
          <w:sz w:val="22"/>
          <w:szCs w:val="22"/>
        </w:rPr>
        <w:t xml:space="preserve"> understand general issues in gathering and presenting data inputs.</w:t>
      </w:r>
    </w:p>
    <w:p w:rsidR="00541795" w:rsidRPr="00B41E98" w:rsidRDefault="00541795">
      <w:pPr>
        <w:tabs>
          <w:tab w:val="left" w:pos="260"/>
        </w:tabs>
        <w:ind w:right="-360"/>
        <w:rPr>
          <w:sz w:val="22"/>
          <w:szCs w:val="22"/>
        </w:rPr>
      </w:pPr>
      <w:r w:rsidRPr="00B41E98">
        <w:rPr>
          <w:sz w:val="22"/>
          <w:szCs w:val="22"/>
        </w:rPr>
        <w:t>•</w:t>
      </w:r>
      <w:r w:rsidRPr="00B41E98">
        <w:rPr>
          <w:sz w:val="22"/>
          <w:szCs w:val="22"/>
        </w:rPr>
        <w:tab/>
      </w:r>
      <w:proofErr w:type="gramStart"/>
      <w:r w:rsidRPr="00B41E98">
        <w:rPr>
          <w:sz w:val="22"/>
          <w:szCs w:val="22"/>
        </w:rPr>
        <w:t>To</w:t>
      </w:r>
      <w:proofErr w:type="gramEnd"/>
      <w:r w:rsidRPr="00B41E98">
        <w:rPr>
          <w:sz w:val="22"/>
          <w:szCs w:val="22"/>
        </w:rPr>
        <w:t xml:space="preserve"> understand data sources and synthesis methods for health and cost inputs.</w:t>
      </w:r>
    </w:p>
    <w:p w:rsidR="00541795" w:rsidRPr="00B41E98" w:rsidRDefault="00541795">
      <w:pPr>
        <w:tabs>
          <w:tab w:val="left" w:pos="2537"/>
        </w:tabs>
        <w:ind w:right="-360"/>
        <w:rPr>
          <w:sz w:val="22"/>
          <w:szCs w:val="22"/>
        </w:rPr>
      </w:pPr>
      <w:r w:rsidRPr="00B41E98">
        <w:rPr>
          <w:sz w:val="22"/>
          <w:szCs w:val="22"/>
        </w:rPr>
        <w:tab/>
      </w:r>
    </w:p>
    <w:p w:rsidR="00541795" w:rsidRPr="00B41E98" w:rsidRDefault="00541795">
      <w:pPr>
        <w:tabs>
          <w:tab w:val="left" w:pos="0"/>
        </w:tabs>
        <w:suppressAutoHyphens/>
        <w:rPr>
          <w:b/>
          <w:sz w:val="24"/>
          <w:szCs w:val="24"/>
        </w:rPr>
      </w:pPr>
      <w:r w:rsidRPr="00B41E98">
        <w:rPr>
          <w:b/>
          <w:sz w:val="24"/>
          <w:szCs w:val="24"/>
        </w:rPr>
        <w:t>Readings:</w:t>
      </w:r>
    </w:p>
    <w:p w:rsidR="00541795" w:rsidRPr="00B41E98" w:rsidRDefault="00541795">
      <w:pPr>
        <w:ind w:right="-1080"/>
        <w:rPr>
          <w:sz w:val="22"/>
          <w:szCs w:val="22"/>
        </w:rPr>
      </w:pPr>
    </w:p>
    <w:p w:rsidR="00541795" w:rsidRPr="00B41E98" w:rsidRDefault="00541795">
      <w:pPr>
        <w:ind w:left="270" w:right="-1080" w:hanging="270"/>
        <w:rPr>
          <w:b/>
          <w:bCs/>
          <w:sz w:val="22"/>
          <w:szCs w:val="22"/>
        </w:rPr>
      </w:pPr>
      <w:r w:rsidRPr="00B41E98">
        <w:rPr>
          <w:sz w:val="22"/>
          <w:szCs w:val="22"/>
        </w:rPr>
        <w:t xml:space="preserve">U.S. Preventive Services Task Force, Chapter ii: Methodology (especially pages xlvii-li) and Appendix A, </w:t>
      </w:r>
      <w:r w:rsidRPr="00B41E98">
        <w:rPr>
          <w:i/>
          <w:sz w:val="22"/>
          <w:szCs w:val="22"/>
        </w:rPr>
        <w:t>Guide to Clinical Preventive Services</w:t>
      </w:r>
      <w:proofErr w:type="gramStart"/>
      <w:r w:rsidRPr="00B41E98">
        <w:rPr>
          <w:i/>
          <w:sz w:val="22"/>
          <w:szCs w:val="22"/>
        </w:rPr>
        <w:t>,2</w:t>
      </w:r>
      <w:r w:rsidRPr="00B41E98">
        <w:rPr>
          <w:i/>
          <w:sz w:val="22"/>
          <w:szCs w:val="22"/>
          <w:vertAlign w:val="superscript"/>
        </w:rPr>
        <w:t>nd</w:t>
      </w:r>
      <w:proofErr w:type="gramEnd"/>
      <w:r w:rsidRPr="00B41E98">
        <w:rPr>
          <w:i/>
          <w:sz w:val="22"/>
          <w:szCs w:val="22"/>
        </w:rPr>
        <w:t xml:space="preserve"> Ed, Alexandria VA: International Medical Publishing. </w:t>
      </w:r>
      <w:r w:rsidRPr="00B41E98">
        <w:rPr>
          <w:sz w:val="22"/>
          <w:szCs w:val="22"/>
        </w:rPr>
        <w:t xml:space="preserve">1996. </w:t>
      </w:r>
      <w:r w:rsidRPr="00B41E98">
        <w:rPr>
          <w:b/>
          <w:bCs/>
          <w:sz w:val="22"/>
          <w:szCs w:val="22"/>
        </w:rPr>
        <w:t xml:space="preserve">This </w:t>
      </w:r>
      <w:r w:rsidR="00405374">
        <w:rPr>
          <w:b/>
          <w:bCs/>
          <w:sz w:val="22"/>
          <w:szCs w:val="22"/>
        </w:rPr>
        <w:t>an excellent</w:t>
      </w:r>
      <w:r w:rsidRPr="00B41E98">
        <w:rPr>
          <w:b/>
          <w:bCs/>
          <w:sz w:val="22"/>
          <w:szCs w:val="22"/>
        </w:rPr>
        <w:t xml:space="preserve"> collec</w:t>
      </w:r>
      <w:bookmarkStart w:id="0" w:name="_GoBack"/>
      <w:bookmarkEnd w:id="0"/>
      <w:r w:rsidRPr="00B41E98">
        <w:rPr>
          <w:b/>
          <w:bCs/>
          <w:sz w:val="22"/>
          <w:szCs w:val="22"/>
        </w:rPr>
        <w:t>tion of evidence-based reviews of the effectiveness of clinical prevention. The data review and rating methods are credible and practical.</w:t>
      </w:r>
      <w:r w:rsidR="00405374">
        <w:rPr>
          <w:b/>
          <w:bCs/>
          <w:sz w:val="22"/>
          <w:szCs w:val="22"/>
        </w:rPr>
        <w:t xml:space="preserve"> </w:t>
      </w:r>
      <w:r w:rsidR="00405374" w:rsidRPr="00405374">
        <w:rPr>
          <w:bCs/>
          <w:sz w:val="22"/>
          <w:szCs w:val="22"/>
        </w:rPr>
        <w:t>USPSTF has subsequently revised their data and recommendation classification system, worth checking out</w:t>
      </w:r>
      <w:r w:rsidR="00405374">
        <w:rPr>
          <w:bCs/>
          <w:sz w:val="22"/>
          <w:szCs w:val="22"/>
        </w:rPr>
        <w:t xml:space="preserve"> too</w:t>
      </w:r>
      <w:r w:rsidR="00405374" w:rsidRPr="00405374">
        <w:rPr>
          <w:bCs/>
          <w:sz w:val="22"/>
          <w:szCs w:val="22"/>
        </w:rPr>
        <w:t xml:space="preserve">, </w:t>
      </w:r>
      <w:r w:rsidR="00405374">
        <w:rPr>
          <w:bCs/>
          <w:sz w:val="22"/>
          <w:szCs w:val="22"/>
        </w:rPr>
        <w:t>also the GRADE system.</w:t>
      </w:r>
    </w:p>
    <w:p w:rsidR="00541795" w:rsidRDefault="00541795">
      <w:pPr>
        <w:ind w:left="270" w:right="-1080" w:hanging="270"/>
      </w:pPr>
    </w:p>
    <w:p w:rsidR="00541795" w:rsidRDefault="00541795">
      <w:pPr>
        <w:pStyle w:val="indent1"/>
        <w:spacing w:line="240" w:lineRule="exact"/>
        <w:ind w:left="1260"/>
        <w:rPr>
          <w:rFonts w:ascii="Times New Roman" w:hAnsi="Times New Roman"/>
        </w:rPr>
      </w:pPr>
    </w:p>
    <w:p w:rsidR="00541795" w:rsidRPr="00B41E98" w:rsidRDefault="00541795">
      <w:pPr>
        <w:tabs>
          <w:tab w:val="left" w:pos="0"/>
        </w:tabs>
        <w:suppressAutoHyphens/>
        <w:rPr>
          <w:bCs/>
          <w:sz w:val="24"/>
          <w:szCs w:val="24"/>
        </w:rPr>
      </w:pPr>
      <w:r w:rsidRPr="00B41E98">
        <w:rPr>
          <w:b/>
          <w:sz w:val="24"/>
          <w:szCs w:val="24"/>
        </w:rPr>
        <w:t>Introduction</w:t>
      </w:r>
    </w:p>
    <w:p w:rsidR="00541795" w:rsidRDefault="00541795">
      <w:pPr>
        <w:tabs>
          <w:tab w:val="left" w:pos="0"/>
        </w:tabs>
        <w:suppressAutoHyphens/>
        <w:rPr>
          <w:bCs/>
        </w:rPr>
      </w:pPr>
    </w:p>
    <w:p w:rsidR="00541795" w:rsidRPr="00B41E98" w:rsidRDefault="00541795">
      <w:pPr>
        <w:tabs>
          <w:tab w:val="left" w:pos="0"/>
        </w:tabs>
        <w:suppressAutoHyphens/>
        <w:rPr>
          <w:bCs/>
          <w:sz w:val="22"/>
          <w:szCs w:val="22"/>
        </w:rPr>
      </w:pPr>
      <w:r w:rsidRPr="00B41E98">
        <w:rPr>
          <w:bCs/>
          <w:sz w:val="22"/>
          <w:szCs w:val="22"/>
        </w:rPr>
        <w:t xml:space="preserve">Specifying the value of model inputs is typically the most time-consuming task in cost-effectiveness analysis, and the most prone to criticism. It’s time-consuming because of the need to do comprehensive data searches, systematically review obtained data, and generate best estimates and plausible ranges for multiple inputs. </w:t>
      </w:r>
      <w:proofErr w:type="gramStart"/>
      <w:r w:rsidRPr="00B41E98">
        <w:rPr>
          <w:bCs/>
          <w:sz w:val="22"/>
          <w:szCs w:val="22"/>
        </w:rPr>
        <w:t>It’s closely scrutinized by reviewers and readers</w:t>
      </w:r>
      <w:proofErr w:type="gramEnd"/>
      <w:r w:rsidRPr="00B41E98">
        <w:rPr>
          <w:bCs/>
          <w:sz w:val="22"/>
          <w:szCs w:val="22"/>
        </w:rPr>
        <w:t xml:space="preserve"> because they know the substantive data in the field well, and know that the choice of input values determines model validity and generalizability. Proceeding logically should save time and yield the most defensible estimates.</w:t>
      </w:r>
    </w:p>
    <w:p w:rsidR="00541795" w:rsidRPr="00B41E98" w:rsidRDefault="00541795">
      <w:pPr>
        <w:tabs>
          <w:tab w:val="left" w:pos="0"/>
          <w:tab w:val="left" w:pos="1457"/>
        </w:tabs>
        <w:suppressAutoHyphens/>
        <w:rPr>
          <w:bCs/>
          <w:sz w:val="22"/>
          <w:szCs w:val="22"/>
        </w:rPr>
      </w:pPr>
      <w:r w:rsidRPr="00B41E98">
        <w:rPr>
          <w:bCs/>
          <w:sz w:val="22"/>
          <w:szCs w:val="22"/>
        </w:rPr>
        <w:tab/>
      </w:r>
    </w:p>
    <w:p w:rsidR="00541795" w:rsidRPr="00B41E98" w:rsidRDefault="00541795">
      <w:pPr>
        <w:tabs>
          <w:tab w:val="left" w:pos="0"/>
        </w:tabs>
        <w:suppressAutoHyphens/>
        <w:rPr>
          <w:bCs/>
          <w:sz w:val="22"/>
          <w:szCs w:val="22"/>
        </w:rPr>
      </w:pPr>
      <w:r w:rsidRPr="00B41E98">
        <w:rPr>
          <w:bCs/>
          <w:sz w:val="22"/>
          <w:szCs w:val="22"/>
        </w:rPr>
        <w:t>We divide this topic as follows:</w:t>
      </w:r>
    </w:p>
    <w:p w:rsidR="00541795" w:rsidRPr="00B41E98" w:rsidRDefault="00541795">
      <w:pPr>
        <w:tabs>
          <w:tab w:val="left" w:pos="0"/>
        </w:tabs>
        <w:suppressAutoHyphens/>
        <w:rPr>
          <w:bCs/>
          <w:sz w:val="22"/>
          <w:szCs w:val="22"/>
        </w:rPr>
      </w:pPr>
    </w:p>
    <w:p w:rsidR="00541795" w:rsidRPr="00B41E98" w:rsidRDefault="00541795">
      <w:pPr>
        <w:ind w:left="360" w:right="-720"/>
        <w:rPr>
          <w:sz w:val="22"/>
          <w:szCs w:val="22"/>
        </w:rPr>
      </w:pPr>
      <w:r w:rsidRPr="00B41E98">
        <w:rPr>
          <w:sz w:val="22"/>
          <w:szCs w:val="22"/>
        </w:rPr>
        <w:t xml:space="preserve">1. General approach </w:t>
      </w:r>
    </w:p>
    <w:p w:rsidR="00541795" w:rsidRPr="00B41E98" w:rsidRDefault="00541795">
      <w:pPr>
        <w:ind w:left="360" w:right="-720"/>
        <w:rPr>
          <w:sz w:val="22"/>
          <w:szCs w:val="22"/>
        </w:rPr>
      </w:pPr>
      <w:r w:rsidRPr="00B41E98">
        <w:rPr>
          <w:sz w:val="22"/>
          <w:szCs w:val="22"/>
        </w:rPr>
        <w:t>2. Health inputs</w:t>
      </w:r>
    </w:p>
    <w:p w:rsidR="00541795" w:rsidRPr="00B41E98" w:rsidRDefault="00541795">
      <w:pPr>
        <w:ind w:left="360" w:right="-720"/>
        <w:rPr>
          <w:sz w:val="22"/>
          <w:szCs w:val="22"/>
        </w:rPr>
      </w:pPr>
      <w:r w:rsidRPr="00B41E98">
        <w:rPr>
          <w:sz w:val="22"/>
          <w:szCs w:val="22"/>
        </w:rPr>
        <w:t>3. Cost inputs</w:t>
      </w:r>
    </w:p>
    <w:p w:rsidR="00541795" w:rsidRPr="00B41E98" w:rsidRDefault="00541795">
      <w:pPr>
        <w:pStyle w:val="Heading1"/>
        <w:ind w:firstLine="360"/>
        <w:rPr>
          <w:rFonts w:ascii="Times New Roman" w:hAnsi="Times New Roman"/>
          <w:i w:val="0"/>
          <w:szCs w:val="22"/>
        </w:rPr>
      </w:pPr>
      <w:r w:rsidRPr="00B41E98">
        <w:rPr>
          <w:rFonts w:ascii="Times New Roman" w:hAnsi="Times New Roman"/>
          <w:i w:val="0"/>
          <w:szCs w:val="22"/>
        </w:rPr>
        <w:t>4. Presentation</w:t>
      </w:r>
    </w:p>
    <w:p w:rsidR="00541795" w:rsidRDefault="00541795">
      <w:pPr>
        <w:pStyle w:val="Heading8"/>
        <w:rPr>
          <w:b w:val="0"/>
          <w:smallCaps w:val="0"/>
          <w:sz w:val="24"/>
        </w:rPr>
      </w:pPr>
    </w:p>
    <w:p w:rsidR="00541795" w:rsidRDefault="00541795">
      <w:pPr>
        <w:pStyle w:val="Heading8"/>
      </w:pPr>
      <w:r>
        <w:t>1. General Approach</w:t>
      </w:r>
    </w:p>
    <w:p w:rsidR="00541795" w:rsidRDefault="00541795">
      <w:pPr>
        <w:tabs>
          <w:tab w:val="left" w:pos="0"/>
        </w:tabs>
        <w:suppressAutoHyphens/>
        <w:rPr>
          <w:bCs/>
        </w:rPr>
      </w:pPr>
      <w:r>
        <w:rPr>
          <w:bCs/>
        </w:rPr>
        <w:t xml:space="preserve"> </w:t>
      </w:r>
    </w:p>
    <w:p w:rsidR="00541795" w:rsidRPr="00B41E98" w:rsidRDefault="00541795">
      <w:pPr>
        <w:tabs>
          <w:tab w:val="left" w:pos="0"/>
        </w:tabs>
        <w:suppressAutoHyphens/>
        <w:rPr>
          <w:iCs/>
          <w:sz w:val="22"/>
          <w:szCs w:val="22"/>
        </w:rPr>
      </w:pPr>
      <w:r w:rsidRPr="00B41E98">
        <w:rPr>
          <w:iCs/>
          <w:sz w:val="22"/>
          <w:szCs w:val="22"/>
        </w:rPr>
        <w:t xml:space="preserve">The goal of obtaining data inputs for a decision or cost-effectiveness analysis is to calibrate the model to reflect real world conditions. By </w:t>
      </w:r>
      <w:r w:rsidRPr="00B41E98">
        <w:rPr>
          <w:bCs/>
          <w:sz w:val="22"/>
          <w:szCs w:val="22"/>
        </w:rPr>
        <w:t>building</w:t>
      </w:r>
      <w:r w:rsidRPr="00B41E98">
        <w:rPr>
          <w:iCs/>
          <w:sz w:val="22"/>
          <w:szCs w:val="22"/>
        </w:rPr>
        <w:t xml:space="preserve"> the tree and specifying the perspective and outcomes, you’ve indicated how you think about the problem – </w:t>
      </w:r>
      <w:r w:rsidRPr="00B41E98">
        <w:rPr>
          <w:i/>
          <w:sz w:val="22"/>
          <w:szCs w:val="22"/>
        </w:rPr>
        <w:t>possible</w:t>
      </w:r>
      <w:r w:rsidRPr="00B41E98">
        <w:rPr>
          <w:iCs/>
          <w:sz w:val="22"/>
          <w:szCs w:val="22"/>
        </w:rPr>
        <w:t xml:space="preserve"> actions and </w:t>
      </w:r>
      <w:proofErr w:type="gramStart"/>
      <w:r w:rsidRPr="00B41E98">
        <w:rPr>
          <w:iCs/>
          <w:sz w:val="22"/>
          <w:szCs w:val="22"/>
        </w:rPr>
        <w:t>consequences</w:t>
      </w:r>
      <w:proofErr w:type="gramEnd"/>
      <w:r w:rsidRPr="00B41E98">
        <w:rPr>
          <w:iCs/>
          <w:sz w:val="22"/>
          <w:szCs w:val="22"/>
        </w:rPr>
        <w:t xml:space="preserve">. By assigning values to input parameters, you characterize the situation facing a patient or group of patients – the </w:t>
      </w:r>
      <w:r w:rsidRPr="00B41E98">
        <w:rPr>
          <w:i/>
          <w:sz w:val="22"/>
          <w:szCs w:val="22"/>
        </w:rPr>
        <w:t xml:space="preserve">likelihood </w:t>
      </w:r>
      <w:r w:rsidRPr="00B41E98">
        <w:rPr>
          <w:iCs/>
          <w:sz w:val="22"/>
          <w:szCs w:val="22"/>
        </w:rPr>
        <w:t>of consequences</w:t>
      </w:r>
      <w:r w:rsidRPr="00B41E98">
        <w:rPr>
          <w:sz w:val="22"/>
          <w:szCs w:val="22"/>
        </w:rPr>
        <w:t xml:space="preserve"> and hence of final outcomes, and the value of each outcome.</w:t>
      </w:r>
    </w:p>
    <w:p w:rsidR="00541795" w:rsidRPr="00B41E98" w:rsidRDefault="00541795">
      <w:pPr>
        <w:tabs>
          <w:tab w:val="left" w:pos="0"/>
        </w:tabs>
        <w:suppressAutoHyphens/>
        <w:rPr>
          <w:iCs/>
          <w:sz w:val="22"/>
          <w:szCs w:val="22"/>
        </w:rPr>
      </w:pPr>
    </w:p>
    <w:p w:rsidR="00541795" w:rsidRPr="00B41E98" w:rsidRDefault="00541795">
      <w:pPr>
        <w:tabs>
          <w:tab w:val="left" w:pos="0"/>
        </w:tabs>
        <w:suppressAutoHyphens/>
        <w:rPr>
          <w:iCs/>
          <w:sz w:val="22"/>
          <w:szCs w:val="22"/>
        </w:rPr>
      </w:pPr>
      <w:r w:rsidRPr="00B41E98">
        <w:rPr>
          <w:iCs/>
          <w:sz w:val="22"/>
          <w:szCs w:val="22"/>
        </w:rPr>
        <w:t xml:space="preserve">The more convincingly that assigned values represent the identified population and problem, the more persuasive the analysis will be, and the more favorably it will be received. In fact, having </w:t>
      </w:r>
      <w:r w:rsidRPr="00B41E98">
        <w:rPr>
          <w:iCs/>
          <w:sz w:val="22"/>
          <w:szCs w:val="22"/>
        </w:rPr>
        <w:lastRenderedPageBreak/>
        <w:t>credible data is so important that sometimes analysis structures are adapted to permit the use of high quality data available only in one form, e.g., risk groups are defined to match categories in a landmark long-term follow-up study.</w:t>
      </w:r>
    </w:p>
    <w:p w:rsidR="00541795" w:rsidRPr="00B41E98" w:rsidRDefault="00541795">
      <w:pPr>
        <w:pStyle w:val="indent1"/>
        <w:spacing w:line="240" w:lineRule="exact"/>
        <w:ind w:left="360" w:firstLine="0"/>
        <w:rPr>
          <w:rFonts w:ascii="Times New Roman" w:hAnsi="Times New Roman"/>
          <w:iCs/>
          <w:sz w:val="22"/>
          <w:szCs w:val="22"/>
        </w:rPr>
      </w:pPr>
    </w:p>
    <w:p w:rsidR="00541795" w:rsidRPr="00B41E98" w:rsidRDefault="00541795">
      <w:pPr>
        <w:tabs>
          <w:tab w:val="left" w:pos="0"/>
        </w:tabs>
        <w:suppressAutoHyphens/>
        <w:rPr>
          <w:sz w:val="22"/>
          <w:szCs w:val="22"/>
        </w:rPr>
      </w:pPr>
      <w:r w:rsidRPr="00B41E98">
        <w:rPr>
          <w:sz w:val="22"/>
          <w:szCs w:val="22"/>
        </w:rPr>
        <w:t xml:space="preserve">The standard approach to assigning values to data inputs is to generate a </w:t>
      </w:r>
      <w:r w:rsidRPr="00B41E98">
        <w:rPr>
          <w:i/>
          <w:sz w:val="22"/>
          <w:szCs w:val="22"/>
        </w:rPr>
        <w:t xml:space="preserve">base case </w:t>
      </w:r>
      <w:r w:rsidRPr="00B41E98">
        <w:rPr>
          <w:iCs/>
          <w:sz w:val="22"/>
          <w:szCs w:val="22"/>
        </w:rPr>
        <w:t>value</w:t>
      </w:r>
      <w:r w:rsidRPr="00B41E98">
        <w:rPr>
          <w:sz w:val="22"/>
          <w:szCs w:val="22"/>
        </w:rPr>
        <w:t xml:space="preserve"> and a </w:t>
      </w:r>
      <w:r w:rsidRPr="00B41E98">
        <w:rPr>
          <w:i/>
          <w:sz w:val="22"/>
          <w:szCs w:val="22"/>
        </w:rPr>
        <w:t>range.</w:t>
      </w:r>
      <w:r w:rsidRPr="00B41E98">
        <w:rPr>
          <w:iCs/>
          <w:sz w:val="22"/>
          <w:szCs w:val="22"/>
        </w:rPr>
        <w:t xml:space="preserve"> The base case value</w:t>
      </w:r>
      <w:r w:rsidRPr="00B41E98">
        <w:rPr>
          <w:sz w:val="22"/>
          <w:szCs w:val="22"/>
        </w:rPr>
        <w:t xml:space="preserve"> (also referred to as baseline or best estimate) is the most likely value for that input. Usually the emphasis is on identifying the value that falls squarely in the center of good available data, as the </w:t>
      </w:r>
      <w:proofErr w:type="gramStart"/>
      <w:r w:rsidRPr="00B41E98">
        <w:rPr>
          <w:sz w:val="22"/>
          <w:szCs w:val="22"/>
        </w:rPr>
        <w:t>best unbiased</w:t>
      </w:r>
      <w:proofErr w:type="gramEnd"/>
      <w:r w:rsidRPr="00B41E98">
        <w:rPr>
          <w:sz w:val="22"/>
          <w:szCs w:val="22"/>
        </w:rPr>
        <w:t xml:space="preserve"> estimate. Sometimes, the analyst may err intentionally in one direction, to “bias” the analysis away from a particular result. Thus, </w:t>
      </w:r>
      <w:proofErr w:type="gramStart"/>
      <w:r w:rsidRPr="00B41E98">
        <w:rPr>
          <w:sz w:val="22"/>
          <w:szCs w:val="22"/>
        </w:rPr>
        <w:t>a high</w:t>
      </w:r>
      <w:proofErr w:type="gramEnd"/>
      <w:r w:rsidRPr="00B41E98">
        <w:rPr>
          <w:sz w:val="22"/>
          <w:szCs w:val="22"/>
        </w:rPr>
        <w:t xml:space="preserve"> disease prevalence might be assumed for a screening program so that the conclusion could be “even assuming a relatively high prevalence, the program is not cost-effective.” This is a very effective technique to make findings more convincing, when applicable.</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 xml:space="preserve">The range for each variable represents the plausible extent of values. It is usually intended to encompass values that occur most of the time, not just to exclude extremely rare occurrences. Thus, the range is more like a 95% confidence interval than a 99.99% confidence interval. The range is set one of two ways. For inputs derived from a single empirical </w:t>
      </w:r>
      <w:proofErr w:type="gramStart"/>
      <w:r w:rsidRPr="00B41E98">
        <w:rPr>
          <w:sz w:val="22"/>
          <w:szCs w:val="22"/>
        </w:rPr>
        <w:t>data base</w:t>
      </w:r>
      <w:proofErr w:type="gramEnd"/>
      <w:r w:rsidRPr="00B41E98">
        <w:rPr>
          <w:sz w:val="22"/>
          <w:szCs w:val="22"/>
        </w:rPr>
        <w:t xml:space="preserve"> (primary data or a meta-analysis), the range is based on formally calculated confidence intervals, commonly +/- 95%. When relying on multiple data sources or expert opinions, the range is based on values observed in credible studies or proposed by experts, rather than formal calculations. Establishing a sensible, defensible range is just as important as established the base case value.</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In the next two sections, we discuss health and cost inputs. We handle them separately because they pose different challenges for individuals doing medical CEAs. Health inputs usually require more extensive literature review, applying relatively familiar standards of clinical and epidemiologic research. Cost inputs usually require less literature review, but applying relatively unfamiliar (for doctors) principles of costing and economics.</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p>
    <w:p w:rsidR="00541795" w:rsidRDefault="00541795">
      <w:pPr>
        <w:pStyle w:val="Heading8"/>
      </w:pPr>
      <w:r>
        <w:t>2. Health Inputs</w:t>
      </w:r>
    </w:p>
    <w:p w:rsidR="00541795" w:rsidRDefault="00541795">
      <w:pPr>
        <w:tabs>
          <w:tab w:val="left" w:pos="0"/>
        </w:tabs>
        <w:suppressAutoHyphens/>
        <w:rPr>
          <w:bCs/>
        </w:rPr>
      </w:pPr>
    </w:p>
    <w:p w:rsidR="00541795" w:rsidRPr="00B41E98" w:rsidRDefault="00541795">
      <w:pPr>
        <w:tabs>
          <w:tab w:val="left" w:pos="0"/>
        </w:tabs>
        <w:suppressAutoHyphens/>
        <w:rPr>
          <w:sz w:val="22"/>
          <w:szCs w:val="22"/>
        </w:rPr>
      </w:pPr>
      <w:proofErr w:type="gramStart"/>
      <w:r w:rsidRPr="00B41E98">
        <w:rPr>
          <w:sz w:val="22"/>
          <w:szCs w:val="22"/>
        </w:rPr>
        <w:t>Health inputs for the analysis health outcomes and population characteristics.</w:t>
      </w:r>
      <w:proofErr w:type="gramEnd"/>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iCs/>
          <w:sz w:val="22"/>
          <w:szCs w:val="22"/>
        </w:rPr>
      </w:pPr>
      <w:r w:rsidRPr="00B41E98">
        <w:rPr>
          <w:sz w:val="22"/>
          <w:szCs w:val="22"/>
        </w:rPr>
        <w:tab/>
      </w:r>
      <w:r w:rsidRPr="00B41E98">
        <w:rPr>
          <w:i/>
          <w:sz w:val="22"/>
          <w:szCs w:val="22"/>
        </w:rPr>
        <w:t xml:space="preserve">Health outcomes </w:t>
      </w:r>
      <w:r w:rsidRPr="00B41E98">
        <w:rPr>
          <w:iCs/>
          <w:sz w:val="22"/>
          <w:szCs w:val="22"/>
        </w:rPr>
        <w:t>are the clinical outcomes for the disease being modeled, in both untreated and treated populations. These are used to specify probabilities in chance nodes and also utilities or QALYs for each terminal branch.</w:t>
      </w:r>
    </w:p>
    <w:p w:rsidR="00541795" w:rsidRPr="00B41E98" w:rsidRDefault="00541795">
      <w:pPr>
        <w:tabs>
          <w:tab w:val="left" w:pos="0"/>
        </w:tabs>
        <w:suppressAutoHyphens/>
        <w:rPr>
          <w:iCs/>
          <w:sz w:val="22"/>
          <w:szCs w:val="22"/>
        </w:rPr>
      </w:pPr>
    </w:p>
    <w:p w:rsidR="00541795" w:rsidRPr="00B41E98" w:rsidRDefault="00541795">
      <w:pPr>
        <w:tabs>
          <w:tab w:val="left" w:pos="0"/>
        </w:tabs>
        <w:suppressAutoHyphens/>
        <w:rPr>
          <w:iCs/>
          <w:sz w:val="22"/>
          <w:szCs w:val="22"/>
        </w:rPr>
      </w:pPr>
      <w:r w:rsidRPr="00B41E98">
        <w:rPr>
          <w:iCs/>
          <w:sz w:val="22"/>
          <w:szCs w:val="22"/>
        </w:rPr>
        <w:tab/>
        <w:t xml:space="preserve"> </w:t>
      </w:r>
      <w:r w:rsidRPr="00B41E98">
        <w:rPr>
          <w:i/>
          <w:sz w:val="22"/>
          <w:szCs w:val="22"/>
        </w:rPr>
        <w:t>Population characteristics</w:t>
      </w:r>
      <w:r w:rsidRPr="00B41E98">
        <w:rPr>
          <w:iCs/>
          <w:sz w:val="22"/>
          <w:szCs w:val="22"/>
        </w:rPr>
        <w:t xml:space="preserve"> describe the prevalence of disease and, if needed, mortality from all causes; these are used for probabilities in chance nodes.</w:t>
      </w:r>
    </w:p>
    <w:p w:rsidR="00541795" w:rsidRPr="00B41E98" w:rsidRDefault="00541795">
      <w:pPr>
        <w:tabs>
          <w:tab w:val="left" w:pos="0"/>
        </w:tabs>
        <w:suppressAutoHyphens/>
        <w:rPr>
          <w:i/>
          <w:sz w:val="22"/>
          <w:szCs w:val="22"/>
        </w:rPr>
      </w:pPr>
    </w:p>
    <w:p w:rsidR="00541795" w:rsidRPr="00B41E98" w:rsidRDefault="00541795">
      <w:pPr>
        <w:tabs>
          <w:tab w:val="left" w:pos="0"/>
        </w:tabs>
        <w:suppressAutoHyphens/>
        <w:rPr>
          <w:sz w:val="22"/>
          <w:szCs w:val="22"/>
        </w:rPr>
      </w:pPr>
      <w:r w:rsidRPr="00B41E98">
        <w:rPr>
          <w:sz w:val="22"/>
          <w:szCs w:val="22"/>
        </w:rPr>
        <w:t xml:space="preserve">The first step in any good health data review is a comprehensive literature search. This requires </w:t>
      </w:r>
      <w:r w:rsidR="00405374">
        <w:rPr>
          <w:sz w:val="22"/>
          <w:szCs w:val="22"/>
        </w:rPr>
        <w:t xml:space="preserve">PubMed and other database (e.g., </w:t>
      </w:r>
      <w:proofErr w:type="spellStart"/>
      <w:r w:rsidR="00405374">
        <w:rPr>
          <w:sz w:val="22"/>
          <w:szCs w:val="22"/>
        </w:rPr>
        <w:t>Embase</w:t>
      </w:r>
      <w:proofErr w:type="spellEnd"/>
      <w:r w:rsidR="00405374">
        <w:rPr>
          <w:sz w:val="22"/>
          <w:szCs w:val="22"/>
        </w:rPr>
        <w:t>, Web of Science_</w:t>
      </w:r>
      <w:r w:rsidRPr="00B41E98">
        <w:rPr>
          <w:sz w:val="22"/>
          <w:szCs w:val="22"/>
        </w:rPr>
        <w:t xml:space="preserve"> searches using a variety of </w:t>
      </w:r>
      <w:r w:rsidR="00405374">
        <w:rPr>
          <w:sz w:val="22"/>
          <w:szCs w:val="22"/>
        </w:rPr>
        <w:t xml:space="preserve">carefully crafted </w:t>
      </w:r>
      <w:r w:rsidRPr="00B41E98">
        <w:rPr>
          <w:sz w:val="22"/>
          <w:szCs w:val="22"/>
        </w:rPr>
        <w:t xml:space="preserve">search terms and </w:t>
      </w:r>
      <w:r w:rsidR="00405374">
        <w:rPr>
          <w:sz w:val="22"/>
          <w:szCs w:val="22"/>
        </w:rPr>
        <w:t>phrases</w:t>
      </w:r>
      <w:r w:rsidRPr="00B41E98">
        <w:rPr>
          <w:sz w:val="22"/>
          <w:szCs w:val="22"/>
        </w:rPr>
        <w:t xml:space="preserve">; review of the bibliographies of relevant publications; and polling of experts concerning recently published or hard-to-find results. Typically </w:t>
      </w:r>
      <w:r w:rsidR="00405374">
        <w:rPr>
          <w:sz w:val="22"/>
          <w:szCs w:val="22"/>
        </w:rPr>
        <w:t>10%</w:t>
      </w:r>
      <w:r w:rsidRPr="00B41E98">
        <w:rPr>
          <w:sz w:val="22"/>
          <w:szCs w:val="22"/>
        </w:rPr>
        <w:t xml:space="preserve"> or fewer of initially interesting </w:t>
      </w:r>
      <w:r w:rsidR="00405374">
        <w:rPr>
          <w:sz w:val="22"/>
          <w:szCs w:val="22"/>
        </w:rPr>
        <w:t>titles</w:t>
      </w:r>
      <w:r w:rsidRPr="00B41E98">
        <w:rPr>
          <w:sz w:val="22"/>
          <w:szCs w:val="22"/>
        </w:rPr>
        <w:t xml:space="preserve"> turn out to be relevant on closer review, but that still may leave a substantial stack.</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 xml:space="preserve">Thus, the challenge with health inputs – especially </w:t>
      </w:r>
      <w:r w:rsidRPr="00B41E98">
        <w:rPr>
          <w:i/>
          <w:iCs/>
          <w:sz w:val="22"/>
          <w:szCs w:val="22"/>
        </w:rPr>
        <w:t>health outcomes</w:t>
      </w:r>
      <w:r w:rsidRPr="00B41E98">
        <w:rPr>
          <w:sz w:val="22"/>
          <w:szCs w:val="22"/>
        </w:rPr>
        <w:t xml:space="preserve"> – is choosing from among multiple studies, often a surfeit of studies. Here’s one hierarchy:</w:t>
      </w:r>
    </w:p>
    <w:p w:rsidR="00541795" w:rsidRPr="00B41E98" w:rsidRDefault="00541795">
      <w:pPr>
        <w:tabs>
          <w:tab w:val="left" w:pos="0"/>
        </w:tabs>
        <w:suppressAutoHyphens/>
        <w:rPr>
          <w:sz w:val="22"/>
          <w:szCs w:val="22"/>
        </w:rPr>
      </w:pPr>
    </w:p>
    <w:p w:rsidR="00541795" w:rsidRPr="00B41E98" w:rsidRDefault="00541795">
      <w:pPr>
        <w:suppressAutoHyphens/>
        <w:ind w:left="720" w:hanging="360"/>
        <w:rPr>
          <w:sz w:val="22"/>
          <w:szCs w:val="22"/>
        </w:rPr>
      </w:pPr>
      <w:r w:rsidRPr="00B41E98">
        <w:rPr>
          <w:i/>
          <w:iCs/>
          <w:sz w:val="22"/>
          <w:szCs w:val="22"/>
        </w:rPr>
        <w:lastRenderedPageBreak/>
        <w:t>Definitive trials:</w:t>
      </w:r>
      <w:r w:rsidRPr="00B41E98">
        <w:rPr>
          <w:sz w:val="22"/>
          <w:szCs w:val="22"/>
        </w:rPr>
        <w:t xml:space="preserve"> Large well-conducted randomized controlled trials with appropriate populations provide the most valid and precise estimate of health outcomes, including differences between untreated and treated individuals. They can provide base case values and statistically calculated confidence intervals for ranges. </w:t>
      </w:r>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sz w:val="22"/>
          <w:szCs w:val="22"/>
        </w:rPr>
        <w:tab/>
        <w:t>Usually needed inputs can be obtained from published reports. Occasionally, customized data runs can generate the needed values.</w:t>
      </w:r>
      <w:r w:rsidRPr="00B41E98">
        <w:rPr>
          <w:bCs/>
          <w:sz w:val="22"/>
          <w:szCs w:val="22"/>
        </w:rPr>
        <w:t xml:space="preserve"> For example, in a current study we obtained primary data from the authors of a major study of ACE-inhibitors (SOLVD) to do custom regressions on the effect of smoking on CHF survival and hospitalization.</w:t>
      </w:r>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sz w:val="22"/>
          <w:szCs w:val="22"/>
        </w:rPr>
        <w:tab/>
        <w:t xml:space="preserve">This data source has two potential limitations: Study populations may not be representative of the group being modeled, </w:t>
      </w:r>
      <w:proofErr w:type="spellStart"/>
      <w:r w:rsidRPr="00B41E98">
        <w:rPr>
          <w:sz w:val="22"/>
          <w:szCs w:val="22"/>
        </w:rPr>
        <w:t>eg</w:t>
      </w:r>
      <w:proofErr w:type="spellEnd"/>
      <w:r w:rsidRPr="00B41E98">
        <w:rPr>
          <w:sz w:val="22"/>
          <w:szCs w:val="22"/>
        </w:rPr>
        <w:t xml:space="preserve"> due to exclusion criteria. This is up to the analyst to assess. And clinical practice conditions may be more ideal in a trial than in the real world, where practitioners may be less knowledgeable and charismatic in managing this particular condition. (“Efficacy” is often used to refer to ideal world treatment effects, and “effectiveness” to lower real-world effects.)</w:t>
      </w:r>
    </w:p>
    <w:p w:rsidR="00541795" w:rsidRPr="00B41E98" w:rsidRDefault="00541795">
      <w:pPr>
        <w:suppressAutoHyphens/>
        <w:ind w:left="720" w:hanging="360"/>
        <w:rPr>
          <w:sz w:val="22"/>
          <w:szCs w:val="22"/>
        </w:rPr>
      </w:pPr>
    </w:p>
    <w:p w:rsidR="00541795" w:rsidRPr="00B41E98" w:rsidRDefault="00541795">
      <w:pPr>
        <w:suppressAutoHyphens/>
        <w:ind w:left="720"/>
        <w:rPr>
          <w:sz w:val="22"/>
          <w:szCs w:val="22"/>
        </w:rPr>
      </w:pPr>
      <w:r w:rsidRPr="00B41E98">
        <w:rPr>
          <w:sz w:val="22"/>
          <w:szCs w:val="22"/>
        </w:rPr>
        <w:t>Definitive trials are often used for one or two key inputs, thought rarely for more. They are used so frequently because they often serve as the impetus for a CEA – now that this authoritative study on clinical efficacy is done, let’s contemplate the economics.</w:t>
      </w:r>
    </w:p>
    <w:p w:rsidR="00541795" w:rsidRPr="00B41E98" w:rsidRDefault="00541795">
      <w:pPr>
        <w:suppressAutoHyphens/>
        <w:ind w:left="720" w:hanging="360"/>
        <w:rPr>
          <w:sz w:val="22"/>
          <w:szCs w:val="22"/>
        </w:rPr>
      </w:pPr>
    </w:p>
    <w:p w:rsidR="00541795" w:rsidRPr="00B41E98" w:rsidRDefault="00541795" w:rsidP="00405374">
      <w:pPr>
        <w:suppressAutoHyphens/>
        <w:ind w:left="720" w:hanging="360"/>
        <w:rPr>
          <w:sz w:val="22"/>
          <w:szCs w:val="22"/>
        </w:rPr>
      </w:pPr>
      <w:r w:rsidRPr="00B41E98">
        <w:rPr>
          <w:i/>
          <w:iCs/>
          <w:sz w:val="22"/>
          <w:szCs w:val="22"/>
        </w:rPr>
        <w:t>Meta-analysis of trials:</w:t>
      </w:r>
      <w:r w:rsidRPr="00B41E98">
        <w:rPr>
          <w:sz w:val="22"/>
          <w:szCs w:val="22"/>
        </w:rPr>
        <w:t xml:space="preserve"> Formal meta-analysis is a wonderful tool that has become more common and more sophisticated in recent years. </w:t>
      </w:r>
      <w:r w:rsidR="00405374">
        <w:rPr>
          <w:sz w:val="22"/>
          <w:szCs w:val="22"/>
        </w:rPr>
        <w:t xml:space="preserve">The </w:t>
      </w:r>
      <w:r w:rsidR="00405374" w:rsidRPr="00405374">
        <w:rPr>
          <w:b/>
          <w:sz w:val="22"/>
          <w:szCs w:val="22"/>
        </w:rPr>
        <w:t>Cochrane Collaboration</w:t>
      </w:r>
      <w:r w:rsidR="00405374">
        <w:rPr>
          <w:sz w:val="22"/>
          <w:szCs w:val="22"/>
        </w:rPr>
        <w:t xml:space="preserve"> (based in part at UCSF) is a central, even dominant, part of this.</w:t>
      </w:r>
      <w:r w:rsidR="00405374">
        <w:rPr>
          <w:sz w:val="22"/>
          <w:szCs w:val="22"/>
        </w:rPr>
        <w:br/>
      </w:r>
      <w:r w:rsidR="00405374">
        <w:rPr>
          <w:sz w:val="22"/>
          <w:szCs w:val="22"/>
        </w:rPr>
        <w:br/>
      </w:r>
      <w:r w:rsidRPr="00B41E98">
        <w:rPr>
          <w:sz w:val="22"/>
          <w:szCs w:val="22"/>
        </w:rPr>
        <w:t xml:space="preserve">If done well (i.e., rigorous identification of studies and proper statistics), meta-analysis avoids the pitfalls of relying on single, potentially flawed or underpowered studies. However, meta-analysis has challenges, including publication bias (negative studies are often unpublished and thus </w:t>
      </w:r>
      <w:proofErr w:type="spellStart"/>
      <w:r w:rsidRPr="00B41E98">
        <w:rPr>
          <w:sz w:val="22"/>
          <w:szCs w:val="22"/>
        </w:rPr>
        <w:t>unfindable</w:t>
      </w:r>
      <w:proofErr w:type="spellEnd"/>
      <w:r w:rsidRPr="00B41E98">
        <w:rPr>
          <w:sz w:val="22"/>
          <w:szCs w:val="22"/>
        </w:rPr>
        <w:t>, except for controversial topics since negative studies are more publishable) and unresolvable heterogeneity (e.g., due to real but poorly characterized differences in treatment, study populations, study design, or statistical analysis). There are techniques to detect publication bias and evaluate how it affects results, e.g., 'funnel plots’ and estimates of the number of undetected studies with specified effect size needed to reverse the findings. Still, some evidence suggests that meta-analysis often disagrees with a later definitive trial (</w:t>
      </w:r>
      <w:proofErr w:type="spellStart"/>
      <w:r w:rsidRPr="00B41E98">
        <w:rPr>
          <w:sz w:val="22"/>
          <w:szCs w:val="22"/>
        </w:rPr>
        <w:t>LeLorier</w:t>
      </w:r>
      <w:proofErr w:type="spellEnd"/>
      <w:r w:rsidRPr="00B41E98">
        <w:rPr>
          <w:sz w:val="22"/>
          <w:szCs w:val="22"/>
        </w:rPr>
        <w:t xml:space="preserve"> et al NEJM). Since the former is typically deemed more persuasive, we list meta-analysis second.</w:t>
      </w:r>
      <w:r w:rsidRPr="00B41E98">
        <w:rPr>
          <w:sz w:val="22"/>
          <w:szCs w:val="22"/>
          <w:u w:val="single"/>
        </w:rPr>
        <w:t xml:space="preserve"> </w:t>
      </w:r>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sz w:val="22"/>
          <w:szCs w:val="22"/>
        </w:rPr>
        <w:tab/>
        <w:t>Very few decision or cost-effectiveness analyses conduct meta-analyses specifically to inform key data inputs. It’s just too much work. A meta-analysis often requires on the order of $</w:t>
      </w:r>
      <w:r w:rsidR="00405374">
        <w:rPr>
          <w:sz w:val="22"/>
          <w:szCs w:val="22"/>
        </w:rPr>
        <w:t xml:space="preserve">50,000 - </w:t>
      </w:r>
      <w:r w:rsidRPr="00B41E98">
        <w:rPr>
          <w:sz w:val="22"/>
          <w:szCs w:val="22"/>
        </w:rPr>
        <w:t>100,000 (i.e., a research associate full time for a year plus faculty time) – more than most CEAs. And that’s for just one input. More commonly, a meta-analysis is found in the literature, or perhaps was done by the same research group at an earlier time.</w:t>
      </w:r>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i/>
          <w:iCs/>
          <w:sz w:val="22"/>
          <w:szCs w:val="22"/>
        </w:rPr>
        <w:t>Systematic review:</w:t>
      </w:r>
      <w:r w:rsidRPr="00B41E98">
        <w:rPr>
          <w:sz w:val="22"/>
          <w:szCs w:val="22"/>
        </w:rPr>
        <w:t xml:space="preserve"> This is an excellent method that is far easier than meta-analysis, but often yields similar results. Systematic review is a careful, critical, structured compendium </w:t>
      </w:r>
      <w:proofErr w:type="gramStart"/>
      <w:r w:rsidRPr="00B41E98">
        <w:rPr>
          <w:sz w:val="22"/>
          <w:szCs w:val="22"/>
        </w:rPr>
        <w:t>of  studies</w:t>
      </w:r>
      <w:proofErr w:type="gramEnd"/>
      <w:r w:rsidRPr="00B41E98">
        <w:rPr>
          <w:sz w:val="22"/>
          <w:szCs w:val="22"/>
        </w:rPr>
        <w:t xml:space="preserve">, summarizing methods and findings. Typically each study is described in terms of its subjects (population, sample size), study design (e.g., RCT or case series), outcome measurement (definition, length of follow-up), and outcomes (e.g., relative risk). Often a systematic review classifies studies by quality, a method refined and popularized by the U.S. Preventive Services Task Force. Base case estimates are selected by examining </w:t>
      </w:r>
      <w:r w:rsidRPr="00B41E98">
        <w:rPr>
          <w:sz w:val="22"/>
          <w:szCs w:val="22"/>
        </w:rPr>
        <w:lastRenderedPageBreak/>
        <w:t>median and modal values for outcomes, informally weighted by study size or quality. Ranges are based on the distribution of values in well-done studies.</w:t>
      </w:r>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sz w:val="22"/>
          <w:szCs w:val="22"/>
        </w:rPr>
        <w:tab/>
        <w:t>Systematic review is the most common method for obtaining data inputs, often used for several inputs in a single CEA. For inputs (most!) that lack a single definitive study, it is far more credible than relying on the first identified report. It is at least 95% less work than a formal meta-analysis.</w:t>
      </w:r>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i/>
          <w:iCs/>
          <w:sz w:val="22"/>
          <w:szCs w:val="22"/>
        </w:rPr>
        <w:t>Smaller trials:</w:t>
      </w:r>
      <w:r w:rsidRPr="00B41E98">
        <w:rPr>
          <w:sz w:val="22"/>
          <w:szCs w:val="22"/>
        </w:rPr>
        <w:t xml:space="preserve"> Well-done small trials are unbiased but imprecise. The point estimate may be incorrect, and the confidence interval large. They are used surprisingly </w:t>
      </w:r>
      <w:proofErr w:type="gramStart"/>
      <w:r w:rsidRPr="00B41E98">
        <w:rPr>
          <w:sz w:val="22"/>
          <w:szCs w:val="22"/>
        </w:rPr>
        <w:t>commonly,</w:t>
      </w:r>
      <w:proofErr w:type="gramEnd"/>
      <w:r w:rsidRPr="00B41E98">
        <w:rPr>
          <w:sz w:val="22"/>
          <w:szCs w:val="22"/>
        </w:rPr>
        <w:t xml:space="preserve"> perhaps because of enthusiasm for promising clinical results … reader beware.</w:t>
      </w:r>
    </w:p>
    <w:p w:rsidR="00541795" w:rsidRPr="00B41E98" w:rsidRDefault="00541795">
      <w:pPr>
        <w:suppressAutoHyphens/>
        <w:ind w:left="720" w:hanging="360"/>
        <w:rPr>
          <w:sz w:val="22"/>
          <w:szCs w:val="22"/>
        </w:rPr>
      </w:pPr>
    </w:p>
    <w:p w:rsidR="00541795" w:rsidRPr="00B41E98" w:rsidRDefault="00541795">
      <w:pPr>
        <w:suppressAutoHyphens/>
        <w:ind w:left="720" w:hanging="360"/>
        <w:rPr>
          <w:i/>
          <w:iCs/>
          <w:sz w:val="22"/>
          <w:szCs w:val="22"/>
        </w:rPr>
      </w:pPr>
      <w:r w:rsidRPr="00B41E98">
        <w:rPr>
          <w:i/>
          <w:iCs/>
          <w:sz w:val="22"/>
          <w:szCs w:val="22"/>
        </w:rPr>
        <w:t>Large cohort studies:</w:t>
      </w:r>
      <w:r w:rsidRPr="00B41E98">
        <w:rPr>
          <w:sz w:val="22"/>
          <w:szCs w:val="22"/>
        </w:rPr>
        <w:t xml:space="preserve"> Cohort studies are good for estimating outcomes in untreated populations, particularly if they were conducted when treatment was unavailable.  However, they are unreliable for comparing untreated and treated populations, particularly when seeking treatment can reflect unmeasured health status or attitudes about health or health care. These factors cause confounding, leading to spurious results</w:t>
      </w:r>
      <w:r w:rsidRPr="00B41E98">
        <w:rPr>
          <w:rFonts w:ascii="Times_New_Roman" w:hAnsi="Times_New_Roman" w:hint="eastAsia"/>
          <w:sz w:val="22"/>
          <w:szCs w:val="22"/>
        </w:rPr>
        <w:t>, as in studies of postmenopausal hormone therapy</w:t>
      </w:r>
      <w:r w:rsidRPr="00B41E98">
        <w:rPr>
          <w:rFonts w:ascii="Times_New_Roman" w:hAnsi="Times_New_Roman"/>
          <w:sz w:val="22"/>
          <w:szCs w:val="22"/>
        </w:rPr>
        <w:t>,</w:t>
      </w:r>
      <w:r w:rsidRPr="00B41E98">
        <w:rPr>
          <w:rFonts w:ascii="Times_New_Roman" w:hAnsi="Times_New_Roman" w:hint="eastAsia"/>
          <w:sz w:val="22"/>
          <w:szCs w:val="22"/>
        </w:rPr>
        <w:t xml:space="preserve"> where cohort studies found a marked reduction in risk of coronary disease among hormone users compared to nonusers that was not confirmed in randomized trials</w:t>
      </w:r>
      <w:r w:rsidRPr="00B41E98">
        <w:rPr>
          <w:sz w:val="22"/>
          <w:szCs w:val="22"/>
        </w:rPr>
        <w:t>. Fortunately, cohort studies are most often used appropriately, to describe risks without treatment.</w:t>
      </w:r>
    </w:p>
    <w:p w:rsidR="00541795" w:rsidRPr="00B41E98" w:rsidRDefault="00541795">
      <w:pPr>
        <w:tabs>
          <w:tab w:val="left" w:pos="5983"/>
        </w:tabs>
        <w:suppressAutoHyphens/>
        <w:ind w:left="720" w:hanging="360"/>
        <w:rPr>
          <w:sz w:val="22"/>
          <w:szCs w:val="22"/>
        </w:rPr>
      </w:pPr>
      <w:r w:rsidRPr="00B41E98">
        <w:rPr>
          <w:sz w:val="22"/>
          <w:szCs w:val="22"/>
        </w:rPr>
        <w:tab/>
      </w:r>
      <w:r w:rsidRPr="00B41E98">
        <w:rPr>
          <w:sz w:val="22"/>
          <w:szCs w:val="22"/>
        </w:rPr>
        <w:tab/>
      </w:r>
    </w:p>
    <w:p w:rsidR="00541795" w:rsidRPr="00B41E98" w:rsidRDefault="00541795">
      <w:pPr>
        <w:suppressAutoHyphens/>
        <w:ind w:left="720" w:hanging="360"/>
        <w:rPr>
          <w:sz w:val="22"/>
          <w:szCs w:val="22"/>
        </w:rPr>
      </w:pPr>
      <w:r w:rsidRPr="00B41E98">
        <w:rPr>
          <w:i/>
          <w:iCs/>
          <w:sz w:val="22"/>
          <w:szCs w:val="22"/>
        </w:rPr>
        <w:t>Small cohort studies:</w:t>
      </w:r>
      <w:r w:rsidRPr="00B41E98">
        <w:rPr>
          <w:sz w:val="22"/>
          <w:szCs w:val="22"/>
        </w:rPr>
        <w:t xml:space="preserve"> Small cohort studies have the same problems of bias as larger cohort studies, and are imprecise. </w:t>
      </w:r>
      <w:proofErr w:type="gramStart"/>
      <w:r w:rsidRPr="00B41E98">
        <w:rPr>
          <w:sz w:val="22"/>
          <w:szCs w:val="22"/>
        </w:rPr>
        <w:t>A weak basis for inputs.</w:t>
      </w:r>
      <w:proofErr w:type="gramEnd"/>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i/>
          <w:iCs/>
          <w:sz w:val="22"/>
          <w:szCs w:val="22"/>
        </w:rPr>
        <w:t>Expert opinion:</w:t>
      </w:r>
      <w:r w:rsidRPr="00B41E98">
        <w:rPr>
          <w:sz w:val="22"/>
          <w:szCs w:val="22"/>
        </w:rPr>
        <w:t xml:space="preserve"> In the absence of data, expert opinion has important virtues. First, it’s all you’ve got, and you need the inputs. It’s common for 1-2 inputs in a CEA. Second, experts do know a lot, even if they’re extrapolating from other studies or personal experience or biological evidence. Third, the experts are potential reviewers of your article, and opinion makers in the field. Adopting their views will likely increase the chance of publication and favorable citation.</w:t>
      </w:r>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sz w:val="22"/>
          <w:szCs w:val="22"/>
        </w:rPr>
        <w:tab/>
        <w:t xml:space="preserve">Expert opinion has limitations. One is obvious: </w:t>
      </w:r>
      <w:proofErr w:type="gramStart"/>
      <w:r w:rsidRPr="00B41E98">
        <w:rPr>
          <w:sz w:val="22"/>
          <w:szCs w:val="22"/>
        </w:rPr>
        <w:t>it’s</w:t>
      </w:r>
      <w:proofErr w:type="gramEnd"/>
      <w:r w:rsidRPr="00B41E98">
        <w:rPr>
          <w:sz w:val="22"/>
          <w:szCs w:val="22"/>
        </w:rPr>
        <w:t xml:space="preserve"> just opinions. Another is less obvious: how opinions are determined can affect their content. For example, the dynamics of NIH-style 2-day meetings that don’t end until a decision has been made may not maximize rational deliberation, perhaps granting added weight to vehemently expressed views. Polling a small convenience sample of experts may introduce bias or random error. One useful method is the Delphi technique, which systematically elicits opinion from a set of experts. It uses iterative anonymous polling to hone in on consensus while lessening undue influence from particularly articulate or insistent or powerful experts. The benefit of formal polling must be balanced against the effort required, in view of the importance of that data input.</w:t>
      </w:r>
    </w:p>
    <w:p w:rsidR="00541795" w:rsidRPr="00B41E98" w:rsidRDefault="00541795">
      <w:pPr>
        <w:tabs>
          <w:tab w:val="left" w:pos="0"/>
        </w:tabs>
        <w:suppressAutoHyphens/>
        <w:rPr>
          <w:sz w:val="22"/>
          <w:szCs w:val="22"/>
        </w:rPr>
      </w:pP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For the aneurysm analysis, health outcomes were estimated from multiple sources:</w:t>
      </w:r>
    </w:p>
    <w:p w:rsidR="00405374" w:rsidRDefault="00405374">
      <w:pPr>
        <w:pBdr>
          <w:top w:val="single" w:sz="4" w:space="1" w:color="auto"/>
          <w:left w:val="single" w:sz="4" w:space="4" w:color="auto"/>
          <w:bottom w:val="single" w:sz="4" w:space="1" w:color="auto"/>
          <w:right w:val="single" w:sz="4" w:space="4" w:color="auto"/>
        </w:pBdr>
        <w:tabs>
          <w:tab w:val="left" w:pos="0"/>
        </w:tabs>
        <w:suppressAutoHyphens/>
      </w:pP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Aneurysm rupture rates</w:t>
      </w:r>
      <w:r>
        <w:tab/>
      </w:r>
      <w:r>
        <w:tab/>
      </w:r>
      <w:r>
        <w:tab/>
        <w:t>large cohort study</w:t>
      </w: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SAH case fatality</w:t>
      </w:r>
      <w:r>
        <w:tab/>
      </w:r>
      <w:r>
        <w:tab/>
      </w:r>
      <w:r>
        <w:tab/>
      </w:r>
      <w:r>
        <w:tab/>
        <w:t>meta-analysis</w:t>
      </w: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SAH disability</w:t>
      </w:r>
      <w:r>
        <w:tab/>
      </w:r>
      <w:r>
        <w:tab/>
      </w:r>
      <w:r>
        <w:tab/>
      </w:r>
      <w:r>
        <w:tab/>
        <w:t>medium cohort study, meta-analysis</w:t>
      </w: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RR mortality with disability</w:t>
      </w:r>
      <w:r>
        <w:tab/>
      </w:r>
      <w:r>
        <w:tab/>
        <w:t>small cohort study</w:t>
      </w: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Surgical mortality, disability</w:t>
      </w:r>
      <w:r>
        <w:tab/>
      </w:r>
      <w:r>
        <w:tab/>
        <w:t>meta-analysis</w:t>
      </w: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RR rupture (= 0)</w:t>
      </w:r>
      <w:r>
        <w:tab/>
      </w:r>
      <w:r>
        <w:tab/>
      </w:r>
      <w:r>
        <w:tab/>
      </w:r>
      <w:r>
        <w:tab/>
        <w:t>expert opinion (informal)</w:t>
      </w:r>
    </w:p>
    <w:p w:rsidR="00541795" w:rsidRDefault="00541795">
      <w:pPr>
        <w:tabs>
          <w:tab w:val="left" w:pos="0"/>
        </w:tabs>
        <w:suppressAutoHyphens/>
      </w:pPr>
    </w:p>
    <w:p w:rsidR="00541795" w:rsidRPr="00B41E98" w:rsidRDefault="00541795">
      <w:pPr>
        <w:keepNext/>
        <w:tabs>
          <w:tab w:val="left" w:pos="0"/>
        </w:tabs>
        <w:suppressAutoHyphens/>
        <w:rPr>
          <w:sz w:val="24"/>
          <w:szCs w:val="24"/>
        </w:rPr>
      </w:pPr>
      <w:r w:rsidRPr="00B41E98">
        <w:rPr>
          <w:i/>
          <w:iCs/>
          <w:sz w:val="24"/>
          <w:szCs w:val="24"/>
        </w:rPr>
        <w:t>Health state utilities</w:t>
      </w:r>
    </w:p>
    <w:p w:rsidR="00541795" w:rsidRPr="00B41E98" w:rsidRDefault="00541795">
      <w:pPr>
        <w:keepNext/>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 xml:space="preserve">Estimating health state utilities needed to calculate QALYs is most often an exercise in finding and adapting similar published estimates. Typically, available data precisely match at best only a few of the multiple health states being modeled (e.g., untreated disease in various stages of severity; disease treated with a new medication or a new surgery; long-term disability). </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 xml:space="preserve">Utilities can be assigned in two ways. </w:t>
      </w:r>
      <w:r w:rsidRPr="00B41E98">
        <w:rPr>
          <w:i/>
          <w:iCs/>
          <w:sz w:val="22"/>
          <w:szCs w:val="22"/>
        </w:rPr>
        <w:t>Condition-specific</w:t>
      </w:r>
      <w:r w:rsidRPr="00B41E98">
        <w:rPr>
          <w:sz w:val="22"/>
          <w:szCs w:val="22"/>
        </w:rPr>
        <w:t xml:space="preserve"> utilities, e.g., utilities for living with angina, can be assigned from published studies. If there are no relevant published data, the investigator can conduct a special study for this purpose (a lot of work). There are also </w:t>
      </w:r>
      <w:r w:rsidRPr="00B41E98">
        <w:rPr>
          <w:i/>
          <w:iCs/>
          <w:sz w:val="22"/>
          <w:szCs w:val="22"/>
        </w:rPr>
        <w:t>generic</w:t>
      </w:r>
      <w:r w:rsidRPr="00B41E98">
        <w:rPr>
          <w:sz w:val="22"/>
          <w:szCs w:val="22"/>
        </w:rPr>
        <w:t xml:space="preserve"> preference-based indices, developed by interviewing hundreds of individuals. To use these, the investigator first identifies an index that defines health states using dimensions (such as functional status and pain) relevant to the disease being assessed. Then each health state for the disease is matched to a generic health state, and the corresponding utilities used.</w:t>
      </w:r>
      <w:r w:rsidR="00405374">
        <w:rPr>
          <w:sz w:val="22"/>
          <w:szCs w:val="22"/>
        </w:rPr>
        <w:br/>
      </w:r>
      <w:r w:rsidR="00405374">
        <w:rPr>
          <w:sz w:val="22"/>
          <w:szCs w:val="22"/>
        </w:rPr>
        <w:br/>
        <w:t xml:space="preserve">Disability weights for DALYs have been systematically collected, most recently in 2010 and report in Salomon J Lancet December 2012. There are fewer available values than for utilities, and some confusing differences between 2010 and 2004. </w:t>
      </w:r>
      <w:r w:rsidR="00405374">
        <w:rPr>
          <w:sz w:val="22"/>
          <w:szCs w:val="22"/>
        </w:rPr>
        <w:br/>
      </w:r>
      <w:r w:rsidR="00405374">
        <w:rPr>
          <w:sz w:val="22"/>
          <w:szCs w:val="22"/>
        </w:rPr>
        <w:br/>
        <w:t>See the QALYs / DALYs lecture 2 notes for more on utilizes and disability weights.</w:t>
      </w:r>
    </w:p>
    <w:p w:rsidR="00541795" w:rsidRPr="00B41E98" w:rsidRDefault="00541795">
      <w:pPr>
        <w:tabs>
          <w:tab w:val="left" w:pos="0"/>
        </w:tabs>
        <w:suppressAutoHyphens/>
        <w:rPr>
          <w:sz w:val="22"/>
          <w:szCs w:val="22"/>
        </w:rPr>
      </w:pP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For the aneurysm analysis, utilities were estimated by extrapolation:</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Disability</w:t>
      </w:r>
      <w:r w:rsidRPr="00B41E98">
        <w:rPr>
          <w:sz w:val="22"/>
          <w:szCs w:val="22"/>
        </w:rPr>
        <w:tab/>
      </w:r>
      <w:r w:rsidRPr="00B41E98">
        <w:rPr>
          <w:sz w:val="22"/>
          <w:szCs w:val="22"/>
        </w:rPr>
        <w:tab/>
        <w:t>studies of similar types of neurological disability</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Worry</w:t>
      </w:r>
      <w:r w:rsidRPr="00B41E98">
        <w:rPr>
          <w:sz w:val="22"/>
          <w:szCs w:val="22"/>
        </w:rPr>
        <w:tab/>
      </w:r>
      <w:r w:rsidRPr="00B41E98">
        <w:rPr>
          <w:sz w:val="22"/>
          <w:szCs w:val="22"/>
        </w:rPr>
        <w:tab/>
      </w:r>
      <w:r w:rsidRPr="00B41E98">
        <w:rPr>
          <w:sz w:val="22"/>
          <w:szCs w:val="22"/>
        </w:rPr>
        <w:tab/>
        <w:t>formula calibrated to utility for similar anxiety</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Mild symptoms</w:t>
      </w:r>
      <w:r w:rsidRPr="00B41E98">
        <w:rPr>
          <w:sz w:val="22"/>
          <w:szCs w:val="22"/>
        </w:rPr>
        <w:tab/>
      </w:r>
      <w:r>
        <w:rPr>
          <w:sz w:val="22"/>
          <w:szCs w:val="22"/>
        </w:rPr>
        <w:tab/>
      </w:r>
      <w:r w:rsidRPr="00B41E98">
        <w:rPr>
          <w:sz w:val="22"/>
          <w:szCs w:val="22"/>
        </w:rPr>
        <w:t>studies of similar type of pain</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i/>
          <w:iCs/>
          <w:sz w:val="22"/>
          <w:szCs w:val="22"/>
        </w:rPr>
        <w:t>Population characteristics</w:t>
      </w:r>
    </w:p>
    <w:p w:rsidR="00541795" w:rsidRPr="00B41E98" w:rsidRDefault="00541795">
      <w:pPr>
        <w:pStyle w:val="Footer"/>
        <w:tabs>
          <w:tab w:val="clear" w:pos="4320"/>
          <w:tab w:val="clear" w:pos="8640"/>
          <w:tab w:val="left" w:pos="0"/>
        </w:tabs>
        <w:suppressAutoHyphens/>
        <w:rPr>
          <w:rFonts w:ascii="Times New Roman" w:hAnsi="Times New Roman"/>
          <w:sz w:val="22"/>
          <w:szCs w:val="22"/>
        </w:rPr>
      </w:pPr>
    </w:p>
    <w:p w:rsidR="00541795" w:rsidRPr="00B41E98" w:rsidRDefault="00541795">
      <w:pPr>
        <w:pStyle w:val="Footer"/>
        <w:tabs>
          <w:tab w:val="clear" w:pos="4320"/>
          <w:tab w:val="clear" w:pos="8640"/>
          <w:tab w:val="left" w:pos="0"/>
        </w:tabs>
        <w:suppressAutoHyphens/>
        <w:rPr>
          <w:rFonts w:ascii="Times New Roman" w:hAnsi="Times New Roman"/>
          <w:sz w:val="22"/>
          <w:szCs w:val="22"/>
        </w:rPr>
      </w:pPr>
      <w:r w:rsidRPr="00B41E98">
        <w:rPr>
          <w:rFonts w:ascii="Times New Roman" w:hAnsi="Times New Roman"/>
          <w:sz w:val="22"/>
          <w:szCs w:val="22"/>
        </w:rPr>
        <w:t xml:space="preserve">The preceding section reviews obtaining data for health outcomes for the specific clinical problem being assessed. Equally important are two factors that describe the population being modeled: the prevalence of disease (especially for CEAs of screening) and the risks of dying from all diseases. These inputs influence results and help establish generalizability – to </w:t>
      </w:r>
      <w:proofErr w:type="gramStart"/>
      <w:r w:rsidRPr="00B41E98">
        <w:rPr>
          <w:rFonts w:ascii="Times New Roman" w:hAnsi="Times New Roman"/>
          <w:sz w:val="22"/>
          <w:szCs w:val="22"/>
        </w:rPr>
        <w:t>whom</w:t>
      </w:r>
      <w:proofErr w:type="gramEnd"/>
      <w:r w:rsidRPr="00B41E98">
        <w:rPr>
          <w:rFonts w:ascii="Times New Roman" w:hAnsi="Times New Roman"/>
          <w:sz w:val="22"/>
          <w:szCs w:val="22"/>
        </w:rPr>
        <w:t xml:space="preserve"> the analysis applies.</w:t>
      </w:r>
    </w:p>
    <w:p w:rsidR="00541795" w:rsidRPr="00B41E98" w:rsidRDefault="00541795">
      <w:pPr>
        <w:pStyle w:val="Footer"/>
        <w:tabs>
          <w:tab w:val="clear" w:pos="4320"/>
          <w:tab w:val="clear" w:pos="8640"/>
          <w:tab w:val="left" w:pos="0"/>
        </w:tabs>
        <w:suppressAutoHyphens/>
        <w:rPr>
          <w:rFonts w:ascii="Times New Roman" w:hAnsi="Times New Roman"/>
          <w:sz w:val="22"/>
          <w:szCs w:val="22"/>
        </w:rPr>
      </w:pPr>
    </w:p>
    <w:p w:rsidR="00541795" w:rsidRPr="00B41E98" w:rsidRDefault="00541795">
      <w:pPr>
        <w:pStyle w:val="Footer"/>
        <w:tabs>
          <w:tab w:val="clear" w:pos="4320"/>
          <w:tab w:val="clear" w:pos="8640"/>
          <w:tab w:val="left" w:pos="0"/>
        </w:tabs>
        <w:suppressAutoHyphens/>
        <w:rPr>
          <w:rFonts w:ascii="Times New Roman" w:hAnsi="Times New Roman"/>
          <w:sz w:val="22"/>
          <w:szCs w:val="22"/>
        </w:rPr>
      </w:pPr>
      <w:r w:rsidRPr="00B41E98">
        <w:rPr>
          <w:rFonts w:ascii="Times New Roman" w:hAnsi="Times New Roman"/>
          <w:i/>
          <w:iCs/>
          <w:sz w:val="22"/>
          <w:szCs w:val="22"/>
        </w:rPr>
        <w:t>Prevalence of disease</w:t>
      </w:r>
      <w:r w:rsidRPr="00B41E98">
        <w:rPr>
          <w:rFonts w:ascii="Times New Roman" w:hAnsi="Times New Roman"/>
          <w:sz w:val="22"/>
          <w:szCs w:val="22"/>
        </w:rPr>
        <w:t xml:space="preserve"> is a data input to be assigned based on evidence, and to be adjusted to reflect specific populations. The starting point is data from representative studies in well-described populations. These can be: </w:t>
      </w:r>
    </w:p>
    <w:p w:rsidR="00541795" w:rsidRPr="00B41E98" w:rsidRDefault="00541795">
      <w:pPr>
        <w:pStyle w:val="Footer"/>
        <w:tabs>
          <w:tab w:val="clear" w:pos="4320"/>
          <w:tab w:val="clear" w:pos="8640"/>
          <w:tab w:val="left" w:pos="0"/>
        </w:tabs>
        <w:suppressAutoHyphens/>
        <w:rPr>
          <w:rFonts w:ascii="Times New Roman" w:hAnsi="Times New Roman"/>
          <w:sz w:val="22"/>
          <w:szCs w:val="22"/>
        </w:rPr>
      </w:pPr>
    </w:p>
    <w:p w:rsidR="00541795" w:rsidRPr="00B41E98" w:rsidRDefault="00541795">
      <w:pPr>
        <w:suppressAutoHyphens/>
        <w:ind w:left="720" w:hanging="360"/>
        <w:rPr>
          <w:sz w:val="22"/>
          <w:szCs w:val="22"/>
        </w:rPr>
      </w:pPr>
      <w:proofErr w:type="gramStart"/>
      <w:r w:rsidRPr="00B41E98">
        <w:rPr>
          <w:i/>
          <w:iCs/>
          <w:sz w:val="22"/>
          <w:szCs w:val="22"/>
        </w:rPr>
        <w:t>household</w:t>
      </w:r>
      <w:proofErr w:type="gramEnd"/>
      <w:r w:rsidRPr="00B41E98">
        <w:rPr>
          <w:i/>
          <w:iCs/>
          <w:sz w:val="22"/>
          <w:szCs w:val="22"/>
        </w:rPr>
        <w:t xml:space="preserve"> surveys</w:t>
      </w:r>
      <w:r w:rsidRPr="00B41E98">
        <w:rPr>
          <w:sz w:val="22"/>
          <w:szCs w:val="22"/>
        </w:rPr>
        <w:t xml:space="preserve">, such as the National Health Interview Survey and other surveys conducted by the National Center for Health Statistics. These are representative of the U.S. population. They are free on the </w:t>
      </w:r>
      <w:proofErr w:type="gramStart"/>
      <w:r w:rsidRPr="00B41E98">
        <w:rPr>
          <w:sz w:val="22"/>
          <w:szCs w:val="22"/>
        </w:rPr>
        <w:t>internet</w:t>
      </w:r>
      <w:proofErr w:type="gramEnd"/>
      <w:r w:rsidRPr="00B41E98">
        <w:rPr>
          <w:sz w:val="22"/>
          <w:szCs w:val="22"/>
        </w:rPr>
        <w:t xml:space="preserve"> for recent years; past years are on CD. The sample is too small to allow studying rare conditions.</w:t>
      </w:r>
    </w:p>
    <w:p w:rsidR="00541795" w:rsidRPr="00B41E98" w:rsidRDefault="00541795">
      <w:pPr>
        <w:pStyle w:val="Footer"/>
        <w:tabs>
          <w:tab w:val="clear" w:pos="4320"/>
          <w:tab w:val="clear" w:pos="8640"/>
          <w:tab w:val="left" w:pos="0"/>
        </w:tabs>
        <w:suppressAutoHyphens/>
        <w:rPr>
          <w:rFonts w:ascii="Times New Roman" w:hAnsi="Times New Roman"/>
          <w:sz w:val="22"/>
          <w:szCs w:val="22"/>
        </w:rPr>
      </w:pPr>
    </w:p>
    <w:p w:rsidR="00541795" w:rsidRPr="00B41E98" w:rsidRDefault="00541795">
      <w:pPr>
        <w:suppressAutoHyphens/>
        <w:ind w:left="720" w:hanging="360"/>
        <w:rPr>
          <w:sz w:val="22"/>
          <w:szCs w:val="22"/>
        </w:rPr>
      </w:pPr>
      <w:proofErr w:type="gramStart"/>
      <w:r w:rsidRPr="00B41E98">
        <w:rPr>
          <w:i/>
          <w:iCs/>
          <w:sz w:val="22"/>
          <w:szCs w:val="22"/>
        </w:rPr>
        <w:t>comprehensive</w:t>
      </w:r>
      <w:proofErr w:type="gramEnd"/>
      <w:r w:rsidRPr="00B41E98">
        <w:rPr>
          <w:i/>
          <w:iCs/>
          <w:sz w:val="22"/>
          <w:szCs w:val="22"/>
        </w:rPr>
        <w:t xml:space="preserve"> disease surveillance, </w:t>
      </w:r>
      <w:r w:rsidRPr="00B41E98">
        <w:rPr>
          <w:sz w:val="22"/>
          <w:szCs w:val="22"/>
        </w:rPr>
        <w:t>such as for AIDS. This is rarely available in sufficient completeness (e.g., many registries). Also, it is generally focused on severe disease (e.g., in contrast with AIDS, HIV surveillance is done only in some states and is incomplete). SEER is a cancer registry.</w:t>
      </w:r>
    </w:p>
    <w:p w:rsidR="00541795" w:rsidRPr="00B41E98" w:rsidRDefault="00541795">
      <w:pPr>
        <w:suppressAutoHyphens/>
        <w:ind w:left="720" w:hanging="360"/>
        <w:rPr>
          <w:i/>
          <w:iCs/>
          <w:sz w:val="22"/>
          <w:szCs w:val="22"/>
        </w:rPr>
      </w:pPr>
    </w:p>
    <w:p w:rsidR="00541795" w:rsidRPr="00B41E98" w:rsidRDefault="00541795">
      <w:pPr>
        <w:suppressAutoHyphens/>
        <w:ind w:left="720" w:hanging="360"/>
        <w:rPr>
          <w:sz w:val="22"/>
          <w:szCs w:val="22"/>
        </w:rPr>
      </w:pPr>
      <w:proofErr w:type="gramStart"/>
      <w:r w:rsidRPr="00B41E98">
        <w:rPr>
          <w:i/>
          <w:iCs/>
          <w:sz w:val="22"/>
          <w:szCs w:val="22"/>
        </w:rPr>
        <w:t>medical</w:t>
      </w:r>
      <w:proofErr w:type="gramEnd"/>
      <w:r w:rsidRPr="00B41E98">
        <w:rPr>
          <w:i/>
          <w:iCs/>
          <w:sz w:val="22"/>
          <w:szCs w:val="22"/>
        </w:rPr>
        <w:t xml:space="preserve"> claims or institutional census data</w:t>
      </w:r>
      <w:r w:rsidRPr="00B41E98">
        <w:rPr>
          <w:sz w:val="22"/>
          <w:szCs w:val="22"/>
        </w:rPr>
        <w:t xml:space="preserve"> (e.g., California hospital discharge reports sent to the Office of Statewide Health Planning and Development, OSHPD). This works well if the disease is consistently coded using the standard ICD9 CM diagnosis codes. However, coding practices are inconsistent, influenced by type of disease (some diseases are stigmatized and hence perhaps under-coded, e.g., psychiatric diagnoses and HIV), severity of disease (more severe is more likely to be coded), clinical setting (inpatient more reliable: coders are formally trained), and financial incentives (e.g., </w:t>
      </w:r>
      <w:proofErr w:type="spellStart"/>
      <w:r w:rsidRPr="00B41E98">
        <w:rPr>
          <w:sz w:val="22"/>
          <w:szCs w:val="22"/>
        </w:rPr>
        <w:t>upcoding</w:t>
      </w:r>
      <w:proofErr w:type="spellEnd"/>
      <w:r w:rsidRPr="00B41E98">
        <w:rPr>
          <w:sz w:val="22"/>
          <w:szCs w:val="22"/>
        </w:rPr>
        <w:t xml:space="preserve"> to more complex conditions increases reimbursement). Also available are Medicaid and Medicare claims data, and the Healthcare Cost and Utilization Project, mostly hospital reporting (18 states).</w:t>
      </w:r>
    </w:p>
    <w:p w:rsidR="00541795" w:rsidRPr="00B41E98" w:rsidRDefault="00541795">
      <w:pPr>
        <w:pStyle w:val="Footer"/>
        <w:tabs>
          <w:tab w:val="clear" w:pos="4320"/>
          <w:tab w:val="clear" w:pos="8640"/>
          <w:tab w:val="left" w:pos="0"/>
        </w:tabs>
        <w:suppressAutoHyphens/>
        <w:rPr>
          <w:rFonts w:ascii="Times New Roman" w:hAnsi="Times New Roman"/>
          <w:sz w:val="22"/>
          <w:szCs w:val="22"/>
        </w:rPr>
      </w:pPr>
    </w:p>
    <w:p w:rsidR="00541795" w:rsidRDefault="00541795">
      <w:pPr>
        <w:pStyle w:val="Footer"/>
        <w:tabs>
          <w:tab w:val="clear" w:pos="4320"/>
          <w:tab w:val="clear" w:pos="8640"/>
          <w:tab w:val="left" w:pos="0"/>
        </w:tabs>
        <w:suppressAutoHyphens/>
      </w:pPr>
      <w:r>
        <w:rPr>
          <w:rFonts w:ascii="Times New Roman" w:hAnsi="Times New Roman"/>
        </w:rPr>
        <w:t xml:space="preserve">All of these data sets can usually be relied upon via published reports. Or they can be obtained at low or no cost for custom analyses, even over the </w:t>
      </w:r>
      <w:proofErr w:type="gramStart"/>
      <w:r>
        <w:rPr>
          <w:rFonts w:ascii="Times New Roman" w:hAnsi="Times New Roman"/>
        </w:rPr>
        <w:t>internet</w:t>
      </w:r>
      <w:proofErr w:type="gramEnd"/>
      <w:r>
        <w:rPr>
          <w:rFonts w:ascii="Times New Roman" w:hAnsi="Times New Roman"/>
        </w:rPr>
        <w:t>; the d</w:t>
      </w:r>
      <w:r>
        <w:t>isadvantages are extra data analysis and the limitations of observational data.</w:t>
      </w:r>
    </w:p>
    <w:p w:rsidR="00541795" w:rsidRDefault="00541795">
      <w:pPr>
        <w:pStyle w:val="Footer"/>
        <w:tabs>
          <w:tab w:val="clear" w:pos="4320"/>
          <w:tab w:val="clear" w:pos="8640"/>
          <w:tab w:val="left" w:pos="0"/>
        </w:tabs>
        <w:suppressAutoHyphens/>
        <w:rPr>
          <w:rFonts w:ascii="Times New Roman" w:hAnsi="Times New Roman"/>
        </w:rPr>
      </w:pPr>
    </w:p>
    <w:p w:rsidR="00541795" w:rsidRDefault="00541795">
      <w:pPr>
        <w:pStyle w:val="Footer"/>
        <w:tabs>
          <w:tab w:val="clear" w:pos="4320"/>
          <w:tab w:val="clear" w:pos="8640"/>
          <w:tab w:val="left" w:pos="0"/>
        </w:tabs>
        <w:suppressAutoHyphens/>
        <w:rPr>
          <w:rFonts w:ascii="Times New Roman" w:hAnsi="Times New Roman"/>
        </w:rPr>
      </w:pPr>
      <w:r>
        <w:rPr>
          <w:rFonts w:ascii="Times New Roman" w:hAnsi="Times New Roman"/>
        </w:rPr>
        <w:t xml:space="preserve">The prevalence value chosen indicates the population modeled. For example, HIV prevalence in gay men in San Francisco is about 30%, in injecting drug users about 11%, and in heterosexual STD-clinic attendees about 1%. </w:t>
      </w:r>
    </w:p>
    <w:p w:rsidR="00541795" w:rsidRDefault="00541795">
      <w:pPr>
        <w:pStyle w:val="Footer"/>
        <w:tabs>
          <w:tab w:val="clear" w:pos="4320"/>
          <w:tab w:val="clear" w:pos="8640"/>
          <w:tab w:val="left" w:pos="0"/>
        </w:tabs>
        <w:suppressAutoHyphens/>
        <w:rPr>
          <w:rFonts w:ascii="Times New Roman" w:hAnsi="Times New Roman"/>
        </w:rPr>
      </w:pP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For the aneurysm analysis, prevalence of disease is not needed, since this is not a study about screening or an estimate of total societal costs for this condition.</w:t>
      </w:r>
    </w:p>
    <w:p w:rsidR="00541795" w:rsidRDefault="00541795">
      <w:pPr>
        <w:pStyle w:val="Footer"/>
        <w:tabs>
          <w:tab w:val="clear" w:pos="4320"/>
          <w:tab w:val="clear" w:pos="8640"/>
          <w:tab w:val="left" w:pos="0"/>
        </w:tabs>
        <w:suppressAutoHyphens/>
        <w:rPr>
          <w:rFonts w:ascii="Times New Roman" w:hAnsi="Times New Roman"/>
          <w:i/>
          <w:iCs/>
        </w:rPr>
      </w:pPr>
    </w:p>
    <w:p w:rsidR="00541795" w:rsidRDefault="00541795">
      <w:pPr>
        <w:pStyle w:val="Footer"/>
        <w:tabs>
          <w:tab w:val="clear" w:pos="4320"/>
          <w:tab w:val="clear" w:pos="8640"/>
          <w:tab w:val="left" w:pos="0"/>
        </w:tabs>
        <w:suppressAutoHyphens/>
        <w:rPr>
          <w:rFonts w:ascii="Times New Roman" w:hAnsi="Times New Roman"/>
        </w:rPr>
      </w:pPr>
      <w:proofErr w:type="gramStart"/>
      <w:r>
        <w:rPr>
          <w:rFonts w:ascii="Times New Roman" w:hAnsi="Times New Roman"/>
          <w:i/>
          <w:iCs/>
        </w:rPr>
        <w:t>Risks of dying from all causes</w:t>
      </w:r>
      <w:r>
        <w:rPr>
          <w:rFonts w:ascii="Times New Roman" w:hAnsi="Times New Roman"/>
        </w:rPr>
        <w:t xml:space="preserve"> is</w:t>
      </w:r>
      <w:proofErr w:type="gramEnd"/>
      <w:r>
        <w:rPr>
          <w:rFonts w:ascii="Times New Roman" w:hAnsi="Times New Roman"/>
        </w:rPr>
        <w:t xml:space="preserve"> essential to capture the phenomenon known as “competing risks”. That is, if your intervention decreases mortality (or improves health status), but the patients die soon anyway from other causes, the improvement in QALYs will be limited. This is most relevant for older populations (e.g., over 75) and for populations at elevated mortality risk (e.g., persons with AIDS and injecting drug users). Data by age (but not disease status) are available in standard </w:t>
      </w:r>
      <w:r w:rsidR="00405374">
        <w:rPr>
          <w:rFonts w:ascii="Times New Roman" w:hAnsi="Times New Roman"/>
        </w:rPr>
        <w:t xml:space="preserve">age-specific </w:t>
      </w:r>
      <w:r>
        <w:rPr>
          <w:rFonts w:ascii="Times New Roman" w:hAnsi="Times New Roman"/>
        </w:rPr>
        <w:t>survival tables maintained by the National Center for Health Statistics and the Centers for Disease Control and Prevention. Data for specific disease populations is usually available from natural history cohort studies and special surveillance projects such as SEER for cancer. Be careful in reviewing these studies to distinguish between disease-specific and overall mortality.</w:t>
      </w:r>
    </w:p>
    <w:p w:rsidR="00541795" w:rsidRDefault="00541795">
      <w:pPr>
        <w:pStyle w:val="Footer"/>
        <w:tabs>
          <w:tab w:val="clear" w:pos="4320"/>
          <w:tab w:val="clear" w:pos="8640"/>
          <w:tab w:val="left" w:pos="0"/>
        </w:tabs>
        <w:suppressAutoHyphens/>
        <w:rPr>
          <w:rFonts w:ascii="Times New Roman" w:hAnsi="Times New Roman"/>
        </w:rPr>
      </w:pP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 xml:space="preserve">For the aneurysm example, all-cause mortality is very important because of the low risk of aneurysm rupture and hence the high risk of dying before rupture occurs. Annual risk of death, and average life expectancy, is estimated by age and sex from a </w:t>
      </w:r>
      <w:proofErr w:type="gramStart"/>
      <w:r>
        <w:t>data base</w:t>
      </w:r>
      <w:proofErr w:type="gramEnd"/>
      <w:r>
        <w:t xml:space="preserve"> maintained at CDC, available on the internet.</w:t>
      </w:r>
    </w:p>
    <w:p w:rsidR="00541795" w:rsidRDefault="00541795">
      <w:pPr>
        <w:pStyle w:val="Heading8"/>
      </w:pPr>
    </w:p>
    <w:p w:rsidR="00541795" w:rsidRDefault="00541795">
      <w:pPr>
        <w:pStyle w:val="Heading8"/>
      </w:pPr>
      <w:r>
        <w:t>3. Cost Inputs</w:t>
      </w:r>
    </w:p>
    <w:p w:rsidR="00541795" w:rsidRDefault="00541795">
      <w:pPr>
        <w:tabs>
          <w:tab w:val="left" w:pos="0"/>
        </w:tabs>
        <w:suppressAutoHyphens/>
      </w:pPr>
    </w:p>
    <w:p w:rsidR="00541795" w:rsidRPr="00B41E98" w:rsidRDefault="00541795">
      <w:pPr>
        <w:tabs>
          <w:tab w:val="left" w:pos="0"/>
        </w:tabs>
        <w:suppressAutoHyphens/>
        <w:rPr>
          <w:sz w:val="22"/>
          <w:szCs w:val="22"/>
        </w:rPr>
      </w:pPr>
      <w:r w:rsidRPr="00B41E98">
        <w:rPr>
          <w:sz w:val="22"/>
          <w:szCs w:val="22"/>
        </w:rPr>
        <w:t xml:space="preserve">Cost data are rarely available in the profusion seen with health data. Thus, the major challenge is </w:t>
      </w:r>
      <w:proofErr w:type="gramStart"/>
      <w:r w:rsidRPr="00B41E98">
        <w:rPr>
          <w:sz w:val="22"/>
          <w:szCs w:val="22"/>
        </w:rPr>
        <w:t>understanding</w:t>
      </w:r>
      <w:proofErr w:type="gramEnd"/>
      <w:r w:rsidRPr="00B41E98">
        <w:rPr>
          <w:sz w:val="22"/>
          <w:szCs w:val="22"/>
        </w:rPr>
        <w:t xml:space="preserve"> the types of cost data and getting at least one reasonable estimate for each cost input needed. Costs include direct costs (money spent to delivery medical and other services), time costs (the value of time spent receiving an intervention), and the economic value placed on health outcomes.</w:t>
      </w:r>
    </w:p>
    <w:p w:rsidR="00541795" w:rsidRPr="00B41E98" w:rsidRDefault="00541795">
      <w:pPr>
        <w:tabs>
          <w:tab w:val="left" w:pos="0"/>
        </w:tabs>
        <w:suppressAutoHyphens/>
        <w:rPr>
          <w:sz w:val="22"/>
          <w:szCs w:val="22"/>
        </w:rPr>
      </w:pPr>
    </w:p>
    <w:p w:rsidR="00541795" w:rsidRPr="00B41E98" w:rsidRDefault="00541795">
      <w:pPr>
        <w:keepNext/>
        <w:tabs>
          <w:tab w:val="left" w:pos="0"/>
        </w:tabs>
        <w:suppressAutoHyphens/>
        <w:rPr>
          <w:i/>
          <w:iCs/>
          <w:sz w:val="22"/>
          <w:szCs w:val="22"/>
        </w:rPr>
      </w:pPr>
      <w:r w:rsidRPr="00B41E98">
        <w:rPr>
          <w:i/>
          <w:iCs/>
          <w:sz w:val="22"/>
          <w:szCs w:val="22"/>
        </w:rPr>
        <w:lastRenderedPageBreak/>
        <w:t>Direct costs</w:t>
      </w:r>
    </w:p>
    <w:p w:rsidR="00541795" w:rsidRPr="00B41E98" w:rsidRDefault="00541795">
      <w:pPr>
        <w:pStyle w:val="Footer"/>
        <w:keepNext/>
        <w:tabs>
          <w:tab w:val="clear" w:pos="4320"/>
          <w:tab w:val="clear" w:pos="8640"/>
          <w:tab w:val="left" w:pos="0"/>
        </w:tabs>
        <w:suppressAutoHyphens/>
        <w:rPr>
          <w:rFonts w:ascii="Times New Roman" w:hAnsi="Times New Roman"/>
          <w:sz w:val="22"/>
          <w:szCs w:val="22"/>
        </w:rPr>
      </w:pPr>
    </w:p>
    <w:p w:rsidR="007C20E2" w:rsidRDefault="007C20E2">
      <w:pPr>
        <w:tabs>
          <w:tab w:val="left" w:pos="0"/>
        </w:tabs>
        <w:suppressAutoHyphens/>
        <w:rPr>
          <w:sz w:val="22"/>
          <w:szCs w:val="22"/>
        </w:rPr>
      </w:pPr>
      <w:r>
        <w:rPr>
          <w:sz w:val="22"/>
          <w:szCs w:val="22"/>
        </w:rPr>
        <w:t>The obligatory cost element in CEA is direct medical costs. See lecture 3.</w:t>
      </w:r>
    </w:p>
    <w:p w:rsidR="007C20E2" w:rsidRDefault="007C20E2">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Costs are usually the least familiar part of data needs for CEA analysts trained in medicine. This situation is complicated by the lack of universal standards for the operational definition of “cost” and for measurement techniques. For example, there is no consensus regarding which long-term investments (fixed costs) and profits should be folded into the average cost calculation for an individual service. Measurement techniques, in turn, depend on different theories, such as market price or resource use. Even when theoretical underpinnings are clear, many tools to measure costs have unknown reliability or validity. Despite these limitations, current costing techniques do provide useful approximations of the resources required to deliver services. Furthermore, with the increasing use of negotiated payment rates and improved cost-accounting systems, cost estimates are likely to become more consistent and accurate. There are three basic approaches to estimating direct costs for CEAs.</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r>
      <w:r w:rsidRPr="00B41E98">
        <w:rPr>
          <w:i/>
          <w:iCs/>
          <w:sz w:val="22"/>
          <w:szCs w:val="22"/>
        </w:rPr>
        <w:t>Published estimates.</w:t>
      </w:r>
      <w:r w:rsidRPr="00B41E98">
        <w:rPr>
          <w:sz w:val="22"/>
          <w:szCs w:val="22"/>
        </w:rPr>
        <w:t xml:space="preserve"> The easiest is to identify published studies that provide estimates of costs. For a study to be usable, it should be well done and should match the health care scenario you are portraying in terms of: diagnosis and severity/complications (</w:t>
      </w:r>
      <w:proofErr w:type="spellStart"/>
      <w:r w:rsidRPr="00B41E98">
        <w:rPr>
          <w:sz w:val="22"/>
          <w:szCs w:val="22"/>
        </w:rPr>
        <w:t>e.g</w:t>
      </w:r>
      <w:proofErr w:type="spellEnd"/>
      <w:r w:rsidRPr="00B41E98">
        <w:rPr>
          <w:sz w:val="22"/>
          <w:szCs w:val="22"/>
        </w:rPr>
        <w:t xml:space="preserve">, NIDDM with </w:t>
      </w:r>
      <w:proofErr w:type="spellStart"/>
      <w:r w:rsidRPr="00B41E98">
        <w:rPr>
          <w:sz w:val="22"/>
          <w:szCs w:val="22"/>
        </w:rPr>
        <w:t>macroalbuminuria</w:t>
      </w:r>
      <w:proofErr w:type="spellEnd"/>
      <w:r w:rsidRPr="00B41E98">
        <w:rPr>
          <w:sz w:val="22"/>
          <w:szCs w:val="22"/>
        </w:rPr>
        <w:t>), age-mix (e.g., stroke for patients 60-70 years old), care practices (e.g., after the advent of protease inhibitors), and care setting (e.g., abortions in community clinics rather than hospitals). For studies using outdated unit cost data, adjustments to the year of the analysis can be done using the medical components of the consumer price index (maintained by the U.S. Bureau of Labor Statistics) or by replacing unit costs with updated values for the same services (e.g., replacing 1995 hospital per diem costs with 2001 values).</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r>
      <w:proofErr w:type="gramStart"/>
      <w:r w:rsidRPr="00B41E98">
        <w:rPr>
          <w:i/>
          <w:iCs/>
          <w:sz w:val="22"/>
          <w:szCs w:val="22"/>
        </w:rPr>
        <w:t>Resources x unit costs.</w:t>
      </w:r>
      <w:proofErr w:type="gramEnd"/>
      <w:r w:rsidRPr="00B41E98">
        <w:rPr>
          <w:sz w:val="22"/>
          <w:szCs w:val="22"/>
        </w:rPr>
        <w:t xml:space="preserve"> The second approach to estimating direct costs is to measure resources (i.e., services used) and unit costs (i.e., the market value of each service), and then to combine them. </w:t>
      </w:r>
      <w:r w:rsidRPr="00B41E98">
        <w:rPr>
          <w:sz w:val="22"/>
          <w:szCs w:val="22"/>
          <w:u w:val="single"/>
        </w:rPr>
        <w:t>Resources</w:t>
      </w:r>
      <w:r w:rsidRPr="00B41E98">
        <w:rPr>
          <w:sz w:val="22"/>
          <w:szCs w:val="22"/>
        </w:rPr>
        <w:t xml:space="preserve"> are often estimated based on a theoretical model of how services are provided, such as a treatment algorithm (e.g., from clinical guidelines) or an intervention description. This is an acceptable approach if the algorithm fairly faithfully depicts how services are really provided. Empirical evidence, from billing or encounter databases, can provide a better estimate of actual practice. It is also an easier way to identify all medical services for a person with a specified diagnosis, if that is what the CEA requires. However, it can be difficult or costly to obtain. There are two levels of detail used in health services data: micro (individual services such as individual </w:t>
      </w:r>
      <w:proofErr w:type="spellStart"/>
      <w:r w:rsidRPr="00B41E98">
        <w:rPr>
          <w:sz w:val="22"/>
          <w:szCs w:val="22"/>
        </w:rPr>
        <w:t>xrays</w:t>
      </w:r>
      <w:proofErr w:type="spellEnd"/>
      <w:r w:rsidRPr="00B41E98">
        <w:rPr>
          <w:sz w:val="22"/>
          <w:szCs w:val="22"/>
        </w:rPr>
        <w:t xml:space="preserve"> are reported) or macro (services for one condition are grouped, such as in Diagnostic Related Groups used by Medicare). In practice, a model is often combined with empirical estimates (e.g., a model of stroke management with empirical estimates of the length of hospital stays). Important data gaps can be filled with special studies, such as an observational study of initial gunshot management in an emergency department.</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r>
      <w:r w:rsidRPr="00B41E98">
        <w:rPr>
          <w:sz w:val="22"/>
          <w:szCs w:val="22"/>
          <w:u w:val="single"/>
        </w:rPr>
        <w:t>Unit costs</w:t>
      </w:r>
      <w:r w:rsidRPr="00B41E98">
        <w:rPr>
          <w:sz w:val="22"/>
          <w:szCs w:val="22"/>
        </w:rPr>
        <w:t xml:space="preserve"> can be estimated in several ways, all of which if done carefully can be reasonable approximations of true economic cost. Reimbursements, especially if based on negotiated rates, are acceptable estimates of provider costs. Medicare reimbursement for inpatient care is based primarily on the prices established for DRGs. It is important to include out-of-pocket spending by patients (deductibles and copayments); in some databases, "allowed charges" summarizes total reimbursement. “Billed charges” can also be used, but must be adjusted with hospital department-specific cost-to-charge ratios. This adjustment is imperfect because a single cost-charge ratio is applied to all services in a department. A new and promising technique is to rely on cost-accounting systems – which estimate costs for each type of service calculated from time and motion studies. The most common system is TSI; UCSF is a development site. The </w:t>
      </w:r>
      <w:r w:rsidRPr="00B41E98">
        <w:rPr>
          <w:sz w:val="22"/>
          <w:szCs w:val="22"/>
        </w:rPr>
        <w:lastRenderedPageBreak/>
        <w:t>"resource-based relative value scale" (RBRVS) developed by the U.S. Physician Payment Commission is an excellent approach, used by Medicare for outpatient services. Price references also exist for certain services: medication prices can be estimated from the "pharmacy red book" of average wholesale prices, and there are published estimates of health worker hourly wages.</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r>
      <w:r w:rsidRPr="00B41E98">
        <w:rPr>
          <w:i/>
          <w:iCs/>
          <w:sz w:val="22"/>
          <w:szCs w:val="22"/>
        </w:rPr>
        <w:t xml:space="preserve">Cost </w:t>
      </w:r>
      <w:proofErr w:type="gramStart"/>
      <w:r w:rsidRPr="00B41E98">
        <w:rPr>
          <w:i/>
          <w:iCs/>
          <w:sz w:val="22"/>
          <w:szCs w:val="22"/>
        </w:rPr>
        <w:t>data bases</w:t>
      </w:r>
      <w:proofErr w:type="gramEnd"/>
      <w:r w:rsidRPr="00B41E98">
        <w:rPr>
          <w:i/>
          <w:iCs/>
          <w:sz w:val="22"/>
          <w:szCs w:val="22"/>
        </w:rPr>
        <w:t xml:space="preserve">. </w:t>
      </w:r>
      <w:r w:rsidRPr="00B41E98">
        <w:rPr>
          <w:sz w:val="22"/>
          <w:szCs w:val="22"/>
        </w:rPr>
        <w:t xml:space="preserve">A third approach is using </w:t>
      </w:r>
      <w:proofErr w:type="gramStart"/>
      <w:r w:rsidRPr="00B41E98">
        <w:rPr>
          <w:sz w:val="22"/>
          <w:szCs w:val="22"/>
        </w:rPr>
        <w:t>data bases</w:t>
      </w:r>
      <w:proofErr w:type="gramEnd"/>
      <w:r w:rsidRPr="00B41E98">
        <w:rPr>
          <w:sz w:val="22"/>
          <w:szCs w:val="22"/>
        </w:rPr>
        <w:t xml:space="preserve"> that record both resources and costs for specific diseases, for a fixed period of time or for major care episodes. For example, the California OSHPD hospital discharge </w:t>
      </w:r>
      <w:proofErr w:type="gramStart"/>
      <w:r w:rsidRPr="00B41E98">
        <w:rPr>
          <w:sz w:val="22"/>
          <w:szCs w:val="22"/>
        </w:rPr>
        <w:t>data base</w:t>
      </w:r>
      <w:proofErr w:type="gramEnd"/>
      <w:r w:rsidRPr="00B41E98">
        <w:rPr>
          <w:sz w:val="22"/>
          <w:szCs w:val="22"/>
        </w:rPr>
        <w:t xml:space="preserve"> can be used to estimate costs for one inpatient stay for one condition, or even to examine multiple inpatient stays over the course of one or more years. Some </w:t>
      </w:r>
      <w:proofErr w:type="gramStart"/>
      <w:r w:rsidRPr="00B41E98">
        <w:rPr>
          <w:sz w:val="22"/>
          <w:szCs w:val="22"/>
        </w:rPr>
        <w:t>data bases</w:t>
      </w:r>
      <w:proofErr w:type="gramEnd"/>
      <w:r w:rsidRPr="00B41E98">
        <w:rPr>
          <w:sz w:val="22"/>
          <w:szCs w:val="22"/>
        </w:rPr>
        <w:t xml:space="preserve"> contain longitudinal data for all costs (inpatient, outpatient, </w:t>
      </w:r>
      <w:proofErr w:type="spellStart"/>
      <w:r w:rsidRPr="00B41E98">
        <w:rPr>
          <w:sz w:val="22"/>
          <w:szCs w:val="22"/>
        </w:rPr>
        <w:t>etc</w:t>
      </w:r>
      <w:proofErr w:type="spellEnd"/>
      <w:r w:rsidRPr="00B41E98">
        <w:rPr>
          <w:sz w:val="22"/>
          <w:szCs w:val="22"/>
        </w:rPr>
        <w:t>) over time. The best known is the Medical Expenditure Panel Survey, fielded by the Agency for Health Care Research and Quality. These data sets are well documented, but can be quite complicated and time-consuming to navigate (especially the first time).</w:t>
      </w:r>
    </w:p>
    <w:p w:rsidR="00541795" w:rsidRPr="00B41E98" w:rsidRDefault="00541795">
      <w:pPr>
        <w:tabs>
          <w:tab w:val="left" w:pos="0"/>
        </w:tabs>
        <w:suppressAutoHyphens/>
        <w:rPr>
          <w:sz w:val="22"/>
          <w:szCs w:val="22"/>
        </w:rPr>
      </w:pP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In the aneurysm example, direct costs are estimated for several inputs using a combination of published studies, data set analysis, and resources x costs.</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 xml:space="preserve">Surgery, incl. </w:t>
      </w:r>
      <w:proofErr w:type="spellStart"/>
      <w:r w:rsidRPr="00B41E98">
        <w:rPr>
          <w:sz w:val="22"/>
          <w:szCs w:val="22"/>
        </w:rPr>
        <w:t>followup</w:t>
      </w:r>
      <w:proofErr w:type="spellEnd"/>
      <w:r w:rsidRPr="00B41E98">
        <w:rPr>
          <w:sz w:val="22"/>
          <w:szCs w:val="22"/>
        </w:rPr>
        <w:tab/>
      </w:r>
      <w:r>
        <w:rPr>
          <w:sz w:val="22"/>
          <w:szCs w:val="22"/>
        </w:rPr>
        <w:tab/>
      </w:r>
      <w:r w:rsidRPr="00B41E98">
        <w:rPr>
          <w:sz w:val="22"/>
          <w:szCs w:val="22"/>
        </w:rPr>
        <w:t>UCSF accounting system; Medicare RBRVS fees</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 xml:space="preserve"> </w:t>
      </w:r>
      <w:r w:rsidRPr="00B41E98">
        <w:rPr>
          <w:sz w:val="22"/>
          <w:szCs w:val="22"/>
        </w:rPr>
        <w:tab/>
        <w:t>SAH admission</w:t>
      </w:r>
      <w:r w:rsidRPr="00B41E98">
        <w:rPr>
          <w:sz w:val="22"/>
          <w:szCs w:val="22"/>
        </w:rPr>
        <w:tab/>
      </w:r>
      <w:r w:rsidRPr="00B41E98">
        <w:rPr>
          <w:sz w:val="22"/>
          <w:szCs w:val="22"/>
        </w:rPr>
        <w:tab/>
      </w:r>
      <w:r>
        <w:rPr>
          <w:sz w:val="22"/>
          <w:szCs w:val="22"/>
        </w:rPr>
        <w:tab/>
      </w:r>
      <w:r w:rsidRPr="00B41E98">
        <w:rPr>
          <w:sz w:val="22"/>
          <w:szCs w:val="22"/>
        </w:rPr>
        <w:t>same</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Disability</w:t>
      </w:r>
      <w:r w:rsidRPr="00B41E98">
        <w:rPr>
          <w:sz w:val="22"/>
          <w:szCs w:val="22"/>
        </w:rPr>
        <w:tab/>
      </w:r>
      <w:r w:rsidRPr="00B41E98">
        <w:rPr>
          <w:sz w:val="22"/>
          <w:szCs w:val="22"/>
        </w:rPr>
        <w:tab/>
      </w:r>
      <w:r w:rsidRPr="00B41E98">
        <w:rPr>
          <w:sz w:val="22"/>
          <w:szCs w:val="22"/>
        </w:rPr>
        <w:tab/>
        <w:t>study of disability in stroke</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541795" w:rsidRPr="00B41E98" w:rsidRDefault="00541795">
      <w:pPr>
        <w:tabs>
          <w:tab w:val="left" w:pos="0"/>
        </w:tabs>
        <w:suppressAutoHyphens/>
        <w:rPr>
          <w:i/>
          <w:iCs/>
          <w:sz w:val="22"/>
          <w:szCs w:val="22"/>
        </w:rPr>
      </w:pPr>
    </w:p>
    <w:p w:rsidR="00541795" w:rsidRPr="00B41E98" w:rsidRDefault="00541795">
      <w:pPr>
        <w:tabs>
          <w:tab w:val="left" w:pos="0"/>
        </w:tabs>
        <w:suppressAutoHyphens/>
        <w:rPr>
          <w:i/>
          <w:iCs/>
          <w:sz w:val="22"/>
          <w:szCs w:val="22"/>
        </w:rPr>
      </w:pPr>
      <w:r w:rsidRPr="00B41E98">
        <w:rPr>
          <w:i/>
          <w:iCs/>
          <w:sz w:val="22"/>
          <w:szCs w:val="22"/>
        </w:rPr>
        <w:t xml:space="preserve">Fixed </w:t>
      </w:r>
      <w:proofErr w:type="spellStart"/>
      <w:r w:rsidRPr="00B41E98">
        <w:rPr>
          <w:i/>
          <w:iCs/>
          <w:sz w:val="22"/>
          <w:szCs w:val="22"/>
        </w:rPr>
        <w:t>vs</w:t>
      </w:r>
      <w:proofErr w:type="spellEnd"/>
      <w:r w:rsidRPr="00B41E98">
        <w:rPr>
          <w:i/>
          <w:iCs/>
          <w:sz w:val="22"/>
          <w:szCs w:val="22"/>
        </w:rPr>
        <w:t xml:space="preserve"> variable costs</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 xml:space="preserve">The costing methods above implicitly combine fixed and variable costs. For some interventions, it is most accurate to explicitly distinguish between these costs. Fixed costs are those that do not change with each additional unit of service provided, such as a building, MRI scanner, or training program. Variable costs are those that do change with each additional unit of service, such as lab test kits and personnel time. If an intervention is unlikely to require new fixed resources, as is often true, then fixed cost issues can be </w:t>
      </w:r>
      <w:r w:rsidR="007C20E2">
        <w:rPr>
          <w:sz w:val="22"/>
          <w:szCs w:val="22"/>
        </w:rPr>
        <w:t xml:space="preserve">(explicitly) </w:t>
      </w:r>
      <w:r w:rsidRPr="00B41E98">
        <w:rPr>
          <w:sz w:val="22"/>
          <w:szCs w:val="22"/>
        </w:rPr>
        <w:t>omitted. However,</w:t>
      </w:r>
      <w:r w:rsidR="007C20E2">
        <w:rPr>
          <w:sz w:val="22"/>
          <w:szCs w:val="22"/>
        </w:rPr>
        <w:t xml:space="preserve"> if new “fixed” costs are required (e.g., a new building),</w:t>
      </w:r>
      <w:r w:rsidRPr="00B41E98">
        <w:rPr>
          <w:sz w:val="22"/>
          <w:szCs w:val="22"/>
        </w:rPr>
        <w:t xml:space="preserve"> the first few services delivered will cost far more on average than the last few. Increasing the scale of the program (e.g., to add individuals at lower risk) may be relatively economical, </w:t>
      </w:r>
      <w:r w:rsidR="007C20E2">
        <w:rPr>
          <w:sz w:val="22"/>
          <w:szCs w:val="22"/>
        </w:rPr>
        <w:t>however costs that were “fixed” at small scale may become “variable” in the broader perspective</w:t>
      </w:r>
      <w:r w:rsidRPr="00B41E98">
        <w:rPr>
          <w:sz w:val="22"/>
          <w:szCs w:val="22"/>
        </w:rPr>
        <w:t>.</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If fixed costs need to be measured, there are two approaches. Data may be available in the literature, e.g., for common diagnostic equipment. Otherwise, it is necessary to do an analysis using an institutional cost accounting system. There are several cost accounting methods (single allocation, step-down, multiple step-down, etc.). They produce different results, so the choice is important. Luckily, few medical CEAs need to explicitly measure</w:t>
      </w:r>
      <w:r w:rsidR="007C20E2">
        <w:rPr>
          <w:sz w:val="22"/>
          <w:szCs w:val="22"/>
        </w:rPr>
        <w:t xml:space="preserve"> significant</w:t>
      </w:r>
      <w:r w:rsidRPr="00B41E98">
        <w:rPr>
          <w:sz w:val="22"/>
          <w:szCs w:val="22"/>
        </w:rPr>
        <w:t xml:space="preserve"> fixed costs. If yours does, consider employing the services of an accountant.</w:t>
      </w:r>
    </w:p>
    <w:p w:rsidR="00541795" w:rsidRPr="00B41E98" w:rsidRDefault="00541795">
      <w:pPr>
        <w:tabs>
          <w:tab w:val="left" w:pos="0"/>
        </w:tabs>
        <w:suppressAutoHyphens/>
        <w:rPr>
          <w:sz w:val="22"/>
          <w:szCs w:val="22"/>
        </w:rPr>
      </w:pPr>
    </w:p>
    <w:p w:rsidR="00541795" w:rsidRPr="00B41E98" w:rsidRDefault="00541795">
      <w:pPr>
        <w:keepNext/>
        <w:tabs>
          <w:tab w:val="left" w:pos="0"/>
        </w:tabs>
        <w:suppressAutoHyphens/>
        <w:rPr>
          <w:i/>
          <w:iCs/>
          <w:sz w:val="22"/>
          <w:szCs w:val="22"/>
        </w:rPr>
      </w:pPr>
      <w:r w:rsidRPr="00B41E98">
        <w:rPr>
          <w:i/>
          <w:iCs/>
          <w:sz w:val="22"/>
          <w:szCs w:val="22"/>
        </w:rPr>
        <w:t>Time costs</w:t>
      </w:r>
    </w:p>
    <w:p w:rsidR="00541795" w:rsidRPr="00B41E98" w:rsidRDefault="00541795">
      <w:pPr>
        <w:keepNext/>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Time cost is the opportunity cost of receiving an intervention. That is, it is the economic value of activities foregone in order to obtain tests or therapies. This includes lost work productivity as well as lost household productivity. These were formerly known as “indirect costs”. They are included in a minority of CEAs, and probably should be included in more.</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lastRenderedPageBreak/>
        <w:tab/>
        <w:t xml:space="preserve">The current recommendation is that time costs be counted only for the </w:t>
      </w:r>
      <w:r w:rsidRPr="007C20E2">
        <w:rPr>
          <w:b/>
          <w:i/>
          <w:sz w:val="22"/>
          <w:szCs w:val="22"/>
        </w:rPr>
        <w:t>intervention</w:t>
      </w:r>
      <w:r w:rsidRPr="00B41E98">
        <w:rPr>
          <w:sz w:val="22"/>
          <w:szCs w:val="22"/>
        </w:rPr>
        <w:t xml:space="preserve"> component of a CEA (US Panel on Cost-effectiveness in Health and Medicine). Thus, time lost due to illness (for care, disability, and early death) is not </w:t>
      </w:r>
      <w:proofErr w:type="gramStart"/>
      <w:r w:rsidR="007C20E2">
        <w:rPr>
          <w:sz w:val="22"/>
          <w:szCs w:val="22"/>
        </w:rPr>
        <w:t>consider</w:t>
      </w:r>
      <w:proofErr w:type="gramEnd"/>
      <w:r w:rsidR="007C20E2">
        <w:rPr>
          <w:sz w:val="22"/>
          <w:szCs w:val="22"/>
        </w:rPr>
        <w:t xml:space="preserve"> a time cost</w:t>
      </w:r>
      <w:r w:rsidRPr="00B41E98">
        <w:rPr>
          <w:sz w:val="22"/>
          <w:szCs w:val="22"/>
        </w:rPr>
        <w:t>. This is because in a cost-utility analysis, the valuation of lost time is in theory reflected in the utility assessment. Note that what constitutes the “intervention” versus “illness care” depends on the CEA (e.g., a CEA of HIV prevention defines HIV disease as the illness, whereas a CEA of antiretroviral therapy counts this part of care as the intervention).</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Time costs are calculated as the product of time lost and cost per unit time. Time lost is synthesized from estimates of the amount of time required for receipt of the intervention. To assess the time required for informal (i.e., friend and family) care, patient interviews may be required. Unit costs are based on age- and gender-adjusted values of labor from published tables. These are updated frequently (many by Wendy Max at UCSF). Published time cost estimates are available for specific illnesses, though less often than for direct costs.</w:t>
      </w:r>
    </w:p>
    <w:p w:rsidR="00541795" w:rsidRPr="00B41E98" w:rsidRDefault="00541795">
      <w:pPr>
        <w:tabs>
          <w:tab w:val="left" w:pos="0"/>
        </w:tabs>
        <w:suppressAutoHyphens/>
        <w:rPr>
          <w:sz w:val="22"/>
          <w:szCs w:val="22"/>
        </w:rPr>
      </w:pP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The aneurysm analysis does not include time costs. These would be based on the time for surgery and recovery. Assuming one month of lost time, at 10 hours/day and $10/hour, that’s $3,000 – about 12% of the direct costs of surgery.</w:t>
      </w:r>
    </w:p>
    <w:p w:rsidR="00541795" w:rsidRPr="00B41E98" w:rsidRDefault="00541795">
      <w:pPr>
        <w:tabs>
          <w:tab w:val="left" w:pos="0"/>
        </w:tabs>
        <w:suppressAutoHyphens/>
        <w:rPr>
          <w:i/>
          <w:iCs/>
          <w:sz w:val="22"/>
          <w:szCs w:val="22"/>
        </w:rPr>
      </w:pPr>
    </w:p>
    <w:p w:rsidR="00541795" w:rsidRPr="00B41E98" w:rsidRDefault="00541795">
      <w:pPr>
        <w:keepNext/>
        <w:tabs>
          <w:tab w:val="left" w:pos="0"/>
        </w:tabs>
        <w:suppressAutoHyphens/>
        <w:rPr>
          <w:i/>
          <w:iCs/>
          <w:sz w:val="22"/>
          <w:szCs w:val="22"/>
        </w:rPr>
      </w:pPr>
      <w:proofErr w:type="gramStart"/>
      <w:r w:rsidRPr="00B41E98">
        <w:rPr>
          <w:i/>
          <w:iCs/>
          <w:sz w:val="22"/>
          <w:szCs w:val="22"/>
        </w:rPr>
        <w:t>Economic value of health outcomes.</w:t>
      </w:r>
      <w:proofErr w:type="gramEnd"/>
    </w:p>
    <w:p w:rsidR="00541795" w:rsidRPr="00B41E98" w:rsidRDefault="00541795">
      <w:pPr>
        <w:keepNext/>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 xml:space="preserve">Cost-benefit analysis is distinguished from other types of cost-effectiveness analysis by assigning a comprehensive financial value to health outcomes. Thus, the CBA outcome is expressed as net costs or savings, rather than cost per unit change in health status. Since direct costs are valued as described above, what </w:t>
      </w:r>
      <w:proofErr w:type="gramStart"/>
      <w:r w:rsidRPr="00B41E98">
        <w:rPr>
          <w:sz w:val="22"/>
          <w:szCs w:val="22"/>
        </w:rPr>
        <w:t>is</w:t>
      </w:r>
      <w:proofErr w:type="gramEnd"/>
      <w:r w:rsidRPr="00B41E98">
        <w:rPr>
          <w:sz w:val="22"/>
          <w:szCs w:val="22"/>
        </w:rPr>
        <w:t xml:space="preserve"> left is non-direct costs. There are two basic approaches to estimating these costs.</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 xml:space="preserve">The </w:t>
      </w:r>
      <w:r w:rsidRPr="00B41E98">
        <w:rPr>
          <w:i/>
          <w:iCs/>
          <w:sz w:val="22"/>
          <w:szCs w:val="22"/>
        </w:rPr>
        <w:t>human capital approach</w:t>
      </w:r>
      <w:r w:rsidRPr="00B41E98">
        <w:rPr>
          <w:sz w:val="22"/>
          <w:szCs w:val="22"/>
        </w:rPr>
        <w:t xml:space="preserve"> yields the time costs of care, disability, and early death. The method is analogous to assigning time costs for an intervention, although data may come from other sources. For example, time for care and disability may need to be estimated. The time cost of premature death can be drawn from published tables of discounted future lifetime productivity by age. The human capital approach assigns a life lost a value of $200,000 to $500,000 for an average individual. This is relatively low due to limited production opportunities in our society.</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 xml:space="preserve">The second method is </w:t>
      </w:r>
      <w:r w:rsidRPr="00B41E98">
        <w:rPr>
          <w:i/>
          <w:iCs/>
          <w:sz w:val="22"/>
          <w:szCs w:val="22"/>
        </w:rPr>
        <w:t>willingness to pay</w:t>
      </w:r>
      <w:r w:rsidRPr="00B41E98">
        <w:rPr>
          <w:sz w:val="22"/>
          <w:szCs w:val="22"/>
        </w:rPr>
        <w:t xml:space="preserve">. Individuals are surveyed regarding how much they would be willing to pay to avoid specified health outcomes or risks. The advantage of this approach is that it is global, capturing all aspects of a disease that a person values avoiding. The amounts people report are typically higher than those from the human capital approach, in the range of $2 million to $6 million. This is consistent with observational studies documenting the actions people take to reduce ordinary variation in mortality risk in everyday activities, such as wearing a seat belt, if they have small annual probabilities of death (i.e., average mortality rate up to age 75). However, such population estimates may not be valid for people with high annual risk of death and large variations is risk due to the intervention being studied – that is, facing the decision being modeled. </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 xml:space="preserve">Both willingness to pay and human capital place greater value on the health of rich people than of poor people, if population-specific estimates are used. Since they are used to assign value to outcomes, this makes interventions look more favorable for rich </w:t>
      </w:r>
      <w:proofErr w:type="gramStart"/>
      <w:r w:rsidRPr="00B41E98">
        <w:rPr>
          <w:sz w:val="22"/>
          <w:szCs w:val="22"/>
        </w:rPr>
        <w:t>people, which of course raises</w:t>
      </w:r>
      <w:proofErr w:type="gramEnd"/>
      <w:r w:rsidRPr="00B41E98">
        <w:rPr>
          <w:sz w:val="22"/>
          <w:szCs w:val="22"/>
        </w:rPr>
        <w:t xml:space="preserve"> important equity issues. (Assigning time costs to the intervention, as for CEA and CUA, has the opposite effect.)</w:t>
      </w:r>
    </w:p>
    <w:p w:rsidR="00541795" w:rsidRPr="00B41E98" w:rsidRDefault="00541795">
      <w:pPr>
        <w:tabs>
          <w:tab w:val="left" w:pos="0"/>
        </w:tabs>
        <w:suppressAutoHyphens/>
        <w:rPr>
          <w:sz w:val="22"/>
          <w:szCs w:val="22"/>
        </w:rPr>
      </w:pPr>
    </w:p>
    <w:p w:rsidR="00541795" w:rsidRPr="00B41E98" w:rsidRDefault="00541795">
      <w:pPr>
        <w:pStyle w:val="Footer"/>
        <w:tabs>
          <w:tab w:val="clear" w:pos="4320"/>
          <w:tab w:val="clear" w:pos="8640"/>
          <w:tab w:val="left" w:pos="0"/>
        </w:tabs>
        <w:suppressAutoHyphens/>
        <w:rPr>
          <w:rFonts w:ascii="Times New Roman" w:hAnsi="Times New Roman"/>
          <w:sz w:val="22"/>
          <w:szCs w:val="22"/>
        </w:rPr>
      </w:pPr>
    </w:p>
    <w:p w:rsidR="00541795" w:rsidRDefault="00541795">
      <w:pPr>
        <w:pStyle w:val="Heading8"/>
      </w:pPr>
      <w:r>
        <w:t>4. Presentation</w:t>
      </w:r>
    </w:p>
    <w:p w:rsidR="00541795" w:rsidRDefault="00541795">
      <w:pPr>
        <w:pStyle w:val="indent1"/>
        <w:keepNext/>
        <w:ind w:left="0" w:firstLine="0"/>
        <w:rPr>
          <w:rFonts w:ascii="Times New Roman" w:hAnsi="Times New Roman"/>
        </w:rPr>
      </w:pPr>
    </w:p>
    <w:p w:rsidR="00541795" w:rsidRPr="00B41E98" w:rsidRDefault="00541795" w:rsidP="00442A6D">
      <w:pPr>
        <w:tabs>
          <w:tab w:val="left" w:pos="0"/>
        </w:tabs>
        <w:suppressAutoHyphens/>
        <w:rPr>
          <w:sz w:val="22"/>
          <w:szCs w:val="22"/>
        </w:rPr>
      </w:pPr>
      <w:r w:rsidRPr="00B41E98">
        <w:rPr>
          <w:sz w:val="22"/>
          <w:szCs w:val="22"/>
        </w:rPr>
        <w:tab/>
        <w:t>Data inputs are generally presented in one rather large table, organized by type of input. The format is typically as shown below. It’s ok to use a different format, e.g., a different order of inputs. However, it’s most important for the text to parallel the table, as readers will tend to jump back and forth between the two, and for every input to be reported here. The source column should use the same referencing convention as the rest of the paper (i.e., numbers or author + date).</w:t>
      </w:r>
    </w:p>
    <w:p w:rsidR="00442A6D" w:rsidRDefault="00442A6D">
      <w:pPr>
        <w:pStyle w:val="indent1"/>
        <w:ind w:left="0" w:firstLine="0"/>
        <w:rPr>
          <w:rFonts w:ascii="Times New Roman" w:hAnsi="Times New Roman"/>
        </w:rPr>
      </w:pPr>
    </w:p>
    <w:tbl>
      <w:tblPr>
        <w:tblW w:w="0" w:type="auto"/>
        <w:tblInd w:w="108" w:type="dxa"/>
        <w:tblBorders>
          <w:top w:val="single" w:sz="4" w:space="0" w:color="auto"/>
          <w:bottom w:val="single" w:sz="4" w:space="0" w:color="auto"/>
        </w:tblBorders>
        <w:tblLayout w:type="fixed"/>
        <w:tblLook w:val="0000" w:firstRow="0" w:lastRow="0" w:firstColumn="0" w:lastColumn="0" w:noHBand="0" w:noVBand="0"/>
      </w:tblPr>
      <w:tblGrid>
        <w:gridCol w:w="3510"/>
        <w:gridCol w:w="1350"/>
        <w:gridCol w:w="1800"/>
        <w:gridCol w:w="1890"/>
      </w:tblGrid>
      <w:tr w:rsidR="00442A6D">
        <w:tc>
          <w:tcPr>
            <w:tcW w:w="3510" w:type="dxa"/>
            <w:tcBorders>
              <w:top w:val="single" w:sz="4" w:space="0" w:color="auto"/>
              <w:bottom w:val="single" w:sz="4" w:space="0" w:color="auto"/>
            </w:tcBorders>
          </w:tcPr>
          <w:p w:rsidR="00442A6D" w:rsidRDefault="00442A6D">
            <w:pPr>
              <w:pStyle w:val="indent1"/>
              <w:keepNext/>
              <w:ind w:left="0" w:right="14" w:firstLine="0"/>
              <w:jc w:val="center"/>
              <w:rPr>
                <w:rFonts w:ascii="Times New Roman" w:hAnsi="Times New Roman"/>
                <w:b/>
              </w:rPr>
            </w:pPr>
            <w:r>
              <w:rPr>
                <w:rFonts w:ascii="Times New Roman" w:hAnsi="Times New Roman"/>
                <w:b/>
              </w:rPr>
              <w:t>Input</w:t>
            </w:r>
          </w:p>
        </w:tc>
        <w:tc>
          <w:tcPr>
            <w:tcW w:w="1350" w:type="dxa"/>
            <w:tcBorders>
              <w:top w:val="single" w:sz="4" w:space="0" w:color="auto"/>
              <w:bottom w:val="single" w:sz="4" w:space="0" w:color="auto"/>
            </w:tcBorders>
          </w:tcPr>
          <w:p w:rsidR="00442A6D" w:rsidRDefault="00442A6D">
            <w:pPr>
              <w:pStyle w:val="indent1"/>
              <w:keepNext/>
              <w:ind w:left="0" w:right="14" w:firstLine="0"/>
              <w:jc w:val="center"/>
              <w:rPr>
                <w:rFonts w:ascii="Times New Roman" w:hAnsi="Times New Roman"/>
                <w:b/>
              </w:rPr>
            </w:pPr>
            <w:r>
              <w:rPr>
                <w:rFonts w:ascii="Times New Roman" w:hAnsi="Times New Roman"/>
                <w:b/>
              </w:rPr>
              <w:t>Value</w:t>
            </w:r>
          </w:p>
        </w:tc>
        <w:tc>
          <w:tcPr>
            <w:tcW w:w="1800" w:type="dxa"/>
            <w:tcBorders>
              <w:top w:val="single" w:sz="4" w:space="0" w:color="auto"/>
              <w:bottom w:val="single" w:sz="4" w:space="0" w:color="auto"/>
            </w:tcBorders>
          </w:tcPr>
          <w:p w:rsidR="00442A6D" w:rsidRDefault="00442A6D">
            <w:pPr>
              <w:pStyle w:val="indent1"/>
              <w:keepNext/>
              <w:ind w:left="0" w:right="14" w:firstLine="0"/>
              <w:jc w:val="center"/>
              <w:rPr>
                <w:rFonts w:ascii="Times New Roman" w:hAnsi="Times New Roman"/>
                <w:b/>
              </w:rPr>
            </w:pPr>
            <w:r>
              <w:rPr>
                <w:rFonts w:ascii="Times New Roman" w:hAnsi="Times New Roman"/>
                <w:b/>
              </w:rPr>
              <w:t>Range</w:t>
            </w:r>
          </w:p>
        </w:tc>
        <w:tc>
          <w:tcPr>
            <w:tcW w:w="1890" w:type="dxa"/>
            <w:tcBorders>
              <w:top w:val="single" w:sz="4" w:space="0" w:color="auto"/>
              <w:bottom w:val="single" w:sz="4" w:space="0" w:color="auto"/>
            </w:tcBorders>
          </w:tcPr>
          <w:p w:rsidR="00442A6D" w:rsidRDefault="00442A6D">
            <w:pPr>
              <w:pStyle w:val="indent1"/>
              <w:keepNext/>
              <w:ind w:left="0" w:right="14" w:firstLine="0"/>
              <w:jc w:val="center"/>
              <w:rPr>
                <w:rFonts w:ascii="Times New Roman" w:hAnsi="Times New Roman"/>
                <w:b/>
              </w:rPr>
            </w:pPr>
            <w:r>
              <w:rPr>
                <w:rFonts w:ascii="Times New Roman" w:hAnsi="Times New Roman"/>
                <w:b/>
              </w:rPr>
              <w:t>Source(s)</w:t>
            </w:r>
          </w:p>
        </w:tc>
      </w:tr>
      <w:tr w:rsidR="00442A6D">
        <w:tc>
          <w:tcPr>
            <w:tcW w:w="3510" w:type="dxa"/>
            <w:tcBorders>
              <w:top w:val="single" w:sz="4" w:space="0" w:color="auto"/>
            </w:tcBorders>
          </w:tcPr>
          <w:p w:rsidR="00442A6D" w:rsidRDefault="00442A6D">
            <w:pPr>
              <w:pStyle w:val="indent1"/>
              <w:keepNext/>
              <w:ind w:left="0" w:right="14" w:firstLine="0"/>
              <w:rPr>
                <w:rFonts w:ascii="Times New Roman" w:hAnsi="Times New Roman"/>
                <w:sz w:val="22"/>
              </w:rPr>
            </w:pPr>
            <w:r>
              <w:rPr>
                <w:rFonts w:ascii="Times New Roman" w:hAnsi="Times New Roman"/>
                <w:sz w:val="22"/>
              </w:rPr>
              <w:t>Health status/risks</w:t>
            </w:r>
            <w:r>
              <w:rPr>
                <w:rFonts w:ascii="Times New Roman" w:hAnsi="Times New Roman"/>
                <w:sz w:val="22"/>
              </w:rPr>
              <w:br/>
            </w:r>
            <w:r>
              <w:rPr>
                <w:rFonts w:ascii="Times New Roman" w:hAnsi="Times New Roman"/>
                <w:sz w:val="22"/>
              </w:rPr>
              <w:tab/>
              <w:t>Prevalence of ABC</w:t>
            </w:r>
            <w:r>
              <w:rPr>
                <w:rFonts w:ascii="Times New Roman" w:hAnsi="Times New Roman"/>
                <w:sz w:val="22"/>
              </w:rPr>
              <w:br/>
            </w:r>
            <w:r>
              <w:rPr>
                <w:rFonts w:ascii="Times New Roman" w:hAnsi="Times New Roman"/>
                <w:sz w:val="22"/>
              </w:rPr>
              <w:tab/>
            </w:r>
            <w:proofErr w:type="spellStart"/>
            <w:r>
              <w:rPr>
                <w:rFonts w:ascii="Times New Roman" w:hAnsi="Times New Roman"/>
                <w:sz w:val="22"/>
              </w:rPr>
              <w:t>etc</w:t>
            </w:r>
            <w:proofErr w:type="spellEnd"/>
          </w:p>
        </w:tc>
        <w:tc>
          <w:tcPr>
            <w:tcW w:w="1350" w:type="dxa"/>
            <w:tcBorders>
              <w:top w:val="single" w:sz="4" w:space="0" w:color="auto"/>
            </w:tcBorders>
          </w:tcPr>
          <w:p w:rsidR="00442A6D" w:rsidRDefault="00442A6D">
            <w:pPr>
              <w:pStyle w:val="indent1"/>
              <w:keepNext/>
              <w:ind w:left="0" w:right="14" w:firstLine="0"/>
              <w:jc w:val="center"/>
              <w:rPr>
                <w:rFonts w:ascii="Times New Roman" w:hAnsi="Times New Roman"/>
                <w:sz w:val="22"/>
              </w:rPr>
            </w:pPr>
          </w:p>
          <w:p w:rsidR="00442A6D" w:rsidRDefault="00442A6D">
            <w:pPr>
              <w:pStyle w:val="indent1"/>
              <w:keepNext/>
              <w:ind w:left="0" w:right="14" w:firstLine="0"/>
              <w:jc w:val="center"/>
              <w:rPr>
                <w:rFonts w:ascii="Times New Roman" w:hAnsi="Times New Roman"/>
                <w:sz w:val="22"/>
              </w:rPr>
            </w:pPr>
            <w:r>
              <w:rPr>
                <w:rFonts w:ascii="Times New Roman" w:hAnsi="Times New Roman"/>
                <w:sz w:val="22"/>
              </w:rPr>
              <w:t>0.47</w:t>
            </w:r>
          </w:p>
        </w:tc>
        <w:tc>
          <w:tcPr>
            <w:tcW w:w="1800" w:type="dxa"/>
            <w:tcBorders>
              <w:top w:val="single" w:sz="4" w:space="0" w:color="auto"/>
            </w:tcBorders>
          </w:tcPr>
          <w:p w:rsidR="00442A6D" w:rsidRDefault="00442A6D">
            <w:pPr>
              <w:pStyle w:val="indent1"/>
              <w:keepNext/>
              <w:ind w:left="0" w:right="14" w:firstLine="0"/>
              <w:jc w:val="center"/>
              <w:rPr>
                <w:rFonts w:ascii="Times New Roman" w:hAnsi="Times New Roman"/>
                <w:sz w:val="22"/>
              </w:rPr>
            </w:pPr>
          </w:p>
          <w:p w:rsidR="00442A6D" w:rsidRDefault="00442A6D">
            <w:pPr>
              <w:pStyle w:val="indent1"/>
              <w:keepNext/>
              <w:ind w:left="0" w:right="14" w:firstLine="0"/>
              <w:jc w:val="center"/>
              <w:rPr>
                <w:rFonts w:ascii="Times New Roman" w:hAnsi="Times New Roman"/>
                <w:sz w:val="22"/>
              </w:rPr>
            </w:pPr>
            <w:r>
              <w:rPr>
                <w:rFonts w:ascii="Times New Roman" w:hAnsi="Times New Roman"/>
                <w:sz w:val="22"/>
              </w:rPr>
              <w:t>0.21-0.59</w:t>
            </w:r>
          </w:p>
        </w:tc>
        <w:tc>
          <w:tcPr>
            <w:tcW w:w="1890" w:type="dxa"/>
            <w:tcBorders>
              <w:top w:val="single" w:sz="4" w:space="0" w:color="auto"/>
            </w:tcBorders>
          </w:tcPr>
          <w:p w:rsidR="00442A6D" w:rsidRDefault="00442A6D">
            <w:pPr>
              <w:pStyle w:val="indent1"/>
              <w:keepNext/>
              <w:ind w:left="0" w:right="14" w:firstLine="0"/>
              <w:rPr>
                <w:rFonts w:ascii="Times New Roman" w:hAnsi="Times New Roman"/>
                <w:sz w:val="22"/>
              </w:rPr>
            </w:pPr>
          </w:p>
          <w:p w:rsidR="00442A6D" w:rsidRDefault="00442A6D">
            <w:pPr>
              <w:pStyle w:val="indent1"/>
              <w:keepNext/>
              <w:ind w:left="0" w:right="14" w:firstLine="0"/>
              <w:rPr>
                <w:rFonts w:ascii="Times New Roman" w:hAnsi="Times New Roman"/>
                <w:sz w:val="22"/>
              </w:rPr>
            </w:pPr>
            <w:r>
              <w:rPr>
                <w:rFonts w:ascii="Times New Roman" w:hAnsi="Times New Roman"/>
                <w:sz w:val="22"/>
              </w:rPr>
              <w:t>CDC 98</w:t>
            </w:r>
          </w:p>
        </w:tc>
      </w:tr>
      <w:tr w:rsidR="00442A6D">
        <w:tc>
          <w:tcPr>
            <w:tcW w:w="3510" w:type="dxa"/>
          </w:tcPr>
          <w:p w:rsidR="00442A6D" w:rsidRDefault="00442A6D">
            <w:pPr>
              <w:pStyle w:val="indent1"/>
              <w:keepNext/>
              <w:ind w:left="0" w:right="14" w:firstLine="0"/>
              <w:rPr>
                <w:rFonts w:ascii="Times New Roman" w:hAnsi="Times New Roman"/>
                <w:sz w:val="22"/>
              </w:rPr>
            </w:pPr>
            <w:r>
              <w:rPr>
                <w:rFonts w:ascii="Times New Roman" w:hAnsi="Times New Roman"/>
                <w:sz w:val="22"/>
              </w:rPr>
              <w:t>Costs</w:t>
            </w:r>
            <w:r>
              <w:rPr>
                <w:rFonts w:ascii="Times New Roman" w:hAnsi="Times New Roman"/>
                <w:sz w:val="22"/>
              </w:rPr>
              <w:br/>
            </w:r>
            <w:r>
              <w:rPr>
                <w:rFonts w:ascii="Times New Roman" w:hAnsi="Times New Roman"/>
                <w:sz w:val="22"/>
              </w:rPr>
              <w:tab/>
              <w:t>Medication XYZ (annual)</w:t>
            </w:r>
          </w:p>
          <w:p w:rsidR="00442A6D" w:rsidRDefault="00442A6D">
            <w:pPr>
              <w:pStyle w:val="indent1"/>
              <w:keepNext/>
              <w:ind w:left="0" w:right="14" w:firstLine="0"/>
              <w:rPr>
                <w:rFonts w:ascii="Times New Roman" w:hAnsi="Times New Roman"/>
                <w:sz w:val="22"/>
              </w:rPr>
            </w:pPr>
            <w:r>
              <w:rPr>
                <w:rFonts w:ascii="Times New Roman" w:hAnsi="Times New Roman"/>
                <w:sz w:val="22"/>
              </w:rPr>
              <w:tab/>
            </w:r>
            <w:proofErr w:type="spellStart"/>
            <w:proofErr w:type="gramStart"/>
            <w:r>
              <w:rPr>
                <w:rFonts w:ascii="Times New Roman" w:hAnsi="Times New Roman"/>
                <w:sz w:val="22"/>
              </w:rPr>
              <w:t>etc</w:t>
            </w:r>
            <w:proofErr w:type="spellEnd"/>
            <w:proofErr w:type="gramEnd"/>
          </w:p>
        </w:tc>
        <w:tc>
          <w:tcPr>
            <w:tcW w:w="1350" w:type="dxa"/>
          </w:tcPr>
          <w:p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$1,500</w:t>
            </w:r>
          </w:p>
        </w:tc>
        <w:tc>
          <w:tcPr>
            <w:tcW w:w="1800" w:type="dxa"/>
          </w:tcPr>
          <w:p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$1,200-$1,600</w:t>
            </w:r>
          </w:p>
        </w:tc>
        <w:tc>
          <w:tcPr>
            <w:tcW w:w="1890" w:type="dxa"/>
          </w:tcPr>
          <w:p w:rsidR="00442A6D" w:rsidRDefault="00442A6D">
            <w:pPr>
              <w:pStyle w:val="indent1"/>
              <w:keepNext/>
              <w:ind w:left="0" w:right="14" w:firstLine="0"/>
              <w:rPr>
                <w:rFonts w:ascii="Times New Roman" w:hAnsi="Times New Roman"/>
                <w:sz w:val="22"/>
              </w:rPr>
            </w:pPr>
            <w:r>
              <w:rPr>
                <w:rFonts w:ascii="Times New Roman" w:hAnsi="Times New Roman"/>
                <w:sz w:val="22"/>
              </w:rPr>
              <w:br/>
              <w:t>Red book</w:t>
            </w:r>
          </w:p>
        </w:tc>
      </w:tr>
      <w:tr w:rsidR="00442A6D">
        <w:tc>
          <w:tcPr>
            <w:tcW w:w="3510" w:type="dxa"/>
          </w:tcPr>
          <w:p w:rsidR="00442A6D" w:rsidRDefault="00442A6D">
            <w:pPr>
              <w:pStyle w:val="indent1"/>
              <w:keepNext/>
              <w:ind w:left="0" w:right="14" w:firstLine="0"/>
              <w:rPr>
                <w:rFonts w:ascii="Times New Roman" w:hAnsi="Times New Roman"/>
                <w:sz w:val="22"/>
              </w:rPr>
            </w:pPr>
            <w:r>
              <w:rPr>
                <w:rFonts w:ascii="Times New Roman" w:hAnsi="Times New Roman"/>
                <w:sz w:val="22"/>
              </w:rPr>
              <w:t>Utilities</w:t>
            </w:r>
          </w:p>
          <w:p w:rsidR="00442A6D" w:rsidRDefault="00442A6D">
            <w:pPr>
              <w:pStyle w:val="indent1"/>
              <w:keepNext/>
              <w:ind w:left="0" w:right="14" w:firstLine="0"/>
              <w:rPr>
                <w:rFonts w:ascii="Times New Roman" w:hAnsi="Times New Roman"/>
                <w:sz w:val="22"/>
              </w:rPr>
            </w:pPr>
            <w:r>
              <w:rPr>
                <w:rFonts w:ascii="Times New Roman" w:hAnsi="Times New Roman"/>
                <w:sz w:val="22"/>
              </w:rPr>
              <w:tab/>
              <w:t>Toxicity from XYZ</w:t>
            </w:r>
          </w:p>
          <w:p w:rsidR="00442A6D" w:rsidRDefault="00442A6D">
            <w:pPr>
              <w:pStyle w:val="indent1"/>
              <w:keepNext/>
              <w:ind w:left="0" w:right="14" w:firstLine="0"/>
              <w:rPr>
                <w:rFonts w:ascii="Times New Roman" w:hAnsi="Times New Roman"/>
                <w:sz w:val="22"/>
              </w:rPr>
            </w:pPr>
            <w:r>
              <w:rPr>
                <w:rFonts w:ascii="Times New Roman" w:hAnsi="Times New Roman"/>
                <w:sz w:val="22"/>
              </w:rPr>
              <w:tab/>
            </w:r>
            <w:proofErr w:type="gramStart"/>
            <w:r>
              <w:rPr>
                <w:rFonts w:ascii="Times New Roman" w:hAnsi="Times New Roman"/>
                <w:sz w:val="22"/>
              </w:rPr>
              <w:t>etc</w:t>
            </w:r>
            <w:proofErr w:type="gramEnd"/>
            <w:r>
              <w:rPr>
                <w:rFonts w:ascii="Times New Roman" w:hAnsi="Times New Roman"/>
                <w:sz w:val="22"/>
              </w:rPr>
              <w:t>.</w:t>
            </w:r>
          </w:p>
        </w:tc>
        <w:tc>
          <w:tcPr>
            <w:tcW w:w="1350" w:type="dxa"/>
          </w:tcPr>
          <w:p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0.80</w:t>
            </w:r>
          </w:p>
        </w:tc>
        <w:tc>
          <w:tcPr>
            <w:tcW w:w="1800" w:type="dxa"/>
          </w:tcPr>
          <w:p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0.75-0.85</w:t>
            </w:r>
          </w:p>
        </w:tc>
        <w:tc>
          <w:tcPr>
            <w:tcW w:w="1890" w:type="dxa"/>
          </w:tcPr>
          <w:p w:rsidR="00442A6D" w:rsidRDefault="00442A6D">
            <w:pPr>
              <w:pStyle w:val="indent1"/>
              <w:keepNext/>
              <w:ind w:left="0" w:right="14" w:firstLine="0"/>
              <w:rPr>
                <w:rFonts w:ascii="Times New Roman" w:hAnsi="Times New Roman"/>
                <w:sz w:val="22"/>
              </w:rPr>
            </w:pPr>
          </w:p>
          <w:p w:rsidR="00442A6D" w:rsidRDefault="00442A6D">
            <w:pPr>
              <w:pStyle w:val="indent1"/>
              <w:keepNext/>
              <w:ind w:left="0" w:right="14" w:firstLine="0"/>
              <w:rPr>
                <w:rFonts w:ascii="Times New Roman" w:hAnsi="Times New Roman"/>
                <w:sz w:val="22"/>
              </w:rPr>
            </w:pPr>
            <w:r>
              <w:rPr>
                <w:rFonts w:ascii="Times New Roman" w:hAnsi="Times New Roman"/>
                <w:sz w:val="22"/>
              </w:rPr>
              <w:t>Jones 95, Smith 97</w:t>
            </w:r>
          </w:p>
        </w:tc>
      </w:tr>
    </w:tbl>
    <w:p w:rsidR="00442A6D" w:rsidRDefault="00442A6D">
      <w:pPr>
        <w:pStyle w:val="indent1"/>
        <w:ind w:left="0" w:firstLine="0"/>
        <w:rPr>
          <w:rFonts w:ascii="Times New Roman" w:hAnsi="Times New Roman"/>
        </w:rPr>
      </w:pPr>
    </w:p>
    <w:p w:rsidR="00442A6D" w:rsidRDefault="00442A6D">
      <w:pPr>
        <w:pStyle w:val="indent1"/>
        <w:ind w:left="0" w:firstLine="0"/>
        <w:rPr>
          <w:rFonts w:ascii="Times New Roman" w:hAnsi="Times New Roman"/>
        </w:rPr>
      </w:pPr>
    </w:p>
    <w:p w:rsidR="00442A6D" w:rsidRDefault="00442A6D">
      <w:pPr>
        <w:pStyle w:val="indent1"/>
        <w:ind w:left="0" w:firstLine="0"/>
        <w:rPr>
          <w:rFonts w:ascii="Times New Roman" w:hAnsi="Times New Roman"/>
        </w:rPr>
      </w:pPr>
    </w:p>
    <w:p w:rsidR="00442A6D" w:rsidRDefault="00442A6D">
      <w:pPr>
        <w:pStyle w:val="indent1"/>
        <w:ind w:left="0" w:firstLine="0"/>
        <w:rPr>
          <w:rFonts w:ascii="Times New Roman" w:hAnsi="Times New Roman"/>
          <w:b/>
          <w:bCs/>
        </w:rPr>
      </w:pPr>
      <w:r>
        <w:rPr>
          <w:rFonts w:ascii="Times New Roman" w:hAnsi="Times New Roman"/>
          <w:b/>
          <w:bCs/>
        </w:rPr>
        <w:t>Additional references:</w:t>
      </w:r>
    </w:p>
    <w:p w:rsidR="00442A6D" w:rsidRDefault="00442A6D">
      <w:pPr>
        <w:pStyle w:val="indent1"/>
        <w:ind w:left="0" w:firstLine="0"/>
        <w:rPr>
          <w:rFonts w:ascii="Times New Roman" w:hAnsi="Times New Roman"/>
        </w:rPr>
      </w:pPr>
    </w:p>
    <w:p w:rsidR="00442A6D" w:rsidRDefault="00442A6D">
      <w:pPr>
        <w:ind w:left="360" w:right="-360" w:hanging="360"/>
        <w:rPr>
          <w:b/>
          <w:bCs/>
        </w:rPr>
      </w:pPr>
      <w:proofErr w:type="gramStart"/>
      <w:r>
        <w:t xml:space="preserve">Drummond MF, O’Brien B, </w:t>
      </w:r>
      <w:proofErr w:type="spellStart"/>
      <w:r>
        <w:t>Stoddart</w:t>
      </w:r>
      <w:proofErr w:type="spellEnd"/>
      <w:r>
        <w:t xml:space="preserve"> GL, Torrance GW.</w:t>
      </w:r>
      <w:proofErr w:type="gramEnd"/>
      <w:r>
        <w:t xml:space="preserve"> </w:t>
      </w:r>
      <w:proofErr w:type="gramStart"/>
      <w:r>
        <w:rPr>
          <w:i/>
        </w:rPr>
        <w:t xml:space="preserve">Methods for the economic evaluation of </w:t>
      </w:r>
      <w:r>
        <w:rPr>
          <w:i/>
          <w:iCs/>
        </w:rPr>
        <w:t xml:space="preserve">health care </w:t>
      </w:r>
      <w:proofErr w:type="spellStart"/>
      <w:r>
        <w:rPr>
          <w:i/>
          <w:iCs/>
        </w:rPr>
        <w:t>programmes</w:t>
      </w:r>
      <w:proofErr w:type="spellEnd"/>
      <w:r>
        <w:t xml:space="preserve"> (2nd </w:t>
      </w:r>
      <w:proofErr w:type="spellStart"/>
      <w:r>
        <w:t>ed</w:t>
      </w:r>
      <w:proofErr w:type="spellEnd"/>
      <w:r>
        <w:t>).</w:t>
      </w:r>
      <w:proofErr w:type="gramEnd"/>
      <w:r>
        <w:t xml:space="preserve"> New York: Oxford University Press, 1997. </w:t>
      </w:r>
      <w:proofErr w:type="gramStart"/>
      <w:r>
        <w:rPr>
          <w:b/>
          <w:bCs/>
        </w:rPr>
        <w:t>Excellent reference for costing.</w:t>
      </w:r>
      <w:proofErr w:type="gramEnd"/>
    </w:p>
    <w:p w:rsidR="00442A6D" w:rsidRDefault="00442A6D">
      <w:pPr>
        <w:pStyle w:val="indent1"/>
        <w:ind w:left="0" w:firstLine="0"/>
        <w:rPr>
          <w:rFonts w:ascii="Times New Roman" w:hAnsi="Times New Roman"/>
        </w:rPr>
      </w:pPr>
    </w:p>
    <w:p w:rsidR="00442A6D" w:rsidRDefault="00442A6D">
      <w:pPr>
        <w:ind w:left="360" w:right="-360" w:hanging="360"/>
      </w:pPr>
      <w:proofErr w:type="spellStart"/>
      <w:r>
        <w:t>LeLorier</w:t>
      </w:r>
      <w:proofErr w:type="spellEnd"/>
      <w:r>
        <w:t xml:space="preserve"> J, </w:t>
      </w:r>
      <w:proofErr w:type="spellStart"/>
      <w:r>
        <w:t>Gregoire</w:t>
      </w:r>
      <w:proofErr w:type="spellEnd"/>
      <w:r>
        <w:t xml:space="preserve"> G, </w:t>
      </w:r>
      <w:proofErr w:type="spellStart"/>
      <w:r>
        <w:t>Benhaddad</w:t>
      </w:r>
      <w:proofErr w:type="spellEnd"/>
      <w:r>
        <w:t xml:space="preserve"> A, </w:t>
      </w:r>
      <w:proofErr w:type="spellStart"/>
      <w:r>
        <w:t>Lapierre</w:t>
      </w:r>
      <w:proofErr w:type="spellEnd"/>
      <w:r>
        <w:t xml:space="preserve"> J, </w:t>
      </w:r>
      <w:proofErr w:type="spellStart"/>
      <w:r>
        <w:t>Derderian</w:t>
      </w:r>
      <w:proofErr w:type="spellEnd"/>
      <w:r>
        <w:t xml:space="preserve"> F. Discrepancies between meta-analyses and subsequent large randomized, controlled trials. </w:t>
      </w:r>
      <w:r>
        <w:rPr>
          <w:i/>
          <w:iCs/>
        </w:rPr>
        <w:t>NEJM</w:t>
      </w:r>
      <w:r>
        <w:t xml:space="preserve"> 1997</w:t>
      </w:r>
      <w:proofErr w:type="gramStart"/>
      <w:r>
        <w:t>;337:536</w:t>
      </w:r>
      <w:proofErr w:type="gramEnd"/>
      <w:r>
        <w:t>-542.</w:t>
      </w:r>
    </w:p>
    <w:p w:rsidR="00442A6D" w:rsidRDefault="00442A6D">
      <w:pPr>
        <w:ind w:left="360" w:right="-360" w:hanging="360"/>
      </w:pPr>
    </w:p>
    <w:p w:rsidR="00442A6D" w:rsidRDefault="00442A6D">
      <w:pPr>
        <w:ind w:left="360" w:right="-360" w:hanging="360"/>
      </w:pPr>
      <w:r>
        <w:t xml:space="preserve">Light RJ and </w:t>
      </w:r>
      <w:proofErr w:type="spellStart"/>
      <w:r>
        <w:t>Pillemer</w:t>
      </w:r>
      <w:proofErr w:type="spellEnd"/>
      <w:r>
        <w:t xml:space="preserve"> DB. </w:t>
      </w:r>
      <w:r>
        <w:rPr>
          <w:i/>
          <w:iCs/>
        </w:rPr>
        <w:t xml:space="preserve">Summing up: The science of reviewing research. </w:t>
      </w:r>
      <w:r>
        <w:t xml:space="preserve">Cambridge, MA: Harvard University Press, 1984. </w:t>
      </w:r>
      <w:r>
        <w:rPr>
          <w:b/>
          <w:bCs/>
        </w:rPr>
        <w:t>Elegantly written overview of methods, combining technical sophistication and common sense. Non-medical focus.</w:t>
      </w:r>
    </w:p>
    <w:p w:rsidR="00442A6D" w:rsidRDefault="00442A6D"/>
    <w:sectPr w:rsidR="00442A6D">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EBD" w:rsidRDefault="00A25EBD">
      <w:r>
        <w:separator/>
      </w:r>
    </w:p>
  </w:endnote>
  <w:endnote w:type="continuationSeparator" w:id="0">
    <w:p w:rsidR="00A25EBD" w:rsidRDefault="00A2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_New_Roma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EBD" w:rsidRDefault="00A25EBD">
      <w:r>
        <w:separator/>
      </w:r>
    </w:p>
  </w:footnote>
  <w:footnote w:type="continuationSeparator" w:id="0">
    <w:p w:rsidR="00A25EBD" w:rsidRDefault="00A25E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A6D" w:rsidRDefault="00442A6D">
    <w:pPr>
      <w:pStyle w:val="Header"/>
      <w:rPr>
        <w:smallCaps/>
      </w:rPr>
    </w:pPr>
    <w:r>
      <w:rPr>
        <w:smallCaps/>
      </w:rPr>
      <w:tab/>
      <w:t xml:space="preserve">                                                         Decision and Cost-Effectiveness Analysis</w:t>
    </w:r>
  </w:p>
  <w:p w:rsidR="00442A6D" w:rsidRDefault="00442A6D">
    <w:pPr>
      <w:pStyle w:val="Header"/>
      <w:rPr>
        <w:smallCaps/>
      </w:rPr>
    </w:pPr>
    <w:r>
      <w:rPr>
        <w:smallCaps/>
      </w:rPr>
      <w:t xml:space="preserve">                                                        </w:t>
    </w:r>
    <w:r w:rsidR="00792A4E">
      <w:rPr>
        <w:smallCaps/>
      </w:rPr>
      <w:t xml:space="preserve">         TICR, UCSF, Winter 201</w:t>
    </w:r>
    <w:r w:rsidR="00E13776">
      <w:rPr>
        <w:smallCaps/>
      </w:rPr>
      <w:t>5</w:t>
    </w:r>
    <w:r>
      <w:rPr>
        <w:smallCaps/>
      </w:rPr>
      <w:t xml:space="preserve">.  Lecture </w:t>
    </w:r>
    <w:r w:rsidR="00715FA3">
      <w:rPr>
        <w:smallCaps/>
      </w:rPr>
      <w:t>5</w:t>
    </w:r>
    <w:r>
      <w:rPr>
        <w:smallCaps/>
      </w:rPr>
      <w:t xml:space="preserve">,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E13776">
      <w:rPr>
        <w:smallCaps/>
        <w:noProof/>
        <w:snapToGrid w:val="0"/>
      </w:rPr>
      <w:t>10</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E13776">
      <w:rPr>
        <w:smallCaps/>
        <w:noProof/>
        <w:snapToGrid w:val="0"/>
      </w:rPr>
      <w:t>10</w:t>
    </w:r>
    <w:r>
      <w:rPr>
        <w:smallCaps/>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7"/>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04B"/>
    <w:rsid w:val="002F225B"/>
    <w:rsid w:val="00391844"/>
    <w:rsid w:val="00405374"/>
    <w:rsid w:val="00442A6D"/>
    <w:rsid w:val="00486E24"/>
    <w:rsid w:val="00541795"/>
    <w:rsid w:val="00697B0A"/>
    <w:rsid w:val="00715FA3"/>
    <w:rsid w:val="00792A4E"/>
    <w:rsid w:val="007C20E2"/>
    <w:rsid w:val="009869A7"/>
    <w:rsid w:val="00A25EBD"/>
    <w:rsid w:val="00CA33F6"/>
    <w:rsid w:val="00DF3094"/>
    <w:rsid w:val="00E13776"/>
    <w:rsid w:val="00F2094D"/>
    <w:rsid w:val="00F47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4638</Words>
  <Characters>26439</Characters>
  <Application>Microsoft Macintosh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31015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Betsy E. O'Donnell</cp:lastModifiedBy>
  <cp:revision>2</cp:revision>
  <dcterms:created xsi:type="dcterms:W3CDTF">2015-01-19T17:53:00Z</dcterms:created>
  <dcterms:modified xsi:type="dcterms:W3CDTF">2015-01-19T17:53:00Z</dcterms:modified>
</cp:coreProperties>
</file>