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D4B" w:rsidRPr="00EC4F07" w:rsidRDefault="005F191E">
      <w:pPr>
        <w:rPr>
          <w:sz w:val="24"/>
          <w:szCs w:val="24"/>
        </w:rPr>
      </w:pPr>
      <w:r w:rsidRPr="00EC4F07">
        <w:rPr>
          <w:sz w:val="24"/>
          <w:szCs w:val="24"/>
        </w:rPr>
        <w:t>Take Home Quiz 2</w:t>
      </w:r>
      <w:r w:rsidR="00DE7C17">
        <w:rPr>
          <w:sz w:val="24"/>
          <w:szCs w:val="24"/>
        </w:rPr>
        <w:t>, epi265</w:t>
      </w:r>
    </w:p>
    <w:p w:rsidR="00741CC1" w:rsidRPr="00EC4F07" w:rsidRDefault="00741CC1">
      <w:pPr>
        <w:rPr>
          <w:sz w:val="24"/>
          <w:szCs w:val="24"/>
        </w:rPr>
      </w:pPr>
      <w:r w:rsidRPr="00EC4F07">
        <w:rPr>
          <w:sz w:val="24"/>
          <w:szCs w:val="24"/>
        </w:rPr>
        <w:t>Please spend no more than 1 hour on this quiz</w:t>
      </w:r>
      <w:r w:rsidR="00DE7C17">
        <w:rPr>
          <w:sz w:val="24"/>
          <w:szCs w:val="24"/>
        </w:rPr>
        <w:t xml:space="preserve"> or note the answers you completed after the 1 hour mark</w:t>
      </w:r>
      <w:r w:rsidRPr="00EC4F07">
        <w:rPr>
          <w:sz w:val="24"/>
          <w:szCs w:val="24"/>
        </w:rPr>
        <w:t>.</w:t>
      </w:r>
    </w:p>
    <w:p w:rsidR="005F191E" w:rsidRPr="00EC4F07" w:rsidRDefault="005F191E">
      <w:pPr>
        <w:rPr>
          <w:sz w:val="24"/>
          <w:szCs w:val="24"/>
        </w:rPr>
      </w:pPr>
      <w:r w:rsidRPr="00EC4F07">
        <w:rPr>
          <w:sz w:val="24"/>
          <w:szCs w:val="24"/>
        </w:rPr>
        <w:t xml:space="preserve">Many researchers report an abrupt and rapid decline in cognitive functioning in the period preceding death, referred to as “terminal decline” or “terminal drop”.  However, the period preceding death also generally occurs when the subject is elderly, and cognitive function declines on average among elderly individuals overall, even for elderly individuals with many years remaining prior to death.  </w:t>
      </w:r>
    </w:p>
    <w:p w:rsidR="005F191E" w:rsidRPr="00EC4F07" w:rsidRDefault="005F191E" w:rsidP="005F191E">
      <w:pPr>
        <w:pStyle w:val="ListParagraph"/>
        <w:numPr>
          <w:ilvl w:val="0"/>
          <w:numId w:val="1"/>
        </w:numPr>
        <w:rPr>
          <w:sz w:val="24"/>
          <w:szCs w:val="24"/>
        </w:rPr>
      </w:pPr>
      <w:r w:rsidRPr="00EC4F07">
        <w:rPr>
          <w:sz w:val="24"/>
          <w:szCs w:val="24"/>
        </w:rPr>
        <w:t xml:space="preserve">Consider the figure below, describing three possible trajectories for elderly individuals approaching death. Suppose you are given the following data set and asked to test which of these three trajectories (or some other trajectory) best describes the change in cognition prior to death.  Based on the data set description, how would you test whether there was an inflection point turning towards more rapid declines at 4 years prior to death?  Specify how you would define the sample (if you would not use all data), code the variables, the model you would estimate, and which parameter in the model best corresponds with the test. Note this is taken from an actual study, so please don’t google it until you are done with the quiz. </w:t>
      </w:r>
    </w:p>
    <w:p w:rsidR="00EC4F07" w:rsidRDefault="00EC4F07">
      <w:pPr>
        <w:rPr>
          <w:color w:val="211D1E"/>
          <w:sz w:val="24"/>
          <w:szCs w:val="24"/>
        </w:rPr>
      </w:pPr>
    </w:p>
    <w:p w:rsidR="005F191E" w:rsidRPr="00EC4F07" w:rsidRDefault="005F191E">
      <w:pPr>
        <w:rPr>
          <w:sz w:val="24"/>
          <w:szCs w:val="24"/>
        </w:rPr>
      </w:pPr>
      <w:r w:rsidRPr="00EC4F07">
        <w:rPr>
          <w:color w:val="211D1E"/>
          <w:sz w:val="24"/>
          <w:szCs w:val="24"/>
        </w:rPr>
        <w:t xml:space="preserve">“At intake, Victoria Longitudinal participants are community-dwelling adults between 55 and 85 years of age with no serious health conditions. They are followed at 3-year retest intervals or waves (for details, see </w:t>
      </w:r>
      <w:r w:rsidRPr="00EC4F07">
        <w:rPr>
          <w:color w:val="00007F"/>
          <w:sz w:val="24"/>
          <w:szCs w:val="24"/>
        </w:rPr>
        <w:t>Dixon &amp; de Frias, 2004</w:t>
      </w:r>
      <w:r w:rsidRPr="00EC4F07">
        <w:rPr>
          <w:color w:val="211D1E"/>
          <w:sz w:val="24"/>
          <w:szCs w:val="24"/>
        </w:rPr>
        <w:t xml:space="preserve">; </w:t>
      </w:r>
      <w:proofErr w:type="spellStart"/>
      <w:r w:rsidRPr="00EC4F07">
        <w:rPr>
          <w:color w:val="00007F"/>
          <w:sz w:val="24"/>
          <w:szCs w:val="24"/>
        </w:rPr>
        <w:t>Hultsch</w:t>
      </w:r>
      <w:proofErr w:type="spellEnd"/>
      <w:r w:rsidRPr="00EC4F07">
        <w:rPr>
          <w:color w:val="00007F"/>
          <w:sz w:val="24"/>
          <w:szCs w:val="24"/>
        </w:rPr>
        <w:t>, Hertzog, Dixon, &amp; Small, 1998</w:t>
      </w:r>
      <w:r w:rsidRPr="00EC4F07">
        <w:rPr>
          <w:color w:val="211D1E"/>
          <w:sz w:val="24"/>
          <w:szCs w:val="24"/>
        </w:rPr>
        <w:t>). Of the 1,014 baseline participants, 265 confirmed decedents were identified by the censoring date (i.e., the date of last systematic search through vital status records). Respondents completed from one to five assessment waves. Dates of death were confirmed through vital statistics records for the province of British Columbia, Canada. “</w:t>
      </w:r>
    </w:p>
    <w:p w:rsidR="005F191E" w:rsidRPr="00EC4F07" w:rsidRDefault="005F191E">
      <w:pPr>
        <w:rPr>
          <w:sz w:val="24"/>
          <w:szCs w:val="24"/>
        </w:rPr>
      </w:pPr>
      <w:r w:rsidRPr="00EC4F07">
        <w:rPr>
          <w:noProof/>
          <w:sz w:val="24"/>
          <w:szCs w:val="24"/>
        </w:rPr>
        <w:drawing>
          <wp:inline distT="0" distB="0" distL="0" distR="0">
            <wp:extent cx="4572000"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60320"/>
                    </a:xfrm>
                    <a:prstGeom prst="rect">
                      <a:avLst/>
                    </a:prstGeom>
                    <a:noFill/>
                    <a:ln>
                      <a:noFill/>
                    </a:ln>
                  </pic:spPr>
                </pic:pic>
              </a:graphicData>
            </a:graphic>
          </wp:inline>
        </w:drawing>
      </w:r>
    </w:p>
    <w:p w:rsidR="004D657D" w:rsidRPr="00EC4F07" w:rsidRDefault="00EC4F07" w:rsidP="00EC4F07">
      <w:pPr>
        <w:rPr>
          <w:rFonts w:cs="TimesNewRomanPSMT"/>
          <w:sz w:val="24"/>
          <w:szCs w:val="24"/>
        </w:rPr>
      </w:pPr>
      <w:r>
        <w:rPr>
          <w:rFonts w:cs="TimesNewRomanPSMT"/>
          <w:sz w:val="24"/>
          <w:szCs w:val="24"/>
        </w:rPr>
        <w:br w:type="page"/>
      </w:r>
      <w:r w:rsidR="004D657D" w:rsidRPr="00EC4F07">
        <w:rPr>
          <w:rFonts w:cs="TimesNewRomanPSMT"/>
          <w:sz w:val="24"/>
          <w:szCs w:val="24"/>
        </w:rPr>
        <w:lastRenderedPageBreak/>
        <w:t xml:space="preserve">You are interested in estimating the effect of obesity at age 10 on prevalence of depression at age 30 in a sample of women followed for 20 years. </w:t>
      </w:r>
    </w:p>
    <w:p w:rsidR="004D657D" w:rsidRPr="00EC4F07" w:rsidRDefault="004D657D" w:rsidP="005F191E">
      <w:pPr>
        <w:tabs>
          <w:tab w:val="left" w:pos="2160"/>
        </w:tabs>
        <w:rPr>
          <w:rFonts w:cs="TimesNewRomanPSMT"/>
          <w:sz w:val="24"/>
          <w:szCs w:val="24"/>
        </w:rPr>
      </w:pPr>
      <w:r w:rsidRPr="00EC4F07">
        <w:rPr>
          <w:rFonts w:cs="TimesNewRomanPSMT"/>
          <w:sz w:val="24"/>
          <w:szCs w:val="24"/>
        </w:rPr>
        <w:t xml:space="preserve">You find the following </w:t>
      </w:r>
      <w:r w:rsidR="00741CC1" w:rsidRPr="00EC4F07">
        <w:rPr>
          <w:rFonts w:cs="TimesNewRomanPSMT"/>
          <w:sz w:val="24"/>
          <w:szCs w:val="24"/>
        </w:rPr>
        <w:t>pattern:</w:t>
      </w:r>
    </w:p>
    <w:p w:rsidR="004D657D" w:rsidRPr="00EC4F07" w:rsidRDefault="004D657D" w:rsidP="005F191E">
      <w:pPr>
        <w:tabs>
          <w:tab w:val="left" w:pos="2160"/>
        </w:tabs>
        <w:rPr>
          <w:rFonts w:cs="TimesNewRomanPSMT"/>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D657D" w:rsidRPr="00EC4F07" w:rsidTr="004D657D">
        <w:tc>
          <w:tcPr>
            <w:tcW w:w="2337" w:type="dxa"/>
          </w:tcPr>
          <w:p w:rsidR="004D657D" w:rsidRPr="00EC4F07" w:rsidRDefault="004D657D" w:rsidP="005F191E">
            <w:pPr>
              <w:tabs>
                <w:tab w:val="left" w:pos="2160"/>
              </w:tabs>
              <w:rPr>
                <w:rFonts w:cs="TimesNewRomanPSMT"/>
                <w:sz w:val="24"/>
                <w:szCs w:val="24"/>
              </w:rPr>
            </w:pPr>
          </w:p>
        </w:tc>
        <w:tc>
          <w:tcPr>
            <w:tcW w:w="2337"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Obese=1</w:t>
            </w:r>
          </w:p>
        </w:tc>
        <w:tc>
          <w:tcPr>
            <w:tcW w:w="2338"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Obese=0</w:t>
            </w:r>
          </w:p>
        </w:tc>
        <w:tc>
          <w:tcPr>
            <w:tcW w:w="2338" w:type="dxa"/>
          </w:tcPr>
          <w:p w:rsidR="004D657D" w:rsidRPr="00EC4F07" w:rsidRDefault="004D657D" w:rsidP="005F191E">
            <w:pPr>
              <w:tabs>
                <w:tab w:val="left" w:pos="2160"/>
              </w:tabs>
              <w:rPr>
                <w:rFonts w:cs="TimesNewRomanPSMT"/>
                <w:sz w:val="24"/>
                <w:szCs w:val="24"/>
              </w:rPr>
            </w:pPr>
          </w:p>
        </w:tc>
      </w:tr>
      <w:tr w:rsidR="004D657D" w:rsidRPr="00EC4F07" w:rsidTr="004D657D">
        <w:tc>
          <w:tcPr>
            <w:tcW w:w="2337"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Depressed=1</w:t>
            </w:r>
          </w:p>
        </w:tc>
        <w:tc>
          <w:tcPr>
            <w:tcW w:w="2337"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50</w:t>
            </w:r>
          </w:p>
        </w:tc>
        <w:tc>
          <w:tcPr>
            <w:tcW w:w="2338"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200</w:t>
            </w:r>
          </w:p>
        </w:tc>
        <w:tc>
          <w:tcPr>
            <w:tcW w:w="2338"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250</w:t>
            </w:r>
          </w:p>
        </w:tc>
      </w:tr>
      <w:tr w:rsidR="004D657D" w:rsidRPr="00EC4F07" w:rsidTr="004D657D">
        <w:tc>
          <w:tcPr>
            <w:tcW w:w="2337"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Depressed=0</w:t>
            </w:r>
          </w:p>
        </w:tc>
        <w:tc>
          <w:tcPr>
            <w:tcW w:w="2337"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50</w:t>
            </w:r>
          </w:p>
        </w:tc>
        <w:tc>
          <w:tcPr>
            <w:tcW w:w="2338"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700</w:t>
            </w:r>
          </w:p>
        </w:tc>
        <w:tc>
          <w:tcPr>
            <w:tcW w:w="2338"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750</w:t>
            </w:r>
          </w:p>
        </w:tc>
      </w:tr>
      <w:tr w:rsidR="004D657D" w:rsidRPr="00EC4F07" w:rsidTr="004D657D">
        <w:tc>
          <w:tcPr>
            <w:tcW w:w="2337" w:type="dxa"/>
          </w:tcPr>
          <w:p w:rsidR="004D657D" w:rsidRPr="00EC4F07" w:rsidRDefault="004D657D" w:rsidP="005F191E">
            <w:pPr>
              <w:tabs>
                <w:tab w:val="left" w:pos="2160"/>
              </w:tabs>
              <w:rPr>
                <w:rFonts w:cs="TimesNewRomanPSMT"/>
                <w:sz w:val="24"/>
                <w:szCs w:val="24"/>
              </w:rPr>
            </w:pPr>
          </w:p>
        </w:tc>
        <w:tc>
          <w:tcPr>
            <w:tcW w:w="2337"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100</w:t>
            </w:r>
          </w:p>
        </w:tc>
        <w:tc>
          <w:tcPr>
            <w:tcW w:w="2338"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900</w:t>
            </w:r>
          </w:p>
        </w:tc>
        <w:tc>
          <w:tcPr>
            <w:tcW w:w="2338" w:type="dxa"/>
          </w:tcPr>
          <w:p w:rsidR="004D657D" w:rsidRPr="00EC4F07" w:rsidRDefault="004D657D" w:rsidP="005F191E">
            <w:pPr>
              <w:tabs>
                <w:tab w:val="left" w:pos="2160"/>
              </w:tabs>
              <w:rPr>
                <w:rFonts w:cs="TimesNewRomanPSMT"/>
                <w:sz w:val="24"/>
                <w:szCs w:val="24"/>
              </w:rPr>
            </w:pPr>
            <w:r w:rsidRPr="00EC4F07">
              <w:rPr>
                <w:rFonts w:cs="TimesNewRomanPSMT"/>
                <w:sz w:val="24"/>
                <w:szCs w:val="24"/>
              </w:rPr>
              <w:t>1000</w:t>
            </w:r>
          </w:p>
        </w:tc>
      </w:tr>
    </w:tbl>
    <w:p w:rsidR="004D657D" w:rsidRPr="00EC4F07" w:rsidRDefault="004D657D" w:rsidP="005F191E">
      <w:pPr>
        <w:tabs>
          <w:tab w:val="left" w:pos="2160"/>
        </w:tabs>
        <w:rPr>
          <w:rFonts w:cs="TimesNewRomanPSMT"/>
          <w:sz w:val="24"/>
          <w:szCs w:val="24"/>
        </w:rPr>
      </w:pPr>
    </w:p>
    <w:p w:rsidR="001B4ECB" w:rsidRPr="00EC4F07" w:rsidRDefault="00431448" w:rsidP="005F191E">
      <w:pPr>
        <w:tabs>
          <w:tab w:val="left" w:pos="2160"/>
        </w:tabs>
        <w:rPr>
          <w:rFonts w:cs="TimesNewRomanPSMT"/>
          <w:sz w:val="24"/>
          <w:szCs w:val="24"/>
        </w:rPr>
      </w:pPr>
      <w:r w:rsidRPr="00EC4F07">
        <w:rPr>
          <w:rFonts w:cs="TimesNewRomanPSMT"/>
          <w:sz w:val="24"/>
          <w:szCs w:val="24"/>
        </w:rPr>
        <w:t xml:space="preserve">2. </w:t>
      </w:r>
      <w:r w:rsidR="001B4ECB" w:rsidRPr="00EC4F07">
        <w:rPr>
          <w:rFonts w:cs="TimesNewRomanPSMT"/>
          <w:sz w:val="24"/>
          <w:szCs w:val="24"/>
        </w:rPr>
        <w:t xml:space="preserve">What is the crude odds ratio? </w:t>
      </w:r>
    </w:p>
    <w:p w:rsidR="004D657D" w:rsidRPr="00EC4F07" w:rsidRDefault="00431448" w:rsidP="005F191E">
      <w:pPr>
        <w:tabs>
          <w:tab w:val="left" w:pos="2160"/>
        </w:tabs>
        <w:rPr>
          <w:rFonts w:cs="TimesNewRomanPSMT"/>
          <w:sz w:val="24"/>
          <w:szCs w:val="24"/>
        </w:rPr>
      </w:pPr>
      <w:r w:rsidRPr="00EC4F07">
        <w:rPr>
          <w:rFonts w:cs="TimesNewRomanPSMT"/>
          <w:sz w:val="24"/>
          <w:szCs w:val="24"/>
        </w:rPr>
        <w:t xml:space="preserve">3. </w:t>
      </w:r>
      <w:r w:rsidR="001B4ECB" w:rsidRPr="00EC4F07">
        <w:rPr>
          <w:rFonts w:cs="TimesNewRomanPSMT"/>
          <w:sz w:val="24"/>
          <w:szCs w:val="24"/>
        </w:rPr>
        <w:t xml:space="preserve">What is the crude risk ratio?  </w:t>
      </w:r>
    </w:p>
    <w:p w:rsidR="00431448" w:rsidRPr="00EC4F07" w:rsidRDefault="001B4ECB" w:rsidP="005F191E">
      <w:pPr>
        <w:tabs>
          <w:tab w:val="left" w:pos="2160"/>
        </w:tabs>
        <w:rPr>
          <w:rFonts w:cs="TimesNewRomanPSMT"/>
          <w:sz w:val="24"/>
          <w:szCs w:val="24"/>
        </w:rPr>
      </w:pPr>
      <w:r w:rsidRPr="00EC4F07">
        <w:rPr>
          <w:rFonts w:cs="TimesNewRomanPSMT"/>
          <w:sz w:val="24"/>
          <w:szCs w:val="24"/>
        </w:rPr>
        <w:t xml:space="preserve">Suppose that obesity was based on mother-reported BMI, and you have external data that shows the probability a mother will report her child as obese, if she is actually obese, is 0.8, whereas the probability a mother will report her daughter not obese, if the child is not in fact obese is .99.  Assume this is not associated with subsequent probability of developing depression.  </w:t>
      </w:r>
    </w:p>
    <w:p w:rsidR="004D657D" w:rsidRPr="00EC4F07" w:rsidRDefault="00431448" w:rsidP="005F191E">
      <w:pPr>
        <w:tabs>
          <w:tab w:val="left" w:pos="2160"/>
        </w:tabs>
        <w:rPr>
          <w:rFonts w:cs="TimesNewRomanPSMT"/>
          <w:sz w:val="24"/>
          <w:szCs w:val="24"/>
        </w:rPr>
      </w:pPr>
      <w:r w:rsidRPr="00EC4F07">
        <w:rPr>
          <w:rFonts w:cs="TimesNewRomanPSMT"/>
          <w:sz w:val="24"/>
          <w:szCs w:val="24"/>
        </w:rPr>
        <w:t xml:space="preserve">4. </w:t>
      </w:r>
      <w:r w:rsidR="001B4ECB" w:rsidRPr="00EC4F07">
        <w:rPr>
          <w:rFonts w:cs="TimesNewRomanPSMT"/>
          <w:sz w:val="24"/>
          <w:szCs w:val="24"/>
        </w:rPr>
        <w:t xml:space="preserve">Rewrite the table incorporating this information. </w:t>
      </w:r>
    </w:p>
    <w:p w:rsidR="001B4ECB" w:rsidRPr="00EC4F07" w:rsidRDefault="001B4ECB" w:rsidP="005F191E">
      <w:pPr>
        <w:tabs>
          <w:tab w:val="left" w:pos="2160"/>
        </w:tabs>
        <w:rPr>
          <w:rFonts w:cs="TimesNewRomanPSMT"/>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DE7C17" w:rsidRPr="00EC4F07" w:rsidTr="00D267BD">
        <w:tc>
          <w:tcPr>
            <w:tcW w:w="2337" w:type="dxa"/>
          </w:tcPr>
          <w:p w:rsidR="00DE7C17" w:rsidRPr="00EC4F07" w:rsidRDefault="00DE7C17" w:rsidP="00DE7C17">
            <w:pPr>
              <w:tabs>
                <w:tab w:val="left" w:pos="2160"/>
              </w:tabs>
              <w:rPr>
                <w:rFonts w:cs="TimesNewRomanPSMT"/>
                <w:sz w:val="24"/>
                <w:szCs w:val="24"/>
              </w:rPr>
            </w:pPr>
          </w:p>
        </w:tc>
        <w:tc>
          <w:tcPr>
            <w:tcW w:w="2337" w:type="dxa"/>
          </w:tcPr>
          <w:p w:rsidR="00DE7C17" w:rsidRPr="00EC4F07" w:rsidRDefault="00DE7C17" w:rsidP="00DE7C17">
            <w:pPr>
              <w:tabs>
                <w:tab w:val="left" w:pos="2160"/>
              </w:tabs>
              <w:rPr>
                <w:rFonts w:cs="TimesNewRomanPSMT"/>
                <w:sz w:val="24"/>
                <w:szCs w:val="24"/>
              </w:rPr>
            </w:pPr>
            <w:r w:rsidRPr="00EC4F07">
              <w:rPr>
                <w:rFonts w:cs="TimesNewRomanPSMT"/>
                <w:sz w:val="24"/>
                <w:szCs w:val="24"/>
              </w:rPr>
              <w:t>Obese=1</w:t>
            </w:r>
          </w:p>
        </w:tc>
        <w:tc>
          <w:tcPr>
            <w:tcW w:w="2338" w:type="dxa"/>
          </w:tcPr>
          <w:p w:rsidR="00DE7C17" w:rsidRPr="00EC4F07" w:rsidRDefault="00DE7C17" w:rsidP="00DE7C17">
            <w:pPr>
              <w:tabs>
                <w:tab w:val="left" w:pos="2160"/>
              </w:tabs>
              <w:rPr>
                <w:rFonts w:cs="TimesNewRomanPSMT"/>
                <w:sz w:val="24"/>
                <w:szCs w:val="24"/>
              </w:rPr>
            </w:pPr>
            <w:r w:rsidRPr="00EC4F07">
              <w:rPr>
                <w:rFonts w:cs="TimesNewRomanPSMT"/>
                <w:sz w:val="24"/>
                <w:szCs w:val="24"/>
              </w:rPr>
              <w:t>Obese=0</w:t>
            </w:r>
          </w:p>
        </w:tc>
        <w:tc>
          <w:tcPr>
            <w:tcW w:w="2338" w:type="dxa"/>
          </w:tcPr>
          <w:p w:rsidR="00DE7C17" w:rsidRPr="00EC4F07" w:rsidRDefault="00DE7C17" w:rsidP="00DE7C17">
            <w:pPr>
              <w:tabs>
                <w:tab w:val="left" w:pos="2160"/>
              </w:tabs>
              <w:rPr>
                <w:rFonts w:cs="TimesNewRomanPSMT"/>
                <w:sz w:val="24"/>
                <w:szCs w:val="24"/>
              </w:rPr>
            </w:pPr>
          </w:p>
        </w:tc>
      </w:tr>
      <w:tr w:rsidR="00DE7C17" w:rsidRPr="00EC4F07" w:rsidTr="00D267BD">
        <w:tc>
          <w:tcPr>
            <w:tcW w:w="2337" w:type="dxa"/>
          </w:tcPr>
          <w:p w:rsidR="00DE7C17" w:rsidRPr="00EC4F07" w:rsidRDefault="00DE7C17" w:rsidP="00DE7C17">
            <w:pPr>
              <w:tabs>
                <w:tab w:val="left" w:pos="2160"/>
              </w:tabs>
              <w:rPr>
                <w:rFonts w:cs="TimesNewRomanPSMT"/>
                <w:sz w:val="24"/>
                <w:szCs w:val="24"/>
              </w:rPr>
            </w:pPr>
            <w:r w:rsidRPr="00EC4F07">
              <w:rPr>
                <w:rFonts w:cs="TimesNewRomanPSMT"/>
                <w:sz w:val="24"/>
                <w:szCs w:val="24"/>
              </w:rPr>
              <w:t>Depressed=1</w:t>
            </w:r>
          </w:p>
        </w:tc>
        <w:tc>
          <w:tcPr>
            <w:tcW w:w="2337" w:type="dxa"/>
          </w:tcPr>
          <w:p w:rsidR="00DE7C17" w:rsidRPr="00EC4F07" w:rsidRDefault="00DE7C17" w:rsidP="00DE7C17">
            <w:pPr>
              <w:tabs>
                <w:tab w:val="center" w:pos="1060"/>
              </w:tabs>
              <w:rPr>
                <w:rFonts w:cs="TimesNewRomanPSMT"/>
                <w:sz w:val="24"/>
                <w:szCs w:val="24"/>
              </w:rPr>
            </w:pPr>
          </w:p>
        </w:tc>
        <w:tc>
          <w:tcPr>
            <w:tcW w:w="2338" w:type="dxa"/>
          </w:tcPr>
          <w:p w:rsidR="00DE7C17" w:rsidRPr="00EC4F07" w:rsidRDefault="00DE7C17" w:rsidP="00DE7C17">
            <w:pPr>
              <w:tabs>
                <w:tab w:val="left" w:pos="2160"/>
              </w:tabs>
              <w:rPr>
                <w:rFonts w:cs="TimesNewRomanPSMT"/>
                <w:sz w:val="24"/>
                <w:szCs w:val="24"/>
              </w:rPr>
            </w:pPr>
          </w:p>
        </w:tc>
        <w:tc>
          <w:tcPr>
            <w:tcW w:w="2338" w:type="dxa"/>
          </w:tcPr>
          <w:p w:rsidR="00DE7C17" w:rsidRPr="00EC4F07" w:rsidRDefault="00DE7C17" w:rsidP="00DE7C17">
            <w:pPr>
              <w:tabs>
                <w:tab w:val="left" w:pos="2160"/>
              </w:tabs>
              <w:rPr>
                <w:rFonts w:cs="TimesNewRomanPSMT"/>
                <w:sz w:val="24"/>
                <w:szCs w:val="24"/>
              </w:rPr>
            </w:pPr>
          </w:p>
        </w:tc>
      </w:tr>
      <w:tr w:rsidR="00DE7C17" w:rsidRPr="00EC4F07" w:rsidTr="00D267BD">
        <w:tc>
          <w:tcPr>
            <w:tcW w:w="2337" w:type="dxa"/>
          </w:tcPr>
          <w:p w:rsidR="00DE7C17" w:rsidRPr="00EC4F07" w:rsidRDefault="00DE7C17" w:rsidP="00DE7C17">
            <w:pPr>
              <w:tabs>
                <w:tab w:val="left" w:pos="2160"/>
              </w:tabs>
              <w:rPr>
                <w:rFonts w:cs="TimesNewRomanPSMT"/>
                <w:sz w:val="24"/>
                <w:szCs w:val="24"/>
              </w:rPr>
            </w:pPr>
            <w:r w:rsidRPr="00EC4F07">
              <w:rPr>
                <w:rFonts w:cs="TimesNewRomanPSMT"/>
                <w:sz w:val="24"/>
                <w:szCs w:val="24"/>
              </w:rPr>
              <w:t>Depressed=0</w:t>
            </w:r>
          </w:p>
        </w:tc>
        <w:tc>
          <w:tcPr>
            <w:tcW w:w="2337" w:type="dxa"/>
          </w:tcPr>
          <w:p w:rsidR="00DE7C17" w:rsidRPr="00EC4F07" w:rsidRDefault="00DE7C17" w:rsidP="00DE7C17">
            <w:pPr>
              <w:tabs>
                <w:tab w:val="left" w:pos="2160"/>
              </w:tabs>
              <w:rPr>
                <w:rFonts w:cs="TimesNewRomanPSMT"/>
                <w:sz w:val="24"/>
                <w:szCs w:val="24"/>
              </w:rPr>
            </w:pPr>
          </w:p>
        </w:tc>
        <w:tc>
          <w:tcPr>
            <w:tcW w:w="2338" w:type="dxa"/>
          </w:tcPr>
          <w:p w:rsidR="00DE7C17" w:rsidRPr="00EC4F07" w:rsidRDefault="00DE7C17" w:rsidP="00DE7C17">
            <w:pPr>
              <w:tabs>
                <w:tab w:val="left" w:pos="2160"/>
              </w:tabs>
              <w:rPr>
                <w:rFonts w:cs="TimesNewRomanPSMT"/>
                <w:sz w:val="24"/>
                <w:szCs w:val="24"/>
              </w:rPr>
            </w:pPr>
          </w:p>
        </w:tc>
        <w:tc>
          <w:tcPr>
            <w:tcW w:w="2338" w:type="dxa"/>
          </w:tcPr>
          <w:p w:rsidR="00DE7C17" w:rsidRPr="00EC4F07" w:rsidRDefault="00DE7C17" w:rsidP="00DE7C17">
            <w:pPr>
              <w:tabs>
                <w:tab w:val="left" w:pos="2160"/>
              </w:tabs>
              <w:rPr>
                <w:rFonts w:cs="TimesNewRomanPSMT"/>
                <w:sz w:val="24"/>
                <w:szCs w:val="24"/>
              </w:rPr>
            </w:pPr>
          </w:p>
        </w:tc>
      </w:tr>
      <w:tr w:rsidR="001B4ECB" w:rsidRPr="00EC4F07" w:rsidTr="00D267BD">
        <w:tc>
          <w:tcPr>
            <w:tcW w:w="2337" w:type="dxa"/>
          </w:tcPr>
          <w:p w:rsidR="001B4ECB" w:rsidRPr="00EC4F07" w:rsidRDefault="001B4ECB" w:rsidP="00D267BD">
            <w:pPr>
              <w:tabs>
                <w:tab w:val="left" w:pos="2160"/>
              </w:tabs>
              <w:rPr>
                <w:rFonts w:cs="TimesNewRomanPSMT"/>
                <w:sz w:val="24"/>
                <w:szCs w:val="24"/>
              </w:rPr>
            </w:pPr>
          </w:p>
        </w:tc>
        <w:tc>
          <w:tcPr>
            <w:tcW w:w="2337" w:type="dxa"/>
          </w:tcPr>
          <w:p w:rsidR="001B4ECB" w:rsidRPr="00EC4F07" w:rsidRDefault="001B4ECB" w:rsidP="001B4ECB">
            <w:pPr>
              <w:tabs>
                <w:tab w:val="left" w:pos="2160"/>
              </w:tabs>
              <w:rPr>
                <w:rFonts w:cs="TimesNewRomanPSMT"/>
                <w:sz w:val="24"/>
                <w:szCs w:val="24"/>
              </w:rPr>
            </w:pPr>
          </w:p>
        </w:tc>
        <w:tc>
          <w:tcPr>
            <w:tcW w:w="2338" w:type="dxa"/>
          </w:tcPr>
          <w:p w:rsidR="001B4ECB" w:rsidRPr="00EC4F07" w:rsidRDefault="001B4ECB" w:rsidP="00D267BD">
            <w:pPr>
              <w:tabs>
                <w:tab w:val="left" w:pos="2160"/>
              </w:tabs>
              <w:rPr>
                <w:rFonts w:cs="TimesNewRomanPSMT"/>
                <w:sz w:val="24"/>
                <w:szCs w:val="24"/>
              </w:rPr>
            </w:pPr>
          </w:p>
        </w:tc>
        <w:tc>
          <w:tcPr>
            <w:tcW w:w="2338" w:type="dxa"/>
          </w:tcPr>
          <w:p w:rsidR="001B4ECB" w:rsidRPr="00EC4F07" w:rsidRDefault="001B4ECB" w:rsidP="00D267BD">
            <w:pPr>
              <w:tabs>
                <w:tab w:val="left" w:pos="2160"/>
              </w:tabs>
              <w:rPr>
                <w:rFonts w:cs="TimesNewRomanPSMT"/>
                <w:sz w:val="24"/>
                <w:szCs w:val="24"/>
              </w:rPr>
            </w:pPr>
          </w:p>
        </w:tc>
      </w:tr>
    </w:tbl>
    <w:p w:rsidR="001B4ECB" w:rsidRPr="00EC4F07" w:rsidRDefault="001B4ECB" w:rsidP="005F191E">
      <w:pPr>
        <w:tabs>
          <w:tab w:val="left" w:pos="2160"/>
        </w:tabs>
        <w:rPr>
          <w:rFonts w:cs="TimesNewRomanPSMT"/>
          <w:sz w:val="24"/>
          <w:szCs w:val="24"/>
        </w:rPr>
      </w:pPr>
    </w:p>
    <w:p w:rsidR="001B4ECB" w:rsidRPr="00EC4F07" w:rsidRDefault="00431448" w:rsidP="005F191E">
      <w:pPr>
        <w:tabs>
          <w:tab w:val="left" w:pos="2160"/>
        </w:tabs>
        <w:rPr>
          <w:rFonts w:cs="TimesNewRomanPSMT"/>
          <w:sz w:val="24"/>
          <w:szCs w:val="24"/>
        </w:rPr>
      </w:pPr>
      <w:r w:rsidRPr="00EC4F07">
        <w:rPr>
          <w:rFonts w:cs="TimesNewRomanPSMT"/>
          <w:sz w:val="24"/>
          <w:szCs w:val="24"/>
        </w:rPr>
        <w:t xml:space="preserve">5. </w:t>
      </w:r>
      <w:r w:rsidR="001B4ECB" w:rsidRPr="00EC4F07">
        <w:rPr>
          <w:rFonts w:cs="TimesNewRomanPSMT"/>
          <w:sz w:val="24"/>
          <w:szCs w:val="24"/>
        </w:rPr>
        <w:t>Recalculate the OR</w:t>
      </w:r>
      <w:r w:rsidR="00741CC1" w:rsidRPr="00EC4F07">
        <w:rPr>
          <w:rFonts w:cs="TimesNewRomanPSMT"/>
          <w:sz w:val="24"/>
          <w:szCs w:val="24"/>
        </w:rPr>
        <w:t xml:space="preserve"> based on the revised table</w:t>
      </w:r>
      <w:r w:rsidR="001B4ECB" w:rsidRPr="00EC4F07">
        <w:rPr>
          <w:rFonts w:cs="TimesNewRomanPSMT"/>
          <w:sz w:val="24"/>
          <w:szCs w:val="24"/>
        </w:rPr>
        <w:t xml:space="preserve">. </w:t>
      </w:r>
    </w:p>
    <w:p w:rsidR="001B4ECB" w:rsidRPr="00EC4F07" w:rsidRDefault="001B4ECB" w:rsidP="005F191E">
      <w:pPr>
        <w:tabs>
          <w:tab w:val="left" w:pos="2160"/>
        </w:tabs>
        <w:rPr>
          <w:rFonts w:cs="TimesNewRomanPSMT"/>
          <w:sz w:val="24"/>
          <w:szCs w:val="24"/>
        </w:rPr>
      </w:pPr>
    </w:p>
    <w:p w:rsidR="001B4ECB" w:rsidRPr="00EC4F07" w:rsidRDefault="001B4ECB">
      <w:pPr>
        <w:rPr>
          <w:rFonts w:cs="TimesNewRomanPSMT"/>
          <w:sz w:val="24"/>
          <w:szCs w:val="24"/>
        </w:rPr>
      </w:pPr>
      <w:r w:rsidRPr="00EC4F07">
        <w:rPr>
          <w:rFonts w:cs="TimesNewRomanPSMT"/>
          <w:sz w:val="24"/>
          <w:szCs w:val="24"/>
        </w:rPr>
        <w:br w:type="page"/>
      </w:r>
    </w:p>
    <w:p w:rsidR="005F191E" w:rsidRPr="00EC4F07" w:rsidRDefault="0096693A" w:rsidP="005F191E">
      <w:pPr>
        <w:tabs>
          <w:tab w:val="left" w:pos="2160"/>
        </w:tabs>
        <w:rPr>
          <w:rFonts w:cs="TimesNewRomanPSMT"/>
          <w:sz w:val="24"/>
          <w:szCs w:val="24"/>
        </w:rPr>
      </w:pPr>
      <w:r w:rsidRPr="00EC4F07">
        <w:rPr>
          <w:rFonts w:cs="TimesNewRomanPSMT"/>
          <w:sz w:val="24"/>
          <w:szCs w:val="24"/>
        </w:rPr>
        <w:lastRenderedPageBreak/>
        <w:t xml:space="preserve">Consider the following data on the effect of physical abuse </w:t>
      </w:r>
      <w:r w:rsidR="00DE7C17">
        <w:rPr>
          <w:rFonts w:cs="TimesNewRomanPSMT"/>
          <w:sz w:val="24"/>
          <w:szCs w:val="24"/>
        </w:rPr>
        <w:t xml:space="preserve">in childhood </w:t>
      </w:r>
      <w:r w:rsidRPr="00EC4F07">
        <w:rPr>
          <w:rFonts w:cs="TimesNewRomanPSMT"/>
          <w:sz w:val="24"/>
          <w:szCs w:val="24"/>
        </w:rPr>
        <w:t>and a genetic variant in the FKBP5 gene on major depression</w:t>
      </w:r>
      <w:r w:rsidR="00DE7C17">
        <w:rPr>
          <w:rFonts w:cs="TimesNewRomanPSMT"/>
          <w:sz w:val="24"/>
          <w:szCs w:val="24"/>
        </w:rPr>
        <w:t xml:space="preserve"> in adulthood</w:t>
      </w:r>
      <w:r w:rsidRPr="00EC4F07">
        <w:rPr>
          <w:rFonts w:cs="TimesNewRomanPSMT"/>
          <w:sz w:val="24"/>
          <w:szCs w:val="24"/>
        </w:rPr>
        <w:t>.</w:t>
      </w:r>
    </w:p>
    <w:p w:rsidR="005F191E" w:rsidRPr="00EC4F07" w:rsidRDefault="005A5E78" w:rsidP="005F191E">
      <w:pPr>
        <w:tabs>
          <w:tab w:val="left" w:pos="2160"/>
        </w:tabs>
        <w:rPr>
          <w:rFonts w:cs="TimesNewRomanPSMT"/>
          <w:sz w:val="24"/>
          <w:szCs w:val="24"/>
        </w:rPr>
      </w:pPr>
      <w:r w:rsidRPr="005A5E78">
        <w:rPr>
          <w:rFonts w:cs="TimesNewRomanPSMT"/>
          <w:noProof/>
          <w:sz w:val="24"/>
          <w:szCs w:val="24"/>
        </w:rPr>
        <w:drawing>
          <wp:inline distT="0" distB="0" distL="0" distR="0">
            <wp:extent cx="5943600" cy="24826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82697"/>
                    </a:xfrm>
                    <a:prstGeom prst="rect">
                      <a:avLst/>
                    </a:prstGeom>
                    <a:noFill/>
                    <a:ln>
                      <a:noFill/>
                    </a:ln>
                  </pic:spPr>
                </pic:pic>
              </a:graphicData>
            </a:graphic>
          </wp:inline>
        </w:drawing>
      </w:r>
    </w:p>
    <w:p w:rsidR="005F191E" w:rsidRPr="00EC4F07" w:rsidRDefault="005F191E" w:rsidP="00431448">
      <w:pPr>
        <w:pStyle w:val="ListParagraph"/>
        <w:numPr>
          <w:ilvl w:val="0"/>
          <w:numId w:val="4"/>
        </w:numPr>
        <w:tabs>
          <w:tab w:val="left" w:pos="2160"/>
        </w:tabs>
        <w:rPr>
          <w:rFonts w:cs="TimesNewRomanPSMT"/>
          <w:sz w:val="24"/>
          <w:szCs w:val="24"/>
        </w:rPr>
      </w:pPr>
      <w:r w:rsidRPr="00EC4F07">
        <w:rPr>
          <w:rFonts w:cs="TimesNewRomanPSMT"/>
          <w:sz w:val="24"/>
          <w:szCs w:val="24"/>
        </w:rPr>
        <w:t xml:space="preserve">Calculate the RERI (Relative Excess Risk due to Interaction) for the SNP and </w:t>
      </w:r>
      <w:r w:rsidR="0096693A" w:rsidRPr="00EC4F07">
        <w:rPr>
          <w:rFonts w:cs="TimesNewRomanPSMT"/>
          <w:sz w:val="24"/>
          <w:szCs w:val="24"/>
        </w:rPr>
        <w:t>physical abuse for depression</w:t>
      </w:r>
      <w:r w:rsidRPr="00EC4F07">
        <w:rPr>
          <w:rFonts w:cs="TimesNewRomanPSMT"/>
          <w:sz w:val="24"/>
          <w:szCs w:val="24"/>
        </w:rPr>
        <w:t xml:space="preserve">. </w:t>
      </w:r>
    </w:p>
    <w:p w:rsidR="005F191E" w:rsidRPr="00EC4F07" w:rsidRDefault="005F191E" w:rsidP="005F191E">
      <w:pPr>
        <w:tabs>
          <w:tab w:val="left" w:pos="2160"/>
        </w:tabs>
        <w:rPr>
          <w:rFonts w:cs="TimesNewRomanPSMT"/>
          <w:sz w:val="24"/>
          <w:szCs w:val="24"/>
        </w:rPr>
      </w:pPr>
      <w:bookmarkStart w:id="0" w:name="_GoBack"/>
      <w:bookmarkEnd w:id="0"/>
    </w:p>
    <w:p w:rsidR="005F191E" w:rsidRPr="00EC4F07" w:rsidRDefault="00431448" w:rsidP="00431448">
      <w:pPr>
        <w:pStyle w:val="ListParagraph"/>
        <w:numPr>
          <w:ilvl w:val="0"/>
          <w:numId w:val="4"/>
        </w:numPr>
        <w:rPr>
          <w:rFonts w:cs="TimesNewRomanPSMT"/>
          <w:sz w:val="24"/>
          <w:szCs w:val="24"/>
        </w:rPr>
      </w:pPr>
      <w:r w:rsidRPr="00EC4F07">
        <w:rPr>
          <w:rFonts w:cs="TimesNewRomanPSMT"/>
          <w:sz w:val="24"/>
          <w:szCs w:val="24"/>
        </w:rPr>
        <w:t>Define “a sufficient cause interaction” and explain whether there is evidence for such an interaction.</w:t>
      </w:r>
    </w:p>
    <w:p w:rsidR="00431448" w:rsidRPr="00EC4F07" w:rsidRDefault="00431448" w:rsidP="00431448">
      <w:pPr>
        <w:pStyle w:val="ListParagraph"/>
        <w:rPr>
          <w:rFonts w:cs="TimesNewRomanPSMT"/>
          <w:sz w:val="24"/>
          <w:szCs w:val="24"/>
        </w:rPr>
      </w:pPr>
    </w:p>
    <w:p w:rsidR="00431448" w:rsidRPr="00EC4F07" w:rsidRDefault="00431448" w:rsidP="00431448">
      <w:pPr>
        <w:rPr>
          <w:rFonts w:cs="TimesNewRomanPSMT"/>
          <w:sz w:val="24"/>
          <w:szCs w:val="24"/>
        </w:rPr>
      </w:pPr>
    </w:p>
    <w:p w:rsidR="00431448" w:rsidRPr="00EC4F07" w:rsidRDefault="00431448" w:rsidP="00431448">
      <w:pPr>
        <w:rPr>
          <w:rFonts w:cs="TimesNewRomanPSMT"/>
          <w:sz w:val="24"/>
          <w:szCs w:val="24"/>
        </w:rPr>
      </w:pPr>
    </w:p>
    <w:p w:rsidR="00431448" w:rsidRPr="00EC4F07" w:rsidRDefault="00431448" w:rsidP="00431448">
      <w:pPr>
        <w:rPr>
          <w:rFonts w:cs="TimesNewRomanPSMT"/>
          <w:sz w:val="24"/>
          <w:szCs w:val="24"/>
        </w:rPr>
      </w:pPr>
    </w:p>
    <w:p w:rsidR="0096693A" w:rsidRPr="00EC4F07" w:rsidRDefault="0096693A" w:rsidP="00431448">
      <w:pPr>
        <w:pStyle w:val="ListParagraph"/>
        <w:numPr>
          <w:ilvl w:val="0"/>
          <w:numId w:val="4"/>
        </w:numPr>
        <w:rPr>
          <w:rFonts w:cs="TimesNewRomanPSMT"/>
          <w:sz w:val="24"/>
          <w:szCs w:val="24"/>
        </w:rPr>
      </w:pPr>
      <w:r w:rsidRPr="00EC4F07">
        <w:rPr>
          <w:rFonts w:cs="TimesNewRomanPSMT"/>
          <w:sz w:val="24"/>
          <w:szCs w:val="24"/>
        </w:rPr>
        <w:t xml:space="preserve">Suppose you could </w:t>
      </w:r>
      <w:r w:rsidR="00DE7C17">
        <w:rPr>
          <w:rFonts w:cs="TimesNewRomanPSMT"/>
          <w:sz w:val="24"/>
          <w:szCs w:val="24"/>
        </w:rPr>
        <w:t xml:space="preserve">entirely </w:t>
      </w:r>
      <w:r w:rsidRPr="00EC4F07">
        <w:rPr>
          <w:rFonts w:cs="TimesNewRomanPSMT"/>
          <w:sz w:val="24"/>
          <w:szCs w:val="24"/>
        </w:rPr>
        <w:t xml:space="preserve">eliminate either the effects of childhood abuse </w:t>
      </w:r>
      <w:r w:rsidR="00DE7C17">
        <w:rPr>
          <w:rFonts w:cs="TimesNewRomanPSMT"/>
          <w:sz w:val="24"/>
          <w:szCs w:val="24"/>
        </w:rPr>
        <w:t xml:space="preserve">on depression </w:t>
      </w:r>
      <w:r w:rsidRPr="00EC4F07">
        <w:rPr>
          <w:rFonts w:cs="TimesNewRomanPSMT"/>
          <w:i/>
          <w:sz w:val="24"/>
          <w:szCs w:val="24"/>
        </w:rPr>
        <w:t xml:space="preserve">or </w:t>
      </w:r>
      <w:r w:rsidRPr="00EC4F07">
        <w:rPr>
          <w:rFonts w:cs="TimesNewRomanPSMT"/>
          <w:sz w:val="24"/>
          <w:szCs w:val="24"/>
        </w:rPr>
        <w:t xml:space="preserve">the effects of the TT genotype on depression.  Which would have the largest impact on the prevalence of depression?  </w:t>
      </w:r>
      <w:r w:rsidR="00DE7C17">
        <w:rPr>
          <w:rFonts w:cs="TimesNewRomanPSMT"/>
          <w:sz w:val="24"/>
          <w:szCs w:val="24"/>
        </w:rPr>
        <w:t>Assuming the age- and sex-adjusted effect estimates above and the exposure prevalence numbers above, estimate the percent of depression that would be eliminated by eliminating the effects of the TT genotype on depression.</w:t>
      </w:r>
      <w:r w:rsidRPr="00EC4F07">
        <w:rPr>
          <w:rFonts w:cs="TimesNewRomanPSMT"/>
          <w:sz w:val="24"/>
          <w:szCs w:val="24"/>
        </w:rPr>
        <w:t xml:space="preserve"> </w:t>
      </w:r>
    </w:p>
    <w:p w:rsidR="0096693A" w:rsidRPr="00EC4F07" w:rsidRDefault="0096693A" w:rsidP="005F191E">
      <w:pPr>
        <w:rPr>
          <w:sz w:val="24"/>
          <w:szCs w:val="24"/>
        </w:rPr>
      </w:pPr>
      <w:r w:rsidRPr="00EC4F07">
        <w:rPr>
          <w:rFonts w:cs="TimesNewRomanPSMT"/>
          <w:sz w:val="24"/>
          <w:szCs w:val="24"/>
        </w:rPr>
        <w:t xml:space="preserve">Please do not consider the obvious point that one would wish to eliminate childhood abuse for many </w:t>
      </w:r>
      <w:proofErr w:type="spellStart"/>
      <w:r w:rsidRPr="00EC4F07">
        <w:rPr>
          <w:rFonts w:cs="TimesNewRomanPSMT"/>
          <w:sz w:val="24"/>
          <w:szCs w:val="24"/>
        </w:rPr>
        <w:t>many</w:t>
      </w:r>
      <w:proofErr w:type="spellEnd"/>
      <w:r w:rsidRPr="00EC4F07">
        <w:rPr>
          <w:rFonts w:cs="TimesNewRomanPSMT"/>
          <w:sz w:val="24"/>
          <w:szCs w:val="24"/>
        </w:rPr>
        <w:t xml:space="preserve"> reasons, regardless of the possible importance of the TT genotype.  </w:t>
      </w:r>
    </w:p>
    <w:p w:rsidR="005F191E" w:rsidRPr="00EC4F07" w:rsidRDefault="005F191E">
      <w:pPr>
        <w:rPr>
          <w:sz w:val="24"/>
          <w:szCs w:val="24"/>
        </w:rPr>
      </w:pPr>
    </w:p>
    <w:p w:rsidR="00686AC0" w:rsidRPr="00EC4F07" w:rsidRDefault="00686AC0">
      <w:pPr>
        <w:rPr>
          <w:sz w:val="24"/>
          <w:szCs w:val="24"/>
        </w:rPr>
      </w:pPr>
    </w:p>
    <w:sectPr w:rsidR="00686AC0" w:rsidRPr="00EC4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02E42"/>
    <w:multiLevelType w:val="hybridMultilevel"/>
    <w:tmpl w:val="408EFBEA"/>
    <w:lvl w:ilvl="0" w:tplc="2D04425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2513B5"/>
    <w:multiLevelType w:val="hybridMultilevel"/>
    <w:tmpl w:val="56D00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E1499"/>
    <w:multiLevelType w:val="hybridMultilevel"/>
    <w:tmpl w:val="7924CE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965DC"/>
    <w:multiLevelType w:val="hybridMultilevel"/>
    <w:tmpl w:val="555C2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1E"/>
    <w:rsid w:val="00004C4B"/>
    <w:rsid w:val="00013DF1"/>
    <w:rsid w:val="00026BA4"/>
    <w:rsid w:val="000314BA"/>
    <w:rsid w:val="0003306F"/>
    <w:rsid w:val="000333A9"/>
    <w:rsid w:val="00041E8E"/>
    <w:rsid w:val="000515EA"/>
    <w:rsid w:val="00054575"/>
    <w:rsid w:val="00056A51"/>
    <w:rsid w:val="000606B9"/>
    <w:rsid w:val="000666BC"/>
    <w:rsid w:val="00070C99"/>
    <w:rsid w:val="00075351"/>
    <w:rsid w:val="00076191"/>
    <w:rsid w:val="000834C7"/>
    <w:rsid w:val="000929C9"/>
    <w:rsid w:val="00094543"/>
    <w:rsid w:val="00094BBD"/>
    <w:rsid w:val="000961F3"/>
    <w:rsid w:val="000966CD"/>
    <w:rsid w:val="00096D29"/>
    <w:rsid w:val="000A2BA4"/>
    <w:rsid w:val="000B1ADB"/>
    <w:rsid w:val="000B3875"/>
    <w:rsid w:val="000C00A6"/>
    <w:rsid w:val="000C10C4"/>
    <w:rsid w:val="000C1B83"/>
    <w:rsid w:val="000F22AC"/>
    <w:rsid w:val="000F41A6"/>
    <w:rsid w:val="000F6D66"/>
    <w:rsid w:val="0011223F"/>
    <w:rsid w:val="00114205"/>
    <w:rsid w:val="00121C34"/>
    <w:rsid w:val="00124161"/>
    <w:rsid w:val="0012539A"/>
    <w:rsid w:val="0013264D"/>
    <w:rsid w:val="00135852"/>
    <w:rsid w:val="0014127A"/>
    <w:rsid w:val="0014184C"/>
    <w:rsid w:val="001442DA"/>
    <w:rsid w:val="0015067D"/>
    <w:rsid w:val="00154D5F"/>
    <w:rsid w:val="00154E82"/>
    <w:rsid w:val="0016798E"/>
    <w:rsid w:val="00167A2E"/>
    <w:rsid w:val="00170E12"/>
    <w:rsid w:val="00175C5F"/>
    <w:rsid w:val="0017755C"/>
    <w:rsid w:val="00177E52"/>
    <w:rsid w:val="001804D8"/>
    <w:rsid w:val="001908A8"/>
    <w:rsid w:val="00191D6E"/>
    <w:rsid w:val="001946A3"/>
    <w:rsid w:val="00196A16"/>
    <w:rsid w:val="001A03A0"/>
    <w:rsid w:val="001A2A06"/>
    <w:rsid w:val="001A4B5E"/>
    <w:rsid w:val="001A57C3"/>
    <w:rsid w:val="001A67A6"/>
    <w:rsid w:val="001B14C9"/>
    <w:rsid w:val="001B22BD"/>
    <w:rsid w:val="001B4ECB"/>
    <w:rsid w:val="001B5996"/>
    <w:rsid w:val="001C0806"/>
    <w:rsid w:val="001C2B98"/>
    <w:rsid w:val="001C3B91"/>
    <w:rsid w:val="001D140C"/>
    <w:rsid w:val="001D1F02"/>
    <w:rsid w:val="001D77D6"/>
    <w:rsid w:val="001E3931"/>
    <w:rsid w:val="001E3CBF"/>
    <w:rsid w:val="001E4A80"/>
    <w:rsid w:val="001E4BB8"/>
    <w:rsid w:val="001F555A"/>
    <w:rsid w:val="001F66E9"/>
    <w:rsid w:val="001F75AC"/>
    <w:rsid w:val="002004A8"/>
    <w:rsid w:val="00201A0B"/>
    <w:rsid w:val="0020536C"/>
    <w:rsid w:val="00214BD9"/>
    <w:rsid w:val="0022150D"/>
    <w:rsid w:val="0022178C"/>
    <w:rsid w:val="00236BC4"/>
    <w:rsid w:val="00237424"/>
    <w:rsid w:val="0024070B"/>
    <w:rsid w:val="0024139D"/>
    <w:rsid w:val="00244417"/>
    <w:rsid w:val="0025129B"/>
    <w:rsid w:val="00251C43"/>
    <w:rsid w:val="00252322"/>
    <w:rsid w:val="00253B05"/>
    <w:rsid w:val="00253B92"/>
    <w:rsid w:val="00254201"/>
    <w:rsid w:val="0025692C"/>
    <w:rsid w:val="00260A29"/>
    <w:rsid w:val="00261A86"/>
    <w:rsid w:val="00271C6A"/>
    <w:rsid w:val="00282F5E"/>
    <w:rsid w:val="00283D0B"/>
    <w:rsid w:val="002842F5"/>
    <w:rsid w:val="00285E90"/>
    <w:rsid w:val="00287311"/>
    <w:rsid w:val="00291E67"/>
    <w:rsid w:val="00296255"/>
    <w:rsid w:val="002A056A"/>
    <w:rsid w:val="002A4530"/>
    <w:rsid w:val="002A7E08"/>
    <w:rsid w:val="002B1DF1"/>
    <w:rsid w:val="002C0AB7"/>
    <w:rsid w:val="002C0CD1"/>
    <w:rsid w:val="002C6448"/>
    <w:rsid w:val="002C7B72"/>
    <w:rsid w:val="002D36C1"/>
    <w:rsid w:val="002D524C"/>
    <w:rsid w:val="002D6A3C"/>
    <w:rsid w:val="002D6A77"/>
    <w:rsid w:val="002E208F"/>
    <w:rsid w:val="002E3239"/>
    <w:rsid w:val="002E38F8"/>
    <w:rsid w:val="002E4AC2"/>
    <w:rsid w:val="002E5639"/>
    <w:rsid w:val="002F30B5"/>
    <w:rsid w:val="002F45BF"/>
    <w:rsid w:val="003014C9"/>
    <w:rsid w:val="003024F2"/>
    <w:rsid w:val="00303FC6"/>
    <w:rsid w:val="00307BFB"/>
    <w:rsid w:val="0031002E"/>
    <w:rsid w:val="0031081A"/>
    <w:rsid w:val="00315C20"/>
    <w:rsid w:val="00330877"/>
    <w:rsid w:val="003314D9"/>
    <w:rsid w:val="00333FDF"/>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A156D"/>
    <w:rsid w:val="003B0601"/>
    <w:rsid w:val="003D27B3"/>
    <w:rsid w:val="003E16FB"/>
    <w:rsid w:val="003E2D18"/>
    <w:rsid w:val="003E3D28"/>
    <w:rsid w:val="003E42C1"/>
    <w:rsid w:val="003F0338"/>
    <w:rsid w:val="003F148A"/>
    <w:rsid w:val="00413584"/>
    <w:rsid w:val="00421322"/>
    <w:rsid w:val="00422FFD"/>
    <w:rsid w:val="0042486C"/>
    <w:rsid w:val="004309F6"/>
    <w:rsid w:val="00430F84"/>
    <w:rsid w:val="00431448"/>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221"/>
    <w:rsid w:val="00485F57"/>
    <w:rsid w:val="00487A5F"/>
    <w:rsid w:val="0049653B"/>
    <w:rsid w:val="00496EBF"/>
    <w:rsid w:val="004A29A5"/>
    <w:rsid w:val="004A65EA"/>
    <w:rsid w:val="004A6C74"/>
    <w:rsid w:val="004B0EE7"/>
    <w:rsid w:val="004B2AC7"/>
    <w:rsid w:val="004B4670"/>
    <w:rsid w:val="004B4779"/>
    <w:rsid w:val="004C2DD3"/>
    <w:rsid w:val="004C5A92"/>
    <w:rsid w:val="004D657D"/>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14FD0"/>
    <w:rsid w:val="00532512"/>
    <w:rsid w:val="0053440E"/>
    <w:rsid w:val="005344CF"/>
    <w:rsid w:val="00535990"/>
    <w:rsid w:val="005369D3"/>
    <w:rsid w:val="00542B88"/>
    <w:rsid w:val="00542E40"/>
    <w:rsid w:val="00542E5C"/>
    <w:rsid w:val="00544259"/>
    <w:rsid w:val="005461B6"/>
    <w:rsid w:val="00555A04"/>
    <w:rsid w:val="005636C7"/>
    <w:rsid w:val="005640FB"/>
    <w:rsid w:val="00566AA4"/>
    <w:rsid w:val="005710CA"/>
    <w:rsid w:val="00574642"/>
    <w:rsid w:val="00593EBD"/>
    <w:rsid w:val="00596F98"/>
    <w:rsid w:val="005972F7"/>
    <w:rsid w:val="005A054A"/>
    <w:rsid w:val="005A5E78"/>
    <w:rsid w:val="005A7E0C"/>
    <w:rsid w:val="005B1ABD"/>
    <w:rsid w:val="005B2157"/>
    <w:rsid w:val="005B55CC"/>
    <w:rsid w:val="005C3BC1"/>
    <w:rsid w:val="005C54F1"/>
    <w:rsid w:val="005E0209"/>
    <w:rsid w:val="005E23E5"/>
    <w:rsid w:val="005E28F3"/>
    <w:rsid w:val="005F08BC"/>
    <w:rsid w:val="005F0F88"/>
    <w:rsid w:val="005F191E"/>
    <w:rsid w:val="005F301B"/>
    <w:rsid w:val="005F56F7"/>
    <w:rsid w:val="006142B7"/>
    <w:rsid w:val="00624D80"/>
    <w:rsid w:val="00631971"/>
    <w:rsid w:val="006376D8"/>
    <w:rsid w:val="0064422D"/>
    <w:rsid w:val="0064555B"/>
    <w:rsid w:val="0064564F"/>
    <w:rsid w:val="006521CC"/>
    <w:rsid w:val="006556CF"/>
    <w:rsid w:val="006628A3"/>
    <w:rsid w:val="00665188"/>
    <w:rsid w:val="00673E19"/>
    <w:rsid w:val="00680128"/>
    <w:rsid w:val="00680E30"/>
    <w:rsid w:val="00680F98"/>
    <w:rsid w:val="00683F6E"/>
    <w:rsid w:val="00684663"/>
    <w:rsid w:val="00686AC0"/>
    <w:rsid w:val="00692FFF"/>
    <w:rsid w:val="006944E7"/>
    <w:rsid w:val="006A030A"/>
    <w:rsid w:val="006A0941"/>
    <w:rsid w:val="006A1FDA"/>
    <w:rsid w:val="006A32D0"/>
    <w:rsid w:val="006A5BB4"/>
    <w:rsid w:val="006A6927"/>
    <w:rsid w:val="006C0F68"/>
    <w:rsid w:val="006C446B"/>
    <w:rsid w:val="006C7126"/>
    <w:rsid w:val="006C72E8"/>
    <w:rsid w:val="006D7759"/>
    <w:rsid w:val="006D7AB1"/>
    <w:rsid w:val="006F1D8F"/>
    <w:rsid w:val="006F3EC7"/>
    <w:rsid w:val="006F6F3A"/>
    <w:rsid w:val="006F789D"/>
    <w:rsid w:val="00702F23"/>
    <w:rsid w:val="0070759F"/>
    <w:rsid w:val="00713AD0"/>
    <w:rsid w:val="007143E0"/>
    <w:rsid w:val="007224AA"/>
    <w:rsid w:val="007229B8"/>
    <w:rsid w:val="00730E31"/>
    <w:rsid w:val="007354C9"/>
    <w:rsid w:val="00737082"/>
    <w:rsid w:val="00740C64"/>
    <w:rsid w:val="00741CC1"/>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2304"/>
    <w:rsid w:val="007F5CA6"/>
    <w:rsid w:val="007F7452"/>
    <w:rsid w:val="007F7BB7"/>
    <w:rsid w:val="00800CC9"/>
    <w:rsid w:val="0080403C"/>
    <w:rsid w:val="00807144"/>
    <w:rsid w:val="008159E6"/>
    <w:rsid w:val="008160C7"/>
    <w:rsid w:val="00824529"/>
    <w:rsid w:val="00825566"/>
    <w:rsid w:val="00825732"/>
    <w:rsid w:val="00831358"/>
    <w:rsid w:val="00831464"/>
    <w:rsid w:val="00833DBE"/>
    <w:rsid w:val="0083440D"/>
    <w:rsid w:val="00835894"/>
    <w:rsid w:val="00836971"/>
    <w:rsid w:val="00841A17"/>
    <w:rsid w:val="00845E26"/>
    <w:rsid w:val="008556CE"/>
    <w:rsid w:val="00856F68"/>
    <w:rsid w:val="00860976"/>
    <w:rsid w:val="00860C30"/>
    <w:rsid w:val="008621A0"/>
    <w:rsid w:val="00865A01"/>
    <w:rsid w:val="00865CE5"/>
    <w:rsid w:val="00865E3C"/>
    <w:rsid w:val="008663B1"/>
    <w:rsid w:val="00870212"/>
    <w:rsid w:val="00877323"/>
    <w:rsid w:val="0088209E"/>
    <w:rsid w:val="00887CA5"/>
    <w:rsid w:val="008908E2"/>
    <w:rsid w:val="00891CDB"/>
    <w:rsid w:val="00895EC4"/>
    <w:rsid w:val="00897A78"/>
    <w:rsid w:val="008A715F"/>
    <w:rsid w:val="008B3642"/>
    <w:rsid w:val="008B7CD9"/>
    <w:rsid w:val="008B7E0A"/>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8F32D9"/>
    <w:rsid w:val="00906141"/>
    <w:rsid w:val="009107AF"/>
    <w:rsid w:val="009134EF"/>
    <w:rsid w:val="00916E6A"/>
    <w:rsid w:val="0092365A"/>
    <w:rsid w:val="009267A1"/>
    <w:rsid w:val="00926BE4"/>
    <w:rsid w:val="00936667"/>
    <w:rsid w:val="009451D6"/>
    <w:rsid w:val="00945786"/>
    <w:rsid w:val="00946403"/>
    <w:rsid w:val="00946590"/>
    <w:rsid w:val="00947AFD"/>
    <w:rsid w:val="00950304"/>
    <w:rsid w:val="00950622"/>
    <w:rsid w:val="009521A3"/>
    <w:rsid w:val="00954CE1"/>
    <w:rsid w:val="0095502E"/>
    <w:rsid w:val="00955F06"/>
    <w:rsid w:val="009561D0"/>
    <w:rsid w:val="00961E1B"/>
    <w:rsid w:val="00964834"/>
    <w:rsid w:val="0096693A"/>
    <w:rsid w:val="009723A8"/>
    <w:rsid w:val="00973BE2"/>
    <w:rsid w:val="0097635C"/>
    <w:rsid w:val="00976A8C"/>
    <w:rsid w:val="009777CF"/>
    <w:rsid w:val="00980969"/>
    <w:rsid w:val="00985BC8"/>
    <w:rsid w:val="009936AA"/>
    <w:rsid w:val="00996824"/>
    <w:rsid w:val="00997984"/>
    <w:rsid w:val="009A3118"/>
    <w:rsid w:val="009A656B"/>
    <w:rsid w:val="009A6D9E"/>
    <w:rsid w:val="009B2763"/>
    <w:rsid w:val="009B6F7D"/>
    <w:rsid w:val="009C2D78"/>
    <w:rsid w:val="009C5BC1"/>
    <w:rsid w:val="009C5DB7"/>
    <w:rsid w:val="009D3241"/>
    <w:rsid w:val="009D6804"/>
    <w:rsid w:val="009D741A"/>
    <w:rsid w:val="009E1B5D"/>
    <w:rsid w:val="009E28DC"/>
    <w:rsid w:val="009E2C48"/>
    <w:rsid w:val="009E36CB"/>
    <w:rsid w:val="009E3EC2"/>
    <w:rsid w:val="009E48F5"/>
    <w:rsid w:val="009E5151"/>
    <w:rsid w:val="009F6D63"/>
    <w:rsid w:val="00A004AC"/>
    <w:rsid w:val="00A25C44"/>
    <w:rsid w:val="00A30E7A"/>
    <w:rsid w:val="00A44653"/>
    <w:rsid w:val="00A502EE"/>
    <w:rsid w:val="00A52802"/>
    <w:rsid w:val="00A61A4A"/>
    <w:rsid w:val="00A67B89"/>
    <w:rsid w:val="00A80806"/>
    <w:rsid w:val="00A86EE4"/>
    <w:rsid w:val="00A8768C"/>
    <w:rsid w:val="00A9189D"/>
    <w:rsid w:val="00A9212D"/>
    <w:rsid w:val="00A95C1B"/>
    <w:rsid w:val="00AA08D9"/>
    <w:rsid w:val="00AA14B3"/>
    <w:rsid w:val="00AA2E8C"/>
    <w:rsid w:val="00AA5A22"/>
    <w:rsid w:val="00AB525A"/>
    <w:rsid w:val="00AB5C9E"/>
    <w:rsid w:val="00AB7113"/>
    <w:rsid w:val="00AC4EF1"/>
    <w:rsid w:val="00AD1AD9"/>
    <w:rsid w:val="00AD3A8B"/>
    <w:rsid w:val="00AD77EE"/>
    <w:rsid w:val="00AE1068"/>
    <w:rsid w:val="00AE2841"/>
    <w:rsid w:val="00AE4B87"/>
    <w:rsid w:val="00AE5ABD"/>
    <w:rsid w:val="00AF083B"/>
    <w:rsid w:val="00B01600"/>
    <w:rsid w:val="00B069FF"/>
    <w:rsid w:val="00B10417"/>
    <w:rsid w:val="00B14C57"/>
    <w:rsid w:val="00B16A23"/>
    <w:rsid w:val="00B206AF"/>
    <w:rsid w:val="00B21976"/>
    <w:rsid w:val="00B220E3"/>
    <w:rsid w:val="00B22448"/>
    <w:rsid w:val="00B34E56"/>
    <w:rsid w:val="00B40FCD"/>
    <w:rsid w:val="00B42F03"/>
    <w:rsid w:val="00B439EC"/>
    <w:rsid w:val="00B515D5"/>
    <w:rsid w:val="00B53C67"/>
    <w:rsid w:val="00B604DC"/>
    <w:rsid w:val="00B612CB"/>
    <w:rsid w:val="00B672DE"/>
    <w:rsid w:val="00B67C5C"/>
    <w:rsid w:val="00B70F5A"/>
    <w:rsid w:val="00B81E96"/>
    <w:rsid w:val="00B90151"/>
    <w:rsid w:val="00B902E8"/>
    <w:rsid w:val="00B9368C"/>
    <w:rsid w:val="00B93D4B"/>
    <w:rsid w:val="00BA0AC6"/>
    <w:rsid w:val="00BA1682"/>
    <w:rsid w:val="00BA189E"/>
    <w:rsid w:val="00BA2865"/>
    <w:rsid w:val="00BA4E80"/>
    <w:rsid w:val="00BA5F10"/>
    <w:rsid w:val="00BA69A8"/>
    <w:rsid w:val="00BB0D6C"/>
    <w:rsid w:val="00BB367E"/>
    <w:rsid w:val="00BB4CF2"/>
    <w:rsid w:val="00BB6EA1"/>
    <w:rsid w:val="00BC0DBE"/>
    <w:rsid w:val="00BC2BB7"/>
    <w:rsid w:val="00BC460D"/>
    <w:rsid w:val="00BC6FB1"/>
    <w:rsid w:val="00BD1DE5"/>
    <w:rsid w:val="00BD68C8"/>
    <w:rsid w:val="00BD73DE"/>
    <w:rsid w:val="00BD7FC4"/>
    <w:rsid w:val="00BE3082"/>
    <w:rsid w:val="00BF2775"/>
    <w:rsid w:val="00BF3623"/>
    <w:rsid w:val="00BF46BE"/>
    <w:rsid w:val="00BF75DF"/>
    <w:rsid w:val="00C0033C"/>
    <w:rsid w:val="00C0042F"/>
    <w:rsid w:val="00C17B9C"/>
    <w:rsid w:val="00C42CDC"/>
    <w:rsid w:val="00C46984"/>
    <w:rsid w:val="00C51835"/>
    <w:rsid w:val="00C63297"/>
    <w:rsid w:val="00C6507E"/>
    <w:rsid w:val="00C713CB"/>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2890"/>
    <w:rsid w:val="00CC4975"/>
    <w:rsid w:val="00CD1E71"/>
    <w:rsid w:val="00CD4C50"/>
    <w:rsid w:val="00CE4054"/>
    <w:rsid w:val="00CE4DD7"/>
    <w:rsid w:val="00CE639E"/>
    <w:rsid w:val="00CE6A2C"/>
    <w:rsid w:val="00CF31DA"/>
    <w:rsid w:val="00CF68D5"/>
    <w:rsid w:val="00D01CE0"/>
    <w:rsid w:val="00D0282D"/>
    <w:rsid w:val="00D03305"/>
    <w:rsid w:val="00D05A79"/>
    <w:rsid w:val="00D10119"/>
    <w:rsid w:val="00D12ADA"/>
    <w:rsid w:val="00D13DCF"/>
    <w:rsid w:val="00D14024"/>
    <w:rsid w:val="00D15819"/>
    <w:rsid w:val="00D15956"/>
    <w:rsid w:val="00D16543"/>
    <w:rsid w:val="00D2112A"/>
    <w:rsid w:val="00D22EBA"/>
    <w:rsid w:val="00D24BA7"/>
    <w:rsid w:val="00D27147"/>
    <w:rsid w:val="00D27916"/>
    <w:rsid w:val="00D360AB"/>
    <w:rsid w:val="00D527BE"/>
    <w:rsid w:val="00D65CD0"/>
    <w:rsid w:val="00D679B8"/>
    <w:rsid w:val="00D71A17"/>
    <w:rsid w:val="00D82F73"/>
    <w:rsid w:val="00D83AC7"/>
    <w:rsid w:val="00D856AB"/>
    <w:rsid w:val="00D87A6D"/>
    <w:rsid w:val="00D90928"/>
    <w:rsid w:val="00D955D3"/>
    <w:rsid w:val="00D9596F"/>
    <w:rsid w:val="00D97ED9"/>
    <w:rsid w:val="00DA03DC"/>
    <w:rsid w:val="00DA653B"/>
    <w:rsid w:val="00DB3462"/>
    <w:rsid w:val="00DC19E0"/>
    <w:rsid w:val="00DC1E8D"/>
    <w:rsid w:val="00DC1FF1"/>
    <w:rsid w:val="00DC2C5F"/>
    <w:rsid w:val="00DC3597"/>
    <w:rsid w:val="00DC4FBD"/>
    <w:rsid w:val="00DC664F"/>
    <w:rsid w:val="00DC7133"/>
    <w:rsid w:val="00DD1C3C"/>
    <w:rsid w:val="00DD59D1"/>
    <w:rsid w:val="00DE10FA"/>
    <w:rsid w:val="00DE7C17"/>
    <w:rsid w:val="00DF49C8"/>
    <w:rsid w:val="00DF7F4F"/>
    <w:rsid w:val="00E03C9F"/>
    <w:rsid w:val="00E1154D"/>
    <w:rsid w:val="00E12553"/>
    <w:rsid w:val="00E1300F"/>
    <w:rsid w:val="00E21E7C"/>
    <w:rsid w:val="00E24378"/>
    <w:rsid w:val="00E33D62"/>
    <w:rsid w:val="00E452B9"/>
    <w:rsid w:val="00E534F2"/>
    <w:rsid w:val="00E56309"/>
    <w:rsid w:val="00E819E6"/>
    <w:rsid w:val="00E84388"/>
    <w:rsid w:val="00E85226"/>
    <w:rsid w:val="00E9109B"/>
    <w:rsid w:val="00E941DB"/>
    <w:rsid w:val="00E97A8E"/>
    <w:rsid w:val="00EA5098"/>
    <w:rsid w:val="00EC06EA"/>
    <w:rsid w:val="00EC3CF6"/>
    <w:rsid w:val="00EC4198"/>
    <w:rsid w:val="00EC4F07"/>
    <w:rsid w:val="00EC64AE"/>
    <w:rsid w:val="00ED5DB7"/>
    <w:rsid w:val="00EE4AF1"/>
    <w:rsid w:val="00EE4E55"/>
    <w:rsid w:val="00EE4F94"/>
    <w:rsid w:val="00EE569E"/>
    <w:rsid w:val="00EF5EBE"/>
    <w:rsid w:val="00F01787"/>
    <w:rsid w:val="00F02997"/>
    <w:rsid w:val="00F04EEF"/>
    <w:rsid w:val="00F07C51"/>
    <w:rsid w:val="00F12EE4"/>
    <w:rsid w:val="00F135D9"/>
    <w:rsid w:val="00F151CA"/>
    <w:rsid w:val="00F160C8"/>
    <w:rsid w:val="00F16F70"/>
    <w:rsid w:val="00F17065"/>
    <w:rsid w:val="00F27E67"/>
    <w:rsid w:val="00F336A4"/>
    <w:rsid w:val="00F34532"/>
    <w:rsid w:val="00F351E9"/>
    <w:rsid w:val="00F35912"/>
    <w:rsid w:val="00F37466"/>
    <w:rsid w:val="00F44BED"/>
    <w:rsid w:val="00F451E5"/>
    <w:rsid w:val="00F4765D"/>
    <w:rsid w:val="00F53C8A"/>
    <w:rsid w:val="00F6559E"/>
    <w:rsid w:val="00F72B30"/>
    <w:rsid w:val="00F80629"/>
    <w:rsid w:val="00F82313"/>
    <w:rsid w:val="00F82B21"/>
    <w:rsid w:val="00F85DDC"/>
    <w:rsid w:val="00F90217"/>
    <w:rsid w:val="00F9290B"/>
    <w:rsid w:val="00F92D31"/>
    <w:rsid w:val="00F93F2B"/>
    <w:rsid w:val="00F94265"/>
    <w:rsid w:val="00FA0D02"/>
    <w:rsid w:val="00FB2BD7"/>
    <w:rsid w:val="00FB5B4B"/>
    <w:rsid w:val="00FB7BE9"/>
    <w:rsid w:val="00FB7D6C"/>
    <w:rsid w:val="00FC15AB"/>
    <w:rsid w:val="00FC2522"/>
    <w:rsid w:val="00FC3DBB"/>
    <w:rsid w:val="00FD3ECD"/>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48091-C43A-49FF-8EB9-E6B0F9AE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E"/>
    <w:pPr>
      <w:ind w:left="720"/>
      <w:contextualSpacing/>
    </w:pPr>
  </w:style>
  <w:style w:type="table" w:styleId="TableGrid">
    <w:name w:val="Table Grid"/>
    <w:basedOn w:val="TableNormal"/>
    <w:uiPriority w:val="39"/>
    <w:rsid w:val="004D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608</Words>
  <Characters>3133</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Medellena Glymour</cp:lastModifiedBy>
  <cp:revision>7</cp:revision>
  <cp:lastPrinted>2015-05-29T20:13:00Z</cp:lastPrinted>
  <dcterms:created xsi:type="dcterms:W3CDTF">2015-05-29T17:24:00Z</dcterms:created>
  <dcterms:modified xsi:type="dcterms:W3CDTF">2015-05-30T00:42:00Z</dcterms:modified>
</cp:coreProperties>
</file>