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55" w:rsidRDefault="002B0847" w:rsidP="007944D1">
      <w:pPr>
        <w:pStyle w:val="HTMLPreformatted"/>
        <w:jc w:val="center"/>
        <w:rPr>
          <w:rFonts w:ascii="Arial" w:hAnsi="Arial" w:cs="Arial"/>
          <w:b/>
          <w:color w:val="000000"/>
          <w:sz w:val="22"/>
        </w:rPr>
      </w:pPr>
      <w:proofErr w:type="spellStart"/>
      <w:r>
        <w:rPr>
          <w:rFonts w:ascii="Arial" w:hAnsi="Arial" w:cs="Arial"/>
          <w:b/>
          <w:color w:val="000000"/>
          <w:sz w:val="22"/>
        </w:rPr>
        <w:t>Epi</w:t>
      </w:r>
      <w:proofErr w:type="spellEnd"/>
      <w:r>
        <w:rPr>
          <w:rFonts w:ascii="Arial" w:hAnsi="Arial" w:cs="Arial"/>
          <w:b/>
          <w:color w:val="000000"/>
          <w:sz w:val="22"/>
        </w:rPr>
        <w:t xml:space="preserve"> 204 </w:t>
      </w:r>
      <w:r w:rsidR="00D57B55">
        <w:rPr>
          <w:rFonts w:ascii="Arial" w:hAnsi="Arial" w:cs="Arial"/>
          <w:b/>
          <w:color w:val="000000"/>
          <w:sz w:val="22"/>
        </w:rPr>
        <w:t>Chapter 2</w:t>
      </w:r>
      <w:r>
        <w:rPr>
          <w:rFonts w:ascii="Arial" w:hAnsi="Arial" w:cs="Arial"/>
          <w:b/>
          <w:color w:val="000000"/>
          <w:sz w:val="22"/>
        </w:rPr>
        <w:t xml:space="preserve"> Problem Set</w:t>
      </w:r>
    </w:p>
    <w:p w:rsidR="007944D1" w:rsidRDefault="007944D1" w:rsidP="007944D1">
      <w:pPr>
        <w:pStyle w:val="HTMLPreformatted"/>
        <w:jc w:val="center"/>
        <w:rPr>
          <w:rFonts w:ascii="Arial" w:hAnsi="Arial" w:cs="Arial"/>
          <w:b/>
          <w:color w:val="000000"/>
          <w:sz w:val="22"/>
        </w:rPr>
      </w:pPr>
      <w:r>
        <w:rPr>
          <w:rFonts w:ascii="Arial" w:hAnsi="Arial" w:cs="Arial"/>
          <w:b/>
          <w:color w:val="000000"/>
          <w:sz w:val="22"/>
        </w:rPr>
        <w:t>Reliability</w:t>
      </w:r>
    </w:p>
    <w:p w:rsidR="00CD43C7" w:rsidRDefault="00D87FE0" w:rsidP="00CD43C7">
      <w:pPr>
        <w:pStyle w:val="HTMLPreformatted"/>
        <w:jc w:val="center"/>
        <w:rPr>
          <w:rFonts w:ascii="Arial" w:hAnsi="Arial" w:cs="Arial"/>
          <w:b/>
          <w:color w:val="000000"/>
          <w:sz w:val="22"/>
        </w:rPr>
      </w:pPr>
      <w:r>
        <w:rPr>
          <w:rFonts w:ascii="Arial" w:hAnsi="Arial" w:cs="Arial"/>
          <w:b/>
          <w:color w:val="000000"/>
          <w:sz w:val="22"/>
        </w:rPr>
        <w:t>Due 1 pm 9/24</w:t>
      </w:r>
      <w:r w:rsidR="00CD43C7">
        <w:rPr>
          <w:rFonts w:ascii="Arial" w:hAnsi="Arial" w:cs="Arial"/>
          <w:b/>
          <w:color w:val="000000"/>
          <w:sz w:val="22"/>
        </w:rPr>
        <w:t>/2015</w:t>
      </w:r>
    </w:p>
    <w:p w:rsidR="007944D1" w:rsidRDefault="007944D1" w:rsidP="007944D1">
      <w:pPr>
        <w:pStyle w:val="HTMLPreformatted"/>
        <w:jc w:val="center"/>
        <w:rPr>
          <w:rFonts w:ascii="Arial" w:hAnsi="Arial" w:cs="Arial"/>
          <w:b/>
          <w:color w:val="000000"/>
          <w:sz w:val="22"/>
        </w:rPr>
      </w:pPr>
    </w:p>
    <w:p w:rsidR="007944D1" w:rsidRDefault="00D87FE0" w:rsidP="00CD43C7">
      <w:pPr>
        <w:tabs>
          <w:tab w:val="center" w:pos="4680"/>
        </w:tabs>
        <w:suppressAutoHyphens/>
        <w:outlineLvl w:val="0"/>
      </w:pPr>
      <w:r>
        <w:t>Do Problems</w:t>
      </w:r>
      <w:r w:rsidR="008902F3">
        <w:t xml:space="preserve"> 2-4 from Chapter 2 of </w:t>
      </w:r>
      <w:r w:rsidR="0062347F">
        <w:t>“</w:t>
      </w:r>
      <w:r w:rsidR="008902F3">
        <w:t>Evidence-Based Diagnosis</w:t>
      </w:r>
      <w:r w:rsidR="0062347F">
        <w:t>”</w:t>
      </w:r>
    </w:p>
    <w:p w:rsidR="008902F3" w:rsidRPr="0013040B" w:rsidRDefault="00D87FE0" w:rsidP="00CD43C7">
      <w:pPr>
        <w:tabs>
          <w:tab w:val="center" w:pos="4680"/>
        </w:tabs>
        <w:suppressAutoHyphens/>
        <w:outlineLvl w:val="0"/>
      </w:pPr>
      <w:r>
        <w:t>Do Extra Problems 2-8,</w:t>
      </w:r>
      <w:r w:rsidR="008902F3">
        <w:t xml:space="preserve"> 2-12</w:t>
      </w:r>
      <w:r>
        <w:t>, and 2-13</w:t>
      </w:r>
      <w:r w:rsidR="008902F3">
        <w:t xml:space="preserve"> below.</w:t>
      </w:r>
    </w:p>
    <w:p w:rsidR="007944D1" w:rsidRDefault="007944D1" w:rsidP="007944D1">
      <w:pPr>
        <w:tabs>
          <w:tab w:val="left" w:pos="-720"/>
        </w:tabs>
        <w:suppressAutoHyphens/>
      </w:pPr>
    </w:p>
    <w:p w:rsidR="007944D1" w:rsidRPr="00F03D4E" w:rsidRDefault="007944D1" w:rsidP="007944D1">
      <w:pPr>
        <w:pStyle w:val="BodyText2"/>
        <w:tabs>
          <w:tab w:val="left" w:pos="-720"/>
        </w:tabs>
        <w:suppressAutoHyphens/>
        <w:rPr>
          <w:rFonts w:ascii="Times New Roman" w:hAnsi="Times New Roman"/>
          <w:b/>
          <w:szCs w:val="24"/>
        </w:rPr>
      </w:pPr>
      <w:r>
        <w:rPr>
          <w:rFonts w:ascii="Times New Roman" w:hAnsi="Times New Roman"/>
          <w:b/>
          <w:szCs w:val="24"/>
        </w:rPr>
        <w:t>2-8</w:t>
      </w:r>
      <w:proofErr w:type="gramStart"/>
      <w:r w:rsidRPr="00F03D4E">
        <w:rPr>
          <w:rFonts w:ascii="Times New Roman" w:hAnsi="Times New Roman"/>
          <w:szCs w:val="24"/>
        </w:rPr>
        <w:t xml:space="preserve">.  </w:t>
      </w:r>
      <w:r w:rsidRPr="00F03D4E">
        <w:rPr>
          <w:rFonts w:ascii="Times New Roman" w:hAnsi="Times New Roman"/>
          <w:b/>
          <w:szCs w:val="24"/>
        </w:rPr>
        <w:t>Agreement</w:t>
      </w:r>
      <w:proofErr w:type="gramEnd"/>
      <w:r w:rsidRPr="00F03D4E">
        <w:rPr>
          <w:rFonts w:ascii="Times New Roman" w:hAnsi="Times New Roman"/>
          <w:b/>
          <w:szCs w:val="24"/>
        </w:rPr>
        <w:t xml:space="preserve"> on </w:t>
      </w:r>
      <w:proofErr w:type="spellStart"/>
      <w:r w:rsidRPr="00F03D4E">
        <w:rPr>
          <w:rFonts w:ascii="Times New Roman" w:hAnsi="Times New Roman"/>
          <w:b/>
          <w:szCs w:val="24"/>
        </w:rPr>
        <w:t>Culposcopic</w:t>
      </w:r>
      <w:proofErr w:type="spellEnd"/>
      <w:r w:rsidRPr="00F03D4E">
        <w:rPr>
          <w:rFonts w:ascii="Times New Roman" w:hAnsi="Times New Roman"/>
          <w:b/>
          <w:szCs w:val="24"/>
        </w:rPr>
        <w:t xml:space="preserve"> </w:t>
      </w:r>
      <w:proofErr w:type="spellStart"/>
      <w:r w:rsidRPr="00F03D4E">
        <w:rPr>
          <w:rFonts w:ascii="Times New Roman" w:hAnsi="Times New Roman"/>
          <w:b/>
          <w:szCs w:val="24"/>
        </w:rPr>
        <w:t>Photograghs</w:t>
      </w:r>
      <w:proofErr w:type="spellEnd"/>
      <w:r>
        <w:rPr>
          <w:rFonts w:ascii="Times New Roman" w:hAnsi="Times New Roman"/>
          <w:b/>
          <w:szCs w:val="24"/>
        </w:rPr>
        <w:t xml:space="preserve"> for Child Sexual Abuse</w:t>
      </w:r>
    </w:p>
    <w:p w:rsidR="007944D1" w:rsidRPr="00F03D4E" w:rsidRDefault="007944D1" w:rsidP="007944D1">
      <w:pPr>
        <w:pStyle w:val="BodyText2"/>
        <w:tabs>
          <w:tab w:val="left" w:pos="-720"/>
        </w:tabs>
        <w:suppressAutoHyphens/>
        <w:rPr>
          <w:rFonts w:ascii="Times New Roman" w:hAnsi="Times New Roman"/>
          <w:szCs w:val="24"/>
        </w:rPr>
      </w:pPr>
      <w:r w:rsidRPr="00F03D4E">
        <w:rPr>
          <w:rFonts w:ascii="Times New Roman" w:hAnsi="Times New Roman"/>
          <w:szCs w:val="24"/>
        </w:rPr>
        <w:t xml:space="preserve">Problem #4 in Chapter 2 reports on the inter-rater reliability of experienced clinicians reviewing </w:t>
      </w:r>
      <w:proofErr w:type="spellStart"/>
      <w:r w:rsidRPr="00F03D4E">
        <w:rPr>
          <w:rFonts w:ascii="Times New Roman" w:hAnsi="Times New Roman"/>
          <w:szCs w:val="24"/>
        </w:rPr>
        <w:t>culposcopic</w:t>
      </w:r>
      <w:proofErr w:type="spellEnd"/>
      <w:r w:rsidRPr="00F03D4E">
        <w:rPr>
          <w:rFonts w:ascii="Times New Roman" w:hAnsi="Times New Roman"/>
          <w:szCs w:val="24"/>
        </w:rPr>
        <w:t xml:space="preserve"> photographs for child sexual abuse on a 5 point scale with (1=normal; 2=nonspecific findings;3=suspicious for abuse; 4=suggestive of penetration; 5=clear evidence of penetrating injury).  Simulated data from this study are reproduced below (pretending there were just 2 observers):</w:t>
      </w:r>
    </w:p>
    <w:p w:rsidR="007944D1" w:rsidRPr="00F03D4E" w:rsidRDefault="007944D1" w:rsidP="007944D1">
      <w:pPr>
        <w:tabs>
          <w:tab w:val="left" w:pos="-720"/>
        </w:tabs>
        <w:suppressAutoHyphens/>
      </w:pPr>
    </w:p>
    <w:tbl>
      <w:tblPr>
        <w:tblW w:w="6880" w:type="dxa"/>
        <w:tblInd w:w="98" w:type="dxa"/>
        <w:tblLayout w:type="fixed"/>
        <w:tblLook w:val="0000"/>
      </w:tblPr>
      <w:tblGrid>
        <w:gridCol w:w="960"/>
        <w:gridCol w:w="1120"/>
        <w:gridCol w:w="960"/>
        <w:gridCol w:w="960"/>
        <w:gridCol w:w="960"/>
        <w:gridCol w:w="960"/>
        <w:gridCol w:w="960"/>
      </w:tblGrid>
      <w:tr w:rsidR="007944D1" w:rsidRPr="00F03D4E">
        <w:trPr>
          <w:trHeight w:val="315"/>
        </w:trPr>
        <w:tc>
          <w:tcPr>
            <w:tcW w:w="960" w:type="dxa"/>
            <w:tcBorders>
              <w:top w:val="single" w:sz="8" w:space="0" w:color="auto"/>
              <w:left w:val="single" w:sz="8" w:space="0" w:color="auto"/>
              <w:bottom w:val="single" w:sz="8" w:space="0" w:color="auto"/>
              <w:right w:val="nil"/>
            </w:tcBorders>
            <w:shd w:val="clear" w:color="auto" w:fill="auto"/>
          </w:tcPr>
          <w:p w:rsidR="007944D1" w:rsidRPr="00F03D4E" w:rsidRDefault="007944D1" w:rsidP="007944D1">
            <w:pPr>
              <w:rPr>
                <w:b/>
                <w:bCs/>
                <w:color w:val="000000"/>
              </w:rPr>
            </w:pPr>
            <w:r w:rsidRPr="00F03D4E">
              <w:rPr>
                <w:b/>
                <w:bCs/>
                <w:color w:val="000000"/>
              </w:rPr>
              <w:t> </w:t>
            </w:r>
          </w:p>
        </w:tc>
        <w:tc>
          <w:tcPr>
            <w:tcW w:w="1120" w:type="dxa"/>
            <w:tcBorders>
              <w:top w:val="single" w:sz="8" w:space="0" w:color="auto"/>
              <w:left w:val="nil"/>
              <w:bottom w:val="single" w:sz="8" w:space="0" w:color="auto"/>
              <w:right w:val="nil"/>
            </w:tcBorders>
            <w:shd w:val="clear" w:color="auto" w:fill="auto"/>
          </w:tcPr>
          <w:p w:rsidR="007944D1" w:rsidRPr="00F03D4E" w:rsidRDefault="007944D1" w:rsidP="007944D1">
            <w:pPr>
              <w:jc w:val="center"/>
              <w:rPr>
                <w:b/>
                <w:bCs/>
                <w:color w:val="000000"/>
              </w:rPr>
            </w:pPr>
            <w:r w:rsidRPr="00F03D4E">
              <w:rPr>
                <w:b/>
                <w:bCs/>
                <w:color w:val="000000"/>
              </w:rPr>
              <w:t> </w:t>
            </w:r>
          </w:p>
        </w:tc>
        <w:tc>
          <w:tcPr>
            <w:tcW w:w="960" w:type="dxa"/>
            <w:tcBorders>
              <w:top w:val="single" w:sz="8" w:space="0" w:color="auto"/>
              <w:left w:val="nil"/>
              <w:bottom w:val="single" w:sz="8" w:space="0" w:color="auto"/>
              <w:right w:val="nil"/>
            </w:tcBorders>
            <w:shd w:val="clear" w:color="auto" w:fill="auto"/>
          </w:tcPr>
          <w:p w:rsidR="007944D1" w:rsidRPr="00F03D4E" w:rsidRDefault="007944D1" w:rsidP="007944D1">
            <w:pPr>
              <w:jc w:val="center"/>
              <w:rPr>
                <w:b/>
                <w:bCs/>
                <w:color w:val="000000"/>
              </w:rPr>
            </w:pPr>
            <w:r w:rsidRPr="00F03D4E">
              <w:rPr>
                <w:b/>
                <w:bCs/>
                <w:color w:val="000000"/>
              </w:rPr>
              <w:t> </w:t>
            </w:r>
          </w:p>
        </w:tc>
        <w:tc>
          <w:tcPr>
            <w:tcW w:w="960" w:type="dxa"/>
            <w:tcBorders>
              <w:top w:val="single" w:sz="8" w:space="0" w:color="auto"/>
              <w:left w:val="nil"/>
              <w:bottom w:val="single" w:sz="8" w:space="0" w:color="auto"/>
              <w:right w:val="nil"/>
            </w:tcBorders>
            <w:shd w:val="clear" w:color="auto" w:fill="auto"/>
          </w:tcPr>
          <w:p w:rsidR="007944D1" w:rsidRPr="00F03D4E" w:rsidRDefault="007944D1" w:rsidP="007944D1">
            <w:pPr>
              <w:rPr>
                <w:b/>
                <w:bCs/>
                <w:color w:val="000000"/>
              </w:rPr>
            </w:pPr>
            <w:r w:rsidRPr="00F03D4E">
              <w:rPr>
                <w:b/>
                <w:bCs/>
                <w:color w:val="000000"/>
              </w:rPr>
              <w:t>Obs#2</w:t>
            </w:r>
          </w:p>
        </w:tc>
        <w:tc>
          <w:tcPr>
            <w:tcW w:w="960" w:type="dxa"/>
            <w:tcBorders>
              <w:top w:val="single" w:sz="8" w:space="0" w:color="auto"/>
              <w:left w:val="nil"/>
              <w:bottom w:val="single" w:sz="8" w:space="0" w:color="auto"/>
              <w:right w:val="nil"/>
            </w:tcBorders>
            <w:shd w:val="clear" w:color="auto" w:fill="auto"/>
          </w:tcPr>
          <w:p w:rsidR="007944D1" w:rsidRPr="00F03D4E" w:rsidRDefault="007944D1" w:rsidP="007944D1">
            <w:pPr>
              <w:jc w:val="center"/>
              <w:rPr>
                <w:b/>
                <w:bCs/>
                <w:color w:val="000000"/>
              </w:rPr>
            </w:pPr>
            <w:r w:rsidRPr="00F03D4E">
              <w:rPr>
                <w:b/>
                <w:bCs/>
                <w:color w:val="000000"/>
              </w:rPr>
              <w:t> </w:t>
            </w:r>
          </w:p>
        </w:tc>
        <w:tc>
          <w:tcPr>
            <w:tcW w:w="960" w:type="dxa"/>
            <w:tcBorders>
              <w:top w:val="single" w:sz="8" w:space="0" w:color="auto"/>
              <w:left w:val="nil"/>
              <w:bottom w:val="single" w:sz="8" w:space="0" w:color="auto"/>
              <w:right w:val="nil"/>
            </w:tcBorders>
            <w:shd w:val="clear" w:color="auto" w:fill="auto"/>
          </w:tcPr>
          <w:p w:rsidR="007944D1" w:rsidRPr="00F03D4E" w:rsidRDefault="007944D1" w:rsidP="007944D1">
            <w:pPr>
              <w:jc w:val="center"/>
              <w:rPr>
                <w:b/>
                <w:bCs/>
                <w:color w:val="000000"/>
              </w:rPr>
            </w:pPr>
            <w:r w:rsidRPr="00F03D4E">
              <w:rPr>
                <w:b/>
                <w:bCs/>
                <w:color w:val="000000"/>
              </w:rPr>
              <w:t> </w:t>
            </w:r>
          </w:p>
        </w:tc>
        <w:tc>
          <w:tcPr>
            <w:tcW w:w="960" w:type="dxa"/>
            <w:tcBorders>
              <w:top w:val="single" w:sz="8" w:space="0" w:color="auto"/>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 </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proofErr w:type="spellStart"/>
            <w:r w:rsidRPr="00F03D4E">
              <w:rPr>
                <w:b/>
                <w:bCs/>
                <w:color w:val="000000"/>
              </w:rPr>
              <w:t>Obs</w:t>
            </w:r>
            <w:proofErr w:type="spellEnd"/>
            <w:r w:rsidRPr="00F03D4E">
              <w:rPr>
                <w:b/>
                <w:bCs/>
                <w:color w:val="000000"/>
              </w:rPr>
              <w:t xml:space="preserve"> #1</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3</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5</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Total</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12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0</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1</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0</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17</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2</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8</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6</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1</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23</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3</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6</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20</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4</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0</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1</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5</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10</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5</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0</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0</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1</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color w:val="000000"/>
              </w:rPr>
            </w:pPr>
            <w:r w:rsidRPr="00F03D4E">
              <w:rPr>
                <w:color w:val="000000"/>
              </w:rPr>
              <w:t>2</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7</w:t>
            </w:r>
          </w:p>
        </w:tc>
      </w:tr>
      <w:tr w:rsidR="007944D1" w:rsidRPr="00F03D4E">
        <w:trPr>
          <w:trHeight w:val="315"/>
        </w:trPr>
        <w:tc>
          <w:tcPr>
            <w:tcW w:w="960" w:type="dxa"/>
            <w:tcBorders>
              <w:top w:val="nil"/>
              <w:left w:val="single" w:sz="8" w:space="0" w:color="auto"/>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Total</w:t>
            </w:r>
          </w:p>
        </w:tc>
        <w:tc>
          <w:tcPr>
            <w:tcW w:w="112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24</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15</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13</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18</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7</w:t>
            </w:r>
          </w:p>
        </w:tc>
        <w:tc>
          <w:tcPr>
            <w:tcW w:w="960" w:type="dxa"/>
            <w:tcBorders>
              <w:top w:val="nil"/>
              <w:left w:val="nil"/>
              <w:bottom w:val="single" w:sz="8" w:space="0" w:color="auto"/>
              <w:right w:val="single" w:sz="8" w:space="0" w:color="auto"/>
            </w:tcBorders>
            <w:shd w:val="clear" w:color="auto" w:fill="auto"/>
          </w:tcPr>
          <w:p w:rsidR="007944D1" w:rsidRPr="00F03D4E" w:rsidRDefault="007944D1" w:rsidP="007944D1">
            <w:pPr>
              <w:jc w:val="center"/>
              <w:rPr>
                <w:b/>
                <w:bCs/>
                <w:color w:val="000000"/>
              </w:rPr>
            </w:pPr>
            <w:r w:rsidRPr="00F03D4E">
              <w:rPr>
                <w:b/>
                <w:bCs/>
                <w:color w:val="000000"/>
              </w:rPr>
              <w:t>77</w:t>
            </w:r>
          </w:p>
        </w:tc>
      </w:tr>
    </w:tbl>
    <w:p w:rsidR="007944D1" w:rsidRPr="00F03D4E" w:rsidRDefault="007944D1" w:rsidP="007944D1">
      <w:pPr>
        <w:tabs>
          <w:tab w:val="left" w:pos="-720"/>
        </w:tabs>
        <w:suppressAutoHyphens/>
      </w:pPr>
    </w:p>
    <w:p w:rsidR="007944D1" w:rsidRDefault="008902F3" w:rsidP="008902F3">
      <w:pPr>
        <w:tabs>
          <w:tab w:val="left" w:pos="-720"/>
        </w:tabs>
        <w:suppressAutoHyphens/>
      </w:pPr>
      <w:proofErr w:type="gramStart"/>
      <w:r>
        <w:t xml:space="preserve">a.  </w:t>
      </w:r>
      <w:r w:rsidR="007944D1" w:rsidRPr="00F03D4E">
        <w:t>What</w:t>
      </w:r>
      <w:proofErr w:type="gramEnd"/>
      <w:r w:rsidR="007944D1" w:rsidRPr="00F03D4E">
        <w:t xml:space="preserve"> </w:t>
      </w:r>
      <w:r>
        <w:t>is the observed % agreement?</w:t>
      </w:r>
    </w:p>
    <w:p w:rsidR="008902F3" w:rsidRPr="00F03D4E" w:rsidRDefault="008902F3" w:rsidP="008902F3">
      <w:pPr>
        <w:tabs>
          <w:tab w:val="left" w:pos="-720"/>
        </w:tabs>
        <w:suppressAutoHyphens/>
      </w:pPr>
    </w:p>
    <w:p w:rsidR="007944D1" w:rsidRPr="00F03D4E" w:rsidRDefault="007944D1" w:rsidP="007944D1">
      <w:pPr>
        <w:tabs>
          <w:tab w:val="left" w:pos="-720"/>
        </w:tabs>
        <w:suppressAutoHyphens/>
      </w:pPr>
    </w:p>
    <w:p w:rsidR="007944D1" w:rsidRPr="00F03D4E" w:rsidRDefault="007944D1" w:rsidP="007944D1">
      <w:pPr>
        <w:tabs>
          <w:tab w:val="left" w:pos="-720"/>
        </w:tabs>
        <w:suppressAutoHyphens/>
      </w:pPr>
      <w:proofErr w:type="gramStart"/>
      <w:r w:rsidRPr="00F03D4E">
        <w:t>b.  What</w:t>
      </w:r>
      <w:proofErr w:type="gramEnd"/>
      <w:r w:rsidRPr="00F03D4E">
        <w:t xml:space="preserve"> % agreement would be expected based on the </w:t>
      </w:r>
      <w:r w:rsidR="008902F3">
        <w:t>marginals? (Show your work.)</w:t>
      </w:r>
    </w:p>
    <w:p w:rsidR="007944D1" w:rsidRDefault="007944D1" w:rsidP="007944D1">
      <w:pPr>
        <w:tabs>
          <w:tab w:val="left" w:pos="-720"/>
        </w:tabs>
        <w:suppressAutoHyphens/>
        <w:rPr>
          <w:b/>
        </w:rPr>
      </w:pPr>
    </w:p>
    <w:p w:rsidR="009D5258" w:rsidRDefault="009D5258" w:rsidP="007944D1">
      <w:pPr>
        <w:tabs>
          <w:tab w:val="left" w:pos="-720"/>
        </w:tabs>
        <w:suppressAutoHyphens/>
        <w:rPr>
          <w:b/>
        </w:rPr>
      </w:pPr>
    </w:p>
    <w:p w:rsidR="009D5258" w:rsidRDefault="009D5258" w:rsidP="007944D1">
      <w:pPr>
        <w:tabs>
          <w:tab w:val="left" w:pos="-720"/>
        </w:tabs>
        <w:suppressAutoHyphens/>
        <w:rPr>
          <w:b/>
        </w:rPr>
      </w:pPr>
    </w:p>
    <w:p w:rsidR="009D5258" w:rsidRDefault="009D5258" w:rsidP="007944D1">
      <w:pPr>
        <w:tabs>
          <w:tab w:val="left" w:pos="-720"/>
        </w:tabs>
        <w:suppressAutoHyphens/>
        <w:rPr>
          <w:b/>
        </w:rPr>
      </w:pPr>
    </w:p>
    <w:p w:rsidR="009D5258" w:rsidRDefault="009D5258" w:rsidP="007944D1">
      <w:pPr>
        <w:tabs>
          <w:tab w:val="left" w:pos="-720"/>
        </w:tabs>
        <w:suppressAutoHyphens/>
        <w:rPr>
          <w:b/>
        </w:rPr>
      </w:pPr>
    </w:p>
    <w:p w:rsidR="009D5258" w:rsidRPr="00F03D4E" w:rsidRDefault="009D5258" w:rsidP="007944D1">
      <w:pPr>
        <w:tabs>
          <w:tab w:val="left" w:pos="-720"/>
        </w:tabs>
        <w:suppressAutoHyphens/>
        <w:rPr>
          <w:b/>
        </w:rPr>
      </w:pPr>
    </w:p>
    <w:p w:rsidR="007944D1" w:rsidRPr="00F03D4E" w:rsidRDefault="007944D1" w:rsidP="007944D1">
      <w:pPr>
        <w:tabs>
          <w:tab w:val="left" w:pos="-720"/>
        </w:tabs>
        <w:suppressAutoHyphens/>
      </w:pPr>
    </w:p>
    <w:p w:rsidR="007944D1" w:rsidRPr="00F03D4E" w:rsidRDefault="007944D1" w:rsidP="007944D1">
      <w:pPr>
        <w:tabs>
          <w:tab w:val="left" w:pos="-720"/>
        </w:tabs>
        <w:suppressAutoHyphens/>
      </w:pPr>
      <w:r w:rsidRPr="00F03D4E">
        <w:t>c.</w:t>
      </w:r>
      <w:r w:rsidR="008902F3">
        <w:t xml:space="preserve"> What is (</w:t>
      </w:r>
      <w:proofErr w:type="spellStart"/>
      <w:r w:rsidR="008902F3">
        <w:t>unweighted</w:t>
      </w:r>
      <w:proofErr w:type="spellEnd"/>
      <w:r w:rsidR="008902F3">
        <w:t>) Kappa?</w:t>
      </w:r>
    </w:p>
    <w:p w:rsidR="007944D1" w:rsidRPr="00F03D4E" w:rsidRDefault="007944D1" w:rsidP="007944D1">
      <w:pPr>
        <w:tabs>
          <w:tab w:val="left" w:pos="-720"/>
        </w:tabs>
        <w:suppressAutoHyphens/>
        <w:rPr>
          <w:b/>
          <w:i/>
        </w:rPr>
      </w:pPr>
    </w:p>
    <w:p w:rsidR="007944D1" w:rsidRDefault="007944D1" w:rsidP="007944D1">
      <w:pPr>
        <w:tabs>
          <w:tab w:val="left" w:pos="-720"/>
        </w:tabs>
        <w:suppressAutoHyphens/>
        <w:rPr>
          <w:b/>
          <w:i/>
        </w:rPr>
      </w:pPr>
    </w:p>
    <w:p w:rsidR="009D5258" w:rsidRPr="00F03D4E" w:rsidRDefault="009D5258" w:rsidP="007944D1">
      <w:pPr>
        <w:tabs>
          <w:tab w:val="left" w:pos="-720"/>
        </w:tabs>
        <w:suppressAutoHyphens/>
        <w:rPr>
          <w:b/>
          <w:i/>
        </w:rPr>
      </w:pPr>
    </w:p>
    <w:p w:rsidR="007944D1" w:rsidRPr="00F03D4E" w:rsidRDefault="007944D1" w:rsidP="007944D1">
      <w:pPr>
        <w:tabs>
          <w:tab w:val="left" w:pos="-720"/>
        </w:tabs>
        <w:suppressAutoHyphens/>
      </w:pPr>
      <w:proofErr w:type="gramStart"/>
      <w:r w:rsidRPr="00F03D4E">
        <w:t>d.  In</w:t>
      </w:r>
      <w:proofErr w:type="gramEnd"/>
      <w:r w:rsidRPr="00F03D4E">
        <w:t xml:space="preserve"> the published study, the authors used quadratic weights.  Looking at the definitions above, do you think that was reasonable?  Propose an alternative weighting scheme, and justify it.</w:t>
      </w:r>
    </w:p>
    <w:p w:rsidR="007944D1" w:rsidRPr="00F03D4E" w:rsidRDefault="007944D1" w:rsidP="007944D1">
      <w:pPr>
        <w:tabs>
          <w:tab w:val="left" w:pos="-720"/>
        </w:tabs>
        <w:suppressAutoHyphens/>
        <w:rPr>
          <w:b/>
        </w:rPr>
      </w:pPr>
    </w:p>
    <w:p w:rsidR="007944D1" w:rsidRDefault="007944D1" w:rsidP="007944D1"/>
    <w:p w:rsidR="007944D1" w:rsidRDefault="007944D1" w:rsidP="009D5258">
      <w:r>
        <w:br w:type="page"/>
      </w:r>
    </w:p>
    <w:p w:rsidR="00D57B55" w:rsidRDefault="009D5258" w:rsidP="00D57B55">
      <w:r>
        <w:t>2-12</w:t>
      </w:r>
      <w:proofErr w:type="gramStart"/>
      <w:r w:rsidR="00D57B55">
        <w:t>.  Adapted</w:t>
      </w:r>
      <w:proofErr w:type="gramEnd"/>
      <w:r w:rsidR="00D57B55">
        <w:t xml:space="preserve"> from a question called “Everybody Poops” by Jacob Robson. </w:t>
      </w:r>
    </w:p>
    <w:p w:rsidR="00D57B55" w:rsidRDefault="00D57B55" w:rsidP="00D57B55">
      <w:r>
        <w:t>When it is bad, ulcerative colitis causes frequent, bloody stools and abdominal pain. However, due to modesty (and general disgust with talking about poop), patients have trouble quantifying their symptoms sufficiently to help their clinicians to make treatment decisions. Therefore, Turner et al (in 2007) created a Pediatric Ulcerative Colitis Activity Index (</w:t>
      </w:r>
      <w:proofErr w:type="gramStart"/>
      <w:r>
        <w:t>PUCAI )</w:t>
      </w:r>
      <w:proofErr w:type="gramEnd"/>
      <w:r>
        <w:t xml:space="preserve"> with specific questions about symptoms.  However, it’s time consuming for physicians to go through the PUCAI with patients/parents. Wouldn’t it be great if the patients could reliably report the PUCAI directly to their doctors?  (Former UCSF pediatric resident) Jennifer </w:t>
      </w:r>
      <w:proofErr w:type="spellStart"/>
      <w:r>
        <w:t>Lightdale</w:t>
      </w:r>
      <w:proofErr w:type="spellEnd"/>
      <w:r>
        <w:t xml:space="preserve"> et al looked at this very question in 2011, dividing the PUCAI scores into 3 disease activity groups.  Results are shown in Table 2 below.</w:t>
      </w:r>
    </w:p>
    <w:p w:rsidR="00D57B55" w:rsidRDefault="00D57B55" w:rsidP="00D57B55"/>
    <w:p w:rsidR="00D57B55" w:rsidRDefault="00D57B55" w:rsidP="00D57B55"/>
    <w:p w:rsidR="00D57B55" w:rsidRDefault="00D57B55" w:rsidP="00D57B55">
      <w:r w:rsidRPr="00BA61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96.5pt;height:139.5pt;visibility:visible">
            <v:imagedata r:id="rId5" o:title=""/>
          </v:shape>
        </w:pict>
      </w:r>
    </w:p>
    <w:p w:rsidR="00D57B55" w:rsidRDefault="00D57B55" w:rsidP="00D57B55"/>
    <w:p w:rsidR="00D57B55" w:rsidRDefault="00D57B55" w:rsidP="00D57B55">
      <w:r>
        <w:t>a.)  What was the observed percent complete agreement in this study?</w:t>
      </w:r>
    </w:p>
    <w:p w:rsidR="00D57B55" w:rsidRDefault="00D57B55" w:rsidP="00D57B55"/>
    <w:p w:rsidR="00D57B55" w:rsidRPr="00464DCC" w:rsidRDefault="00D57B55" w:rsidP="00D57B55">
      <w:pPr>
        <w:rPr>
          <w:b/>
        </w:rPr>
      </w:pPr>
    </w:p>
    <w:p w:rsidR="00D57B55" w:rsidRDefault="00D57B55" w:rsidP="0062347F">
      <w:pPr>
        <w:numPr>
          <w:ilvl w:val="0"/>
          <w:numId w:val="10"/>
        </w:numPr>
        <w:ind w:left="360"/>
      </w:pPr>
      <w:r>
        <w:t xml:space="preserve">What percent complete agreement would be expected from the marginals? </w:t>
      </w:r>
    </w:p>
    <w:p w:rsidR="00D57B55" w:rsidRPr="00E24FE3" w:rsidRDefault="00D57B55" w:rsidP="0062347F">
      <w:r>
        <w:br/>
      </w:r>
    </w:p>
    <w:p w:rsidR="00D57B55" w:rsidRDefault="00D57B55" w:rsidP="0062347F">
      <w:pPr>
        <w:numPr>
          <w:ilvl w:val="0"/>
          <w:numId w:val="10"/>
        </w:numPr>
        <w:ind w:left="360"/>
      </w:pPr>
      <w:r>
        <w:t>The researchers report an unweighted Kappa statistic of 0.78. Is their calculation correct (</w:t>
      </w:r>
      <w:r>
        <w:sym w:font="Symbol" w:char="F0B1"/>
      </w:r>
      <w:r>
        <w:t xml:space="preserve"> 0.01)? </w:t>
      </w:r>
    </w:p>
    <w:p w:rsidR="00D57B55" w:rsidRPr="00E24FE3" w:rsidRDefault="00D57B55" w:rsidP="00D57B55"/>
    <w:p w:rsidR="00D57B55" w:rsidRPr="00E24FE3" w:rsidRDefault="00D57B55" w:rsidP="00D57B55">
      <w:r>
        <w:t>d.</w:t>
      </w:r>
      <w:r w:rsidRPr="00E24FE3">
        <w:t>) Explain in words what this Kappa signifies.</w:t>
      </w:r>
    </w:p>
    <w:p w:rsidR="00D57B55" w:rsidRPr="00E24FE3" w:rsidRDefault="00D57B55" w:rsidP="00D57B55"/>
    <w:p w:rsidR="00D57B55" w:rsidRPr="00426941" w:rsidRDefault="00D57B55" w:rsidP="00D57B55"/>
    <w:p w:rsidR="009D5258" w:rsidRDefault="00D57B55" w:rsidP="009D5258">
      <w:pPr>
        <w:pStyle w:val="ColorfulList-Accent1"/>
        <w:numPr>
          <w:ilvl w:val="0"/>
          <w:numId w:val="8"/>
        </w:numPr>
      </w:pPr>
      <w:r>
        <w:t>Is the disagreement between patient- and physician-completed PUCAI scores balanced?  Support your answer with numbers from the table and</w:t>
      </w:r>
      <w:r w:rsidR="009D5258">
        <w:t xml:space="preserve"> explain what this means. </w:t>
      </w:r>
    </w:p>
    <w:p w:rsidR="009D5258" w:rsidRDefault="009D5258" w:rsidP="009D5258">
      <w:pPr>
        <w:pStyle w:val="ColorfulList-Accent1"/>
        <w:ind w:left="360"/>
      </w:pPr>
    </w:p>
    <w:p w:rsidR="009D5258" w:rsidRDefault="009D5258" w:rsidP="009D5258">
      <w:pPr>
        <w:pStyle w:val="ColorfulList-Accent1"/>
        <w:ind w:left="360"/>
      </w:pPr>
    </w:p>
    <w:p w:rsidR="00D87FE0" w:rsidRDefault="00D57B55" w:rsidP="00D57B55">
      <w:r>
        <w:t xml:space="preserve">f.)  The researchers are disappointed that, based on their Kappa, their agreement is only “substantial.”  They feel like they deserve half credit when ratings are off by one category, such as when the MD classifies the disease as inactive and the patient classifies it as mild.  Calculate a weighted Kappa </w:t>
      </w:r>
      <w:r w:rsidR="009D5258">
        <w:t xml:space="preserve">using that weighting scheme. </w:t>
      </w:r>
    </w:p>
    <w:p w:rsidR="00D87FE0" w:rsidRPr="006F06EE" w:rsidRDefault="00D87FE0" w:rsidP="00D87FE0">
      <w:pPr>
        <w:rPr>
          <w:b/>
        </w:rPr>
      </w:pPr>
      <w:r>
        <w:br w:type="page"/>
      </w:r>
      <w:r w:rsidRPr="00D87FE0">
        <w:rPr>
          <w:b/>
        </w:rPr>
        <w:lastRenderedPageBreak/>
        <w:t>2-13.</w:t>
      </w:r>
      <w:r>
        <w:t xml:space="preserve"> </w:t>
      </w:r>
      <w:r w:rsidRPr="006F06EE">
        <w:rPr>
          <w:b/>
        </w:rPr>
        <w:t xml:space="preserve">Classifying ARDS </w:t>
      </w:r>
      <w:proofErr w:type="gramStart"/>
      <w:r w:rsidRPr="006F06EE">
        <w:rPr>
          <w:b/>
        </w:rPr>
        <w:t>After</w:t>
      </w:r>
      <w:proofErr w:type="gramEnd"/>
      <w:r w:rsidRPr="006F06EE">
        <w:rPr>
          <w:b/>
        </w:rPr>
        <w:t xml:space="preserve"> Traumatic Injury</w:t>
      </w:r>
    </w:p>
    <w:p w:rsidR="00D87FE0" w:rsidRPr="006F06EE" w:rsidRDefault="00D87FE0" w:rsidP="00D87FE0">
      <w:pPr>
        <w:widowControl w:val="0"/>
        <w:autoSpaceDE w:val="0"/>
        <w:autoSpaceDN w:val="0"/>
        <w:adjustRightInd w:val="0"/>
        <w:spacing w:after="240"/>
        <w:rPr>
          <w:rFonts w:ascii="Times" w:hAnsi="Times" w:cs="Times"/>
          <w:b/>
          <w:sz w:val="22"/>
          <w:szCs w:val="22"/>
        </w:rPr>
      </w:pPr>
      <w:r w:rsidRPr="006F06EE">
        <w:rPr>
          <w:b/>
        </w:rPr>
        <w:t xml:space="preserve">Hendrickson et al. </w:t>
      </w:r>
      <w:r w:rsidRPr="006F06EE">
        <w:rPr>
          <w:rFonts w:ascii="Times" w:hAnsi="Times" w:cs="Times"/>
          <w:b/>
          <w:sz w:val="22"/>
          <w:szCs w:val="22"/>
        </w:rPr>
        <w:t xml:space="preserve">J Trauma Acute Care </w:t>
      </w:r>
      <w:proofErr w:type="spellStart"/>
      <w:r w:rsidRPr="006F06EE">
        <w:rPr>
          <w:rFonts w:ascii="Times" w:hAnsi="Times" w:cs="Times"/>
          <w:b/>
          <w:sz w:val="22"/>
          <w:szCs w:val="22"/>
        </w:rPr>
        <w:t>Surg</w:t>
      </w:r>
      <w:proofErr w:type="spellEnd"/>
      <w:r w:rsidRPr="006F06EE">
        <w:rPr>
          <w:rFonts w:ascii="Times" w:hAnsi="Times" w:cs="Times"/>
          <w:b/>
          <w:sz w:val="22"/>
          <w:szCs w:val="22"/>
        </w:rPr>
        <w:t xml:space="preserve"> Volume 79, Number 3 p. 417</w:t>
      </w:r>
    </w:p>
    <w:p w:rsidR="00D87FE0" w:rsidRPr="00FF7073" w:rsidRDefault="00D87FE0" w:rsidP="00D87FE0">
      <w:pPr>
        <w:widowControl w:val="0"/>
        <w:autoSpaceDE w:val="0"/>
        <w:autoSpaceDN w:val="0"/>
        <w:adjustRightInd w:val="0"/>
        <w:spacing w:after="240"/>
      </w:pPr>
      <w:r>
        <w:t>Dr. Carolyn Hendrickson is a graduate of EPI 204 who studies the Acute Respiratory Distress Syndrome (ARDS) in trauma patients at SFGH.  The criteria for ARDS include low blood oxygen levels (</w:t>
      </w:r>
      <w:r>
        <w:rPr>
          <w:i/>
        </w:rPr>
        <w:t>hypoxemia)</w:t>
      </w:r>
      <w:r>
        <w:t xml:space="preserve"> and chest x-ray showing a new/acute diffuse bilateral infiltrate.  Normally, the chest x-ray is reviewed by 2 physicians on the study team to determine (by consensus) whether it meets the criteria for ARDS, but to save time and money, some studies rely on review of the official radiologist report in the medical record.  To assess the agreement between direct review of the chest x-ray and relying on the radiologist report, Dr. Hendrickson had two physician investigators review x-rays of 123 hypoxemic trauma patients and rate them as positive, equivocal, or negative for ARDS.  Several months later, the same two physicians reviewed the official radiology reports without knowing their original classification and again classified the x-rays (now based only on the official report) as positive, equivocal, or negative for ARDS.  Results are shown below:</w:t>
      </w:r>
    </w:p>
    <w:tbl>
      <w:tblPr>
        <w:tblW w:w="7000" w:type="dxa"/>
        <w:tblInd w:w="93" w:type="dxa"/>
        <w:tblLook w:val="04A0"/>
      </w:tblPr>
      <w:tblGrid>
        <w:gridCol w:w="1800"/>
        <w:gridCol w:w="1172"/>
        <w:gridCol w:w="1412"/>
        <w:gridCol w:w="1316"/>
        <w:gridCol w:w="1300"/>
      </w:tblGrid>
      <w:tr w:rsidR="00D87FE0" w:rsidRPr="00852745" w:rsidTr="008809B2">
        <w:trPr>
          <w:trHeight w:val="300"/>
        </w:trPr>
        <w:tc>
          <w:tcPr>
            <w:tcW w:w="1800" w:type="dxa"/>
            <w:tcBorders>
              <w:top w:val="nil"/>
              <w:left w:val="nil"/>
              <w:bottom w:val="nil"/>
              <w:right w:val="nil"/>
            </w:tcBorders>
            <w:shd w:val="clear" w:color="auto" w:fill="auto"/>
            <w:noWrap/>
            <w:vAlign w:val="bottom"/>
            <w:hideMark/>
          </w:tcPr>
          <w:p w:rsidR="00D87FE0" w:rsidRPr="00852745" w:rsidRDefault="00D87FE0" w:rsidP="008809B2">
            <w:pPr>
              <w:rPr>
                <w:rFonts w:ascii="Calibri" w:hAnsi="Calibri"/>
                <w:color w:val="000000"/>
              </w:rPr>
            </w:pPr>
          </w:p>
        </w:tc>
        <w:tc>
          <w:tcPr>
            <w:tcW w:w="39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D87FE0" w:rsidRPr="00852745" w:rsidRDefault="00D87FE0" w:rsidP="008809B2">
            <w:pPr>
              <w:jc w:val="center"/>
              <w:rPr>
                <w:rFonts w:ascii="Calibri" w:hAnsi="Calibri"/>
                <w:b/>
                <w:bCs/>
                <w:color w:val="000000"/>
                <w:u w:val="single"/>
              </w:rPr>
            </w:pPr>
            <w:r w:rsidRPr="00852745">
              <w:rPr>
                <w:rFonts w:ascii="Calibri" w:hAnsi="Calibri"/>
                <w:b/>
                <w:bCs/>
                <w:color w:val="000000"/>
                <w:u w:val="single"/>
              </w:rPr>
              <w:t>Direct Review</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rPr>
                <w:rFonts w:ascii="Calibri" w:hAnsi="Calibri"/>
                <w:color w:val="000000"/>
              </w:rPr>
            </w:pPr>
          </w:p>
        </w:tc>
      </w:tr>
      <w:tr w:rsidR="00D87FE0" w:rsidRPr="00852745" w:rsidTr="008809B2">
        <w:trPr>
          <w:trHeight w:val="300"/>
        </w:trPr>
        <w:tc>
          <w:tcPr>
            <w:tcW w:w="1800" w:type="dxa"/>
            <w:tcBorders>
              <w:top w:val="single" w:sz="4" w:space="0" w:color="auto"/>
              <w:left w:val="single" w:sz="4" w:space="0" w:color="auto"/>
              <w:bottom w:val="nil"/>
              <w:right w:val="single" w:sz="4" w:space="0" w:color="auto"/>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 xml:space="preserve">Dictated </w:t>
            </w:r>
            <w:r w:rsidRPr="00852745">
              <w:rPr>
                <w:rFonts w:ascii="Calibri" w:hAnsi="Calibri"/>
                <w:b/>
                <w:bCs/>
                <w:color w:val="000000"/>
                <w:u w:val="single"/>
              </w:rPr>
              <w:t>Reports</w:t>
            </w:r>
          </w:p>
        </w:tc>
        <w:tc>
          <w:tcPr>
            <w:tcW w:w="1172" w:type="dxa"/>
            <w:tcBorders>
              <w:top w:val="nil"/>
              <w:left w:val="nil"/>
              <w:bottom w:val="single" w:sz="4" w:space="0" w:color="auto"/>
              <w:right w:val="nil"/>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Positive</w:t>
            </w:r>
          </w:p>
        </w:tc>
        <w:tc>
          <w:tcPr>
            <w:tcW w:w="1412" w:type="dxa"/>
            <w:tcBorders>
              <w:top w:val="nil"/>
              <w:left w:val="nil"/>
              <w:bottom w:val="single" w:sz="4" w:space="0" w:color="auto"/>
              <w:right w:val="nil"/>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Equivocal</w:t>
            </w:r>
          </w:p>
        </w:tc>
        <w:tc>
          <w:tcPr>
            <w:tcW w:w="1316"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Negative</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rPr>
                <w:rFonts w:ascii="Calibri" w:hAnsi="Calibri"/>
                <w:color w:val="000000"/>
              </w:rPr>
            </w:pPr>
          </w:p>
        </w:tc>
      </w:tr>
      <w:tr w:rsidR="00D87FE0" w:rsidRPr="00852745" w:rsidTr="008809B2">
        <w:trPr>
          <w:trHeight w:val="300"/>
        </w:trPr>
        <w:tc>
          <w:tcPr>
            <w:tcW w:w="1800" w:type="dxa"/>
            <w:tcBorders>
              <w:top w:val="nil"/>
              <w:left w:val="single" w:sz="4" w:space="0" w:color="auto"/>
              <w:bottom w:val="nil"/>
              <w:right w:val="single" w:sz="4" w:space="0" w:color="auto"/>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Positive</w:t>
            </w:r>
          </w:p>
        </w:tc>
        <w:tc>
          <w:tcPr>
            <w:tcW w:w="117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46</w:t>
            </w:r>
          </w:p>
        </w:tc>
        <w:tc>
          <w:tcPr>
            <w:tcW w:w="141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0</w:t>
            </w:r>
          </w:p>
        </w:tc>
        <w:tc>
          <w:tcPr>
            <w:tcW w:w="1316"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9</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55</w:t>
            </w:r>
          </w:p>
        </w:tc>
      </w:tr>
      <w:tr w:rsidR="00D87FE0" w:rsidRPr="00852745" w:rsidTr="008809B2">
        <w:trPr>
          <w:trHeight w:val="300"/>
        </w:trPr>
        <w:tc>
          <w:tcPr>
            <w:tcW w:w="1800" w:type="dxa"/>
            <w:tcBorders>
              <w:top w:val="nil"/>
              <w:left w:val="single" w:sz="4" w:space="0" w:color="auto"/>
              <w:bottom w:val="nil"/>
              <w:right w:val="single" w:sz="4" w:space="0" w:color="auto"/>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Equivocal</w:t>
            </w:r>
          </w:p>
        </w:tc>
        <w:tc>
          <w:tcPr>
            <w:tcW w:w="117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3</w:t>
            </w:r>
          </w:p>
        </w:tc>
        <w:tc>
          <w:tcPr>
            <w:tcW w:w="141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0</w:t>
            </w:r>
          </w:p>
        </w:tc>
        <w:tc>
          <w:tcPr>
            <w:tcW w:w="1316"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1</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4</w:t>
            </w:r>
          </w:p>
        </w:tc>
      </w:tr>
      <w:tr w:rsidR="00D87FE0" w:rsidRPr="00852745" w:rsidTr="008809B2">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D87FE0" w:rsidRPr="00852745" w:rsidRDefault="00D87FE0" w:rsidP="008809B2">
            <w:pPr>
              <w:jc w:val="center"/>
              <w:rPr>
                <w:rFonts w:ascii="Calibri" w:hAnsi="Calibri"/>
                <w:b/>
                <w:bCs/>
                <w:color w:val="000000"/>
              </w:rPr>
            </w:pPr>
            <w:r w:rsidRPr="00852745">
              <w:rPr>
                <w:rFonts w:ascii="Calibri" w:hAnsi="Calibri"/>
                <w:b/>
                <w:bCs/>
                <w:color w:val="000000"/>
              </w:rPr>
              <w:t>Negative</w:t>
            </w:r>
          </w:p>
        </w:tc>
        <w:tc>
          <w:tcPr>
            <w:tcW w:w="117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21</w:t>
            </w:r>
          </w:p>
        </w:tc>
        <w:tc>
          <w:tcPr>
            <w:tcW w:w="1412"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0</w:t>
            </w:r>
          </w:p>
        </w:tc>
        <w:tc>
          <w:tcPr>
            <w:tcW w:w="1316" w:type="dxa"/>
            <w:tcBorders>
              <w:top w:val="nil"/>
              <w:left w:val="nil"/>
              <w:bottom w:val="single" w:sz="4" w:space="0" w:color="auto"/>
              <w:right w:val="single" w:sz="4" w:space="0" w:color="auto"/>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43</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64</w:t>
            </w:r>
          </w:p>
        </w:tc>
      </w:tr>
      <w:tr w:rsidR="00D87FE0" w:rsidRPr="00852745" w:rsidTr="008809B2">
        <w:trPr>
          <w:trHeight w:val="300"/>
        </w:trPr>
        <w:tc>
          <w:tcPr>
            <w:tcW w:w="1800" w:type="dxa"/>
            <w:tcBorders>
              <w:top w:val="nil"/>
              <w:left w:val="nil"/>
              <w:bottom w:val="nil"/>
              <w:right w:val="nil"/>
            </w:tcBorders>
            <w:shd w:val="clear" w:color="auto" w:fill="auto"/>
            <w:noWrap/>
            <w:vAlign w:val="bottom"/>
            <w:hideMark/>
          </w:tcPr>
          <w:p w:rsidR="00D87FE0" w:rsidRPr="00852745" w:rsidRDefault="00D87FE0" w:rsidP="008809B2">
            <w:pPr>
              <w:rPr>
                <w:rFonts w:ascii="Calibri" w:hAnsi="Calibri"/>
                <w:color w:val="000000"/>
              </w:rPr>
            </w:pPr>
          </w:p>
        </w:tc>
        <w:tc>
          <w:tcPr>
            <w:tcW w:w="1172"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70</w:t>
            </w:r>
          </w:p>
        </w:tc>
        <w:tc>
          <w:tcPr>
            <w:tcW w:w="1412"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0</w:t>
            </w:r>
          </w:p>
        </w:tc>
        <w:tc>
          <w:tcPr>
            <w:tcW w:w="1316"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53</w:t>
            </w:r>
          </w:p>
        </w:tc>
        <w:tc>
          <w:tcPr>
            <w:tcW w:w="1300" w:type="dxa"/>
            <w:tcBorders>
              <w:top w:val="nil"/>
              <w:left w:val="nil"/>
              <w:bottom w:val="nil"/>
              <w:right w:val="nil"/>
            </w:tcBorders>
            <w:shd w:val="clear" w:color="auto" w:fill="auto"/>
            <w:noWrap/>
            <w:vAlign w:val="bottom"/>
            <w:hideMark/>
          </w:tcPr>
          <w:p w:rsidR="00D87FE0" w:rsidRPr="00852745" w:rsidRDefault="00D87FE0" w:rsidP="008809B2">
            <w:pPr>
              <w:jc w:val="right"/>
              <w:rPr>
                <w:rFonts w:ascii="Calibri" w:hAnsi="Calibri"/>
                <w:color w:val="000000"/>
              </w:rPr>
            </w:pPr>
            <w:r w:rsidRPr="00852745">
              <w:rPr>
                <w:rFonts w:ascii="Calibri" w:hAnsi="Calibri"/>
                <w:color w:val="000000"/>
              </w:rPr>
              <w:t>123</w:t>
            </w:r>
          </w:p>
        </w:tc>
      </w:tr>
    </w:tbl>
    <w:p w:rsidR="00D87FE0" w:rsidRDefault="00D87FE0" w:rsidP="00D87FE0"/>
    <w:p w:rsidR="00D87FE0" w:rsidRPr="00852745" w:rsidRDefault="00D87FE0" w:rsidP="00D87FE0">
      <w:pPr>
        <w:pStyle w:val="ListParagraph"/>
        <w:numPr>
          <w:ilvl w:val="0"/>
          <w:numId w:val="11"/>
        </w:numPr>
        <w:rPr>
          <w:rFonts w:ascii="Times New Roman" w:hAnsi="Times New Roman"/>
        </w:rPr>
      </w:pPr>
      <w:r w:rsidRPr="00852745">
        <w:rPr>
          <w:rFonts w:ascii="Times New Roman" w:hAnsi="Times New Roman"/>
        </w:rPr>
        <w:t>How many complete disagreements were there?</w:t>
      </w:r>
    </w:p>
    <w:p w:rsidR="00D87FE0" w:rsidRDefault="00D87FE0" w:rsidP="00D87FE0"/>
    <w:p w:rsidR="00D87FE0" w:rsidRDefault="00D87FE0" w:rsidP="00D87FE0">
      <w:pPr>
        <w:rPr>
          <w:b/>
          <w:i/>
        </w:rPr>
      </w:pPr>
    </w:p>
    <w:p w:rsidR="00D87FE0" w:rsidRDefault="00D87FE0" w:rsidP="00D87FE0">
      <w:pPr>
        <w:ind w:firstLine="720"/>
      </w:pPr>
      <w:r>
        <w:t>b) How would relying on dictated reports instead of direct review affect the estimated prevalence of ARDS in a study population?</w:t>
      </w:r>
    </w:p>
    <w:p w:rsidR="00D87FE0" w:rsidRDefault="00D87FE0" w:rsidP="00D87FE0"/>
    <w:p w:rsidR="00D87FE0" w:rsidRDefault="00D87FE0" w:rsidP="00D87FE0">
      <w:pPr>
        <w:rPr>
          <w:b/>
          <w:i/>
        </w:rPr>
      </w:pPr>
    </w:p>
    <w:p w:rsidR="00D87FE0" w:rsidRPr="00F546B7" w:rsidRDefault="00D87FE0" w:rsidP="00D87FE0">
      <w:pPr>
        <w:ind w:firstLine="720"/>
      </w:pPr>
      <w:r>
        <w:t xml:space="preserve">c) </w:t>
      </w:r>
      <w:r w:rsidRPr="00F546B7">
        <w:t xml:space="preserve">Calculate </w:t>
      </w:r>
      <w:proofErr w:type="spellStart"/>
      <w:r w:rsidRPr="00F546B7">
        <w:t>unweighted</w:t>
      </w:r>
      <w:proofErr w:type="spellEnd"/>
      <w:r w:rsidRPr="00F546B7">
        <w:t xml:space="preserve"> Kappa by any method you like, but show observed % agreement, expected % agreement, and Kappa.</w:t>
      </w:r>
    </w:p>
    <w:p w:rsidR="00D87FE0" w:rsidRDefault="00D87FE0" w:rsidP="00D87FE0"/>
    <w:p w:rsidR="00D87FE0" w:rsidRDefault="00D87FE0" w:rsidP="00D87FE0">
      <w:pPr>
        <w:rPr>
          <w:b/>
          <w:i/>
        </w:rPr>
      </w:pPr>
    </w:p>
    <w:p w:rsidR="00D87FE0" w:rsidRDefault="00D87FE0" w:rsidP="00D87FE0">
      <w:r>
        <w:tab/>
        <w:t xml:space="preserve">d) Would you expect using linear weighted Kappa instead of </w:t>
      </w:r>
      <w:proofErr w:type="spellStart"/>
      <w:r>
        <w:t>unweighted</w:t>
      </w:r>
      <w:proofErr w:type="spellEnd"/>
      <w:r>
        <w:t xml:space="preserve"> Kappa to substantially increase the value calculated in Part (c)?</w:t>
      </w:r>
    </w:p>
    <w:p w:rsidR="00D87FE0" w:rsidRDefault="00D87FE0" w:rsidP="00D87FE0"/>
    <w:p w:rsidR="00D87FE0" w:rsidRDefault="00D87FE0" w:rsidP="00D87FE0">
      <w:pPr>
        <w:rPr>
          <w:b/>
          <w:i/>
        </w:rPr>
      </w:pPr>
    </w:p>
    <w:p w:rsidR="00D87FE0" w:rsidRDefault="00D87FE0" w:rsidP="00D87FE0">
      <w:pPr>
        <w:ind w:left="360"/>
      </w:pPr>
      <w:r>
        <w:t xml:space="preserve">e) Pretend that the 4 cases rated "Equivocal" </w:t>
      </w:r>
      <w:proofErr w:type="gramStart"/>
      <w:r>
        <w:t>by  "</w:t>
      </w:r>
      <w:proofErr w:type="gramEnd"/>
      <w:r>
        <w:t xml:space="preserve">Dictated Reports"  were also rated "Equivocal" by direct review.  How would </w:t>
      </w:r>
      <w:proofErr w:type="spellStart"/>
      <w:r>
        <w:t>unweighted</w:t>
      </w:r>
      <w:proofErr w:type="spellEnd"/>
      <w:r>
        <w:t xml:space="preserve"> kappa change?</w:t>
      </w:r>
    </w:p>
    <w:p w:rsidR="00D87FE0" w:rsidRDefault="00D87FE0" w:rsidP="00D87FE0"/>
    <w:p w:rsidR="00D87FE0" w:rsidRDefault="00D87FE0" w:rsidP="00D87FE0"/>
    <w:p w:rsidR="00D87FE0" w:rsidRDefault="00D87FE0" w:rsidP="00D87FE0">
      <w:pPr>
        <w:ind w:left="360"/>
        <w:rPr>
          <w:b/>
          <w:i/>
        </w:rPr>
      </w:pPr>
      <w:r>
        <w:t>f)   (Extra Credit)   If, as in Part (e)</w:t>
      </w:r>
      <w:proofErr w:type="gramStart"/>
      <w:r>
        <w:t>,  there</w:t>
      </w:r>
      <w:proofErr w:type="gramEnd"/>
      <w:r>
        <w:t xml:space="preserve"> were 4 exact agreements on  "Equivocal”,  how would weighted kappa compare to </w:t>
      </w:r>
      <w:proofErr w:type="spellStart"/>
      <w:r>
        <w:t>unweighted</w:t>
      </w:r>
      <w:proofErr w:type="spellEnd"/>
      <w:r>
        <w:t xml:space="preserve"> kappa.</w:t>
      </w:r>
    </w:p>
    <w:sectPr w:rsidR="00D87FE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02770"/>
    <w:multiLevelType w:val="hybridMultilevel"/>
    <w:tmpl w:val="1CDA509C"/>
    <w:lvl w:ilvl="0" w:tplc="2978696E">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4703A56"/>
    <w:multiLevelType w:val="hybridMultilevel"/>
    <w:tmpl w:val="C7FEF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8C54AA"/>
    <w:multiLevelType w:val="hybridMultilevel"/>
    <w:tmpl w:val="3F9000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0"/>
  </w:num>
  <w:num w:numId="4">
    <w:abstractNumId w:val="7"/>
  </w:num>
  <w:num w:numId="5">
    <w:abstractNumId w:val="3"/>
  </w:num>
  <w:num w:numId="6">
    <w:abstractNumId w:val="9"/>
  </w:num>
  <w:num w:numId="7">
    <w:abstractNumId w:val="5"/>
  </w:num>
  <w:num w:numId="8">
    <w:abstractNumId w:val="0"/>
  </w:num>
  <w:num w:numId="9">
    <w:abstractNumId w:val="2"/>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0&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ftvff9p80fp5few5s05f5fw9rd9fefrdzer&quot;&gt;EBD-MAK&lt;record-ids&gt;&lt;item&gt;1064&lt;/item&gt;&lt;item&gt;1080&lt;/item&gt;&lt;item&gt;1145&lt;/item&gt;&lt;/record-ids&gt;&lt;/item&gt;&lt;/Libraries&gt;"/>
  </w:docVars>
  <w:rsids>
    <w:rsidRoot w:val="00D33250"/>
    <w:rsid w:val="002B0847"/>
    <w:rsid w:val="003114CE"/>
    <w:rsid w:val="0062347F"/>
    <w:rsid w:val="007944D1"/>
    <w:rsid w:val="007B6486"/>
    <w:rsid w:val="007D752D"/>
    <w:rsid w:val="008902F3"/>
    <w:rsid w:val="009D5258"/>
    <w:rsid w:val="00CD43C7"/>
    <w:rsid w:val="00D57B55"/>
    <w:rsid w:val="00D87FE0"/>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3325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link w:val="HTMLPreformattedChar"/>
    <w:rsid w:val="00D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D33250"/>
    <w:rPr>
      <w:rFonts w:ascii="Courier New" w:hAnsi="Courier New" w:cs="Courier New"/>
      <w:lang w:val="en-US" w:eastAsia="en-US" w:bidi="ar-SA"/>
    </w:rPr>
  </w:style>
  <w:style w:type="paragraph" w:styleId="BodyText2">
    <w:name w:val="Body Text 2"/>
    <w:basedOn w:val="Normal"/>
    <w:rsid w:val="00902DD5"/>
    <w:pPr>
      <w:widowControl w:val="0"/>
    </w:pPr>
    <w:rPr>
      <w:rFonts w:ascii="Courier New" w:hAnsi="Courier New"/>
      <w:szCs w:val="20"/>
    </w:rPr>
  </w:style>
  <w:style w:type="character" w:customStyle="1" w:styleId="ja50-ce-para8">
    <w:name w:val="ja50-ce-para8"/>
    <w:basedOn w:val="DefaultParagraphFont"/>
    <w:rsid w:val="00902DD5"/>
  </w:style>
  <w:style w:type="character" w:styleId="Hyperlink">
    <w:name w:val="Hyperlink"/>
    <w:rsid w:val="0064519E"/>
    <w:rPr>
      <w:color w:val="0000FF"/>
      <w:u w:val="single"/>
    </w:rPr>
  </w:style>
  <w:style w:type="paragraph" w:styleId="ColorfulList-Accent1">
    <w:name w:val="Colorful List Accent 1"/>
    <w:basedOn w:val="Normal"/>
    <w:uiPriority w:val="99"/>
    <w:qFormat/>
    <w:rsid w:val="00D57B55"/>
    <w:pPr>
      <w:ind w:left="720"/>
      <w:contextualSpacing/>
    </w:pPr>
    <w:rPr>
      <w:rFonts w:eastAsia="MS ??"/>
    </w:rPr>
  </w:style>
  <w:style w:type="paragraph" w:styleId="ListParagraph">
    <w:name w:val="List Paragraph"/>
    <w:basedOn w:val="Normal"/>
    <w:uiPriority w:val="34"/>
    <w:qFormat/>
    <w:rsid w:val="00D87FE0"/>
    <w:pPr>
      <w:ind w:left="720"/>
      <w:contextualSpacing/>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Chapter 2</vt:lpstr>
    </vt:vector>
  </TitlesOfParts>
  <Company>UCSF-DEB/SFCC</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Michael Kohn</dc:creator>
  <cp:lastModifiedBy>mkohn</cp:lastModifiedBy>
  <cp:revision>3</cp:revision>
  <cp:lastPrinted>2012-09-20T18:02:00Z</cp:lastPrinted>
  <dcterms:created xsi:type="dcterms:W3CDTF">2015-09-17T23:26:00Z</dcterms:created>
  <dcterms:modified xsi:type="dcterms:W3CDTF">2015-09-17T23:30:00Z</dcterms:modified>
</cp:coreProperties>
</file>