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22" w:rsidRPr="00E85862" w:rsidRDefault="00372A22" w:rsidP="00FD5BEE">
      <w:pPr>
        <w:rPr>
          <w:b/>
        </w:rPr>
      </w:pPr>
      <w:r w:rsidRPr="00E85862">
        <w:rPr>
          <w:b/>
        </w:rPr>
        <w:t>E</w:t>
      </w:r>
      <w:r>
        <w:rPr>
          <w:b/>
        </w:rPr>
        <w:t>PI</w:t>
      </w:r>
      <w:r w:rsidRPr="00E85862">
        <w:rPr>
          <w:b/>
        </w:rPr>
        <w:t xml:space="preserve"> 203: Epidemiologic Methods </w:t>
      </w:r>
      <w:r>
        <w:rPr>
          <w:b/>
        </w:rPr>
        <w:tab/>
      </w:r>
      <w:r>
        <w:rPr>
          <w:b/>
        </w:rPr>
        <w:tab/>
      </w:r>
      <w:r>
        <w:rPr>
          <w:b/>
        </w:rPr>
        <w:tab/>
      </w:r>
      <w:r>
        <w:rPr>
          <w:b/>
        </w:rPr>
        <w:tab/>
        <w:t>Name: _______________________</w:t>
      </w:r>
    </w:p>
    <w:p w:rsidR="00372A22" w:rsidRPr="00E85862" w:rsidRDefault="00372A22" w:rsidP="00FD5BEE">
      <w:pPr>
        <w:rPr>
          <w:b/>
        </w:rPr>
      </w:pPr>
      <w:r w:rsidRPr="00E85862">
        <w:rPr>
          <w:b/>
        </w:rPr>
        <w:t>Problem Set 5: Measures of Disease Association II</w:t>
      </w:r>
      <w:r>
        <w:rPr>
          <w:b/>
        </w:rPr>
        <w:t xml:space="preserve"> and Disease Attribution</w:t>
      </w:r>
    </w:p>
    <w:p w:rsidR="00372A22" w:rsidRPr="00E85862" w:rsidRDefault="00372A22" w:rsidP="00FD5BEE">
      <w:pPr>
        <w:rPr>
          <w:b/>
        </w:rPr>
      </w:pPr>
    </w:p>
    <w:p w:rsidR="00372A22" w:rsidRPr="00E85862" w:rsidRDefault="00372A22" w:rsidP="00FD5BEE">
      <w:pPr>
        <w:pStyle w:val="Heading2"/>
      </w:pPr>
      <w:r w:rsidRPr="00E85862">
        <w:t>Due: 10/</w:t>
      </w:r>
      <w:r>
        <w:t>2</w:t>
      </w:r>
      <w:r w:rsidR="00B440C9">
        <w:t>1</w:t>
      </w:r>
      <w:r w:rsidRPr="00E85862">
        <w:t>/201</w:t>
      </w:r>
      <w:r w:rsidR="00B440C9">
        <w:t>4</w:t>
      </w:r>
      <w:r w:rsidRPr="00E85862">
        <w:t xml:space="preserve"> at 1:30 pm section </w:t>
      </w:r>
    </w:p>
    <w:p w:rsidR="00372A22" w:rsidRPr="00E85862" w:rsidRDefault="00372A22" w:rsidP="00FD5BEE">
      <w:pPr>
        <w:rPr>
          <w:b/>
        </w:rPr>
      </w:pPr>
      <w:r w:rsidRPr="00E85862">
        <w:rPr>
          <w:b/>
        </w:rPr>
        <w:t xml:space="preserve">Possible points: </w:t>
      </w:r>
      <w:r>
        <w:rPr>
          <w:b/>
        </w:rPr>
        <w:t>33 (plus 1 extra credit)</w:t>
      </w:r>
    </w:p>
    <w:p w:rsidR="0070329F" w:rsidRDefault="0070329F" w:rsidP="002746A6">
      <w:pPr>
        <w:pStyle w:val="BodyTextIndent"/>
        <w:ind w:left="0"/>
        <w:rPr>
          <w:lang w:val="fr-FR"/>
        </w:rPr>
      </w:pPr>
    </w:p>
    <w:p w:rsidR="00372A22" w:rsidRPr="002E59FE" w:rsidRDefault="00F67770" w:rsidP="002746A6">
      <w:pPr>
        <w:pStyle w:val="BodyTextIndent"/>
        <w:ind w:left="0"/>
        <w:rPr>
          <w:i/>
        </w:rPr>
      </w:pPr>
      <w:r w:rsidRPr="002E59FE">
        <w:rPr>
          <w:i/>
          <w:lang w:val="fr-FR"/>
        </w:rPr>
        <w:t>Note :  For th</w:t>
      </w:r>
      <w:r w:rsidR="0070329F" w:rsidRPr="002E59FE">
        <w:rPr>
          <w:i/>
          <w:lang w:val="fr-FR"/>
        </w:rPr>
        <w:t>e</w:t>
      </w:r>
      <w:r w:rsidRPr="002E59FE">
        <w:rPr>
          <w:i/>
          <w:lang w:val="fr-FR"/>
        </w:rPr>
        <w:t xml:space="preserve"> questions marked</w:t>
      </w:r>
      <w:r w:rsidR="0070329F" w:rsidRPr="002E59FE">
        <w:rPr>
          <w:i/>
          <w:lang w:val="fr-FR"/>
        </w:rPr>
        <w:t> </w:t>
      </w:r>
      <w:r w:rsidR="0070329F" w:rsidRPr="002E59FE">
        <w:rPr>
          <w:b/>
          <w:i/>
        </w:rPr>
        <w:t>“</w:t>
      </w:r>
      <w:r w:rsidRPr="002E59FE">
        <w:rPr>
          <w:b/>
          <w:i/>
        </w:rPr>
        <w:t xml:space="preserve">FOR DISCUSSION IN SECTION ONLY”, </w:t>
      </w:r>
      <w:r w:rsidRPr="002E59FE">
        <w:rPr>
          <w:i/>
        </w:rPr>
        <w:t>please familiarize yourself with these items before section such that we can have a rewarding discussion.  Also, please be sure to look beyond these questions to the next question in that the first “FOR DISCUSSION” question does not mark the end of the required questions.</w:t>
      </w:r>
    </w:p>
    <w:p w:rsidR="00F67770" w:rsidRPr="00E85862" w:rsidRDefault="00F67770" w:rsidP="002746A6">
      <w:pPr>
        <w:pStyle w:val="BodyTextIndent"/>
        <w:ind w:left="0"/>
      </w:pPr>
    </w:p>
    <w:p w:rsidR="00372A22" w:rsidRPr="00E85862" w:rsidRDefault="00372A22" w:rsidP="00E66379">
      <w:pPr>
        <w:pStyle w:val="HTMLPreformatted"/>
        <w:tabs>
          <w:tab w:val="left" w:pos="360"/>
        </w:tabs>
        <w:rPr>
          <w:rFonts w:ascii="Times New Roman" w:hAnsi="Times New Roman" w:cs="Times New Roman"/>
          <w:sz w:val="24"/>
        </w:rPr>
      </w:pPr>
      <w:r w:rsidRPr="00E85862">
        <w:rPr>
          <w:rFonts w:ascii="Times New Roman" w:hAnsi="Times New Roman" w:cs="Times New Roman"/>
          <w:sz w:val="24"/>
        </w:rPr>
        <w:t xml:space="preserve">1. </w:t>
      </w:r>
      <w:r w:rsidRPr="00E85862">
        <w:rPr>
          <w:rFonts w:ascii="Times New Roman" w:hAnsi="Times New Roman" w:cs="Times New Roman"/>
          <w:sz w:val="24"/>
        </w:rPr>
        <w:tab/>
        <w:t>Refer to the following abstract and methods section:</w:t>
      </w:r>
    </w:p>
    <w:p w:rsidR="00372A22" w:rsidRPr="00E85862" w:rsidRDefault="00372A22" w:rsidP="00E66379">
      <w:pPr>
        <w:pStyle w:val="HTMLPreformatted"/>
        <w:ind w:left="360"/>
        <w:rPr>
          <w:rFonts w:ascii="Times New Roman" w:hAnsi="Times New Roman" w:cs="Times New Roman"/>
          <w:sz w:val="22"/>
          <w:szCs w:val="22"/>
        </w:rPr>
      </w:pPr>
    </w:p>
    <w:p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To investigate the relationship between serum sialic acid level and risk of coronary heart disease (CHD) and stroke in men and women without diagnosed cardiovascular disease.</w:t>
      </w:r>
    </w:p>
    <w:p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Sialic acid levels were determined by enzymatic method from frozen serum. </w:t>
      </w:r>
    </w:p>
    <w:p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 Further studies are needed to determine whether this association can be explained by sialic acid being a marker of accelerated atherosclerosis or inflammation.</w:t>
      </w:r>
    </w:p>
    <w:p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Italic" w:hAnsi="Goudy-Italic" w:cs="Goudy-Italic"/>
          <w:i/>
          <w:iCs/>
          <w:color w:val="231F20"/>
          <w:sz w:val="20"/>
        </w:rPr>
        <w:t xml:space="preserve">Ann Epidemiol 2004;14:627–632. </w:t>
      </w:r>
    </w:p>
    <w:p w:rsidR="00372A22" w:rsidRPr="00E85862" w:rsidRDefault="00372A22">
      <w:pPr>
        <w:autoSpaceDE w:val="0"/>
        <w:autoSpaceDN w:val="0"/>
        <w:adjustRightInd w:val="0"/>
      </w:pPr>
    </w:p>
    <w:p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Busselton Health Survey and had no history of diagnosed CHD or stroke at that time. The conduct of the Busselton health surveys, including a detailed description of the study population, the examinations of subjects, and laboratory methods have been described elsewhere. The target population was all adults on the electoral roll in the town of </w:t>
      </w:r>
      <w:smartTag w:uri="urn:schemas-microsoft-com:office:smarttags" w:element="City">
        <w:r w:rsidRPr="00E85862">
          <w:rPr>
            <w:rFonts w:ascii="Goudy" w:hAnsi="Goudy" w:cs="Goudy"/>
            <w:color w:val="231F20"/>
            <w:sz w:val="20"/>
          </w:rPr>
          <w:t>Busselton</w:t>
        </w:r>
      </w:smartTag>
      <w:r w:rsidRPr="00E85862">
        <w:rPr>
          <w:rFonts w:ascii="Goudy" w:hAnsi="Goudy" w:cs="Goudy"/>
          <w:color w:val="231F20"/>
          <w:sz w:val="20"/>
        </w:rPr>
        <w:t xml:space="preserve"> (registration to vote is compulsory in </w:t>
      </w:r>
      <w:smartTag w:uri="urn:schemas-microsoft-com:office:smarttags" w:element="place">
        <w:smartTag w:uri="urn:schemas-microsoft-com:office:smarttags" w:element="country-region">
          <w:r w:rsidRPr="00E85862">
            <w:rPr>
              <w:rFonts w:ascii="Goudy" w:hAnsi="Goudy" w:cs="Goudy"/>
              <w:color w:val="231F20"/>
              <w:sz w:val="20"/>
            </w:rPr>
            <w:t>Australia</w:t>
          </w:r>
        </w:smartTag>
      </w:smartTag>
      <w:r w:rsidRPr="00E85862">
        <w:rPr>
          <w:rFonts w:ascii="Goudy" w:hAnsi="Goudy" w:cs="Goudy"/>
          <w:color w:val="231F20"/>
          <w:sz w:val="20"/>
        </w:rPr>
        <w:t>)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stadiometer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rsidR="00372A22" w:rsidRPr="00E85862" w:rsidRDefault="00372A22" w:rsidP="00DB3A8F">
      <w:pPr>
        <w:autoSpaceDE w:val="0"/>
        <w:autoSpaceDN w:val="0"/>
        <w:adjustRightInd w:val="0"/>
        <w:ind w:left="360"/>
        <w:rPr>
          <w:rFonts w:ascii="Goudy" w:hAnsi="Goudy" w:cs="Goudy"/>
          <w:color w:val="231F20"/>
          <w:sz w:val="20"/>
        </w:rPr>
      </w:pPr>
    </w:p>
    <w:p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Boehringer Mannheim (now Roche </w:t>
      </w:r>
      <w:r w:rsidRPr="00E85862">
        <w:rPr>
          <w:rFonts w:ascii="Goudy" w:hAnsi="Goudy" w:cs="Goudy"/>
          <w:color w:val="231F20"/>
          <w:sz w:val="20"/>
          <w:lang w:val="fr-FR"/>
        </w:rPr>
        <w:t xml:space="preserve">Diagnostics), Basel, Switzerland on a Roche Cobas Mira </w:t>
      </w:r>
      <w:r w:rsidRPr="00E85862">
        <w:rPr>
          <w:rFonts w:ascii="Goudy" w:hAnsi="Goudy" w:cs="Goudy"/>
          <w:color w:val="231F20"/>
          <w:sz w:val="20"/>
        </w:rPr>
        <w:t>Analyser (inter-assay coefficient of variation 6%).</w:t>
      </w:r>
    </w:p>
    <w:p w:rsidR="00372A22" w:rsidRPr="00E85862" w:rsidRDefault="00372A22" w:rsidP="00DB3A8F">
      <w:pPr>
        <w:autoSpaceDE w:val="0"/>
        <w:autoSpaceDN w:val="0"/>
        <w:adjustRightInd w:val="0"/>
        <w:ind w:left="360"/>
        <w:rPr>
          <w:rFonts w:ascii="Goudy" w:hAnsi="Goudy" w:cs="Goudy"/>
          <w:color w:val="231F20"/>
          <w:sz w:val="20"/>
        </w:rPr>
      </w:pPr>
    </w:p>
    <w:p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Follow-up of subjects </w:t>
      </w:r>
      <w:r w:rsidRPr="00E85862">
        <w:rPr>
          <w:rFonts w:ascii="Goudy" w:hAnsi="Goudy" w:cs="Goudy"/>
          <w:color w:val="231F20"/>
          <w:sz w:val="20"/>
        </w:rPr>
        <w:lastRenderedPageBreak/>
        <w:t xml:space="preserve">ended with the outcome of interest, or on 31 December, 1998, or when they left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as determined by linkage to the electoral roll or from contact with relatives.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CABG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rsidR="00372A22" w:rsidRPr="00E85862" w:rsidRDefault="00372A22" w:rsidP="00DB3A8F">
      <w:pPr>
        <w:pStyle w:val="HTMLPreformatted"/>
        <w:ind w:left="360"/>
        <w:rPr>
          <w:rFonts w:ascii="Times New Roman" w:hAnsi="Times New Roman" w:cs="Times New Roman"/>
          <w:sz w:val="24"/>
        </w:rPr>
      </w:pPr>
    </w:p>
    <w:p w:rsidR="00372A22" w:rsidRPr="00E85862" w:rsidRDefault="00372A22">
      <w:pPr>
        <w:pStyle w:val="HTMLPreformatted"/>
        <w:ind w:left="360"/>
        <w:rPr>
          <w:rFonts w:ascii="Times New Roman" w:hAnsi="Times New Roman" w:cs="Times New Roman"/>
          <w:sz w:val="24"/>
        </w:rPr>
      </w:pPr>
    </w:p>
    <w:p w:rsidR="00372A22" w:rsidRPr="00E85862" w:rsidRDefault="00372A22"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should persons who became cases be included in the random sub-cohort?  Why or why not?  (1 pt)</w:t>
      </w:r>
    </w:p>
    <w:p w:rsidR="00372A22" w:rsidRDefault="00372A22">
      <w:pPr>
        <w:pStyle w:val="HTMLPreformatted"/>
        <w:ind w:left="360"/>
        <w:rPr>
          <w:rFonts w:ascii="Times New Roman" w:hAnsi="Times New Roman" w:cs="Times New Roman"/>
          <w:sz w:val="24"/>
        </w:rPr>
      </w:pPr>
    </w:p>
    <w:p w:rsidR="00791F3D" w:rsidRPr="00E85862" w:rsidRDefault="00791F3D">
      <w:pPr>
        <w:pStyle w:val="HTMLPreformatted"/>
        <w:ind w:left="360"/>
        <w:rPr>
          <w:rFonts w:ascii="Times New Roman" w:hAnsi="Times New Roman" w:cs="Times New Roman"/>
          <w:sz w:val="24"/>
        </w:rPr>
      </w:pPr>
    </w:p>
    <w:p w:rsidR="00372A22" w:rsidRPr="00E85862" w:rsidRDefault="00372A22" w:rsidP="003954B1">
      <w:pPr>
        <w:pStyle w:val="HTMLPreformatted"/>
        <w:numPr>
          <w:ilvl w:val="0"/>
          <w:numId w:val="5"/>
        </w:numPr>
        <w:tabs>
          <w:tab w:val="clear" w:pos="735"/>
          <w:tab w:val="num" w:pos="360"/>
        </w:tabs>
        <w:ind w:left="360" w:hanging="360"/>
        <w:rPr>
          <w:rFonts w:ascii="Times New Roman" w:hAnsi="Times New Roman" w:cs="Times New Roman"/>
          <w:sz w:val="24"/>
        </w:rPr>
      </w:pPr>
      <w:r w:rsidRPr="00E85862">
        <w:rPr>
          <w:rFonts w:ascii="Times New Roman" w:hAnsi="Times New Roman" w:cs="Times New Roman"/>
          <w:sz w:val="24"/>
        </w:rPr>
        <w:t xml:space="preserve">Cases include those who died of CHD or stroke.  Should those subjects in the “random sub-cohort” who </w:t>
      </w:r>
      <w:r>
        <w:rPr>
          <w:rFonts w:ascii="Times New Roman" w:hAnsi="Times New Roman" w:cs="Times New Roman"/>
          <w:sz w:val="24"/>
        </w:rPr>
        <w:t xml:space="preserve">eventually </w:t>
      </w:r>
      <w:r w:rsidRPr="00E85862">
        <w:rPr>
          <w:rFonts w:ascii="Times New Roman" w:hAnsi="Times New Roman" w:cs="Times New Roman"/>
          <w:sz w:val="24"/>
        </w:rPr>
        <w:t xml:space="preserve">died of other causes, other than CHD or stroke, be included in the control group?  Why or why not? </w:t>
      </w:r>
      <w:r>
        <w:rPr>
          <w:rFonts w:ascii="Times New Roman" w:hAnsi="Times New Roman" w:cs="Times New Roman"/>
          <w:sz w:val="24"/>
        </w:rPr>
        <w:t xml:space="preserve"> </w:t>
      </w:r>
      <w:r w:rsidRPr="00E85862">
        <w:rPr>
          <w:rFonts w:ascii="Times New Roman" w:hAnsi="Times New Roman" w:cs="Times New Roman"/>
          <w:sz w:val="24"/>
        </w:rPr>
        <w:t>(1 pt)</w:t>
      </w:r>
    </w:p>
    <w:p w:rsidR="00372A22" w:rsidRPr="00E85862" w:rsidRDefault="00372A22">
      <w:pPr>
        <w:pStyle w:val="HTMLPreformatted"/>
        <w:ind w:left="360"/>
        <w:rPr>
          <w:rFonts w:ascii="Times New Roman" w:hAnsi="Times New Roman" w:cs="Times New Roman"/>
          <w:sz w:val="16"/>
          <w:szCs w:val="16"/>
        </w:rPr>
      </w:pPr>
    </w:p>
    <w:p w:rsidR="00372A22" w:rsidRPr="00E85862" w:rsidRDefault="00372A22">
      <w:pPr>
        <w:pStyle w:val="HTMLPreformatted"/>
        <w:ind w:left="360"/>
        <w:rPr>
          <w:rFonts w:ascii="Times New Roman" w:hAnsi="Times New Roman" w:cs="Times New Roman"/>
          <w:sz w:val="16"/>
          <w:szCs w:val="16"/>
        </w:rPr>
      </w:pPr>
    </w:p>
    <w:p w:rsidR="00791F3D" w:rsidRDefault="00791F3D" w:rsidP="003954B1">
      <w:pPr>
        <w:pStyle w:val="HTMLPreformatted"/>
        <w:tabs>
          <w:tab w:val="clear" w:pos="916"/>
          <w:tab w:val="left" w:pos="360"/>
        </w:tabs>
        <w:ind w:left="360" w:hanging="360"/>
        <w:rPr>
          <w:rFonts w:ascii="Times New Roman" w:hAnsi="Times New Roman" w:cs="Times New Roman"/>
          <w:sz w:val="24"/>
        </w:rPr>
      </w:pPr>
    </w:p>
    <w:p w:rsidR="00372A22" w:rsidRPr="00E85862" w:rsidRDefault="00372A22" w:rsidP="003954B1">
      <w:pPr>
        <w:pStyle w:val="HTMLPreformatted"/>
        <w:tabs>
          <w:tab w:val="clear" w:pos="916"/>
          <w:tab w:val="left" w:pos="360"/>
        </w:tabs>
        <w:ind w:left="360" w:hanging="360"/>
        <w:rPr>
          <w:rFonts w:ascii="Times New Roman" w:hAnsi="Times New Roman" w:cs="Times New Roman"/>
          <w:sz w:val="24"/>
        </w:rPr>
      </w:pPr>
      <w:r w:rsidRPr="00E85862">
        <w:rPr>
          <w:rFonts w:ascii="Times New Roman" w:hAnsi="Times New Roman" w:cs="Times New Roman"/>
          <w:sz w:val="24"/>
        </w:rPr>
        <w:t>(c)  You want to investigate the relationship between sialic acid and cancer incidence, using a case-cohort design using the same Busselton Health Survey.  After removing the prevalent cancer cases at baseline, can you use the same control group that the present authors did?  Why or why not?  (1 pt)</w:t>
      </w:r>
    </w:p>
    <w:p w:rsidR="00372A22" w:rsidRPr="00E85862" w:rsidRDefault="00372A22">
      <w:pPr>
        <w:pStyle w:val="HTMLPreformatted"/>
        <w:ind w:left="360"/>
        <w:rPr>
          <w:rFonts w:ascii="Times New Roman" w:hAnsi="Times New Roman" w:cs="Times New Roman"/>
          <w:sz w:val="16"/>
          <w:szCs w:val="16"/>
        </w:rPr>
      </w:pPr>
    </w:p>
    <w:p w:rsidR="00372A22" w:rsidRDefault="00372A22">
      <w:pPr>
        <w:pStyle w:val="HTMLPreformatted"/>
        <w:ind w:left="360"/>
        <w:rPr>
          <w:rFonts w:ascii="Times New Roman" w:hAnsi="Times New Roman" w:cs="Times New Roman"/>
          <w:sz w:val="16"/>
          <w:szCs w:val="16"/>
        </w:rPr>
      </w:pPr>
      <w:r w:rsidRPr="00E85862">
        <w:rPr>
          <w:rFonts w:ascii="Times New Roman" w:hAnsi="Times New Roman" w:cs="Times New Roman"/>
          <w:sz w:val="16"/>
          <w:szCs w:val="16"/>
        </w:rPr>
        <w:t xml:space="preserve"> </w:t>
      </w:r>
    </w:p>
    <w:p w:rsidR="00372A22" w:rsidRPr="00E85862" w:rsidRDefault="00372A22">
      <w:pPr>
        <w:pStyle w:val="HTMLPreformatted"/>
        <w:ind w:left="360"/>
        <w:rPr>
          <w:rFonts w:ascii="Times New Roman" w:hAnsi="Times New Roman" w:cs="Times New Roman"/>
          <w:sz w:val="16"/>
          <w:szCs w:val="16"/>
        </w:rPr>
      </w:pPr>
    </w:p>
    <w:p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(d) </w:t>
      </w:r>
      <w:r w:rsidRPr="00E85862">
        <w:rPr>
          <w:rFonts w:ascii="Times New Roman" w:hAnsi="Times New Roman" w:cs="Times New Roman"/>
          <w:sz w:val="24"/>
        </w:rPr>
        <w:tab/>
        <w:t xml:space="preserve">It is stated that “about 55% of the eligible disease-free cohort had sufficient viable blood serum available in the storage facility”.  What else would you want to know to assess the validity of using this 55% as the control group? </w:t>
      </w:r>
      <w:r>
        <w:rPr>
          <w:rFonts w:ascii="Times New Roman" w:hAnsi="Times New Roman" w:cs="Times New Roman"/>
          <w:sz w:val="24"/>
        </w:rPr>
        <w:t xml:space="preserve"> </w:t>
      </w:r>
      <w:r w:rsidRPr="00E85862">
        <w:rPr>
          <w:rFonts w:ascii="Times New Roman" w:hAnsi="Times New Roman" w:cs="Times New Roman"/>
          <w:sz w:val="24"/>
        </w:rPr>
        <w:t>(1 pt)</w:t>
      </w:r>
    </w:p>
    <w:p w:rsidR="00372A22" w:rsidRPr="00E85862" w:rsidRDefault="00372A22">
      <w:pPr>
        <w:pStyle w:val="HTMLPreformatted"/>
        <w:ind w:left="360"/>
        <w:rPr>
          <w:rFonts w:ascii="Times New Roman" w:hAnsi="Times New Roman" w:cs="Times New Roman"/>
          <w:sz w:val="16"/>
          <w:szCs w:val="16"/>
        </w:rPr>
      </w:pPr>
    </w:p>
    <w:p w:rsidR="00372A22" w:rsidRPr="00E85862" w:rsidRDefault="00372A22">
      <w:pPr>
        <w:pStyle w:val="HTMLPreformatted"/>
        <w:ind w:left="360"/>
        <w:rPr>
          <w:rFonts w:ascii="Times New Roman" w:hAnsi="Times New Roman" w:cs="Times New Roman"/>
          <w:sz w:val="24"/>
        </w:rPr>
      </w:pPr>
    </w:p>
    <w:p w:rsidR="00372A22" w:rsidRPr="00E85862" w:rsidRDefault="00372A22">
      <w:pPr>
        <w:pStyle w:val="HTMLPreformatted"/>
        <w:ind w:left="360"/>
        <w:rPr>
          <w:rFonts w:ascii="Times New Roman" w:hAnsi="Times New Roman" w:cs="Times New Roman"/>
          <w:sz w:val="16"/>
          <w:szCs w:val="16"/>
        </w:rPr>
      </w:pPr>
    </w:p>
    <w:p w:rsidR="00372A22" w:rsidRPr="00E85862" w:rsidRDefault="00372A22" w:rsidP="003954B1">
      <w:pPr>
        <w:pStyle w:val="HTMLPreformatted"/>
        <w:ind w:left="360" w:hanging="360"/>
        <w:rPr>
          <w:rFonts w:ascii="Times New Roman" w:hAnsi="Times New Roman" w:cs="Times New Roman"/>
          <w:sz w:val="24"/>
        </w:rPr>
      </w:pPr>
      <w:r>
        <w:rPr>
          <w:rFonts w:ascii="Times New Roman" w:hAnsi="Times New Roman" w:cs="Times New Roman"/>
          <w:sz w:val="24"/>
        </w:rPr>
        <w:br w:type="page"/>
      </w:r>
      <w:r w:rsidRPr="00E85862">
        <w:rPr>
          <w:rFonts w:ascii="Times New Roman" w:hAnsi="Times New Roman" w:cs="Times New Roman"/>
          <w:sz w:val="24"/>
        </w:rPr>
        <w:lastRenderedPageBreak/>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rsidR="00372A22" w:rsidRPr="00E85862" w:rsidRDefault="00372A22">
      <w:pPr>
        <w:pStyle w:val="HTMLPreformatted"/>
        <w:ind w:left="360"/>
        <w:rPr>
          <w:rFonts w:ascii="Times New Roman" w:hAnsi="Times New Roman" w:cs="Times New Roman"/>
          <w:sz w:val="24"/>
        </w:rPr>
      </w:pPr>
    </w:p>
    <w:p w:rsidR="00372A22"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4"/>
        </w:rPr>
      </w:pPr>
      <w:r w:rsidRPr="00E85862">
        <w:rPr>
          <w:rFonts w:ascii="Times New Roman" w:hAnsi="Times New Roman" w:cs="Times New Roman"/>
          <w:sz w:val="24"/>
        </w:rPr>
        <w:t>Variable</w:t>
      </w:r>
      <w:r w:rsidRPr="00E85862">
        <w:rPr>
          <w:rFonts w:ascii="Times New Roman" w:hAnsi="Times New Roman" w:cs="Times New Roman"/>
          <w:sz w:val="24"/>
        </w:rPr>
        <w:tab/>
      </w:r>
      <w:r w:rsidRPr="00E85862">
        <w:rPr>
          <w:rFonts w:ascii="Times New Roman" w:hAnsi="Times New Roman" w:cs="Times New Roman"/>
          <w:sz w:val="24"/>
        </w:rPr>
        <w:tab/>
        <w:t xml:space="preserve">      CHD cases</w:t>
      </w:r>
      <w:r w:rsidRPr="00E85862">
        <w:rPr>
          <w:rFonts w:ascii="Times New Roman" w:hAnsi="Times New Roman" w:cs="Times New Roman"/>
          <w:sz w:val="24"/>
        </w:rPr>
        <w:tab/>
        <w:t xml:space="preserve">   Stroke cases          </w:t>
      </w:r>
      <w:r>
        <w:rPr>
          <w:rFonts w:ascii="Times New Roman" w:hAnsi="Times New Roman" w:cs="Times New Roman"/>
          <w:sz w:val="24"/>
        </w:rPr>
        <w:tab/>
      </w:r>
      <w:r w:rsidRPr="00E85862">
        <w:rPr>
          <w:rFonts w:ascii="Times New Roman" w:hAnsi="Times New Roman" w:cs="Times New Roman"/>
          <w:sz w:val="24"/>
        </w:rPr>
        <w:t xml:space="preserve">Random   </w:t>
      </w:r>
      <w:r>
        <w:rPr>
          <w:rFonts w:ascii="Times New Roman" w:hAnsi="Times New Roman" w:cs="Times New Roman"/>
          <w:sz w:val="24"/>
        </w:rPr>
        <w:tab/>
        <w:t>F</w:t>
      </w:r>
      <w:r w:rsidRPr="00E85862">
        <w:rPr>
          <w:rFonts w:ascii="Times New Roman" w:hAnsi="Times New Roman" w:cs="Times New Roman"/>
          <w:sz w:val="24"/>
        </w:rPr>
        <w:t>ull</w:t>
      </w:r>
    </w:p>
    <w:p w:rsidR="00372A22" w:rsidRPr="00E85862" w:rsidRDefault="00372A22" w:rsidP="0019787E">
      <w:pPr>
        <w:pStyle w:val="HTMLPreformatted"/>
        <w:tabs>
          <w:tab w:val="clear" w:pos="6412"/>
          <w:tab w:val="clear" w:pos="8244"/>
          <w:tab w:val="left" w:pos="6840"/>
          <w:tab w:val="left" w:pos="8730"/>
        </w:tabs>
        <w:ind w:left="36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85862">
        <w:rPr>
          <w:rFonts w:ascii="Times New Roman" w:hAnsi="Times New Roman" w:cs="Times New Roman"/>
          <w:sz w:val="24"/>
        </w:rPr>
        <w:t>sub</w:t>
      </w:r>
      <w:r>
        <w:rPr>
          <w:rFonts w:ascii="Times New Roman" w:hAnsi="Times New Roman" w:cs="Times New Roman"/>
          <w:sz w:val="24"/>
        </w:rPr>
        <w:t>-cohort</w:t>
      </w:r>
      <w:r>
        <w:rPr>
          <w:rFonts w:ascii="Times New Roman" w:hAnsi="Times New Roman" w:cs="Times New Roman"/>
          <w:sz w:val="24"/>
        </w:rPr>
        <w:tab/>
      </w:r>
      <w:r w:rsidRPr="00E85862">
        <w:rPr>
          <w:rFonts w:ascii="Times New Roman" w:hAnsi="Times New Roman" w:cs="Times New Roman"/>
          <w:sz w:val="24"/>
        </w:rPr>
        <w:t>cohort</w:t>
      </w:r>
      <w:r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62920B71" wp14:editId="17CDEC75">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rsidR="00372A22" w:rsidRPr="00E85862" w:rsidRDefault="00372A22">
      <w:pPr>
        <w:pStyle w:val="HTMLPreformatted"/>
        <w:ind w:left="360"/>
        <w:rPr>
          <w:rFonts w:ascii="Times New Roman" w:hAnsi="Times New Roman" w:cs="Times New Roman"/>
          <w:sz w:val="24"/>
        </w:rPr>
      </w:pPr>
    </w:p>
    <w:p w:rsidR="00372A22" w:rsidRPr="00E85862" w:rsidRDefault="00372A22">
      <w:pPr>
        <w:pStyle w:val="HTMLPreformatted"/>
        <w:ind w:left="360"/>
        <w:rPr>
          <w:rFonts w:ascii="Times New Roman" w:hAnsi="Times New Roman" w:cs="Times New Roman"/>
          <w:sz w:val="24"/>
        </w:rPr>
      </w:pPr>
    </w:p>
    <w:p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 xml:space="preserve">Using the available data in Table 1 for women only (n = 886) that is reproduced above, calculate the measure of association between having a sialic acid level greater than 87.4 mg/dl and the occurrence of CHD.  What kind of measure of association is this (e.g., prevalence ratio, risk ratio, risk difference, etc)? </w:t>
      </w:r>
      <w:r>
        <w:rPr>
          <w:rFonts w:ascii="Times New Roman" w:hAnsi="Times New Roman" w:cs="Times New Roman"/>
          <w:sz w:val="24"/>
        </w:rPr>
        <w:t xml:space="preserve"> </w:t>
      </w:r>
      <w:r w:rsidRPr="00E85862">
        <w:rPr>
          <w:rFonts w:ascii="Times New Roman" w:hAnsi="Times New Roman" w:cs="Times New Roman"/>
          <w:sz w:val="24"/>
        </w:rPr>
        <w:t>(1 pt)</w:t>
      </w:r>
    </w:p>
    <w:p w:rsidR="00372A22" w:rsidRPr="00E85862" w:rsidRDefault="00372A22">
      <w:pPr>
        <w:pStyle w:val="HTMLPreformatted"/>
        <w:ind w:left="360"/>
        <w:rPr>
          <w:rFonts w:ascii="Times New Roman" w:hAnsi="Times New Roman" w:cs="Times New Roman"/>
          <w:sz w:val="24"/>
        </w:rPr>
      </w:pPr>
    </w:p>
    <w:p w:rsidR="00372A22" w:rsidRPr="00E85862" w:rsidRDefault="00372A22">
      <w:pPr>
        <w:pStyle w:val="HTMLPreformatted"/>
        <w:ind w:left="360"/>
        <w:rPr>
          <w:rFonts w:ascii="Times New Roman" w:hAnsi="Times New Roman" w:cs="Times New Roman"/>
          <w:sz w:val="24"/>
        </w:rPr>
      </w:pPr>
    </w:p>
    <w:p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the Busselton Health Survey today and gather all of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w:t>
      </w:r>
      <w:r>
        <w:rPr>
          <w:rFonts w:ascii="Times New Roman" w:hAnsi="Times New Roman" w:cs="Times New Roman"/>
          <w:sz w:val="24"/>
        </w:rPr>
        <w:t>,</w:t>
      </w:r>
      <w:r w:rsidRPr="00E85862">
        <w:rPr>
          <w:rFonts w:ascii="Times New Roman" w:hAnsi="Times New Roman" w:cs="Times New Roman"/>
          <w:sz w:val="24"/>
        </w:rPr>
        <w:t xml:space="preserve"> in order to add statistical power to an analysis of a new potential disease determinant you have discovered</w:t>
      </w:r>
      <w:r>
        <w:rPr>
          <w:rFonts w:ascii="Times New Roman" w:hAnsi="Times New Roman" w:cs="Times New Roman"/>
          <w:sz w:val="24"/>
        </w:rPr>
        <w:t>.  This new determinant is also measureable in stored blood specimens</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(1 pt)  </w:t>
      </w:r>
    </w:p>
    <w:p w:rsidR="00372A22" w:rsidRPr="00E85862" w:rsidRDefault="00372A22">
      <w:pPr>
        <w:pStyle w:val="HTMLPreformatted"/>
        <w:ind w:left="360"/>
        <w:rPr>
          <w:rFonts w:ascii="Times New Roman" w:hAnsi="Times New Roman" w:cs="Times New Roman"/>
          <w:sz w:val="24"/>
        </w:rPr>
      </w:pPr>
    </w:p>
    <w:p w:rsidR="00372A22" w:rsidRPr="00E85862" w:rsidRDefault="00372A22">
      <w:pPr>
        <w:pStyle w:val="HTMLPreformatted"/>
        <w:ind w:left="360"/>
        <w:rPr>
          <w:rFonts w:ascii="Times New Roman" w:hAnsi="Times New Roman" w:cs="Times New Roman"/>
          <w:sz w:val="24"/>
        </w:rPr>
      </w:pPr>
    </w:p>
    <w:p w:rsidR="00372A22" w:rsidRPr="00E85862" w:rsidRDefault="00372A22">
      <w:pPr>
        <w:pStyle w:val="HTMLPreformatted"/>
        <w:ind w:left="360"/>
        <w:rPr>
          <w:rFonts w:ascii="Times New Roman" w:hAnsi="Times New Roman" w:cs="Times New Roman"/>
          <w:sz w:val="24"/>
        </w:rPr>
      </w:pPr>
    </w:p>
    <w:p w:rsidR="00372A22" w:rsidRPr="00E85862" w:rsidRDefault="00372A22">
      <w:pPr>
        <w:pStyle w:val="HTMLPreformatted"/>
        <w:rPr>
          <w:rFonts w:ascii="Times New Roman" w:hAnsi="Times New Roman" w:cs="Times New Roman"/>
          <w:sz w:val="24"/>
        </w:rPr>
      </w:pPr>
    </w:p>
    <w:p w:rsidR="00372A22" w:rsidRPr="00E85862" w:rsidRDefault="00372A22" w:rsidP="006D76AB">
      <w:pPr>
        <w:tabs>
          <w:tab w:val="left" w:pos="360"/>
        </w:tabs>
        <w:ind w:left="360" w:hanging="360"/>
      </w:pPr>
      <w:r w:rsidRPr="00E85862">
        <w:br w:type="page"/>
      </w:r>
    </w:p>
    <w:p w:rsidR="00372A22" w:rsidRDefault="00372A22" w:rsidP="006D76AB">
      <w:pPr>
        <w:tabs>
          <w:tab w:val="left" w:pos="360"/>
        </w:tabs>
        <w:ind w:left="360" w:hanging="360"/>
      </w:pPr>
      <w:r w:rsidRPr="00E85862">
        <w:lastRenderedPageBreak/>
        <w:t xml:space="preserve">2.  </w:t>
      </w:r>
      <w:r>
        <w:tab/>
        <w:t>Consider the following abstract:</w:t>
      </w:r>
    </w:p>
    <w:p w:rsidR="00372A22" w:rsidRDefault="00372A22" w:rsidP="006D76AB">
      <w:pPr>
        <w:tabs>
          <w:tab w:val="left" w:pos="360"/>
        </w:tabs>
        <w:ind w:left="360" w:hanging="360"/>
      </w:pPr>
    </w:p>
    <w:p w:rsidR="00372A22" w:rsidRPr="006049BB" w:rsidRDefault="00372A22" w:rsidP="006D76AB">
      <w:pPr>
        <w:tabs>
          <w:tab w:val="left" w:pos="360"/>
        </w:tabs>
        <w:ind w:left="360"/>
        <w:rPr>
          <w:sz w:val="20"/>
        </w:rPr>
      </w:pPr>
      <w:r w:rsidRPr="006049BB">
        <w:rPr>
          <w:sz w:val="20"/>
        </w:rPr>
        <w:t>Cardiac autonomic activity, as assessed by heart rate variability, has been</w:t>
      </w:r>
      <w:r w:rsidRPr="006049BB">
        <w:rPr>
          <w:sz w:val="20"/>
          <w:vertAlign w:val="superscript"/>
        </w:rPr>
        <w:t xml:space="preserve"> </w:t>
      </w:r>
      <w:r w:rsidRPr="006049BB">
        <w:rPr>
          <w:sz w:val="20"/>
        </w:rPr>
        <w:t>found to be associated with postmyocardial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r w:rsidRPr="006049BB">
        <w:rPr>
          <w:sz w:val="20"/>
        </w:rPr>
        <w:t>sympatho-parasympathetic,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rsidR="00372A22" w:rsidRDefault="00372A22" w:rsidP="006D76AB">
      <w:pPr>
        <w:tabs>
          <w:tab w:val="left" w:pos="360"/>
        </w:tabs>
        <w:ind w:left="360" w:hanging="360"/>
      </w:pPr>
    </w:p>
    <w:p w:rsidR="00372A22" w:rsidRDefault="00372A22" w:rsidP="006D76AB">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in the </w:t>
      </w:r>
      <w:r w:rsidRPr="00E85862">
        <w:t>following abstract</w:t>
      </w:r>
      <w:r>
        <w:t xml:space="preserve">?  </w:t>
      </w:r>
      <w:r w:rsidRPr="00E85862">
        <w:t>(1 pt)  Justify your decision by referencing specific wording in the abstract</w:t>
      </w:r>
      <w:r>
        <w:t>.</w:t>
      </w:r>
      <w:r w:rsidRPr="00E85862">
        <w:t xml:space="preserve"> </w:t>
      </w:r>
      <w:r>
        <w:t xml:space="preserve"> </w:t>
      </w:r>
      <w:r w:rsidRPr="00E85862">
        <w:t xml:space="preserve">(1 pt)  </w:t>
      </w:r>
    </w:p>
    <w:p w:rsidR="00372A22" w:rsidRDefault="00372A22" w:rsidP="006D76AB">
      <w:pPr>
        <w:tabs>
          <w:tab w:val="left" w:pos="360"/>
        </w:tabs>
        <w:ind w:left="360" w:hanging="360"/>
      </w:pPr>
    </w:p>
    <w:p w:rsidR="00372A22" w:rsidRPr="00E85862" w:rsidRDefault="00372A22" w:rsidP="006D76AB">
      <w:pPr>
        <w:pStyle w:val="PlainText"/>
        <w:ind w:left="360"/>
        <w:rPr>
          <w:rFonts w:ascii="Times New Roman" w:hAnsi="Times New Roman"/>
          <w:sz w:val="24"/>
        </w:rPr>
      </w:pPr>
    </w:p>
    <w:p w:rsidR="00372A22" w:rsidRDefault="00372A22" w:rsidP="006D76AB">
      <w:pPr>
        <w:pStyle w:val="PlainText"/>
        <w:ind w:left="360" w:hanging="360"/>
        <w:rPr>
          <w:rFonts w:ascii="Times New Roman" w:hAnsi="Times New Roman"/>
          <w:sz w:val="24"/>
        </w:rPr>
      </w:pPr>
      <w:r>
        <w:rPr>
          <w:rFonts w:ascii="Times New Roman" w:hAnsi="Times New Roman"/>
          <w:sz w:val="24"/>
          <w:szCs w:val="24"/>
        </w:rPr>
        <w:t xml:space="preserve">(b)  </w:t>
      </w:r>
      <w:r w:rsidRPr="006049BB">
        <w:rPr>
          <w:rFonts w:ascii="Times New Roman" w:hAnsi="Times New Roman"/>
          <w:sz w:val="24"/>
          <w:szCs w:val="24"/>
        </w:rPr>
        <w:t>Why do you think the authors, who were very experienced epidemiologists, performed this type of design as opposed to analyzing the entire ARIC cohort (N= 15,792) with a survival analysis?  (1 pt)</w:t>
      </w:r>
    </w:p>
    <w:p w:rsidR="00372A22" w:rsidRDefault="00372A22" w:rsidP="006D76AB">
      <w:pPr>
        <w:pStyle w:val="PlainText"/>
        <w:ind w:left="360"/>
        <w:rPr>
          <w:rFonts w:ascii="Times New Roman" w:hAnsi="Times New Roman"/>
          <w:sz w:val="24"/>
        </w:rPr>
      </w:pPr>
    </w:p>
    <w:p w:rsidR="00372A22" w:rsidRPr="00E85862" w:rsidRDefault="00372A22" w:rsidP="006D76AB">
      <w:pPr>
        <w:tabs>
          <w:tab w:val="left" w:pos="360"/>
        </w:tabs>
        <w:ind w:left="360" w:hanging="360"/>
      </w:pPr>
    </w:p>
    <w:p w:rsidR="00372A22" w:rsidRDefault="00372A22" w:rsidP="00DA66DF">
      <w:pPr>
        <w:tabs>
          <w:tab w:val="left" w:pos="360"/>
        </w:tabs>
        <w:ind w:left="360" w:hanging="360"/>
      </w:pPr>
      <w:r w:rsidRPr="00E85862">
        <w:rPr>
          <w:szCs w:val="24"/>
        </w:rPr>
        <w:br w:type="page"/>
      </w:r>
      <w:r w:rsidRPr="00E85862">
        <w:rPr>
          <w:szCs w:val="24"/>
        </w:rPr>
        <w:lastRenderedPageBreak/>
        <w:t xml:space="preserve">3.  </w:t>
      </w:r>
      <w:r w:rsidRPr="00E85862">
        <w:rPr>
          <w:szCs w:val="24"/>
        </w:rPr>
        <w:tab/>
      </w:r>
      <w:r w:rsidRPr="00E85862">
        <w:t>Read the following abstract.  What type of case-control sampling do you think was used</w:t>
      </w:r>
      <w:r>
        <w:t>?</w:t>
      </w:r>
      <w:r w:rsidRPr="00E85862">
        <w:t xml:space="preserve"> </w:t>
      </w:r>
      <w:r>
        <w:t xml:space="preserve"> </w:t>
      </w:r>
    </w:p>
    <w:p w:rsidR="00372A22" w:rsidRPr="00E85862" w:rsidRDefault="00372A22" w:rsidP="00BA160B">
      <w:pPr>
        <w:tabs>
          <w:tab w:val="left" w:pos="360"/>
        </w:tabs>
        <w:ind w:left="360"/>
      </w:pPr>
      <w:r w:rsidRPr="00E85862">
        <w:t>(1 pt)  Defend your choice by specific reference to wording in the abstract.</w:t>
      </w:r>
      <w:r>
        <w:t xml:space="preserve"> </w:t>
      </w:r>
      <w:r w:rsidRPr="00E85862">
        <w:t xml:space="preserve"> (1 pt)</w:t>
      </w:r>
    </w:p>
    <w:p w:rsidR="00372A22" w:rsidRPr="00E85862" w:rsidRDefault="00372A22">
      <w:pPr>
        <w:pStyle w:val="PlainText"/>
        <w:rPr>
          <w:rFonts w:ascii="Times New Roman" w:hAnsi="Times New Roman"/>
          <w:sz w:val="22"/>
        </w:rPr>
      </w:pPr>
    </w:p>
    <w:p w:rsidR="00372A22" w:rsidRPr="00EC7CF7" w:rsidRDefault="00372A22" w:rsidP="00CC6A34">
      <w:pPr>
        <w:pStyle w:val="PlainText"/>
        <w:ind w:left="360"/>
        <w:rPr>
          <w:rFonts w:ascii="Times New Roman" w:hAnsi="Times New Roman"/>
        </w:rPr>
      </w:pPr>
      <w:r w:rsidRPr="00EC7CF7">
        <w:rPr>
          <w:rFonts w:ascii="Times New Roman" w:hAnsi="Times New Roman"/>
        </w:rPr>
        <w:t xml:space="preserve">A case-control study was conducted to examine risk factors for HIV seroconversion (incident infection with HIV) in homosexual men between 1982 and 1994 who were enrolled in four cohorts in:  Amsterdam, the Netherlands; San Francisco, California; Vancouver, Canada; and Sydney, Australia.  In a case-control study, sexual behaviors, substance use, and presence of sexually transmitted disease were compared between 345 HIV-positive cases and 345 seronegative controls matched by study visit-number (which are conducted every 3 months) and site. Receptive anal intercourse was the sexual behavior most highly associated with seroconversion. The odds ratio (OR)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To more carefully examine risk associated with receptive oral intercourse, analyses were done in a subgroup of men who reported no or one receptive anal intercourse partner. The OR associated with receptive oral intercourse partner increase was 1.05 (95% CI 1.0-1.11). In multivariate conditional logistic regression analyses, presence of sexually transmitted disease (OR = 3.39, 95% CI 1.95-5.91) and amphetamine use (OR = 2.55, 95% CI 1.26-5.15) were independently associated with seroconversion.  </w:t>
      </w:r>
    </w:p>
    <w:p w:rsidR="00372A22" w:rsidRPr="00E85862" w:rsidRDefault="00372A22" w:rsidP="0087324C">
      <w:pPr>
        <w:pStyle w:val="PlainText"/>
        <w:ind w:left="1440" w:right="1440"/>
        <w:rPr>
          <w:rFonts w:ascii="Times New Roman" w:hAnsi="Times New Roman"/>
        </w:rPr>
      </w:pPr>
    </w:p>
    <w:p w:rsidR="00372A22" w:rsidRPr="00E85862" w:rsidRDefault="00372A22">
      <w:pPr>
        <w:pStyle w:val="PlainText"/>
        <w:rPr>
          <w:rFonts w:ascii="Times New Roman" w:hAnsi="Times New Roman"/>
          <w:sz w:val="12"/>
        </w:rPr>
      </w:pPr>
    </w:p>
    <w:p w:rsidR="00372A22" w:rsidRPr="00E85862" w:rsidRDefault="00372A22" w:rsidP="00DA66DF">
      <w:pPr>
        <w:ind w:left="360" w:hanging="360"/>
      </w:pPr>
      <w:r w:rsidRPr="00E85862">
        <w:br w:type="page"/>
      </w:r>
      <w:r w:rsidRPr="00E85862">
        <w:lastRenderedPageBreak/>
        <w:t xml:space="preserve">4. </w:t>
      </w:r>
      <w:r w:rsidRPr="00E85862">
        <w:tab/>
        <w:t xml:space="preserve">Read the following abstract.  </w:t>
      </w:r>
    </w:p>
    <w:p w:rsidR="00372A22" w:rsidRPr="00E85862" w:rsidRDefault="00372A22">
      <w:pPr>
        <w:pStyle w:val="PlainText"/>
        <w:rPr>
          <w:rFonts w:ascii="Times New Roman" w:hAnsi="Times New Roman"/>
          <w:sz w:val="22"/>
          <w:szCs w:val="22"/>
        </w:rPr>
      </w:pPr>
    </w:p>
    <w:p w:rsidR="00372A22" w:rsidRPr="00E85862" w:rsidRDefault="00372A22" w:rsidP="008B0EA4">
      <w:pPr>
        <w:pStyle w:val="PlainText"/>
        <w:ind w:left="360"/>
        <w:rPr>
          <w:rFonts w:ascii="Times New Roman" w:hAnsi="Times New Roman"/>
        </w:rPr>
      </w:pPr>
      <w:r w:rsidRPr="00E85862">
        <w:rPr>
          <w:rFonts w:ascii="Times New Roman" w:hAnsi="Times New Roman"/>
          <w:b/>
        </w:rPr>
        <w:t>OBJECTIVE:</w:t>
      </w:r>
      <w:r w:rsidRPr="00E85862">
        <w:rPr>
          <w:rFonts w:ascii="Times New Roman" w:hAnsi="Times New Roman"/>
        </w:rPr>
        <w:t xml:space="preserve"> The molecular basis of sporadic medullary thyroid carcinoma (MTC) remains elusive. A previous report suggested that the presence of a germline variant at RET codon 836 (S836S) was associated with the development of sporadic MTC and, furthermore, that the presence of S836S was highly correlated with</w:t>
      </w:r>
    </w:p>
    <w:p w:rsidR="00372A22" w:rsidRPr="00E85862" w:rsidRDefault="00372A22" w:rsidP="008B0EA4">
      <w:pPr>
        <w:pStyle w:val="PlainText"/>
        <w:ind w:left="360"/>
        <w:rPr>
          <w:rFonts w:ascii="Times New Roman" w:hAnsi="Times New Roman"/>
        </w:rPr>
      </w:pPr>
      <w:r w:rsidRPr="00E85862">
        <w:rPr>
          <w:rFonts w:ascii="Times New Roman" w:hAnsi="Times New Roman"/>
        </w:rPr>
        <w:t xml:space="preserve">somatic RET M918T mutation in the MTC. Thus, we sought to determine if the S836S variant would be associated with sporadic MTC from a completely different population base, that of Andalucia. </w:t>
      </w:r>
    </w:p>
    <w:p w:rsidR="00372A22" w:rsidRPr="00E85862" w:rsidRDefault="00372A22" w:rsidP="008B0EA4">
      <w:pPr>
        <w:pStyle w:val="PlainText"/>
        <w:ind w:left="360"/>
        <w:rPr>
          <w:rFonts w:ascii="Times New Roman" w:hAnsi="Times New Roman"/>
        </w:rPr>
      </w:pPr>
      <w:r w:rsidRPr="00E85862">
        <w:rPr>
          <w:rFonts w:ascii="Times New Roman" w:hAnsi="Times New Roman"/>
          <w:b/>
        </w:rPr>
        <w:t>DESIGN:</w:t>
      </w:r>
      <w:r w:rsidRPr="00E85862">
        <w:rPr>
          <w:rFonts w:ascii="Times New Roman" w:hAnsi="Times New Roman"/>
        </w:rPr>
        <w:t xml:space="preserve"> This is a case-control study to determine whether the presence of RET germline S836S is correlated with sporadic MTC in Andalucia. </w:t>
      </w:r>
      <w:r w:rsidRPr="00293926">
        <w:rPr>
          <w:rFonts w:ascii="Times New Roman" w:hAnsi="Times New Roman"/>
          <w:b/>
        </w:rPr>
        <w:t xml:space="preserve">PATIENTS: </w:t>
      </w:r>
      <w:r w:rsidRPr="00E85862">
        <w:rPr>
          <w:rFonts w:ascii="Times New Roman" w:hAnsi="Times New Roman"/>
        </w:rPr>
        <w:t xml:space="preserve">Thirty-two patients with sporadic MTC from the Andalucia region of Spain, serviced by our University Hospital, were ascertained throughout the period 1995-99. A region and race matched cohort of 250 controls was also obtained. </w:t>
      </w:r>
      <w:r w:rsidRPr="00E85862">
        <w:rPr>
          <w:rFonts w:ascii="Times New Roman" w:hAnsi="Times New Roman"/>
          <w:b/>
        </w:rPr>
        <w:t>MEASUREMENTS:</w:t>
      </w:r>
      <w:r w:rsidRPr="00E85862">
        <w:rPr>
          <w:rFonts w:ascii="Times New Roman" w:hAnsi="Times New Roman"/>
        </w:rPr>
        <w:t xml:space="preserve"> The frequency of the S836S allele was determined in cases and controls and compared using the standard chi-squared statistic and Fisher's exact test. </w:t>
      </w:r>
      <w:r w:rsidRPr="00E85862">
        <w:rPr>
          <w:rFonts w:ascii="Times New Roman" w:hAnsi="Times New Roman"/>
          <w:b/>
        </w:rPr>
        <w:t>RESULTS:</w:t>
      </w:r>
      <w:r w:rsidRPr="00E85862">
        <w:rPr>
          <w:rFonts w:ascii="Times New Roman" w:hAnsi="Times New Roman"/>
        </w:rPr>
        <w:t xml:space="preserve"> The polymorphic allele frequency at codon 836 in the control population (18/500 chromosomes, 3.6%) differed significantly from the MTC case cohort, 9.3% of case chromosomes (six of 64 alleles, Fisher's exact test, two-tailed, P = 0.043). </w:t>
      </w:r>
      <w:r w:rsidRPr="00E85862">
        <w:rPr>
          <w:rFonts w:ascii="Times New Roman" w:hAnsi="Times New Roman"/>
          <w:b/>
        </w:rPr>
        <w:t>CONCLUSIONS:</w:t>
      </w:r>
      <w:r w:rsidRPr="00E85862">
        <w:rPr>
          <w:rFonts w:ascii="Times New Roman" w:hAnsi="Times New Roman"/>
        </w:rPr>
        <w:t xml:space="preserve"> Germline RET S836S variant is associated with a two- to three-fold risk of sporadic MTC in the Spanish population, in accordance with a previous study based on German cases. Our observations suggest that this phenomenon might be universal and not limited to Germany.</w:t>
      </w:r>
    </w:p>
    <w:p w:rsidR="00372A22" w:rsidRPr="00E85862" w:rsidRDefault="00372A22"/>
    <w:p w:rsidR="00372A22" w:rsidRPr="00E85862" w:rsidRDefault="00372A22" w:rsidP="00CC6A34">
      <w:pPr>
        <w:ind w:left="360" w:hanging="360"/>
      </w:pPr>
      <w:r w:rsidRPr="00E85862">
        <w:t xml:space="preserve">(a) </w:t>
      </w:r>
      <w:r w:rsidRPr="00E85862">
        <w:tab/>
        <w:t xml:space="preserve">Can you identify the type of case-control sampling that was used, based on the abstract?  </w:t>
      </w:r>
      <w:r>
        <w:t xml:space="preserve">If so, what was it?  </w:t>
      </w:r>
      <w:r w:rsidRPr="00E85862">
        <w:t>Describe the clues to what type of case-control sampling was done based on the language of this abstract.</w:t>
      </w:r>
      <w:r>
        <w:t xml:space="preserve"> </w:t>
      </w:r>
      <w:r w:rsidRPr="00E85862">
        <w:t xml:space="preserve"> (2 pts)</w:t>
      </w:r>
    </w:p>
    <w:p w:rsidR="00372A22" w:rsidRPr="00E85862" w:rsidRDefault="00372A22" w:rsidP="00CC6A34">
      <w:r w:rsidRPr="00E85862">
        <w:t xml:space="preserve"> </w:t>
      </w:r>
    </w:p>
    <w:p w:rsidR="00AF6CA7" w:rsidRDefault="00AF6CA7" w:rsidP="00CC6A34">
      <w:pPr>
        <w:ind w:left="360" w:hanging="360"/>
      </w:pPr>
    </w:p>
    <w:p w:rsidR="00372A22" w:rsidRPr="00293926" w:rsidRDefault="00372A22" w:rsidP="00CC6A34">
      <w:pPr>
        <w:ind w:left="360" w:hanging="360"/>
        <w:rPr>
          <w:szCs w:val="24"/>
        </w:rPr>
      </w:pPr>
      <w:r w:rsidRPr="00E85862">
        <w:t xml:space="preserve">(b) </w:t>
      </w:r>
      <w:r w:rsidRPr="00293926">
        <w:rPr>
          <w:szCs w:val="24"/>
        </w:rPr>
        <w:tab/>
      </w:r>
      <w:r>
        <w:rPr>
          <w:szCs w:val="24"/>
        </w:rPr>
        <w:t>T</w:t>
      </w:r>
      <w:r w:rsidRPr="00293926">
        <w:rPr>
          <w:szCs w:val="24"/>
        </w:rPr>
        <w:t>he authors state that the “Germline RET S836S variant is associated with a two- to three-fold risk of sporadic MTC</w:t>
      </w:r>
      <w:r>
        <w:rPr>
          <w:szCs w:val="24"/>
        </w:rPr>
        <w:t xml:space="preserve">”. </w:t>
      </w:r>
      <w:r w:rsidRPr="00293926">
        <w:rPr>
          <w:szCs w:val="24"/>
        </w:rPr>
        <w:t xml:space="preserve"> What kind of measure of association is this?  (1 pt) </w:t>
      </w:r>
    </w:p>
    <w:p w:rsidR="00372A22" w:rsidRPr="00293926" w:rsidRDefault="00372A22">
      <w:pPr>
        <w:rPr>
          <w:szCs w:val="24"/>
        </w:rPr>
      </w:pPr>
    </w:p>
    <w:p w:rsidR="00372A22" w:rsidRPr="00E85862" w:rsidRDefault="00372A22">
      <w:pPr>
        <w:pStyle w:val="HTMLPreformatted"/>
        <w:rPr>
          <w:rFonts w:ascii="Times New Roman" w:hAnsi="Times New Roman" w:cs="Times New Roman"/>
          <w:sz w:val="24"/>
        </w:rPr>
      </w:pPr>
    </w:p>
    <w:p w:rsidR="00372A22" w:rsidRPr="00E85862" w:rsidRDefault="00372A22">
      <w:pPr>
        <w:pStyle w:val="HTMLPreformatted"/>
        <w:rPr>
          <w:rFonts w:ascii="Times New Roman" w:hAnsi="Times New Roman" w:cs="Times New Roman"/>
          <w:sz w:val="24"/>
        </w:rPr>
      </w:pPr>
    </w:p>
    <w:p w:rsidR="00372A22" w:rsidRPr="00E85862" w:rsidRDefault="00372A22" w:rsidP="00C07B3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t xml:space="preserve">In a study of pancreatic cancer and cigarette smoking, incident cases of pancreatic cancer were </w:t>
      </w:r>
      <w:r>
        <w:rPr>
          <w:rFonts w:ascii="Times New Roman" w:hAnsi="Times New Roman" w:cs="Times New Roman"/>
          <w:sz w:val="24"/>
        </w:rPr>
        <w:t xml:space="preserve">prospectively </w:t>
      </w:r>
      <w:r w:rsidRPr="00E85862">
        <w:rPr>
          <w:rFonts w:ascii="Times New Roman" w:hAnsi="Times New Roman" w:cs="Times New Roman"/>
          <w:sz w:val="24"/>
        </w:rPr>
        <w:t>identified from the SEER cancer registries</w:t>
      </w:r>
      <w:r>
        <w:rPr>
          <w:rFonts w:ascii="Times New Roman" w:hAnsi="Times New Roman" w:cs="Times New Roman"/>
          <w:sz w:val="24"/>
        </w:rPr>
        <w:t xml:space="preserve"> in San Francisco Bay Area from 2003 to 2013</w:t>
      </w:r>
      <w:r w:rsidRPr="00E85862">
        <w:rPr>
          <w:rFonts w:ascii="Times New Roman" w:hAnsi="Times New Roman" w:cs="Times New Roman"/>
          <w:sz w:val="24"/>
        </w:rPr>
        <w:t>.  Within a month of the cancer diagnosis, two controls were identified from the population served by the registry where the case was identified</w:t>
      </w:r>
      <w:r>
        <w:rPr>
          <w:rFonts w:ascii="Times New Roman" w:hAnsi="Times New Roman" w:cs="Times New Roman"/>
          <w:sz w:val="24"/>
        </w:rPr>
        <w:t>, using door-to-door random sampling of households in the community.</w:t>
      </w:r>
      <w:r w:rsidRPr="00E85862">
        <w:rPr>
          <w:rFonts w:ascii="Times New Roman" w:hAnsi="Times New Roman" w:cs="Times New Roman"/>
          <w:sz w:val="24"/>
        </w:rPr>
        <w:t xml:space="preserve">  The cases and controls were interviewed to determine their smoking status and categorized into “never,” “past,” and “current” smokers.  </w:t>
      </w:r>
      <w:r>
        <w:rPr>
          <w:rFonts w:ascii="Times New Roman" w:hAnsi="Times New Roman" w:cs="Times New Roman"/>
          <w:sz w:val="24"/>
        </w:rPr>
        <w:t xml:space="preserve">(For the cases, “current” refers to the period when the cancer diagnosis was made, not afterwards). </w:t>
      </w:r>
      <w:r w:rsidRPr="00E85862">
        <w:rPr>
          <w:rFonts w:ascii="Times New Roman" w:hAnsi="Times New Roman" w:cs="Times New Roman"/>
          <w:sz w:val="24"/>
        </w:rPr>
        <w:t xml:space="preserve"> Of 135 cases, 24 were current, 83 were past, and 28 were never smokers.  Of 27</w:t>
      </w:r>
      <w:r>
        <w:rPr>
          <w:rFonts w:ascii="Times New Roman" w:hAnsi="Times New Roman" w:cs="Times New Roman"/>
          <w:sz w:val="24"/>
        </w:rPr>
        <w:t>0</w:t>
      </w:r>
      <w:r w:rsidRPr="00E85862">
        <w:rPr>
          <w:rFonts w:ascii="Times New Roman" w:hAnsi="Times New Roman" w:cs="Times New Roman"/>
          <w:sz w:val="24"/>
        </w:rPr>
        <w:t xml:space="preserve"> controls, 30 were current, 157 were past, </w:t>
      </w:r>
      <w:r>
        <w:rPr>
          <w:rFonts w:ascii="Times New Roman" w:hAnsi="Times New Roman" w:cs="Times New Roman"/>
          <w:sz w:val="24"/>
        </w:rPr>
        <w:t>and 83</w:t>
      </w:r>
      <w:r w:rsidRPr="00E85862">
        <w:rPr>
          <w:rFonts w:ascii="Times New Roman" w:hAnsi="Times New Roman" w:cs="Times New Roman"/>
          <w:sz w:val="24"/>
        </w:rPr>
        <w:t xml:space="preserve"> were never smokers</w:t>
      </w:r>
      <w:r>
        <w:rPr>
          <w:rFonts w:ascii="Times New Roman" w:hAnsi="Times New Roman" w:cs="Times New Roman"/>
          <w:sz w:val="24"/>
        </w:rPr>
        <w:t xml:space="preserve">.  </w:t>
      </w:r>
    </w:p>
    <w:p w:rsidR="00372A22" w:rsidRPr="00E85862" w:rsidRDefault="00372A22">
      <w:pPr>
        <w:pStyle w:val="HTMLPreformatted"/>
        <w:ind w:left="360"/>
        <w:rPr>
          <w:rFonts w:ascii="Times New Roman" w:hAnsi="Times New Roman" w:cs="Times New Roman"/>
          <w:sz w:val="24"/>
        </w:rPr>
      </w:pPr>
    </w:p>
    <w:p w:rsidR="00372A22" w:rsidRPr="00E85862" w:rsidRDefault="00372A22" w:rsidP="00AF6CA7">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smoking to never smoking for the occurrence of pancreatic cancer.  Calculate the odds ratio and 95% CI that compares past smoking to never smoking for the occurrence of pancreatic cancer. </w:t>
      </w:r>
      <w:r>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Pr>
          <w:rFonts w:ascii="Times New Roman" w:hAnsi="Times New Roman" w:cs="Times New Roman"/>
          <w:sz w:val="24"/>
        </w:rPr>
        <w:t>.  For purposes of this question, ignore any matching that may have occurred in the selection of the controls.</w:t>
      </w:r>
      <w:r w:rsidRPr="00E85862">
        <w:rPr>
          <w:rFonts w:ascii="Times New Roman" w:hAnsi="Times New Roman" w:cs="Times New Roman"/>
          <w:sz w:val="24"/>
        </w:rPr>
        <w:t xml:space="preserve">  (1 pt)</w:t>
      </w:r>
    </w:p>
    <w:p w:rsidR="00AF6CA7" w:rsidRDefault="00AF6CA7" w:rsidP="00AF6CA7">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372A22" w:rsidRPr="00E85862" w:rsidRDefault="00372A22" w:rsidP="00AF6CA7">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E85862">
        <w:rPr>
          <w:rFonts w:ascii="Times New Roman" w:hAnsi="Times New Roman" w:cs="Times New Roman"/>
          <w:sz w:val="24"/>
        </w:rPr>
        <w:tab/>
      </w:r>
    </w:p>
    <w:p w:rsidR="00372A22" w:rsidRPr="00E85862" w:rsidRDefault="00372A22" w:rsidP="00AF6CA7">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Do these ORs estimate the risk ratio, rate ratio, or neither?  (1 pt)</w:t>
      </w:r>
    </w:p>
    <w:p w:rsidR="00372A22" w:rsidRDefault="00372A22" w:rsidP="00AF6CA7">
      <w:pPr>
        <w:pStyle w:val="HTMLPreformatted"/>
        <w:ind w:left="360"/>
        <w:rPr>
          <w:rFonts w:ascii="Times New Roman" w:hAnsi="Times New Roman" w:cs="Times New Roman"/>
          <w:sz w:val="24"/>
          <w:u w:val="single"/>
        </w:rPr>
      </w:pPr>
    </w:p>
    <w:p w:rsidR="00AF6CA7" w:rsidRPr="00E85862" w:rsidRDefault="00AF6CA7" w:rsidP="00AF6CA7">
      <w:pPr>
        <w:pStyle w:val="HTMLPreformatted"/>
        <w:ind w:left="360"/>
        <w:rPr>
          <w:rFonts w:ascii="Times New Roman" w:hAnsi="Times New Roman" w:cs="Times New Roman"/>
          <w:sz w:val="24"/>
          <w:u w:val="single"/>
        </w:rPr>
      </w:pPr>
    </w:p>
    <w:p w:rsidR="00372A22" w:rsidRPr="00E85862" w:rsidRDefault="00372A22" w:rsidP="00AF6CA7">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Describe the results for current smokers versus never smokers in a </w:t>
      </w:r>
      <w:r w:rsidR="005F7262">
        <w:rPr>
          <w:rFonts w:ascii="Times New Roman" w:hAnsi="Times New Roman" w:cs="Times New Roman"/>
          <w:sz w:val="24"/>
        </w:rPr>
        <w:t xml:space="preserve">clear and informative </w:t>
      </w:r>
      <w:r w:rsidRPr="00E85862">
        <w:rPr>
          <w:rFonts w:ascii="Times New Roman" w:hAnsi="Times New Roman" w:cs="Times New Roman"/>
          <w:sz w:val="24"/>
        </w:rPr>
        <w:t>sentence.  (1 pt)</w:t>
      </w:r>
    </w:p>
    <w:p w:rsidR="00372A22" w:rsidRDefault="00372A22" w:rsidP="00AF6CA7">
      <w:pPr>
        <w:pStyle w:val="HTMLPreformatted"/>
        <w:ind w:left="360"/>
        <w:rPr>
          <w:rFonts w:ascii="Times New Roman" w:hAnsi="Times New Roman" w:cs="Times New Roman"/>
          <w:sz w:val="24"/>
        </w:rPr>
      </w:pPr>
    </w:p>
    <w:p w:rsidR="00AF6CA7" w:rsidRPr="00E85862" w:rsidRDefault="00AF6CA7" w:rsidP="00AF6CA7">
      <w:pPr>
        <w:pStyle w:val="HTMLPreformatted"/>
        <w:ind w:left="360"/>
        <w:rPr>
          <w:rFonts w:ascii="Times New Roman" w:hAnsi="Times New Roman" w:cs="Times New Roman"/>
          <w:sz w:val="24"/>
        </w:rPr>
      </w:pPr>
    </w:p>
    <w:p w:rsidR="00372A22" w:rsidRDefault="00372A22" w:rsidP="00AF6CA7">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Pr>
          <w:rFonts w:ascii="Times New Roman" w:hAnsi="Times New Roman" w:cs="Times New Roman"/>
          <w:sz w:val="24"/>
        </w:rPr>
        <w:t>You desire to estimate the construct that the Szklo and Nieto text terms “percent population attributable risk” as it relates to smoking (combining past smoking and current smoking) but you want to do this in terms of rates.  This is sometimes called “percent population attributable rate” or the “percent attributable rate in the population”.  Do you have all of the data you need to make the calculation?  What must be assumed to make a meaningful estimate?    Explain your answer.  (1 pt)</w:t>
      </w:r>
    </w:p>
    <w:p w:rsidR="00372A22" w:rsidRDefault="00372A22" w:rsidP="00AF6CA7">
      <w:pPr>
        <w:pStyle w:val="HTMLPreformatted"/>
        <w:tabs>
          <w:tab w:val="clear" w:pos="916"/>
          <w:tab w:val="clear" w:pos="1832"/>
          <w:tab w:val="left" w:pos="450"/>
        </w:tabs>
        <w:rPr>
          <w:rFonts w:ascii="Times New Roman" w:hAnsi="Times New Roman" w:cs="Times New Roman"/>
          <w:sz w:val="24"/>
        </w:rPr>
      </w:pPr>
    </w:p>
    <w:p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tbl>
      <w:tblPr>
        <w:tblStyle w:val="TableGrid"/>
        <w:tblW w:w="0" w:type="auto"/>
        <w:tblLook w:val="04A0" w:firstRow="1" w:lastRow="0" w:firstColumn="1" w:lastColumn="0" w:noHBand="0" w:noVBand="1"/>
      </w:tblPr>
      <w:tblGrid>
        <w:gridCol w:w="9576"/>
      </w:tblGrid>
      <w:tr w:rsidR="00791F3D" w:rsidTr="00791F3D">
        <w:tc>
          <w:tcPr>
            <w:tcW w:w="9576" w:type="dxa"/>
          </w:tcPr>
          <w:p w:rsidR="00791F3D" w:rsidRPr="00F851DB" w:rsidRDefault="00791F3D" w:rsidP="00791F3D">
            <w:pPr>
              <w:pStyle w:val="HTMLPreformatted"/>
              <w:tabs>
                <w:tab w:val="clear" w:pos="916"/>
                <w:tab w:val="clear" w:pos="1832"/>
                <w:tab w:val="left" w:pos="450"/>
              </w:tabs>
              <w:rPr>
                <w:rFonts w:ascii="Times New Roman" w:hAnsi="Times New Roman" w:cs="Times New Roman"/>
                <w:b/>
                <w:sz w:val="24"/>
              </w:rPr>
            </w:pPr>
            <w:r>
              <w:rPr>
                <w:rFonts w:ascii="Times New Roman" w:hAnsi="Times New Roman" w:cs="Times New Roman"/>
                <w:sz w:val="24"/>
              </w:rPr>
              <w:t>(e)</w:t>
            </w:r>
            <w:r>
              <w:rPr>
                <w:rFonts w:ascii="Times New Roman" w:hAnsi="Times New Roman" w:cs="Times New Roman"/>
                <w:sz w:val="24"/>
              </w:rPr>
              <w:tab/>
            </w:r>
            <w:r w:rsidRPr="00F851DB">
              <w:rPr>
                <w:rFonts w:ascii="Times New Roman" w:hAnsi="Times New Roman" w:cs="Times New Roman"/>
                <w:b/>
                <w:sz w:val="24"/>
              </w:rPr>
              <w:t>FOR DISCUSSION IN SECTION ONLY</w:t>
            </w:r>
            <w:r>
              <w:rPr>
                <w:rFonts w:ascii="Times New Roman" w:hAnsi="Times New Roman" w:cs="Times New Roman"/>
                <w:b/>
                <w:sz w:val="24"/>
              </w:rPr>
              <w:t>:</w:t>
            </w:r>
          </w:p>
          <w:p w:rsidR="00791F3D" w:rsidRDefault="00791F3D" w:rsidP="00791F3D">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 xml:space="preserve">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2013.  They calculated an odds ratio and then claimed in their paper that this was an unbiased estimate of a rate ratio.  Do you agree with this claim?  Explain your response. </w:t>
            </w:r>
          </w:p>
        </w:tc>
      </w:tr>
    </w:tbl>
    <w:p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rsidR="00372A22" w:rsidRPr="00E85862" w:rsidRDefault="00372A22" w:rsidP="00F9508D">
      <w:pPr>
        <w:tabs>
          <w:tab w:val="left" w:pos="360"/>
        </w:tabs>
        <w:autoSpaceDE w:val="0"/>
        <w:autoSpaceDN w:val="0"/>
        <w:adjustRightInd w:val="0"/>
        <w:ind w:left="360" w:hanging="360"/>
        <w:rPr>
          <w:szCs w:val="24"/>
        </w:rPr>
      </w:pPr>
      <w:r>
        <w:rPr>
          <w:szCs w:val="24"/>
        </w:rPr>
        <w:br w:type="page"/>
      </w:r>
      <w:r w:rsidRPr="00E85862">
        <w:rPr>
          <w:szCs w:val="24"/>
        </w:rPr>
        <w:lastRenderedPageBreak/>
        <w:t xml:space="preserve">6. </w:t>
      </w:r>
      <w:r w:rsidRPr="00E85862">
        <w:rPr>
          <w:szCs w:val="24"/>
        </w:rPr>
        <w:tab/>
        <w:t xml:space="preserve">Use the information in this abstract, part of the </w:t>
      </w:r>
      <w:r>
        <w:rPr>
          <w:szCs w:val="24"/>
        </w:rPr>
        <w:t>M</w:t>
      </w:r>
      <w:r w:rsidRPr="00E85862">
        <w:rPr>
          <w:szCs w:val="24"/>
        </w:rPr>
        <w:t xml:space="preserve">ethods section and table 1 from the paper </w:t>
      </w:r>
      <w:r w:rsidRPr="00E85862">
        <w:rPr>
          <w:i/>
          <w:szCs w:val="24"/>
        </w:rPr>
        <w:t>Risk and Protective Factors Among Patients with Methamphetamine Dependence: A Nested Case-Control Study</w:t>
      </w:r>
      <w:r w:rsidRPr="00E85862">
        <w:rPr>
          <w:szCs w:val="24"/>
        </w:rPr>
        <w:t xml:space="preserve"> to answer the questions that follow.</w:t>
      </w:r>
    </w:p>
    <w:p w:rsidR="00372A22" w:rsidRPr="00E85862" w:rsidRDefault="00372A22">
      <w:pPr>
        <w:autoSpaceDE w:val="0"/>
        <w:autoSpaceDN w:val="0"/>
        <w:adjustRightInd w:val="0"/>
        <w:rPr>
          <w:szCs w:val="24"/>
        </w:rPr>
      </w:pPr>
    </w:p>
    <w:p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since the 1990s. This study aimed to identify clinical characteristics associated with suicide mortality in patients with methamphetamine dependence by means of a nested case-control design. </w:t>
      </w:r>
    </w:p>
    <w:p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 xml:space="preserve">admission, financial independence lowered the risk for suicide (adjusted risk ratio [ARR] = 0.33, P&lt; .05), whereas visual hallucinations elevated the risk (ARR = 2.57, P&lt;.05) for suicide. For the profiles during the postdischarge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rsidR="00372A22" w:rsidRPr="00E85862" w:rsidRDefault="00372A22">
      <w:pPr>
        <w:autoSpaceDE w:val="0"/>
        <w:autoSpaceDN w:val="0"/>
        <w:adjustRightInd w:val="0"/>
        <w:rPr>
          <w:szCs w:val="24"/>
        </w:rPr>
      </w:pPr>
    </w:p>
    <w:p w:rsidR="00372A22" w:rsidRPr="00E85862" w:rsidRDefault="00372A22" w:rsidP="00276BC6">
      <w:pPr>
        <w:autoSpaceDE w:val="0"/>
        <w:autoSpaceDN w:val="0"/>
        <w:adjustRightInd w:val="0"/>
        <w:ind w:left="360"/>
        <w:rPr>
          <w:szCs w:val="24"/>
        </w:rPr>
      </w:pPr>
      <w:r w:rsidRPr="00E85862">
        <w:rPr>
          <w:szCs w:val="24"/>
        </w:rPr>
        <w:t xml:space="preserve">From the </w:t>
      </w:r>
      <w:r>
        <w:rPr>
          <w:szCs w:val="24"/>
        </w:rPr>
        <w:t>M</w:t>
      </w:r>
      <w:r w:rsidRPr="00E85862">
        <w:rPr>
          <w:szCs w:val="24"/>
        </w:rPr>
        <w:t>ethods section:</w:t>
      </w:r>
    </w:p>
    <w:p w:rsidR="00372A22" w:rsidRPr="00E85862" w:rsidRDefault="00372A22">
      <w:pPr>
        <w:autoSpaceDE w:val="0"/>
        <w:autoSpaceDN w:val="0"/>
        <w:adjustRightInd w:val="0"/>
        <w:rPr>
          <w:szCs w:val="24"/>
        </w:rPr>
      </w:pPr>
    </w:p>
    <w:p w:rsidR="00372A22" w:rsidRPr="00E85862" w:rsidRDefault="00372A22" w:rsidP="00882D12">
      <w:pPr>
        <w:autoSpaceDE w:val="0"/>
        <w:autoSpaceDN w:val="0"/>
        <w:adjustRightInd w:val="0"/>
        <w:ind w:left="360"/>
        <w:rPr>
          <w:b/>
          <w:sz w:val="20"/>
        </w:rPr>
      </w:pPr>
      <w:r w:rsidRPr="00E85862">
        <w:rPr>
          <w:b/>
          <w:sz w:val="20"/>
        </w:rPr>
        <w:t>Study Population</w:t>
      </w:r>
    </w:p>
    <w:p w:rsidR="00372A22" w:rsidRPr="00E85862" w:rsidRDefault="00372A22" w:rsidP="00882D12">
      <w:pPr>
        <w:autoSpaceDE w:val="0"/>
        <w:autoSpaceDN w:val="0"/>
        <w:adjustRightInd w:val="0"/>
        <w:ind w:left="360"/>
        <w:rPr>
          <w:sz w:val="20"/>
        </w:rPr>
      </w:pP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rsidR="00372A22" w:rsidRPr="00E85862" w:rsidRDefault="00372A22" w:rsidP="00882D12">
      <w:pPr>
        <w:autoSpaceDE w:val="0"/>
        <w:autoSpaceDN w:val="0"/>
        <w:adjustRightInd w:val="0"/>
        <w:ind w:left="360"/>
        <w:rPr>
          <w:b/>
          <w:sz w:val="20"/>
        </w:rPr>
      </w:pPr>
    </w:p>
    <w:p w:rsidR="00372A22" w:rsidRPr="00E85862" w:rsidRDefault="00372A22" w:rsidP="00882D12">
      <w:pPr>
        <w:autoSpaceDE w:val="0"/>
        <w:autoSpaceDN w:val="0"/>
        <w:adjustRightInd w:val="0"/>
        <w:ind w:left="360"/>
        <w:rPr>
          <w:sz w:val="20"/>
        </w:rPr>
      </w:pPr>
      <w:r w:rsidRPr="00E85862">
        <w:rPr>
          <w:b/>
          <w:sz w:val="20"/>
        </w:rPr>
        <w:t>Case Ascertainment and Control Selection</w:t>
      </w:r>
    </w:p>
    <w:p w:rsidR="00372A22" w:rsidRPr="00E85862" w:rsidRDefault="00372A22" w:rsidP="00882D12">
      <w:pPr>
        <w:autoSpaceDE w:val="0"/>
        <w:autoSpaceDN w:val="0"/>
        <w:adjustRightInd w:val="0"/>
        <w:ind w:left="360"/>
        <w:rPr>
          <w:sz w:val="20"/>
        </w:rPr>
      </w:pP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rsidR="00372A22" w:rsidRPr="00E85862" w:rsidRDefault="00372A22" w:rsidP="00882D12">
      <w:pPr>
        <w:autoSpaceDE w:val="0"/>
        <w:autoSpaceDN w:val="0"/>
        <w:adjustRightInd w:val="0"/>
        <w:ind w:left="360"/>
        <w:rPr>
          <w:sz w:val="20"/>
        </w:rPr>
      </w:pPr>
    </w:p>
    <w:p w:rsidR="00372A22" w:rsidRPr="00E85862" w:rsidRDefault="00372A22" w:rsidP="00882D12">
      <w:pPr>
        <w:autoSpaceDE w:val="0"/>
        <w:autoSpaceDN w:val="0"/>
        <w:adjustRightInd w:val="0"/>
        <w:ind w:left="360"/>
        <w:rPr>
          <w:sz w:val="20"/>
        </w:rPr>
      </w:pPr>
      <w:r w:rsidRPr="00E85862">
        <w:rPr>
          <w:sz w:val="20"/>
        </w:rPr>
        <w:t>Using the deceased subjects as cases, we conducted a nested case-control study among the cohort (n=1,480) using risk-set sampling (i.e., incidence density sampling) for controls. To obtain an unbiased estimate of the risk ratio, controls were selected randomly from subjects who were alive at 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rsidR="00372A22" w:rsidRDefault="00372A22" w:rsidP="006D76AB">
      <w:pPr>
        <w:autoSpaceDE w:val="0"/>
        <w:autoSpaceDN w:val="0"/>
        <w:adjustRightInd w:val="0"/>
        <w:ind w:left="600" w:right="1440"/>
        <w:rPr>
          <w:b/>
          <w:szCs w:val="24"/>
        </w:rPr>
      </w:pPr>
      <w:r w:rsidRPr="00E85862">
        <w:rPr>
          <w:b/>
          <w:szCs w:val="24"/>
        </w:rPr>
        <w:lastRenderedPageBreak/>
        <w:t xml:space="preserve">Table 1. Sociodemographic Characteristics of Suicides and Living </w:t>
      </w:r>
    </w:p>
    <w:p w:rsidR="00372A22" w:rsidRPr="00E85862" w:rsidRDefault="00372A22" w:rsidP="006D76AB">
      <w:pPr>
        <w:autoSpaceDE w:val="0"/>
        <w:autoSpaceDN w:val="0"/>
        <w:adjustRightInd w:val="0"/>
        <w:ind w:left="600" w:right="270"/>
        <w:rPr>
          <w:b/>
          <w:szCs w:val="24"/>
        </w:rPr>
      </w:pPr>
      <w:r>
        <w:rPr>
          <w:b/>
          <w:szCs w:val="24"/>
        </w:rPr>
        <w:t xml:space="preserve">               </w:t>
      </w:r>
      <w:r w:rsidRPr="00E85862">
        <w:rPr>
          <w:b/>
          <w:szCs w:val="24"/>
        </w:rPr>
        <w:t>Controls Among Patients with Methamphetamine Dependence (</w:t>
      </w:r>
      <w:r>
        <w:rPr>
          <w:b/>
          <w:szCs w:val="24"/>
        </w:rPr>
        <w:t>n</w:t>
      </w:r>
      <w:r w:rsidRPr="00E85862">
        <w:rPr>
          <w:b/>
          <w:szCs w:val="24"/>
        </w:rPr>
        <w:t>=114)</w:t>
      </w:r>
    </w:p>
    <w:tbl>
      <w:tblPr>
        <w:tblW w:w="495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530"/>
      </w:tblGrid>
      <w:tr w:rsidR="00372A22" w:rsidRPr="00D267D1" w:rsidTr="00E01459">
        <w:trPr>
          <w:trHeight w:val="770"/>
        </w:trPr>
        <w:tc>
          <w:tcPr>
            <w:tcW w:w="3429" w:type="dxa"/>
          </w:tcPr>
          <w:p w:rsidR="00372A22" w:rsidRPr="00D267D1" w:rsidRDefault="00372A22" w:rsidP="00E01459">
            <w:pPr>
              <w:autoSpaceDE w:val="0"/>
              <w:autoSpaceDN w:val="0"/>
              <w:adjustRightInd w:val="0"/>
              <w:ind w:right="-79"/>
              <w:rPr>
                <w:szCs w:val="24"/>
              </w:rPr>
            </w:pPr>
          </w:p>
          <w:p w:rsidR="00372A22" w:rsidRPr="00D267D1" w:rsidRDefault="00372A22" w:rsidP="00E01459">
            <w:pPr>
              <w:autoSpaceDE w:val="0"/>
              <w:autoSpaceDN w:val="0"/>
              <w:adjustRightInd w:val="0"/>
              <w:ind w:right="-79"/>
              <w:rPr>
                <w:szCs w:val="24"/>
              </w:rPr>
            </w:pPr>
          </w:p>
          <w:p w:rsidR="00372A22" w:rsidRPr="00D267D1" w:rsidRDefault="00372A22" w:rsidP="00E01459">
            <w:pPr>
              <w:autoSpaceDE w:val="0"/>
              <w:autoSpaceDN w:val="0"/>
              <w:adjustRightInd w:val="0"/>
              <w:ind w:right="-79"/>
              <w:rPr>
                <w:szCs w:val="24"/>
              </w:rPr>
            </w:pPr>
            <w:r w:rsidRPr="00D267D1">
              <w:rPr>
                <w:szCs w:val="24"/>
              </w:rPr>
              <w:t>Characteristic</w:t>
            </w:r>
          </w:p>
        </w:tc>
        <w:tc>
          <w:tcPr>
            <w:tcW w:w="1530" w:type="dxa"/>
          </w:tcPr>
          <w:p w:rsidR="00372A22" w:rsidRPr="00D267D1" w:rsidRDefault="00372A22" w:rsidP="00E01459">
            <w:pPr>
              <w:tabs>
                <w:tab w:val="left" w:pos="2415"/>
              </w:tabs>
              <w:autoSpaceDE w:val="0"/>
              <w:autoSpaceDN w:val="0"/>
              <w:adjustRightInd w:val="0"/>
              <w:rPr>
                <w:b/>
                <w:szCs w:val="24"/>
              </w:rPr>
            </w:pPr>
            <w:r w:rsidRPr="00D267D1">
              <w:rPr>
                <w:b/>
                <w:szCs w:val="24"/>
              </w:rPr>
              <w:t xml:space="preserve">Risk </w:t>
            </w:r>
          </w:p>
          <w:p w:rsidR="00372A22" w:rsidRPr="00D267D1" w:rsidRDefault="00372A22" w:rsidP="00E01459">
            <w:pPr>
              <w:tabs>
                <w:tab w:val="left" w:pos="2415"/>
              </w:tabs>
              <w:autoSpaceDE w:val="0"/>
              <w:autoSpaceDN w:val="0"/>
              <w:adjustRightInd w:val="0"/>
              <w:rPr>
                <w:b/>
                <w:szCs w:val="24"/>
              </w:rPr>
            </w:pPr>
            <w:r w:rsidRPr="00D267D1">
              <w:rPr>
                <w:b/>
                <w:szCs w:val="24"/>
              </w:rPr>
              <w:t>Ratio</w:t>
            </w:r>
            <w:r w:rsidRPr="00D267D1">
              <w:rPr>
                <w:b/>
                <w:szCs w:val="24"/>
                <w:vertAlign w:val="superscript"/>
              </w:rPr>
              <w:t>#</w:t>
            </w:r>
          </w:p>
        </w:tc>
      </w:tr>
      <w:tr w:rsidR="00372A22" w:rsidRPr="00D267D1" w:rsidTr="00E01459">
        <w:tc>
          <w:tcPr>
            <w:tcW w:w="3429" w:type="dxa"/>
          </w:tcPr>
          <w:p w:rsidR="00372A22" w:rsidRPr="00D267D1" w:rsidRDefault="00372A22" w:rsidP="00E01459">
            <w:pPr>
              <w:autoSpaceDE w:val="0"/>
              <w:autoSpaceDN w:val="0"/>
              <w:adjustRightInd w:val="0"/>
              <w:ind w:right="411"/>
              <w:rPr>
                <w:szCs w:val="24"/>
              </w:rPr>
            </w:pPr>
            <w:r w:rsidRPr="00D267D1">
              <w:rPr>
                <w:szCs w:val="24"/>
              </w:rPr>
              <w:t>Age</w:t>
            </w:r>
            <w:r>
              <w:rPr>
                <w:szCs w:val="24"/>
              </w:rPr>
              <w:t>*</w:t>
            </w:r>
          </w:p>
        </w:tc>
        <w:tc>
          <w:tcPr>
            <w:tcW w:w="1530" w:type="dxa"/>
          </w:tcPr>
          <w:p w:rsidR="00372A22" w:rsidRPr="00D267D1" w:rsidRDefault="00372A22" w:rsidP="00E01459">
            <w:pPr>
              <w:tabs>
                <w:tab w:val="left" w:pos="2415"/>
              </w:tabs>
              <w:autoSpaceDE w:val="0"/>
              <w:autoSpaceDN w:val="0"/>
              <w:adjustRightInd w:val="0"/>
              <w:rPr>
                <w:szCs w:val="24"/>
              </w:rPr>
            </w:pPr>
            <w:r w:rsidRPr="00D267D1">
              <w:rPr>
                <w:szCs w:val="24"/>
              </w:rPr>
              <w:t>0.99</w:t>
            </w:r>
          </w:p>
        </w:tc>
      </w:tr>
      <w:tr w:rsidR="00372A22" w:rsidRPr="00D267D1" w:rsidTr="00E01459">
        <w:tc>
          <w:tcPr>
            <w:tcW w:w="3429" w:type="dxa"/>
          </w:tcPr>
          <w:p w:rsidR="00372A22" w:rsidRPr="00D267D1" w:rsidRDefault="00372A22" w:rsidP="00E01459">
            <w:pPr>
              <w:tabs>
                <w:tab w:val="left" w:pos="3162"/>
              </w:tabs>
              <w:autoSpaceDE w:val="0"/>
              <w:autoSpaceDN w:val="0"/>
              <w:adjustRightInd w:val="0"/>
              <w:ind w:right="51"/>
              <w:rPr>
                <w:szCs w:val="24"/>
              </w:rPr>
            </w:pPr>
            <w:r w:rsidRPr="00D267D1">
              <w:rPr>
                <w:szCs w:val="24"/>
              </w:rPr>
              <w:t>Age at first methamphetamine use</w:t>
            </w:r>
          </w:p>
        </w:tc>
        <w:tc>
          <w:tcPr>
            <w:tcW w:w="1530" w:type="dxa"/>
          </w:tcPr>
          <w:p w:rsidR="00372A22" w:rsidRPr="00D267D1" w:rsidRDefault="00372A22" w:rsidP="00E01459">
            <w:pPr>
              <w:tabs>
                <w:tab w:val="left" w:pos="2415"/>
              </w:tabs>
              <w:autoSpaceDE w:val="0"/>
              <w:autoSpaceDN w:val="0"/>
              <w:adjustRightInd w:val="0"/>
              <w:rPr>
                <w:szCs w:val="24"/>
              </w:rPr>
            </w:pPr>
            <w:r w:rsidRPr="00D267D1">
              <w:rPr>
                <w:szCs w:val="24"/>
              </w:rPr>
              <w:t>0.98</w:t>
            </w:r>
          </w:p>
        </w:tc>
      </w:tr>
      <w:tr w:rsidR="00372A22" w:rsidRPr="00D267D1" w:rsidTr="00E01459">
        <w:tc>
          <w:tcPr>
            <w:tcW w:w="3429" w:type="dxa"/>
          </w:tcPr>
          <w:p w:rsidR="00372A22" w:rsidRPr="00D267D1" w:rsidRDefault="00372A22" w:rsidP="00E01459">
            <w:pPr>
              <w:autoSpaceDE w:val="0"/>
              <w:autoSpaceDN w:val="0"/>
              <w:adjustRightInd w:val="0"/>
              <w:ind w:right="411"/>
              <w:rPr>
                <w:szCs w:val="24"/>
              </w:rPr>
            </w:pPr>
            <w:r w:rsidRPr="00D267D1">
              <w:rPr>
                <w:szCs w:val="24"/>
              </w:rPr>
              <w:t>Married*</w:t>
            </w:r>
          </w:p>
        </w:tc>
        <w:tc>
          <w:tcPr>
            <w:tcW w:w="1530" w:type="dxa"/>
          </w:tcPr>
          <w:p w:rsidR="00372A22" w:rsidRPr="00D267D1" w:rsidRDefault="00372A22" w:rsidP="00E01459">
            <w:pPr>
              <w:tabs>
                <w:tab w:val="left" w:pos="2415"/>
              </w:tabs>
              <w:autoSpaceDE w:val="0"/>
              <w:autoSpaceDN w:val="0"/>
              <w:adjustRightInd w:val="0"/>
              <w:rPr>
                <w:szCs w:val="24"/>
              </w:rPr>
            </w:pPr>
            <w:r w:rsidRPr="00D267D1">
              <w:rPr>
                <w:szCs w:val="24"/>
              </w:rPr>
              <w:t>0.73</w:t>
            </w:r>
          </w:p>
        </w:tc>
      </w:tr>
      <w:tr w:rsidR="00372A22" w:rsidRPr="00D267D1" w:rsidTr="00E01459">
        <w:tc>
          <w:tcPr>
            <w:tcW w:w="3429" w:type="dxa"/>
          </w:tcPr>
          <w:p w:rsidR="00372A22" w:rsidRPr="00D267D1" w:rsidRDefault="00372A22" w:rsidP="00E01459">
            <w:pPr>
              <w:autoSpaceDE w:val="0"/>
              <w:autoSpaceDN w:val="0"/>
              <w:adjustRightInd w:val="0"/>
              <w:ind w:right="411"/>
              <w:rPr>
                <w:szCs w:val="24"/>
              </w:rPr>
            </w:pPr>
            <w:r w:rsidRPr="00D267D1">
              <w:rPr>
                <w:szCs w:val="24"/>
              </w:rPr>
              <w:t>Living with family*</w:t>
            </w:r>
          </w:p>
        </w:tc>
        <w:tc>
          <w:tcPr>
            <w:tcW w:w="1530" w:type="dxa"/>
          </w:tcPr>
          <w:p w:rsidR="00372A22" w:rsidRPr="00D267D1" w:rsidRDefault="00372A22" w:rsidP="00E01459">
            <w:pPr>
              <w:tabs>
                <w:tab w:val="left" w:pos="2415"/>
              </w:tabs>
              <w:autoSpaceDE w:val="0"/>
              <w:autoSpaceDN w:val="0"/>
              <w:adjustRightInd w:val="0"/>
              <w:rPr>
                <w:szCs w:val="24"/>
              </w:rPr>
            </w:pPr>
            <w:r w:rsidRPr="00D267D1">
              <w:rPr>
                <w:szCs w:val="24"/>
              </w:rPr>
              <w:t>1.23</w:t>
            </w:r>
          </w:p>
        </w:tc>
      </w:tr>
      <w:tr w:rsidR="00372A22" w:rsidRPr="00D267D1" w:rsidTr="00E01459">
        <w:tc>
          <w:tcPr>
            <w:tcW w:w="3429" w:type="dxa"/>
          </w:tcPr>
          <w:p w:rsidR="00372A22" w:rsidRPr="00D267D1" w:rsidRDefault="00372A22" w:rsidP="00E01459">
            <w:pPr>
              <w:autoSpaceDE w:val="0"/>
              <w:autoSpaceDN w:val="0"/>
              <w:adjustRightInd w:val="0"/>
              <w:ind w:right="411"/>
              <w:rPr>
                <w:szCs w:val="24"/>
              </w:rPr>
            </w:pPr>
            <w:r w:rsidRPr="00D267D1">
              <w:rPr>
                <w:szCs w:val="24"/>
              </w:rPr>
              <w:t>Education &gt;= 12 years*</w:t>
            </w:r>
          </w:p>
        </w:tc>
        <w:tc>
          <w:tcPr>
            <w:tcW w:w="1530" w:type="dxa"/>
          </w:tcPr>
          <w:p w:rsidR="00372A22" w:rsidRPr="00D267D1" w:rsidRDefault="00372A22" w:rsidP="00E01459">
            <w:pPr>
              <w:tabs>
                <w:tab w:val="left" w:pos="2415"/>
              </w:tabs>
              <w:autoSpaceDE w:val="0"/>
              <w:autoSpaceDN w:val="0"/>
              <w:adjustRightInd w:val="0"/>
              <w:rPr>
                <w:szCs w:val="24"/>
              </w:rPr>
            </w:pPr>
            <w:r w:rsidRPr="00D267D1">
              <w:rPr>
                <w:szCs w:val="24"/>
              </w:rPr>
              <w:t>0.56</w:t>
            </w:r>
          </w:p>
        </w:tc>
      </w:tr>
    </w:tbl>
    <w:p w:rsidR="00372A22" w:rsidRPr="00034FEA" w:rsidRDefault="00372A22" w:rsidP="006D76AB">
      <w:pPr>
        <w:autoSpaceDE w:val="0"/>
        <w:autoSpaceDN w:val="0"/>
        <w:adjustRightInd w:val="0"/>
        <w:ind w:right="1440"/>
        <w:rPr>
          <w:i/>
          <w:sz w:val="20"/>
        </w:rPr>
      </w:pPr>
      <w:r w:rsidRPr="00034FEA">
        <w:rPr>
          <w:b/>
          <w:i/>
          <w:sz w:val="20"/>
        </w:rPr>
        <w:tab/>
      </w:r>
      <w:r w:rsidRPr="00034FEA">
        <w:rPr>
          <w:i/>
          <w:sz w:val="20"/>
          <w:vertAlign w:val="superscript"/>
        </w:rPr>
        <w:t>#</w:t>
      </w:r>
      <w:r w:rsidRPr="00034FEA">
        <w:rPr>
          <w:i/>
          <w:sz w:val="20"/>
        </w:rPr>
        <w:t xml:space="preserve"> Estimated using unadjusted conditional logistic regression.</w:t>
      </w:r>
    </w:p>
    <w:p w:rsidR="00372A22" w:rsidRDefault="00372A22" w:rsidP="006D76AB">
      <w:pPr>
        <w:autoSpaceDE w:val="0"/>
        <w:autoSpaceDN w:val="0"/>
        <w:adjustRightInd w:val="0"/>
        <w:ind w:right="1440"/>
        <w:rPr>
          <w:i/>
          <w:sz w:val="20"/>
        </w:rPr>
      </w:pPr>
      <w:r w:rsidRPr="00034FEA">
        <w:rPr>
          <w:i/>
          <w:sz w:val="20"/>
        </w:rPr>
        <w:tab/>
        <w:t>* At index admission.</w:t>
      </w:r>
    </w:p>
    <w:p w:rsidR="001954B2" w:rsidRPr="00034FEA" w:rsidRDefault="001954B2" w:rsidP="006D76AB">
      <w:pPr>
        <w:autoSpaceDE w:val="0"/>
        <w:autoSpaceDN w:val="0"/>
        <w:adjustRightInd w:val="0"/>
        <w:ind w:right="1440"/>
        <w:rPr>
          <w:i/>
          <w:sz w:val="20"/>
        </w:rPr>
      </w:pPr>
    </w:p>
    <w:p w:rsidR="00372A22" w:rsidRPr="00E85862" w:rsidRDefault="00372A22" w:rsidP="00101FE4">
      <w:pPr>
        <w:autoSpaceDE w:val="0"/>
        <w:autoSpaceDN w:val="0"/>
        <w:adjustRightInd w:val="0"/>
        <w:ind w:left="360" w:hanging="360"/>
        <w:rPr>
          <w:szCs w:val="24"/>
        </w:rPr>
      </w:pPr>
      <w:r w:rsidRPr="00E85862">
        <w:rPr>
          <w:szCs w:val="24"/>
        </w:rPr>
        <w:t>(</w:t>
      </w:r>
      <w:r>
        <w:rPr>
          <w:szCs w:val="24"/>
        </w:rPr>
        <w:t>a</w:t>
      </w:r>
      <w:r w:rsidRPr="00E85862">
        <w:rPr>
          <w:szCs w:val="24"/>
        </w:rPr>
        <w:t xml:space="preserve">) </w:t>
      </w:r>
      <w:r w:rsidRPr="00E85862">
        <w:rPr>
          <w:szCs w:val="24"/>
        </w:rPr>
        <w:tab/>
      </w:r>
      <w:r>
        <w:rPr>
          <w:szCs w:val="24"/>
        </w:rPr>
        <w:t xml:space="preserve">The authors reported risk ratios.  Are their reported data unbiased estimates of risk ratios?  Is it </w:t>
      </w:r>
      <w:r w:rsidR="00AD7B5B">
        <w:rPr>
          <w:szCs w:val="24"/>
        </w:rPr>
        <w:t xml:space="preserve">acceptable </w:t>
      </w:r>
      <w:r>
        <w:rPr>
          <w:szCs w:val="24"/>
        </w:rPr>
        <w:t xml:space="preserve">to report risk ratios?   Explain your answers.  </w:t>
      </w:r>
      <w:r w:rsidRPr="00E85862">
        <w:rPr>
          <w:szCs w:val="24"/>
        </w:rPr>
        <w:t xml:space="preserve">(1 pt)   </w:t>
      </w:r>
    </w:p>
    <w:p w:rsidR="00AF6CA7" w:rsidRDefault="00AF6CA7" w:rsidP="00101FE4">
      <w:pPr>
        <w:autoSpaceDE w:val="0"/>
        <w:autoSpaceDN w:val="0"/>
        <w:adjustRightInd w:val="0"/>
        <w:ind w:left="360" w:hanging="360"/>
        <w:rPr>
          <w:szCs w:val="24"/>
        </w:rPr>
      </w:pPr>
    </w:p>
    <w:p w:rsidR="00AF6CA7" w:rsidRDefault="00AF6CA7" w:rsidP="00101FE4">
      <w:pPr>
        <w:autoSpaceDE w:val="0"/>
        <w:autoSpaceDN w:val="0"/>
        <w:adjustRightInd w:val="0"/>
        <w:ind w:left="360" w:hanging="360"/>
        <w:rPr>
          <w:szCs w:val="24"/>
        </w:rPr>
      </w:pPr>
    </w:p>
    <w:p w:rsidR="00AF6CA7" w:rsidRDefault="00372A22" w:rsidP="00101FE4">
      <w:pPr>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 numeric measure of association between age and suicide?  If so, s</w:t>
      </w:r>
      <w:r w:rsidRPr="00E85862">
        <w:rPr>
          <w:szCs w:val="24"/>
        </w:rPr>
        <w:t xml:space="preserve">tate in a crisply worded sentence the numeric association between age and suicide?  Note: assume that all the estimates shown are statistically significant.  (1 pt)  </w:t>
      </w:r>
    </w:p>
    <w:p w:rsidR="00AF6CA7" w:rsidRDefault="00AF6CA7" w:rsidP="00101FE4">
      <w:pPr>
        <w:autoSpaceDE w:val="0"/>
        <w:autoSpaceDN w:val="0"/>
        <w:adjustRightInd w:val="0"/>
        <w:ind w:left="360" w:hanging="360"/>
        <w:rPr>
          <w:szCs w:val="24"/>
        </w:rPr>
      </w:pPr>
    </w:p>
    <w:p w:rsidR="00AF6CA7" w:rsidRDefault="00AF6CA7" w:rsidP="00101FE4">
      <w:pPr>
        <w:autoSpaceDE w:val="0"/>
        <w:autoSpaceDN w:val="0"/>
        <w:adjustRightInd w:val="0"/>
        <w:ind w:left="360" w:hanging="360"/>
        <w:rPr>
          <w:szCs w:val="24"/>
        </w:rPr>
      </w:pPr>
    </w:p>
    <w:p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numeric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pt)</w:t>
      </w:r>
    </w:p>
    <w:p w:rsidR="00372A22" w:rsidRPr="00E85862" w:rsidRDefault="00372A22" w:rsidP="00101FE4">
      <w:pPr>
        <w:autoSpaceDE w:val="0"/>
        <w:autoSpaceDN w:val="0"/>
        <w:adjustRightInd w:val="0"/>
        <w:ind w:left="360"/>
        <w:rPr>
          <w:szCs w:val="24"/>
        </w:rPr>
      </w:pPr>
    </w:p>
    <w:p w:rsidR="00AF6CA7" w:rsidRDefault="00AF6CA7">
      <w:pPr>
        <w:rPr>
          <w:szCs w:val="24"/>
        </w:rPr>
      </w:pPr>
      <w:r>
        <w:rPr>
          <w:szCs w:val="24"/>
        </w:rPr>
        <w:br w:type="page"/>
      </w:r>
    </w:p>
    <w:p w:rsidR="00372A22" w:rsidRDefault="00372A22" w:rsidP="00595EA6">
      <w:pPr>
        <w:tabs>
          <w:tab w:val="left" w:pos="360"/>
        </w:tabs>
        <w:autoSpaceDE w:val="0"/>
        <w:autoSpaceDN w:val="0"/>
        <w:adjustRightInd w:val="0"/>
        <w:ind w:left="360" w:hanging="360"/>
        <w:rPr>
          <w:szCs w:val="24"/>
        </w:rPr>
      </w:pPr>
      <w:r w:rsidRPr="00E85862">
        <w:rPr>
          <w:szCs w:val="24"/>
        </w:rPr>
        <w:lastRenderedPageBreak/>
        <w:t xml:space="preserve">7.  </w:t>
      </w:r>
      <w:r>
        <w:rPr>
          <w:szCs w:val="24"/>
        </w:rPr>
        <w:tab/>
        <w:t xml:space="preserve">In a population-based cohort study, the rate among smokers for death from heart attack was 1.8 times as high as non-smokers (rate ratio = 1.8).  Assume that this effect of smoking is causal and is free of confounding or other bias.  Twenty percent of the total person-time came from the smokers.  </w:t>
      </w:r>
    </w:p>
    <w:p w:rsidR="00372A22" w:rsidRDefault="00372A22" w:rsidP="00595EA6">
      <w:pPr>
        <w:tabs>
          <w:tab w:val="left" w:pos="360"/>
        </w:tabs>
        <w:autoSpaceDE w:val="0"/>
        <w:autoSpaceDN w:val="0"/>
        <w:adjustRightInd w:val="0"/>
        <w:ind w:left="360" w:hanging="360"/>
        <w:rPr>
          <w:szCs w:val="24"/>
        </w:rPr>
      </w:pPr>
    </w:p>
    <w:p w:rsidR="00372A22" w:rsidRDefault="00372A22" w:rsidP="00986670">
      <w:pPr>
        <w:tabs>
          <w:tab w:val="left" w:pos="360"/>
        </w:tabs>
        <w:autoSpaceDE w:val="0"/>
        <w:autoSpaceDN w:val="0"/>
        <w:adjustRightInd w:val="0"/>
        <w:ind w:left="360" w:hanging="360"/>
        <w:rPr>
          <w:szCs w:val="24"/>
        </w:rPr>
      </w:pPr>
      <w:r>
        <w:rPr>
          <w:szCs w:val="24"/>
        </w:rPr>
        <w:t xml:space="preserve">(a)  Calculate the entity known as the percent attributable rate among the exposed.  Consider smokers to be exposed group and the outcome is death from heart attack.  Do this calculation by hand </w:t>
      </w:r>
      <w:r w:rsidRPr="009D1069">
        <w:rPr>
          <w:i/>
          <w:szCs w:val="24"/>
          <w:u w:val="single"/>
        </w:rPr>
        <w:t>and also</w:t>
      </w:r>
      <w:r>
        <w:rPr>
          <w:szCs w:val="24"/>
        </w:rPr>
        <w:t xml:space="preserve"> use STATA’s immediate command to determine the answer.  (1 pt)</w:t>
      </w:r>
    </w:p>
    <w:p w:rsidR="00AF6CA7" w:rsidRDefault="00AF6CA7" w:rsidP="00986670">
      <w:pPr>
        <w:tabs>
          <w:tab w:val="left" w:pos="360"/>
        </w:tabs>
        <w:autoSpaceDE w:val="0"/>
        <w:autoSpaceDN w:val="0"/>
        <w:adjustRightInd w:val="0"/>
        <w:ind w:left="360" w:hanging="360"/>
        <w:rPr>
          <w:szCs w:val="24"/>
        </w:rPr>
      </w:pPr>
    </w:p>
    <w:p w:rsidR="00AF6CA7" w:rsidRDefault="00AF6CA7" w:rsidP="00986670">
      <w:pPr>
        <w:tabs>
          <w:tab w:val="left" w:pos="360"/>
        </w:tabs>
        <w:autoSpaceDE w:val="0"/>
        <w:autoSpaceDN w:val="0"/>
        <w:adjustRightInd w:val="0"/>
        <w:ind w:left="360" w:hanging="360"/>
        <w:rPr>
          <w:szCs w:val="24"/>
        </w:rPr>
      </w:pPr>
    </w:p>
    <w:p w:rsidR="00372A22" w:rsidRDefault="00372A22" w:rsidP="00986670">
      <w:pPr>
        <w:tabs>
          <w:tab w:val="left" w:pos="360"/>
        </w:tabs>
        <w:autoSpaceDE w:val="0"/>
        <w:autoSpaceDN w:val="0"/>
        <w:adjustRightInd w:val="0"/>
        <w:ind w:left="360" w:hanging="360"/>
        <w:rPr>
          <w:szCs w:val="24"/>
        </w:rPr>
      </w:pPr>
      <w:r>
        <w:rPr>
          <w:szCs w:val="24"/>
        </w:rPr>
        <w:t xml:space="preserve">(b) </w:t>
      </w:r>
      <w:r>
        <w:rPr>
          <w:szCs w:val="24"/>
        </w:rPr>
        <w:tab/>
        <w:t>What percentage of the rate of heart attack deaths among the smokers do you believe was caused by smoking?  (1 pt)</w:t>
      </w:r>
    </w:p>
    <w:p w:rsidR="00372A22" w:rsidRDefault="00372A22">
      <w:pPr>
        <w:autoSpaceDE w:val="0"/>
        <w:autoSpaceDN w:val="0"/>
        <w:adjustRightInd w:val="0"/>
        <w:rPr>
          <w:szCs w:val="24"/>
        </w:rPr>
      </w:pPr>
    </w:p>
    <w:p w:rsidR="00372A22" w:rsidRDefault="00372A22" w:rsidP="00E247E7">
      <w:pPr>
        <w:tabs>
          <w:tab w:val="left" w:pos="360"/>
        </w:tabs>
        <w:autoSpaceDE w:val="0"/>
        <w:autoSpaceDN w:val="0"/>
        <w:adjustRightInd w:val="0"/>
        <w:rPr>
          <w:szCs w:val="24"/>
        </w:rPr>
      </w:pPr>
    </w:p>
    <w:p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Pr>
          <w:szCs w:val="24"/>
        </w:rPr>
        <w:t xml:space="preserve"> STATA’s immediate command.  (1 pt)</w:t>
      </w:r>
    </w:p>
    <w:p w:rsidR="00372A22" w:rsidRDefault="00372A22" w:rsidP="00E247E7">
      <w:pPr>
        <w:tabs>
          <w:tab w:val="left" w:pos="360"/>
        </w:tabs>
        <w:autoSpaceDE w:val="0"/>
        <w:autoSpaceDN w:val="0"/>
        <w:adjustRightInd w:val="0"/>
        <w:ind w:left="360"/>
        <w:rPr>
          <w:szCs w:val="24"/>
        </w:rPr>
      </w:pPr>
    </w:p>
    <w:p w:rsidR="00AF6CA7" w:rsidRDefault="00AF6CA7" w:rsidP="00E247E7">
      <w:pPr>
        <w:tabs>
          <w:tab w:val="left" w:pos="360"/>
        </w:tabs>
        <w:autoSpaceDE w:val="0"/>
        <w:autoSpaceDN w:val="0"/>
        <w:adjustRightInd w:val="0"/>
        <w:ind w:left="360"/>
        <w:rPr>
          <w:szCs w:val="24"/>
        </w:rPr>
      </w:pPr>
    </w:p>
    <w:p w:rsidR="00372A22" w:rsidRDefault="00372A22" w:rsidP="00E247E7">
      <w:pPr>
        <w:tabs>
          <w:tab w:val="left" w:pos="360"/>
        </w:tabs>
        <w:autoSpaceDE w:val="0"/>
        <w:autoSpaceDN w:val="0"/>
        <w:adjustRightInd w:val="0"/>
        <w:ind w:left="360" w:hanging="360"/>
        <w:rPr>
          <w:szCs w:val="24"/>
        </w:rPr>
      </w:pPr>
      <w:r>
        <w:rPr>
          <w:szCs w:val="24"/>
        </w:rPr>
        <w:t xml:space="preserve">(d) </w:t>
      </w:r>
      <w:r>
        <w:rPr>
          <w:szCs w:val="24"/>
        </w:rPr>
        <w:tab/>
        <w:t>Explain in one or more clear sentences what the percent population attributable rate means in this example.  (1 pt)</w:t>
      </w:r>
    </w:p>
    <w:p w:rsidR="00372A22" w:rsidRDefault="00372A22" w:rsidP="00E247E7">
      <w:pPr>
        <w:tabs>
          <w:tab w:val="left" w:pos="360"/>
        </w:tabs>
        <w:autoSpaceDE w:val="0"/>
        <w:autoSpaceDN w:val="0"/>
        <w:adjustRightInd w:val="0"/>
        <w:ind w:left="360"/>
        <w:rPr>
          <w:szCs w:val="24"/>
        </w:rPr>
      </w:pPr>
    </w:p>
    <w:p w:rsidR="00372A22" w:rsidRDefault="00372A22" w:rsidP="00E247E7">
      <w:pPr>
        <w:tabs>
          <w:tab w:val="left" w:pos="360"/>
        </w:tabs>
        <w:autoSpaceDE w:val="0"/>
        <w:autoSpaceDN w:val="0"/>
        <w:adjustRightInd w:val="0"/>
        <w:ind w:left="360"/>
        <w:rPr>
          <w:szCs w:val="24"/>
        </w:rPr>
      </w:pPr>
    </w:p>
    <w:p w:rsidR="00372A22" w:rsidRDefault="00372A22" w:rsidP="00E247E7">
      <w:pPr>
        <w:tabs>
          <w:tab w:val="left" w:pos="360"/>
        </w:tabs>
        <w:autoSpaceDE w:val="0"/>
        <w:autoSpaceDN w:val="0"/>
        <w:adjustRightInd w:val="0"/>
        <w:ind w:left="360"/>
        <w:rPr>
          <w:szCs w:val="24"/>
        </w:rPr>
      </w:pPr>
    </w:p>
    <w:p w:rsidR="00372A22" w:rsidRDefault="00372A22" w:rsidP="00E247E7">
      <w:pPr>
        <w:tabs>
          <w:tab w:val="left" w:pos="360"/>
        </w:tabs>
        <w:autoSpaceDE w:val="0"/>
        <w:autoSpaceDN w:val="0"/>
        <w:adjustRightInd w:val="0"/>
        <w:ind w:left="360"/>
        <w:rPr>
          <w:szCs w:val="24"/>
        </w:rPr>
      </w:pPr>
    </w:p>
    <w:p w:rsidR="00372A22" w:rsidRDefault="00372A22" w:rsidP="00DB0527">
      <w:pPr>
        <w:tabs>
          <w:tab w:val="left" w:pos="360"/>
        </w:tabs>
        <w:autoSpaceDE w:val="0"/>
        <w:autoSpaceDN w:val="0"/>
        <w:adjustRightInd w:val="0"/>
        <w:ind w:left="360" w:hanging="360"/>
      </w:pPr>
      <w:r>
        <w:rPr>
          <w:szCs w:val="24"/>
        </w:rPr>
        <w:br w:type="page"/>
      </w:r>
      <w:r>
        <w:rPr>
          <w:szCs w:val="24"/>
        </w:rPr>
        <w:lastRenderedPageBreak/>
        <w:t xml:space="preserve">8.  </w:t>
      </w:r>
      <w:r>
        <w:rPr>
          <w:szCs w:val="24"/>
        </w:rPr>
        <w:tab/>
        <w:t xml:space="preserve">The “fracturegenotype.dta” dataset on the course website is a cohort study of the occurrence of incident hip fracture in adults.  Of the many exposures examined, a new host genotype has shown interesting results in related animal models.  Presence of the genotype (genotype = 1) is hypothesized to have a protective effect on the occurrence of fractures.  </w:t>
      </w:r>
    </w:p>
    <w:p w:rsidR="00372A22" w:rsidRDefault="00372A22" w:rsidP="00781214">
      <w:pPr>
        <w:autoSpaceDE w:val="0"/>
        <w:autoSpaceDN w:val="0"/>
        <w:adjustRightInd w:val="0"/>
      </w:pPr>
    </w:p>
    <w:p w:rsidR="00372A22" w:rsidRDefault="00372A22" w:rsidP="00781214">
      <w:pPr>
        <w:numPr>
          <w:ilvl w:val="0"/>
          <w:numId w:val="22"/>
        </w:numPr>
        <w:tabs>
          <w:tab w:val="clear" w:pos="735"/>
          <w:tab w:val="num" w:pos="360"/>
        </w:tabs>
        <w:autoSpaceDE w:val="0"/>
        <w:autoSpaceDN w:val="0"/>
        <w:adjustRightInd w:val="0"/>
        <w:ind w:left="360" w:hanging="360"/>
      </w:pPr>
      <w:r>
        <w:t>Determine the incidence rate ratio for the association between the host genotype and the occurrence of fracture.  (1 pt)</w:t>
      </w:r>
    </w:p>
    <w:p w:rsidR="00AF6CA7" w:rsidRDefault="00AF6CA7" w:rsidP="00AF6CA7">
      <w:pPr>
        <w:autoSpaceDE w:val="0"/>
        <w:autoSpaceDN w:val="0"/>
        <w:adjustRightInd w:val="0"/>
        <w:ind w:left="360"/>
      </w:pPr>
    </w:p>
    <w:p w:rsidR="00AF6CA7" w:rsidRDefault="00AF6CA7" w:rsidP="00AF6CA7">
      <w:pPr>
        <w:autoSpaceDE w:val="0"/>
        <w:autoSpaceDN w:val="0"/>
        <w:adjustRightInd w:val="0"/>
        <w:ind w:left="360"/>
      </w:pPr>
    </w:p>
    <w:p w:rsidR="00372A22" w:rsidRPr="001E215B" w:rsidRDefault="00372A22" w:rsidP="00781214">
      <w:pPr>
        <w:numPr>
          <w:ilvl w:val="0"/>
          <w:numId w:val="22"/>
        </w:numPr>
        <w:tabs>
          <w:tab w:val="clear" w:pos="735"/>
          <w:tab w:val="num" w:pos="360"/>
        </w:tabs>
        <w:autoSpaceDE w:val="0"/>
        <w:autoSpaceDN w:val="0"/>
        <w:adjustRightInd w:val="0"/>
        <w:ind w:left="360" w:hanging="360"/>
      </w:pPr>
      <w:r>
        <w:rPr>
          <w:szCs w:val="24"/>
        </w:rPr>
        <w:t>A colleague is incredulous of the result and insists upon repeating the genotype measurement.  To save resources, she proposes a nested case-control approach within your cohort using incidence density sampling.  You are asked to do the sampling.  Using this cohort as the study base, prepare to conduct a nested case-control study using incidence density control sampling.  Choose 4 c</w:t>
      </w:r>
      <w:r>
        <w:t>ontrols per each case.  Show the commands you used to create your study population and a “describe” of your final case-control dataset (i.e., show your output describing the data).</w:t>
      </w:r>
      <w:r w:rsidRPr="001E215B">
        <w:rPr>
          <w:szCs w:val="24"/>
        </w:rPr>
        <w:t xml:space="preserve"> </w:t>
      </w:r>
      <w:r>
        <w:rPr>
          <w:szCs w:val="24"/>
        </w:rPr>
        <w:t xml:space="preserve"> (1 pt)  </w:t>
      </w:r>
    </w:p>
    <w:p w:rsidR="00372A22" w:rsidRDefault="00372A22" w:rsidP="00781214">
      <w:pPr>
        <w:autoSpaceDE w:val="0"/>
        <w:autoSpaceDN w:val="0"/>
        <w:adjustRightInd w:val="0"/>
        <w:rPr>
          <w:szCs w:val="24"/>
        </w:rPr>
      </w:pPr>
    </w:p>
    <w:p w:rsidR="00AF6CA7" w:rsidRDefault="00AF6CA7" w:rsidP="00781214">
      <w:pPr>
        <w:autoSpaceDE w:val="0"/>
        <w:autoSpaceDN w:val="0"/>
        <w:adjustRightInd w:val="0"/>
        <w:rPr>
          <w:szCs w:val="24"/>
        </w:rPr>
      </w:pPr>
    </w:p>
    <w:p w:rsidR="00372A22" w:rsidRDefault="00372A22" w:rsidP="00781214">
      <w:pPr>
        <w:numPr>
          <w:ilvl w:val="0"/>
          <w:numId w:val="22"/>
        </w:numPr>
        <w:tabs>
          <w:tab w:val="clear" w:pos="735"/>
          <w:tab w:val="num" w:pos="360"/>
        </w:tabs>
        <w:autoSpaceDE w:val="0"/>
        <w:autoSpaceDN w:val="0"/>
        <w:adjustRightInd w:val="0"/>
        <w:ind w:left="360" w:hanging="360"/>
      </w:pPr>
      <w:r>
        <w:t xml:space="preserve">Derive an estimate of the odds ratio from your nested case-control study of the effect of the genotype on fracture.  To do this, use the </w:t>
      </w:r>
      <w:r w:rsidRPr="003D54C8">
        <w:rPr>
          <w:rFonts w:ascii="Courier New" w:hAnsi="Courier New" w:cs="Courier New"/>
          <w:sz w:val="20"/>
        </w:rPr>
        <w:t>clogit</w:t>
      </w:r>
      <w:r>
        <w:t xml:space="preserve"> command which stands for conditional logistic regression.  This is a method to analyze matched case-control data, and it derives an odds ratio.  The syntax is:  “</w:t>
      </w:r>
      <w:r w:rsidRPr="003D54C8">
        <w:rPr>
          <w:rFonts w:ascii="Courier New" w:hAnsi="Courier New" w:cs="Courier New"/>
          <w:sz w:val="20"/>
        </w:rPr>
        <w:t>clogit outcome_variable predictor_variable, group(variable_that_links_case_and matched control) or</w:t>
      </w:r>
      <w:r>
        <w:t>”.  Show your commands and output.  (1 pt)</w:t>
      </w:r>
    </w:p>
    <w:p w:rsidR="00372A22" w:rsidRDefault="00372A22" w:rsidP="00781214">
      <w:pPr>
        <w:autoSpaceDE w:val="0"/>
        <w:autoSpaceDN w:val="0"/>
        <w:adjustRightInd w:val="0"/>
      </w:pPr>
    </w:p>
    <w:p w:rsidR="00372A22" w:rsidRDefault="00372A22" w:rsidP="00781214">
      <w:pPr>
        <w:autoSpaceDE w:val="0"/>
        <w:autoSpaceDN w:val="0"/>
        <w:adjustRightInd w:val="0"/>
      </w:pPr>
    </w:p>
    <w:p w:rsidR="00372A22" w:rsidRDefault="00372A22" w:rsidP="00781214">
      <w:pPr>
        <w:numPr>
          <w:ilvl w:val="0"/>
          <w:numId w:val="22"/>
        </w:numPr>
        <w:tabs>
          <w:tab w:val="clear" w:pos="735"/>
          <w:tab w:val="num" w:pos="360"/>
        </w:tabs>
        <w:autoSpaceDE w:val="0"/>
        <w:autoSpaceDN w:val="0"/>
        <w:adjustRightInd w:val="0"/>
        <w:ind w:left="360" w:hanging="360"/>
      </w:pPr>
      <w:r>
        <w:rPr>
          <w:szCs w:val="24"/>
        </w:rPr>
        <w:t>Compare your measure of association in the nested case-control study to the estimate derived in part (a).  How different is it?  Why is it different?  (1 pt)</w:t>
      </w:r>
    </w:p>
    <w:p w:rsidR="00372A22" w:rsidRDefault="00372A22" w:rsidP="00781214">
      <w:pPr>
        <w:autoSpaceDE w:val="0"/>
        <w:autoSpaceDN w:val="0"/>
        <w:adjustRightInd w:val="0"/>
      </w:pPr>
    </w:p>
    <w:p w:rsidR="00791F3D" w:rsidRDefault="00372A22" w:rsidP="00781214">
      <w:pPr>
        <w:tabs>
          <w:tab w:val="left" w:pos="-90"/>
          <w:tab w:val="left" w:pos="360"/>
        </w:tabs>
        <w:autoSpaceDE w:val="0"/>
        <w:autoSpaceDN w:val="0"/>
        <w:adjustRightInd w:val="0"/>
        <w:ind w:left="360" w:hanging="360"/>
        <w:rPr>
          <w:szCs w:val="24"/>
        </w:rPr>
      </w:pPr>
      <w:r>
        <w:rPr>
          <w:szCs w:val="24"/>
        </w:rPr>
        <w:br w:type="page"/>
      </w:r>
    </w:p>
    <w:p w:rsidR="00C91102" w:rsidRDefault="00C91102" w:rsidP="00781214">
      <w:pPr>
        <w:tabs>
          <w:tab w:val="left" w:pos="-90"/>
          <w:tab w:val="left" w:pos="360"/>
        </w:tabs>
        <w:autoSpaceDE w:val="0"/>
        <w:autoSpaceDN w:val="0"/>
        <w:adjustRightInd w:val="0"/>
        <w:ind w:left="360" w:hanging="360"/>
        <w:rPr>
          <w:szCs w:val="24"/>
        </w:rPr>
      </w:pPr>
    </w:p>
    <w:tbl>
      <w:tblPr>
        <w:tblStyle w:val="TableGrid"/>
        <w:tblW w:w="0" w:type="auto"/>
        <w:tblInd w:w="108" w:type="dxa"/>
        <w:tblLook w:val="04A0" w:firstRow="1" w:lastRow="0" w:firstColumn="1" w:lastColumn="0" w:noHBand="0" w:noVBand="1"/>
      </w:tblPr>
      <w:tblGrid>
        <w:gridCol w:w="9468"/>
      </w:tblGrid>
      <w:tr w:rsidR="00C91102" w:rsidTr="00C91102">
        <w:tc>
          <w:tcPr>
            <w:tcW w:w="9468" w:type="dxa"/>
          </w:tcPr>
          <w:p w:rsidR="00C91102" w:rsidRDefault="00C91102" w:rsidP="00C91102">
            <w:pPr>
              <w:tabs>
                <w:tab w:val="left" w:pos="-90"/>
                <w:tab w:val="left" w:pos="360"/>
              </w:tabs>
              <w:autoSpaceDE w:val="0"/>
              <w:autoSpaceDN w:val="0"/>
              <w:adjustRightInd w:val="0"/>
              <w:ind w:left="360" w:hanging="360"/>
              <w:rPr>
                <w:szCs w:val="24"/>
              </w:rPr>
            </w:pPr>
            <w:r>
              <w:rPr>
                <w:szCs w:val="24"/>
              </w:rPr>
              <w:t xml:space="preserve">9.   </w:t>
            </w:r>
            <w:r w:rsidRPr="00F851DB">
              <w:rPr>
                <w:b/>
                <w:szCs w:val="24"/>
              </w:rPr>
              <w:t>FOR DISCUSSION IN SECTION ONLY</w:t>
            </w:r>
            <w:r>
              <w:rPr>
                <w:b/>
                <w:szCs w:val="24"/>
              </w:rPr>
              <w:t>:</w:t>
            </w:r>
          </w:p>
          <w:p w:rsidR="00C91102" w:rsidRDefault="00C91102" w:rsidP="00C91102">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4 to 12, the percent population attributable risk of head injuries in Los Angeles county that was due to skateboarding was 54%.  They arrived at this figure after a careful meta-analysis that estimated both the 8 year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4 to 12 by 54% if they could enact laws against skateboarding.  How would you react to this claim? </w:t>
            </w:r>
          </w:p>
        </w:tc>
      </w:tr>
    </w:tbl>
    <w:p w:rsidR="00372A22" w:rsidRDefault="00372A22" w:rsidP="00781214">
      <w:pPr>
        <w:tabs>
          <w:tab w:val="left" w:pos="-90"/>
          <w:tab w:val="left" w:pos="360"/>
        </w:tabs>
        <w:autoSpaceDE w:val="0"/>
        <w:autoSpaceDN w:val="0"/>
        <w:adjustRightInd w:val="0"/>
        <w:ind w:left="360" w:hanging="360"/>
        <w:rPr>
          <w:szCs w:val="24"/>
        </w:rPr>
      </w:pPr>
    </w:p>
    <w:p w:rsidR="00372A22" w:rsidRDefault="00372A22" w:rsidP="00781214">
      <w:pPr>
        <w:tabs>
          <w:tab w:val="left" w:pos="-90"/>
          <w:tab w:val="left" w:pos="360"/>
        </w:tabs>
        <w:autoSpaceDE w:val="0"/>
        <w:autoSpaceDN w:val="0"/>
        <w:adjustRightInd w:val="0"/>
        <w:ind w:left="360" w:hanging="360"/>
        <w:rPr>
          <w:szCs w:val="24"/>
        </w:rPr>
      </w:pPr>
    </w:p>
    <w:p w:rsidR="00372A22" w:rsidRDefault="00372A22">
      <w:pPr>
        <w:rPr>
          <w:szCs w:val="24"/>
        </w:rPr>
      </w:pPr>
      <w:r>
        <w:rPr>
          <w:szCs w:val="24"/>
        </w:rPr>
        <w:br w:type="page"/>
      </w:r>
    </w:p>
    <w:p w:rsidR="00372A22" w:rsidRPr="00E85862" w:rsidRDefault="00372A22" w:rsidP="00781214">
      <w:pPr>
        <w:tabs>
          <w:tab w:val="left" w:pos="-90"/>
          <w:tab w:val="left" w:pos="360"/>
        </w:tabs>
        <w:autoSpaceDE w:val="0"/>
        <w:autoSpaceDN w:val="0"/>
        <w:adjustRightInd w:val="0"/>
        <w:ind w:left="360" w:hanging="360"/>
        <w:rPr>
          <w:szCs w:val="24"/>
        </w:rPr>
      </w:pPr>
      <w:r>
        <w:rPr>
          <w:szCs w:val="24"/>
        </w:rPr>
        <w:lastRenderedPageBreak/>
        <w:t>10.</w:t>
      </w:r>
      <w:r>
        <w:rPr>
          <w:szCs w:val="24"/>
        </w:rPr>
        <w:tab/>
      </w:r>
      <w:r w:rsidRPr="00E85862">
        <w:rPr>
          <w:szCs w:val="24"/>
        </w:rPr>
        <w:t>In the Journal Club article by Grosso et al., consider the following questions:</w:t>
      </w:r>
    </w:p>
    <w:p w:rsidR="00372A22" w:rsidRPr="00E85862" w:rsidRDefault="00372A22">
      <w:pPr>
        <w:autoSpaceDE w:val="0"/>
        <w:autoSpaceDN w:val="0"/>
        <w:adjustRightInd w:val="0"/>
        <w:rPr>
          <w:szCs w:val="24"/>
        </w:rPr>
      </w:pPr>
    </w:p>
    <w:p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r w:rsidRPr="00E85862">
        <w:rPr>
          <w:i/>
          <w:szCs w:val="24"/>
        </w:rPr>
        <w:t>PLoS One</w:t>
      </w:r>
      <w:r w:rsidRPr="00E85862">
        <w:rPr>
          <w:szCs w:val="24"/>
        </w:rPr>
        <w:t>’s policy regarding the peer review process?  Do you agree with this policy?</w:t>
      </w:r>
      <w:r>
        <w:rPr>
          <w:szCs w:val="24"/>
        </w:rPr>
        <w:t xml:space="preserve"> </w:t>
      </w:r>
      <w:r w:rsidRPr="00E85862">
        <w:rPr>
          <w:szCs w:val="24"/>
        </w:rPr>
        <w:t xml:space="preserve"> (1 pt)</w:t>
      </w:r>
    </w:p>
    <w:p w:rsidR="00372A22" w:rsidRPr="00E85862" w:rsidRDefault="00372A22" w:rsidP="004F1992">
      <w:pPr>
        <w:autoSpaceDE w:val="0"/>
        <w:autoSpaceDN w:val="0"/>
        <w:adjustRightInd w:val="0"/>
        <w:ind w:left="360"/>
        <w:rPr>
          <w:szCs w:val="24"/>
        </w:rPr>
      </w:pPr>
    </w:p>
    <w:p w:rsidR="00372A22" w:rsidRPr="00E85862" w:rsidRDefault="00372A22" w:rsidP="00934532">
      <w:pPr>
        <w:autoSpaceDE w:val="0"/>
        <w:autoSpaceDN w:val="0"/>
        <w:adjustRightInd w:val="0"/>
        <w:rPr>
          <w:szCs w:val="24"/>
        </w:rPr>
      </w:pPr>
    </w:p>
    <w:p w:rsidR="00372A22" w:rsidRPr="00E85862" w:rsidRDefault="00372A22" w:rsidP="009C5501">
      <w:pPr>
        <w:numPr>
          <w:ilvl w:val="0"/>
          <w:numId w:val="10"/>
        </w:numPr>
        <w:tabs>
          <w:tab w:val="left" w:pos="360"/>
        </w:tabs>
        <w:autoSpaceDE w:val="0"/>
        <w:autoSpaceDN w:val="0"/>
        <w:adjustRightInd w:val="0"/>
        <w:ind w:hanging="720"/>
        <w:rPr>
          <w:szCs w:val="24"/>
        </w:rPr>
      </w:pPr>
      <w:r w:rsidRPr="00E85862">
        <w:rPr>
          <w:color w:val="000000"/>
          <w:szCs w:val="24"/>
        </w:rPr>
        <w:t>What is the type of measure of association used to depict the main results?  (1 pt)</w:t>
      </w:r>
    </w:p>
    <w:p w:rsidR="00372A22" w:rsidRPr="00E85862" w:rsidRDefault="00372A22" w:rsidP="00934532">
      <w:pPr>
        <w:autoSpaceDE w:val="0"/>
        <w:autoSpaceDN w:val="0"/>
        <w:adjustRightInd w:val="0"/>
        <w:rPr>
          <w:color w:val="000000"/>
          <w:szCs w:val="24"/>
        </w:rPr>
      </w:pPr>
    </w:p>
    <w:p w:rsidR="00372A22" w:rsidRPr="00E85862" w:rsidRDefault="00372A22" w:rsidP="00934532">
      <w:pPr>
        <w:autoSpaceDE w:val="0"/>
        <w:autoSpaceDN w:val="0"/>
        <w:adjustRightInd w:val="0"/>
        <w:ind w:left="360"/>
        <w:rPr>
          <w:szCs w:val="24"/>
        </w:rPr>
      </w:pPr>
    </w:p>
    <w:p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One aspect of this study design is that it cannot calculate absolute difference measures of association.  Do you see this as a limitation?</w:t>
      </w:r>
      <w:r>
        <w:rPr>
          <w:szCs w:val="24"/>
        </w:rPr>
        <w:t xml:space="preserve"> </w:t>
      </w:r>
      <w:r w:rsidRPr="00E85862">
        <w:rPr>
          <w:szCs w:val="24"/>
        </w:rPr>
        <w:t xml:space="preserve"> (1 pt)</w:t>
      </w:r>
    </w:p>
    <w:p w:rsidR="00372A22" w:rsidRDefault="00372A22" w:rsidP="006013CE">
      <w:pPr>
        <w:autoSpaceDE w:val="0"/>
        <w:autoSpaceDN w:val="0"/>
        <w:adjustRightInd w:val="0"/>
        <w:ind w:left="360"/>
        <w:rPr>
          <w:szCs w:val="24"/>
        </w:rPr>
      </w:pPr>
    </w:p>
    <w:p w:rsidR="00AF6CA7" w:rsidRPr="00E85862" w:rsidRDefault="00AF6CA7" w:rsidP="006013CE">
      <w:pPr>
        <w:autoSpaceDE w:val="0"/>
        <w:autoSpaceDN w:val="0"/>
        <w:adjustRightInd w:val="0"/>
        <w:ind w:left="360"/>
        <w:rPr>
          <w:szCs w:val="24"/>
        </w:rPr>
      </w:pPr>
    </w:p>
    <w:p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would be the effect in the measure of association in this study of having too small of a wash-out period?  How did the authors handle the wash-out period? </w:t>
      </w:r>
      <w:r>
        <w:rPr>
          <w:szCs w:val="24"/>
        </w:rPr>
        <w:t xml:space="preserve"> </w:t>
      </w:r>
      <w:r w:rsidRPr="00E85862">
        <w:rPr>
          <w:szCs w:val="24"/>
        </w:rPr>
        <w:t>(1 pt)</w:t>
      </w:r>
    </w:p>
    <w:p w:rsidR="00372A22" w:rsidRDefault="00372A22" w:rsidP="0052521A">
      <w:pPr>
        <w:autoSpaceDE w:val="0"/>
        <w:autoSpaceDN w:val="0"/>
        <w:adjustRightInd w:val="0"/>
        <w:rPr>
          <w:szCs w:val="24"/>
        </w:rPr>
      </w:pPr>
    </w:p>
    <w:p w:rsidR="00372A22" w:rsidRPr="00E85862" w:rsidRDefault="00372A22" w:rsidP="0052521A">
      <w:pPr>
        <w:autoSpaceDE w:val="0"/>
        <w:autoSpaceDN w:val="0"/>
        <w:adjustRightInd w:val="0"/>
        <w:rPr>
          <w:szCs w:val="24"/>
        </w:rPr>
      </w:pPr>
    </w:p>
    <w:p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Would this study work well to investigate the occurrence of seizures after vaccination?  How about the occurrence of breast cancer after anti-depressant medication initiation?</w:t>
      </w:r>
      <w:r>
        <w:rPr>
          <w:szCs w:val="24"/>
        </w:rPr>
        <w:t xml:space="preserve"> </w:t>
      </w:r>
      <w:r w:rsidRPr="00E85862">
        <w:rPr>
          <w:szCs w:val="24"/>
        </w:rPr>
        <w:t xml:space="preserve"> (1 </w:t>
      </w:r>
      <w:bookmarkStart w:id="0" w:name="_GoBack"/>
      <w:r w:rsidRPr="00E85862">
        <w:rPr>
          <w:szCs w:val="24"/>
        </w:rPr>
        <w:t>pt</w:t>
      </w:r>
      <w:bookmarkEnd w:id="0"/>
      <w:r w:rsidRPr="00E85862">
        <w:rPr>
          <w:szCs w:val="24"/>
        </w:rPr>
        <w:t xml:space="preserve"> extra credit)</w:t>
      </w:r>
    </w:p>
    <w:p w:rsidR="00372A22" w:rsidRPr="00E85862" w:rsidRDefault="00372A22">
      <w:pPr>
        <w:autoSpaceDE w:val="0"/>
        <w:autoSpaceDN w:val="0"/>
        <w:adjustRightInd w:val="0"/>
        <w:ind w:left="360"/>
        <w:rPr>
          <w:color w:val="000000"/>
          <w:szCs w:val="24"/>
        </w:rPr>
      </w:pPr>
    </w:p>
    <w:p w:rsidR="00372A22" w:rsidRPr="008A4D98" w:rsidRDefault="00372A22" w:rsidP="008A4D98">
      <w:pPr>
        <w:spacing w:after="60"/>
        <w:rPr>
          <w:b/>
          <w:szCs w:val="24"/>
        </w:rPr>
      </w:pPr>
    </w:p>
    <w:sectPr w:rsidR="00372A22" w:rsidRPr="008A4D98" w:rsidSect="003954B1">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C7" w:rsidRDefault="003A70C7">
      <w:r>
        <w:separator/>
      </w:r>
    </w:p>
  </w:endnote>
  <w:endnote w:type="continuationSeparator" w:id="0">
    <w:p w:rsidR="003A70C7" w:rsidRDefault="003A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oudy-Bold">
    <w:panose1 w:val="00000000000000000000"/>
    <w:charset w:val="00"/>
    <w:family w:val="roman"/>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Goudy-Italic">
    <w:panose1 w:val="00000000000000000000"/>
    <w:charset w:val="00"/>
    <w:family w:val="roman"/>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22" w:rsidRDefault="00372A22" w:rsidP="002319DA">
    <w:pPr>
      <w:pStyle w:val="Footer"/>
      <w:tabs>
        <w:tab w:val="clear" w:pos="4320"/>
        <w:tab w:val="clear" w:pos="8640"/>
        <w:tab w:val="center" w:pos="4800"/>
        <w:tab w:val="right" w:pos="9900"/>
      </w:tabs>
    </w:pPr>
    <w:r>
      <w:t>Epi Methods Problem Set 5</w:t>
    </w:r>
    <w:r>
      <w:tab/>
    </w:r>
    <w:r>
      <w:rPr>
        <w:rStyle w:val="PageNumber"/>
      </w:rPr>
      <w:fldChar w:fldCharType="begin"/>
    </w:r>
    <w:r>
      <w:rPr>
        <w:rStyle w:val="PageNumber"/>
      </w:rPr>
      <w:instrText xml:space="preserve"> PAGE </w:instrText>
    </w:r>
    <w:r>
      <w:rPr>
        <w:rStyle w:val="PageNumber"/>
      </w:rPr>
      <w:fldChar w:fldCharType="separate"/>
    </w:r>
    <w:r w:rsidR="001A0B8F">
      <w:rPr>
        <w:rStyle w:val="PageNumber"/>
        <w:noProof/>
      </w:rPr>
      <w:t>2</w:t>
    </w:r>
    <w:r>
      <w:rPr>
        <w:rStyle w:val="PageNumber"/>
      </w:rPr>
      <w:fldChar w:fldCharType="end"/>
    </w:r>
    <w:r>
      <w:tab/>
    </w:r>
    <w:r>
      <w:rPr>
        <w:rStyle w:val="PageNumber"/>
      </w:rPr>
      <w:t>Measures of Disease Association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C7" w:rsidRDefault="003A70C7">
      <w:r>
        <w:separator/>
      </w:r>
    </w:p>
  </w:footnote>
  <w:footnote w:type="continuationSeparator" w:id="0">
    <w:p w:rsidR="003A70C7" w:rsidRDefault="003A7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22" w:rsidRDefault="00372A22">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9">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6"/>
  </w:num>
  <w:num w:numId="3">
    <w:abstractNumId w:val="13"/>
  </w:num>
  <w:num w:numId="4">
    <w:abstractNumId w:val="12"/>
  </w:num>
  <w:num w:numId="5">
    <w:abstractNumId w:val="11"/>
  </w:num>
  <w:num w:numId="6">
    <w:abstractNumId w:val="22"/>
  </w:num>
  <w:num w:numId="7">
    <w:abstractNumId w:val="19"/>
  </w:num>
  <w:num w:numId="8">
    <w:abstractNumId w:val="15"/>
  </w:num>
  <w:num w:numId="9">
    <w:abstractNumId w:val="17"/>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5C"/>
    <w:rsid w:val="00001A85"/>
    <w:rsid w:val="000133FB"/>
    <w:rsid w:val="000200BF"/>
    <w:rsid w:val="00024492"/>
    <w:rsid w:val="00025158"/>
    <w:rsid w:val="00031E1E"/>
    <w:rsid w:val="00032807"/>
    <w:rsid w:val="0003355D"/>
    <w:rsid w:val="00034FEA"/>
    <w:rsid w:val="000405D0"/>
    <w:rsid w:val="00041BBA"/>
    <w:rsid w:val="00045F3B"/>
    <w:rsid w:val="000501EA"/>
    <w:rsid w:val="0005637B"/>
    <w:rsid w:val="00066916"/>
    <w:rsid w:val="00070C36"/>
    <w:rsid w:val="00094100"/>
    <w:rsid w:val="000945D1"/>
    <w:rsid w:val="00096588"/>
    <w:rsid w:val="000B3AA2"/>
    <w:rsid w:val="000B7239"/>
    <w:rsid w:val="000C70E3"/>
    <w:rsid w:val="000D2743"/>
    <w:rsid w:val="000D2D1E"/>
    <w:rsid w:val="000D37AE"/>
    <w:rsid w:val="000D73C9"/>
    <w:rsid w:val="00101FE4"/>
    <w:rsid w:val="00106A0D"/>
    <w:rsid w:val="00106A98"/>
    <w:rsid w:val="00111030"/>
    <w:rsid w:val="00125DBD"/>
    <w:rsid w:val="00127993"/>
    <w:rsid w:val="00131DBA"/>
    <w:rsid w:val="001353C5"/>
    <w:rsid w:val="0013745E"/>
    <w:rsid w:val="00137FF2"/>
    <w:rsid w:val="00143818"/>
    <w:rsid w:val="00144AE1"/>
    <w:rsid w:val="00155514"/>
    <w:rsid w:val="0016128B"/>
    <w:rsid w:val="00161A7A"/>
    <w:rsid w:val="00170B94"/>
    <w:rsid w:val="001747B3"/>
    <w:rsid w:val="00176503"/>
    <w:rsid w:val="00180BB9"/>
    <w:rsid w:val="00180ECE"/>
    <w:rsid w:val="001836AB"/>
    <w:rsid w:val="001926DD"/>
    <w:rsid w:val="00192D01"/>
    <w:rsid w:val="001954B2"/>
    <w:rsid w:val="001964C5"/>
    <w:rsid w:val="0019787E"/>
    <w:rsid w:val="001A0B8F"/>
    <w:rsid w:val="001A10D1"/>
    <w:rsid w:val="001A226E"/>
    <w:rsid w:val="001A7EAB"/>
    <w:rsid w:val="001B1662"/>
    <w:rsid w:val="001B16B1"/>
    <w:rsid w:val="001B2B66"/>
    <w:rsid w:val="001B342C"/>
    <w:rsid w:val="001C0768"/>
    <w:rsid w:val="001C1424"/>
    <w:rsid w:val="001C154C"/>
    <w:rsid w:val="001D1BE4"/>
    <w:rsid w:val="001D2191"/>
    <w:rsid w:val="001E1300"/>
    <w:rsid w:val="001E215B"/>
    <w:rsid w:val="001F27A1"/>
    <w:rsid w:val="001F3897"/>
    <w:rsid w:val="001F5181"/>
    <w:rsid w:val="00203A81"/>
    <w:rsid w:val="00207AAE"/>
    <w:rsid w:val="0021116A"/>
    <w:rsid w:val="00221F27"/>
    <w:rsid w:val="00224D80"/>
    <w:rsid w:val="002278F3"/>
    <w:rsid w:val="002319DA"/>
    <w:rsid w:val="00241E57"/>
    <w:rsid w:val="00255EFC"/>
    <w:rsid w:val="002601E9"/>
    <w:rsid w:val="00262945"/>
    <w:rsid w:val="002635B2"/>
    <w:rsid w:val="00265B15"/>
    <w:rsid w:val="00271C6F"/>
    <w:rsid w:val="002746A6"/>
    <w:rsid w:val="00276BC6"/>
    <w:rsid w:val="00281C73"/>
    <w:rsid w:val="002849AE"/>
    <w:rsid w:val="0028755B"/>
    <w:rsid w:val="00293926"/>
    <w:rsid w:val="00294491"/>
    <w:rsid w:val="002A3F97"/>
    <w:rsid w:val="002A6A07"/>
    <w:rsid w:val="002B1654"/>
    <w:rsid w:val="002B1F7F"/>
    <w:rsid w:val="002B2C57"/>
    <w:rsid w:val="002B31A3"/>
    <w:rsid w:val="002B3258"/>
    <w:rsid w:val="002D1CBD"/>
    <w:rsid w:val="002D3B2D"/>
    <w:rsid w:val="002E4056"/>
    <w:rsid w:val="002E4F36"/>
    <w:rsid w:val="002E59FE"/>
    <w:rsid w:val="00302229"/>
    <w:rsid w:val="003075D1"/>
    <w:rsid w:val="003133D5"/>
    <w:rsid w:val="00321354"/>
    <w:rsid w:val="00326427"/>
    <w:rsid w:val="00330F1E"/>
    <w:rsid w:val="00332129"/>
    <w:rsid w:val="00333A5B"/>
    <w:rsid w:val="003350AA"/>
    <w:rsid w:val="00335D61"/>
    <w:rsid w:val="00341184"/>
    <w:rsid w:val="0034445E"/>
    <w:rsid w:val="00345B56"/>
    <w:rsid w:val="00347036"/>
    <w:rsid w:val="0034789F"/>
    <w:rsid w:val="00365F2F"/>
    <w:rsid w:val="0036729D"/>
    <w:rsid w:val="003702AB"/>
    <w:rsid w:val="00372A22"/>
    <w:rsid w:val="0037623E"/>
    <w:rsid w:val="00384277"/>
    <w:rsid w:val="003954B1"/>
    <w:rsid w:val="003A63C6"/>
    <w:rsid w:val="003A70C7"/>
    <w:rsid w:val="003B0CCD"/>
    <w:rsid w:val="003B4155"/>
    <w:rsid w:val="003C2395"/>
    <w:rsid w:val="003C439E"/>
    <w:rsid w:val="003C6EAC"/>
    <w:rsid w:val="003D54C8"/>
    <w:rsid w:val="003D7079"/>
    <w:rsid w:val="003E6C22"/>
    <w:rsid w:val="003F6BC0"/>
    <w:rsid w:val="00400376"/>
    <w:rsid w:val="00412C65"/>
    <w:rsid w:val="00412E13"/>
    <w:rsid w:val="00427349"/>
    <w:rsid w:val="00436A4A"/>
    <w:rsid w:val="00443F64"/>
    <w:rsid w:val="004448FB"/>
    <w:rsid w:val="0045006F"/>
    <w:rsid w:val="0045302D"/>
    <w:rsid w:val="004572C3"/>
    <w:rsid w:val="004661EE"/>
    <w:rsid w:val="00481371"/>
    <w:rsid w:val="0048171B"/>
    <w:rsid w:val="00486F23"/>
    <w:rsid w:val="00492BA3"/>
    <w:rsid w:val="004970F8"/>
    <w:rsid w:val="004C0136"/>
    <w:rsid w:val="004C347D"/>
    <w:rsid w:val="004C4238"/>
    <w:rsid w:val="004C7194"/>
    <w:rsid w:val="004C73BA"/>
    <w:rsid w:val="004D1653"/>
    <w:rsid w:val="004E516F"/>
    <w:rsid w:val="004E6826"/>
    <w:rsid w:val="004F17FA"/>
    <w:rsid w:val="004F1992"/>
    <w:rsid w:val="00505EF8"/>
    <w:rsid w:val="005067C3"/>
    <w:rsid w:val="0052141B"/>
    <w:rsid w:val="00522567"/>
    <w:rsid w:val="00524EBE"/>
    <w:rsid w:val="0052521A"/>
    <w:rsid w:val="00530814"/>
    <w:rsid w:val="00531EC7"/>
    <w:rsid w:val="00535593"/>
    <w:rsid w:val="00552A5C"/>
    <w:rsid w:val="005546CB"/>
    <w:rsid w:val="00554DA8"/>
    <w:rsid w:val="00555206"/>
    <w:rsid w:val="00560756"/>
    <w:rsid w:val="00573D1C"/>
    <w:rsid w:val="0057625B"/>
    <w:rsid w:val="0058039E"/>
    <w:rsid w:val="00580C4C"/>
    <w:rsid w:val="00585C7E"/>
    <w:rsid w:val="00586670"/>
    <w:rsid w:val="00586A0D"/>
    <w:rsid w:val="00595EA6"/>
    <w:rsid w:val="005A15AA"/>
    <w:rsid w:val="005A16C5"/>
    <w:rsid w:val="005A2964"/>
    <w:rsid w:val="005A7C8B"/>
    <w:rsid w:val="005B0F49"/>
    <w:rsid w:val="005B4015"/>
    <w:rsid w:val="005B6A5A"/>
    <w:rsid w:val="005C0620"/>
    <w:rsid w:val="005C212B"/>
    <w:rsid w:val="005C601B"/>
    <w:rsid w:val="005E016E"/>
    <w:rsid w:val="005F0963"/>
    <w:rsid w:val="005F7262"/>
    <w:rsid w:val="00600C7B"/>
    <w:rsid w:val="00600E19"/>
    <w:rsid w:val="006013CE"/>
    <w:rsid w:val="006028C5"/>
    <w:rsid w:val="00603DF3"/>
    <w:rsid w:val="006049BB"/>
    <w:rsid w:val="00604BEA"/>
    <w:rsid w:val="006137A1"/>
    <w:rsid w:val="00621B2D"/>
    <w:rsid w:val="00627ACD"/>
    <w:rsid w:val="00630BAE"/>
    <w:rsid w:val="0063180B"/>
    <w:rsid w:val="00634C64"/>
    <w:rsid w:val="006363AA"/>
    <w:rsid w:val="00641EAC"/>
    <w:rsid w:val="00642D56"/>
    <w:rsid w:val="00645B49"/>
    <w:rsid w:val="006469B4"/>
    <w:rsid w:val="00655D1A"/>
    <w:rsid w:val="0066651A"/>
    <w:rsid w:val="00680040"/>
    <w:rsid w:val="00680196"/>
    <w:rsid w:val="00693C09"/>
    <w:rsid w:val="006A00C6"/>
    <w:rsid w:val="006A691E"/>
    <w:rsid w:val="006C46C0"/>
    <w:rsid w:val="006C5198"/>
    <w:rsid w:val="006C597C"/>
    <w:rsid w:val="006D122C"/>
    <w:rsid w:val="006D267A"/>
    <w:rsid w:val="006D6EA7"/>
    <w:rsid w:val="006D76AB"/>
    <w:rsid w:val="006E09BC"/>
    <w:rsid w:val="006E0BA3"/>
    <w:rsid w:val="006E41E5"/>
    <w:rsid w:val="006E525F"/>
    <w:rsid w:val="0070329F"/>
    <w:rsid w:val="00706EA4"/>
    <w:rsid w:val="00713BB1"/>
    <w:rsid w:val="00724A12"/>
    <w:rsid w:val="00730042"/>
    <w:rsid w:val="0075274E"/>
    <w:rsid w:val="00754375"/>
    <w:rsid w:val="00756748"/>
    <w:rsid w:val="00775134"/>
    <w:rsid w:val="00781173"/>
    <w:rsid w:val="00781214"/>
    <w:rsid w:val="0078344E"/>
    <w:rsid w:val="0079081D"/>
    <w:rsid w:val="00791F3D"/>
    <w:rsid w:val="0079507C"/>
    <w:rsid w:val="007A4A89"/>
    <w:rsid w:val="007A5840"/>
    <w:rsid w:val="007A6BC8"/>
    <w:rsid w:val="007B0BE4"/>
    <w:rsid w:val="007B406F"/>
    <w:rsid w:val="007B52A3"/>
    <w:rsid w:val="007B60F9"/>
    <w:rsid w:val="007C1EDF"/>
    <w:rsid w:val="007C4C77"/>
    <w:rsid w:val="007D1886"/>
    <w:rsid w:val="007D18CD"/>
    <w:rsid w:val="007E0D42"/>
    <w:rsid w:val="007E4B25"/>
    <w:rsid w:val="00805F6C"/>
    <w:rsid w:val="008064A3"/>
    <w:rsid w:val="008213EB"/>
    <w:rsid w:val="0082239A"/>
    <w:rsid w:val="00825121"/>
    <w:rsid w:val="00831E11"/>
    <w:rsid w:val="008402B9"/>
    <w:rsid w:val="008427C2"/>
    <w:rsid w:val="00845DA2"/>
    <w:rsid w:val="0084772A"/>
    <w:rsid w:val="00851510"/>
    <w:rsid w:val="008550E4"/>
    <w:rsid w:val="00864890"/>
    <w:rsid w:val="0086640D"/>
    <w:rsid w:val="0086661A"/>
    <w:rsid w:val="0087324C"/>
    <w:rsid w:val="00882D12"/>
    <w:rsid w:val="0088493F"/>
    <w:rsid w:val="00896AC6"/>
    <w:rsid w:val="008973BB"/>
    <w:rsid w:val="008A4D98"/>
    <w:rsid w:val="008B0EA4"/>
    <w:rsid w:val="008C3B6C"/>
    <w:rsid w:val="008E2FE0"/>
    <w:rsid w:val="008F32C7"/>
    <w:rsid w:val="009003C3"/>
    <w:rsid w:val="00904BFB"/>
    <w:rsid w:val="00905D40"/>
    <w:rsid w:val="009104C8"/>
    <w:rsid w:val="0091645A"/>
    <w:rsid w:val="0092135B"/>
    <w:rsid w:val="00925044"/>
    <w:rsid w:val="00925C83"/>
    <w:rsid w:val="00931300"/>
    <w:rsid w:val="00934532"/>
    <w:rsid w:val="009360B2"/>
    <w:rsid w:val="00955B8B"/>
    <w:rsid w:val="00981E4A"/>
    <w:rsid w:val="00986670"/>
    <w:rsid w:val="0099230A"/>
    <w:rsid w:val="00992DE3"/>
    <w:rsid w:val="009938CE"/>
    <w:rsid w:val="00997196"/>
    <w:rsid w:val="009A0EC1"/>
    <w:rsid w:val="009B2121"/>
    <w:rsid w:val="009B3AD2"/>
    <w:rsid w:val="009B6F8D"/>
    <w:rsid w:val="009C5501"/>
    <w:rsid w:val="009D1069"/>
    <w:rsid w:val="009D6E0B"/>
    <w:rsid w:val="009E462D"/>
    <w:rsid w:val="009F4726"/>
    <w:rsid w:val="009F513D"/>
    <w:rsid w:val="00A108DD"/>
    <w:rsid w:val="00A14154"/>
    <w:rsid w:val="00A163DA"/>
    <w:rsid w:val="00A178C3"/>
    <w:rsid w:val="00A179D6"/>
    <w:rsid w:val="00A22938"/>
    <w:rsid w:val="00A23FA1"/>
    <w:rsid w:val="00A25E2C"/>
    <w:rsid w:val="00A30C0E"/>
    <w:rsid w:val="00A44C63"/>
    <w:rsid w:val="00A517EA"/>
    <w:rsid w:val="00A55173"/>
    <w:rsid w:val="00A640DE"/>
    <w:rsid w:val="00A65AC1"/>
    <w:rsid w:val="00A65C69"/>
    <w:rsid w:val="00A6656B"/>
    <w:rsid w:val="00A70DC3"/>
    <w:rsid w:val="00A93183"/>
    <w:rsid w:val="00A94DDC"/>
    <w:rsid w:val="00AA1E00"/>
    <w:rsid w:val="00AA418A"/>
    <w:rsid w:val="00AA506F"/>
    <w:rsid w:val="00AB29B7"/>
    <w:rsid w:val="00AB726D"/>
    <w:rsid w:val="00AD4D12"/>
    <w:rsid w:val="00AD51E4"/>
    <w:rsid w:val="00AD738D"/>
    <w:rsid w:val="00AD7B5B"/>
    <w:rsid w:val="00AE3EC9"/>
    <w:rsid w:val="00AE6B65"/>
    <w:rsid w:val="00AF6CA7"/>
    <w:rsid w:val="00B00DEE"/>
    <w:rsid w:val="00B0563B"/>
    <w:rsid w:val="00B06E24"/>
    <w:rsid w:val="00B20125"/>
    <w:rsid w:val="00B22437"/>
    <w:rsid w:val="00B24AC2"/>
    <w:rsid w:val="00B34422"/>
    <w:rsid w:val="00B3662F"/>
    <w:rsid w:val="00B440C9"/>
    <w:rsid w:val="00B47E44"/>
    <w:rsid w:val="00B7178E"/>
    <w:rsid w:val="00B72AB1"/>
    <w:rsid w:val="00B77EC0"/>
    <w:rsid w:val="00B91908"/>
    <w:rsid w:val="00BA160B"/>
    <w:rsid w:val="00BA3E19"/>
    <w:rsid w:val="00BA4CA7"/>
    <w:rsid w:val="00BA5264"/>
    <w:rsid w:val="00BA678C"/>
    <w:rsid w:val="00BB0031"/>
    <w:rsid w:val="00BB10E9"/>
    <w:rsid w:val="00BC22C6"/>
    <w:rsid w:val="00BC2B7B"/>
    <w:rsid w:val="00BC3B1D"/>
    <w:rsid w:val="00BC55E6"/>
    <w:rsid w:val="00BD2F42"/>
    <w:rsid w:val="00BD4A38"/>
    <w:rsid w:val="00BD75F4"/>
    <w:rsid w:val="00BE559E"/>
    <w:rsid w:val="00BE6CDE"/>
    <w:rsid w:val="00BF705A"/>
    <w:rsid w:val="00C00287"/>
    <w:rsid w:val="00C0127A"/>
    <w:rsid w:val="00C07B38"/>
    <w:rsid w:val="00C40ECB"/>
    <w:rsid w:val="00C50859"/>
    <w:rsid w:val="00C55656"/>
    <w:rsid w:val="00C6043C"/>
    <w:rsid w:val="00C61366"/>
    <w:rsid w:val="00C65014"/>
    <w:rsid w:val="00C67940"/>
    <w:rsid w:val="00C759BE"/>
    <w:rsid w:val="00C77E6A"/>
    <w:rsid w:val="00C8161E"/>
    <w:rsid w:val="00C85C35"/>
    <w:rsid w:val="00C87A31"/>
    <w:rsid w:val="00C902FC"/>
    <w:rsid w:val="00C91102"/>
    <w:rsid w:val="00C97994"/>
    <w:rsid w:val="00CA4DD6"/>
    <w:rsid w:val="00CB23C7"/>
    <w:rsid w:val="00CB2DF9"/>
    <w:rsid w:val="00CC13DD"/>
    <w:rsid w:val="00CC319A"/>
    <w:rsid w:val="00CC47A7"/>
    <w:rsid w:val="00CC5975"/>
    <w:rsid w:val="00CC642D"/>
    <w:rsid w:val="00CC6A34"/>
    <w:rsid w:val="00CD3D84"/>
    <w:rsid w:val="00CD7F49"/>
    <w:rsid w:val="00CE4539"/>
    <w:rsid w:val="00CE728D"/>
    <w:rsid w:val="00CF2C64"/>
    <w:rsid w:val="00D00DA2"/>
    <w:rsid w:val="00D00E1D"/>
    <w:rsid w:val="00D15566"/>
    <w:rsid w:val="00D267D1"/>
    <w:rsid w:val="00D430BC"/>
    <w:rsid w:val="00D52837"/>
    <w:rsid w:val="00D66C37"/>
    <w:rsid w:val="00D739FA"/>
    <w:rsid w:val="00D74954"/>
    <w:rsid w:val="00D77369"/>
    <w:rsid w:val="00D8161F"/>
    <w:rsid w:val="00D82802"/>
    <w:rsid w:val="00D94666"/>
    <w:rsid w:val="00D95134"/>
    <w:rsid w:val="00D97D17"/>
    <w:rsid w:val="00DA300A"/>
    <w:rsid w:val="00DA66DF"/>
    <w:rsid w:val="00DB0527"/>
    <w:rsid w:val="00DB0998"/>
    <w:rsid w:val="00DB273A"/>
    <w:rsid w:val="00DB3A8F"/>
    <w:rsid w:val="00DB3ACA"/>
    <w:rsid w:val="00DB4B90"/>
    <w:rsid w:val="00DC4155"/>
    <w:rsid w:val="00DC6EF6"/>
    <w:rsid w:val="00DC78CA"/>
    <w:rsid w:val="00DD0241"/>
    <w:rsid w:val="00DD55CB"/>
    <w:rsid w:val="00DE24B1"/>
    <w:rsid w:val="00DE3663"/>
    <w:rsid w:val="00DE6909"/>
    <w:rsid w:val="00DF1693"/>
    <w:rsid w:val="00DF7C44"/>
    <w:rsid w:val="00E01459"/>
    <w:rsid w:val="00E07F38"/>
    <w:rsid w:val="00E156FE"/>
    <w:rsid w:val="00E247E7"/>
    <w:rsid w:val="00E26B4A"/>
    <w:rsid w:val="00E31314"/>
    <w:rsid w:val="00E43633"/>
    <w:rsid w:val="00E50A47"/>
    <w:rsid w:val="00E51084"/>
    <w:rsid w:val="00E62402"/>
    <w:rsid w:val="00E6282E"/>
    <w:rsid w:val="00E62A42"/>
    <w:rsid w:val="00E641ED"/>
    <w:rsid w:val="00E66379"/>
    <w:rsid w:val="00E72DEC"/>
    <w:rsid w:val="00E85862"/>
    <w:rsid w:val="00E9046A"/>
    <w:rsid w:val="00E920D0"/>
    <w:rsid w:val="00E940B4"/>
    <w:rsid w:val="00E969D4"/>
    <w:rsid w:val="00EA1B6A"/>
    <w:rsid w:val="00EA3816"/>
    <w:rsid w:val="00EA76BF"/>
    <w:rsid w:val="00EB0B69"/>
    <w:rsid w:val="00EB3FBA"/>
    <w:rsid w:val="00EB7619"/>
    <w:rsid w:val="00EC5148"/>
    <w:rsid w:val="00EC7CF7"/>
    <w:rsid w:val="00EE1242"/>
    <w:rsid w:val="00EE2A6F"/>
    <w:rsid w:val="00EE701E"/>
    <w:rsid w:val="00EF01DD"/>
    <w:rsid w:val="00F10390"/>
    <w:rsid w:val="00F221DD"/>
    <w:rsid w:val="00F31DA8"/>
    <w:rsid w:val="00F35D3D"/>
    <w:rsid w:val="00F361CB"/>
    <w:rsid w:val="00F37369"/>
    <w:rsid w:val="00F409CD"/>
    <w:rsid w:val="00F63F9E"/>
    <w:rsid w:val="00F675D9"/>
    <w:rsid w:val="00F67770"/>
    <w:rsid w:val="00F72EC9"/>
    <w:rsid w:val="00F752D8"/>
    <w:rsid w:val="00F75CFC"/>
    <w:rsid w:val="00F8374E"/>
    <w:rsid w:val="00F851DB"/>
    <w:rsid w:val="00F8558A"/>
    <w:rsid w:val="00F9508D"/>
    <w:rsid w:val="00F975B9"/>
    <w:rsid w:val="00FA35D0"/>
    <w:rsid w:val="00FB5A1D"/>
    <w:rsid w:val="00FB6951"/>
    <w:rsid w:val="00FC330E"/>
    <w:rsid w:val="00FD5BEE"/>
    <w:rsid w:val="00FE22EB"/>
    <w:rsid w:val="00FE6455"/>
    <w:rsid w:val="00FF0EE7"/>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semiHidden/>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semiHidden/>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semiHidden/>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semiHidden/>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4039</Words>
  <Characters>22099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Trisha Hue</cp:lastModifiedBy>
  <cp:revision>2</cp:revision>
  <cp:lastPrinted>2008-10-11T00:44:00Z</cp:lastPrinted>
  <dcterms:created xsi:type="dcterms:W3CDTF">2014-10-14T23:37:00Z</dcterms:created>
  <dcterms:modified xsi:type="dcterms:W3CDTF">2014-10-14T23:37:00Z</dcterms:modified>
</cp:coreProperties>
</file>