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459CE" w14:textId="77777777" w:rsidR="00372A22" w:rsidRPr="00E85862" w:rsidRDefault="00372A22" w:rsidP="00FD5BEE">
      <w:pPr>
        <w:rPr>
          <w:b/>
        </w:rPr>
      </w:pPr>
      <w:bookmarkStart w:id="0" w:name="_GoBack"/>
      <w:bookmarkEnd w:id="0"/>
      <w:r w:rsidRPr="00E85862">
        <w:rPr>
          <w:b/>
        </w:rPr>
        <w:t>E</w:t>
      </w:r>
      <w:r>
        <w:rPr>
          <w:b/>
        </w:rPr>
        <w:t>PI</w:t>
      </w:r>
      <w:r w:rsidRPr="00E85862">
        <w:rPr>
          <w:b/>
        </w:rPr>
        <w:t xml:space="preserve"> 203: </w:t>
      </w:r>
      <w:r w:rsidRPr="00F1641F">
        <w:rPr>
          <w:b/>
          <w:i/>
        </w:rPr>
        <w:t xml:space="preserve">Epidemiologic Methods </w:t>
      </w:r>
      <w:r w:rsidRPr="00F1641F">
        <w:rPr>
          <w:b/>
          <w:i/>
        </w:rPr>
        <w:tab/>
      </w:r>
      <w:r>
        <w:rPr>
          <w:b/>
        </w:rPr>
        <w:tab/>
      </w:r>
      <w:r>
        <w:rPr>
          <w:b/>
        </w:rPr>
        <w:tab/>
      </w:r>
      <w:r>
        <w:rPr>
          <w:b/>
        </w:rPr>
        <w:tab/>
        <w:t>Name: _______________________</w:t>
      </w:r>
    </w:p>
    <w:p w14:paraId="368614B8" w14:textId="77777777" w:rsidR="00372A22" w:rsidRPr="00E85862" w:rsidRDefault="00372A22" w:rsidP="00FD5BEE">
      <w:pPr>
        <w:rPr>
          <w:b/>
        </w:rPr>
      </w:pPr>
      <w:r w:rsidRPr="00E85862">
        <w:rPr>
          <w:b/>
        </w:rPr>
        <w:t>Problem Set 5: Measures of Disease Association II</w:t>
      </w:r>
      <w:r>
        <w:rPr>
          <w:b/>
        </w:rPr>
        <w:t xml:space="preserve"> and Disease Attribution</w:t>
      </w:r>
    </w:p>
    <w:p w14:paraId="301BE46E" w14:textId="77777777" w:rsidR="00372A22" w:rsidRPr="00E85862" w:rsidRDefault="00372A22" w:rsidP="00FD5BEE">
      <w:pPr>
        <w:rPr>
          <w:b/>
        </w:rPr>
      </w:pPr>
    </w:p>
    <w:p w14:paraId="39171B0A" w14:textId="77777777" w:rsidR="00372A22" w:rsidRPr="00E85862" w:rsidRDefault="00372A22" w:rsidP="00FD5BEE">
      <w:pPr>
        <w:pStyle w:val="Heading2"/>
      </w:pPr>
      <w:r w:rsidRPr="00E85862">
        <w:t>Due: 10/</w:t>
      </w:r>
      <w:r>
        <w:t>2</w:t>
      </w:r>
      <w:r w:rsidR="00F1641F">
        <w:t>0</w:t>
      </w:r>
      <w:r w:rsidRPr="00E85862">
        <w:t>/201</w:t>
      </w:r>
      <w:r w:rsidR="00F1641F">
        <w:t>5</w:t>
      </w:r>
      <w:r w:rsidRPr="00E85862">
        <w:t xml:space="preserve"> at 1:30 pm section </w:t>
      </w:r>
    </w:p>
    <w:p w14:paraId="4675289F" w14:textId="5817E47F" w:rsidR="00372A22" w:rsidRPr="00E85862" w:rsidRDefault="00372A22" w:rsidP="00FD5BEE">
      <w:pPr>
        <w:rPr>
          <w:b/>
        </w:rPr>
      </w:pPr>
      <w:r w:rsidRPr="00E85862">
        <w:rPr>
          <w:b/>
        </w:rPr>
        <w:t xml:space="preserve">Possible points: </w:t>
      </w:r>
      <w:r>
        <w:rPr>
          <w:b/>
        </w:rPr>
        <w:t xml:space="preserve">33 (plus 1 </w:t>
      </w:r>
      <w:r w:rsidR="00C21B81">
        <w:rPr>
          <w:b/>
        </w:rPr>
        <w:t xml:space="preserve">pt </w:t>
      </w:r>
      <w:r>
        <w:rPr>
          <w:b/>
        </w:rPr>
        <w:t>extra credit)</w:t>
      </w:r>
    </w:p>
    <w:p w14:paraId="17A43B5F" w14:textId="77777777" w:rsidR="00F1641F" w:rsidRPr="00CE59F3" w:rsidRDefault="00F1641F" w:rsidP="00F1641F">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1641F" w14:paraId="7A24B738" w14:textId="77777777" w:rsidTr="00EC56FB">
        <w:tc>
          <w:tcPr>
            <w:tcW w:w="9355" w:type="dxa"/>
            <w:shd w:val="clear" w:color="auto" w:fill="auto"/>
          </w:tcPr>
          <w:p w14:paraId="12867CAA" w14:textId="77777777" w:rsidR="00F1641F" w:rsidRPr="00806F9F" w:rsidRDefault="00F1641F" w:rsidP="00EC56FB">
            <w:pPr>
              <w:spacing w:before="60"/>
              <w:rPr>
                <w:i/>
              </w:rPr>
            </w:pPr>
            <w:r w:rsidRPr="00806F9F">
              <w:rPr>
                <w:i/>
                <w:lang w:val="fr-FR"/>
              </w:rPr>
              <w:t xml:space="preserve">Note:  For the questions marked </w:t>
            </w:r>
            <w:r w:rsidRPr="00806F9F">
              <w:rPr>
                <w:b/>
                <w:i/>
              </w:rPr>
              <w:t xml:space="preserve">“FOR DISCUSSION IN SECTION ONLY:”, </w:t>
            </w:r>
            <w:r w:rsidRPr="00806F9F">
              <w:rPr>
                <w:i/>
              </w:rPr>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4C692E5E" w14:textId="77777777" w:rsidR="00F1641F" w:rsidRPr="00806F9F" w:rsidRDefault="00F1641F" w:rsidP="00EC56FB">
            <w:pPr>
              <w:rPr>
                <w:sz w:val="6"/>
                <w:szCs w:val="6"/>
                <w:lang w:val="fr-FR"/>
              </w:rPr>
            </w:pPr>
          </w:p>
        </w:tc>
      </w:tr>
    </w:tbl>
    <w:p w14:paraId="6D95CED6" w14:textId="77777777" w:rsidR="00F1641F" w:rsidRDefault="00F1641F" w:rsidP="00F1641F">
      <w:pPr>
        <w:pStyle w:val="BodyTextIndent"/>
        <w:tabs>
          <w:tab w:val="left" w:pos="540"/>
        </w:tabs>
        <w:ind w:left="540" w:hanging="540"/>
        <w:rPr>
          <w:b/>
          <w:sz w:val="16"/>
          <w:szCs w:val="16"/>
        </w:rPr>
      </w:pPr>
    </w:p>
    <w:p w14:paraId="272CCC5F" w14:textId="77777777" w:rsidR="00372A22" w:rsidRPr="00E85862" w:rsidRDefault="00372A22" w:rsidP="00E66379">
      <w:pPr>
        <w:pStyle w:val="HTMLPreformatted"/>
        <w:tabs>
          <w:tab w:val="left" w:pos="360"/>
        </w:tabs>
        <w:rPr>
          <w:rFonts w:ascii="Times New Roman" w:hAnsi="Times New Roman" w:cs="Times New Roman"/>
          <w:sz w:val="24"/>
        </w:rPr>
      </w:pPr>
      <w:r w:rsidRPr="00E85862">
        <w:rPr>
          <w:rFonts w:ascii="Times New Roman" w:hAnsi="Times New Roman" w:cs="Times New Roman"/>
          <w:sz w:val="24"/>
        </w:rPr>
        <w:t xml:space="preserve">1. </w:t>
      </w:r>
      <w:r w:rsidRPr="00E85862">
        <w:rPr>
          <w:rFonts w:ascii="Times New Roman" w:hAnsi="Times New Roman" w:cs="Times New Roman"/>
          <w:sz w:val="24"/>
        </w:rPr>
        <w:tab/>
        <w:t>Refer to the following abstract and methods section:</w:t>
      </w:r>
    </w:p>
    <w:p w14:paraId="7CA93040" w14:textId="77777777" w:rsidR="00372A22" w:rsidRPr="00E85862" w:rsidRDefault="00372A22" w:rsidP="00E66379">
      <w:pPr>
        <w:pStyle w:val="HTMLPreformatted"/>
        <w:ind w:left="360"/>
        <w:rPr>
          <w:rFonts w:ascii="Times New Roman" w:hAnsi="Times New Roman" w:cs="Times New Roman"/>
          <w:sz w:val="22"/>
          <w:szCs w:val="22"/>
        </w:rPr>
      </w:pPr>
    </w:p>
    <w:p w14:paraId="01ACFBFE"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PURPOSE: </w:t>
      </w:r>
      <w:r w:rsidRPr="00E85862">
        <w:rPr>
          <w:rFonts w:ascii="Goudy" w:hAnsi="Goudy" w:cs="Goudy"/>
          <w:color w:val="231F20"/>
          <w:sz w:val="20"/>
        </w:rPr>
        <w:t>To investigate the relationship between serum sialic acid level and risk of coronary heart disease (CHD) and stroke in men and women without diagnosed cardiovascular disease.</w:t>
      </w:r>
    </w:p>
    <w:p w14:paraId="644BF2BF"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METHODS: </w:t>
      </w:r>
      <w:r w:rsidRPr="00E85862">
        <w:rPr>
          <w:rFonts w:ascii="Goudy" w:hAnsi="Goudy" w:cs="Goudy"/>
          <w:color w:val="231F20"/>
          <w:sz w:val="20"/>
        </w:rPr>
        <w:t>A case</w:t>
      </w:r>
      <w:r w:rsidR="0070329F">
        <w:rPr>
          <w:rFonts w:ascii="Goudy" w:hAnsi="Goudy" w:cs="Goudy"/>
          <w:color w:val="231F20"/>
          <w:sz w:val="20"/>
        </w:rPr>
        <w:t>-</w:t>
      </w:r>
      <w:r w:rsidRPr="00E85862">
        <w:rPr>
          <w:rFonts w:ascii="Goudy" w:hAnsi="Goudy" w:cs="Goudy"/>
          <w:color w:val="231F20"/>
          <w:sz w:val="20"/>
        </w:rPr>
        <w:t xml:space="preserve">cohort study over the period 1981 to 1998 involving 151 CHD cases, 87 stroke cases, and a random sub-cohort of 340 was used. Sialic acid levels were determined by enzymatic method from frozen serum. </w:t>
      </w:r>
    </w:p>
    <w:p w14:paraId="50AC816C"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RESULTS: </w:t>
      </w:r>
      <w:r w:rsidRPr="00E85862">
        <w:rPr>
          <w:rFonts w:ascii="Goudy" w:hAnsi="Goudy" w:cs="Goudy"/>
          <w:color w:val="231F20"/>
          <w:sz w:val="20"/>
        </w:rPr>
        <w:t xml:space="preserve">The multivariate-adjusted relative risk of CHD associated with a 25 mg/dl increase in sialic acid was 1.22 (95% CI: 1.02–1.45) overall, 1.40 (95% CI: 1.11–1.76) in women, and 1.06 (95% CI: 0.82–1.37) in men. The overall relative risk for stroke was 1.13 (95% CI: 0.87–1.46) and for CHD and stroke combined it was 1.17 (95% CI: 0.99–1.37) </w:t>
      </w:r>
    </w:p>
    <w:p w14:paraId="04EDFCA1"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Bold" w:hAnsi="Goudy-Bold" w:cs="Goudy-Bold"/>
          <w:b/>
          <w:bCs/>
          <w:color w:val="231F20"/>
          <w:sz w:val="20"/>
        </w:rPr>
        <w:t xml:space="preserve">CONCLUSIONS: </w:t>
      </w:r>
      <w:r w:rsidRPr="00E85862">
        <w:rPr>
          <w:rFonts w:ascii="Goudy" w:hAnsi="Goudy" w:cs="Goudy"/>
          <w:color w:val="231F20"/>
          <w:sz w:val="20"/>
        </w:rPr>
        <w:t>Serum sialic acid may be a long-term predictor of CHD events in adults (especially women) who are currently clinically free of cardiovascular disease. Further studies are needed to determine whether this association can be explained by sialic acid being a marker of accelerated atherosclerosis or inflammation.</w:t>
      </w:r>
    </w:p>
    <w:p w14:paraId="390171A6" w14:textId="77777777" w:rsidR="00372A22" w:rsidRPr="00E85862" w:rsidRDefault="00372A22" w:rsidP="008B0EA4">
      <w:pPr>
        <w:tabs>
          <w:tab w:val="left" w:pos="9360"/>
        </w:tabs>
        <w:autoSpaceDE w:val="0"/>
        <w:autoSpaceDN w:val="0"/>
        <w:adjustRightInd w:val="0"/>
        <w:ind w:left="360"/>
        <w:rPr>
          <w:rFonts w:ascii="Goudy" w:hAnsi="Goudy" w:cs="Goudy"/>
          <w:color w:val="231F20"/>
          <w:sz w:val="20"/>
        </w:rPr>
      </w:pPr>
      <w:r w:rsidRPr="00E85862">
        <w:rPr>
          <w:rFonts w:ascii="Goudy-Italic" w:hAnsi="Goudy-Italic" w:cs="Goudy-Italic"/>
          <w:i/>
          <w:iCs/>
          <w:color w:val="231F20"/>
          <w:sz w:val="20"/>
        </w:rPr>
        <w:t xml:space="preserve">Ann Epidemiol 2004;14:627–632. </w:t>
      </w:r>
    </w:p>
    <w:p w14:paraId="0771B9E3" w14:textId="77777777" w:rsidR="00372A22" w:rsidRPr="00E85862" w:rsidRDefault="00372A22">
      <w:pPr>
        <w:autoSpaceDE w:val="0"/>
        <w:autoSpaceDN w:val="0"/>
        <w:adjustRightInd w:val="0"/>
      </w:pPr>
    </w:p>
    <w:p w14:paraId="30F4DF01" w14:textId="77777777" w:rsidR="00372A22" w:rsidRPr="00E85862" w:rsidRDefault="00372A22" w:rsidP="00DB3A8F">
      <w:pPr>
        <w:autoSpaceDE w:val="0"/>
        <w:autoSpaceDN w:val="0"/>
        <w:adjustRightInd w:val="0"/>
        <w:ind w:left="360"/>
        <w:rPr>
          <w:rFonts w:ascii="Goudy-Bold" w:hAnsi="Goudy-Bold" w:cs="Goudy-Bold"/>
          <w:b/>
          <w:bCs/>
          <w:color w:val="231F20"/>
          <w:sz w:val="20"/>
        </w:rPr>
      </w:pPr>
      <w:r w:rsidRPr="00E85862">
        <w:rPr>
          <w:rFonts w:ascii="Goudy-Bold" w:hAnsi="Goudy-Bold" w:cs="Goudy-Bold"/>
          <w:b/>
          <w:bCs/>
          <w:color w:val="231F20"/>
          <w:sz w:val="20"/>
        </w:rPr>
        <w:t>METHODS</w:t>
      </w:r>
    </w:p>
    <w:p w14:paraId="3D1C0347"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The study is based on the 1612 men and women aged 40 to 89 years who participated in the 1981 Busselton Health Survey and had no history of diagnosed CHD or stroke at that time. The conduct of the Busselton health surveys, including a detailed description of the study population, the examinations of subjects, and laboratory methods have been described elsewhere. The target population was all adults on the electoral roll in the town of </w:t>
      </w:r>
      <w:smartTag w:uri="urn:schemas-microsoft-com:office:smarttags" w:element="City">
        <w:r w:rsidRPr="00E85862">
          <w:rPr>
            <w:rFonts w:ascii="Goudy" w:hAnsi="Goudy" w:cs="Goudy"/>
            <w:color w:val="231F20"/>
            <w:sz w:val="20"/>
          </w:rPr>
          <w:t>Busselton</w:t>
        </w:r>
      </w:smartTag>
      <w:r w:rsidRPr="00E85862">
        <w:rPr>
          <w:rFonts w:ascii="Goudy" w:hAnsi="Goudy" w:cs="Goudy"/>
          <w:color w:val="231F20"/>
          <w:sz w:val="20"/>
        </w:rPr>
        <w:t xml:space="preserve"> (registration to vote is compulsory in </w:t>
      </w:r>
      <w:smartTag w:uri="urn:schemas-microsoft-com:office:smarttags" w:element="place">
        <w:smartTag w:uri="urn:schemas-microsoft-com:office:smarttags" w:element="country-region">
          <w:r w:rsidRPr="00E85862">
            <w:rPr>
              <w:rFonts w:ascii="Goudy" w:hAnsi="Goudy" w:cs="Goudy"/>
              <w:color w:val="231F20"/>
              <w:sz w:val="20"/>
            </w:rPr>
            <w:t>Australia</w:t>
          </w:r>
        </w:smartTag>
      </w:smartTag>
      <w:r w:rsidRPr="00E85862">
        <w:rPr>
          <w:rFonts w:ascii="Goudy" w:hAnsi="Goudy" w:cs="Goudy"/>
          <w:color w:val="231F20"/>
          <w:sz w:val="20"/>
        </w:rPr>
        <w:t>) and the overall response for the 1981 survey was 64%. In summary, participants were asked to complete a comprehensive health and lifestyle questionnaire and to undergo various measurements and tests. Systolic and diastolic blood pressure was measured by mercury sphygmomanometer after 5 minutes rest in a sitting position. Height was measured by stadiometer for bare-footed subjects and weight was measured with subjects in light underclothes. Body mass index was derived as weight (kilograms) divided by the square of height (meters). Smoking, diabetes, use of anti-hypertensive medication, and history of stroke were obtained by questionnaire.</w:t>
      </w:r>
    </w:p>
    <w:p w14:paraId="76B6936E" w14:textId="77777777" w:rsidR="00372A22" w:rsidRPr="00E85862" w:rsidRDefault="00372A22" w:rsidP="00DB3A8F">
      <w:pPr>
        <w:autoSpaceDE w:val="0"/>
        <w:autoSpaceDN w:val="0"/>
        <w:adjustRightInd w:val="0"/>
        <w:ind w:left="360"/>
        <w:rPr>
          <w:rFonts w:ascii="Goudy" w:hAnsi="Goudy" w:cs="Goudy"/>
          <w:color w:val="231F20"/>
          <w:sz w:val="20"/>
        </w:rPr>
      </w:pPr>
    </w:p>
    <w:p w14:paraId="5542DE97" w14:textId="77777777" w:rsidR="00372A22" w:rsidRPr="00E85862" w:rsidRDefault="00372A22" w:rsidP="00DB3A8F">
      <w:pPr>
        <w:autoSpaceDE w:val="0"/>
        <w:autoSpaceDN w:val="0"/>
        <w:adjustRightInd w:val="0"/>
        <w:ind w:left="360"/>
        <w:rPr>
          <w:rFonts w:ascii="Goudy" w:hAnsi="Goudy" w:cs="Goudy"/>
          <w:color w:val="231F20"/>
          <w:sz w:val="20"/>
        </w:rPr>
      </w:pPr>
      <w:r w:rsidRPr="00E85862">
        <w:rPr>
          <w:rFonts w:ascii="Goudy" w:hAnsi="Goudy" w:cs="Goudy"/>
          <w:color w:val="231F20"/>
          <w:sz w:val="20"/>
        </w:rPr>
        <w:t xml:space="preserve">Coronary heart disease was determined from the Rose </w:t>
      </w:r>
      <w:r w:rsidRPr="00E85862">
        <w:rPr>
          <w:sz w:val="20"/>
        </w:rPr>
        <w:t xml:space="preserve">Questionnaire for angina and myocardial infarction and </w:t>
      </w:r>
      <w:r w:rsidRPr="00E85862">
        <w:rPr>
          <w:rFonts w:ascii="Goudy" w:hAnsi="Goudy" w:cs="Goudy"/>
          <w:color w:val="231F20"/>
          <w:sz w:val="20"/>
        </w:rPr>
        <w:t>the electrocardiogram together with a self-reported confirmation of doctor-diagnosed heart disease. Serum cholesterol and triglycerides were determined from a fasting blood sample at the time of the survey. The sera were frozen and stored at</w:t>
      </w:r>
      <w:r>
        <w:rPr>
          <w:rFonts w:ascii="MathematicalPi-One" w:hAnsi="MathematicalPi-One" w:cs="MathematicalPi-One"/>
          <w:color w:val="231F20"/>
          <w:sz w:val="20"/>
        </w:rPr>
        <w:t xml:space="preserve"> -</w:t>
      </w:r>
      <w:r w:rsidRPr="00E85862">
        <w:rPr>
          <w:rFonts w:ascii="Goudy" w:hAnsi="Goudy" w:cs="Goudy"/>
          <w:color w:val="231F20"/>
          <w:sz w:val="20"/>
        </w:rPr>
        <w:t>70</w:t>
      </w:r>
      <w:r w:rsidRPr="000B3AA2">
        <w:rPr>
          <w:rFonts w:ascii="Goudy" w:hAnsi="Goudy" w:cs="Goudy"/>
          <w:color w:val="231F20"/>
          <w:sz w:val="20"/>
          <w:vertAlign w:val="superscript"/>
        </w:rPr>
        <w:t>o</w:t>
      </w:r>
      <w:r w:rsidR="00C00287">
        <w:rPr>
          <w:rFonts w:ascii="MathematicalPi-One" w:hAnsi="MathematicalPi-One" w:cs="MathematicalPi-One"/>
          <w:color w:val="231F20"/>
          <w:sz w:val="20"/>
        </w:rPr>
        <w:t xml:space="preserve"> </w:t>
      </w:r>
      <w:r w:rsidRPr="00E85862">
        <w:rPr>
          <w:rFonts w:ascii="Goudy" w:hAnsi="Goudy" w:cs="Goudy"/>
          <w:color w:val="231F20"/>
          <w:sz w:val="20"/>
        </w:rPr>
        <w:t xml:space="preserve">C. Total serum sialic acid levels were determined on the stored sera in 2001 using an enzymatic method supplied by Boehringer Mannheim (now Roche </w:t>
      </w:r>
      <w:r w:rsidRPr="00E85862">
        <w:rPr>
          <w:rFonts w:ascii="Goudy" w:hAnsi="Goudy" w:cs="Goudy"/>
          <w:color w:val="231F20"/>
          <w:sz w:val="20"/>
          <w:lang w:val="fr-FR"/>
        </w:rPr>
        <w:t xml:space="preserve">Diagnostics), Basel, Switzerland on a Roche Cobas Mira </w:t>
      </w:r>
      <w:r w:rsidRPr="00E85862">
        <w:rPr>
          <w:rFonts w:ascii="Goudy" w:hAnsi="Goudy" w:cs="Goudy"/>
          <w:color w:val="231F20"/>
          <w:sz w:val="20"/>
        </w:rPr>
        <w:t>Analyser (inter-assay coefficient of variation 6%).</w:t>
      </w:r>
    </w:p>
    <w:p w14:paraId="01623BF9" w14:textId="77777777" w:rsidR="00372A22" w:rsidRPr="00E85862" w:rsidRDefault="00372A22" w:rsidP="00DB3A8F">
      <w:pPr>
        <w:autoSpaceDE w:val="0"/>
        <w:autoSpaceDN w:val="0"/>
        <w:adjustRightInd w:val="0"/>
        <w:ind w:left="360"/>
        <w:rPr>
          <w:rFonts w:ascii="Goudy" w:hAnsi="Goudy" w:cs="Goudy"/>
          <w:color w:val="231F20"/>
          <w:sz w:val="20"/>
        </w:rPr>
      </w:pPr>
    </w:p>
    <w:p w14:paraId="30A36F43" w14:textId="77777777" w:rsidR="00372A22" w:rsidRPr="00E85862" w:rsidRDefault="00372A22" w:rsidP="00DB3A8F">
      <w:pPr>
        <w:autoSpaceDE w:val="0"/>
        <w:autoSpaceDN w:val="0"/>
        <w:adjustRightInd w:val="0"/>
        <w:ind w:left="360"/>
      </w:pPr>
      <w:r w:rsidRPr="00E85862">
        <w:rPr>
          <w:rFonts w:ascii="Goudy" w:hAnsi="Goudy" w:cs="Goudy"/>
          <w:color w:val="231F20"/>
          <w:sz w:val="20"/>
        </w:rPr>
        <w:t>The outcomes of interest were time from the 1981 survey to first CHD event (</w:t>
      </w:r>
      <w:r>
        <w:rPr>
          <w:rFonts w:ascii="Goudy" w:hAnsi="Goudy" w:cs="Goudy"/>
          <w:color w:val="231F20"/>
          <w:sz w:val="20"/>
        </w:rPr>
        <w:t xml:space="preserve">ascertained via </w:t>
      </w:r>
      <w:r w:rsidRPr="00E85862">
        <w:rPr>
          <w:rFonts w:ascii="Goudy" w:hAnsi="Goudy" w:cs="Goudy"/>
          <w:color w:val="231F20"/>
          <w:sz w:val="20"/>
        </w:rPr>
        <w:t>hospital admission or death) and time to first stroke event (</w:t>
      </w:r>
      <w:r>
        <w:rPr>
          <w:rFonts w:ascii="Goudy" w:hAnsi="Goudy" w:cs="Goudy"/>
          <w:color w:val="231F20"/>
          <w:sz w:val="20"/>
        </w:rPr>
        <w:t xml:space="preserve">ascertained via </w:t>
      </w:r>
      <w:r w:rsidRPr="00E85862">
        <w:rPr>
          <w:rFonts w:ascii="Goudy" w:hAnsi="Goudy" w:cs="Goudy"/>
          <w:color w:val="231F20"/>
          <w:sz w:val="20"/>
        </w:rPr>
        <w:t xml:space="preserve">hospital admission or death). Outcomes of morbidity and mortality up to 1998 for the cohort were obtained by linkage to the statewide Hospital Morbidity Data System and the annual death list for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The Hospital Morbidity Data System covers all admissions to public and private hospitals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from 1980 onwards. Deaths within </w:t>
      </w:r>
      <w:smartTag w:uri="urn:schemas-microsoft-com:office:smarttags" w:element="State">
        <w:r w:rsidRPr="00E85862">
          <w:rPr>
            <w:rFonts w:ascii="Goudy" w:hAnsi="Goudy" w:cs="Goudy"/>
            <w:color w:val="231F20"/>
            <w:sz w:val="20"/>
          </w:rPr>
          <w:t>Western Australia</w:t>
        </w:r>
      </w:smartTag>
      <w:r w:rsidRPr="00E85862">
        <w:rPr>
          <w:rFonts w:ascii="Goudy" w:hAnsi="Goudy" w:cs="Goudy"/>
          <w:color w:val="231F20"/>
          <w:sz w:val="20"/>
        </w:rPr>
        <w:t xml:space="preserve"> are identified by record linkage to the Registrar-General’s list of deaths in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xml:space="preserve">. Follow-up of subjects </w:t>
      </w:r>
      <w:r w:rsidRPr="00E85862">
        <w:rPr>
          <w:rFonts w:ascii="Goudy" w:hAnsi="Goudy" w:cs="Goudy"/>
          <w:color w:val="231F20"/>
          <w:sz w:val="20"/>
        </w:rPr>
        <w:lastRenderedPageBreak/>
        <w:t xml:space="preserve">ended with the outcome of interest, or on 31 December, 1998, or when they left </w:t>
      </w:r>
      <w:smartTag w:uri="urn:schemas-microsoft-com:office:smarttags" w:element="place">
        <w:smartTag w:uri="urn:schemas-microsoft-com:office:smarttags" w:element="State">
          <w:r w:rsidRPr="00E85862">
            <w:rPr>
              <w:rFonts w:ascii="Goudy" w:hAnsi="Goudy" w:cs="Goudy"/>
              <w:color w:val="231F20"/>
              <w:sz w:val="20"/>
            </w:rPr>
            <w:t>Western Australia</w:t>
          </w:r>
        </w:smartTag>
      </w:smartTag>
      <w:r w:rsidRPr="00E85862">
        <w:rPr>
          <w:rFonts w:ascii="Goudy" w:hAnsi="Goudy" w:cs="Goudy"/>
          <w:color w:val="231F20"/>
          <w:sz w:val="20"/>
        </w:rPr>
        <w:t>, as determined by linkage to the electoral roll or from contact with relatives. Stroke cases occurring during follow-up were defined as either an admission to a Western Australian hospital with any diagnosis of stroke (ICD codes 430–438 inclusive) or death from stroke (ICD codes 430–438 inclusive). CHD cases were defined as either an admission to a Western Australian hospital with any diagnosis of CHD (ICD codes 410–414 inclusive) or any procedure that indicates CHD (ICD codes 360–363, i.e., angioplasty, CABG or revascularization), or death from CHD (ICD codes 410–414 inclusive).  A cohort design with case–cohort sampling</w:t>
      </w:r>
      <w:r w:rsidRPr="00E85862">
        <w:rPr>
          <w:rFonts w:ascii="Goudy" w:hAnsi="Goudy" w:cs="Goudy"/>
          <w:color w:val="000066"/>
          <w:sz w:val="20"/>
        </w:rPr>
        <w:t xml:space="preserve"> </w:t>
      </w:r>
      <w:r w:rsidRPr="00E85862">
        <w:rPr>
          <w:rFonts w:ascii="Goudy" w:hAnsi="Goudy" w:cs="Goudy"/>
          <w:color w:val="231F20"/>
          <w:sz w:val="20"/>
        </w:rPr>
        <w:t>was employed to reduce costs and preserve stored serum. About 55% of the eligible disease-free cohort had sufficient viable blood serum available in the BHS storage facility. Under this case–cohort scheme, sialic acid assays were conducted for all 151 CHD cases, all 87 stroke cases, and a random sample of 340 of the total cohort. Due to overlap between CHD and stroke cases and between cases and the random sub-cohort the total number of assayed sera was 462.</w:t>
      </w:r>
    </w:p>
    <w:p w14:paraId="08F032D6" w14:textId="77777777" w:rsidR="00372A22" w:rsidRPr="00E85862" w:rsidRDefault="00372A22" w:rsidP="00DB3A8F">
      <w:pPr>
        <w:pStyle w:val="HTMLPreformatted"/>
        <w:ind w:left="360"/>
        <w:rPr>
          <w:rFonts w:ascii="Times New Roman" w:hAnsi="Times New Roman" w:cs="Times New Roman"/>
          <w:sz w:val="24"/>
        </w:rPr>
      </w:pPr>
    </w:p>
    <w:p w14:paraId="01DB0464" w14:textId="77777777" w:rsidR="00372A22" w:rsidRPr="00E85862" w:rsidRDefault="00372A22">
      <w:pPr>
        <w:pStyle w:val="HTMLPreformatted"/>
        <w:ind w:left="360"/>
        <w:rPr>
          <w:rFonts w:ascii="Times New Roman" w:hAnsi="Times New Roman" w:cs="Times New Roman"/>
          <w:sz w:val="24"/>
        </w:rPr>
      </w:pPr>
    </w:p>
    <w:p w14:paraId="4A44147B" w14:textId="77777777" w:rsidR="00372A22" w:rsidRPr="00E85862" w:rsidRDefault="00372A22" w:rsidP="00E66379">
      <w:pPr>
        <w:pStyle w:val="HTMLPreformatted"/>
        <w:numPr>
          <w:ilvl w:val="0"/>
          <w:numId w:val="5"/>
        </w:numPr>
        <w:tabs>
          <w:tab w:val="left" w:pos="360"/>
        </w:tabs>
        <w:ind w:left="360" w:hanging="360"/>
        <w:rPr>
          <w:rFonts w:ascii="Times New Roman" w:hAnsi="Times New Roman" w:cs="Times New Roman"/>
          <w:sz w:val="24"/>
        </w:rPr>
      </w:pPr>
      <w:r w:rsidRPr="00E85862">
        <w:rPr>
          <w:rFonts w:ascii="Times New Roman" w:hAnsi="Times New Roman" w:cs="Times New Roman"/>
          <w:sz w:val="24"/>
        </w:rPr>
        <w:t xml:space="preserve">Some of the cases of stroke or CHD </w:t>
      </w:r>
      <w:r>
        <w:rPr>
          <w:rFonts w:ascii="Times New Roman" w:hAnsi="Times New Roman" w:cs="Times New Roman"/>
          <w:sz w:val="24"/>
        </w:rPr>
        <w:t>occurred in persons who were part of</w:t>
      </w:r>
      <w:r w:rsidRPr="00E85862">
        <w:rPr>
          <w:rFonts w:ascii="Times New Roman" w:hAnsi="Times New Roman" w:cs="Times New Roman"/>
          <w:sz w:val="24"/>
        </w:rPr>
        <w:t xml:space="preserve"> the “random sub-cohort” (i.e., the control</w:t>
      </w:r>
      <w:r>
        <w:rPr>
          <w:rFonts w:ascii="Times New Roman" w:hAnsi="Times New Roman" w:cs="Times New Roman"/>
          <w:sz w:val="24"/>
        </w:rPr>
        <w:t xml:space="preserve"> or reference</w:t>
      </w:r>
      <w:r w:rsidRPr="00E85862">
        <w:rPr>
          <w:rFonts w:ascii="Times New Roman" w:hAnsi="Times New Roman" w:cs="Times New Roman"/>
          <w:sz w:val="24"/>
        </w:rPr>
        <w:t xml:space="preserve"> group)</w:t>
      </w:r>
      <w:r>
        <w:rPr>
          <w:rFonts w:ascii="Times New Roman" w:hAnsi="Times New Roman" w:cs="Times New Roman"/>
          <w:sz w:val="24"/>
        </w:rPr>
        <w:t xml:space="preserve">. </w:t>
      </w:r>
      <w:r w:rsidRPr="00E85862">
        <w:rPr>
          <w:rFonts w:ascii="Times New Roman" w:hAnsi="Times New Roman" w:cs="Times New Roman"/>
          <w:sz w:val="24"/>
        </w:rPr>
        <w:t xml:space="preserve"> If you desire to calculate an odds ratio which estimates a risk ratio, should persons who became cases be included in the random sub-cohort?  Why or why not?  (1 pt)</w:t>
      </w:r>
    </w:p>
    <w:p w14:paraId="30D291F5" w14:textId="77777777" w:rsidR="00372A22" w:rsidRDefault="00372A22">
      <w:pPr>
        <w:pStyle w:val="HTMLPreformatted"/>
        <w:ind w:left="360"/>
        <w:rPr>
          <w:rFonts w:ascii="Times New Roman" w:hAnsi="Times New Roman" w:cs="Times New Roman"/>
          <w:sz w:val="24"/>
        </w:rPr>
      </w:pPr>
    </w:p>
    <w:p w14:paraId="59134C8A" w14:textId="77777777" w:rsidR="00D764AF" w:rsidRPr="00E85862" w:rsidRDefault="00D764AF">
      <w:pPr>
        <w:pStyle w:val="HTMLPreformatted"/>
        <w:ind w:left="360"/>
        <w:rPr>
          <w:rFonts w:ascii="Times New Roman" w:hAnsi="Times New Roman" w:cs="Times New Roman"/>
          <w:sz w:val="24"/>
        </w:rPr>
      </w:pPr>
    </w:p>
    <w:p w14:paraId="29EDF67F" w14:textId="77777777" w:rsidR="00372A22" w:rsidRPr="00D764AF" w:rsidRDefault="00372A22" w:rsidP="003954B1">
      <w:pPr>
        <w:pStyle w:val="HTMLPreformatted"/>
        <w:numPr>
          <w:ilvl w:val="0"/>
          <w:numId w:val="5"/>
        </w:numPr>
        <w:tabs>
          <w:tab w:val="clear" w:pos="735"/>
          <w:tab w:val="num" w:pos="360"/>
        </w:tabs>
        <w:ind w:left="360" w:hanging="360"/>
        <w:rPr>
          <w:rFonts w:ascii="Times New Roman" w:hAnsi="Times New Roman" w:cs="Times New Roman"/>
          <w:sz w:val="24"/>
          <w:szCs w:val="24"/>
        </w:rPr>
      </w:pPr>
      <w:r w:rsidRPr="00E85862">
        <w:rPr>
          <w:rFonts w:ascii="Times New Roman" w:hAnsi="Times New Roman" w:cs="Times New Roman"/>
          <w:sz w:val="24"/>
        </w:rPr>
        <w:t xml:space="preserve">Cases include those who died of CHD or stroke.  Should those subjects in the “random sub-cohort” who </w:t>
      </w:r>
      <w:r>
        <w:rPr>
          <w:rFonts w:ascii="Times New Roman" w:hAnsi="Times New Roman" w:cs="Times New Roman"/>
          <w:sz w:val="24"/>
        </w:rPr>
        <w:t xml:space="preserve">eventually </w:t>
      </w:r>
      <w:r w:rsidRPr="00E85862">
        <w:rPr>
          <w:rFonts w:ascii="Times New Roman" w:hAnsi="Times New Roman" w:cs="Times New Roman"/>
          <w:sz w:val="24"/>
        </w:rPr>
        <w:t xml:space="preserve">died of other causes, other than CHD or stroke, be included in the control group?  Why or why not? </w:t>
      </w:r>
      <w:r>
        <w:rPr>
          <w:rFonts w:ascii="Times New Roman" w:hAnsi="Times New Roman" w:cs="Times New Roman"/>
          <w:sz w:val="24"/>
        </w:rPr>
        <w:t xml:space="preserve"> </w:t>
      </w:r>
      <w:r w:rsidRPr="00E85862">
        <w:rPr>
          <w:rFonts w:ascii="Times New Roman" w:hAnsi="Times New Roman" w:cs="Times New Roman"/>
          <w:sz w:val="24"/>
        </w:rPr>
        <w:t>(1 pt)</w:t>
      </w:r>
    </w:p>
    <w:p w14:paraId="29164260" w14:textId="77777777" w:rsidR="00372A22" w:rsidRPr="00D764AF" w:rsidRDefault="00372A22">
      <w:pPr>
        <w:pStyle w:val="HTMLPreformatted"/>
        <w:ind w:left="360"/>
        <w:rPr>
          <w:rFonts w:ascii="Times New Roman" w:hAnsi="Times New Roman" w:cs="Times New Roman"/>
          <w:sz w:val="24"/>
          <w:szCs w:val="24"/>
        </w:rPr>
      </w:pPr>
    </w:p>
    <w:p w14:paraId="546C31AF" w14:textId="77777777" w:rsidR="00D764AF" w:rsidRPr="00D764AF" w:rsidRDefault="00D764AF">
      <w:pPr>
        <w:pStyle w:val="HTMLPreformatted"/>
        <w:ind w:left="360"/>
        <w:rPr>
          <w:rFonts w:ascii="Times New Roman" w:hAnsi="Times New Roman" w:cs="Times New Roman"/>
          <w:sz w:val="24"/>
          <w:szCs w:val="24"/>
        </w:rPr>
      </w:pPr>
    </w:p>
    <w:p w14:paraId="622FD1F8" w14:textId="7D68525E" w:rsidR="00372A22" w:rsidRPr="00D764AF" w:rsidRDefault="00372A22" w:rsidP="003954B1">
      <w:pPr>
        <w:pStyle w:val="HTMLPreformatted"/>
        <w:tabs>
          <w:tab w:val="clear" w:pos="916"/>
          <w:tab w:val="left" w:pos="360"/>
        </w:tabs>
        <w:ind w:left="360" w:hanging="360"/>
        <w:rPr>
          <w:rFonts w:ascii="Times New Roman" w:hAnsi="Times New Roman" w:cs="Times New Roman"/>
          <w:sz w:val="24"/>
          <w:szCs w:val="24"/>
        </w:rPr>
      </w:pPr>
      <w:r w:rsidRPr="00D764AF">
        <w:rPr>
          <w:rFonts w:ascii="Times New Roman" w:hAnsi="Times New Roman" w:cs="Times New Roman"/>
          <w:sz w:val="24"/>
          <w:szCs w:val="24"/>
        </w:rPr>
        <w:t xml:space="preserve">(c)  You want to investigate the relationship between </w:t>
      </w:r>
      <w:r w:rsidRPr="00E85862">
        <w:rPr>
          <w:rFonts w:ascii="Times New Roman" w:hAnsi="Times New Roman" w:cs="Times New Roman"/>
          <w:sz w:val="24"/>
        </w:rPr>
        <w:t>sialic acid and cancer incidence, using a case-cohort design using the same Busselton Health Survey.  After removing the prevalent cancer cases at baseline, can you use the same control group that the present authors did?  Why or why not?  (1 pt)</w:t>
      </w:r>
    </w:p>
    <w:p w14:paraId="141859EA" w14:textId="77777777" w:rsidR="004D7580" w:rsidRPr="00D764AF" w:rsidRDefault="004D7580">
      <w:pPr>
        <w:pStyle w:val="HTMLPreformatted"/>
        <w:ind w:left="360"/>
        <w:rPr>
          <w:rFonts w:ascii="Times New Roman" w:hAnsi="Times New Roman" w:cs="Times New Roman"/>
          <w:sz w:val="24"/>
          <w:szCs w:val="24"/>
        </w:rPr>
      </w:pPr>
    </w:p>
    <w:p w14:paraId="7F773073" w14:textId="77777777" w:rsidR="00372A22" w:rsidRPr="00D764AF" w:rsidRDefault="00372A22">
      <w:pPr>
        <w:pStyle w:val="HTMLPreformatted"/>
        <w:ind w:left="360"/>
        <w:rPr>
          <w:rFonts w:ascii="Times New Roman" w:hAnsi="Times New Roman" w:cs="Times New Roman"/>
          <w:sz w:val="24"/>
          <w:szCs w:val="24"/>
        </w:rPr>
      </w:pPr>
    </w:p>
    <w:p w14:paraId="1A8AAA2F" w14:textId="77777777" w:rsidR="00372A22" w:rsidRDefault="00372A22" w:rsidP="003954B1">
      <w:pPr>
        <w:pStyle w:val="HTMLPreformatted"/>
        <w:ind w:left="360" w:hanging="360"/>
        <w:rPr>
          <w:rFonts w:ascii="Times New Roman" w:hAnsi="Times New Roman" w:cs="Times New Roman"/>
          <w:sz w:val="24"/>
        </w:rPr>
      </w:pPr>
      <w:r w:rsidRPr="00D764AF">
        <w:rPr>
          <w:rFonts w:ascii="Times New Roman" w:hAnsi="Times New Roman" w:cs="Times New Roman"/>
          <w:sz w:val="24"/>
          <w:szCs w:val="24"/>
        </w:rPr>
        <w:t xml:space="preserve">(d) </w:t>
      </w:r>
      <w:r w:rsidRPr="00D764AF">
        <w:rPr>
          <w:rFonts w:ascii="Times New Roman" w:hAnsi="Times New Roman" w:cs="Times New Roman"/>
          <w:sz w:val="24"/>
          <w:szCs w:val="24"/>
        </w:rPr>
        <w:tab/>
        <w:t>It is stated that “about 55% of the eligible disease-free cohort had sufficient viable blood serum available in the storage</w:t>
      </w:r>
      <w:r w:rsidRPr="00E85862">
        <w:rPr>
          <w:rFonts w:ascii="Times New Roman" w:hAnsi="Times New Roman" w:cs="Times New Roman"/>
          <w:sz w:val="24"/>
        </w:rPr>
        <w:t xml:space="preserve"> facility”.  What else would you want to know to assess the validity of using this 55% as the control group? </w:t>
      </w:r>
      <w:r>
        <w:rPr>
          <w:rFonts w:ascii="Times New Roman" w:hAnsi="Times New Roman" w:cs="Times New Roman"/>
          <w:sz w:val="24"/>
        </w:rPr>
        <w:t xml:space="preserve"> </w:t>
      </w:r>
      <w:r w:rsidRPr="00E85862">
        <w:rPr>
          <w:rFonts w:ascii="Times New Roman" w:hAnsi="Times New Roman" w:cs="Times New Roman"/>
          <w:sz w:val="24"/>
        </w:rPr>
        <w:t>(1 pt)</w:t>
      </w:r>
    </w:p>
    <w:p w14:paraId="5AA98809" w14:textId="77777777" w:rsidR="00D764AF" w:rsidRDefault="00D764AF" w:rsidP="003954B1">
      <w:pPr>
        <w:pStyle w:val="HTMLPreformatted"/>
        <w:ind w:left="360" w:hanging="360"/>
        <w:rPr>
          <w:rFonts w:ascii="Times New Roman" w:hAnsi="Times New Roman" w:cs="Times New Roman"/>
          <w:sz w:val="24"/>
        </w:rPr>
      </w:pPr>
    </w:p>
    <w:p w14:paraId="615A1CE4" w14:textId="77777777" w:rsidR="00D764AF" w:rsidRDefault="00D764AF" w:rsidP="003954B1">
      <w:pPr>
        <w:pStyle w:val="HTMLPreformatted"/>
        <w:ind w:left="360" w:hanging="360"/>
        <w:rPr>
          <w:rFonts w:ascii="Times New Roman" w:hAnsi="Times New Roman" w:cs="Times New Roman"/>
          <w:sz w:val="24"/>
        </w:rPr>
      </w:pPr>
    </w:p>
    <w:p w14:paraId="7EC4C73E" w14:textId="77777777" w:rsidR="00D764AF" w:rsidRDefault="00D764AF">
      <w:pPr>
        <w:rPr>
          <w:rFonts w:eastAsia="Arial Unicode MS"/>
        </w:rPr>
      </w:pPr>
      <w:r>
        <w:br w:type="page"/>
      </w:r>
    </w:p>
    <w:p w14:paraId="7FD4D309" w14:textId="7E402B29"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lastRenderedPageBreak/>
        <w:t xml:space="preserve">(e) </w:t>
      </w:r>
      <w:r w:rsidRPr="00E85862">
        <w:rPr>
          <w:rFonts w:ascii="Times New Roman" w:hAnsi="Times New Roman" w:cs="Times New Roman"/>
          <w:sz w:val="24"/>
        </w:rPr>
        <w:tab/>
        <w:t xml:space="preserve">Table 1. Characteristics of </w:t>
      </w:r>
      <w:r>
        <w:rPr>
          <w:rFonts w:ascii="Times New Roman" w:hAnsi="Times New Roman" w:cs="Times New Roman"/>
          <w:sz w:val="24"/>
        </w:rPr>
        <w:t>women</w:t>
      </w:r>
      <w:r w:rsidRPr="00E85862">
        <w:rPr>
          <w:rFonts w:ascii="Times New Roman" w:hAnsi="Times New Roman" w:cs="Times New Roman"/>
          <w:sz w:val="24"/>
        </w:rPr>
        <w:t xml:space="preserve"> at baseline. Table shows mean (SD</w:t>
      </w:r>
      <w:r>
        <w:rPr>
          <w:rFonts w:ascii="Times New Roman" w:hAnsi="Times New Roman" w:cs="Times New Roman"/>
          <w:sz w:val="24"/>
        </w:rPr>
        <w:t>=standard deviation</w:t>
      </w:r>
      <w:r w:rsidRPr="00E85862">
        <w:rPr>
          <w:rFonts w:ascii="Times New Roman" w:hAnsi="Times New Roman" w:cs="Times New Roman"/>
          <w:sz w:val="24"/>
        </w:rPr>
        <w:t>) or percent.</w:t>
      </w:r>
    </w:p>
    <w:p w14:paraId="22B0F1DD" w14:textId="77777777" w:rsidR="00372A22" w:rsidRPr="00E85862" w:rsidRDefault="00372A22">
      <w:pPr>
        <w:pStyle w:val="HTMLPreformatted"/>
        <w:ind w:left="360"/>
        <w:rPr>
          <w:rFonts w:ascii="Times New Roman" w:hAnsi="Times New Roman" w:cs="Times New Roman"/>
          <w:sz w:val="24"/>
        </w:rPr>
      </w:pPr>
    </w:p>
    <w:p w14:paraId="793B6CD8" w14:textId="77777777" w:rsidR="00372A22" w:rsidRDefault="00372A22" w:rsidP="0019787E">
      <w:pPr>
        <w:pStyle w:val="HTMLPreformatted"/>
        <w:tabs>
          <w:tab w:val="clear" w:pos="6412"/>
          <w:tab w:val="clear" w:pos="7328"/>
          <w:tab w:val="clear" w:pos="8244"/>
          <w:tab w:val="left" w:pos="6840"/>
          <w:tab w:val="left" w:pos="8730"/>
        </w:tabs>
        <w:ind w:left="360"/>
        <w:rPr>
          <w:rFonts w:ascii="Times New Roman" w:hAnsi="Times New Roman" w:cs="Times New Roman"/>
          <w:sz w:val="24"/>
        </w:rPr>
      </w:pPr>
      <w:r w:rsidRPr="00E85862">
        <w:rPr>
          <w:rFonts w:ascii="Times New Roman" w:hAnsi="Times New Roman" w:cs="Times New Roman"/>
          <w:sz w:val="24"/>
        </w:rPr>
        <w:t>Variable</w:t>
      </w:r>
      <w:r w:rsidRPr="00E85862">
        <w:rPr>
          <w:rFonts w:ascii="Times New Roman" w:hAnsi="Times New Roman" w:cs="Times New Roman"/>
          <w:sz w:val="24"/>
        </w:rPr>
        <w:tab/>
      </w:r>
      <w:r w:rsidRPr="00E85862">
        <w:rPr>
          <w:rFonts w:ascii="Times New Roman" w:hAnsi="Times New Roman" w:cs="Times New Roman"/>
          <w:sz w:val="24"/>
        </w:rPr>
        <w:tab/>
        <w:t xml:space="preserve">      CHD cases</w:t>
      </w:r>
      <w:r w:rsidRPr="00E85862">
        <w:rPr>
          <w:rFonts w:ascii="Times New Roman" w:hAnsi="Times New Roman" w:cs="Times New Roman"/>
          <w:sz w:val="24"/>
        </w:rPr>
        <w:tab/>
        <w:t xml:space="preserve">   Stroke cases          </w:t>
      </w:r>
      <w:r>
        <w:rPr>
          <w:rFonts w:ascii="Times New Roman" w:hAnsi="Times New Roman" w:cs="Times New Roman"/>
          <w:sz w:val="24"/>
        </w:rPr>
        <w:tab/>
      </w:r>
      <w:r w:rsidRPr="00E85862">
        <w:rPr>
          <w:rFonts w:ascii="Times New Roman" w:hAnsi="Times New Roman" w:cs="Times New Roman"/>
          <w:sz w:val="24"/>
        </w:rPr>
        <w:t xml:space="preserve">Random   </w:t>
      </w:r>
      <w:r>
        <w:rPr>
          <w:rFonts w:ascii="Times New Roman" w:hAnsi="Times New Roman" w:cs="Times New Roman"/>
          <w:sz w:val="24"/>
        </w:rPr>
        <w:tab/>
        <w:t>F</w:t>
      </w:r>
      <w:r w:rsidRPr="00E85862">
        <w:rPr>
          <w:rFonts w:ascii="Times New Roman" w:hAnsi="Times New Roman" w:cs="Times New Roman"/>
          <w:sz w:val="24"/>
        </w:rPr>
        <w:t>ull</w:t>
      </w:r>
    </w:p>
    <w:p w14:paraId="77CB9832" w14:textId="77777777" w:rsidR="00372A22" w:rsidRPr="00E85862" w:rsidRDefault="00372A22" w:rsidP="0019787E">
      <w:pPr>
        <w:pStyle w:val="HTMLPreformatted"/>
        <w:tabs>
          <w:tab w:val="clear" w:pos="6412"/>
          <w:tab w:val="clear" w:pos="8244"/>
          <w:tab w:val="left" w:pos="6840"/>
          <w:tab w:val="left" w:pos="8730"/>
        </w:tabs>
        <w:ind w:left="36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85862">
        <w:rPr>
          <w:rFonts w:ascii="Times New Roman" w:hAnsi="Times New Roman" w:cs="Times New Roman"/>
          <w:sz w:val="24"/>
        </w:rPr>
        <w:t>sub</w:t>
      </w:r>
      <w:r>
        <w:rPr>
          <w:rFonts w:ascii="Times New Roman" w:hAnsi="Times New Roman" w:cs="Times New Roman"/>
          <w:sz w:val="24"/>
        </w:rPr>
        <w:t>-cohort</w:t>
      </w:r>
      <w:r>
        <w:rPr>
          <w:rFonts w:ascii="Times New Roman" w:hAnsi="Times New Roman" w:cs="Times New Roman"/>
          <w:sz w:val="24"/>
        </w:rPr>
        <w:tab/>
      </w:r>
      <w:r w:rsidRPr="00E85862">
        <w:rPr>
          <w:rFonts w:ascii="Times New Roman" w:hAnsi="Times New Roman" w:cs="Times New Roman"/>
          <w:sz w:val="24"/>
        </w:rPr>
        <w:t>cohort</w:t>
      </w:r>
      <w:r w:rsidRPr="00E85862" w:rsidDel="0019787E">
        <w:rPr>
          <w:rFonts w:ascii="Times New Roman" w:hAnsi="Times New Roman" w:cs="Times New Roman"/>
          <w:sz w:val="24"/>
        </w:rPr>
        <w:t xml:space="preserve"> </w:t>
      </w:r>
      <w:r w:rsidR="00EE1242">
        <w:rPr>
          <w:rFonts w:ascii="Times New Roman" w:hAnsi="Times New Roman" w:cs="Times New Roman"/>
          <w:noProof/>
          <w:sz w:val="24"/>
        </w:rPr>
        <w:drawing>
          <wp:inline distT="0" distB="0" distL="0" distR="0" wp14:anchorId="5D2BB8C6" wp14:editId="715C6D34">
            <wp:extent cx="5955665" cy="19005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1900555"/>
                    </a:xfrm>
                    <a:prstGeom prst="rect">
                      <a:avLst/>
                    </a:prstGeom>
                    <a:noFill/>
                    <a:ln>
                      <a:noFill/>
                    </a:ln>
                  </pic:spPr>
                </pic:pic>
              </a:graphicData>
            </a:graphic>
          </wp:inline>
        </w:drawing>
      </w:r>
    </w:p>
    <w:p w14:paraId="589AAE93" w14:textId="77777777" w:rsidR="00372A22" w:rsidRPr="00E85862" w:rsidRDefault="00372A22">
      <w:pPr>
        <w:pStyle w:val="HTMLPreformatted"/>
        <w:ind w:left="360"/>
        <w:rPr>
          <w:rFonts w:ascii="Times New Roman" w:hAnsi="Times New Roman" w:cs="Times New Roman"/>
          <w:sz w:val="24"/>
        </w:rPr>
      </w:pPr>
    </w:p>
    <w:p w14:paraId="41281358" w14:textId="77777777" w:rsidR="00372A22" w:rsidRPr="00E85862" w:rsidRDefault="00372A22">
      <w:pPr>
        <w:pStyle w:val="HTMLPreformatted"/>
        <w:ind w:left="360"/>
        <w:rPr>
          <w:rFonts w:ascii="Times New Roman" w:hAnsi="Times New Roman" w:cs="Times New Roman"/>
          <w:sz w:val="24"/>
        </w:rPr>
      </w:pPr>
    </w:p>
    <w:p w14:paraId="397AFDEC" w14:textId="35F85521" w:rsidR="00372A22" w:rsidRPr="00E85862" w:rsidRDefault="00372A22">
      <w:pPr>
        <w:pStyle w:val="HTMLPreformatted"/>
        <w:ind w:left="360"/>
        <w:rPr>
          <w:rFonts w:ascii="Times New Roman" w:hAnsi="Times New Roman" w:cs="Times New Roman"/>
          <w:sz w:val="24"/>
        </w:rPr>
      </w:pPr>
      <w:r w:rsidRPr="00E85862">
        <w:rPr>
          <w:rFonts w:ascii="Times New Roman" w:hAnsi="Times New Roman" w:cs="Times New Roman"/>
          <w:sz w:val="24"/>
        </w:rPr>
        <w:t>Using the available data in Table 1 for women only (n = 886) that is reproduced above, calculate the measure of association between having a sialic acid level greater than 87.4 mg/dl and the occurrence of CHD.  What kind of measure of association is this (e.g., prevalence ratio, risk ratio, risk difference, etc</w:t>
      </w:r>
      <w:r w:rsidR="005B4EBE">
        <w:rPr>
          <w:rFonts w:ascii="Times New Roman" w:hAnsi="Times New Roman" w:cs="Times New Roman"/>
          <w:sz w:val="24"/>
        </w:rPr>
        <w:t>.</w:t>
      </w:r>
      <w:r w:rsidRPr="00E85862">
        <w:rPr>
          <w:rFonts w:ascii="Times New Roman" w:hAnsi="Times New Roman" w:cs="Times New Roman"/>
          <w:sz w:val="24"/>
        </w:rPr>
        <w:t xml:space="preserve">)? </w:t>
      </w:r>
      <w:r>
        <w:rPr>
          <w:rFonts w:ascii="Times New Roman" w:hAnsi="Times New Roman" w:cs="Times New Roman"/>
          <w:sz w:val="24"/>
        </w:rPr>
        <w:t xml:space="preserve"> </w:t>
      </w:r>
      <w:r w:rsidRPr="00E85862">
        <w:rPr>
          <w:rFonts w:ascii="Times New Roman" w:hAnsi="Times New Roman" w:cs="Times New Roman"/>
          <w:sz w:val="24"/>
        </w:rPr>
        <w:t>(1 pt)</w:t>
      </w:r>
    </w:p>
    <w:p w14:paraId="3E6C103D" w14:textId="77777777" w:rsidR="00372A22" w:rsidRPr="00E85862" w:rsidRDefault="00372A22">
      <w:pPr>
        <w:pStyle w:val="HTMLPreformatted"/>
        <w:ind w:left="360"/>
        <w:rPr>
          <w:rFonts w:ascii="Times New Roman" w:hAnsi="Times New Roman" w:cs="Times New Roman"/>
          <w:sz w:val="24"/>
        </w:rPr>
      </w:pPr>
    </w:p>
    <w:p w14:paraId="42409776" w14:textId="77777777" w:rsidR="00D764AF" w:rsidRDefault="00D764AF" w:rsidP="003954B1">
      <w:pPr>
        <w:pStyle w:val="HTMLPreformatted"/>
        <w:ind w:left="360" w:hanging="360"/>
        <w:rPr>
          <w:rFonts w:ascii="Times New Roman" w:hAnsi="Times New Roman" w:cs="Times New Roman"/>
          <w:sz w:val="24"/>
        </w:rPr>
      </w:pPr>
    </w:p>
    <w:p w14:paraId="7A13C1FE" w14:textId="474F24B9" w:rsidR="00372A22" w:rsidRPr="00E85862" w:rsidRDefault="00372A22" w:rsidP="003954B1">
      <w:pPr>
        <w:pStyle w:val="HTMLPreformatted"/>
        <w:ind w:left="360" w:hanging="360"/>
        <w:rPr>
          <w:rFonts w:ascii="Times New Roman" w:hAnsi="Times New Roman" w:cs="Times New Roman"/>
          <w:sz w:val="24"/>
        </w:rPr>
      </w:pPr>
      <w:r w:rsidRPr="00E85862">
        <w:rPr>
          <w:rFonts w:ascii="Times New Roman" w:hAnsi="Times New Roman" w:cs="Times New Roman"/>
          <w:sz w:val="24"/>
        </w:rPr>
        <w:t>(</w:t>
      </w:r>
      <w:r>
        <w:rPr>
          <w:rFonts w:ascii="Times New Roman" w:hAnsi="Times New Roman" w:cs="Times New Roman"/>
          <w:sz w:val="24"/>
        </w:rPr>
        <w:t>f</w:t>
      </w:r>
      <w:r w:rsidRPr="00E85862">
        <w:rPr>
          <w:rFonts w:ascii="Times New Roman" w:hAnsi="Times New Roman" w:cs="Times New Roman"/>
          <w:sz w:val="24"/>
        </w:rPr>
        <w:t xml:space="preserve">) </w:t>
      </w:r>
      <w:r w:rsidRPr="00E85862">
        <w:rPr>
          <w:rFonts w:ascii="Times New Roman" w:hAnsi="Times New Roman" w:cs="Times New Roman"/>
          <w:sz w:val="24"/>
        </w:rPr>
        <w:tab/>
        <w:t xml:space="preserve">What if you wanted to </w:t>
      </w:r>
      <w:r>
        <w:rPr>
          <w:rFonts w:ascii="Times New Roman" w:hAnsi="Times New Roman" w:cs="Times New Roman"/>
          <w:sz w:val="24"/>
        </w:rPr>
        <w:t xml:space="preserve">perform an analysis using </w:t>
      </w:r>
      <w:r w:rsidRPr="00E85862">
        <w:rPr>
          <w:rFonts w:ascii="Times New Roman" w:hAnsi="Times New Roman" w:cs="Times New Roman"/>
          <w:sz w:val="24"/>
        </w:rPr>
        <w:t>the Busselton Health Survey today and gather all of the incident cases of CHD and stroke which have occurred since the original publication</w:t>
      </w:r>
      <w:r>
        <w:rPr>
          <w:rFonts w:ascii="Times New Roman" w:hAnsi="Times New Roman" w:cs="Times New Roman"/>
          <w:sz w:val="24"/>
        </w:rPr>
        <w:t>?</w:t>
      </w:r>
      <w:r w:rsidRPr="00E85862">
        <w:rPr>
          <w:rFonts w:ascii="Times New Roman" w:hAnsi="Times New Roman" w:cs="Times New Roman"/>
          <w:sz w:val="24"/>
        </w:rPr>
        <w:t xml:space="preserve">  These cases have been documented as part of the ongoing observation of this cohort.  (You wish to add these additional incident cases to the original cases</w:t>
      </w:r>
      <w:r>
        <w:rPr>
          <w:rFonts w:ascii="Times New Roman" w:hAnsi="Times New Roman" w:cs="Times New Roman"/>
          <w:sz w:val="24"/>
        </w:rPr>
        <w:t>,</w:t>
      </w:r>
      <w:r w:rsidRPr="00E85862">
        <w:rPr>
          <w:rFonts w:ascii="Times New Roman" w:hAnsi="Times New Roman" w:cs="Times New Roman"/>
          <w:sz w:val="24"/>
        </w:rPr>
        <w:t xml:space="preserve"> in order to add statistical power to an analysis of a new potential disease determinant you have discovered</w:t>
      </w:r>
      <w:r>
        <w:rPr>
          <w:rFonts w:ascii="Times New Roman" w:hAnsi="Times New Roman" w:cs="Times New Roman"/>
          <w:sz w:val="24"/>
        </w:rPr>
        <w:t>.  This new determinant is also measureable in stored blood specimens</w:t>
      </w:r>
      <w:r w:rsidRPr="00E85862">
        <w:rPr>
          <w:rFonts w:ascii="Times New Roman" w:hAnsi="Times New Roman" w:cs="Times New Roman"/>
          <w:sz w:val="24"/>
        </w:rPr>
        <w:t xml:space="preserve">).  You again intend to use a case-cohort study design.  </w:t>
      </w:r>
      <w:r>
        <w:rPr>
          <w:rFonts w:ascii="Times New Roman" w:hAnsi="Times New Roman" w:cs="Times New Roman"/>
          <w:sz w:val="24"/>
        </w:rPr>
        <w:t>Besides making the measurement of the new potential determinant, w</w:t>
      </w:r>
      <w:r w:rsidRPr="00E85862">
        <w:rPr>
          <w:rFonts w:ascii="Times New Roman" w:hAnsi="Times New Roman" w:cs="Times New Roman"/>
          <w:sz w:val="24"/>
        </w:rPr>
        <w:t>hat would you need to do with the original sub-cohort</w:t>
      </w:r>
      <w:r w:rsidR="00EA76BF">
        <w:rPr>
          <w:rFonts w:ascii="Times New Roman" w:hAnsi="Times New Roman" w:cs="Times New Roman"/>
          <w:sz w:val="24"/>
        </w:rPr>
        <w:t xml:space="preserve"> sample</w:t>
      </w:r>
      <w:r w:rsidRPr="00E85862">
        <w:rPr>
          <w:rFonts w:ascii="Times New Roman" w:hAnsi="Times New Roman" w:cs="Times New Roman"/>
          <w:sz w:val="24"/>
        </w:rPr>
        <w:t xml:space="preserve"> in order to perform your study?</w:t>
      </w:r>
      <w:r>
        <w:rPr>
          <w:rFonts w:ascii="Times New Roman" w:hAnsi="Times New Roman" w:cs="Times New Roman"/>
          <w:sz w:val="24"/>
        </w:rPr>
        <w:t xml:space="preserve"> </w:t>
      </w:r>
      <w:r w:rsidRPr="00E85862">
        <w:rPr>
          <w:rFonts w:ascii="Times New Roman" w:hAnsi="Times New Roman" w:cs="Times New Roman"/>
          <w:sz w:val="24"/>
        </w:rPr>
        <w:t xml:space="preserve"> (1 pt)  </w:t>
      </w:r>
    </w:p>
    <w:p w14:paraId="63062801" w14:textId="77777777" w:rsidR="00372A22" w:rsidRPr="00E85862" w:rsidRDefault="00372A22">
      <w:pPr>
        <w:pStyle w:val="HTMLPreformatted"/>
        <w:ind w:left="360"/>
        <w:rPr>
          <w:rFonts w:ascii="Times New Roman" w:hAnsi="Times New Roman" w:cs="Times New Roman"/>
          <w:sz w:val="24"/>
        </w:rPr>
      </w:pPr>
    </w:p>
    <w:p w14:paraId="0338E164" w14:textId="77777777" w:rsidR="00372A22" w:rsidRPr="00E85862" w:rsidRDefault="00372A22">
      <w:pPr>
        <w:pStyle w:val="HTMLPreformatted"/>
        <w:ind w:left="360"/>
        <w:rPr>
          <w:rFonts w:ascii="Times New Roman" w:hAnsi="Times New Roman" w:cs="Times New Roman"/>
          <w:sz w:val="24"/>
        </w:rPr>
      </w:pPr>
    </w:p>
    <w:p w14:paraId="382B641D" w14:textId="77777777" w:rsidR="00372A22" w:rsidRPr="00E85862" w:rsidRDefault="00372A22">
      <w:pPr>
        <w:pStyle w:val="HTMLPreformatted"/>
        <w:rPr>
          <w:rFonts w:ascii="Times New Roman" w:hAnsi="Times New Roman" w:cs="Times New Roman"/>
          <w:sz w:val="24"/>
        </w:rPr>
      </w:pPr>
    </w:p>
    <w:p w14:paraId="73AC7B82" w14:textId="77777777" w:rsidR="00372A22" w:rsidRPr="00E85862" w:rsidRDefault="00372A22" w:rsidP="006D76AB">
      <w:pPr>
        <w:tabs>
          <w:tab w:val="left" w:pos="360"/>
        </w:tabs>
        <w:ind w:left="360" w:hanging="360"/>
      </w:pPr>
      <w:r w:rsidRPr="00E85862">
        <w:br w:type="page"/>
      </w:r>
    </w:p>
    <w:p w14:paraId="3B0B2C4D" w14:textId="77777777" w:rsidR="00372A22" w:rsidRDefault="00372A22" w:rsidP="006D76AB">
      <w:pPr>
        <w:tabs>
          <w:tab w:val="left" w:pos="360"/>
        </w:tabs>
        <w:ind w:left="360" w:hanging="360"/>
      </w:pPr>
      <w:r w:rsidRPr="00E85862">
        <w:lastRenderedPageBreak/>
        <w:t xml:space="preserve">2.  </w:t>
      </w:r>
      <w:r>
        <w:tab/>
        <w:t>Consider the following abstract:</w:t>
      </w:r>
    </w:p>
    <w:p w14:paraId="36AF6C67" w14:textId="77777777" w:rsidR="00372A22" w:rsidRDefault="00372A22" w:rsidP="006D76AB">
      <w:pPr>
        <w:tabs>
          <w:tab w:val="left" w:pos="360"/>
        </w:tabs>
        <w:ind w:left="360" w:hanging="360"/>
      </w:pPr>
    </w:p>
    <w:p w14:paraId="02DE6A83" w14:textId="23615922" w:rsidR="00372A22" w:rsidRPr="006049BB" w:rsidRDefault="00372A22" w:rsidP="006D76AB">
      <w:pPr>
        <w:tabs>
          <w:tab w:val="left" w:pos="360"/>
        </w:tabs>
        <w:ind w:left="360"/>
        <w:rPr>
          <w:sz w:val="20"/>
        </w:rPr>
      </w:pPr>
      <w:r w:rsidRPr="006049BB">
        <w:rPr>
          <w:sz w:val="20"/>
        </w:rPr>
        <w:t xml:space="preserve">Cardiac autonomic activity, as </w:t>
      </w:r>
      <w:r w:rsidR="003669C9">
        <w:rPr>
          <w:sz w:val="20"/>
        </w:rPr>
        <w:t>measured</w:t>
      </w:r>
      <w:r w:rsidRPr="006049BB">
        <w:rPr>
          <w:sz w:val="20"/>
        </w:rPr>
        <w:t xml:space="preserve"> by heart rate variability, has been</w:t>
      </w:r>
      <w:r w:rsidRPr="006049BB">
        <w:rPr>
          <w:sz w:val="20"/>
          <w:vertAlign w:val="superscript"/>
        </w:rPr>
        <w:t xml:space="preserve"> </w:t>
      </w:r>
      <w:r w:rsidRPr="006049BB">
        <w:rPr>
          <w:sz w:val="20"/>
        </w:rPr>
        <w:t>found to be associated with postmyocardial infarction mortality, sudden</w:t>
      </w:r>
      <w:r w:rsidRPr="006049BB">
        <w:rPr>
          <w:sz w:val="20"/>
          <w:vertAlign w:val="superscript"/>
        </w:rPr>
        <w:t xml:space="preserve"> </w:t>
      </w:r>
      <w:r w:rsidRPr="006049BB">
        <w:rPr>
          <w:sz w:val="20"/>
        </w:rPr>
        <w:t>death, and all-cause mortality. However, the association of heart rate</w:t>
      </w:r>
      <w:r w:rsidRPr="006049BB">
        <w:rPr>
          <w:sz w:val="20"/>
          <w:vertAlign w:val="superscript"/>
        </w:rPr>
        <w:t xml:space="preserve"> </w:t>
      </w:r>
      <w:r w:rsidRPr="006049BB">
        <w:rPr>
          <w:sz w:val="20"/>
        </w:rPr>
        <w:t>variability and the incidence of coronary heart disease (CHD) is not well</w:t>
      </w:r>
      <w:r w:rsidRPr="006049BB">
        <w:rPr>
          <w:sz w:val="20"/>
          <w:vertAlign w:val="superscript"/>
        </w:rPr>
        <w:t xml:space="preserve"> </w:t>
      </w:r>
      <w:r w:rsidRPr="006049BB">
        <w:rPr>
          <w:sz w:val="20"/>
        </w:rPr>
        <w:t>described. The authors report on the association of baseline cardiac</w:t>
      </w:r>
      <w:r w:rsidRPr="006049BB">
        <w:rPr>
          <w:sz w:val="20"/>
          <w:vertAlign w:val="superscript"/>
        </w:rPr>
        <w:t xml:space="preserve"> </w:t>
      </w:r>
      <w:r w:rsidRPr="006049BB">
        <w:rPr>
          <w:sz w:val="20"/>
        </w:rPr>
        <w:t xml:space="preserve">autonomic activity with incident CHD after 3 years of follow-up of the Atherosclerosis Risk in Communities (ARIC) Study </w:t>
      </w:r>
      <w:r w:rsidRPr="006049BB">
        <w:rPr>
          <w:rStyle w:val="Strong"/>
          <w:b w:val="0"/>
          <w:bCs w:val="0"/>
          <w:sz w:val="20"/>
        </w:rPr>
        <w:t>cohort</w:t>
      </w:r>
      <w:r w:rsidRPr="006049BB">
        <w:rPr>
          <w:sz w:val="20"/>
          <w:vertAlign w:val="superscript"/>
        </w:rPr>
        <w:t xml:space="preserve"> </w:t>
      </w:r>
      <w:r w:rsidRPr="006049BB">
        <w:rPr>
          <w:sz w:val="20"/>
        </w:rPr>
        <w:t xml:space="preserve">selected from four study centers in the United States. The authors examined 137 incident </w:t>
      </w:r>
      <w:r w:rsidRPr="006049BB">
        <w:rPr>
          <w:rStyle w:val="Strong"/>
          <w:b w:val="0"/>
          <w:bCs w:val="0"/>
          <w:sz w:val="20"/>
        </w:rPr>
        <w:t>case</w:t>
      </w:r>
      <w:r w:rsidRPr="006049BB">
        <w:rPr>
          <w:sz w:val="20"/>
        </w:rPr>
        <w:t>s of CHD and a</w:t>
      </w:r>
      <w:r w:rsidRPr="006049BB">
        <w:rPr>
          <w:sz w:val="20"/>
          <w:vertAlign w:val="superscript"/>
        </w:rPr>
        <w:t xml:space="preserve"> </w:t>
      </w:r>
      <w:r w:rsidRPr="006049BB">
        <w:rPr>
          <w:sz w:val="20"/>
        </w:rPr>
        <w:t>random sample of 250 examinees free of CHD at baseline.</w:t>
      </w:r>
      <w:r w:rsidRPr="006049BB">
        <w:rPr>
          <w:sz w:val="20"/>
          <w:vertAlign w:val="superscript"/>
        </w:rPr>
        <w:t xml:space="preserve">  </w:t>
      </w:r>
      <w:r w:rsidRPr="006049BB">
        <w:rPr>
          <w:sz w:val="20"/>
        </w:rPr>
        <w:t>Baseline beat-to-beat heart rate data were evaluated in stored electrographic tracings.  High- (0.16-0.35 Hz) and low- (0.025-0.15 Hz) frequency spectral powers and</w:t>
      </w:r>
      <w:r w:rsidRPr="006049BB">
        <w:rPr>
          <w:sz w:val="20"/>
          <w:vertAlign w:val="superscript"/>
        </w:rPr>
        <w:t xml:space="preserve"> </w:t>
      </w:r>
      <w:r w:rsidRPr="006049BB">
        <w:rPr>
          <w:sz w:val="20"/>
        </w:rPr>
        <w:t>high-/low-frequency power ratio, estimated from spectral analysis, and</w:t>
      </w:r>
      <w:r w:rsidRPr="006049BB">
        <w:rPr>
          <w:sz w:val="20"/>
          <w:vertAlign w:val="superscript"/>
        </w:rPr>
        <w:t xml:space="preserve"> </w:t>
      </w:r>
      <w:r w:rsidRPr="006049BB">
        <w:rPr>
          <w:sz w:val="20"/>
        </w:rPr>
        <w:t>standard deviation of all normal R-R intervals, calculated from time domain</w:t>
      </w:r>
      <w:r w:rsidRPr="006049BB">
        <w:rPr>
          <w:sz w:val="20"/>
          <w:vertAlign w:val="superscript"/>
        </w:rPr>
        <w:t xml:space="preserve"> </w:t>
      </w:r>
      <w:r w:rsidRPr="006049BB">
        <w:rPr>
          <w:sz w:val="20"/>
        </w:rPr>
        <w:t>analysis, were used as the conventional indices of cardiac parasympathetic,</w:t>
      </w:r>
      <w:r w:rsidRPr="006049BB">
        <w:rPr>
          <w:sz w:val="20"/>
          <w:vertAlign w:val="superscript"/>
        </w:rPr>
        <w:t xml:space="preserve"> </w:t>
      </w:r>
      <w:r w:rsidRPr="006049BB">
        <w:rPr>
          <w:sz w:val="20"/>
        </w:rPr>
        <w:t>sympatho-parasympathetic, and their balance, respectively. Incident CHD was</w:t>
      </w:r>
      <w:r w:rsidRPr="006049BB">
        <w:rPr>
          <w:sz w:val="20"/>
          <w:vertAlign w:val="superscript"/>
        </w:rPr>
        <w:t xml:space="preserve"> </w:t>
      </w:r>
      <w:r w:rsidRPr="006049BB">
        <w:rPr>
          <w:sz w:val="20"/>
        </w:rPr>
        <w:t>defined as hospitalized myocardial infarction, fatal CHD, or cardiac</w:t>
      </w:r>
      <w:r w:rsidRPr="006049BB">
        <w:rPr>
          <w:sz w:val="20"/>
          <w:vertAlign w:val="superscript"/>
        </w:rPr>
        <w:t xml:space="preserve"> </w:t>
      </w:r>
      <w:r w:rsidRPr="006049BB">
        <w:rPr>
          <w:sz w:val="20"/>
        </w:rPr>
        <w:t>revascularization procedures during 3 years of follow-up. The age, race,</w:t>
      </w:r>
      <w:r w:rsidRPr="006049BB">
        <w:rPr>
          <w:sz w:val="20"/>
          <w:vertAlign w:val="superscript"/>
        </w:rPr>
        <w:t xml:space="preserve"> </w:t>
      </w:r>
      <w:r w:rsidRPr="006049BB">
        <w:rPr>
          <w:sz w:val="20"/>
        </w:rPr>
        <w:t>gender, and other CHD risk factor-adjusted relative risks (and 95%</w:t>
      </w:r>
      <w:r w:rsidRPr="006049BB">
        <w:rPr>
          <w:sz w:val="20"/>
          <w:vertAlign w:val="superscript"/>
        </w:rPr>
        <w:t xml:space="preserve"> </w:t>
      </w:r>
      <w:r w:rsidRPr="006049BB">
        <w:rPr>
          <w:sz w:val="20"/>
        </w:rPr>
        <w:t>confidence intervals) of incident CHD comparing the lowest quartile with</w:t>
      </w:r>
      <w:r w:rsidRPr="006049BB">
        <w:rPr>
          <w:sz w:val="20"/>
          <w:vertAlign w:val="superscript"/>
        </w:rPr>
        <w:t xml:space="preserve"> </w:t>
      </w:r>
      <w:r w:rsidRPr="006049BB">
        <w:rPr>
          <w:sz w:val="20"/>
        </w:rPr>
        <w:t>the upper three quartiles of high-frequency power, low-frequency power,</w:t>
      </w:r>
      <w:r w:rsidRPr="006049BB">
        <w:rPr>
          <w:sz w:val="20"/>
          <w:vertAlign w:val="superscript"/>
        </w:rPr>
        <w:t xml:space="preserve"> </w:t>
      </w:r>
      <w:r w:rsidRPr="006049BB">
        <w:rPr>
          <w:sz w:val="20"/>
        </w:rPr>
        <w:t>high-/low- frequency power ratio, and standard deviation of R-R intervals</w:t>
      </w:r>
      <w:r w:rsidRPr="006049BB">
        <w:rPr>
          <w:sz w:val="20"/>
          <w:vertAlign w:val="superscript"/>
        </w:rPr>
        <w:t xml:space="preserve"> </w:t>
      </w:r>
      <w:r w:rsidRPr="006049BB">
        <w:rPr>
          <w:sz w:val="20"/>
        </w:rPr>
        <w:t>were 1.72 (95% confidence interval (CI) 1.17-2.51), 1.09 (95% CI</w:t>
      </w:r>
      <w:r w:rsidRPr="006049BB">
        <w:rPr>
          <w:sz w:val="20"/>
          <w:vertAlign w:val="superscript"/>
        </w:rPr>
        <w:t xml:space="preserve"> </w:t>
      </w:r>
      <w:r w:rsidRPr="006049BB">
        <w:rPr>
          <w:sz w:val="20"/>
        </w:rPr>
        <w:t>0.72-1.64), 1.25 (95% CI 0.84-1.86), and 1.39 (95% CI 0.94-2.04),</w:t>
      </w:r>
      <w:r w:rsidRPr="006049BB">
        <w:rPr>
          <w:sz w:val="20"/>
          <w:vertAlign w:val="superscript"/>
        </w:rPr>
        <w:t xml:space="preserve"> </w:t>
      </w:r>
      <w:r w:rsidRPr="006049BB">
        <w:rPr>
          <w:sz w:val="20"/>
        </w:rPr>
        <w:t>respectively. The findings from this population-based, prospective study</w:t>
      </w:r>
      <w:r w:rsidRPr="006049BB">
        <w:rPr>
          <w:sz w:val="20"/>
          <w:vertAlign w:val="superscript"/>
        </w:rPr>
        <w:t xml:space="preserve"> </w:t>
      </w:r>
      <w:r w:rsidRPr="006049BB">
        <w:rPr>
          <w:sz w:val="20"/>
        </w:rPr>
        <w:t>suggest that altered cardiac autonomic activity, especially lower</w:t>
      </w:r>
      <w:r w:rsidRPr="006049BB">
        <w:rPr>
          <w:sz w:val="20"/>
          <w:vertAlign w:val="superscript"/>
        </w:rPr>
        <w:t xml:space="preserve"> </w:t>
      </w:r>
      <w:r w:rsidRPr="006049BB">
        <w:rPr>
          <w:sz w:val="20"/>
        </w:rPr>
        <w:t>parasympathetic activity, is associated with the risk of developing CHD.</w:t>
      </w:r>
    </w:p>
    <w:p w14:paraId="29A8D4D2" w14:textId="77777777" w:rsidR="00372A22" w:rsidRDefault="00372A22" w:rsidP="006D76AB">
      <w:pPr>
        <w:tabs>
          <w:tab w:val="left" w:pos="360"/>
        </w:tabs>
        <w:ind w:left="360" w:hanging="360"/>
      </w:pPr>
    </w:p>
    <w:p w14:paraId="4CF93CBB" w14:textId="77777777" w:rsidR="00372A22" w:rsidRDefault="00372A22" w:rsidP="006D76AB">
      <w:pPr>
        <w:tabs>
          <w:tab w:val="left" w:pos="360"/>
        </w:tabs>
        <w:ind w:left="360" w:hanging="360"/>
      </w:pPr>
      <w:r>
        <w:t xml:space="preserve">(a)  What </w:t>
      </w:r>
      <w:r w:rsidRPr="00E85862">
        <w:t xml:space="preserve">study design </w:t>
      </w:r>
      <w:r>
        <w:t xml:space="preserve">was </w:t>
      </w:r>
      <w:r w:rsidRPr="00E85862">
        <w:t xml:space="preserve">used in the </w:t>
      </w:r>
      <w:r>
        <w:t xml:space="preserve">study described in the </w:t>
      </w:r>
      <w:r w:rsidRPr="00E85862">
        <w:t>following abstract</w:t>
      </w:r>
      <w:r>
        <w:t xml:space="preserve">?  </w:t>
      </w:r>
      <w:r w:rsidRPr="00E85862">
        <w:t>(1 pt)  Justify your decision by referencing specific wording in the abstract</w:t>
      </w:r>
      <w:r>
        <w:t>.</w:t>
      </w:r>
      <w:r w:rsidRPr="00E85862">
        <w:t xml:space="preserve"> </w:t>
      </w:r>
      <w:r>
        <w:t xml:space="preserve"> </w:t>
      </w:r>
      <w:r w:rsidRPr="00E85862">
        <w:t xml:space="preserve">(1 pt)  </w:t>
      </w:r>
    </w:p>
    <w:p w14:paraId="109BA482" w14:textId="77777777" w:rsidR="00372A22" w:rsidRDefault="00372A22" w:rsidP="006D76AB">
      <w:pPr>
        <w:tabs>
          <w:tab w:val="left" w:pos="360"/>
        </w:tabs>
        <w:ind w:left="360" w:hanging="360"/>
      </w:pPr>
    </w:p>
    <w:p w14:paraId="2C6B2986" w14:textId="77777777" w:rsidR="00820F0A" w:rsidRPr="00E85862" w:rsidRDefault="00820F0A" w:rsidP="006D76AB">
      <w:pPr>
        <w:pStyle w:val="PlainText"/>
        <w:ind w:left="360"/>
        <w:rPr>
          <w:rFonts w:ascii="Times New Roman" w:hAnsi="Times New Roman"/>
          <w:sz w:val="24"/>
        </w:rPr>
      </w:pPr>
    </w:p>
    <w:p w14:paraId="2F83C98F" w14:textId="68A54431" w:rsidR="00372A22" w:rsidRDefault="00372A22" w:rsidP="006D76AB">
      <w:pPr>
        <w:pStyle w:val="PlainText"/>
        <w:ind w:left="360" w:hanging="360"/>
        <w:rPr>
          <w:rFonts w:ascii="Times New Roman" w:hAnsi="Times New Roman"/>
          <w:sz w:val="24"/>
        </w:rPr>
      </w:pPr>
      <w:r>
        <w:rPr>
          <w:rFonts w:ascii="Times New Roman" w:hAnsi="Times New Roman"/>
          <w:sz w:val="24"/>
          <w:szCs w:val="24"/>
        </w:rPr>
        <w:t xml:space="preserve">(b)  </w:t>
      </w:r>
      <w:r w:rsidRPr="006049BB">
        <w:rPr>
          <w:rFonts w:ascii="Times New Roman" w:hAnsi="Times New Roman"/>
          <w:sz w:val="24"/>
          <w:szCs w:val="24"/>
        </w:rPr>
        <w:t xml:space="preserve">Why do you think the authors, who were very experienced epidemiologists, performed this type of design as opposed to analyzing the entire ARIC cohort (N= 15,792) with a </w:t>
      </w:r>
      <w:r w:rsidR="003669C9">
        <w:rPr>
          <w:rFonts w:ascii="Times New Roman" w:hAnsi="Times New Roman"/>
          <w:sz w:val="24"/>
          <w:szCs w:val="24"/>
        </w:rPr>
        <w:t xml:space="preserve">forward-looking </w:t>
      </w:r>
      <w:r w:rsidRPr="006049BB">
        <w:rPr>
          <w:rFonts w:ascii="Times New Roman" w:hAnsi="Times New Roman"/>
          <w:sz w:val="24"/>
          <w:szCs w:val="24"/>
        </w:rPr>
        <w:t>survival analysis?  (1 pt)</w:t>
      </w:r>
    </w:p>
    <w:p w14:paraId="6DD84A3D" w14:textId="77777777" w:rsidR="00372A22" w:rsidRDefault="00372A22" w:rsidP="006D76AB">
      <w:pPr>
        <w:pStyle w:val="PlainText"/>
        <w:ind w:left="360"/>
        <w:rPr>
          <w:rFonts w:ascii="Times New Roman" w:hAnsi="Times New Roman"/>
          <w:sz w:val="24"/>
        </w:rPr>
      </w:pPr>
    </w:p>
    <w:p w14:paraId="5CB5E931" w14:textId="77777777" w:rsidR="00372A22" w:rsidRPr="00E85862" w:rsidRDefault="00372A22" w:rsidP="006D76AB">
      <w:pPr>
        <w:tabs>
          <w:tab w:val="left" w:pos="360"/>
        </w:tabs>
        <w:ind w:left="360" w:hanging="360"/>
      </w:pPr>
    </w:p>
    <w:p w14:paraId="49BFE4A7" w14:textId="77777777" w:rsidR="00372A22" w:rsidRDefault="00372A22" w:rsidP="00DA66DF">
      <w:pPr>
        <w:tabs>
          <w:tab w:val="left" w:pos="360"/>
        </w:tabs>
        <w:ind w:left="360" w:hanging="360"/>
      </w:pPr>
      <w:r w:rsidRPr="00E85862">
        <w:rPr>
          <w:szCs w:val="24"/>
        </w:rPr>
        <w:br w:type="page"/>
      </w:r>
      <w:r w:rsidRPr="00E85862">
        <w:rPr>
          <w:szCs w:val="24"/>
        </w:rPr>
        <w:lastRenderedPageBreak/>
        <w:t xml:space="preserve">3.  </w:t>
      </w:r>
      <w:r w:rsidRPr="00E85862">
        <w:rPr>
          <w:szCs w:val="24"/>
        </w:rPr>
        <w:tab/>
      </w:r>
      <w:r w:rsidRPr="00E85862">
        <w:t>Read the following abstract.  What type of case-control sampling do you think was used</w:t>
      </w:r>
      <w:r>
        <w:t>?</w:t>
      </w:r>
      <w:r w:rsidRPr="00E85862">
        <w:t xml:space="preserve"> </w:t>
      </w:r>
      <w:r>
        <w:t xml:space="preserve"> </w:t>
      </w:r>
    </w:p>
    <w:p w14:paraId="61B3AB10" w14:textId="77777777" w:rsidR="00372A22" w:rsidRPr="00E85862" w:rsidRDefault="00372A22" w:rsidP="00BA160B">
      <w:pPr>
        <w:tabs>
          <w:tab w:val="left" w:pos="360"/>
        </w:tabs>
        <w:ind w:left="360"/>
      </w:pPr>
      <w:r w:rsidRPr="00E85862">
        <w:t>(1 pt)  Defend your choice by specific reference to wording in the abstract.</w:t>
      </w:r>
      <w:r>
        <w:t xml:space="preserve"> </w:t>
      </w:r>
      <w:r w:rsidRPr="00E85862">
        <w:t xml:space="preserve"> (1 pt)</w:t>
      </w:r>
    </w:p>
    <w:p w14:paraId="44B68132" w14:textId="77777777" w:rsidR="00372A22" w:rsidRPr="00E85862" w:rsidRDefault="00372A22">
      <w:pPr>
        <w:pStyle w:val="PlainText"/>
        <w:rPr>
          <w:rFonts w:ascii="Times New Roman" w:hAnsi="Times New Roman"/>
          <w:sz w:val="22"/>
        </w:rPr>
      </w:pPr>
    </w:p>
    <w:p w14:paraId="288722B9" w14:textId="77777777" w:rsidR="00372A22" w:rsidRPr="00EC7CF7" w:rsidRDefault="00372A22" w:rsidP="00CC6A34">
      <w:pPr>
        <w:pStyle w:val="PlainText"/>
        <w:ind w:left="360"/>
        <w:rPr>
          <w:rFonts w:ascii="Times New Roman" w:hAnsi="Times New Roman"/>
        </w:rPr>
      </w:pPr>
      <w:r w:rsidRPr="00EC7CF7">
        <w:rPr>
          <w:rFonts w:ascii="Times New Roman" w:hAnsi="Times New Roman"/>
        </w:rPr>
        <w:t xml:space="preserve">A case-control study was conducted to examine risk factors for HIV seroconversion (incident infection with HIV) in homosexual men between 1982 and 1994 who were enrolled in four cohorts in:  Amsterdam, the Netherlands; San Francisco, California; Vancouver, Canada; and Sydney, Australia.  In a case-control study, sexual behaviors, substance use, and presence of sexually transmitted disease were compared between 345 HIV-positive cases and 345 seronegative controls matched by study visit-number (which are conducted every 3 months) and site. Receptive anal intercourse was the sexual behavior most highly associated with seroconversion. The odds ratio (OR) per </w:t>
      </w:r>
      <w:r>
        <w:rPr>
          <w:rFonts w:ascii="Times New Roman" w:hAnsi="Times New Roman"/>
        </w:rPr>
        <w:t xml:space="preserve">increase in one </w:t>
      </w:r>
      <w:r w:rsidRPr="00EC7CF7">
        <w:rPr>
          <w:rFonts w:ascii="Times New Roman" w:hAnsi="Times New Roman"/>
        </w:rPr>
        <w:t xml:space="preserve">receptive anal intercourse partner was 1.05 (95% confidence interval (CI) 1.02-1.09). To more carefully examine risk associated with receptive oral intercourse, analyses were done in a subgroup of men who reported no or one receptive anal intercourse partner. The OR associated with receptive oral intercourse partner increase was 1.05 (95% CI 1.0-1.11). In multivariate conditional logistic regression analyses, presence of sexually transmitted disease (OR = 3.39, 95% CI 1.95-5.91) and amphetamine use (OR = 2.55, 95% CI 1.26-5.15) were independently associated with seroconversion.  </w:t>
      </w:r>
    </w:p>
    <w:p w14:paraId="634BD897" w14:textId="77777777" w:rsidR="00372A22" w:rsidRPr="00E85862" w:rsidRDefault="00372A22" w:rsidP="0087324C">
      <w:pPr>
        <w:pStyle w:val="PlainText"/>
        <w:ind w:left="1440" w:right="1440"/>
        <w:rPr>
          <w:rFonts w:ascii="Times New Roman" w:hAnsi="Times New Roman"/>
        </w:rPr>
      </w:pPr>
    </w:p>
    <w:p w14:paraId="6FC0FA56" w14:textId="77777777" w:rsidR="00372A22" w:rsidRPr="00E85862" w:rsidRDefault="00372A22">
      <w:pPr>
        <w:pStyle w:val="PlainText"/>
        <w:rPr>
          <w:rFonts w:ascii="Times New Roman" w:hAnsi="Times New Roman"/>
          <w:sz w:val="12"/>
        </w:rPr>
      </w:pPr>
    </w:p>
    <w:p w14:paraId="045CB57C" w14:textId="77777777" w:rsidR="00372A22" w:rsidRPr="00E85862" w:rsidRDefault="00372A22" w:rsidP="00DA66DF">
      <w:pPr>
        <w:ind w:left="360" w:hanging="360"/>
      </w:pPr>
      <w:r w:rsidRPr="00E85862">
        <w:br w:type="page"/>
      </w:r>
      <w:r w:rsidRPr="00E85862">
        <w:lastRenderedPageBreak/>
        <w:t xml:space="preserve">4. </w:t>
      </w:r>
      <w:r w:rsidRPr="00E85862">
        <w:tab/>
        <w:t xml:space="preserve">Read the following abstract.  </w:t>
      </w:r>
    </w:p>
    <w:p w14:paraId="73AAFDC2" w14:textId="77777777" w:rsidR="00372A22" w:rsidRPr="00E85862" w:rsidRDefault="00372A22">
      <w:pPr>
        <w:pStyle w:val="PlainText"/>
        <w:rPr>
          <w:rFonts w:ascii="Times New Roman" w:hAnsi="Times New Roman"/>
          <w:sz w:val="22"/>
          <w:szCs w:val="22"/>
        </w:rPr>
      </w:pPr>
    </w:p>
    <w:p w14:paraId="01D5DFA9" w14:textId="77777777" w:rsidR="00372A22" w:rsidRPr="00E85862" w:rsidRDefault="00372A22" w:rsidP="008B0EA4">
      <w:pPr>
        <w:pStyle w:val="PlainText"/>
        <w:ind w:left="360"/>
        <w:rPr>
          <w:rFonts w:ascii="Times New Roman" w:hAnsi="Times New Roman"/>
        </w:rPr>
      </w:pPr>
      <w:r w:rsidRPr="00E85862">
        <w:rPr>
          <w:rFonts w:ascii="Times New Roman" w:hAnsi="Times New Roman"/>
          <w:b/>
        </w:rPr>
        <w:t>OBJECTIVE:</w:t>
      </w:r>
      <w:r w:rsidRPr="00E85862">
        <w:rPr>
          <w:rFonts w:ascii="Times New Roman" w:hAnsi="Times New Roman"/>
        </w:rPr>
        <w:t xml:space="preserve"> The molecular basis of sporadic medullary thyroid carcinoma (MTC) remains elusive. A previous report suggested that the presence of a germline variant at RET codon 836 (S836S) was associated with the development of sporadic MTC and, furthermore, that the presence of S836S was highly correlated with</w:t>
      </w:r>
    </w:p>
    <w:p w14:paraId="04F20454" w14:textId="77777777" w:rsidR="00372A22" w:rsidRPr="00E85862" w:rsidRDefault="00372A22" w:rsidP="008B0EA4">
      <w:pPr>
        <w:pStyle w:val="PlainText"/>
        <w:ind w:left="360"/>
        <w:rPr>
          <w:rFonts w:ascii="Times New Roman" w:hAnsi="Times New Roman"/>
        </w:rPr>
      </w:pPr>
      <w:r w:rsidRPr="00E85862">
        <w:rPr>
          <w:rFonts w:ascii="Times New Roman" w:hAnsi="Times New Roman"/>
        </w:rPr>
        <w:t xml:space="preserve">somatic RET M918T mutation in the MTC. Thus, we sought to determine if the S836S variant would be associated with sporadic MTC from a completely different population base, that of Andalucia. </w:t>
      </w:r>
    </w:p>
    <w:p w14:paraId="539CCB41" w14:textId="77777777" w:rsidR="00372A22" w:rsidRPr="00E85862" w:rsidRDefault="00372A22" w:rsidP="008B0EA4">
      <w:pPr>
        <w:pStyle w:val="PlainText"/>
        <w:ind w:left="360"/>
        <w:rPr>
          <w:rFonts w:ascii="Times New Roman" w:hAnsi="Times New Roman"/>
        </w:rPr>
      </w:pPr>
      <w:r w:rsidRPr="00E85862">
        <w:rPr>
          <w:rFonts w:ascii="Times New Roman" w:hAnsi="Times New Roman"/>
          <w:b/>
        </w:rPr>
        <w:t>DESIGN:</w:t>
      </w:r>
      <w:r w:rsidRPr="00E85862">
        <w:rPr>
          <w:rFonts w:ascii="Times New Roman" w:hAnsi="Times New Roman"/>
        </w:rPr>
        <w:t xml:space="preserve"> This is a case-control study to determine whether the presence of RET germline S836S is correlated with sporadic MTC in Andalucia. </w:t>
      </w:r>
      <w:r w:rsidRPr="00293926">
        <w:rPr>
          <w:rFonts w:ascii="Times New Roman" w:hAnsi="Times New Roman"/>
          <w:b/>
        </w:rPr>
        <w:t xml:space="preserve">PATIENTS: </w:t>
      </w:r>
      <w:r w:rsidRPr="00E85862">
        <w:rPr>
          <w:rFonts w:ascii="Times New Roman" w:hAnsi="Times New Roman"/>
        </w:rPr>
        <w:t xml:space="preserve">Thirty-two patients with sporadic MTC from the Andalucia region of Spain, serviced by our University Hospital, were ascertained throughout the period 1995-99. A region and race matched cohort of 250 controls was also obtained. </w:t>
      </w:r>
      <w:r w:rsidRPr="00E85862">
        <w:rPr>
          <w:rFonts w:ascii="Times New Roman" w:hAnsi="Times New Roman"/>
          <w:b/>
        </w:rPr>
        <w:t>MEASUREMENTS:</w:t>
      </w:r>
      <w:r w:rsidRPr="00E85862">
        <w:rPr>
          <w:rFonts w:ascii="Times New Roman" w:hAnsi="Times New Roman"/>
        </w:rPr>
        <w:t xml:space="preserve"> The frequency of the S836S allele was determined in cases and controls and compared using the standard chi-squared statistic and Fisher's exact test. </w:t>
      </w:r>
      <w:r w:rsidRPr="00E85862">
        <w:rPr>
          <w:rFonts w:ascii="Times New Roman" w:hAnsi="Times New Roman"/>
          <w:b/>
        </w:rPr>
        <w:t>RESULTS:</w:t>
      </w:r>
      <w:r w:rsidRPr="00E85862">
        <w:rPr>
          <w:rFonts w:ascii="Times New Roman" w:hAnsi="Times New Roman"/>
        </w:rPr>
        <w:t xml:space="preserve"> The polymorphic allele frequency at codon 836 in the control population (18/500 chromosomes, 3.6%) differed significantly from the MTC case cohort, 9.3% of case chromosomes (six of 64 alleles, Fisher's exact test, two-tailed, P = 0.043). </w:t>
      </w:r>
      <w:r w:rsidRPr="00E85862">
        <w:rPr>
          <w:rFonts w:ascii="Times New Roman" w:hAnsi="Times New Roman"/>
          <w:b/>
        </w:rPr>
        <w:t>CONCLUSIONS:</w:t>
      </w:r>
      <w:r w:rsidRPr="00E85862">
        <w:rPr>
          <w:rFonts w:ascii="Times New Roman" w:hAnsi="Times New Roman"/>
        </w:rPr>
        <w:t xml:space="preserve"> Germline RET S836S variant is associated with a two- to three-fold risk of sporadic MTC in the Spanish population, in accordance with a previous study based on German cases. Our observations suggest that this phenomenon might be universal and not limited to Germany.</w:t>
      </w:r>
    </w:p>
    <w:p w14:paraId="412E6B0C" w14:textId="77777777" w:rsidR="00372A22" w:rsidRPr="00E85862" w:rsidRDefault="00372A22"/>
    <w:p w14:paraId="2CCD923D" w14:textId="77777777" w:rsidR="00372A22" w:rsidRPr="00E85862" w:rsidRDefault="00372A22" w:rsidP="00CC6A34">
      <w:pPr>
        <w:ind w:left="360" w:hanging="360"/>
      </w:pPr>
      <w:r w:rsidRPr="00E85862">
        <w:t xml:space="preserve">(a) </w:t>
      </w:r>
      <w:r w:rsidRPr="00E85862">
        <w:tab/>
        <w:t xml:space="preserve">Can you identify the type of case-control sampling that was used, based on the abstract?  </w:t>
      </w:r>
      <w:r>
        <w:t xml:space="preserve">If so, what was it?  </w:t>
      </w:r>
      <w:r w:rsidRPr="00E85862">
        <w:t>Describe the clues to what type of case-control sampling was done based on the language of this abstract.</w:t>
      </w:r>
      <w:r>
        <w:t xml:space="preserve"> </w:t>
      </w:r>
      <w:r w:rsidRPr="00E85862">
        <w:t xml:space="preserve"> (2 pts)</w:t>
      </w:r>
    </w:p>
    <w:p w14:paraId="355B8817" w14:textId="77777777" w:rsidR="00D764AF" w:rsidRDefault="00D764AF" w:rsidP="00CC6A34">
      <w:pPr>
        <w:ind w:left="360" w:hanging="360"/>
      </w:pPr>
    </w:p>
    <w:p w14:paraId="138097E0" w14:textId="77777777" w:rsidR="00D764AF" w:rsidRDefault="00D764AF" w:rsidP="00CC6A34">
      <w:pPr>
        <w:ind w:left="360" w:hanging="360"/>
      </w:pPr>
    </w:p>
    <w:p w14:paraId="3C0E6049" w14:textId="0CE7D824" w:rsidR="00372A22" w:rsidRPr="00293926" w:rsidRDefault="00372A22" w:rsidP="00CC6A34">
      <w:pPr>
        <w:ind w:left="360" w:hanging="360"/>
        <w:rPr>
          <w:szCs w:val="24"/>
        </w:rPr>
      </w:pPr>
      <w:r w:rsidRPr="00E85862">
        <w:t xml:space="preserve">(b) </w:t>
      </w:r>
      <w:r w:rsidRPr="00293926">
        <w:rPr>
          <w:szCs w:val="24"/>
        </w:rPr>
        <w:tab/>
      </w:r>
      <w:r>
        <w:rPr>
          <w:szCs w:val="24"/>
        </w:rPr>
        <w:t>T</w:t>
      </w:r>
      <w:r w:rsidRPr="00293926">
        <w:rPr>
          <w:szCs w:val="24"/>
        </w:rPr>
        <w:t>he authors state that the “Germline RET S836S variant is associated with a two- to three-fold risk of sporadic MTC</w:t>
      </w:r>
      <w:r>
        <w:rPr>
          <w:szCs w:val="24"/>
        </w:rPr>
        <w:t xml:space="preserve">”. </w:t>
      </w:r>
      <w:r w:rsidRPr="00293926">
        <w:rPr>
          <w:szCs w:val="24"/>
        </w:rPr>
        <w:t xml:space="preserve"> What kind of measure of association is this?  (1 pt) </w:t>
      </w:r>
    </w:p>
    <w:p w14:paraId="0E90A232" w14:textId="77777777" w:rsidR="00372A22" w:rsidRPr="00293926" w:rsidRDefault="00372A22">
      <w:pPr>
        <w:rPr>
          <w:szCs w:val="24"/>
        </w:rPr>
      </w:pPr>
    </w:p>
    <w:p w14:paraId="131AC547" w14:textId="77777777" w:rsidR="00372A22" w:rsidRPr="00E85862" w:rsidRDefault="00372A22">
      <w:pPr>
        <w:pStyle w:val="HTMLPreformatted"/>
        <w:rPr>
          <w:rFonts w:ascii="Times New Roman" w:hAnsi="Times New Roman" w:cs="Times New Roman"/>
          <w:sz w:val="24"/>
        </w:rPr>
      </w:pPr>
    </w:p>
    <w:p w14:paraId="050EF4F0" w14:textId="77777777" w:rsidR="00372A22" w:rsidRPr="00E85862" w:rsidRDefault="00372A22">
      <w:pPr>
        <w:pStyle w:val="HTMLPreformatted"/>
        <w:rPr>
          <w:rFonts w:ascii="Times New Roman" w:hAnsi="Times New Roman" w:cs="Times New Roman"/>
          <w:sz w:val="24"/>
        </w:rPr>
      </w:pPr>
    </w:p>
    <w:p w14:paraId="29D751E3" w14:textId="77777777" w:rsidR="00372A22" w:rsidRPr="00E85862" w:rsidRDefault="00372A22" w:rsidP="00C07B38">
      <w:pPr>
        <w:pStyle w:val="HTMLPreformatted"/>
        <w:tabs>
          <w:tab w:val="left" w:pos="360"/>
        </w:tabs>
        <w:ind w:left="360" w:hanging="360"/>
        <w:rPr>
          <w:rFonts w:ascii="Times New Roman" w:hAnsi="Times New Roman" w:cs="Times New Roman"/>
          <w:sz w:val="24"/>
        </w:rPr>
      </w:pPr>
      <w:r w:rsidRPr="00E85862">
        <w:rPr>
          <w:rFonts w:ascii="Times New Roman" w:hAnsi="Times New Roman" w:cs="Times New Roman"/>
          <w:sz w:val="24"/>
        </w:rPr>
        <w:br w:type="page"/>
      </w:r>
      <w:r w:rsidRPr="00E85862">
        <w:rPr>
          <w:rFonts w:ascii="Times New Roman" w:hAnsi="Times New Roman" w:cs="Times New Roman"/>
          <w:sz w:val="24"/>
        </w:rPr>
        <w:lastRenderedPageBreak/>
        <w:t xml:space="preserve">5. </w:t>
      </w:r>
      <w:r w:rsidRPr="00E85862">
        <w:rPr>
          <w:rFonts w:ascii="Times New Roman" w:hAnsi="Times New Roman" w:cs="Times New Roman"/>
          <w:sz w:val="24"/>
        </w:rPr>
        <w:tab/>
        <w:t xml:space="preserve">In a study of pancreatic cancer and cigarette smoking, incident cases of pancreatic cancer were </w:t>
      </w:r>
      <w:r>
        <w:rPr>
          <w:rFonts w:ascii="Times New Roman" w:hAnsi="Times New Roman" w:cs="Times New Roman"/>
          <w:sz w:val="24"/>
        </w:rPr>
        <w:t xml:space="preserve">prospectively </w:t>
      </w:r>
      <w:r w:rsidRPr="00E85862">
        <w:rPr>
          <w:rFonts w:ascii="Times New Roman" w:hAnsi="Times New Roman" w:cs="Times New Roman"/>
          <w:sz w:val="24"/>
        </w:rPr>
        <w:t>identified from the SEER cancer registries</w:t>
      </w:r>
      <w:r>
        <w:rPr>
          <w:rFonts w:ascii="Times New Roman" w:hAnsi="Times New Roman" w:cs="Times New Roman"/>
          <w:sz w:val="24"/>
        </w:rPr>
        <w:t xml:space="preserve"> in San Francisco Bay Area from 2003 to 2013</w:t>
      </w:r>
      <w:r w:rsidRPr="00E85862">
        <w:rPr>
          <w:rFonts w:ascii="Times New Roman" w:hAnsi="Times New Roman" w:cs="Times New Roman"/>
          <w:sz w:val="24"/>
        </w:rPr>
        <w:t>.  Within a month of the cancer diagnosis, two controls were identified from the population served by the registry where the case was identified</w:t>
      </w:r>
      <w:r>
        <w:rPr>
          <w:rFonts w:ascii="Times New Roman" w:hAnsi="Times New Roman" w:cs="Times New Roman"/>
          <w:sz w:val="24"/>
        </w:rPr>
        <w:t>, using door-to-door random sampling of households in the community.</w:t>
      </w:r>
      <w:r w:rsidRPr="00E85862">
        <w:rPr>
          <w:rFonts w:ascii="Times New Roman" w:hAnsi="Times New Roman" w:cs="Times New Roman"/>
          <w:sz w:val="24"/>
        </w:rPr>
        <w:t xml:space="preserve">  The cases and controls were interviewed to determine their smoking status and categorized into “never,” “past,” and “current” smokers.  </w:t>
      </w:r>
      <w:r>
        <w:rPr>
          <w:rFonts w:ascii="Times New Roman" w:hAnsi="Times New Roman" w:cs="Times New Roman"/>
          <w:sz w:val="24"/>
        </w:rPr>
        <w:t xml:space="preserve">(For the cases, “current” refers to the period when the cancer diagnosis was made, not afterwards). </w:t>
      </w:r>
      <w:r w:rsidRPr="00E85862">
        <w:rPr>
          <w:rFonts w:ascii="Times New Roman" w:hAnsi="Times New Roman" w:cs="Times New Roman"/>
          <w:sz w:val="24"/>
        </w:rPr>
        <w:t xml:space="preserve"> Of 135 cases, 24 were current, 83 were past, and 28 were never smokers.  Of 27</w:t>
      </w:r>
      <w:r>
        <w:rPr>
          <w:rFonts w:ascii="Times New Roman" w:hAnsi="Times New Roman" w:cs="Times New Roman"/>
          <w:sz w:val="24"/>
        </w:rPr>
        <w:t>0</w:t>
      </w:r>
      <w:r w:rsidRPr="00E85862">
        <w:rPr>
          <w:rFonts w:ascii="Times New Roman" w:hAnsi="Times New Roman" w:cs="Times New Roman"/>
          <w:sz w:val="24"/>
        </w:rPr>
        <w:t xml:space="preserve"> controls, 30 were current, 157 were past, </w:t>
      </w:r>
      <w:r>
        <w:rPr>
          <w:rFonts w:ascii="Times New Roman" w:hAnsi="Times New Roman" w:cs="Times New Roman"/>
          <w:sz w:val="24"/>
        </w:rPr>
        <w:t>and 83</w:t>
      </w:r>
      <w:r w:rsidRPr="00E85862">
        <w:rPr>
          <w:rFonts w:ascii="Times New Roman" w:hAnsi="Times New Roman" w:cs="Times New Roman"/>
          <w:sz w:val="24"/>
        </w:rPr>
        <w:t xml:space="preserve"> were never smokers</w:t>
      </w:r>
      <w:r>
        <w:rPr>
          <w:rFonts w:ascii="Times New Roman" w:hAnsi="Times New Roman" w:cs="Times New Roman"/>
          <w:sz w:val="24"/>
        </w:rPr>
        <w:t xml:space="preserve">.  </w:t>
      </w:r>
    </w:p>
    <w:p w14:paraId="446D3BDE" w14:textId="77777777" w:rsidR="00372A22" w:rsidRPr="00E85862" w:rsidRDefault="00372A22">
      <w:pPr>
        <w:pStyle w:val="HTMLPreformatted"/>
        <w:ind w:left="360"/>
        <w:rPr>
          <w:rFonts w:ascii="Times New Roman" w:hAnsi="Times New Roman" w:cs="Times New Roman"/>
          <w:sz w:val="24"/>
        </w:rPr>
      </w:pPr>
    </w:p>
    <w:p w14:paraId="2D9E9BA6" w14:textId="77777777" w:rsidR="00372A22" w:rsidRPr="00E85862" w:rsidRDefault="00372A22" w:rsidP="00D764AF">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Calculate the odds ratio and 95% confidence interval (CI) that compares current smoking to never smoking for the occurrence of pancreatic cancer.  Calculate the odds ratio and 95% CI that compares past smoking to never smoking for the occurrence of pancreatic cancer. </w:t>
      </w:r>
      <w:r>
        <w:rPr>
          <w:rFonts w:ascii="Times New Roman" w:hAnsi="Times New Roman" w:cs="Times New Roman"/>
          <w:sz w:val="24"/>
        </w:rPr>
        <w:t xml:space="preserve"> Place your measures of association in one single clearly configured table</w:t>
      </w:r>
      <w:r w:rsidR="00F72EC9">
        <w:rPr>
          <w:rFonts w:ascii="Times New Roman" w:hAnsi="Times New Roman" w:cs="Times New Roman"/>
          <w:sz w:val="24"/>
        </w:rPr>
        <w:t xml:space="preserve"> (as if you were showing your results in a journal article)</w:t>
      </w:r>
      <w:r>
        <w:rPr>
          <w:rFonts w:ascii="Times New Roman" w:hAnsi="Times New Roman" w:cs="Times New Roman"/>
          <w:sz w:val="24"/>
        </w:rPr>
        <w:t>.  For purposes of this question, ignore any matching that may have occurred in the selection of the controls.</w:t>
      </w:r>
      <w:r w:rsidRPr="00E85862">
        <w:rPr>
          <w:rFonts w:ascii="Times New Roman" w:hAnsi="Times New Roman" w:cs="Times New Roman"/>
          <w:sz w:val="24"/>
        </w:rPr>
        <w:t xml:space="preserve">  (1 pt)</w:t>
      </w:r>
    </w:p>
    <w:p w14:paraId="38C60DA4" w14:textId="77777777" w:rsidR="00372A22" w:rsidRDefault="00372A22" w:rsidP="00D764AF">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r w:rsidRPr="00E85862">
        <w:rPr>
          <w:rFonts w:ascii="Times New Roman" w:hAnsi="Times New Roman" w:cs="Times New Roman"/>
          <w:sz w:val="24"/>
        </w:rPr>
        <w:tab/>
      </w:r>
    </w:p>
    <w:p w14:paraId="12D4E00A" w14:textId="77777777" w:rsidR="00D764AF" w:rsidRPr="00E85862" w:rsidRDefault="00D764AF" w:rsidP="00D764AF">
      <w:pPr>
        <w:pStyle w:val="HTMLPreformatted"/>
        <w:tabs>
          <w:tab w:val="clear" w:pos="916"/>
          <w:tab w:val="clear" w:pos="1832"/>
          <w:tab w:val="clear" w:pos="2748"/>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14:paraId="712881C7" w14:textId="77777777" w:rsidR="00372A22" w:rsidRPr="00E85862" w:rsidRDefault="00372A22" w:rsidP="00D764AF">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Do these ORs estimate the risk ratio, rate ratio, or neither?  (1 pt)</w:t>
      </w:r>
    </w:p>
    <w:p w14:paraId="3A07B172" w14:textId="77777777" w:rsidR="00372A22" w:rsidRPr="00E85862" w:rsidRDefault="00372A22" w:rsidP="00D764AF">
      <w:pPr>
        <w:pStyle w:val="HTMLPreformatted"/>
        <w:ind w:left="360"/>
        <w:rPr>
          <w:rFonts w:ascii="Times New Roman" w:hAnsi="Times New Roman" w:cs="Times New Roman"/>
          <w:sz w:val="24"/>
          <w:u w:val="single"/>
        </w:rPr>
      </w:pPr>
    </w:p>
    <w:p w14:paraId="5722703E" w14:textId="77777777" w:rsidR="00372A22" w:rsidRPr="00E85862" w:rsidRDefault="00372A22" w:rsidP="00D764AF">
      <w:pPr>
        <w:pStyle w:val="HTMLPreformatted"/>
        <w:ind w:left="360"/>
        <w:rPr>
          <w:rFonts w:ascii="Times New Roman" w:hAnsi="Times New Roman" w:cs="Times New Roman"/>
          <w:sz w:val="24"/>
        </w:rPr>
      </w:pPr>
    </w:p>
    <w:p w14:paraId="5F38DE2D" w14:textId="77777777" w:rsidR="00372A22" w:rsidRPr="00E85862" w:rsidRDefault="00372A22" w:rsidP="00D764AF">
      <w:pPr>
        <w:pStyle w:val="HTMLPreformatted"/>
        <w:numPr>
          <w:ilvl w:val="0"/>
          <w:numId w:val="8"/>
        </w:numPr>
        <w:tabs>
          <w:tab w:val="clear" w:pos="720"/>
          <w:tab w:val="left" w:pos="360"/>
        </w:tabs>
        <w:ind w:left="360"/>
        <w:rPr>
          <w:rFonts w:ascii="Times New Roman" w:hAnsi="Times New Roman" w:cs="Times New Roman"/>
          <w:sz w:val="24"/>
        </w:rPr>
      </w:pPr>
      <w:r w:rsidRPr="00E85862">
        <w:rPr>
          <w:rFonts w:ascii="Times New Roman" w:hAnsi="Times New Roman" w:cs="Times New Roman"/>
          <w:sz w:val="24"/>
        </w:rPr>
        <w:t xml:space="preserve">Describe the results for current smokers versus never smokers in a </w:t>
      </w:r>
      <w:r w:rsidR="005F7262">
        <w:rPr>
          <w:rFonts w:ascii="Times New Roman" w:hAnsi="Times New Roman" w:cs="Times New Roman"/>
          <w:sz w:val="24"/>
        </w:rPr>
        <w:t xml:space="preserve">clear and informative </w:t>
      </w:r>
      <w:r w:rsidRPr="00E85862">
        <w:rPr>
          <w:rFonts w:ascii="Times New Roman" w:hAnsi="Times New Roman" w:cs="Times New Roman"/>
          <w:sz w:val="24"/>
        </w:rPr>
        <w:t>sentence.  (1 pt)</w:t>
      </w:r>
    </w:p>
    <w:p w14:paraId="23B05484" w14:textId="77777777" w:rsidR="00372A22" w:rsidRDefault="00372A22" w:rsidP="00D764AF">
      <w:pPr>
        <w:pStyle w:val="HTMLPreformatted"/>
        <w:ind w:left="360"/>
        <w:rPr>
          <w:rFonts w:ascii="Times New Roman" w:hAnsi="Times New Roman" w:cs="Times New Roman"/>
          <w:sz w:val="24"/>
        </w:rPr>
      </w:pPr>
    </w:p>
    <w:p w14:paraId="0BAA0FCB" w14:textId="77777777" w:rsidR="00D764AF" w:rsidRPr="00E85862" w:rsidRDefault="00D764AF" w:rsidP="00D764AF">
      <w:pPr>
        <w:pStyle w:val="HTMLPreformatted"/>
        <w:ind w:left="360"/>
        <w:rPr>
          <w:rFonts w:ascii="Times New Roman" w:hAnsi="Times New Roman" w:cs="Times New Roman"/>
          <w:sz w:val="24"/>
        </w:rPr>
      </w:pPr>
    </w:p>
    <w:p w14:paraId="6D5014F4" w14:textId="233A3904" w:rsidR="00372A22" w:rsidRDefault="00372A22" w:rsidP="00D764AF">
      <w:pPr>
        <w:pStyle w:val="HTMLPreformatted"/>
        <w:numPr>
          <w:ilvl w:val="0"/>
          <w:numId w:val="8"/>
        </w:numPr>
        <w:tabs>
          <w:tab w:val="clear" w:pos="720"/>
          <w:tab w:val="clear" w:pos="916"/>
          <w:tab w:val="clear" w:pos="1832"/>
          <w:tab w:val="left" w:pos="450"/>
        </w:tabs>
        <w:ind w:left="450" w:hanging="450"/>
        <w:rPr>
          <w:rFonts w:ascii="Times New Roman" w:hAnsi="Times New Roman" w:cs="Times New Roman"/>
          <w:sz w:val="24"/>
        </w:rPr>
      </w:pPr>
      <w:r>
        <w:rPr>
          <w:rFonts w:ascii="Times New Roman" w:hAnsi="Times New Roman" w:cs="Times New Roman"/>
          <w:sz w:val="24"/>
        </w:rPr>
        <w:t xml:space="preserve">You desire to estimate the construct that </w:t>
      </w:r>
      <w:r w:rsidR="000D52DB">
        <w:rPr>
          <w:rFonts w:ascii="Times New Roman" w:hAnsi="Times New Roman" w:cs="Times New Roman"/>
          <w:sz w:val="24"/>
        </w:rPr>
        <w:t xml:space="preserve">in class we termed </w:t>
      </w:r>
      <w:r>
        <w:rPr>
          <w:rFonts w:ascii="Times New Roman" w:hAnsi="Times New Roman" w:cs="Times New Roman"/>
          <w:sz w:val="24"/>
        </w:rPr>
        <w:t>“percent population attributable risk” as it relates to smoking (combining past smoking and current smoking) but you want to do this in terms of rates.  This is sometimes called “percent population attributable rate” or the “percent attributable rate in the population”.  Do you have all of the data you need to make the calculation?  What must be assumed to make a meaningful estimate?    Explain your answer.  (1 pt)</w:t>
      </w:r>
    </w:p>
    <w:p w14:paraId="3440B3A7" w14:textId="77777777" w:rsidR="00372A22" w:rsidRDefault="00372A22" w:rsidP="00F851DB">
      <w:pPr>
        <w:pStyle w:val="HTMLPreformatted"/>
        <w:tabs>
          <w:tab w:val="clear" w:pos="916"/>
          <w:tab w:val="clear" w:pos="1832"/>
          <w:tab w:val="left" w:pos="450"/>
        </w:tabs>
        <w:rPr>
          <w:rFonts w:ascii="Times New Roman" w:hAnsi="Times New Roman" w:cs="Times New Roman"/>
          <w:sz w:val="24"/>
        </w:rPr>
      </w:pPr>
    </w:p>
    <w:p w14:paraId="46369969" w14:textId="770272C5" w:rsidR="00820F0A" w:rsidRDefault="00820F0A">
      <w:pPr>
        <w:rPr>
          <w:rFonts w:eastAsia="Arial Unicode MS"/>
        </w:rPr>
      </w:pPr>
    </w:p>
    <w:tbl>
      <w:tblPr>
        <w:tblStyle w:val="TableGrid"/>
        <w:tblW w:w="0" w:type="auto"/>
        <w:tblLook w:val="04A0" w:firstRow="1" w:lastRow="0" w:firstColumn="1" w:lastColumn="0" w:noHBand="0" w:noVBand="1"/>
      </w:tblPr>
      <w:tblGrid>
        <w:gridCol w:w="9350"/>
      </w:tblGrid>
      <w:tr w:rsidR="00C0219D" w14:paraId="49743152" w14:textId="77777777" w:rsidTr="00C0219D">
        <w:tc>
          <w:tcPr>
            <w:tcW w:w="9350" w:type="dxa"/>
          </w:tcPr>
          <w:p w14:paraId="47996C3B" w14:textId="3AF41E26" w:rsidR="00C0219D" w:rsidRPr="00F851DB" w:rsidRDefault="00663679" w:rsidP="00C0219D">
            <w:pPr>
              <w:pStyle w:val="HTMLPreformatted"/>
              <w:tabs>
                <w:tab w:val="clear" w:pos="916"/>
                <w:tab w:val="clear" w:pos="1832"/>
                <w:tab w:val="left" w:pos="450"/>
              </w:tabs>
              <w:spacing w:before="120"/>
              <w:rPr>
                <w:rFonts w:ascii="Times New Roman" w:hAnsi="Times New Roman" w:cs="Times New Roman"/>
                <w:b/>
                <w:sz w:val="24"/>
              </w:rPr>
            </w:pPr>
            <w:r>
              <w:rPr>
                <w:rFonts w:ascii="Times New Roman" w:hAnsi="Times New Roman" w:cs="Times New Roman"/>
                <w:sz w:val="24"/>
              </w:rPr>
              <w:t>(e</w:t>
            </w:r>
            <w:r w:rsidR="00C0219D">
              <w:rPr>
                <w:rFonts w:ascii="Times New Roman" w:hAnsi="Times New Roman" w:cs="Times New Roman"/>
                <w:sz w:val="24"/>
              </w:rPr>
              <w:t>)</w:t>
            </w:r>
            <w:r w:rsidR="00C0219D">
              <w:rPr>
                <w:rFonts w:ascii="Times New Roman" w:hAnsi="Times New Roman" w:cs="Times New Roman"/>
                <w:sz w:val="24"/>
              </w:rPr>
              <w:tab/>
            </w:r>
            <w:r w:rsidR="00C0219D" w:rsidRPr="00F851DB">
              <w:rPr>
                <w:rFonts w:ascii="Times New Roman" w:hAnsi="Times New Roman" w:cs="Times New Roman"/>
                <w:b/>
                <w:sz w:val="24"/>
              </w:rPr>
              <w:t>FOR DISCUSSION IN SECTION ONLY</w:t>
            </w:r>
            <w:r w:rsidR="00C0219D">
              <w:rPr>
                <w:rFonts w:ascii="Times New Roman" w:hAnsi="Times New Roman" w:cs="Times New Roman"/>
                <w:b/>
                <w:sz w:val="24"/>
              </w:rPr>
              <w:t>:</w:t>
            </w:r>
          </w:p>
          <w:p w14:paraId="63D9DC30" w14:textId="77777777" w:rsidR="00C0219D" w:rsidRDefault="00C0219D" w:rsidP="00C0219D">
            <w:pPr>
              <w:pStyle w:val="HTMLPreformatted"/>
              <w:tabs>
                <w:tab w:val="clear" w:pos="916"/>
                <w:tab w:val="clear" w:pos="1832"/>
                <w:tab w:val="left" w:pos="450"/>
              </w:tabs>
              <w:ind w:left="450"/>
              <w:rPr>
                <w:rFonts w:ascii="Times New Roman" w:hAnsi="Times New Roman" w:cs="Times New Roman"/>
                <w:sz w:val="24"/>
              </w:rPr>
            </w:pPr>
            <w:r>
              <w:rPr>
                <w:rFonts w:ascii="Times New Roman" w:hAnsi="Times New Roman" w:cs="Times New Roman"/>
                <w:sz w:val="24"/>
              </w:rPr>
              <w:t>Another group of researchers is hypothesizing that exposure to pesticides might cause pancreatic cancer.  They are able to determine the concentration in blood of a variety of pesticides using stored serum samples from the cases.  Because no blood was drawn from the original controls (they were only administered questionnaires), the investigators assembled a new sample of controls from door-to-door random sampling of households in the San Francisco Bay Area in 2013.  They calculated an odds ratio and then claimed in their paper that this was an unbiased estimate of a rate ratio.  Do you agree with this claim?  Explain your response.</w:t>
            </w:r>
          </w:p>
          <w:p w14:paraId="03E37E62" w14:textId="77777777" w:rsidR="00C0219D" w:rsidRDefault="00C0219D" w:rsidP="00D764AF">
            <w:pPr>
              <w:pStyle w:val="HTMLPreformatted"/>
              <w:rPr>
                <w:rFonts w:ascii="Times New Roman" w:hAnsi="Times New Roman" w:cs="Times New Roman"/>
                <w:sz w:val="24"/>
              </w:rPr>
            </w:pPr>
          </w:p>
        </w:tc>
      </w:tr>
    </w:tbl>
    <w:p w14:paraId="5AB359FE" w14:textId="77777777" w:rsidR="00372A22" w:rsidRPr="00F851DB" w:rsidRDefault="00372A22" w:rsidP="00F851DB">
      <w:pPr>
        <w:pStyle w:val="HTMLPreformatted"/>
        <w:tabs>
          <w:tab w:val="clear" w:pos="916"/>
          <w:tab w:val="clear" w:pos="1832"/>
          <w:tab w:val="left" w:pos="450"/>
        </w:tabs>
        <w:rPr>
          <w:rFonts w:ascii="Times New Roman" w:hAnsi="Times New Roman" w:cs="Times New Roman"/>
          <w:sz w:val="24"/>
        </w:rPr>
      </w:pPr>
    </w:p>
    <w:p w14:paraId="035E0F34" w14:textId="7B0A4B18" w:rsidR="00372A22" w:rsidRPr="00E85862" w:rsidRDefault="00372A22" w:rsidP="00F9508D">
      <w:pPr>
        <w:tabs>
          <w:tab w:val="left" w:pos="360"/>
        </w:tabs>
        <w:autoSpaceDE w:val="0"/>
        <w:autoSpaceDN w:val="0"/>
        <w:adjustRightInd w:val="0"/>
        <w:ind w:left="360" w:hanging="360"/>
        <w:rPr>
          <w:szCs w:val="24"/>
        </w:rPr>
      </w:pPr>
      <w:r>
        <w:rPr>
          <w:szCs w:val="24"/>
        </w:rPr>
        <w:br w:type="page"/>
      </w:r>
      <w:r w:rsidRPr="00E85862">
        <w:rPr>
          <w:szCs w:val="24"/>
        </w:rPr>
        <w:lastRenderedPageBreak/>
        <w:t xml:space="preserve">6. </w:t>
      </w:r>
      <w:r w:rsidRPr="00E85862">
        <w:rPr>
          <w:szCs w:val="24"/>
        </w:rPr>
        <w:tab/>
        <w:t xml:space="preserve">Use the information in this abstract, part of the </w:t>
      </w:r>
      <w:r>
        <w:rPr>
          <w:szCs w:val="24"/>
        </w:rPr>
        <w:t>M</w:t>
      </w:r>
      <w:r w:rsidR="0095293A">
        <w:rPr>
          <w:szCs w:val="24"/>
        </w:rPr>
        <w:t>ethods section and T</w:t>
      </w:r>
      <w:r w:rsidRPr="00E85862">
        <w:rPr>
          <w:szCs w:val="24"/>
        </w:rPr>
        <w:t xml:space="preserve">able 1 from the paper </w:t>
      </w:r>
      <w:r w:rsidRPr="00E85862">
        <w:rPr>
          <w:i/>
          <w:szCs w:val="24"/>
        </w:rPr>
        <w:t>Risk and Protective Factors Among Patients with Methamphetamine Dependence: A Nested Case-Control Study</w:t>
      </w:r>
      <w:r w:rsidRPr="00E85862">
        <w:rPr>
          <w:szCs w:val="24"/>
        </w:rPr>
        <w:t xml:space="preserve"> to answer the questions that follow.</w:t>
      </w:r>
    </w:p>
    <w:p w14:paraId="4A79EE72" w14:textId="77777777" w:rsidR="00372A22" w:rsidRPr="00E85862" w:rsidRDefault="00372A22">
      <w:pPr>
        <w:autoSpaceDE w:val="0"/>
        <w:autoSpaceDN w:val="0"/>
        <w:adjustRightInd w:val="0"/>
        <w:rPr>
          <w:szCs w:val="24"/>
        </w:rPr>
      </w:pPr>
    </w:p>
    <w:p w14:paraId="42BD59DD" w14:textId="77777777" w:rsidR="00372A22" w:rsidRPr="00E85862" w:rsidRDefault="00372A22" w:rsidP="00882D12">
      <w:pPr>
        <w:autoSpaceDE w:val="0"/>
        <w:autoSpaceDN w:val="0"/>
        <w:adjustRightInd w:val="0"/>
        <w:ind w:left="360"/>
        <w:rPr>
          <w:sz w:val="20"/>
        </w:rPr>
      </w:pPr>
      <w:r w:rsidRPr="00E85862">
        <w:rPr>
          <w:b/>
          <w:sz w:val="20"/>
        </w:rPr>
        <w:t>Objective:</w:t>
      </w:r>
      <w:r w:rsidRPr="00E85862">
        <w:rPr>
          <w:sz w:val="20"/>
        </w:rPr>
        <w:t xml:space="preserve"> Methamphetamine as a recreational drug has undergone cycles of popularity, with a recent surge worldwide since the 1990s. This study aimed to identify clinical characteristics associated with suicide mortality in patients with methamphetamine dependence by means of a nested case-control design. </w:t>
      </w:r>
    </w:p>
    <w:p w14:paraId="752D53F1" w14:textId="77777777" w:rsidR="00372A22" w:rsidRPr="00E85862" w:rsidRDefault="00372A22" w:rsidP="00882D12">
      <w:pPr>
        <w:autoSpaceDE w:val="0"/>
        <w:autoSpaceDN w:val="0"/>
        <w:adjustRightInd w:val="0"/>
        <w:ind w:left="360"/>
        <w:rPr>
          <w:sz w:val="20"/>
        </w:rPr>
      </w:pPr>
      <w:r w:rsidRPr="00E85862">
        <w:rPr>
          <w:b/>
          <w:sz w:val="20"/>
        </w:rPr>
        <w:t>Method:</w:t>
      </w:r>
      <w:r w:rsidRPr="00E85862">
        <w:rPr>
          <w:sz w:val="20"/>
        </w:rPr>
        <w:t xml:space="preserve"> In a consecutive series of 1,480 inpatients with methamphetamine dependence (diagnosed according to DSM-III-R and DSM-IV criteria) admitted to a psychiatric center in northern Taiwan from January 1, 1990, through December 31, 2006, 38 deaths due to suicide were identified as cases via record linkage, and 76 controls were randomly selected using risk-set density sampling in a 2:1 ratio, matched for sex, and the year of index admission. A standardized chart review process was adopted to collate sociodemographic and clinical information for each study subject. Multivariate conditional logistic regression analysis was used to identify correlates of suicide among these patients.</w:t>
      </w:r>
    </w:p>
    <w:p w14:paraId="66FA2A87" w14:textId="77777777" w:rsidR="00372A22" w:rsidRPr="00E85862" w:rsidRDefault="00372A22" w:rsidP="00882D12">
      <w:pPr>
        <w:autoSpaceDE w:val="0"/>
        <w:autoSpaceDN w:val="0"/>
        <w:adjustRightInd w:val="0"/>
        <w:ind w:left="360"/>
        <w:rPr>
          <w:sz w:val="20"/>
        </w:rPr>
      </w:pPr>
      <w:r w:rsidRPr="00E85862">
        <w:rPr>
          <w:b/>
          <w:sz w:val="20"/>
        </w:rPr>
        <w:t>Results:</w:t>
      </w:r>
      <w:r w:rsidRPr="00E85862">
        <w:rPr>
          <w:sz w:val="20"/>
        </w:rPr>
        <w:t xml:space="preserve"> </w:t>
      </w:r>
      <w:r>
        <w:rPr>
          <w:sz w:val="20"/>
        </w:rPr>
        <w:t>Among</w:t>
      </w:r>
      <w:r w:rsidRPr="00E85862">
        <w:rPr>
          <w:sz w:val="20"/>
        </w:rPr>
        <w:t xml:space="preserve"> the sociodemographic and symptom </w:t>
      </w:r>
      <w:r>
        <w:rPr>
          <w:sz w:val="20"/>
        </w:rPr>
        <w:t xml:space="preserve">data </w:t>
      </w:r>
      <w:r w:rsidRPr="00E85862">
        <w:rPr>
          <w:sz w:val="20"/>
        </w:rPr>
        <w:t xml:space="preserve">collected </w:t>
      </w:r>
      <w:r>
        <w:rPr>
          <w:sz w:val="20"/>
        </w:rPr>
        <w:t xml:space="preserve">at </w:t>
      </w:r>
      <w:r w:rsidRPr="00E85862">
        <w:rPr>
          <w:sz w:val="20"/>
        </w:rPr>
        <w:t xml:space="preserve">admission, financial independence lowered the risk for suicide (adjusted risk ratio [ARR] = 0.33, P&lt; .05), whereas visual hallucinations elevated the risk (ARR = 2.57, P&lt;.05) for suicide. For the profiles during the postdischarge period, financial independence (ARR = 0.11, P&lt;.05) remained associated with reduced risk for suicide, whereas depressive syndrome (ARR = 3.28, P=.059) </w:t>
      </w:r>
      <w:r>
        <w:rPr>
          <w:sz w:val="20"/>
        </w:rPr>
        <w:t>was</w:t>
      </w:r>
      <w:r w:rsidRPr="00E85862">
        <w:rPr>
          <w:sz w:val="20"/>
        </w:rPr>
        <w:t xml:space="preserve"> associated with increased risk of suicide.</w:t>
      </w:r>
    </w:p>
    <w:p w14:paraId="263E5F20" w14:textId="77777777" w:rsidR="00372A22" w:rsidRPr="00E85862" w:rsidRDefault="00372A22" w:rsidP="00882D12">
      <w:pPr>
        <w:autoSpaceDE w:val="0"/>
        <w:autoSpaceDN w:val="0"/>
        <w:adjustRightInd w:val="0"/>
        <w:ind w:left="360"/>
        <w:rPr>
          <w:b/>
          <w:sz w:val="20"/>
        </w:rPr>
      </w:pPr>
      <w:r w:rsidRPr="00E85862">
        <w:rPr>
          <w:b/>
          <w:sz w:val="20"/>
        </w:rPr>
        <w:t>Conclusions:</w:t>
      </w:r>
      <w:r w:rsidRPr="00E85862">
        <w:rPr>
          <w:sz w:val="20"/>
        </w:rPr>
        <w:t xml:space="preserve"> Both protective and risk factors for suicide mortality were found among inpatients with methamphetamine dependence, and the findings have implications for clinical intervention and prevention.</w:t>
      </w:r>
    </w:p>
    <w:p w14:paraId="41D41F8C" w14:textId="77777777" w:rsidR="00372A22" w:rsidRPr="00E85862" w:rsidRDefault="00372A22">
      <w:pPr>
        <w:autoSpaceDE w:val="0"/>
        <w:autoSpaceDN w:val="0"/>
        <w:adjustRightInd w:val="0"/>
        <w:rPr>
          <w:szCs w:val="24"/>
        </w:rPr>
      </w:pPr>
    </w:p>
    <w:p w14:paraId="01CB1E4C" w14:textId="77777777" w:rsidR="00372A22" w:rsidRPr="00E85862" w:rsidRDefault="00372A22" w:rsidP="00276BC6">
      <w:pPr>
        <w:autoSpaceDE w:val="0"/>
        <w:autoSpaceDN w:val="0"/>
        <w:adjustRightInd w:val="0"/>
        <w:ind w:left="360"/>
        <w:rPr>
          <w:szCs w:val="24"/>
        </w:rPr>
      </w:pPr>
      <w:r w:rsidRPr="00E85862">
        <w:rPr>
          <w:szCs w:val="24"/>
        </w:rPr>
        <w:t xml:space="preserve">From the </w:t>
      </w:r>
      <w:r>
        <w:rPr>
          <w:szCs w:val="24"/>
        </w:rPr>
        <w:t>M</w:t>
      </w:r>
      <w:r w:rsidRPr="00E85862">
        <w:rPr>
          <w:szCs w:val="24"/>
        </w:rPr>
        <w:t>ethods section:</w:t>
      </w:r>
    </w:p>
    <w:p w14:paraId="6855F451" w14:textId="77777777" w:rsidR="00372A22" w:rsidRPr="00E85862" w:rsidRDefault="00372A22">
      <w:pPr>
        <w:autoSpaceDE w:val="0"/>
        <w:autoSpaceDN w:val="0"/>
        <w:adjustRightInd w:val="0"/>
        <w:rPr>
          <w:szCs w:val="24"/>
        </w:rPr>
      </w:pPr>
    </w:p>
    <w:p w14:paraId="448AB5CC" w14:textId="77777777" w:rsidR="00372A22" w:rsidRPr="00E85862" w:rsidRDefault="00372A22" w:rsidP="00882D12">
      <w:pPr>
        <w:autoSpaceDE w:val="0"/>
        <w:autoSpaceDN w:val="0"/>
        <w:adjustRightInd w:val="0"/>
        <w:ind w:left="360"/>
        <w:rPr>
          <w:b/>
          <w:sz w:val="20"/>
        </w:rPr>
      </w:pPr>
      <w:r w:rsidRPr="00E85862">
        <w:rPr>
          <w:b/>
          <w:sz w:val="20"/>
        </w:rPr>
        <w:t>Study Population</w:t>
      </w:r>
    </w:p>
    <w:p w14:paraId="186D32F2" w14:textId="77777777" w:rsidR="00372A22" w:rsidRPr="00E85862" w:rsidRDefault="00372A22" w:rsidP="00882D12">
      <w:pPr>
        <w:autoSpaceDE w:val="0"/>
        <w:autoSpaceDN w:val="0"/>
        <w:adjustRightInd w:val="0"/>
        <w:ind w:left="360"/>
        <w:rPr>
          <w:sz w:val="20"/>
        </w:rPr>
      </w:pPr>
      <w:r w:rsidRPr="00E85862">
        <w:rPr>
          <w:sz w:val="20"/>
        </w:rPr>
        <w:t xml:space="preserve">A consecutive series of 1,480 inpatients with methamphetamine dependence who were admitted to Taipei City Psychiatric Center, which is designated as a psychiatric service center for northern Taiwan, from January 1, 1990, through December 31, 2006, were enrolled as the retrospective cohort for this study. The inclusion criterion for the study was a principal psychiatric diagnosis of methamphetamine dependence according to the criteria of the </w:t>
      </w:r>
      <w:r w:rsidRPr="00E85862">
        <w:rPr>
          <w:i/>
          <w:sz w:val="20"/>
        </w:rPr>
        <w:t>Diagnostic and Statistical Manual of Mental Disorders</w:t>
      </w:r>
      <w:r w:rsidRPr="00E85862">
        <w:rPr>
          <w:sz w:val="20"/>
        </w:rPr>
        <w:t xml:space="preserve">, Third Edition, Revised </w:t>
      </w:r>
      <w:r w:rsidRPr="00E85862">
        <w:rPr>
          <w:i/>
          <w:sz w:val="20"/>
        </w:rPr>
        <w:t>(DSM-III-R)</w:t>
      </w:r>
      <w:r w:rsidRPr="00E85862">
        <w:rPr>
          <w:sz w:val="20"/>
        </w:rPr>
        <w:t xml:space="preserve">, and Fourth Edition </w:t>
      </w:r>
      <w:r w:rsidRPr="00E85862">
        <w:rPr>
          <w:i/>
          <w:sz w:val="20"/>
        </w:rPr>
        <w:t>(DSM-IV)</w:t>
      </w:r>
      <w:r w:rsidRPr="00E85862">
        <w:rPr>
          <w:sz w:val="20"/>
        </w:rPr>
        <w:t xml:space="preserve">. We retrieved the diagnosis made by a senior in-charge board-certified psychiatrist who had reviewed several types of clinical information on each inpatient during each admission, including that of a comprehensive evaluation by a multidisciplinary team and a positive urine test for methamphetamine use shortly before hospitalization. Exclusion criteria were a history of psychosis before methamphetamine use and a possible relationship between psychotic symptoms and psychedelic substance or substances other than methamphetamine. Opportunistic methamphetamine users, those who had used the drug less than 20 times in the past year, were also excluded. All of the board-certified psychiatrists who participated in this study received their residency training at Taipei City Psychiatric Center and demonstrated satisfactory reliability in making psychiatric diagnoses. </w:t>
      </w:r>
    </w:p>
    <w:p w14:paraId="30482D9B" w14:textId="77777777" w:rsidR="00372A22" w:rsidRPr="00E85862" w:rsidRDefault="00372A22" w:rsidP="00882D12">
      <w:pPr>
        <w:autoSpaceDE w:val="0"/>
        <w:autoSpaceDN w:val="0"/>
        <w:adjustRightInd w:val="0"/>
        <w:ind w:left="360"/>
        <w:rPr>
          <w:b/>
          <w:sz w:val="20"/>
        </w:rPr>
      </w:pPr>
    </w:p>
    <w:p w14:paraId="5C0A55EB" w14:textId="77777777" w:rsidR="00372A22" w:rsidRPr="00E85862" w:rsidRDefault="00372A22" w:rsidP="00882D12">
      <w:pPr>
        <w:autoSpaceDE w:val="0"/>
        <w:autoSpaceDN w:val="0"/>
        <w:adjustRightInd w:val="0"/>
        <w:ind w:left="360"/>
        <w:rPr>
          <w:sz w:val="20"/>
        </w:rPr>
      </w:pPr>
      <w:r w:rsidRPr="00E85862">
        <w:rPr>
          <w:b/>
          <w:sz w:val="20"/>
        </w:rPr>
        <w:t>Case Ascertainment and Control Selection</w:t>
      </w:r>
    </w:p>
    <w:p w14:paraId="138F0492" w14:textId="77777777" w:rsidR="00372A22" w:rsidRPr="00E85862" w:rsidRDefault="00372A22" w:rsidP="00882D12">
      <w:pPr>
        <w:autoSpaceDE w:val="0"/>
        <w:autoSpaceDN w:val="0"/>
        <w:adjustRightInd w:val="0"/>
        <w:ind w:left="360"/>
        <w:rPr>
          <w:sz w:val="20"/>
        </w:rPr>
      </w:pPr>
      <w:r w:rsidRPr="00E85862">
        <w:rPr>
          <w:sz w:val="20"/>
        </w:rPr>
        <w:t xml:space="preserve">The unique national identification number for each citizen in Taiwan was used as an identifier in the linking process to search for deceased subjects. Each cohort member was electronically linked against databases from the Death Certification System of the Taiwan Department of Health issued from January 1, 1990, through December 31, 2006, and 127 deaths were identified. Of these, 79 were unnatural deaths and 48 were natural deaths. Of the unnatural deaths, 38 were suicides, and the rest were either accidental deaths (n=25) or of undetermined cause (n=16). </w:t>
      </w:r>
    </w:p>
    <w:p w14:paraId="70AF139A" w14:textId="77777777" w:rsidR="00372A22" w:rsidRPr="00E85862" w:rsidRDefault="00372A22" w:rsidP="00882D12">
      <w:pPr>
        <w:autoSpaceDE w:val="0"/>
        <w:autoSpaceDN w:val="0"/>
        <w:adjustRightInd w:val="0"/>
        <w:ind w:left="360"/>
        <w:rPr>
          <w:sz w:val="20"/>
        </w:rPr>
      </w:pPr>
    </w:p>
    <w:p w14:paraId="078FEE7D" w14:textId="77777777" w:rsidR="00372A22" w:rsidRPr="00E85862" w:rsidRDefault="00372A22" w:rsidP="00882D12">
      <w:pPr>
        <w:autoSpaceDE w:val="0"/>
        <w:autoSpaceDN w:val="0"/>
        <w:adjustRightInd w:val="0"/>
        <w:ind w:left="360"/>
        <w:rPr>
          <w:sz w:val="20"/>
        </w:rPr>
      </w:pPr>
      <w:r w:rsidRPr="00E85862">
        <w:rPr>
          <w:sz w:val="20"/>
        </w:rPr>
        <w:t>Using the deceased subjects as cases, we conducted a nested case-control study among the cohort (n=1,480) using risk-set sampling (i.e., incidence density sampling) for controls. To obtain an unbiased estimate of the risk ratio, controls were selected randomly from subjects who were alive at the time of death of each new case in a 2:1 ratio matched for sex, and the year of index admission. Cases that were identified later during the follow-up were eligible to serve as controls for earlier cases. During the study period, 2 subjects were first selected as controls and later became cases, while another 2 controls were selected twice for the analysis.</w:t>
      </w:r>
    </w:p>
    <w:p w14:paraId="37BCE87C" w14:textId="77777777" w:rsidR="00372A22" w:rsidRDefault="00372A22" w:rsidP="006D76AB">
      <w:pPr>
        <w:autoSpaceDE w:val="0"/>
        <w:autoSpaceDN w:val="0"/>
        <w:adjustRightInd w:val="0"/>
        <w:ind w:left="600" w:right="1440"/>
        <w:rPr>
          <w:b/>
          <w:szCs w:val="24"/>
        </w:rPr>
      </w:pPr>
      <w:r w:rsidRPr="00E85862">
        <w:rPr>
          <w:b/>
          <w:szCs w:val="24"/>
        </w:rPr>
        <w:lastRenderedPageBreak/>
        <w:t xml:space="preserve">Table 1. Sociodemographic Characteristics of Suicides and Living </w:t>
      </w:r>
    </w:p>
    <w:p w14:paraId="652FA3ED" w14:textId="77777777" w:rsidR="00372A22" w:rsidRPr="00E85862" w:rsidRDefault="00372A22" w:rsidP="006D76AB">
      <w:pPr>
        <w:autoSpaceDE w:val="0"/>
        <w:autoSpaceDN w:val="0"/>
        <w:adjustRightInd w:val="0"/>
        <w:ind w:left="600" w:right="270"/>
        <w:rPr>
          <w:b/>
          <w:szCs w:val="24"/>
        </w:rPr>
      </w:pPr>
      <w:r>
        <w:rPr>
          <w:b/>
          <w:szCs w:val="24"/>
        </w:rPr>
        <w:t xml:space="preserve">               </w:t>
      </w:r>
      <w:r w:rsidRPr="00E85862">
        <w:rPr>
          <w:b/>
          <w:szCs w:val="24"/>
        </w:rPr>
        <w:t>Controls Among Patients with Methamphetamine Dependence (</w:t>
      </w:r>
      <w:r>
        <w:rPr>
          <w:b/>
          <w:szCs w:val="24"/>
        </w:rPr>
        <w:t>n</w:t>
      </w:r>
      <w:r w:rsidRPr="00E85862">
        <w:rPr>
          <w:b/>
          <w:szCs w:val="24"/>
        </w:rPr>
        <w:t>=114)</w:t>
      </w:r>
    </w:p>
    <w:tbl>
      <w:tblPr>
        <w:tblW w:w="495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1530"/>
      </w:tblGrid>
      <w:tr w:rsidR="00372A22" w:rsidRPr="00D267D1" w14:paraId="16816D6A" w14:textId="77777777" w:rsidTr="00E01459">
        <w:trPr>
          <w:trHeight w:val="770"/>
        </w:trPr>
        <w:tc>
          <w:tcPr>
            <w:tcW w:w="3429" w:type="dxa"/>
          </w:tcPr>
          <w:p w14:paraId="6FB0B4DB" w14:textId="77777777" w:rsidR="00372A22" w:rsidRPr="00D267D1" w:rsidRDefault="00372A22" w:rsidP="00E01459">
            <w:pPr>
              <w:autoSpaceDE w:val="0"/>
              <w:autoSpaceDN w:val="0"/>
              <w:adjustRightInd w:val="0"/>
              <w:ind w:right="-79"/>
              <w:rPr>
                <w:szCs w:val="24"/>
              </w:rPr>
            </w:pPr>
          </w:p>
          <w:p w14:paraId="691715C4" w14:textId="77777777" w:rsidR="00372A22" w:rsidRPr="00D267D1" w:rsidRDefault="00372A22" w:rsidP="00E01459">
            <w:pPr>
              <w:autoSpaceDE w:val="0"/>
              <w:autoSpaceDN w:val="0"/>
              <w:adjustRightInd w:val="0"/>
              <w:ind w:right="-79"/>
              <w:rPr>
                <w:szCs w:val="24"/>
              </w:rPr>
            </w:pPr>
          </w:p>
          <w:p w14:paraId="35AAE2BC" w14:textId="77777777" w:rsidR="00372A22" w:rsidRPr="00D267D1" w:rsidRDefault="00372A22" w:rsidP="00E01459">
            <w:pPr>
              <w:autoSpaceDE w:val="0"/>
              <w:autoSpaceDN w:val="0"/>
              <w:adjustRightInd w:val="0"/>
              <w:ind w:right="-79"/>
              <w:rPr>
                <w:szCs w:val="24"/>
              </w:rPr>
            </w:pPr>
            <w:r w:rsidRPr="00D267D1">
              <w:rPr>
                <w:szCs w:val="24"/>
              </w:rPr>
              <w:t>Characteristic</w:t>
            </w:r>
          </w:p>
        </w:tc>
        <w:tc>
          <w:tcPr>
            <w:tcW w:w="1530" w:type="dxa"/>
          </w:tcPr>
          <w:p w14:paraId="77C91AAA" w14:textId="77777777" w:rsidR="00372A22" w:rsidRPr="00D267D1" w:rsidRDefault="00372A22" w:rsidP="00E01459">
            <w:pPr>
              <w:tabs>
                <w:tab w:val="left" w:pos="2415"/>
              </w:tabs>
              <w:autoSpaceDE w:val="0"/>
              <w:autoSpaceDN w:val="0"/>
              <w:adjustRightInd w:val="0"/>
              <w:rPr>
                <w:b/>
                <w:szCs w:val="24"/>
              </w:rPr>
            </w:pPr>
            <w:r w:rsidRPr="00D267D1">
              <w:rPr>
                <w:b/>
                <w:szCs w:val="24"/>
              </w:rPr>
              <w:t xml:space="preserve">Risk </w:t>
            </w:r>
          </w:p>
          <w:p w14:paraId="7910D9D3" w14:textId="77777777" w:rsidR="00372A22" w:rsidRPr="00D267D1" w:rsidRDefault="00372A22" w:rsidP="00E01459">
            <w:pPr>
              <w:tabs>
                <w:tab w:val="left" w:pos="2415"/>
              </w:tabs>
              <w:autoSpaceDE w:val="0"/>
              <w:autoSpaceDN w:val="0"/>
              <w:adjustRightInd w:val="0"/>
              <w:rPr>
                <w:b/>
                <w:szCs w:val="24"/>
              </w:rPr>
            </w:pPr>
            <w:r w:rsidRPr="00D267D1">
              <w:rPr>
                <w:b/>
                <w:szCs w:val="24"/>
              </w:rPr>
              <w:t>Ratio</w:t>
            </w:r>
            <w:r w:rsidRPr="00D267D1">
              <w:rPr>
                <w:b/>
                <w:szCs w:val="24"/>
                <w:vertAlign w:val="superscript"/>
              </w:rPr>
              <w:t>#</w:t>
            </w:r>
          </w:p>
        </w:tc>
      </w:tr>
      <w:tr w:rsidR="00372A22" w:rsidRPr="00D267D1" w14:paraId="7D5C0F54" w14:textId="77777777" w:rsidTr="00E01459">
        <w:tc>
          <w:tcPr>
            <w:tcW w:w="3429" w:type="dxa"/>
          </w:tcPr>
          <w:p w14:paraId="7E4F356D" w14:textId="77777777" w:rsidR="00372A22" w:rsidRPr="00D267D1" w:rsidRDefault="00372A22" w:rsidP="00E01459">
            <w:pPr>
              <w:autoSpaceDE w:val="0"/>
              <w:autoSpaceDN w:val="0"/>
              <w:adjustRightInd w:val="0"/>
              <w:ind w:right="411"/>
              <w:rPr>
                <w:szCs w:val="24"/>
              </w:rPr>
            </w:pPr>
            <w:r w:rsidRPr="00D267D1">
              <w:rPr>
                <w:szCs w:val="24"/>
              </w:rPr>
              <w:t>Age</w:t>
            </w:r>
            <w:r>
              <w:rPr>
                <w:szCs w:val="24"/>
              </w:rPr>
              <w:t>*</w:t>
            </w:r>
          </w:p>
        </w:tc>
        <w:tc>
          <w:tcPr>
            <w:tcW w:w="1530" w:type="dxa"/>
          </w:tcPr>
          <w:p w14:paraId="3FC18019" w14:textId="77777777" w:rsidR="00372A22" w:rsidRPr="00D267D1" w:rsidRDefault="00372A22" w:rsidP="00E01459">
            <w:pPr>
              <w:tabs>
                <w:tab w:val="left" w:pos="2415"/>
              </w:tabs>
              <w:autoSpaceDE w:val="0"/>
              <w:autoSpaceDN w:val="0"/>
              <w:adjustRightInd w:val="0"/>
              <w:rPr>
                <w:szCs w:val="24"/>
              </w:rPr>
            </w:pPr>
            <w:r w:rsidRPr="00D267D1">
              <w:rPr>
                <w:szCs w:val="24"/>
              </w:rPr>
              <w:t>0.99</w:t>
            </w:r>
          </w:p>
        </w:tc>
      </w:tr>
      <w:tr w:rsidR="00372A22" w:rsidRPr="00D267D1" w14:paraId="30D3BDFF" w14:textId="77777777" w:rsidTr="00E01459">
        <w:tc>
          <w:tcPr>
            <w:tcW w:w="3429" w:type="dxa"/>
          </w:tcPr>
          <w:p w14:paraId="4FC4F7F6" w14:textId="77777777" w:rsidR="00372A22" w:rsidRPr="00D267D1" w:rsidRDefault="00372A22" w:rsidP="00E01459">
            <w:pPr>
              <w:tabs>
                <w:tab w:val="left" w:pos="3162"/>
              </w:tabs>
              <w:autoSpaceDE w:val="0"/>
              <w:autoSpaceDN w:val="0"/>
              <w:adjustRightInd w:val="0"/>
              <w:ind w:right="51"/>
              <w:rPr>
                <w:szCs w:val="24"/>
              </w:rPr>
            </w:pPr>
            <w:r w:rsidRPr="00D267D1">
              <w:rPr>
                <w:szCs w:val="24"/>
              </w:rPr>
              <w:t>Age at first methamphetamine use</w:t>
            </w:r>
          </w:p>
        </w:tc>
        <w:tc>
          <w:tcPr>
            <w:tcW w:w="1530" w:type="dxa"/>
          </w:tcPr>
          <w:p w14:paraId="52696851" w14:textId="77777777" w:rsidR="00372A22" w:rsidRPr="00D267D1" w:rsidRDefault="00372A22" w:rsidP="00E01459">
            <w:pPr>
              <w:tabs>
                <w:tab w:val="left" w:pos="2415"/>
              </w:tabs>
              <w:autoSpaceDE w:val="0"/>
              <w:autoSpaceDN w:val="0"/>
              <w:adjustRightInd w:val="0"/>
              <w:rPr>
                <w:szCs w:val="24"/>
              </w:rPr>
            </w:pPr>
            <w:r w:rsidRPr="00D267D1">
              <w:rPr>
                <w:szCs w:val="24"/>
              </w:rPr>
              <w:t>0.98</w:t>
            </w:r>
          </w:p>
        </w:tc>
      </w:tr>
      <w:tr w:rsidR="00372A22" w:rsidRPr="00D267D1" w14:paraId="438ED243" w14:textId="77777777" w:rsidTr="00E01459">
        <w:tc>
          <w:tcPr>
            <w:tcW w:w="3429" w:type="dxa"/>
          </w:tcPr>
          <w:p w14:paraId="462CBFEB" w14:textId="77777777" w:rsidR="00372A22" w:rsidRPr="00D267D1" w:rsidRDefault="00372A22" w:rsidP="00E01459">
            <w:pPr>
              <w:autoSpaceDE w:val="0"/>
              <w:autoSpaceDN w:val="0"/>
              <w:adjustRightInd w:val="0"/>
              <w:ind w:right="411"/>
              <w:rPr>
                <w:szCs w:val="24"/>
              </w:rPr>
            </w:pPr>
            <w:r w:rsidRPr="00D267D1">
              <w:rPr>
                <w:szCs w:val="24"/>
              </w:rPr>
              <w:t>Married*</w:t>
            </w:r>
          </w:p>
        </w:tc>
        <w:tc>
          <w:tcPr>
            <w:tcW w:w="1530" w:type="dxa"/>
          </w:tcPr>
          <w:p w14:paraId="3DCB83DF" w14:textId="77777777" w:rsidR="00372A22" w:rsidRPr="00D267D1" w:rsidRDefault="00372A22" w:rsidP="00E01459">
            <w:pPr>
              <w:tabs>
                <w:tab w:val="left" w:pos="2415"/>
              </w:tabs>
              <w:autoSpaceDE w:val="0"/>
              <w:autoSpaceDN w:val="0"/>
              <w:adjustRightInd w:val="0"/>
              <w:rPr>
                <w:szCs w:val="24"/>
              </w:rPr>
            </w:pPr>
            <w:r w:rsidRPr="00D267D1">
              <w:rPr>
                <w:szCs w:val="24"/>
              </w:rPr>
              <w:t>0.73</w:t>
            </w:r>
          </w:p>
        </w:tc>
      </w:tr>
      <w:tr w:rsidR="00372A22" w:rsidRPr="00D267D1" w14:paraId="0A3FBCE8" w14:textId="77777777" w:rsidTr="00E01459">
        <w:tc>
          <w:tcPr>
            <w:tcW w:w="3429" w:type="dxa"/>
          </w:tcPr>
          <w:p w14:paraId="59251C6B" w14:textId="77777777" w:rsidR="00372A22" w:rsidRPr="00D267D1" w:rsidRDefault="00372A22" w:rsidP="00E01459">
            <w:pPr>
              <w:autoSpaceDE w:val="0"/>
              <w:autoSpaceDN w:val="0"/>
              <w:adjustRightInd w:val="0"/>
              <w:ind w:right="411"/>
              <w:rPr>
                <w:szCs w:val="24"/>
              </w:rPr>
            </w:pPr>
            <w:r w:rsidRPr="00D267D1">
              <w:rPr>
                <w:szCs w:val="24"/>
              </w:rPr>
              <w:t>Living with family*</w:t>
            </w:r>
          </w:p>
        </w:tc>
        <w:tc>
          <w:tcPr>
            <w:tcW w:w="1530" w:type="dxa"/>
          </w:tcPr>
          <w:p w14:paraId="7FC02B08" w14:textId="77777777" w:rsidR="00372A22" w:rsidRPr="00D267D1" w:rsidRDefault="00372A22" w:rsidP="00E01459">
            <w:pPr>
              <w:tabs>
                <w:tab w:val="left" w:pos="2415"/>
              </w:tabs>
              <w:autoSpaceDE w:val="0"/>
              <w:autoSpaceDN w:val="0"/>
              <w:adjustRightInd w:val="0"/>
              <w:rPr>
                <w:szCs w:val="24"/>
              </w:rPr>
            </w:pPr>
            <w:r w:rsidRPr="00D267D1">
              <w:rPr>
                <w:szCs w:val="24"/>
              </w:rPr>
              <w:t>1.23</w:t>
            </w:r>
          </w:p>
        </w:tc>
      </w:tr>
      <w:tr w:rsidR="00372A22" w:rsidRPr="00D267D1" w14:paraId="3D498CC4" w14:textId="77777777" w:rsidTr="00E01459">
        <w:tc>
          <w:tcPr>
            <w:tcW w:w="3429" w:type="dxa"/>
          </w:tcPr>
          <w:p w14:paraId="4A3ED271" w14:textId="77777777" w:rsidR="00372A22" w:rsidRPr="00D267D1" w:rsidRDefault="00372A22" w:rsidP="00E01459">
            <w:pPr>
              <w:autoSpaceDE w:val="0"/>
              <w:autoSpaceDN w:val="0"/>
              <w:adjustRightInd w:val="0"/>
              <w:ind w:right="411"/>
              <w:rPr>
                <w:szCs w:val="24"/>
              </w:rPr>
            </w:pPr>
            <w:r w:rsidRPr="00D267D1">
              <w:rPr>
                <w:szCs w:val="24"/>
              </w:rPr>
              <w:t>Education &gt;= 12 years*</w:t>
            </w:r>
          </w:p>
        </w:tc>
        <w:tc>
          <w:tcPr>
            <w:tcW w:w="1530" w:type="dxa"/>
          </w:tcPr>
          <w:p w14:paraId="671C21CC" w14:textId="77777777" w:rsidR="00372A22" w:rsidRPr="00D267D1" w:rsidRDefault="00372A22" w:rsidP="00E01459">
            <w:pPr>
              <w:tabs>
                <w:tab w:val="left" w:pos="2415"/>
              </w:tabs>
              <w:autoSpaceDE w:val="0"/>
              <w:autoSpaceDN w:val="0"/>
              <w:adjustRightInd w:val="0"/>
              <w:rPr>
                <w:szCs w:val="24"/>
              </w:rPr>
            </w:pPr>
            <w:r w:rsidRPr="00D267D1">
              <w:rPr>
                <w:szCs w:val="24"/>
              </w:rPr>
              <w:t>0.56</w:t>
            </w:r>
          </w:p>
        </w:tc>
      </w:tr>
    </w:tbl>
    <w:p w14:paraId="49AA0622" w14:textId="77777777" w:rsidR="00372A22" w:rsidRPr="00034FEA" w:rsidRDefault="00372A22" w:rsidP="006D76AB">
      <w:pPr>
        <w:autoSpaceDE w:val="0"/>
        <w:autoSpaceDN w:val="0"/>
        <w:adjustRightInd w:val="0"/>
        <w:ind w:right="1440"/>
        <w:rPr>
          <w:i/>
          <w:sz w:val="20"/>
        </w:rPr>
      </w:pPr>
      <w:r w:rsidRPr="00034FEA">
        <w:rPr>
          <w:b/>
          <w:i/>
          <w:sz w:val="20"/>
        </w:rPr>
        <w:tab/>
      </w:r>
      <w:r w:rsidRPr="00034FEA">
        <w:rPr>
          <w:i/>
          <w:sz w:val="20"/>
          <w:vertAlign w:val="superscript"/>
        </w:rPr>
        <w:t>#</w:t>
      </w:r>
      <w:r w:rsidRPr="00034FEA">
        <w:rPr>
          <w:i/>
          <w:sz w:val="20"/>
        </w:rPr>
        <w:t xml:space="preserve"> Estimated using unadjusted conditional logistic regression.</w:t>
      </w:r>
    </w:p>
    <w:p w14:paraId="1ABA1268" w14:textId="77777777" w:rsidR="00372A22" w:rsidRDefault="00372A22" w:rsidP="006D76AB">
      <w:pPr>
        <w:autoSpaceDE w:val="0"/>
        <w:autoSpaceDN w:val="0"/>
        <w:adjustRightInd w:val="0"/>
        <w:ind w:right="1440"/>
        <w:rPr>
          <w:i/>
          <w:sz w:val="20"/>
        </w:rPr>
      </w:pPr>
      <w:r w:rsidRPr="00034FEA">
        <w:rPr>
          <w:i/>
          <w:sz w:val="20"/>
        </w:rPr>
        <w:tab/>
        <w:t>* At index admission.</w:t>
      </w:r>
    </w:p>
    <w:p w14:paraId="6F60E144" w14:textId="77777777" w:rsidR="001954B2" w:rsidRPr="00034FEA" w:rsidRDefault="001954B2" w:rsidP="006D76AB">
      <w:pPr>
        <w:autoSpaceDE w:val="0"/>
        <w:autoSpaceDN w:val="0"/>
        <w:adjustRightInd w:val="0"/>
        <w:ind w:right="1440"/>
        <w:rPr>
          <w:i/>
          <w:sz w:val="20"/>
        </w:rPr>
      </w:pPr>
    </w:p>
    <w:p w14:paraId="72AEE476" w14:textId="77777777" w:rsidR="00372A22" w:rsidRPr="00E85862" w:rsidRDefault="00372A22" w:rsidP="00101FE4">
      <w:pPr>
        <w:autoSpaceDE w:val="0"/>
        <w:autoSpaceDN w:val="0"/>
        <w:adjustRightInd w:val="0"/>
        <w:ind w:left="360" w:hanging="360"/>
        <w:rPr>
          <w:szCs w:val="24"/>
        </w:rPr>
      </w:pPr>
      <w:r w:rsidRPr="00E85862">
        <w:rPr>
          <w:szCs w:val="24"/>
        </w:rPr>
        <w:t>(</w:t>
      </w:r>
      <w:r>
        <w:rPr>
          <w:szCs w:val="24"/>
        </w:rPr>
        <w:t>a</w:t>
      </w:r>
      <w:r w:rsidRPr="00E85862">
        <w:rPr>
          <w:szCs w:val="24"/>
        </w:rPr>
        <w:t xml:space="preserve">) </w:t>
      </w:r>
      <w:r w:rsidRPr="00E85862">
        <w:rPr>
          <w:szCs w:val="24"/>
        </w:rPr>
        <w:tab/>
      </w:r>
      <w:r>
        <w:rPr>
          <w:szCs w:val="24"/>
        </w:rPr>
        <w:t xml:space="preserve">The authors reported risk ratios.  Are their reported data unbiased estimates of risk ratios?  Is it </w:t>
      </w:r>
      <w:r w:rsidR="00AD7B5B">
        <w:rPr>
          <w:szCs w:val="24"/>
        </w:rPr>
        <w:t xml:space="preserve">acceptable </w:t>
      </w:r>
      <w:r>
        <w:rPr>
          <w:szCs w:val="24"/>
        </w:rPr>
        <w:t xml:space="preserve">to report risk ratios?   Explain your answers.  </w:t>
      </w:r>
      <w:r w:rsidRPr="00E85862">
        <w:rPr>
          <w:szCs w:val="24"/>
        </w:rPr>
        <w:t xml:space="preserve">(1 pt)   </w:t>
      </w:r>
    </w:p>
    <w:p w14:paraId="3A7F7F53" w14:textId="77777777" w:rsidR="00372A22" w:rsidRPr="00E85862" w:rsidRDefault="00372A22" w:rsidP="00101FE4">
      <w:pPr>
        <w:tabs>
          <w:tab w:val="left" w:pos="360"/>
        </w:tabs>
        <w:autoSpaceDE w:val="0"/>
        <w:autoSpaceDN w:val="0"/>
        <w:adjustRightInd w:val="0"/>
        <w:ind w:left="360"/>
        <w:rPr>
          <w:szCs w:val="24"/>
        </w:rPr>
      </w:pPr>
    </w:p>
    <w:p w14:paraId="38D6CB18" w14:textId="77777777" w:rsidR="00D764AF" w:rsidRDefault="00D764AF" w:rsidP="00101FE4">
      <w:pPr>
        <w:autoSpaceDE w:val="0"/>
        <w:autoSpaceDN w:val="0"/>
        <w:adjustRightInd w:val="0"/>
        <w:ind w:left="360" w:hanging="360"/>
        <w:rPr>
          <w:szCs w:val="24"/>
        </w:rPr>
      </w:pPr>
    </w:p>
    <w:p w14:paraId="034CCE27" w14:textId="33ED7CBA" w:rsidR="00372A22" w:rsidRPr="00E85862" w:rsidRDefault="00372A22" w:rsidP="00101FE4">
      <w:pPr>
        <w:autoSpaceDE w:val="0"/>
        <w:autoSpaceDN w:val="0"/>
        <w:adjustRightInd w:val="0"/>
        <w:ind w:left="360" w:hanging="360"/>
        <w:rPr>
          <w:szCs w:val="24"/>
        </w:rPr>
      </w:pPr>
      <w:r w:rsidRPr="00E85862">
        <w:rPr>
          <w:szCs w:val="24"/>
        </w:rPr>
        <w:t>(</w:t>
      </w:r>
      <w:r>
        <w:rPr>
          <w:szCs w:val="24"/>
        </w:rPr>
        <w:t>b</w:t>
      </w:r>
      <w:r w:rsidRPr="00E85862">
        <w:rPr>
          <w:szCs w:val="24"/>
        </w:rPr>
        <w:t xml:space="preserve">) </w:t>
      </w:r>
      <w:r w:rsidRPr="00E85862">
        <w:rPr>
          <w:szCs w:val="24"/>
        </w:rPr>
        <w:tab/>
      </w:r>
      <w:r>
        <w:rPr>
          <w:szCs w:val="24"/>
        </w:rPr>
        <w:t>Can you determine the numeric measure of association between age and suicide?  If so, s</w:t>
      </w:r>
      <w:r w:rsidRPr="00E85862">
        <w:rPr>
          <w:szCs w:val="24"/>
        </w:rPr>
        <w:t xml:space="preserve">tate in a crisply worded sentence the numeric association between age and suicide?  Note: assume that all the estimates shown are statistically significant.  (1 pt)  </w:t>
      </w:r>
    </w:p>
    <w:p w14:paraId="348D61B8" w14:textId="77777777" w:rsidR="00372A22" w:rsidRPr="00E85862" w:rsidRDefault="00372A22" w:rsidP="005A15AA">
      <w:pPr>
        <w:autoSpaceDE w:val="0"/>
        <w:autoSpaceDN w:val="0"/>
        <w:adjustRightInd w:val="0"/>
        <w:rPr>
          <w:szCs w:val="24"/>
        </w:rPr>
      </w:pPr>
    </w:p>
    <w:p w14:paraId="07F743B7" w14:textId="77777777" w:rsidR="00D764AF" w:rsidRDefault="00D764AF" w:rsidP="00101FE4">
      <w:pPr>
        <w:autoSpaceDE w:val="0"/>
        <w:autoSpaceDN w:val="0"/>
        <w:adjustRightInd w:val="0"/>
        <w:ind w:left="360" w:hanging="360"/>
        <w:rPr>
          <w:szCs w:val="24"/>
        </w:rPr>
      </w:pPr>
    </w:p>
    <w:p w14:paraId="71CB0E73" w14:textId="0034E30E" w:rsidR="00372A22" w:rsidRPr="00E85862" w:rsidRDefault="00372A22" w:rsidP="00101FE4">
      <w:pPr>
        <w:autoSpaceDE w:val="0"/>
        <w:autoSpaceDN w:val="0"/>
        <w:adjustRightInd w:val="0"/>
        <w:ind w:left="360" w:hanging="360"/>
        <w:rPr>
          <w:szCs w:val="24"/>
        </w:rPr>
      </w:pPr>
      <w:r w:rsidRPr="00E85862">
        <w:rPr>
          <w:szCs w:val="24"/>
        </w:rPr>
        <w:t>(</w:t>
      </w:r>
      <w:r>
        <w:rPr>
          <w:szCs w:val="24"/>
        </w:rPr>
        <w:t>c</w:t>
      </w:r>
      <w:r w:rsidRPr="00E85862">
        <w:rPr>
          <w:szCs w:val="24"/>
        </w:rPr>
        <w:t xml:space="preserve">) </w:t>
      </w:r>
      <w:r w:rsidRPr="00E85862">
        <w:rPr>
          <w:szCs w:val="24"/>
        </w:rPr>
        <w:tab/>
      </w:r>
      <w:r>
        <w:rPr>
          <w:szCs w:val="24"/>
        </w:rPr>
        <w:t>Can you determine the numeric measure of association between being married and suicide?  If so, s</w:t>
      </w:r>
      <w:r w:rsidRPr="00E85862">
        <w:rPr>
          <w:szCs w:val="24"/>
        </w:rPr>
        <w:t>tate in a crisply worded sentence the numeric association between being married and suicide</w:t>
      </w:r>
      <w:r>
        <w:rPr>
          <w:szCs w:val="24"/>
        </w:rPr>
        <w:t xml:space="preserve">. </w:t>
      </w:r>
      <w:r w:rsidRPr="00E85862">
        <w:rPr>
          <w:szCs w:val="24"/>
        </w:rPr>
        <w:t xml:space="preserve"> (1 pt)</w:t>
      </w:r>
    </w:p>
    <w:p w14:paraId="15F64F36" w14:textId="77777777" w:rsidR="00372A22" w:rsidRPr="00E85862" w:rsidRDefault="00372A22" w:rsidP="00101FE4">
      <w:pPr>
        <w:autoSpaceDE w:val="0"/>
        <w:autoSpaceDN w:val="0"/>
        <w:adjustRightInd w:val="0"/>
        <w:ind w:left="360"/>
        <w:rPr>
          <w:szCs w:val="24"/>
        </w:rPr>
      </w:pPr>
    </w:p>
    <w:p w14:paraId="55B0B9EE" w14:textId="72C4BA88" w:rsidR="00372A22" w:rsidRDefault="00372A22" w:rsidP="00D764AF">
      <w:pPr>
        <w:autoSpaceDE w:val="0"/>
        <w:autoSpaceDN w:val="0"/>
        <w:adjustRightInd w:val="0"/>
        <w:ind w:left="360"/>
        <w:rPr>
          <w:szCs w:val="24"/>
        </w:rPr>
      </w:pPr>
    </w:p>
    <w:p w14:paraId="77D9BE04" w14:textId="77777777" w:rsidR="00372A22" w:rsidRDefault="00372A22" w:rsidP="00595EA6">
      <w:pPr>
        <w:tabs>
          <w:tab w:val="left" w:pos="360"/>
        </w:tabs>
        <w:autoSpaceDE w:val="0"/>
        <w:autoSpaceDN w:val="0"/>
        <w:adjustRightInd w:val="0"/>
        <w:ind w:left="360" w:hanging="360"/>
        <w:rPr>
          <w:szCs w:val="24"/>
        </w:rPr>
      </w:pPr>
      <w:r>
        <w:rPr>
          <w:szCs w:val="24"/>
        </w:rPr>
        <w:br w:type="page"/>
      </w:r>
      <w:r w:rsidRPr="00E85862">
        <w:rPr>
          <w:szCs w:val="24"/>
        </w:rPr>
        <w:lastRenderedPageBreak/>
        <w:t xml:space="preserve">7.  </w:t>
      </w:r>
      <w:r>
        <w:rPr>
          <w:szCs w:val="24"/>
        </w:rPr>
        <w:tab/>
        <w:t xml:space="preserve">In a population-based cohort study, the rate among smokers for death from heart attack was 1.8 times as high as non-smokers (rate ratio = 1.8).  Assume that this effect of smoking is causal and is free of confounding or other bias.  Twenty percent of the total person-time came from the smokers.  </w:t>
      </w:r>
    </w:p>
    <w:p w14:paraId="775BA87E" w14:textId="77777777" w:rsidR="00372A22" w:rsidRDefault="00372A22" w:rsidP="00595EA6">
      <w:pPr>
        <w:tabs>
          <w:tab w:val="left" w:pos="360"/>
        </w:tabs>
        <w:autoSpaceDE w:val="0"/>
        <w:autoSpaceDN w:val="0"/>
        <w:adjustRightInd w:val="0"/>
        <w:ind w:left="360" w:hanging="360"/>
        <w:rPr>
          <w:szCs w:val="24"/>
        </w:rPr>
      </w:pPr>
    </w:p>
    <w:p w14:paraId="125BF285" w14:textId="4043E497" w:rsidR="00372A22" w:rsidRDefault="00372A22" w:rsidP="00986670">
      <w:pPr>
        <w:tabs>
          <w:tab w:val="left" w:pos="360"/>
        </w:tabs>
        <w:autoSpaceDE w:val="0"/>
        <w:autoSpaceDN w:val="0"/>
        <w:adjustRightInd w:val="0"/>
        <w:ind w:left="360" w:hanging="360"/>
        <w:rPr>
          <w:szCs w:val="24"/>
        </w:rPr>
      </w:pPr>
      <w:r>
        <w:rPr>
          <w:szCs w:val="24"/>
        </w:rPr>
        <w:t xml:space="preserve">(a)  Calculate the entity known as the percent attributable rate among the exposed.  Consider smokers to be </w:t>
      </w:r>
      <w:r w:rsidR="00717793">
        <w:rPr>
          <w:szCs w:val="24"/>
        </w:rPr>
        <w:t xml:space="preserve">the </w:t>
      </w:r>
      <w:r>
        <w:rPr>
          <w:szCs w:val="24"/>
        </w:rPr>
        <w:t xml:space="preserve">exposed group and the outcome is death from heart attack.  Do this calculation by hand </w:t>
      </w:r>
      <w:r w:rsidRPr="009D1069">
        <w:rPr>
          <w:i/>
          <w:szCs w:val="24"/>
          <w:u w:val="single"/>
        </w:rPr>
        <w:t>and also</w:t>
      </w:r>
      <w:r w:rsidR="00717793">
        <w:rPr>
          <w:szCs w:val="24"/>
        </w:rPr>
        <w:t xml:space="preserve"> use Stata</w:t>
      </w:r>
      <w:r>
        <w:rPr>
          <w:szCs w:val="24"/>
        </w:rPr>
        <w:t>’s immediate command to determine the answer.  (1 pt)</w:t>
      </w:r>
    </w:p>
    <w:p w14:paraId="6C739ED2" w14:textId="77777777" w:rsidR="00372A22" w:rsidRDefault="00372A22" w:rsidP="00986670">
      <w:pPr>
        <w:tabs>
          <w:tab w:val="left" w:pos="360"/>
        </w:tabs>
        <w:autoSpaceDE w:val="0"/>
        <w:autoSpaceDN w:val="0"/>
        <w:adjustRightInd w:val="0"/>
        <w:ind w:left="360"/>
        <w:rPr>
          <w:szCs w:val="24"/>
        </w:rPr>
      </w:pPr>
    </w:p>
    <w:p w14:paraId="501CE865" w14:textId="77777777" w:rsidR="00D764AF" w:rsidRDefault="00D764AF" w:rsidP="00986670">
      <w:pPr>
        <w:tabs>
          <w:tab w:val="left" w:pos="360"/>
        </w:tabs>
        <w:autoSpaceDE w:val="0"/>
        <w:autoSpaceDN w:val="0"/>
        <w:adjustRightInd w:val="0"/>
        <w:ind w:left="360" w:hanging="360"/>
        <w:rPr>
          <w:szCs w:val="24"/>
        </w:rPr>
      </w:pPr>
    </w:p>
    <w:p w14:paraId="601F2C07" w14:textId="457C6434" w:rsidR="00372A22" w:rsidRDefault="00372A22" w:rsidP="00986670">
      <w:pPr>
        <w:tabs>
          <w:tab w:val="left" w:pos="360"/>
        </w:tabs>
        <w:autoSpaceDE w:val="0"/>
        <w:autoSpaceDN w:val="0"/>
        <w:adjustRightInd w:val="0"/>
        <w:ind w:left="360" w:hanging="360"/>
        <w:rPr>
          <w:szCs w:val="24"/>
        </w:rPr>
      </w:pPr>
      <w:r>
        <w:rPr>
          <w:szCs w:val="24"/>
        </w:rPr>
        <w:t xml:space="preserve">(b) </w:t>
      </w:r>
      <w:r>
        <w:rPr>
          <w:szCs w:val="24"/>
        </w:rPr>
        <w:tab/>
        <w:t>What percentage of the rate of heart attack deaths among the smokers do you believe was caused by smoking?  (1 pt)</w:t>
      </w:r>
    </w:p>
    <w:p w14:paraId="26E8FAE3" w14:textId="77777777" w:rsidR="00372A22" w:rsidRDefault="00372A22">
      <w:pPr>
        <w:autoSpaceDE w:val="0"/>
        <w:autoSpaceDN w:val="0"/>
        <w:adjustRightInd w:val="0"/>
        <w:rPr>
          <w:szCs w:val="24"/>
        </w:rPr>
      </w:pPr>
    </w:p>
    <w:p w14:paraId="6ED6A9D1" w14:textId="77777777" w:rsidR="00372A22" w:rsidRDefault="00372A22" w:rsidP="00E247E7">
      <w:pPr>
        <w:tabs>
          <w:tab w:val="left" w:pos="360"/>
        </w:tabs>
        <w:autoSpaceDE w:val="0"/>
        <w:autoSpaceDN w:val="0"/>
        <w:adjustRightInd w:val="0"/>
        <w:rPr>
          <w:szCs w:val="24"/>
        </w:rPr>
      </w:pPr>
    </w:p>
    <w:p w14:paraId="3C3DA871" w14:textId="0C2D51EB" w:rsidR="00372A22" w:rsidRDefault="00372A22" w:rsidP="00E247E7">
      <w:pPr>
        <w:tabs>
          <w:tab w:val="left" w:pos="360"/>
        </w:tabs>
        <w:autoSpaceDE w:val="0"/>
        <w:autoSpaceDN w:val="0"/>
        <w:adjustRightInd w:val="0"/>
        <w:ind w:left="360" w:hanging="360"/>
        <w:rPr>
          <w:szCs w:val="24"/>
        </w:rPr>
      </w:pPr>
      <w:r>
        <w:rPr>
          <w:szCs w:val="24"/>
        </w:rPr>
        <w:t xml:space="preserve">(c)  Calculate the entity known as the “percent attributable rate in the population”.  Again, consider smokers to be the exposed group and heart attack death is the outcome.  Do this calculation by hand </w:t>
      </w:r>
      <w:r>
        <w:rPr>
          <w:i/>
          <w:szCs w:val="24"/>
          <w:u w:val="single"/>
        </w:rPr>
        <w:t>or by using</w:t>
      </w:r>
      <w:r w:rsidR="00717793">
        <w:rPr>
          <w:szCs w:val="24"/>
        </w:rPr>
        <w:t xml:space="preserve"> Stata</w:t>
      </w:r>
      <w:r>
        <w:rPr>
          <w:szCs w:val="24"/>
        </w:rPr>
        <w:t>’s immediate command.  (1 pt)</w:t>
      </w:r>
    </w:p>
    <w:p w14:paraId="2473D816" w14:textId="77777777" w:rsidR="00372A22" w:rsidRDefault="00372A22" w:rsidP="00E247E7">
      <w:pPr>
        <w:tabs>
          <w:tab w:val="left" w:pos="360"/>
        </w:tabs>
        <w:autoSpaceDE w:val="0"/>
        <w:autoSpaceDN w:val="0"/>
        <w:adjustRightInd w:val="0"/>
        <w:ind w:left="360"/>
        <w:rPr>
          <w:szCs w:val="24"/>
        </w:rPr>
      </w:pPr>
    </w:p>
    <w:p w14:paraId="31131E41" w14:textId="77777777" w:rsidR="00D764AF" w:rsidRDefault="00D764AF" w:rsidP="00E247E7">
      <w:pPr>
        <w:tabs>
          <w:tab w:val="left" w:pos="360"/>
        </w:tabs>
        <w:autoSpaceDE w:val="0"/>
        <w:autoSpaceDN w:val="0"/>
        <w:adjustRightInd w:val="0"/>
        <w:ind w:left="360"/>
        <w:rPr>
          <w:szCs w:val="24"/>
        </w:rPr>
      </w:pPr>
    </w:p>
    <w:p w14:paraId="06F204A8" w14:textId="77777777" w:rsidR="00372A22" w:rsidRDefault="00372A22" w:rsidP="00E247E7">
      <w:pPr>
        <w:tabs>
          <w:tab w:val="left" w:pos="360"/>
        </w:tabs>
        <w:autoSpaceDE w:val="0"/>
        <w:autoSpaceDN w:val="0"/>
        <w:adjustRightInd w:val="0"/>
        <w:ind w:left="360" w:hanging="360"/>
        <w:rPr>
          <w:szCs w:val="24"/>
        </w:rPr>
      </w:pPr>
      <w:r>
        <w:rPr>
          <w:szCs w:val="24"/>
        </w:rPr>
        <w:t xml:space="preserve">(d) </w:t>
      </w:r>
      <w:r>
        <w:rPr>
          <w:szCs w:val="24"/>
        </w:rPr>
        <w:tab/>
        <w:t>Explain in one or more clear sentences what the percent population attributable rate means in this example.  (1 pt)</w:t>
      </w:r>
    </w:p>
    <w:p w14:paraId="0DA95C27" w14:textId="77777777" w:rsidR="00372A22" w:rsidRDefault="00372A22" w:rsidP="00E247E7">
      <w:pPr>
        <w:tabs>
          <w:tab w:val="left" w:pos="360"/>
        </w:tabs>
        <w:autoSpaceDE w:val="0"/>
        <w:autoSpaceDN w:val="0"/>
        <w:adjustRightInd w:val="0"/>
        <w:ind w:left="360"/>
        <w:rPr>
          <w:szCs w:val="24"/>
        </w:rPr>
      </w:pPr>
    </w:p>
    <w:p w14:paraId="0DE86A79" w14:textId="77777777" w:rsidR="00372A22" w:rsidRDefault="00372A22" w:rsidP="00DB0527">
      <w:pPr>
        <w:tabs>
          <w:tab w:val="left" w:pos="360"/>
        </w:tabs>
        <w:autoSpaceDE w:val="0"/>
        <w:autoSpaceDN w:val="0"/>
        <w:adjustRightInd w:val="0"/>
        <w:ind w:left="360" w:hanging="360"/>
      </w:pPr>
      <w:r>
        <w:rPr>
          <w:szCs w:val="24"/>
        </w:rPr>
        <w:br w:type="page"/>
      </w:r>
      <w:r>
        <w:rPr>
          <w:szCs w:val="24"/>
        </w:rPr>
        <w:lastRenderedPageBreak/>
        <w:t xml:space="preserve">8.  </w:t>
      </w:r>
      <w:r>
        <w:rPr>
          <w:szCs w:val="24"/>
        </w:rPr>
        <w:tab/>
        <w:t xml:space="preserve">The “fracturegenotype.dta” dataset on the course website is a cohort study of the occurrence of incident hip fracture in adults.  Of the many exposures examined, a new host genotype has shown interesting results in related animal models.  Presence of the genotype (genotype = 1) is hypothesized to have a protective effect on the occurrence of fractures.  </w:t>
      </w:r>
    </w:p>
    <w:p w14:paraId="284951E4" w14:textId="77777777" w:rsidR="00372A22" w:rsidRDefault="00372A22" w:rsidP="00781214">
      <w:pPr>
        <w:autoSpaceDE w:val="0"/>
        <w:autoSpaceDN w:val="0"/>
        <w:adjustRightInd w:val="0"/>
      </w:pPr>
    </w:p>
    <w:p w14:paraId="1FD75892" w14:textId="77777777" w:rsidR="00372A22" w:rsidRDefault="00372A22" w:rsidP="00781214">
      <w:pPr>
        <w:numPr>
          <w:ilvl w:val="0"/>
          <w:numId w:val="22"/>
        </w:numPr>
        <w:tabs>
          <w:tab w:val="clear" w:pos="735"/>
          <w:tab w:val="num" w:pos="360"/>
        </w:tabs>
        <w:autoSpaceDE w:val="0"/>
        <w:autoSpaceDN w:val="0"/>
        <w:adjustRightInd w:val="0"/>
        <w:ind w:left="360" w:hanging="360"/>
      </w:pPr>
      <w:r>
        <w:t>Determine the incidence rate ratio for the association between the host genotype and the occurrence of fracture.  (1 pt)</w:t>
      </w:r>
    </w:p>
    <w:p w14:paraId="236D8A1F" w14:textId="77777777" w:rsidR="00372A22" w:rsidRDefault="00372A22" w:rsidP="00781214">
      <w:pPr>
        <w:autoSpaceDE w:val="0"/>
        <w:autoSpaceDN w:val="0"/>
        <w:adjustRightInd w:val="0"/>
        <w:rPr>
          <w:sz w:val="18"/>
          <w:szCs w:val="18"/>
        </w:rPr>
      </w:pPr>
    </w:p>
    <w:p w14:paraId="6CC0E037" w14:textId="77777777" w:rsidR="00CF099A" w:rsidRPr="00DB0527" w:rsidRDefault="00CF099A" w:rsidP="00781214">
      <w:pPr>
        <w:autoSpaceDE w:val="0"/>
        <w:autoSpaceDN w:val="0"/>
        <w:adjustRightInd w:val="0"/>
        <w:rPr>
          <w:sz w:val="18"/>
          <w:szCs w:val="18"/>
        </w:rPr>
      </w:pPr>
    </w:p>
    <w:p w14:paraId="21D0C533" w14:textId="03876587" w:rsidR="00372A22" w:rsidRPr="00CF099A" w:rsidRDefault="00372A22" w:rsidP="00781214">
      <w:pPr>
        <w:numPr>
          <w:ilvl w:val="0"/>
          <w:numId w:val="22"/>
        </w:numPr>
        <w:tabs>
          <w:tab w:val="clear" w:pos="735"/>
          <w:tab w:val="num" w:pos="360"/>
        </w:tabs>
        <w:autoSpaceDE w:val="0"/>
        <w:autoSpaceDN w:val="0"/>
        <w:adjustRightInd w:val="0"/>
        <w:ind w:left="360" w:hanging="360"/>
      </w:pPr>
      <w:r>
        <w:rPr>
          <w:szCs w:val="24"/>
        </w:rPr>
        <w:t>A colleague is incredulous of the result and insists upon repeating the genotype measurement.  To save resources, she proposes a nested case-control approach within your cohort using incidence density sampling.  You are asked to do the sampling.  Using this cohort as the study base, prepare to conduct a nested case-control study using incidence density control sampling.  Choose 4 c</w:t>
      </w:r>
      <w:r>
        <w:t>ontrols per each case.  Show the commands you used to create your study population and a “describe” of your final case-control dataset (i.e., show your output describing the data).</w:t>
      </w:r>
      <w:r w:rsidRPr="001E215B">
        <w:rPr>
          <w:szCs w:val="24"/>
        </w:rPr>
        <w:t xml:space="preserve"> </w:t>
      </w:r>
      <w:r>
        <w:rPr>
          <w:szCs w:val="24"/>
        </w:rPr>
        <w:t xml:space="preserve"> (1 pt)  </w:t>
      </w:r>
    </w:p>
    <w:p w14:paraId="3781A443" w14:textId="77777777" w:rsidR="00CF099A" w:rsidRPr="001E215B" w:rsidRDefault="00CF099A" w:rsidP="00CF099A">
      <w:pPr>
        <w:autoSpaceDE w:val="0"/>
        <w:autoSpaceDN w:val="0"/>
        <w:adjustRightInd w:val="0"/>
        <w:ind w:left="360"/>
      </w:pPr>
    </w:p>
    <w:p w14:paraId="6129F930" w14:textId="77777777" w:rsidR="00372A22" w:rsidRDefault="00372A22" w:rsidP="00781214">
      <w:pPr>
        <w:autoSpaceDE w:val="0"/>
        <w:autoSpaceDN w:val="0"/>
        <w:adjustRightInd w:val="0"/>
        <w:rPr>
          <w:szCs w:val="24"/>
        </w:rPr>
      </w:pPr>
    </w:p>
    <w:p w14:paraId="6E700D8C" w14:textId="408132AB" w:rsidR="00372A22" w:rsidRDefault="00372A22" w:rsidP="00781214">
      <w:pPr>
        <w:numPr>
          <w:ilvl w:val="0"/>
          <w:numId w:val="22"/>
        </w:numPr>
        <w:tabs>
          <w:tab w:val="clear" w:pos="735"/>
          <w:tab w:val="num" w:pos="360"/>
        </w:tabs>
        <w:autoSpaceDE w:val="0"/>
        <w:autoSpaceDN w:val="0"/>
        <w:adjustRightInd w:val="0"/>
        <w:ind w:left="360" w:hanging="360"/>
      </w:pPr>
      <w:r>
        <w:t xml:space="preserve">Derive an estimate of the odds ratio from your nested case-control study of the effect of the genotype on fracture.  To do this, use the </w:t>
      </w:r>
      <w:r w:rsidRPr="003D54C8">
        <w:rPr>
          <w:rFonts w:ascii="Courier New" w:hAnsi="Courier New" w:cs="Courier New"/>
          <w:sz w:val="20"/>
        </w:rPr>
        <w:t>clogit</w:t>
      </w:r>
      <w:r>
        <w:t xml:space="preserve"> command which stands for conditional logistic regression.  This is a method to analyze matched case-control data, and it derives an odds ratio.  The syntax is:  “</w:t>
      </w:r>
      <w:r w:rsidRPr="003D54C8">
        <w:rPr>
          <w:rFonts w:ascii="Courier New" w:hAnsi="Courier New" w:cs="Courier New"/>
          <w:sz w:val="20"/>
        </w:rPr>
        <w:t>clogit outcome_variable predictor_variable, group(variable_that_links_case_and matched control) or</w:t>
      </w:r>
      <w:r>
        <w:t>”.  Show your commands and output.  (1 pt)</w:t>
      </w:r>
    </w:p>
    <w:p w14:paraId="5BC4A7EC" w14:textId="77777777" w:rsidR="00372A22" w:rsidRDefault="00372A22" w:rsidP="00781214">
      <w:pPr>
        <w:autoSpaceDE w:val="0"/>
        <w:autoSpaceDN w:val="0"/>
        <w:adjustRightInd w:val="0"/>
      </w:pPr>
    </w:p>
    <w:p w14:paraId="4D52E05D" w14:textId="77777777" w:rsidR="00372A22" w:rsidRDefault="00372A22" w:rsidP="00781214">
      <w:pPr>
        <w:autoSpaceDE w:val="0"/>
        <w:autoSpaceDN w:val="0"/>
        <w:adjustRightInd w:val="0"/>
      </w:pPr>
    </w:p>
    <w:p w14:paraId="7F7620DB" w14:textId="77777777" w:rsidR="00372A22" w:rsidRDefault="00372A22" w:rsidP="00781214">
      <w:pPr>
        <w:numPr>
          <w:ilvl w:val="0"/>
          <w:numId w:val="22"/>
        </w:numPr>
        <w:tabs>
          <w:tab w:val="clear" w:pos="735"/>
          <w:tab w:val="num" w:pos="360"/>
        </w:tabs>
        <w:autoSpaceDE w:val="0"/>
        <w:autoSpaceDN w:val="0"/>
        <w:adjustRightInd w:val="0"/>
        <w:ind w:left="360" w:hanging="360"/>
      </w:pPr>
      <w:r>
        <w:rPr>
          <w:szCs w:val="24"/>
        </w:rPr>
        <w:t>Compare your measure of association in the nested case-control study to the estimate derived in part (a).  How different is it?  Why is it different?  (1 pt)</w:t>
      </w:r>
    </w:p>
    <w:p w14:paraId="71D75FED" w14:textId="77777777" w:rsidR="00372A22" w:rsidRDefault="00372A22" w:rsidP="00781214">
      <w:pPr>
        <w:autoSpaceDE w:val="0"/>
        <w:autoSpaceDN w:val="0"/>
        <w:adjustRightInd w:val="0"/>
      </w:pPr>
    </w:p>
    <w:p w14:paraId="710343F2" w14:textId="77777777" w:rsidR="00372A22" w:rsidRDefault="00372A22" w:rsidP="0091645A">
      <w:pPr>
        <w:tabs>
          <w:tab w:val="left" w:pos="-90"/>
        </w:tabs>
        <w:autoSpaceDE w:val="0"/>
        <w:autoSpaceDN w:val="0"/>
        <w:adjustRightInd w:val="0"/>
        <w:rPr>
          <w:szCs w:val="24"/>
        </w:rPr>
      </w:pPr>
    </w:p>
    <w:p w14:paraId="255285FD" w14:textId="77777777" w:rsidR="00372A22" w:rsidRDefault="00372A22" w:rsidP="00781214">
      <w:pPr>
        <w:tabs>
          <w:tab w:val="left" w:pos="-90"/>
          <w:tab w:val="left" w:pos="360"/>
        </w:tabs>
        <w:autoSpaceDE w:val="0"/>
        <w:autoSpaceDN w:val="0"/>
        <w:adjustRightInd w:val="0"/>
        <w:ind w:left="360" w:hanging="360"/>
        <w:rPr>
          <w:szCs w:val="24"/>
        </w:rPr>
      </w:pPr>
    </w:p>
    <w:p w14:paraId="1A9881B6" w14:textId="77777777" w:rsidR="00C0219D" w:rsidRDefault="00372A22" w:rsidP="00781214">
      <w:pPr>
        <w:tabs>
          <w:tab w:val="left" w:pos="-90"/>
          <w:tab w:val="left" w:pos="360"/>
        </w:tabs>
        <w:autoSpaceDE w:val="0"/>
        <w:autoSpaceDN w:val="0"/>
        <w:adjustRightInd w:val="0"/>
        <w:ind w:left="360" w:hanging="360"/>
        <w:rPr>
          <w:szCs w:val="24"/>
        </w:rPr>
      </w:pPr>
      <w:r>
        <w:rPr>
          <w:szCs w:val="24"/>
        </w:rPr>
        <w:br w:type="page"/>
      </w:r>
    </w:p>
    <w:tbl>
      <w:tblPr>
        <w:tblStyle w:val="TableGrid"/>
        <w:tblW w:w="0" w:type="auto"/>
        <w:tblInd w:w="-5" w:type="dxa"/>
        <w:tblLook w:val="04A0" w:firstRow="1" w:lastRow="0" w:firstColumn="1" w:lastColumn="0" w:noHBand="0" w:noVBand="1"/>
      </w:tblPr>
      <w:tblGrid>
        <w:gridCol w:w="9355"/>
      </w:tblGrid>
      <w:tr w:rsidR="00C0219D" w14:paraId="50510352" w14:textId="77777777" w:rsidTr="002A358F">
        <w:tc>
          <w:tcPr>
            <w:tcW w:w="9355" w:type="dxa"/>
          </w:tcPr>
          <w:p w14:paraId="49DAD1E7" w14:textId="77777777" w:rsidR="002A358F" w:rsidRDefault="002A358F" w:rsidP="002A358F">
            <w:pPr>
              <w:tabs>
                <w:tab w:val="left" w:pos="-90"/>
                <w:tab w:val="left" w:pos="360"/>
              </w:tabs>
              <w:autoSpaceDE w:val="0"/>
              <w:autoSpaceDN w:val="0"/>
              <w:adjustRightInd w:val="0"/>
              <w:spacing w:before="120"/>
              <w:ind w:left="360" w:hanging="360"/>
              <w:rPr>
                <w:szCs w:val="24"/>
              </w:rPr>
            </w:pPr>
            <w:r>
              <w:rPr>
                <w:szCs w:val="24"/>
              </w:rPr>
              <w:lastRenderedPageBreak/>
              <w:t xml:space="preserve">9.   </w:t>
            </w:r>
            <w:r w:rsidRPr="00F851DB">
              <w:rPr>
                <w:b/>
                <w:szCs w:val="24"/>
              </w:rPr>
              <w:t>FOR DISCUSSION IN SECTION ONLY</w:t>
            </w:r>
            <w:r>
              <w:rPr>
                <w:b/>
                <w:szCs w:val="24"/>
              </w:rPr>
              <w:t>:</w:t>
            </w:r>
          </w:p>
          <w:p w14:paraId="6AB35B2A" w14:textId="77777777" w:rsidR="002A358F" w:rsidRDefault="002A358F" w:rsidP="002A358F">
            <w:pPr>
              <w:tabs>
                <w:tab w:val="left" w:pos="-90"/>
                <w:tab w:val="left" w:pos="360"/>
              </w:tabs>
              <w:autoSpaceDE w:val="0"/>
              <w:autoSpaceDN w:val="0"/>
              <w:adjustRightInd w:val="0"/>
              <w:ind w:left="360" w:hanging="360"/>
              <w:rPr>
                <w:szCs w:val="24"/>
              </w:rPr>
            </w:pPr>
            <w:r>
              <w:rPr>
                <w:szCs w:val="24"/>
              </w:rPr>
              <w:tab/>
              <w:t xml:space="preserve">Injury researchers determined that, among children from age 4 to 12, the percent population attributable risk of head injuries in Los Angeles county that was due to skateboarding was 54%.  They arrived at this figure after a careful meta-analysis that estimated both the 8 year risk ratio for head injuries associated with skateboarding (compared to children who did not skateboard) as well as the local prevalence of skateboarding.   They argued to local policy makers (city councils, mayors, and supervisors) that they could reduce head injuries in children from age 4 to 12 by 54% if they could enact laws against skateboarding.  How would you react to this claim? </w:t>
            </w:r>
          </w:p>
          <w:p w14:paraId="225C7714" w14:textId="77777777" w:rsidR="00C0219D" w:rsidRDefault="00C0219D" w:rsidP="00CF099A">
            <w:pPr>
              <w:tabs>
                <w:tab w:val="left" w:pos="-90"/>
                <w:tab w:val="left" w:pos="360"/>
              </w:tabs>
              <w:autoSpaceDE w:val="0"/>
              <w:autoSpaceDN w:val="0"/>
              <w:adjustRightInd w:val="0"/>
              <w:rPr>
                <w:szCs w:val="24"/>
              </w:rPr>
            </w:pPr>
          </w:p>
        </w:tc>
      </w:tr>
    </w:tbl>
    <w:p w14:paraId="67219B66" w14:textId="77777777" w:rsidR="00372A22" w:rsidRDefault="00372A22" w:rsidP="00781214">
      <w:pPr>
        <w:tabs>
          <w:tab w:val="left" w:pos="-90"/>
          <w:tab w:val="left" w:pos="360"/>
        </w:tabs>
        <w:autoSpaceDE w:val="0"/>
        <w:autoSpaceDN w:val="0"/>
        <w:adjustRightInd w:val="0"/>
        <w:ind w:left="360" w:hanging="360"/>
        <w:rPr>
          <w:szCs w:val="24"/>
        </w:rPr>
      </w:pPr>
    </w:p>
    <w:p w14:paraId="0F538F6B" w14:textId="77777777" w:rsidR="00372A22" w:rsidRDefault="00372A22">
      <w:pPr>
        <w:rPr>
          <w:szCs w:val="24"/>
        </w:rPr>
      </w:pPr>
      <w:r>
        <w:rPr>
          <w:szCs w:val="24"/>
        </w:rPr>
        <w:br w:type="page"/>
      </w:r>
    </w:p>
    <w:p w14:paraId="13B1BCE9" w14:textId="77777777" w:rsidR="00372A22" w:rsidRPr="00E85862" w:rsidRDefault="00372A22" w:rsidP="00781214">
      <w:pPr>
        <w:tabs>
          <w:tab w:val="left" w:pos="-90"/>
          <w:tab w:val="left" w:pos="360"/>
        </w:tabs>
        <w:autoSpaceDE w:val="0"/>
        <w:autoSpaceDN w:val="0"/>
        <w:adjustRightInd w:val="0"/>
        <w:ind w:left="360" w:hanging="360"/>
        <w:rPr>
          <w:szCs w:val="24"/>
        </w:rPr>
      </w:pPr>
      <w:r>
        <w:rPr>
          <w:szCs w:val="24"/>
        </w:rPr>
        <w:lastRenderedPageBreak/>
        <w:t>10.</w:t>
      </w:r>
      <w:r>
        <w:rPr>
          <w:szCs w:val="24"/>
        </w:rPr>
        <w:tab/>
      </w:r>
      <w:r w:rsidRPr="00E85862">
        <w:rPr>
          <w:szCs w:val="24"/>
        </w:rPr>
        <w:t>In the Journal Club article by Grosso et al., consider the following questions:</w:t>
      </w:r>
    </w:p>
    <w:p w14:paraId="24A90399" w14:textId="77777777" w:rsidR="00372A22" w:rsidRPr="00E85862" w:rsidRDefault="00372A22">
      <w:pPr>
        <w:autoSpaceDE w:val="0"/>
        <w:autoSpaceDN w:val="0"/>
        <w:adjustRightInd w:val="0"/>
        <w:rPr>
          <w:szCs w:val="24"/>
        </w:rPr>
      </w:pPr>
    </w:p>
    <w:p w14:paraId="02FBCCF8" w14:textId="7777777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is novel about </w:t>
      </w:r>
      <w:r w:rsidRPr="00E85862">
        <w:rPr>
          <w:i/>
          <w:szCs w:val="24"/>
        </w:rPr>
        <w:t>PLoS One</w:t>
      </w:r>
      <w:r w:rsidRPr="00E85862">
        <w:rPr>
          <w:szCs w:val="24"/>
        </w:rPr>
        <w:t>’s policy regarding the peer review process?  Do you agree with this policy?</w:t>
      </w:r>
      <w:r>
        <w:rPr>
          <w:szCs w:val="24"/>
        </w:rPr>
        <w:t xml:space="preserve"> </w:t>
      </w:r>
      <w:r w:rsidRPr="00E85862">
        <w:rPr>
          <w:szCs w:val="24"/>
        </w:rPr>
        <w:t xml:space="preserve"> (1 pt)</w:t>
      </w:r>
    </w:p>
    <w:p w14:paraId="10F2E50B" w14:textId="77777777" w:rsidR="00372A22" w:rsidRPr="00E85862" w:rsidRDefault="00372A22" w:rsidP="00934532">
      <w:pPr>
        <w:autoSpaceDE w:val="0"/>
        <w:autoSpaceDN w:val="0"/>
        <w:adjustRightInd w:val="0"/>
        <w:rPr>
          <w:szCs w:val="24"/>
        </w:rPr>
      </w:pPr>
    </w:p>
    <w:p w14:paraId="0500CC32" w14:textId="77777777" w:rsidR="00372A22" w:rsidRPr="00E85862" w:rsidRDefault="00372A22" w:rsidP="00934532">
      <w:pPr>
        <w:autoSpaceDE w:val="0"/>
        <w:autoSpaceDN w:val="0"/>
        <w:adjustRightInd w:val="0"/>
        <w:rPr>
          <w:szCs w:val="24"/>
        </w:rPr>
      </w:pPr>
    </w:p>
    <w:p w14:paraId="0AA6463A" w14:textId="77777777" w:rsidR="00372A22" w:rsidRPr="00E85862" w:rsidRDefault="00372A22" w:rsidP="009C5501">
      <w:pPr>
        <w:numPr>
          <w:ilvl w:val="0"/>
          <w:numId w:val="10"/>
        </w:numPr>
        <w:tabs>
          <w:tab w:val="left" w:pos="360"/>
        </w:tabs>
        <w:autoSpaceDE w:val="0"/>
        <w:autoSpaceDN w:val="0"/>
        <w:adjustRightInd w:val="0"/>
        <w:ind w:hanging="720"/>
        <w:rPr>
          <w:szCs w:val="24"/>
        </w:rPr>
      </w:pPr>
      <w:r w:rsidRPr="00E85862">
        <w:rPr>
          <w:color w:val="000000"/>
          <w:szCs w:val="24"/>
        </w:rPr>
        <w:t>What is the type of measure of association used to depict the main results?  (1 pt)</w:t>
      </w:r>
    </w:p>
    <w:p w14:paraId="27E0CB0E" w14:textId="77777777" w:rsidR="00372A22" w:rsidRPr="00E85862" w:rsidRDefault="00372A22" w:rsidP="00934532">
      <w:pPr>
        <w:autoSpaceDE w:val="0"/>
        <w:autoSpaceDN w:val="0"/>
        <w:adjustRightInd w:val="0"/>
        <w:rPr>
          <w:color w:val="000000"/>
          <w:szCs w:val="24"/>
        </w:rPr>
      </w:pPr>
    </w:p>
    <w:p w14:paraId="11A36423" w14:textId="77777777" w:rsidR="00372A22" w:rsidRPr="00E85862" w:rsidRDefault="00372A22" w:rsidP="00934532">
      <w:pPr>
        <w:autoSpaceDE w:val="0"/>
        <w:autoSpaceDN w:val="0"/>
        <w:adjustRightInd w:val="0"/>
        <w:ind w:left="360"/>
        <w:rPr>
          <w:szCs w:val="24"/>
        </w:rPr>
      </w:pPr>
    </w:p>
    <w:p w14:paraId="444545F7" w14:textId="2CE4CA1A" w:rsidR="00372A2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One aspect of this study design is that it cannot </w:t>
      </w:r>
      <w:r w:rsidR="00D76778">
        <w:rPr>
          <w:szCs w:val="24"/>
        </w:rPr>
        <w:t xml:space="preserve">directly </w:t>
      </w:r>
      <w:r w:rsidRPr="00E85862">
        <w:rPr>
          <w:szCs w:val="24"/>
        </w:rPr>
        <w:t>calculate absolute difference measures of association.  Do you see this as a limitation?</w:t>
      </w:r>
      <w:r>
        <w:rPr>
          <w:szCs w:val="24"/>
        </w:rPr>
        <w:t xml:space="preserve"> </w:t>
      </w:r>
      <w:r w:rsidRPr="00E85862">
        <w:rPr>
          <w:szCs w:val="24"/>
        </w:rPr>
        <w:t xml:space="preserve"> (1 pt)</w:t>
      </w:r>
    </w:p>
    <w:p w14:paraId="7F2CEE0D" w14:textId="77777777" w:rsidR="00CF099A" w:rsidRDefault="00CF099A" w:rsidP="00CF099A">
      <w:pPr>
        <w:tabs>
          <w:tab w:val="left" w:pos="360"/>
        </w:tabs>
        <w:autoSpaceDE w:val="0"/>
        <w:autoSpaceDN w:val="0"/>
        <w:adjustRightInd w:val="0"/>
        <w:ind w:left="360"/>
        <w:rPr>
          <w:szCs w:val="24"/>
        </w:rPr>
      </w:pPr>
    </w:p>
    <w:p w14:paraId="79B56F71" w14:textId="77777777" w:rsidR="00CF099A" w:rsidRPr="00E85862" w:rsidRDefault="00CF099A" w:rsidP="00CF099A">
      <w:pPr>
        <w:tabs>
          <w:tab w:val="left" w:pos="360"/>
        </w:tabs>
        <w:autoSpaceDE w:val="0"/>
        <w:autoSpaceDN w:val="0"/>
        <w:adjustRightInd w:val="0"/>
        <w:ind w:left="360"/>
        <w:rPr>
          <w:szCs w:val="24"/>
        </w:rPr>
      </w:pPr>
    </w:p>
    <w:p w14:paraId="1EDDCD99" w14:textId="77777777"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What would be the effect in the measure of association in this study of having too small of a wash-out period?  How did the authors handle the wash-out period? </w:t>
      </w:r>
      <w:r>
        <w:rPr>
          <w:szCs w:val="24"/>
        </w:rPr>
        <w:t xml:space="preserve"> </w:t>
      </w:r>
      <w:r w:rsidRPr="00E85862">
        <w:rPr>
          <w:szCs w:val="24"/>
        </w:rPr>
        <w:t>(1 pt)</w:t>
      </w:r>
    </w:p>
    <w:p w14:paraId="3E2523A6" w14:textId="77777777" w:rsidR="00372A22" w:rsidRPr="00E85862" w:rsidRDefault="00372A22" w:rsidP="00EF01DD">
      <w:pPr>
        <w:autoSpaceDE w:val="0"/>
        <w:autoSpaceDN w:val="0"/>
        <w:adjustRightInd w:val="0"/>
        <w:ind w:left="360"/>
        <w:rPr>
          <w:szCs w:val="24"/>
        </w:rPr>
      </w:pPr>
    </w:p>
    <w:p w14:paraId="5DC78FD9" w14:textId="77777777" w:rsidR="00372A22" w:rsidRPr="00E85862" w:rsidRDefault="00372A22" w:rsidP="0052521A">
      <w:pPr>
        <w:autoSpaceDE w:val="0"/>
        <w:autoSpaceDN w:val="0"/>
        <w:adjustRightInd w:val="0"/>
        <w:rPr>
          <w:szCs w:val="24"/>
        </w:rPr>
      </w:pPr>
    </w:p>
    <w:p w14:paraId="4BE64D2D" w14:textId="316A31AA" w:rsidR="00372A22" w:rsidRPr="00E85862" w:rsidRDefault="00372A22" w:rsidP="009C5501">
      <w:pPr>
        <w:numPr>
          <w:ilvl w:val="0"/>
          <w:numId w:val="10"/>
        </w:numPr>
        <w:tabs>
          <w:tab w:val="clear" w:pos="720"/>
          <w:tab w:val="left" w:pos="360"/>
        </w:tabs>
        <w:autoSpaceDE w:val="0"/>
        <w:autoSpaceDN w:val="0"/>
        <w:adjustRightInd w:val="0"/>
        <w:ind w:left="360"/>
        <w:rPr>
          <w:szCs w:val="24"/>
        </w:rPr>
      </w:pPr>
      <w:r w:rsidRPr="00E85862">
        <w:rPr>
          <w:szCs w:val="24"/>
        </w:rPr>
        <w:t xml:space="preserve">Would this study work well to investigate the occurrence of </w:t>
      </w:r>
      <w:r w:rsidR="00BE6694">
        <w:rPr>
          <w:szCs w:val="24"/>
        </w:rPr>
        <w:t xml:space="preserve">grand mal </w:t>
      </w:r>
      <w:r w:rsidRPr="00E85862">
        <w:rPr>
          <w:szCs w:val="24"/>
        </w:rPr>
        <w:t>seizures after vaccination?  How about the occurrence of breast cancer after anti-depressant medication initiation?</w:t>
      </w:r>
      <w:r>
        <w:rPr>
          <w:szCs w:val="24"/>
        </w:rPr>
        <w:t xml:space="preserve"> </w:t>
      </w:r>
      <w:r w:rsidRPr="00E85862">
        <w:rPr>
          <w:szCs w:val="24"/>
        </w:rPr>
        <w:t xml:space="preserve"> (1 pt extra credit)</w:t>
      </w:r>
      <w:r w:rsidR="00BE6694">
        <w:rPr>
          <w:szCs w:val="24"/>
        </w:rPr>
        <w:t xml:space="preserve">  (Clinical note:  grand mal seizures characteristically feature very overt rhythmic muscular contractions in many body regions).</w:t>
      </w:r>
    </w:p>
    <w:p w14:paraId="5D2B8CEA" w14:textId="77777777" w:rsidR="00372A22" w:rsidRPr="00E85862" w:rsidRDefault="00372A22">
      <w:pPr>
        <w:autoSpaceDE w:val="0"/>
        <w:autoSpaceDN w:val="0"/>
        <w:adjustRightInd w:val="0"/>
        <w:ind w:left="360"/>
        <w:rPr>
          <w:color w:val="000000"/>
          <w:szCs w:val="24"/>
        </w:rPr>
      </w:pPr>
    </w:p>
    <w:p w14:paraId="7C8032D9" w14:textId="77777777" w:rsidR="00372A22" w:rsidRPr="008A4D98" w:rsidRDefault="00372A22" w:rsidP="008A4D98">
      <w:pPr>
        <w:spacing w:after="60"/>
        <w:rPr>
          <w:b/>
          <w:szCs w:val="24"/>
        </w:rPr>
      </w:pPr>
    </w:p>
    <w:sectPr w:rsidR="00372A22" w:rsidRPr="008A4D98" w:rsidSect="003954B1">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0F5D7" w14:textId="77777777" w:rsidR="000359EA" w:rsidRDefault="000359EA">
      <w:r>
        <w:separator/>
      </w:r>
    </w:p>
  </w:endnote>
  <w:endnote w:type="continuationSeparator" w:id="0">
    <w:p w14:paraId="65960DAB" w14:textId="77777777" w:rsidR="000359EA" w:rsidRDefault="0003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oudy-Bold">
    <w:panose1 w:val="00000000000000000000"/>
    <w:charset w:val="00"/>
    <w:family w:val="roman"/>
    <w:notTrueType/>
    <w:pitch w:val="default"/>
    <w:sig w:usb0="00000003" w:usb1="00000000" w:usb2="00000000" w:usb3="00000000" w:csb0="00000001" w:csb1="00000000"/>
  </w:font>
  <w:font w:name="Goudy">
    <w:panose1 w:val="00000000000000000000"/>
    <w:charset w:val="00"/>
    <w:family w:val="roman"/>
    <w:notTrueType/>
    <w:pitch w:val="default"/>
    <w:sig w:usb0="00000003" w:usb1="00000000" w:usb2="00000000" w:usb3="00000000" w:csb0="00000001" w:csb1="00000000"/>
  </w:font>
  <w:font w:name="Goudy-Italic">
    <w:panose1 w:val="00000000000000000000"/>
    <w:charset w:val="00"/>
    <w:family w:val="roman"/>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F87CF" w14:textId="77777777" w:rsidR="00EC56FB" w:rsidRDefault="00EC56FB" w:rsidP="002319DA">
    <w:pPr>
      <w:pStyle w:val="Footer"/>
      <w:tabs>
        <w:tab w:val="clear" w:pos="4320"/>
        <w:tab w:val="clear" w:pos="8640"/>
        <w:tab w:val="center" w:pos="4800"/>
        <w:tab w:val="right" w:pos="9900"/>
      </w:tabs>
    </w:pPr>
    <w:r>
      <w:t>Epi Methods Problem Set 5</w:t>
    </w:r>
    <w:r>
      <w:tab/>
    </w:r>
    <w:r>
      <w:rPr>
        <w:rStyle w:val="PageNumber"/>
      </w:rPr>
      <w:fldChar w:fldCharType="begin"/>
    </w:r>
    <w:r>
      <w:rPr>
        <w:rStyle w:val="PageNumber"/>
      </w:rPr>
      <w:instrText xml:space="preserve"> PAGE </w:instrText>
    </w:r>
    <w:r>
      <w:rPr>
        <w:rStyle w:val="PageNumber"/>
      </w:rPr>
      <w:fldChar w:fldCharType="separate"/>
    </w:r>
    <w:r w:rsidR="002D1683">
      <w:rPr>
        <w:rStyle w:val="PageNumber"/>
        <w:noProof/>
      </w:rPr>
      <w:t>13</w:t>
    </w:r>
    <w:r>
      <w:rPr>
        <w:rStyle w:val="PageNumber"/>
      </w:rPr>
      <w:fldChar w:fldCharType="end"/>
    </w:r>
    <w:r>
      <w:tab/>
    </w:r>
    <w:r>
      <w:rPr>
        <w:rStyle w:val="PageNumber"/>
      </w:rPr>
      <w:t>Measures of Disease Association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5A2CE" w14:textId="77777777" w:rsidR="000359EA" w:rsidRDefault="000359EA">
      <w:r>
        <w:separator/>
      </w:r>
    </w:p>
  </w:footnote>
  <w:footnote w:type="continuationSeparator" w:id="0">
    <w:p w14:paraId="2B6A4E28" w14:textId="77777777" w:rsidR="000359EA" w:rsidRDefault="00035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DA1CA" w14:textId="77777777" w:rsidR="00EC56FB" w:rsidRDefault="00EC56F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54C6D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FF4AE3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AE8BA4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2D4C5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2667A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005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EA15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54B5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947BC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E497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0C73BB"/>
    <w:multiLevelType w:val="hybridMultilevel"/>
    <w:tmpl w:val="99F286B0"/>
    <w:lvl w:ilvl="0" w:tplc="F9BC69C8">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E365C4F"/>
    <w:multiLevelType w:val="hybridMultilevel"/>
    <w:tmpl w:val="D1A09A60"/>
    <w:lvl w:ilvl="0" w:tplc="908CC34C">
      <w:start w:val="1"/>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7F094B"/>
    <w:multiLevelType w:val="hybridMultilevel"/>
    <w:tmpl w:val="07C2D8A0"/>
    <w:lvl w:ilvl="0" w:tplc="506479C6">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9B6894"/>
    <w:multiLevelType w:val="hybridMultilevel"/>
    <w:tmpl w:val="68226A08"/>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0733A3"/>
    <w:multiLevelType w:val="hybridMultilevel"/>
    <w:tmpl w:val="E162F7FE"/>
    <w:lvl w:ilvl="0" w:tplc="6A92BC8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7225F8"/>
    <w:multiLevelType w:val="hybridMultilevel"/>
    <w:tmpl w:val="788AC2C6"/>
    <w:lvl w:ilvl="0" w:tplc="04908B5A">
      <w:start w:val="2"/>
      <w:numFmt w:val="lowerLetter"/>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9774ED5"/>
    <w:multiLevelType w:val="hybridMultilevel"/>
    <w:tmpl w:val="22743EA0"/>
    <w:lvl w:ilvl="0" w:tplc="4EFA644C">
      <w:start w:val="5"/>
      <w:numFmt w:val="low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27068C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5EC7F52"/>
    <w:multiLevelType w:val="hybridMultilevel"/>
    <w:tmpl w:val="A1188F2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AE23677"/>
    <w:multiLevelType w:val="hybridMultilevel"/>
    <w:tmpl w:val="7E16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FB3983"/>
    <w:multiLevelType w:val="hybridMultilevel"/>
    <w:tmpl w:val="CC8467C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16"/>
  </w:num>
  <w:num w:numId="3">
    <w:abstractNumId w:val="13"/>
  </w:num>
  <w:num w:numId="4">
    <w:abstractNumId w:val="12"/>
  </w:num>
  <w:num w:numId="5">
    <w:abstractNumId w:val="11"/>
  </w:num>
  <w:num w:numId="6">
    <w:abstractNumId w:val="22"/>
  </w:num>
  <w:num w:numId="7">
    <w:abstractNumId w:val="19"/>
  </w:num>
  <w:num w:numId="8">
    <w:abstractNumId w:val="15"/>
  </w:num>
  <w:num w:numId="9">
    <w:abstractNumId w:val="17"/>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5C"/>
    <w:rsid w:val="00001A85"/>
    <w:rsid w:val="000133FB"/>
    <w:rsid w:val="000200BF"/>
    <w:rsid w:val="00024492"/>
    <w:rsid w:val="000245F5"/>
    <w:rsid w:val="00025158"/>
    <w:rsid w:val="00031E1E"/>
    <w:rsid w:val="00032807"/>
    <w:rsid w:val="0003355D"/>
    <w:rsid w:val="00034FEA"/>
    <w:rsid w:val="000359EA"/>
    <w:rsid w:val="000405D0"/>
    <w:rsid w:val="00041BBA"/>
    <w:rsid w:val="00045F3B"/>
    <w:rsid w:val="000501EA"/>
    <w:rsid w:val="0005637B"/>
    <w:rsid w:val="00066916"/>
    <w:rsid w:val="00070C36"/>
    <w:rsid w:val="00094100"/>
    <w:rsid w:val="000945D1"/>
    <w:rsid w:val="00096588"/>
    <w:rsid w:val="000B317C"/>
    <w:rsid w:val="000B3AA2"/>
    <w:rsid w:val="000B7239"/>
    <w:rsid w:val="000C70E3"/>
    <w:rsid w:val="000D2743"/>
    <w:rsid w:val="000D2D1E"/>
    <w:rsid w:val="000D37AE"/>
    <w:rsid w:val="000D52DB"/>
    <w:rsid w:val="000D73C9"/>
    <w:rsid w:val="00101FE4"/>
    <w:rsid w:val="00106A0D"/>
    <w:rsid w:val="00106A98"/>
    <w:rsid w:val="00111030"/>
    <w:rsid w:val="00125DBD"/>
    <w:rsid w:val="00127993"/>
    <w:rsid w:val="00131DBA"/>
    <w:rsid w:val="001353C5"/>
    <w:rsid w:val="0013745E"/>
    <w:rsid w:val="00137FF2"/>
    <w:rsid w:val="00143818"/>
    <w:rsid w:val="00144AE1"/>
    <w:rsid w:val="00155514"/>
    <w:rsid w:val="0016128B"/>
    <w:rsid w:val="00161A7A"/>
    <w:rsid w:val="00170B94"/>
    <w:rsid w:val="001747B3"/>
    <w:rsid w:val="00176503"/>
    <w:rsid w:val="00180BB9"/>
    <w:rsid w:val="00180ECE"/>
    <w:rsid w:val="001836AB"/>
    <w:rsid w:val="001926DD"/>
    <w:rsid w:val="00192A14"/>
    <w:rsid w:val="00192D01"/>
    <w:rsid w:val="001954B2"/>
    <w:rsid w:val="001964C5"/>
    <w:rsid w:val="0019787E"/>
    <w:rsid w:val="001A10D1"/>
    <w:rsid w:val="001A226E"/>
    <w:rsid w:val="001A7EAB"/>
    <w:rsid w:val="001B1662"/>
    <w:rsid w:val="001B16B1"/>
    <w:rsid w:val="001B2B66"/>
    <w:rsid w:val="001B342C"/>
    <w:rsid w:val="001C0768"/>
    <w:rsid w:val="001C1424"/>
    <w:rsid w:val="001C154C"/>
    <w:rsid w:val="001D1BE4"/>
    <w:rsid w:val="001D2191"/>
    <w:rsid w:val="001E1300"/>
    <w:rsid w:val="001E215B"/>
    <w:rsid w:val="001F27A1"/>
    <w:rsid w:val="001F3897"/>
    <w:rsid w:val="001F5181"/>
    <w:rsid w:val="00203A81"/>
    <w:rsid w:val="00207AAE"/>
    <w:rsid w:val="0021116A"/>
    <w:rsid w:val="00221F27"/>
    <w:rsid w:val="00224D80"/>
    <w:rsid w:val="002278F3"/>
    <w:rsid w:val="002319DA"/>
    <w:rsid w:val="002414CB"/>
    <w:rsid w:val="00241E57"/>
    <w:rsid w:val="00255EFC"/>
    <w:rsid w:val="002601E9"/>
    <w:rsid w:val="00262945"/>
    <w:rsid w:val="002635B2"/>
    <w:rsid w:val="00265B15"/>
    <w:rsid w:val="00271C6F"/>
    <w:rsid w:val="002746A6"/>
    <w:rsid w:val="00276BC6"/>
    <w:rsid w:val="00281C73"/>
    <w:rsid w:val="002849AE"/>
    <w:rsid w:val="0028755B"/>
    <w:rsid w:val="00293926"/>
    <w:rsid w:val="00294491"/>
    <w:rsid w:val="002A358F"/>
    <w:rsid w:val="002A3F97"/>
    <w:rsid w:val="002A6A07"/>
    <w:rsid w:val="002B1654"/>
    <w:rsid w:val="002B1F7F"/>
    <w:rsid w:val="002B2C57"/>
    <w:rsid w:val="002B31A3"/>
    <w:rsid w:val="002B3258"/>
    <w:rsid w:val="002D1683"/>
    <w:rsid w:val="002D1CBD"/>
    <w:rsid w:val="002D3B2D"/>
    <w:rsid w:val="002E4056"/>
    <w:rsid w:val="002E4F36"/>
    <w:rsid w:val="002E59FE"/>
    <w:rsid w:val="00302229"/>
    <w:rsid w:val="003075D1"/>
    <w:rsid w:val="003133D5"/>
    <w:rsid w:val="00321354"/>
    <w:rsid w:val="00326427"/>
    <w:rsid w:val="00330F1E"/>
    <w:rsid w:val="00332129"/>
    <w:rsid w:val="00333A5B"/>
    <w:rsid w:val="003350AA"/>
    <w:rsid w:val="00335D61"/>
    <w:rsid w:val="00341184"/>
    <w:rsid w:val="0034445E"/>
    <w:rsid w:val="00345B56"/>
    <w:rsid w:val="00347036"/>
    <w:rsid w:val="0034789F"/>
    <w:rsid w:val="00365F2F"/>
    <w:rsid w:val="003669C9"/>
    <w:rsid w:val="0036729D"/>
    <w:rsid w:val="003702AB"/>
    <w:rsid w:val="00372A22"/>
    <w:rsid w:val="0037623E"/>
    <w:rsid w:val="00384277"/>
    <w:rsid w:val="003939C9"/>
    <w:rsid w:val="003954B1"/>
    <w:rsid w:val="003A63C6"/>
    <w:rsid w:val="003A70C7"/>
    <w:rsid w:val="003B0CCD"/>
    <w:rsid w:val="003B4155"/>
    <w:rsid w:val="003C2395"/>
    <w:rsid w:val="003C439E"/>
    <w:rsid w:val="003C6EAC"/>
    <w:rsid w:val="003D54C8"/>
    <w:rsid w:val="003D7079"/>
    <w:rsid w:val="003E4314"/>
    <w:rsid w:val="003E6C22"/>
    <w:rsid w:val="003F35A4"/>
    <w:rsid w:val="003F6BC0"/>
    <w:rsid w:val="00400376"/>
    <w:rsid w:val="00403FA9"/>
    <w:rsid w:val="00412C65"/>
    <w:rsid w:val="00412E13"/>
    <w:rsid w:val="00427349"/>
    <w:rsid w:val="00436A4A"/>
    <w:rsid w:val="00443F64"/>
    <w:rsid w:val="004448FB"/>
    <w:rsid w:val="0045006F"/>
    <w:rsid w:val="0045302D"/>
    <w:rsid w:val="004572C3"/>
    <w:rsid w:val="004661EE"/>
    <w:rsid w:val="00481371"/>
    <w:rsid w:val="0048171B"/>
    <w:rsid w:val="00486F23"/>
    <w:rsid w:val="00492BA3"/>
    <w:rsid w:val="004970F8"/>
    <w:rsid w:val="004C0136"/>
    <w:rsid w:val="004C347D"/>
    <w:rsid w:val="004C4238"/>
    <w:rsid w:val="004C7194"/>
    <w:rsid w:val="004C73BA"/>
    <w:rsid w:val="004D1653"/>
    <w:rsid w:val="004D7580"/>
    <w:rsid w:val="004E516F"/>
    <w:rsid w:val="004E6826"/>
    <w:rsid w:val="004F17FA"/>
    <w:rsid w:val="004F1992"/>
    <w:rsid w:val="00505EF8"/>
    <w:rsid w:val="005067C3"/>
    <w:rsid w:val="0052141B"/>
    <w:rsid w:val="00522567"/>
    <w:rsid w:val="00524EBE"/>
    <w:rsid w:val="0052521A"/>
    <w:rsid w:val="00530814"/>
    <w:rsid w:val="00531EC7"/>
    <w:rsid w:val="005328FD"/>
    <w:rsid w:val="00535593"/>
    <w:rsid w:val="00552A5C"/>
    <w:rsid w:val="005546CB"/>
    <w:rsid w:val="00554DA8"/>
    <w:rsid w:val="00555206"/>
    <w:rsid w:val="00560756"/>
    <w:rsid w:val="00573D1C"/>
    <w:rsid w:val="0057625B"/>
    <w:rsid w:val="0058039E"/>
    <w:rsid w:val="00580C4C"/>
    <w:rsid w:val="00585C7E"/>
    <w:rsid w:val="00586670"/>
    <w:rsid w:val="00586A0D"/>
    <w:rsid w:val="00591C70"/>
    <w:rsid w:val="00595EA6"/>
    <w:rsid w:val="005A15AA"/>
    <w:rsid w:val="005A16C5"/>
    <w:rsid w:val="005A2964"/>
    <w:rsid w:val="005A7C8B"/>
    <w:rsid w:val="005B0F49"/>
    <w:rsid w:val="005B4015"/>
    <w:rsid w:val="005B4EBE"/>
    <w:rsid w:val="005B6A5A"/>
    <w:rsid w:val="005C0620"/>
    <w:rsid w:val="005C212B"/>
    <w:rsid w:val="005C601B"/>
    <w:rsid w:val="005C7B63"/>
    <w:rsid w:val="005E016E"/>
    <w:rsid w:val="005F0963"/>
    <w:rsid w:val="005F7262"/>
    <w:rsid w:val="00600C7B"/>
    <w:rsid w:val="00600E19"/>
    <w:rsid w:val="006013CE"/>
    <w:rsid w:val="006028C5"/>
    <w:rsid w:val="00603DF3"/>
    <w:rsid w:val="006049BB"/>
    <w:rsid w:val="00604BEA"/>
    <w:rsid w:val="006137A1"/>
    <w:rsid w:val="00621B2D"/>
    <w:rsid w:val="00627ACD"/>
    <w:rsid w:val="00630BAE"/>
    <w:rsid w:val="0063180B"/>
    <w:rsid w:val="00634C64"/>
    <w:rsid w:val="006363AA"/>
    <w:rsid w:val="00641EAC"/>
    <w:rsid w:val="00642D56"/>
    <w:rsid w:val="00645B49"/>
    <w:rsid w:val="00655D1A"/>
    <w:rsid w:val="00663679"/>
    <w:rsid w:val="0066651A"/>
    <w:rsid w:val="00680040"/>
    <w:rsid w:val="00680196"/>
    <w:rsid w:val="00693C09"/>
    <w:rsid w:val="006A00C6"/>
    <w:rsid w:val="006A57A6"/>
    <w:rsid w:val="006A691E"/>
    <w:rsid w:val="006C46C0"/>
    <w:rsid w:val="006C5198"/>
    <w:rsid w:val="006C597C"/>
    <w:rsid w:val="006D122C"/>
    <w:rsid w:val="006D267A"/>
    <w:rsid w:val="006D6EA7"/>
    <w:rsid w:val="006D76AB"/>
    <w:rsid w:val="006E09BC"/>
    <w:rsid w:val="006E0BA3"/>
    <w:rsid w:val="006E41E5"/>
    <w:rsid w:val="006E525F"/>
    <w:rsid w:val="0070329F"/>
    <w:rsid w:val="00706EA4"/>
    <w:rsid w:val="00713BB1"/>
    <w:rsid w:val="00717793"/>
    <w:rsid w:val="00724A12"/>
    <w:rsid w:val="00730042"/>
    <w:rsid w:val="0075274E"/>
    <w:rsid w:val="00754375"/>
    <w:rsid w:val="00756748"/>
    <w:rsid w:val="00775134"/>
    <w:rsid w:val="00781173"/>
    <w:rsid w:val="00781214"/>
    <w:rsid w:val="0078344E"/>
    <w:rsid w:val="0079081D"/>
    <w:rsid w:val="0079507C"/>
    <w:rsid w:val="007A4A89"/>
    <w:rsid w:val="007A5840"/>
    <w:rsid w:val="007A6BC8"/>
    <w:rsid w:val="007B0BE4"/>
    <w:rsid w:val="007B406F"/>
    <w:rsid w:val="007B52A3"/>
    <w:rsid w:val="007B60F9"/>
    <w:rsid w:val="007C1EDF"/>
    <w:rsid w:val="007C4C77"/>
    <w:rsid w:val="007D1886"/>
    <w:rsid w:val="007D18CD"/>
    <w:rsid w:val="007E0D42"/>
    <w:rsid w:val="007E4B25"/>
    <w:rsid w:val="00805F6C"/>
    <w:rsid w:val="008064A3"/>
    <w:rsid w:val="00820F0A"/>
    <w:rsid w:val="008213EB"/>
    <w:rsid w:val="0082239A"/>
    <w:rsid w:val="00825121"/>
    <w:rsid w:val="00831E11"/>
    <w:rsid w:val="008402B9"/>
    <w:rsid w:val="008427C2"/>
    <w:rsid w:val="00845DA2"/>
    <w:rsid w:val="0084772A"/>
    <w:rsid w:val="00851510"/>
    <w:rsid w:val="008550E4"/>
    <w:rsid w:val="00864890"/>
    <w:rsid w:val="0086640D"/>
    <w:rsid w:val="0086661A"/>
    <w:rsid w:val="0087324C"/>
    <w:rsid w:val="00882D12"/>
    <w:rsid w:val="0088493F"/>
    <w:rsid w:val="00896AC6"/>
    <w:rsid w:val="008973BB"/>
    <w:rsid w:val="008A4D98"/>
    <w:rsid w:val="008B0EA4"/>
    <w:rsid w:val="008C3B6C"/>
    <w:rsid w:val="008E2FE0"/>
    <w:rsid w:val="008F32C7"/>
    <w:rsid w:val="009003C3"/>
    <w:rsid w:val="00904BFB"/>
    <w:rsid w:val="00905D40"/>
    <w:rsid w:val="009104C8"/>
    <w:rsid w:val="0091645A"/>
    <w:rsid w:val="0092135B"/>
    <w:rsid w:val="00925044"/>
    <w:rsid w:val="00925C83"/>
    <w:rsid w:val="00931300"/>
    <w:rsid w:val="00934532"/>
    <w:rsid w:val="009360B2"/>
    <w:rsid w:val="0095293A"/>
    <w:rsid w:val="00955B8B"/>
    <w:rsid w:val="00981E4A"/>
    <w:rsid w:val="00986670"/>
    <w:rsid w:val="0099230A"/>
    <w:rsid w:val="00992DE3"/>
    <w:rsid w:val="009938CE"/>
    <w:rsid w:val="00997196"/>
    <w:rsid w:val="009A0EC1"/>
    <w:rsid w:val="009B2121"/>
    <w:rsid w:val="009B3AD2"/>
    <w:rsid w:val="009B6F8D"/>
    <w:rsid w:val="009C5501"/>
    <w:rsid w:val="009D1069"/>
    <w:rsid w:val="009D6E0B"/>
    <w:rsid w:val="009E462D"/>
    <w:rsid w:val="009F4726"/>
    <w:rsid w:val="009F513D"/>
    <w:rsid w:val="00A108DD"/>
    <w:rsid w:val="00A13974"/>
    <w:rsid w:val="00A14154"/>
    <w:rsid w:val="00A163DA"/>
    <w:rsid w:val="00A178C3"/>
    <w:rsid w:val="00A179D6"/>
    <w:rsid w:val="00A17BEA"/>
    <w:rsid w:val="00A22938"/>
    <w:rsid w:val="00A23FA1"/>
    <w:rsid w:val="00A25E2C"/>
    <w:rsid w:val="00A30C0E"/>
    <w:rsid w:val="00A44C63"/>
    <w:rsid w:val="00A517EA"/>
    <w:rsid w:val="00A55173"/>
    <w:rsid w:val="00A640DE"/>
    <w:rsid w:val="00A65AC1"/>
    <w:rsid w:val="00A65C69"/>
    <w:rsid w:val="00A6656B"/>
    <w:rsid w:val="00A70DC3"/>
    <w:rsid w:val="00A93183"/>
    <w:rsid w:val="00A94DDC"/>
    <w:rsid w:val="00AA1E00"/>
    <w:rsid w:val="00AA418A"/>
    <w:rsid w:val="00AA506F"/>
    <w:rsid w:val="00AB29B7"/>
    <w:rsid w:val="00AB726D"/>
    <w:rsid w:val="00AD4D12"/>
    <w:rsid w:val="00AD51E4"/>
    <w:rsid w:val="00AD738D"/>
    <w:rsid w:val="00AD7B5B"/>
    <w:rsid w:val="00AE3EC9"/>
    <w:rsid w:val="00AE6B65"/>
    <w:rsid w:val="00B00DEE"/>
    <w:rsid w:val="00B0563B"/>
    <w:rsid w:val="00B06E24"/>
    <w:rsid w:val="00B20125"/>
    <w:rsid w:val="00B22437"/>
    <w:rsid w:val="00B24AC2"/>
    <w:rsid w:val="00B34422"/>
    <w:rsid w:val="00B3662F"/>
    <w:rsid w:val="00B440C9"/>
    <w:rsid w:val="00B47E44"/>
    <w:rsid w:val="00B678D2"/>
    <w:rsid w:val="00B7178E"/>
    <w:rsid w:val="00B72AB1"/>
    <w:rsid w:val="00B77EC0"/>
    <w:rsid w:val="00B91908"/>
    <w:rsid w:val="00BA160B"/>
    <w:rsid w:val="00BA3E19"/>
    <w:rsid w:val="00BA4CA7"/>
    <w:rsid w:val="00BA5264"/>
    <w:rsid w:val="00BA678C"/>
    <w:rsid w:val="00BB0031"/>
    <w:rsid w:val="00BB10E9"/>
    <w:rsid w:val="00BC22C6"/>
    <w:rsid w:val="00BC2B7B"/>
    <w:rsid w:val="00BC3B1D"/>
    <w:rsid w:val="00BC55E6"/>
    <w:rsid w:val="00BD2F42"/>
    <w:rsid w:val="00BD4A38"/>
    <w:rsid w:val="00BD75F4"/>
    <w:rsid w:val="00BE559E"/>
    <w:rsid w:val="00BE6694"/>
    <w:rsid w:val="00BE6CDE"/>
    <w:rsid w:val="00BF705A"/>
    <w:rsid w:val="00C00287"/>
    <w:rsid w:val="00C0127A"/>
    <w:rsid w:val="00C0219D"/>
    <w:rsid w:val="00C07B38"/>
    <w:rsid w:val="00C13406"/>
    <w:rsid w:val="00C21B81"/>
    <w:rsid w:val="00C40ECB"/>
    <w:rsid w:val="00C50859"/>
    <w:rsid w:val="00C55656"/>
    <w:rsid w:val="00C6043C"/>
    <w:rsid w:val="00C61366"/>
    <w:rsid w:val="00C65014"/>
    <w:rsid w:val="00C67940"/>
    <w:rsid w:val="00C759BE"/>
    <w:rsid w:val="00C77E6A"/>
    <w:rsid w:val="00C8161E"/>
    <w:rsid w:val="00C85C35"/>
    <w:rsid w:val="00C87A31"/>
    <w:rsid w:val="00C902FC"/>
    <w:rsid w:val="00C97994"/>
    <w:rsid w:val="00CA4DD6"/>
    <w:rsid w:val="00CB23C7"/>
    <w:rsid w:val="00CB2DF9"/>
    <w:rsid w:val="00CC13DD"/>
    <w:rsid w:val="00CC319A"/>
    <w:rsid w:val="00CC47A7"/>
    <w:rsid w:val="00CC5975"/>
    <w:rsid w:val="00CC642D"/>
    <w:rsid w:val="00CC6A34"/>
    <w:rsid w:val="00CD3D84"/>
    <w:rsid w:val="00CD7F49"/>
    <w:rsid w:val="00CE4539"/>
    <w:rsid w:val="00CE728D"/>
    <w:rsid w:val="00CF099A"/>
    <w:rsid w:val="00CF2C64"/>
    <w:rsid w:val="00D00DA2"/>
    <w:rsid w:val="00D00E1D"/>
    <w:rsid w:val="00D15566"/>
    <w:rsid w:val="00D267D1"/>
    <w:rsid w:val="00D36A4B"/>
    <w:rsid w:val="00D430BC"/>
    <w:rsid w:val="00D52837"/>
    <w:rsid w:val="00D66C37"/>
    <w:rsid w:val="00D7174D"/>
    <w:rsid w:val="00D739FA"/>
    <w:rsid w:val="00D74954"/>
    <w:rsid w:val="00D764AF"/>
    <w:rsid w:val="00D76778"/>
    <w:rsid w:val="00D77369"/>
    <w:rsid w:val="00D8161F"/>
    <w:rsid w:val="00D82802"/>
    <w:rsid w:val="00D94666"/>
    <w:rsid w:val="00D95134"/>
    <w:rsid w:val="00D97D17"/>
    <w:rsid w:val="00DA300A"/>
    <w:rsid w:val="00DA66DF"/>
    <w:rsid w:val="00DB0527"/>
    <w:rsid w:val="00DB0998"/>
    <w:rsid w:val="00DB273A"/>
    <w:rsid w:val="00DB3A8F"/>
    <w:rsid w:val="00DB3ACA"/>
    <w:rsid w:val="00DB4B90"/>
    <w:rsid w:val="00DC4155"/>
    <w:rsid w:val="00DC6EF6"/>
    <w:rsid w:val="00DC78CA"/>
    <w:rsid w:val="00DD0241"/>
    <w:rsid w:val="00DD55CB"/>
    <w:rsid w:val="00DD5EB3"/>
    <w:rsid w:val="00DE24B1"/>
    <w:rsid w:val="00DE3663"/>
    <w:rsid w:val="00DE6909"/>
    <w:rsid w:val="00DF1693"/>
    <w:rsid w:val="00DF7C44"/>
    <w:rsid w:val="00E01459"/>
    <w:rsid w:val="00E07F38"/>
    <w:rsid w:val="00E156FE"/>
    <w:rsid w:val="00E247E7"/>
    <w:rsid w:val="00E26B4A"/>
    <w:rsid w:val="00E31314"/>
    <w:rsid w:val="00E43633"/>
    <w:rsid w:val="00E50A47"/>
    <w:rsid w:val="00E51084"/>
    <w:rsid w:val="00E62402"/>
    <w:rsid w:val="00E6282E"/>
    <w:rsid w:val="00E62A42"/>
    <w:rsid w:val="00E641ED"/>
    <w:rsid w:val="00E66379"/>
    <w:rsid w:val="00E72DEC"/>
    <w:rsid w:val="00E85862"/>
    <w:rsid w:val="00E9046A"/>
    <w:rsid w:val="00E920D0"/>
    <w:rsid w:val="00E940B4"/>
    <w:rsid w:val="00E969D4"/>
    <w:rsid w:val="00EA1B6A"/>
    <w:rsid w:val="00EA3816"/>
    <w:rsid w:val="00EA76BF"/>
    <w:rsid w:val="00EB0B69"/>
    <w:rsid w:val="00EB3FBA"/>
    <w:rsid w:val="00EB7619"/>
    <w:rsid w:val="00EC5148"/>
    <w:rsid w:val="00EC56FB"/>
    <w:rsid w:val="00EC7CF7"/>
    <w:rsid w:val="00ED3FB0"/>
    <w:rsid w:val="00EE1242"/>
    <w:rsid w:val="00EE2A6F"/>
    <w:rsid w:val="00EE701E"/>
    <w:rsid w:val="00EF01DD"/>
    <w:rsid w:val="00EF19F8"/>
    <w:rsid w:val="00F10390"/>
    <w:rsid w:val="00F1641F"/>
    <w:rsid w:val="00F221DD"/>
    <w:rsid w:val="00F31DA8"/>
    <w:rsid w:val="00F35D3D"/>
    <w:rsid w:val="00F361CB"/>
    <w:rsid w:val="00F37369"/>
    <w:rsid w:val="00F409CD"/>
    <w:rsid w:val="00F47F2C"/>
    <w:rsid w:val="00F63F9E"/>
    <w:rsid w:val="00F675D9"/>
    <w:rsid w:val="00F67770"/>
    <w:rsid w:val="00F72EC9"/>
    <w:rsid w:val="00F752D8"/>
    <w:rsid w:val="00F75CFC"/>
    <w:rsid w:val="00F8374E"/>
    <w:rsid w:val="00F851DB"/>
    <w:rsid w:val="00F8558A"/>
    <w:rsid w:val="00F9508D"/>
    <w:rsid w:val="00F975B9"/>
    <w:rsid w:val="00FA35D0"/>
    <w:rsid w:val="00FB5A1D"/>
    <w:rsid w:val="00FB6951"/>
    <w:rsid w:val="00FC2683"/>
    <w:rsid w:val="00FC330E"/>
    <w:rsid w:val="00FD5BEE"/>
    <w:rsid w:val="00FE22EB"/>
    <w:rsid w:val="00FE6455"/>
    <w:rsid w:val="00FF64D0"/>
  </w:rsids>
  <m:mathPr>
    <m:mathFont m:val="Cambria Math"/>
    <m:brkBin m:val="before"/>
    <m:brkBinSub m:val="--"/>
    <m:smallFrac m:val="0"/>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220E146"/>
  <w15:docId w15:val="{9C1AAF97-A0F9-420C-9C87-1ECD18B1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4D0"/>
    <w:rPr>
      <w:sz w:val="24"/>
      <w:szCs w:val="20"/>
    </w:rPr>
  </w:style>
  <w:style w:type="paragraph" w:styleId="Heading2">
    <w:name w:val="heading 2"/>
    <w:basedOn w:val="Normal"/>
    <w:next w:val="Normal"/>
    <w:link w:val="Heading2Char"/>
    <w:uiPriority w:val="99"/>
    <w:qFormat/>
    <w:rsid w:val="00FF64D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D5FEE"/>
    <w:rPr>
      <w:rFonts w:asciiTheme="majorHAnsi" w:eastAsiaTheme="majorEastAsia" w:hAnsiTheme="majorHAnsi" w:cstheme="majorBidi"/>
      <w:b/>
      <w:bCs/>
      <w:i/>
      <w:iCs/>
      <w:sz w:val="28"/>
      <w:szCs w:val="28"/>
    </w:rPr>
  </w:style>
  <w:style w:type="paragraph" w:styleId="PlainText">
    <w:name w:val="Plain Text"/>
    <w:basedOn w:val="Normal"/>
    <w:link w:val="PlainTextChar"/>
    <w:uiPriority w:val="99"/>
    <w:rsid w:val="00FF64D0"/>
    <w:rPr>
      <w:rFonts w:ascii="Courier New" w:hAnsi="Courier New"/>
      <w:sz w:val="20"/>
    </w:rPr>
  </w:style>
  <w:style w:type="character" w:customStyle="1" w:styleId="PlainTextChar">
    <w:name w:val="Plain Text Char"/>
    <w:basedOn w:val="DefaultParagraphFont"/>
    <w:link w:val="PlainText"/>
    <w:uiPriority w:val="99"/>
    <w:semiHidden/>
    <w:rsid w:val="00CD5FEE"/>
    <w:rPr>
      <w:rFonts w:ascii="Courier New" w:hAnsi="Courier New" w:cs="Courier New"/>
      <w:sz w:val="20"/>
      <w:szCs w:val="20"/>
    </w:rPr>
  </w:style>
  <w:style w:type="paragraph" w:styleId="BodyTextIndent">
    <w:name w:val="Body Text Indent"/>
    <w:basedOn w:val="Normal"/>
    <w:link w:val="BodyTextIndentChar"/>
    <w:uiPriority w:val="99"/>
    <w:rsid w:val="00FF64D0"/>
    <w:pPr>
      <w:ind w:left="360"/>
    </w:pPr>
  </w:style>
  <w:style w:type="character" w:customStyle="1" w:styleId="BodyTextIndentChar">
    <w:name w:val="Body Text Indent Char"/>
    <w:basedOn w:val="DefaultParagraphFont"/>
    <w:link w:val="BodyTextIndent"/>
    <w:uiPriority w:val="99"/>
    <w:rsid w:val="00CD5FEE"/>
    <w:rPr>
      <w:sz w:val="24"/>
      <w:szCs w:val="20"/>
    </w:rPr>
  </w:style>
  <w:style w:type="character" w:styleId="Strong">
    <w:name w:val="Strong"/>
    <w:basedOn w:val="DefaultParagraphFont"/>
    <w:uiPriority w:val="99"/>
    <w:qFormat/>
    <w:rsid w:val="00FF64D0"/>
    <w:rPr>
      <w:rFonts w:cs="Times New Roman"/>
      <w:b/>
      <w:bCs/>
    </w:rPr>
  </w:style>
  <w:style w:type="paragraph" w:styleId="HTMLPreformatted">
    <w:name w:val="HTML Preformatted"/>
    <w:basedOn w:val="Normal"/>
    <w:link w:val="HTMLPreformattedChar"/>
    <w:uiPriority w:val="99"/>
    <w:rsid w:val="00FF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semiHidden/>
    <w:rsid w:val="00CD5FEE"/>
    <w:rPr>
      <w:rFonts w:ascii="Courier New" w:hAnsi="Courier New" w:cs="Courier New"/>
      <w:sz w:val="20"/>
      <w:szCs w:val="20"/>
    </w:rPr>
  </w:style>
  <w:style w:type="paragraph" w:styleId="Header">
    <w:name w:val="header"/>
    <w:basedOn w:val="Normal"/>
    <w:link w:val="HeaderChar"/>
    <w:uiPriority w:val="99"/>
    <w:rsid w:val="00FF64D0"/>
    <w:pPr>
      <w:tabs>
        <w:tab w:val="center" w:pos="4320"/>
        <w:tab w:val="right" w:pos="8640"/>
      </w:tabs>
    </w:pPr>
  </w:style>
  <w:style w:type="character" w:customStyle="1" w:styleId="HeaderChar">
    <w:name w:val="Header Char"/>
    <w:basedOn w:val="DefaultParagraphFont"/>
    <w:link w:val="Header"/>
    <w:uiPriority w:val="99"/>
    <w:semiHidden/>
    <w:rsid w:val="00CD5FEE"/>
    <w:rPr>
      <w:sz w:val="24"/>
      <w:szCs w:val="20"/>
    </w:rPr>
  </w:style>
  <w:style w:type="paragraph" w:styleId="Footer">
    <w:name w:val="footer"/>
    <w:basedOn w:val="Normal"/>
    <w:link w:val="FooterChar"/>
    <w:uiPriority w:val="99"/>
    <w:rsid w:val="00FF64D0"/>
    <w:pPr>
      <w:tabs>
        <w:tab w:val="center" w:pos="4320"/>
        <w:tab w:val="right" w:pos="8640"/>
      </w:tabs>
    </w:pPr>
  </w:style>
  <w:style w:type="character" w:customStyle="1" w:styleId="FooterChar">
    <w:name w:val="Footer Char"/>
    <w:basedOn w:val="DefaultParagraphFont"/>
    <w:link w:val="Footer"/>
    <w:uiPriority w:val="99"/>
    <w:semiHidden/>
    <w:rsid w:val="00CD5FEE"/>
    <w:rPr>
      <w:sz w:val="24"/>
      <w:szCs w:val="20"/>
    </w:rPr>
  </w:style>
  <w:style w:type="character" w:styleId="PageNumber">
    <w:name w:val="page number"/>
    <w:basedOn w:val="DefaultParagraphFont"/>
    <w:uiPriority w:val="99"/>
    <w:rsid w:val="00FF64D0"/>
    <w:rPr>
      <w:rFonts w:cs="Times New Roman"/>
    </w:rPr>
  </w:style>
  <w:style w:type="paragraph" w:styleId="BalloonText">
    <w:name w:val="Balloon Text"/>
    <w:basedOn w:val="Normal"/>
    <w:link w:val="BalloonTextChar"/>
    <w:uiPriority w:val="99"/>
    <w:semiHidden/>
    <w:rsid w:val="00FF64D0"/>
    <w:rPr>
      <w:rFonts w:ascii="Tahoma" w:hAnsi="Tahoma" w:cs="Tahoma"/>
      <w:sz w:val="16"/>
      <w:szCs w:val="16"/>
    </w:rPr>
  </w:style>
  <w:style w:type="character" w:customStyle="1" w:styleId="BalloonTextChar">
    <w:name w:val="Balloon Text Char"/>
    <w:basedOn w:val="DefaultParagraphFont"/>
    <w:link w:val="BalloonText"/>
    <w:uiPriority w:val="99"/>
    <w:semiHidden/>
    <w:rsid w:val="00CD5FEE"/>
    <w:rPr>
      <w:sz w:val="0"/>
      <w:szCs w:val="0"/>
    </w:rPr>
  </w:style>
  <w:style w:type="paragraph" w:styleId="Caption">
    <w:name w:val="caption"/>
    <w:basedOn w:val="Normal"/>
    <w:next w:val="Normal"/>
    <w:uiPriority w:val="99"/>
    <w:qFormat/>
    <w:rsid w:val="00FF64D0"/>
    <w:rPr>
      <w:b/>
      <w:bCs/>
      <w:sz w:val="20"/>
    </w:rPr>
  </w:style>
  <w:style w:type="character" w:styleId="CommentReference">
    <w:name w:val="annotation reference"/>
    <w:basedOn w:val="DefaultParagraphFont"/>
    <w:uiPriority w:val="99"/>
    <w:semiHidden/>
    <w:rsid w:val="005067C3"/>
    <w:rPr>
      <w:rFonts w:cs="Times New Roman"/>
      <w:sz w:val="16"/>
      <w:szCs w:val="16"/>
    </w:rPr>
  </w:style>
  <w:style w:type="paragraph" w:styleId="CommentText">
    <w:name w:val="annotation text"/>
    <w:basedOn w:val="Normal"/>
    <w:link w:val="CommentTextChar"/>
    <w:uiPriority w:val="99"/>
    <w:semiHidden/>
    <w:rsid w:val="005067C3"/>
    <w:rPr>
      <w:sz w:val="20"/>
    </w:rPr>
  </w:style>
  <w:style w:type="character" w:customStyle="1" w:styleId="CommentTextChar">
    <w:name w:val="Comment Text Char"/>
    <w:basedOn w:val="DefaultParagraphFont"/>
    <w:link w:val="CommentText"/>
    <w:uiPriority w:val="99"/>
    <w:semiHidden/>
    <w:rsid w:val="00CD5FEE"/>
    <w:rPr>
      <w:sz w:val="20"/>
      <w:szCs w:val="20"/>
    </w:rPr>
  </w:style>
  <w:style w:type="paragraph" w:styleId="CommentSubject">
    <w:name w:val="annotation subject"/>
    <w:basedOn w:val="CommentText"/>
    <w:next w:val="CommentText"/>
    <w:link w:val="CommentSubjectChar"/>
    <w:uiPriority w:val="99"/>
    <w:semiHidden/>
    <w:rsid w:val="005067C3"/>
    <w:rPr>
      <w:b/>
      <w:bCs/>
    </w:rPr>
  </w:style>
  <w:style w:type="character" w:customStyle="1" w:styleId="CommentSubjectChar">
    <w:name w:val="Comment Subject Char"/>
    <w:basedOn w:val="CommentTextChar"/>
    <w:link w:val="CommentSubject"/>
    <w:uiPriority w:val="99"/>
    <w:semiHidden/>
    <w:rsid w:val="00CD5FEE"/>
    <w:rPr>
      <w:b/>
      <w:bCs/>
      <w:sz w:val="20"/>
      <w:szCs w:val="20"/>
    </w:rPr>
  </w:style>
  <w:style w:type="table" w:styleId="TableGrid">
    <w:name w:val="Table Grid"/>
    <w:basedOn w:val="TableNormal"/>
    <w:uiPriority w:val="99"/>
    <w:rsid w:val="002E4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287"/>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4056</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Hue, Trisha</cp:lastModifiedBy>
  <cp:revision>10</cp:revision>
  <cp:lastPrinted>2008-10-11T00:44:00Z</cp:lastPrinted>
  <dcterms:created xsi:type="dcterms:W3CDTF">2015-10-13T17:15:00Z</dcterms:created>
  <dcterms:modified xsi:type="dcterms:W3CDTF">2015-10-13T17:45:00Z</dcterms:modified>
</cp:coreProperties>
</file>