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A1C9" w14:textId="77777777" w:rsidR="00FE62D0" w:rsidRDefault="005906C3" w:rsidP="00FE62D0">
      <w:pPr>
        <w:pStyle w:val="HTMLPreformatted"/>
        <w:jc w:val="center"/>
        <w:rPr>
          <w:rFonts w:ascii="Arial" w:hAnsi="Arial" w:cs="Arial"/>
          <w:b/>
          <w:color w:val="000000"/>
          <w:sz w:val="22"/>
        </w:rPr>
      </w:pPr>
      <w:proofErr w:type="spellStart"/>
      <w:r>
        <w:rPr>
          <w:rFonts w:ascii="Arial" w:hAnsi="Arial" w:cs="Arial"/>
          <w:b/>
          <w:color w:val="000000"/>
          <w:sz w:val="22"/>
        </w:rPr>
        <w:t>Epi</w:t>
      </w:r>
      <w:proofErr w:type="spellEnd"/>
      <w:r>
        <w:rPr>
          <w:rFonts w:ascii="Arial" w:hAnsi="Arial" w:cs="Arial"/>
          <w:b/>
          <w:color w:val="000000"/>
          <w:sz w:val="22"/>
        </w:rPr>
        <w:t xml:space="preserve"> 204 Chapter 7 and 8</w:t>
      </w:r>
      <w:r w:rsidR="00FE62D0">
        <w:rPr>
          <w:rFonts w:ascii="Arial" w:hAnsi="Arial" w:cs="Arial"/>
          <w:b/>
          <w:color w:val="000000"/>
          <w:sz w:val="22"/>
        </w:rPr>
        <w:t xml:space="preserve">, Problem Set </w:t>
      </w:r>
      <w:r>
        <w:rPr>
          <w:rFonts w:ascii="Arial" w:hAnsi="Arial" w:cs="Arial"/>
          <w:b/>
          <w:color w:val="000000"/>
          <w:sz w:val="22"/>
        </w:rPr>
        <w:t>7</w:t>
      </w:r>
    </w:p>
    <w:p w14:paraId="6F6D9061" w14:textId="77777777" w:rsidR="005906C3" w:rsidRDefault="005906C3" w:rsidP="00FE62D0">
      <w:pPr>
        <w:pStyle w:val="HTMLPreformatted"/>
        <w:jc w:val="center"/>
        <w:rPr>
          <w:rFonts w:ascii="Arial" w:hAnsi="Arial" w:cs="Arial"/>
          <w:b/>
          <w:color w:val="000000"/>
          <w:sz w:val="22"/>
        </w:rPr>
      </w:pPr>
      <w:r>
        <w:rPr>
          <w:rFonts w:ascii="Arial" w:hAnsi="Arial" w:cs="Arial"/>
          <w:b/>
          <w:color w:val="000000"/>
          <w:sz w:val="22"/>
        </w:rPr>
        <w:t>Prognostic Tests and Multivariable Models</w:t>
      </w:r>
    </w:p>
    <w:p w14:paraId="5948DCD0" w14:textId="77777777" w:rsidR="00FE62D0" w:rsidRDefault="00FE62D0" w:rsidP="00FE62D0">
      <w:pPr>
        <w:pStyle w:val="HTMLPreformatted"/>
        <w:jc w:val="center"/>
        <w:rPr>
          <w:rFonts w:ascii="Arial" w:hAnsi="Arial" w:cs="Arial"/>
          <w:b/>
          <w:color w:val="000000"/>
          <w:sz w:val="22"/>
        </w:rPr>
      </w:pPr>
      <w:r>
        <w:rPr>
          <w:rFonts w:ascii="Arial" w:hAnsi="Arial" w:cs="Arial"/>
          <w:b/>
          <w:color w:val="000000"/>
          <w:sz w:val="22"/>
        </w:rPr>
        <w:t>Due 1 pm 10/22/2015</w:t>
      </w:r>
    </w:p>
    <w:p w14:paraId="5B4BEFE7" w14:textId="77777777" w:rsidR="008A48BA" w:rsidRPr="008A48BA" w:rsidRDefault="008A48BA" w:rsidP="008A48BA">
      <w:pPr>
        <w:pStyle w:val="HTMLPreformatted"/>
        <w:rPr>
          <w:rFonts w:ascii="Arial" w:hAnsi="Arial" w:cs="Arial"/>
          <w:b/>
          <w:color w:val="000000"/>
          <w:sz w:val="24"/>
          <w:szCs w:val="24"/>
        </w:rPr>
      </w:pPr>
    </w:p>
    <w:p w14:paraId="0B3F50AE" w14:textId="77777777" w:rsidR="00FE62D0" w:rsidRDefault="00FE62D0" w:rsidP="008A48BA">
      <w:pPr>
        <w:pStyle w:val="HTMLPreformatted"/>
        <w:rPr>
          <w:rFonts w:ascii="Arial" w:hAnsi="Arial" w:cs="Arial"/>
          <w:b/>
          <w:color w:val="000000"/>
          <w:sz w:val="24"/>
          <w:szCs w:val="24"/>
        </w:rPr>
      </w:pPr>
    </w:p>
    <w:p w14:paraId="1706DBEF" w14:textId="77777777" w:rsidR="00FE62D0" w:rsidRDefault="00FE62D0" w:rsidP="00FE62D0">
      <w:pPr>
        <w:tabs>
          <w:tab w:val="center" w:pos="4680"/>
        </w:tabs>
        <w:suppressAutoHyphens/>
        <w:outlineLvl w:val="0"/>
        <w:rPr>
          <w:sz w:val="24"/>
          <w:szCs w:val="24"/>
        </w:rPr>
      </w:pPr>
      <w:r w:rsidRPr="00FE62D0">
        <w:rPr>
          <w:sz w:val="24"/>
          <w:szCs w:val="24"/>
        </w:rPr>
        <w:t>Do problem</w:t>
      </w:r>
      <w:r w:rsidR="005906C3">
        <w:rPr>
          <w:sz w:val="24"/>
          <w:szCs w:val="24"/>
        </w:rPr>
        <w:t>s 7.2 and 7</w:t>
      </w:r>
      <w:r>
        <w:rPr>
          <w:sz w:val="24"/>
          <w:szCs w:val="24"/>
        </w:rPr>
        <w:t xml:space="preserve">.5 from </w:t>
      </w:r>
      <w:r w:rsidRPr="00FE62D0">
        <w:rPr>
          <w:sz w:val="24"/>
          <w:szCs w:val="24"/>
        </w:rPr>
        <w:t xml:space="preserve">EBD Chapter </w:t>
      </w:r>
      <w:r w:rsidR="005906C3">
        <w:rPr>
          <w:sz w:val="24"/>
          <w:szCs w:val="24"/>
        </w:rPr>
        <w:t>7</w:t>
      </w:r>
      <w:r w:rsidRPr="00FE62D0">
        <w:rPr>
          <w:sz w:val="24"/>
          <w:szCs w:val="24"/>
        </w:rPr>
        <w:t>.</w:t>
      </w:r>
    </w:p>
    <w:p w14:paraId="7D30268E" w14:textId="77777777" w:rsidR="005906C3" w:rsidRDefault="005906C3" w:rsidP="00FE62D0">
      <w:pPr>
        <w:tabs>
          <w:tab w:val="center" w:pos="4680"/>
        </w:tabs>
        <w:suppressAutoHyphens/>
        <w:outlineLvl w:val="0"/>
        <w:rPr>
          <w:sz w:val="24"/>
          <w:szCs w:val="24"/>
        </w:rPr>
      </w:pPr>
      <w:r>
        <w:rPr>
          <w:sz w:val="24"/>
          <w:szCs w:val="24"/>
        </w:rPr>
        <w:t>Do problem 8.2 from EBD Chapter 8.</w:t>
      </w:r>
    </w:p>
    <w:p w14:paraId="3B440169" w14:textId="77777777" w:rsidR="005906C3" w:rsidRPr="00FE62D0" w:rsidRDefault="005906C3" w:rsidP="00FE62D0">
      <w:pPr>
        <w:tabs>
          <w:tab w:val="center" w:pos="4680"/>
        </w:tabs>
        <w:suppressAutoHyphens/>
        <w:outlineLvl w:val="0"/>
        <w:rPr>
          <w:sz w:val="24"/>
          <w:szCs w:val="24"/>
        </w:rPr>
      </w:pPr>
    </w:p>
    <w:p w14:paraId="3AF6DB4F" w14:textId="77777777" w:rsidR="00FE62D0" w:rsidRPr="00FE62D0" w:rsidRDefault="00FE62D0" w:rsidP="00FE62D0">
      <w:pPr>
        <w:tabs>
          <w:tab w:val="center" w:pos="4680"/>
        </w:tabs>
        <w:suppressAutoHyphens/>
        <w:outlineLvl w:val="0"/>
        <w:rPr>
          <w:sz w:val="24"/>
          <w:szCs w:val="24"/>
        </w:rPr>
      </w:pPr>
      <w:r w:rsidRPr="00FE62D0">
        <w:rPr>
          <w:sz w:val="24"/>
          <w:szCs w:val="24"/>
        </w:rPr>
        <w:t xml:space="preserve">Do additional problems </w:t>
      </w:r>
      <w:r w:rsidR="005906C3">
        <w:rPr>
          <w:sz w:val="24"/>
          <w:szCs w:val="24"/>
        </w:rPr>
        <w:t>7.12 and 7.13 below.</w:t>
      </w:r>
    </w:p>
    <w:p w14:paraId="2B482816" w14:textId="77777777" w:rsidR="00FE62D0" w:rsidRDefault="00FE62D0" w:rsidP="008A48BA">
      <w:pPr>
        <w:pStyle w:val="HTMLPreformatted"/>
        <w:rPr>
          <w:rFonts w:ascii="Arial" w:hAnsi="Arial" w:cs="Arial"/>
          <w:b/>
          <w:color w:val="000000"/>
          <w:sz w:val="24"/>
          <w:szCs w:val="24"/>
        </w:rPr>
      </w:pPr>
    </w:p>
    <w:p w14:paraId="0A36AB4A" w14:textId="77777777" w:rsidR="005906C3" w:rsidRPr="007C2B61" w:rsidRDefault="005906C3" w:rsidP="005906C3">
      <w:pPr>
        <w:pStyle w:val="Heading1"/>
        <w:rPr>
          <w:rFonts w:ascii="Times New Roman" w:hAnsi="Times New Roman" w:cs="Times New Roman"/>
          <w:b w:val="0"/>
          <w:bCs w:val="0"/>
          <w:kern w:val="0"/>
          <w:sz w:val="22"/>
          <w:szCs w:val="22"/>
        </w:rPr>
      </w:pPr>
      <w:r>
        <w:rPr>
          <w:rFonts w:ascii="Times New Roman" w:hAnsi="Times New Roman" w:cs="Times New Roman"/>
          <w:bCs w:val="0"/>
          <w:kern w:val="0"/>
          <w:sz w:val="22"/>
          <w:szCs w:val="22"/>
        </w:rPr>
        <w:t xml:space="preserve">7.12. </w:t>
      </w:r>
      <w:r>
        <w:rPr>
          <w:rFonts w:ascii="Times New Roman" w:hAnsi="Times New Roman" w:cs="Times New Roman"/>
          <w:b w:val="0"/>
          <w:bCs w:val="0"/>
          <w:kern w:val="0"/>
          <w:sz w:val="22"/>
          <w:szCs w:val="22"/>
        </w:rPr>
        <w:t xml:space="preserve">(From the 2013 final after editing) </w:t>
      </w:r>
      <w:r w:rsidRPr="007C2B61">
        <w:rPr>
          <w:rFonts w:ascii="Times New Roman" w:hAnsi="Times New Roman" w:cs="Times New Roman"/>
          <w:b w:val="0"/>
          <w:bCs w:val="0"/>
          <w:kern w:val="0"/>
          <w:sz w:val="22"/>
          <w:szCs w:val="22"/>
        </w:rPr>
        <w:t>A recent New York Times story, “Risk Calculator for Cholesterol Appears Flawed”</w:t>
      </w:r>
      <w:r w:rsidRPr="007C2B61">
        <w:rPr>
          <w:rStyle w:val="FootnoteReference"/>
          <w:rFonts w:ascii="Times New Roman" w:hAnsi="Times New Roman"/>
          <w:b w:val="0"/>
          <w:bCs w:val="0"/>
          <w:kern w:val="0"/>
          <w:sz w:val="22"/>
          <w:szCs w:val="22"/>
        </w:rPr>
        <w:footnoteReference w:id="1"/>
      </w:r>
      <w:r w:rsidRPr="007C2B61">
        <w:rPr>
          <w:rFonts w:ascii="Times New Roman" w:hAnsi="Times New Roman" w:cs="Times New Roman"/>
          <w:b w:val="0"/>
          <w:bCs w:val="0"/>
          <w:kern w:val="0"/>
          <w:sz w:val="22"/>
          <w:szCs w:val="22"/>
        </w:rPr>
        <w:t xml:space="preserve"> includes the following:</w:t>
      </w:r>
    </w:p>
    <w:p w14:paraId="6E55DA72" w14:textId="77777777" w:rsidR="005906C3" w:rsidRPr="00050522" w:rsidRDefault="005906C3" w:rsidP="005906C3">
      <w:pPr>
        <w:pStyle w:val="Heading1"/>
        <w:rPr>
          <w:rFonts w:ascii="Times" w:hAnsi="Times"/>
          <w:b w:val="0"/>
          <w:sz w:val="20"/>
          <w:szCs w:val="20"/>
        </w:rPr>
      </w:pPr>
      <w:r w:rsidRPr="00050522">
        <w:rPr>
          <w:rFonts w:ascii="Times New Roman" w:hAnsi="Times New Roman" w:cs="Times New Roman"/>
          <w:b w:val="0"/>
          <w:sz w:val="20"/>
          <w:szCs w:val="20"/>
        </w:rPr>
        <w:t xml:space="preserve">“Last week, the nation’s leading heart organizations released </w:t>
      </w:r>
      <w:r w:rsidRPr="00050522">
        <w:rPr>
          <w:rFonts w:ascii="Times" w:hAnsi="Times"/>
          <w:b w:val="0"/>
          <w:sz w:val="20"/>
          <w:szCs w:val="20"/>
        </w:rPr>
        <w:t xml:space="preserve">a sweeping new set of guidelines for lowering </w:t>
      </w:r>
      <w:hyperlink r:id="rId9" w:tooltip="In-depth reference and news articles about Cholesterol." w:history="1">
        <w:r w:rsidRPr="00050522">
          <w:rPr>
            <w:rFonts w:ascii="Times" w:hAnsi="Times"/>
            <w:b w:val="0"/>
            <w:sz w:val="20"/>
            <w:szCs w:val="20"/>
          </w:rPr>
          <w:t>cholesterol</w:t>
        </w:r>
      </w:hyperlink>
      <w:r w:rsidRPr="00050522">
        <w:rPr>
          <w:rFonts w:ascii="Times" w:hAnsi="Times"/>
          <w:b w:val="0"/>
          <w:sz w:val="20"/>
          <w:szCs w:val="20"/>
        </w:rPr>
        <w:t xml:space="preserve">, along with an </w:t>
      </w:r>
      <w:hyperlink r:id="rId10" w:tooltip="Risk calculator" w:history="1">
        <w:r w:rsidRPr="00050522">
          <w:rPr>
            <w:rFonts w:ascii="Times" w:hAnsi="Times"/>
            <w:b w:val="0"/>
            <w:sz w:val="20"/>
            <w:szCs w:val="20"/>
          </w:rPr>
          <w:t>online calculator</w:t>
        </w:r>
      </w:hyperlink>
      <w:r w:rsidRPr="00050522">
        <w:rPr>
          <w:rFonts w:ascii="Times" w:hAnsi="Times"/>
          <w:b w:val="0"/>
          <w:sz w:val="20"/>
          <w:szCs w:val="20"/>
        </w:rPr>
        <w:t xml:space="preserve"> meant to help doctors assess risks and treatment options. But, in a major embarrassment to the health groups, the calculator appears to greatly overestimate risk...” </w:t>
      </w:r>
    </w:p>
    <w:p w14:paraId="6EAA39D4" w14:textId="77777777" w:rsidR="005906C3" w:rsidRPr="00050522" w:rsidRDefault="005906C3" w:rsidP="005906C3">
      <w:pPr>
        <w:pStyle w:val="NormalWeb"/>
        <w:rPr>
          <w:sz w:val="20"/>
          <w:szCs w:val="20"/>
        </w:rPr>
      </w:pPr>
      <w:r w:rsidRPr="00050522">
        <w:rPr>
          <w:sz w:val="20"/>
          <w:szCs w:val="20"/>
        </w:rPr>
        <w:t xml:space="preserve">“After they saw the guidelines and the calculator, Dr. </w:t>
      </w:r>
      <w:proofErr w:type="spellStart"/>
      <w:r w:rsidRPr="00050522">
        <w:rPr>
          <w:sz w:val="20"/>
          <w:szCs w:val="20"/>
        </w:rPr>
        <w:t>Ridker</w:t>
      </w:r>
      <w:proofErr w:type="spellEnd"/>
      <w:r w:rsidRPr="00050522">
        <w:rPr>
          <w:sz w:val="20"/>
          <w:szCs w:val="20"/>
        </w:rPr>
        <w:t xml:space="preserve"> and Dr. Cook evaluated it using three large studies... They knew the subjects’ characteristics at the start... Then they asked how many had heart attacks or strokes in the next 10 years and how many would the risk calculator predict. </w:t>
      </w:r>
    </w:p>
    <w:p w14:paraId="137961F2" w14:textId="77777777" w:rsidR="005906C3" w:rsidRPr="00050522" w:rsidRDefault="005906C3" w:rsidP="005906C3">
      <w:pPr>
        <w:pStyle w:val="NormalWeb"/>
        <w:rPr>
          <w:sz w:val="20"/>
          <w:szCs w:val="20"/>
        </w:rPr>
      </w:pPr>
      <w:r w:rsidRPr="00050522">
        <w:rPr>
          <w:sz w:val="20"/>
          <w:szCs w:val="20"/>
        </w:rPr>
        <w:t xml:space="preserve">“The answer was that the calculator </w:t>
      </w:r>
      <w:proofErr w:type="spellStart"/>
      <w:r w:rsidRPr="00050522">
        <w:rPr>
          <w:sz w:val="20"/>
          <w:szCs w:val="20"/>
        </w:rPr>
        <w:t>overpredicted</w:t>
      </w:r>
      <w:proofErr w:type="spellEnd"/>
      <w:r w:rsidRPr="00050522">
        <w:rPr>
          <w:sz w:val="20"/>
          <w:szCs w:val="20"/>
        </w:rPr>
        <w:t xml:space="preserve"> risk by 75 to 150 percent, depending on the population. A man whose risk was 4 percent, for example, might show up as having an 8 percent risk. With a 4 percent risk, he would not warrant treatment — the guidelines that say treatment is advised for those with at least a 7.5 percent risk and that treatment can be considered for those whose risk is 5 percent.”</w:t>
      </w:r>
    </w:p>
    <w:p w14:paraId="32AF31FE" w14:textId="77777777" w:rsidR="005906C3" w:rsidRPr="00FE65B4" w:rsidRDefault="005906C3" w:rsidP="005906C3">
      <w:pPr>
        <w:numPr>
          <w:ilvl w:val="1"/>
          <w:numId w:val="28"/>
        </w:numPr>
        <w:overflowPunct/>
        <w:autoSpaceDE/>
        <w:autoSpaceDN/>
        <w:adjustRightInd/>
        <w:spacing w:before="100" w:beforeAutospacing="1" w:after="100" w:afterAutospacing="1"/>
        <w:ind w:left="90" w:firstLine="0"/>
        <w:contextualSpacing/>
        <w:textAlignment w:val="auto"/>
        <w:rPr>
          <w:sz w:val="22"/>
          <w:szCs w:val="22"/>
        </w:rPr>
      </w:pPr>
      <w:r w:rsidRPr="00FE65B4">
        <w:rPr>
          <w:sz w:val="22"/>
          <w:szCs w:val="22"/>
        </w:rPr>
        <w:t>Is this a problem with discrimination or calibration?  Explain.</w:t>
      </w:r>
    </w:p>
    <w:p w14:paraId="061DB624" w14:textId="77777777" w:rsidR="005906C3" w:rsidRDefault="005906C3" w:rsidP="005906C3">
      <w:pPr>
        <w:spacing w:before="100" w:beforeAutospacing="1" w:after="100" w:afterAutospacing="1"/>
        <w:ind w:firstLine="360"/>
        <w:rPr>
          <w:b/>
          <w:sz w:val="22"/>
          <w:szCs w:val="22"/>
        </w:rPr>
      </w:pPr>
    </w:p>
    <w:p w14:paraId="3CE146E4" w14:textId="77777777" w:rsidR="005906C3" w:rsidRDefault="005906C3" w:rsidP="005906C3">
      <w:pPr>
        <w:spacing w:before="100" w:beforeAutospacing="1" w:after="100" w:afterAutospacing="1"/>
        <w:rPr>
          <w:rFonts w:ascii="Arial" w:hAnsi="Arial" w:cs="Arial"/>
          <w:sz w:val="22"/>
          <w:szCs w:val="22"/>
        </w:rPr>
      </w:pPr>
      <w:r>
        <w:rPr>
          <w:rFonts w:ascii="Arial" w:hAnsi="Arial" w:cs="Arial"/>
          <w:sz w:val="22"/>
          <w:szCs w:val="22"/>
        </w:rPr>
        <w:br w:type="page"/>
      </w:r>
    </w:p>
    <w:p w14:paraId="29695B11" w14:textId="77777777" w:rsidR="005906C3" w:rsidRPr="00DE59D4" w:rsidRDefault="005906C3" w:rsidP="005906C3">
      <w:pPr>
        <w:spacing w:before="100" w:beforeAutospacing="1" w:after="100" w:afterAutospacing="1"/>
        <w:rPr>
          <w:rFonts w:ascii="Arial" w:hAnsi="Arial" w:cs="Arial"/>
          <w:sz w:val="22"/>
          <w:szCs w:val="22"/>
        </w:rPr>
      </w:pPr>
      <w:r w:rsidRPr="007C2B61">
        <w:rPr>
          <w:rFonts w:ascii="Arial" w:hAnsi="Arial" w:cs="Arial"/>
          <w:sz w:val="22"/>
          <w:szCs w:val="22"/>
        </w:rPr>
        <w:lastRenderedPageBreak/>
        <w:br/>
      </w:r>
      <w:r w:rsidR="00E243A5">
        <w:rPr>
          <w:rFonts w:ascii="Arial" w:hAnsi="Arial" w:cs="Arial"/>
          <w:noProof/>
          <w:sz w:val="22"/>
          <w:szCs w:val="22"/>
        </w:rPr>
        <w:drawing>
          <wp:inline distT="0" distB="0" distL="0" distR="0" wp14:anchorId="69E46D57" wp14:editId="7B439DC9">
            <wp:extent cx="5401945" cy="1693545"/>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1693545"/>
                    </a:xfrm>
                    <a:prstGeom prst="rect">
                      <a:avLst/>
                    </a:prstGeom>
                    <a:noFill/>
                    <a:ln>
                      <a:noFill/>
                    </a:ln>
                  </pic:spPr>
                </pic:pic>
              </a:graphicData>
            </a:graphic>
          </wp:inline>
        </w:drawing>
      </w:r>
    </w:p>
    <w:p w14:paraId="49D76488" w14:textId="77777777" w:rsidR="005906C3" w:rsidRPr="003F5DF9" w:rsidRDefault="005906C3" w:rsidP="005906C3">
      <w:pPr>
        <w:numPr>
          <w:ilvl w:val="1"/>
          <w:numId w:val="28"/>
        </w:numPr>
        <w:overflowPunct/>
        <w:autoSpaceDE/>
        <w:autoSpaceDN/>
        <w:adjustRightInd/>
        <w:spacing w:before="100" w:beforeAutospacing="1" w:after="100" w:afterAutospacing="1"/>
        <w:ind w:left="270" w:hanging="270"/>
        <w:contextualSpacing/>
        <w:textAlignment w:val="auto"/>
        <w:rPr>
          <w:sz w:val="22"/>
          <w:szCs w:val="22"/>
        </w:rPr>
      </w:pPr>
      <w:r w:rsidRPr="003F5DF9">
        <w:rPr>
          <w:sz w:val="22"/>
          <w:szCs w:val="22"/>
        </w:rPr>
        <w:t xml:space="preserve">The guidelines recommend estimating each subject’s risk using a cardiovascular risk calculator, then managing based on whether the predicted 10-year risk is &lt;5%, 5-7.4%, 7.5-9.9%, or ≥ 10%.  The NYT article included a graph of the overestimation, above, which many of your instructors found confusing.  Josh </w:t>
      </w:r>
      <w:proofErr w:type="spellStart"/>
      <w:r>
        <w:rPr>
          <w:sz w:val="22"/>
          <w:szCs w:val="22"/>
        </w:rPr>
        <w:t>Galanter</w:t>
      </w:r>
      <w:proofErr w:type="spellEnd"/>
      <w:r>
        <w:rPr>
          <w:sz w:val="22"/>
          <w:szCs w:val="22"/>
        </w:rPr>
        <w:t xml:space="preserve"> (faculty member for 2013 course) </w:t>
      </w:r>
      <w:r w:rsidRPr="003F5DF9">
        <w:rPr>
          <w:sz w:val="22"/>
          <w:szCs w:val="22"/>
        </w:rPr>
        <w:t>gallantly created a calibration plot from these data (below), which should look more familiar.  Explain briefly, step by step, how the data to produce figures like these would be obtained. (Hint: the X-axis in each case groups patients with predicted risks in the categories above.)</w:t>
      </w:r>
      <w:r w:rsidRPr="003F5DF9">
        <w:rPr>
          <w:sz w:val="22"/>
          <w:szCs w:val="22"/>
        </w:rPr>
        <w:br/>
      </w:r>
    </w:p>
    <w:p w14:paraId="67388893" w14:textId="77777777" w:rsidR="005906C3" w:rsidRDefault="00E243A5" w:rsidP="005906C3">
      <w:pPr>
        <w:spacing w:before="100" w:beforeAutospacing="1" w:after="100" w:afterAutospacing="1"/>
        <w:ind w:left="-180"/>
        <w:rPr>
          <w:rFonts w:ascii="Arial" w:hAnsi="Arial" w:cs="Arial"/>
          <w:noProof/>
          <w:sz w:val="22"/>
          <w:szCs w:val="22"/>
        </w:rPr>
      </w:pPr>
      <w:r>
        <w:rPr>
          <w:rFonts w:ascii="Arial" w:hAnsi="Arial" w:cs="Arial"/>
          <w:noProof/>
          <w:sz w:val="22"/>
          <w:szCs w:val="22"/>
        </w:rPr>
        <w:drawing>
          <wp:inline distT="0" distB="0" distL="0" distR="0" wp14:anchorId="6C091989" wp14:editId="34257DCD">
            <wp:extent cx="5393055" cy="209105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3055" cy="2091055"/>
                    </a:xfrm>
                    <a:prstGeom prst="rect">
                      <a:avLst/>
                    </a:prstGeom>
                    <a:noFill/>
                    <a:ln>
                      <a:noFill/>
                    </a:ln>
                  </pic:spPr>
                </pic:pic>
              </a:graphicData>
            </a:graphic>
          </wp:inline>
        </w:drawing>
      </w:r>
    </w:p>
    <w:p w14:paraId="7EDC6111" w14:textId="77777777" w:rsidR="005906C3" w:rsidRDefault="005906C3" w:rsidP="005906C3">
      <w:pPr>
        <w:spacing w:before="100" w:beforeAutospacing="1" w:after="100" w:afterAutospacing="1"/>
        <w:ind w:left="360"/>
        <w:contextualSpacing/>
        <w:rPr>
          <w:rFonts w:ascii="Arial" w:hAnsi="Arial" w:cs="Arial"/>
          <w:b/>
          <w:sz w:val="22"/>
          <w:szCs w:val="22"/>
        </w:rPr>
      </w:pPr>
    </w:p>
    <w:p w14:paraId="6784B811" w14:textId="77777777" w:rsidR="005906C3" w:rsidRDefault="005906C3" w:rsidP="005906C3">
      <w:pPr>
        <w:spacing w:before="100" w:beforeAutospacing="1" w:after="100" w:afterAutospacing="1"/>
        <w:ind w:left="360"/>
        <w:contextualSpacing/>
        <w:rPr>
          <w:rFonts w:ascii="Arial" w:hAnsi="Arial" w:cs="Arial"/>
          <w:b/>
          <w:sz w:val="22"/>
          <w:szCs w:val="22"/>
        </w:rPr>
      </w:pPr>
    </w:p>
    <w:p w14:paraId="69965DC8" w14:textId="77777777" w:rsidR="005906C3" w:rsidRDefault="005906C3" w:rsidP="005906C3">
      <w:pPr>
        <w:spacing w:before="100" w:beforeAutospacing="1" w:after="100" w:afterAutospacing="1"/>
        <w:ind w:left="360"/>
        <w:contextualSpacing/>
        <w:rPr>
          <w:rFonts w:ascii="Arial" w:hAnsi="Arial" w:cs="Arial"/>
          <w:b/>
          <w:sz w:val="22"/>
          <w:szCs w:val="22"/>
        </w:rPr>
      </w:pPr>
    </w:p>
    <w:p w14:paraId="4898BA4A" w14:textId="77777777" w:rsidR="005906C3" w:rsidRPr="00460A97" w:rsidRDefault="005906C3" w:rsidP="005906C3">
      <w:pPr>
        <w:spacing w:before="100" w:beforeAutospacing="1" w:after="100" w:afterAutospacing="1"/>
        <w:ind w:left="360"/>
        <w:contextualSpacing/>
        <w:rPr>
          <w:rStyle w:val="paragraph"/>
          <w:rFonts w:ascii="Arial" w:hAnsi="Arial"/>
          <w:b/>
          <w:sz w:val="22"/>
        </w:rPr>
      </w:pPr>
    </w:p>
    <w:p w14:paraId="262F93A8" w14:textId="77777777" w:rsidR="005906C3" w:rsidRPr="00460A97" w:rsidRDefault="005906C3" w:rsidP="005906C3">
      <w:pPr>
        <w:numPr>
          <w:ilvl w:val="1"/>
          <w:numId w:val="28"/>
        </w:numPr>
        <w:overflowPunct/>
        <w:autoSpaceDE/>
        <w:autoSpaceDN/>
        <w:adjustRightInd/>
        <w:spacing w:before="100" w:beforeAutospacing="1" w:after="100" w:afterAutospacing="1"/>
        <w:ind w:left="270" w:hanging="270"/>
        <w:contextualSpacing/>
        <w:textAlignment w:val="auto"/>
        <w:rPr>
          <w:rStyle w:val="paragraph"/>
          <w:sz w:val="22"/>
          <w:szCs w:val="22"/>
        </w:rPr>
      </w:pPr>
      <w:r w:rsidRPr="00460A97">
        <w:rPr>
          <w:rStyle w:val="paragraph"/>
          <w:sz w:val="22"/>
        </w:rPr>
        <w:t xml:space="preserve">If </w:t>
      </w:r>
      <w:r w:rsidRPr="00940715">
        <w:rPr>
          <w:rStyle w:val="paragraph"/>
          <w:sz w:val="22"/>
          <w:szCs w:val="22"/>
        </w:rPr>
        <w:t>we</w:t>
      </w:r>
      <w:r w:rsidRPr="00895586">
        <w:rPr>
          <w:rStyle w:val="paragraph"/>
        </w:rPr>
        <w:t xml:space="preserve"> assume that, in fact, the risk calculator is overestimating risk, what more do you </w:t>
      </w:r>
      <w:proofErr w:type="gramStart"/>
      <w:r w:rsidRPr="00895586">
        <w:rPr>
          <w:rStyle w:val="paragraph"/>
        </w:rPr>
        <w:t>need to know to conclude that using these overestimated risks with the treatment thresholds in the guidelines will</w:t>
      </w:r>
      <w:proofErr w:type="gramEnd"/>
      <w:r w:rsidRPr="00895586">
        <w:rPr>
          <w:rStyle w:val="paragraph"/>
        </w:rPr>
        <w:t xml:space="preserve"> lead to </w:t>
      </w:r>
      <w:r>
        <w:rPr>
          <w:rStyle w:val="paragraph"/>
        </w:rPr>
        <w:t>excessive treatment?  Explain.</w:t>
      </w:r>
    </w:p>
    <w:p w14:paraId="0A4067A8" w14:textId="77777777" w:rsidR="005906C3" w:rsidRPr="00940715" w:rsidRDefault="005906C3" w:rsidP="005906C3">
      <w:pPr>
        <w:spacing w:before="100" w:beforeAutospacing="1" w:after="100" w:afterAutospacing="1"/>
        <w:ind w:left="360"/>
        <w:contextualSpacing/>
        <w:rPr>
          <w:rStyle w:val="paragraph"/>
          <w:sz w:val="22"/>
          <w:szCs w:val="22"/>
        </w:rPr>
      </w:pPr>
    </w:p>
    <w:p w14:paraId="63D5406A" w14:textId="77777777" w:rsidR="005906C3" w:rsidRPr="00AB0A73" w:rsidRDefault="005906C3" w:rsidP="005906C3">
      <w:pPr>
        <w:pStyle w:val="ListParagraph"/>
        <w:ind w:left="360"/>
        <w:rPr>
          <w:b/>
          <w:i/>
        </w:rPr>
      </w:pPr>
      <w:r>
        <w:rPr>
          <w:b/>
          <w:i/>
        </w:rPr>
        <w:br w:type="page"/>
      </w:r>
    </w:p>
    <w:p w14:paraId="07151F0B" w14:textId="77777777" w:rsidR="005906C3" w:rsidRPr="00AB0A73" w:rsidRDefault="005906C3" w:rsidP="005906C3">
      <w:pPr>
        <w:rPr>
          <w:b/>
        </w:rPr>
      </w:pPr>
    </w:p>
    <w:p w14:paraId="50549820" w14:textId="77777777" w:rsidR="005906C3" w:rsidRDefault="005906C3" w:rsidP="005906C3">
      <w:pPr>
        <w:pStyle w:val="FootnoteText"/>
      </w:pPr>
      <w:r w:rsidRPr="00A83993">
        <w:rPr>
          <w:b/>
        </w:rPr>
        <w:t>7-1</w:t>
      </w:r>
      <w:r>
        <w:rPr>
          <w:b/>
        </w:rPr>
        <w:t>3</w:t>
      </w:r>
      <w:r w:rsidRPr="00A83993">
        <w:rPr>
          <w:b/>
        </w:rPr>
        <w:t>.</w:t>
      </w:r>
      <w:r>
        <w:t xml:space="preserve">  </w:t>
      </w:r>
      <w:proofErr w:type="spellStart"/>
      <w:r>
        <w:t>Schuetz</w:t>
      </w:r>
      <w:proofErr w:type="spellEnd"/>
      <w:r>
        <w:t xml:space="preserve"> et al (</w:t>
      </w:r>
      <w:proofErr w:type="spellStart"/>
      <w:r w:rsidRPr="00550A57">
        <w:t>Epidemiol</w:t>
      </w:r>
      <w:proofErr w:type="spellEnd"/>
      <w:r w:rsidRPr="00550A57">
        <w:t>. Infect. (2008), 136, 1628–1637)</w:t>
      </w:r>
      <w:r>
        <w:t xml:space="preserve"> compared 3 rules for predicting mortality in patients with community acquired pneumonia.  The 3 rules were the Pneumonia Severity Index (PSI), the CURB65, and the CRB65 (which is CURB65 without the “U”).  They used each of these 3 rules to predict risk of death </w:t>
      </w:r>
      <w:proofErr w:type="gramStart"/>
      <w:r>
        <w:t>in  371</w:t>
      </w:r>
      <w:proofErr w:type="gramEnd"/>
      <w:r>
        <w:t xml:space="preserve"> patients with community–acquired pneumonia who were seen in the emergency department of a Swiss university hospital.  </w:t>
      </w:r>
      <w:r w:rsidRPr="00E243A5">
        <w:rPr>
          <w:b/>
          <w:i/>
        </w:rPr>
        <w:t>Their calibration plots are shown on the next page.</w:t>
      </w:r>
      <w:r>
        <w:t xml:space="preserve">  </w:t>
      </w:r>
    </w:p>
    <w:p w14:paraId="585CE721" w14:textId="77777777" w:rsidR="005906C3" w:rsidRDefault="005906C3" w:rsidP="005906C3">
      <w:pPr>
        <w:pStyle w:val="FootnoteText"/>
      </w:pPr>
    </w:p>
    <w:p w14:paraId="7F1BBF37" w14:textId="77777777" w:rsidR="005906C3" w:rsidRDefault="005906C3" w:rsidP="005906C3">
      <w:pPr>
        <w:pStyle w:val="FootnoteText"/>
      </w:pPr>
      <w:r>
        <w:t xml:space="preserve">All 3 rules divided the patients into 5 risk groups and, for all 3 rules, the predicted risks differed substantially from the actual mortality rate, so the authors re-calibrated the risk models.   </w:t>
      </w:r>
    </w:p>
    <w:p w14:paraId="6683A633" w14:textId="77777777" w:rsidR="005906C3" w:rsidRDefault="005906C3" w:rsidP="005906C3">
      <w:pPr>
        <w:pStyle w:val="FootnoteText"/>
      </w:pPr>
    </w:p>
    <w:p w14:paraId="638BF13B" w14:textId="77777777" w:rsidR="005906C3" w:rsidRDefault="005906C3" w:rsidP="005906C3">
      <w:pPr>
        <w:pStyle w:val="FootnoteText"/>
      </w:pPr>
      <w:r>
        <w:t xml:space="preserve">a) Figure (c) is the calibration plot for the CRB65 rule.  The open diamonds </w:t>
      </w:r>
      <w:r w:rsidRPr="0048106D">
        <w:rPr>
          <w:rFonts w:ascii="Times New Roman" w:hAnsi="Times New Roman"/>
          <w:color w:val="000000"/>
          <w:shd w:val="clear" w:color="auto" w:fill="FFFFFF"/>
        </w:rPr>
        <w:t>(◊)</w:t>
      </w:r>
      <w:r>
        <w:rPr>
          <w:rFonts w:ascii="Times New Roman" w:hAnsi="Times New Roman"/>
          <w:color w:val="000000"/>
          <w:shd w:val="clear" w:color="auto" w:fill="FFFFFF"/>
        </w:rPr>
        <w:t xml:space="preserve"> </w:t>
      </w:r>
      <w:r>
        <w:t>represent the original risk predictions prior to recalibration.  Prior to recalibration, did the CRB65 rule overestimate or underestimate mortality risk? Explain briefly.</w:t>
      </w:r>
    </w:p>
    <w:p w14:paraId="0AB24432" w14:textId="77777777" w:rsidR="005906C3" w:rsidRDefault="005906C3" w:rsidP="005906C3">
      <w:pPr>
        <w:pStyle w:val="FootnoteText"/>
      </w:pPr>
    </w:p>
    <w:p w14:paraId="73EEEAE2" w14:textId="77777777" w:rsidR="005906C3" w:rsidRDefault="005906C3" w:rsidP="005906C3">
      <w:pPr>
        <w:pStyle w:val="FootnoteText"/>
      </w:pPr>
    </w:p>
    <w:p w14:paraId="2FB5CD33" w14:textId="77777777" w:rsidR="005906C3" w:rsidRDefault="005906C3" w:rsidP="005906C3">
      <w:pPr>
        <w:pStyle w:val="FootnoteText"/>
      </w:pPr>
    </w:p>
    <w:p w14:paraId="6C8DE2FC" w14:textId="77777777" w:rsidR="005906C3" w:rsidRDefault="005906C3" w:rsidP="005906C3">
      <w:pPr>
        <w:pStyle w:val="FootnoteText"/>
      </w:pPr>
    </w:p>
    <w:p w14:paraId="1A49C600" w14:textId="77777777" w:rsidR="005906C3" w:rsidRDefault="005906C3" w:rsidP="005906C3">
      <w:pPr>
        <w:pStyle w:val="FootnoteText"/>
      </w:pPr>
      <w:r>
        <w:t>b) Figure (b) is the calibration plot for C</w:t>
      </w:r>
      <w:r w:rsidRPr="008226A6">
        <w:rPr>
          <w:u w:val="single"/>
        </w:rPr>
        <w:t>U</w:t>
      </w:r>
      <w:r>
        <w:t>RB65 (note the letter “U”).  CURB 65 assigned only 3 patients to its highest risk group.  How many of them died?</w:t>
      </w:r>
    </w:p>
    <w:p w14:paraId="1B3DA992" w14:textId="77777777" w:rsidR="005906C3" w:rsidRDefault="005906C3" w:rsidP="005906C3">
      <w:pPr>
        <w:pStyle w:val="FootnoteText"/>
      </w:pPr>
    </w:p>
    <w:p w14:paraId="279F0907" w14:textId="77777777" w:rsidR="005906C3" w:rsidRPr="00BE3444" w:rsidRDefault="005906C3" w:rsidP="005906C3">
      <w:pPr>
        <w:pStyle w:val="FootnoteText"/>
        <w:rPr>
          <w:b/>
        </w:rPr>
      </w:pPr>
    </w:p>
    <w:p w14:paraId="1B2A13DB" w14:textId="77777777" w:rsidR="005906C3" w:rsidRDefault="005906C3" w:rsidP="005906C3">
      <w:pPr>
        <w:pStyle w:val="FootnoteText"/>
      </w:pPr>
    </w:p>
    <w:p w14:paraId="384888E2" w14:textId="77777777" w:rsidR="005906C3" w:rsidRDefault="005906C3" w:rsidP="005906C3">
      <w:pPr>
        <w:pStyle w:val="FootnoteText"/>
      </w:pPr>
    </w:p>
    <w:p w14:paraId="51B81526" w14:textId="77777777" w:rsidR="005906C3" w:rsidRDefault="005906C3" w:rsidP="005906C3">
      <w:pPr>
        <w:pStyle w:val="FootnoteText"/>
      </w:pPr>
    </w:p>
    <w:p w14:paraId="1E1044D9" w14:textId="77777777" w:rsidR="005906C3" w:rsidRDefault="005906C3" w:rsidP="005906C3">
      <w:pPr>
        <w:pStyle w:val="FootnoteText"/>
      </w:pPr>
    </w:p>
    <w:p w14:paraId="712DFDD7" w14:textId="77777777" w:rsidR="005906C3" w:rsidRDefault="005906C3" w:rsidP="005906C3">
      <w:pPr>
        <w:pStyle w:val="FootnoteText"/>
      </w:pPr>
    </w:p>
    <w:p w14:paraId="0C70061D" w14:textId="77777777" w:rsidR="005906C3" w:rsidRDefault="005906C3" w:rsidP="005906C3">
      <w:pPr>
        <w:pStyle w:val="FootnoteText"/>
      </w:pPr>
    </w:p>
    <w:p w14:paraId="40A73451" w14:textId="77777777" w:rsidR="005906C3" w:rsidRDefault="005906C3" w:rsidP="005906C3">
      <w:pPr>
        <w:pStyle w:val="FootnoteText"/>
      </w:pPr>
      <w:r>
        <w:t>Note</w:t>
      </w:r>
      <w:r w:rsidR="00E243A5">
        <w:t xml:space="preserve"> 1</w:t>
      </w:r>
      <w:r>
        <w:t>: The PSI is the same as the PORT Score described in Chapter 8 of Evidence-Based Diagnosis, Table 8.3, page 176.)</w:t>
      </w:r>
    </w:p>
    <w:p w14:paraId="698EE097" w14:textId="77777777" w:rsidR="005906C3" w:rsidRDefault="005906C3" w:rsidP="005906C3">
      <w:pPr>
        <w:pStyle w:val="FootnoteText"/>
      </w:pPr>
      <w:r>
        <w:t>Note</w:t>
      </w:r>
      <w:r w:rsidR="00E243A5">
        <w:t xml:space="preserve"> 2</w:t>
      </w:r>
      <w:r>
        <w:t>: the CRB65 is just the CURB65 without a lab test called the BUN.</w:t>
      </w:r>
    </w:p>
    <w:p w14:paraId="294AE08A" w14:textId="77777777" w:rsidR="005906C3" w:rsidRDefault="005906C3" w:rsidP="005906C3"/>
    <w:p w14:paraId="3894E640" w14:textId="77777777" w:rsidR="005906C3" w:rsidRDefault="00E243A5" w:rsidP="005906C3">
      <w:pPr>
        <w:rPr>
          <w:color w:val="000000"/>
          <w:shd w:val="clear" w:color="auto" w:fill="FFFFFF"/>
        </w:rPr>
      </w:pPr>
      <w:r>
        <w:rPr>
          <w:noProof/>
        </w:rPr>
        <w:lastRenderedPageBreak/>
        <w:drawing>
          <wp:anchor distT="0" distB="0" distL="114300" distR="114300" simplePos="0" relativeHeight="251659264" behindDoc="0" locked="0" layoutInCell="1" allowOverlap="1" wp14:anchorId="1D580401" wp14:editId="549E6EBB">
            <wp:simplePos x="0" y="0"/>
            <wp:positionH relativeFrom="column">
              <wp:align>left</wp:align>
            </wp:positionH>
            <wp:positionV relativeFrom="paragraph">
              <wp:posOffset>-227965</wp:posOffset>
            </wp:positionV>
            <wp:extent cx="2956560" cy="8229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6560" cy="8229600"/>
                    </a:xfrm>
                    <a:prstGeom prst="rect">
                      <a:avLst/>
                    </a:prstGeom>
                    <a:noFill/>
                  </pic:spPr>
                </pic:pic>
              </a:graphicData>
            </a:graphic>
            <wp14:sizeRelH relativeFrom="page">
              <wp14:pctWidth>0</wp14:pctWidth>
            </wp14:sizeRelH>
            <wp14:sizeRelV relativeFrom="page">
              <wp14:pctHeight>0</wp14:pctHeight>
            </wp14:sizeRelV>
          </wp:anchor>
        </w:drawing>
      </w:r>
    </w:p>
    <w:p w14:paraId="4351F01A" w14:textId="77777777" w:rsidR="005906C3" w:rsidRDefault="005906C3" w:rsidP="005906C3">
      <w:pPr>
        <w:rPr>
          <w:color w:val="000000"/>
          <w:shd w:val="clear" w:color="auto" w:fill="FFFFFF"/>
        </w:rPr>
      </w:pPr>
    </w:p>
    <w:p w14:paraId="397500E5" w14:textId="77777777" w:rsidR="005906C3" w:rsidRDefault="005906C3" w:rsidP="005906C3">
      <w:pPr>
        <w:rPr>
          <w:color w:val="000000"/>
          <w:shd w:val="clear" w:color="auto" w:fill="FFFFFF"/>
        </w:rPr>
      </w:pPr>
    </w:p>
    <w:p w14:paraId="58B016CC" w14:textId="77777777" w:rsidR="005906C3" w:rsidRDefault="005906C3" w:rsidP="005906C3">
      <w:pPr>
        <w:rPr>
          <w:color w:val="000000"/>
          <w:shd w:val="clear" w:color="auto" w:fill="FFFFFF"/>
        </w:rPr>
      </w:pPr>
    </w:p>
    <w:p w14:paraId="7667867E" w14:textId="77777777" w:rsidR="005906C3" w:rsidRDefault="005906C3" w:rsidP="005906C3">
      <w:pPr>
        <w:rPr>
          <w:color w:val="000000"/>
          <w:shd w:val="clear" w:color="auto" w:fill="FFFFFF"/>
        </w:rPr>
      </w:pPr>
    </w:p>
    <w:p w14:paraId="7C9F8FAC" w14:textId="77777777" w:rsidR="005906C3" w:rsidRDefault="005906C3" w:rsidP="005906C3">
      <w:pPr>
        <w:rPr>
          <w:color w:val="000000"/>
          <w:shd w:val="clear" w:color="auto" w:fill="FFFFFF"/>
        </w:rPr>
      </w:pPr>
    </w:p>
    <w:p w14:paraId="1057BC16" w14:textId="77777777" w:rsidR="005906C3" w:rsidRDefault="005906C3" w:rsidP="005906C3">
      <w:pPr>
        <w:rPr>
          <w:color w:val="000000"/>
          <w:shd w:val="clear" w:color="auto" w:fill="FFFFFF"/>
        </w:rPr>
      </w:pPr>
    </w:p>
    <w:p w14:paraId="10D7628D" w14:textId="77777777" w:rsidR="005906C3" w:rsidRDefault="005906C3" w:rsidP="005906C3">
      <w:pPr>
        <w:rPr>
          <w:color w:val="000000"/>
          <w:shd w:val="clear" w:color="auto" w:fill="FFFFFF"/>
        </w:rPr>
      </w:pPr>
    </w:p>
    <w:p w14:paraId="31EC646F" w14:textId="77777777" w:rsidR="005906C3" w:rsidRDefault="005906C3" w:rsidP="005906C3">
      <w:pPr>
        <w:rPr>
          <w:color w:val="000000"/>
          <w:shd w:val="clear" w:color="auto" w:fill="FFFFFF"/>
        </w:rPr>
      </w:pPr>
    </w:p>
    <w:p w14:paraId="54D5CC6A" w14:textId="77777777" w:rsidR="005906C3" w:rsidRDefault="005906C3" w:rsidP="005906C3">
      <w:pPr>
        <w:rPr>
          <w:color w:val="000000"/>
          <w:shd w:val="clear" w:color="auto" w:fill="FFFFFF"/>
        </w:rPr>
      </w:pPr>
    </w:p>
    <w:p w14:paraId="290FF366" w14:textId="77777777" w:rsidR="005906C3" w:rsidRDefault="005906C3" w:rsidP="005906C3">
      <w:pPr>
        <w:rPr>
          <w:color w:val="000000"/>
          <w:shd w:val="clear" w:color="auto" w:fill="FFFFFF"/>
        </w:rPr>
      </w:pPr>
    </w:p>
    <w:p w14:paraId="63F95151" w14:textId="77777777" w:rsidR="005906C3" w:rsidRDefault="005906C3" w:rsidP="005906C3">
      <w:pPr>
        <w:rPr>
          <w:color w:val="000000"/>
          <w:shd w:val="clear" w:color="auto" w:fill="FFFFFF"/>
        </w:rPr>
      </w:pPr>
    </w:p>
    <w:p w14:paraId="6EB17248" w14:textId="77777777" w:rsidR="005906C3" w:rsidRDefault="005906C3" w:rsidP="005906C3">
      <w:pPr>
        <w:rPr>
          <w:color w:val="000000"/>
          <w:shd w:val="clear" w:color="auto" w:fill="FFFFFF"/>
        </w:rPr>
      </w:pPr>
    </w:p>
    <w:p w14:paraId="287A168A" w14:textId="77777777" w:rsidR="005906C3" w:rsidRDefault="005906C3" w:rsidP="005906C3">
      <w:pPr>
        <w:rPr>
          <w:color w:val="000000"/>
          <w:shd w:val="clear" w:color="auto" w:fill="FFFFFF"/>
        </w:rPr>
      </w:pPr>
    </w:p>
    <w:p w14:paraId="6EBF72A3" w14:textId="77777777" w:rsidR="005906C3" w:rsidRDefault="005906C3" w:rsidP="005906C3">
      <w:pPr>
        <w:rPr>
          <w:color w:val="000000"/>
          <w:shd w:val="clear" w:color="auto" w:fill="FFFFFF"/>
        </w:rPr>
      </w:pPr>
    </w:p>
    <w:p w14:paraId="419DD47F" w14:textId="77777777" w:rsidR="005906C3" w:rsidRDefault="005906C3" w:rsidP="005906C3">
      <w:pPr>
        <w:rPr>
          <w:color w:val="000000"/>
          <w:shd w:val="clear" w:color="auto" w:fill="FFFFFF"/>
        </w:rPr>
      </w:pPr>
    </w:p>
    <w:p w14:paraId="5EEDDA96" w14:textId="77777777" w:rsidR="005906C3" w:rsidRPr="003F05D0" w:rsidRDefault="005906C3" w:rsidP="005906C3">
      <w:pPr>
        <w:ind w:left="2160"/>
        <w:rPr>
          <w:rFonts w:ascii="Times" w:hAnsi="Times"/>
        </w:rPr>
      </w:pPr>
      <w:r w:rsidRPr="003F05D0">
        <w:rPr>
          <w:color w:val="000000"/>
          <w:shd w:val="clear" w:color="auto" w:fill="FFFFFF"/>
        </w:rPr>
        <w:t>Agreement between predicted and observed 30-day mortality (calibration) for three pneumonia severity prediction rules (</w:t>
      </w:r>
      <w:r w:rsidRPr="003F05D0">
        <w:rPr>
          <w:i/>
          <w:iCs/>
          <w:color w:val="000000"/>
          <w:shd w:val="clear" w:color="auto" w:fill="FFFFFF"/>
        </w:rPr>
        <w:t>a</w:t>
      </w:r>
      <w:r w:rsidRPr="003F05D0">
        <w:rPr>
          <w:color w:val="000000"/>
          <w:shd w:val="clear" w:color="auto" w:fill="FFFFFF"/>
        </w:rPr>
        <w:t>) PSI, (</w:t>
      </w:r>
      <w:r w:rsidRPr="003F05D0">
        <w:rPr>
          <w:i/>
          <w:iCs/>
          <w:color w:val="000000"/>
          <w:shd w:val="clear" w:color="auto" w:fill="FFFFFF"/>
        </w:rPr>
        <w:t>b</w:t>
      </w:r>
      <w:r w:rsidRPr="003F05D0">
        <w:rPr>
          <w:color w:val="000000"/>
          <w:shd w:val="clear" w:color="auto" w:fill="FFFFFF"/>
        </w:rPr>
        <w:t>) CURB65 and (</w:t>
      </w:r>
      <w:r w:rsidRPr="003F05D0">
        <w:rPr>
          <w:i/>
          <w:iCs/>
          <w:color w:val="000000"/>
          <w:shd w:val="clear" w:color="auto" w:fill="FFFFFF"/>
        </w:rPr>
        <w:t>c</w:t>
      </w:r>
      <w:r w:rsidRPr="003F05D0">
        <w:rPr>
          <w:color w:val="000000"/>
          <w:shd w:val="clear" w:color="auto" w:fill="FFFFFF"/>
        </w:rPr>
        <w:t xml:space="preserve">) CRB65. Observed mortality is plotted according to classes of predicted risk for each prediction rule separately. The solid line of identity represents perfect calibration of predicted risk within new patients. </w:t>
      </w:r>
      <w:proofErr w:type="gramStart"/>
      <w:r w:rsidRPr="003F05D0">
        <w:rPr>
          <w:color w:val="000000"/>
          <w:shd w:val="clear" w:color="auto" w:fill="FFFFFF"/>
        </w:rPr>
        <w:t xml:space="preserve">Correction of </w:t>
      </w:r>
      <w:proofErr w:type="spellStart"/>
      <w:r w:rsidRPr="003F05D0">
        <w:rPr>
          <w:color w:val="000000"/>
          <w:shd w:val="clear" w:color="auto" w:fill="FFFFFF"/>
        </w:rPr>
        <w:t>miscalibration</w:t>
      </w:r>
      <w:proofErr w:type="spellEnd"/>
      <w:r w:rsidRPr="003F05D0">
        <w:rPr>
          <w:color w:val="000000"/>
          <w:shd w:val="clear" w:color="auto" w:fill="FFFFFF"/>
        </w:rPr>
        <w:t xml:space="preserve"> (</w:t>
      </w:r>
      <w:r>
        <w:rPr>
          <w:rFonts w:ascii="Wingdings" w:hAnsi="Wingdings"/>
          <w:color w:val="000000"/>
          <w:shd w:val="clear" w:color="auto" w:fill="FFFFFF"/>
        </w:rPr>
        <w:t></w:t>
      </w:r>
      <w:r w:rsidRPr="003F05D0">
        <w:rPr>
          <w:color w:val="000000"/>
          <w:shd w:val="clear" w:color="auto" w:fill="FFFFFF"/>
        </w:rPr>
        <w:t>) after recalibration (◊).</w:t>
      </w:r>
      <w:proofErr w:type="gramEnd"/>
    </w:p>
    <w:p w14:paraId="65E78D26" w14:textId="77777777" w:rsidR="005906C3" w:rsidRDefault="005906C3" w:rsidP="005906C3">
      <w:r>
        <w:br w:type="page"/>
      </w:r>
    </w:p>
    <w:p w14:paraId="7F1ED0C7" w14:textId="77777777" w:rsidR="005906C3" w:rsidRDefault="005906C3" w:rsidP="005906C3">
      <w:pPr>
        <w:pStyle w:val="FootnoteText"/>
      </w:pPr>
      <w:r>
        <w:lastRenderedPageBreak/>
        <w:t>The ROC curves are shown below:</w:t>
      </w:r>
    </w:p>
    <w:p w14:paraId="5C3C6AA9" w14:textId="77777777" w:rsidR="005906C3" w:rsidRDefault="005906C3" w:rsidP="005906C3">
      <w:pPr>
        <w:pStyle w:val="FootnoteText"/>
      </w:pPr>
    </w:p>
    <w:p w14:paraId="14D4C5B7" w14:textId="77777777" w:rsidR="005906C3" w:rsidRDefault="00E243A5" w:rsidP="005906C3">
      <w:pPr>
        <w:pStyle w:val="FootnoteText"/>
      </w:pPr>
      <w:r>
        <w:rPr>
          <w:noProof/>
        </w:rPr>
        <w:drawing>
          <wp:inline distT="0" distB="0" distL="0" distR="0" wp14:anchorId="5D0AEA00" wp14:editId="06BFFBB0">
            <wp:extent cx="4800600" cy="3268345"/>
            <wp:effectExtent l="0" t="0" r="0" b="825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3268345"/>
                    </a:xfrm>
                    <a:prstGeom prst="rect">
                      <a:avLst/>
                    </a:prstGeom>
                    <a:noFill/>
                    <a:ln>
                      <a:noFill/>
                    </a:ln>
                  </pic:spPr>
                </pic:pic>
              </a:graphicData>
            </a:graphic>
          </wp:inline>
        </w:drawing>
      </w:r>
    </w:p>
    <w:p w14:paraId="41B1BBAC" w14:textId="77777777" w:rsidR="005906C3" w:rsidRDefault="005906C3" w:rsidP="005906C3">
      <w:pPr>
        <w:pStyle w:val="FootnoteText"/>
      </w:pPr>
    </w:p>
    <w:p w14:paraId="5A79862E" w14:textId="77777777" w:rsidR="005906C3" w:rsidRPr="00FD45CB" w:rsidRDefault="005906C3" w:rsidP="005906C3">
      <w:pPr>
        <w:rPr>
          <w:rFonts w:ascii="Times" w:hAnsi="Times"/>
        </w:rPr>
      </w:pPr>
      <w:r w:rsidRPr="00FD45CB">
        <w:rPr>
          <w:color w:val="000000"/>
          <w:shd w:val="clear" w:color="auto" w:fill="FFFFFF"/>
        </w:rPr>
        <w:t xml:space="preserve">Receiver-operating characteristics analysis for 30-day mortality prediction with </w:t>
      </w:r>
      <w:proofErr w:type="gramStart"/>
      <w:r w:rsidRPr="00FD45CB">
        <w:rPr>
          <w:color w:val="000000"/>
          <w:shd w:val="clear" w:color="auto" w:fill="FFFFFF"/>
        </w:rPr>
        <w:t>three pneumonia</w:t>
      </w:r>
      <w:proofErr w:type="gramEnd"/>
      <w:r w:rsidRPr="00FD45CB">
        <w:rPr>
          <w:color w:val="000000"/>
          <w:shd w:val="clear" w:color="auto" w:fill="FFFFFF"/>
        </w:rPr>
        <w:t xml:space="preserve"> severity prediction rules (PSI, CURB65 and CRB65) in 373 patients with CAP.</w:t>
      </w:r>
    </w:p>
    <w:p w14:paraId="031D849B" w14:textId="77777777" w:rsidR="005906C3" w:rsidRDefault="005906C3" w:rsidP="005906C3">
      <w:pPr>
        <w:pStyle w:val="FootnoteText"/>
      </w:pPr>
    </w:p>
    <w:p w14:paraId="1E74E562" w14:textId="77777777" w:rsidR="005906C3" w:rsidRDefault="005906C3" w:rsidP="005906C3">
      <w:pPr>
        <w:pStyle w:val="FootnoteText"/>
      </w:pPr>
    </w:p>
    <w:p w14:paraId="0590A77D" w14:textId="77777777" w:rsidR="005906C3" w:rsidRDefault="005906C3" w:rsidP="005906C3">
      <w:pPr>
        <w:pStyle w:val="FootnoteText"/>
      </w:pPr>
      <w:r>
        <w:t>c) Can you tell whether the above ROC curves were based on the pre-recalibration or post-recalibration risk predictions? Explain your answer.</w:t>
      </w:r>
    </w:p>
    <w:p w14:paraId="19762A73" w14:textId="77777777" w:rsidR="005906C3" w:rsidRDefault="005906C3" w:rsidP="005906C3">
      <w:pPr>
        <w:pStyle w:val="FootnoteText"/>
      </w:pPr>
    </w:p>
    <w:p w14:paraId="65472E8E" w14:textId="77777777" w:rsidR="005906C3" w:rsidRDefault="005906C3" w:rsidP="005906C3">
      <w:pPr>
        <w:pStyle w:val="FootnoteText"/>
      </w:pPr>
    </w:p>
    <w:p w14:paraId="76D1E0F0" w14:textId="77777777" w:rsidR="00E243A5" w:rsidRDefault="00E243A5" w:rsidP="005906C3">
      <w:pPr>
        <w:pStyle w:val="FootnoteText"/>
      </w:pPr>
    </w:p>
    <w:p w14:paraId="6CAF51D8" w14:textId="77777777" w:rsidR="005906C3" w:rsidRDefault="005906C3" w:rsidP="005906C3">
      <w:pPr>
        <w:pStyle w:val="FootnoteText"/>
      </w:pPr>
      <w:r>
        <w:t xml:space="preserve">d) </w:t>
      </w:r>
      <w:r w:rsidR="00271E1A" w:rsidRPr="00271E1A">
        <w:t>Do the points on the PSI calibration plot represent approximate quintiles of risk?  In other words, does each category of predicted risk contain roughly one-fifth of the population?  How can you tell?  (Hint: Look</w:t>
      </w:r>
      <w:r w:rsidR="00271E1A">
        <w:t>ing at the ROC curve may help.)</w:t>
      </w:r>
      <w:bookmarkStart w:id="0" w:name="_GoBack"/>
      <w:bookmarkEnd w:id="0"/>
    </w:p>
    <w:p w14:paraId="1CE3B2A6" w14:textId="77777777" w:rsidR="005906C3" w:rsidRDefault="005906C3" w:rsidP="00271E1A">
      <w:pPr>
        <w:pStyle w:val="FootnoteText"/>
      </w:pPr>
    </w:p>
    <w:p w14:paraId="6649426D" w14:textId="77777777" w:rsidR="005906C3" w:rsidRDefault="005906C3" w:rsidP="005906C3">
      <w:pPr>
        <w:pStyle w:val="FootnoteText"/>
      </w:pPr>
    </w:p>
    <w:p w14:paraId="23862B50" w14:textId="77777777" w:rsidR="005906C3" w:rsidRDefault="005906C3" w:rsidP="005906C3"/>
    <w:p w14:paraId="6D385C20" w14:textId="77777777" w:rsidR="005906C3" w:rsidRDefault="00E243A5" w:rsidP="005906C3">
      <w:pPr>
        <w:pStyle w:val="FootnoteText"/>
      </w:pPr>
      <w:r>
        <w:br w:type="page"/>
      </w:r>
      <w:proofErr w:type="gramStart"/>
      <w:r w:rsidR="005906C3">
        <w:lastRenderedPageBreak/>
        <w:t>e)   Below</w:t>
      </w:r>
      <w:proofErr w:type="gramEnd"/>
      <w:r w:rsidR="005906C3">
        <w:t xml:space="preserve"> is an enlarged version of the calibration plot for the PSI (the top figure from part b) with 3 original risk classes circled.  Where on the ROC curve would the data corresponding to these 3 points at the lower left of the calibration curve be plotted? Draw a circle around the part of the ROC curve that corresponds to these 3 risk classes for the PSI.  </w:t>
      </w:r>
    </w:p>
    <w:p w14:paraId="26331D14" w14:textId="77777777" w:rsidR="005906C3" w:rsidRDefault="00E243A5" w:rsidP="005906C3">
      <w:pPr>
        <w:pStyle w:val="FootnoteText"/>
      </w:pPr>
      <w:r>
        <w:rPr>
          <w:noProof/>
        </w:rPr>
        <mc:AlternateContent>
          <mc:Choice Requires="wps">
            <w:drawing>
              <wp:anchor distT="0" distB="0" distL="114300" distR="114300" simplePos="0" relativeHeight="251660288" behindDoc="0" locked="0" layoutInCell="1" allowOverlap="1" wp14:anchorId="0E2741D1" wp14:editId="1314AF38">
                <wp:simplePos x="0" y="0"/>
                <wp:positionH relativeFrom="column">
                  <wp:posOffset>457200</wp:posOffset>
                </wp:positionH>
                <wp:positionV relativeFrom="paragraph">
                  <wp:posOffset>2078355</wp:posOffset>
                </wp:positionV>
                <wp:extent cx="685800" cy="457200"/>
                <wp:effectExtent l="50800" t="25400" r="50800" b="1016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57200"/>
                        </a:xfrm>
                        <a:prstGeom prst="ellipse">
                          <a:avLst/>
                        </a:prstGeom>
                        <a:noFill/>
                        <a:ln w="12700" cap="flat" cmpd="sng" algn="ctr">
                          <a:solidFill>
                            <a:sysClr val="windowText" lastClr="000000"/>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36pt;margin-top:163.6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" filled="f" strokecolor="windowText" strokeweight="1pt">
                <v:shadow on="t" opacity="22937f" mv:blur="40000f" origin=",.5" offset="0,23000emu"/>
                <v:path arrowok="t"/>
              </v:oval>
            </w:pict>
          </mc:Fallback>
        </mc:AlternateContent>
      </w:r>
      <w:r>
        <w:rPr>
          <w:noProof/>
        </w:rPr>
        <w:drawing>
          <wp:inline distT="0" distB="0" distL="0" distR="0" wp14:anchorId="1B92A4FA" wp14:editId="63CFD60C">
            <wp:extent cx="3657600" cy="34798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b="65845"/>
                    <a:stretch>
                      <a:fillRect/>
                    </a:stretch>
                  </pic:blipFill>
                  <pic:spPr bwMode="auto">
                    <a:xfrm>
                      <a:off x="0" y="0"/>
                      <a:ext cx="3657600" cy="3479800"/>
                    </a:xfrm>
                    <a:prstGeom prst="rect">
                      <a:avLst/>
                    </a:prstGeom>
                    <a:noFill/>
                    <a:ln>
                      <a:noFill/>
                    </a:ln>
                  </pic:spPr>
                </pic:pic>
              </a:graphicData>
            </a:graphic>
          </wp:inline>
        </w:drawing>
      </w:r>
    </w:p>
    <w:p w14:paraId="11EF6003" w14:textId="77777777" w:rsidR="005906C3" w:rsidRDefault="005906C3" w:rsidP="005906C3">
      <w:pPr>
        <w:pStyle w:val="FootnoteText"/>
      </w:pPr>
    </w:p>
    <w:p w14:paraId="2742FB1A" w14:textId="77777777" w:rsidR="005906C3" w:rsidRDefault="00E243A5" w:rsidP="005906C3">
      <w:pPr>
        <w:pStyle w:val="FootnoteText"/>
        <w:rPr>
          <w:b/>
        </w:rPr>
      </w:pPr>
      <w:r>
        <w:rPr>
          <w:noProof/>
        </w:rPr>
        <w:drawing>
          <wp:inline distT="0" distB="0" distL="0" distR="0" wp14:anchorId="37537249" wp14:editId="175431E4">
            <wp:extent cx="4360545" cy="2971800"/>
            <wp:effectExtent l="0" t="0" r="825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0545" cy="2971800"/>
                    </a:xfrm>
                    <a:prstGeom prst="rect">
                      <a:avLst/>
                    </a:prstGeom>
                    <a:noFill/>
                    <a:ln>
                      <a:noFill/>
                    </a:ln>
                  </pic:spPr>
                </pic:pic>
              </a:graphicData>
            </a:graphic>
          </wp:inline>
        </w:drawing>
      </w:r>
    </w:p>
    <w:p w14:paraId="4FA7EE22" w14:textId="77777777" w:rsidR="005906C3" w:rsidRDefault="005906C3" w:rsidP="005906C3">
      <w:pPr>
        <w:pStyle w:val="FootnoteText"/>
        <w:rPr>
          <w:b/>
        </w:rPr>
      </w:pPr>
    </w:p>
    <w:p w14:paraId="78677872" w14:textId="77777777" w:rsidR="005906C3" w:rsidRDefault="005906C3" w:rsidP="005906C3">
      <w:pPr>
        <w:rPr>
          <w:b/>
        </w:rPr>
      </w:pPr>
      <w:r>
        <w:rPr>
          <w:b/>
        </w:rPr>
        <w:br w:type="page"/>
      </w:r>
    </w:p>
    <w:p w14:paraId="3484B569" w14:textId="77777777" w:rsidR="005906C3" w:rsidRDefault="005906C3" w:rsidP="005906C3">
      <w:pPr>
        <w:pStyle w:val="FootnoteText"/>
      </w:pPr>
    </w:p>
    <w:p w14:paraId="62304AB2" w14:textId="77777777" w:rsidR="005906C3" w:rsidRDefault="005906C3" w:rsidP="00E243A5">
      <w:pPr>
        <w:pStyle w:val="FootnoteText"/>
      </w:pPr>
      <w:r>
        <w:t>f) The authors were interested in a rule that could identify pneumonia patients at such low risk of death that they could be discharged from the emergency department.  Even after re-calibration, only one of the 3 rules could identify patients at low enough risk to send home.  Which of the 3 rules was it?  Explain how you know.</w:t>
      </w:r>
    </w:p>
    <w:p w14:paraId="71AE686D" w14:textId="77777777" w:rsidR="005906C3" w:rsidRDefault="005906C3" w:rsidP="005906C3"/>
    <w:p w14:paraId="4AE90EAA" w14:textId="77777777" w:rsidR="005906C3" w:rsidRPr="00AB0A73" w:rsidRDefault="005906C3" w:rsidP="005906C3"/>
    <w:sectPr w:rsidR="005906C3" w:rsidRPr="00AB0A73">
      <w:footerReference w:type="default" r:id="rId15"/>
      <w:pgSz w:w="12240" w:h="15840"/>
      <w:pgMar w:top="1440" w:right="1440" w:bottom="1440" w:left="1440" w:header="864" w:footer="86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3E22" w14:textId="77777777" w:rsidR="00271E1A" w:rsidRDefault="00271E1A">
      <w:r>
        <w:separator/>
      </w:r>
    </w:p>
  </w:endnote>
  <w:endnote w:type="continuationSeparator" w:id="0">
    <w:p w14:paraId="0047E2B3" w14:textId="77777777" w:rsidR="00271E1A" w:rsidRDefault="0027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6CD1" w14:textId="77777777" w:rsidR="00271E1A" w:rsidRDefault="00271E1A" w:rsidP="00CE6C87">
    <w:pPr>
      <w:pStyle w:val="Footer"/>
      <w:ind w:right="360"/>
    </w:pPr>
    <w:r w:rsidRPr="00CE6C87">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AA35D" w14:textId="77777777" w:rsidR="00271E1A" w:rsidRDefault="00271E1A">
      <w:r>
        <w:separator/>
      </w:r>
    </w:p>
  </w:footnote>
  <w:footnote w:type="continuationSeparator" w:id="0">
    <w:p w14:paraId="1EB7CAB5" w14:textId="77777777" w:rsidR="00271E1A" w:rsidRDefault="00271E1A">
      <w:r>
        <w:continuationSeparator/>
      </w:r>
    </w:p>
  </w:footnote>
  <w:footnote w:id="1">
    <w:p w14:paraId="0EB1A4CD" w14:textId="77777777" w:rsidR="00271E1A" w:rsidRDefault="00271E1A" w:rsidP="005906C3">
      <w:pPr>
        <w:pStyle w:val="FootnoteText"/>
      </w:pPr>
      <w:r w:rsidRPr="00917184">
        <w:rPr>
          <w:rStyle w:val="FootnoteReference"/>
        </w:rPr>
        <w:footnoteRef/>
      </w:r>
      <w:r w:rsidRPr="00917184">
        <w:t xml:space="preserve"> </w:t>
      </w:r>
      <w:proofErr w:type="spellStart"/>
      <w:r w:rsidRPr="00917184">
        <w:t>Kolata</w:t>
      </w:r>
      <w:proofErr w:type="spellEnd"/>
      <w:r w:rsidRPr="00917184">
        <w:t xml:space="preserve"> G, available at: http://www.nytimes.com/2013/11/18/health/risk-calculator-for-cholesterol-appears-flawed.html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063"/>
    <w:multiLevelType w:val="hybridMultilevel"/>
    <w:tmpl w:val="91AE3EBE"/>
    <w:lvl w:ilvl="0" w:tplc="92E84342">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6E369E1"/>
    <w:multiLevelType w:val="hybridMultilevel"/>
    <w:tmpl w:val="5A4CA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56306"/>
    <w:multiLevelType w:val="multilevel"/>
    <w:tmpl w:val="B476A7A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2E7B8B"/>
    <w:multiLevelType w:val="hybridMultilevel"/>
    <w:tmpl w:val="6FD4B028"/>
    <w:lvl w:ilvl="0" w:tplc="2CDA0A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460B42"/>
    <w:multiLevelType w:val="hybridMultilevel"/>
    <w:tmpl w:val="7124D024"/>
    <w:lvl w:ilvl="0" w:tplc="0409000F">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8150BD"/>
    <w:multiLevelType w:val="hybridMultilevel"/>
    <w:tmpl w:val="B476A7A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FC69C5"/>
    <w:multiLevelType w:val="hybridMultilevel"/>
    <w:tmpl w:val="1D2216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65552"/>
    <w:multiLevelType w:val="hybridMultilevel"/>
    <w:tmpl w:val="468AA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855FEB"/>
    <w:multiLevelType w:val="hybridMultilevel"/>
    <w:tmpl w:val="DEEEE378"/>
    <w:lvl w:ilvl="0" w:tplc="04D608DE">
      <w:start w:val="1"/>
      <w:numFmt w:val="lowerLetter"/>
      <w:lvlText w:val="%1."/>
      <w:lvlJc w:val="left"/>
      <w:pPr>
        <w:ind w:left="360" w:hanging="360"/>
      </w:pPr>
      <w:rPr>
        <w:rFonts w:hint="default"/>
        <w:b/>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B5137"/>
    <w:multiLevelType w:val="hybridMultilevel"/>
    <w:tmpl w:val="1B6C8384"/>
    <w:lvl w:ilvl="0" w:tplc="065EA2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9642560"/>
    <w:multiLevelType w:val="hybridMultilevel"/>
    <w:tmpl w:val="A924584E"/>
    <w:lvl w:ilvl="0" w:tplc="DD5A51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75736F"/>
    <w:multiLevelType w:val="hybridMultilevel"/>
    <w:tmpl w:val="8C04F104"/>
    <w:lvl w:ilvl="0" w:tplc="76003AE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827CF"/>
    <w:multiLevelType w:val="hybridMultilevel"/>
    <w:tmpl w:val="67C452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C431F0"/>
    <w:multiLevelType w:val="hybridMultilevel"/>
    <w:tmpl w:val="20A2556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0277D3"/>
    <w:multiLevelType w:val="singleLevel"/>
    <w:tmpl w:val="40F69706"/>
    <w:lvl w:ilvl="0">
      <w:start w:val="1"/>
      <w:numFmt w:val="lowerLetter"/>
      <w:lvlText w:val="%1."/>
      <w:lvlJc w:val="left"/>
      <w:pPr>
        <w:tabs>
          <w:tab w:val="num" w:pos="360"/>
        </w:tabs>
        <w:ind w:left="360" w:hanging="360"/>
      </w:pPr>
      <w:rPr>
        <w:rFonts w:hint="default"/>
      </w:rPr>
    </w:lvl>
  </w:abstractNum>
  <w:abstractNum w:abstractNumId="18">
    <w:nsid w:val="57692496"/>
    <w:multiLevelType w:val="hybridMultilevel"/>
    <w:tmpl w:val="42DEC21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C456F"/>
    <w:multiLevelType w:val="singleLevel"/>
    <w:tmpl w:val="E722C4F6"/>
    <w:lvl w:ilvl="0">
      <w:start w:val="8"/>
      <w:numFmt w:val="decimal"/>
      <w:lvlText w:val="%1."/>
      <w:lvlJc w:val="left"/>
      <w:pPr>
        <w:tabs>
          <w:tab w:val="num" w:pos="450"/>
        </w:tabs>
        <w:ind w:left="450" w:hanging="360"/>
      </w:pPr>
      <w:rPr>
        <w:rFonts w:hint="default"/>
      </w:rPr>
    </w:lvl>
  </w:abstractNum>
  <w:abstractNum w:abstractNumId="20">
    <w:nsid w:val="59C8143C"/>
    <w:multiLevelType w:val="hybridMultilevel"/>
    <w:tmpl w:val="FE38544C"/>
    <w:lvl w:ilvl="0" w:tplc="15B2D098">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FF87B72"/>
    <w:multiLevelType w:val="hybridMultilevel"/>
    <w:tmpl w:val="F672FB1A"/>
    <w:lvl w:ilvl="0" w:tplc="BB145ED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D21482"/>
    <w:multiLevelType w:val="hybridMultilevel"/>
    <w:tmpl w:val="E67A782E"/>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CD27206"/>
    <w:multiLevelType w:val="singleLevel"/>
    <w:tmpl w:val="301CFD66"/>
    <w:lvl w:ilvl="0">
      <w:start w:val="1"/>
      <w:numFmt w:val="lowerRoman"/>
      <w:lvlText w:val="%1.)"/>
      <w:lvlJc w:val="left"/>
      <w:pPr>
        <w:tabs>
          <w:tab w:val="num" w:pos="720"/>
        </w:tabs>
        <w:ind w:left="720" w:hanging="720"/>
      </w:pPr>
      <w:rPr>
        <w:rFonts w:hint="default"/>
        <w:b w:val="0"/>
      </w:rPr>
    </w:lvl>
  </w:abstractNum>
  <w:abstractNum w:abstractNumId="26">
    <w:nsid w:val="6D8F675A"/>
    <w:multiLevelType w:val="hybridMultilevel"/>
    <w:tmpl w:val="573C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A5604"/>
    <w:multiLevelType w:val="hybridMultilevel"/>
    <w:tmpl w:val="832CD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BB599F"/>
    <w:multiLevelType w:val="hybridMultilevel"/>
    <w:tmpl w:val="39086E0A"/>
    <w:lvl w:ilvl="0" w:tplc="CDEE9E1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9"/>
  </w:num>
  <w:num w:numId="3">
    <w:abstractNumId w:val="25"/>
  </w:num>
  <w:num w:numId="4">
    <w:abstractNumId w:val="17"/>
  </w:num>
  <w:num w:numId="5">
    <w:abstractNumId w:val="4"/>
  </w:num>
  <w:num w:numId="6">
    <w:abstractNumId w:val="27"/>
  </w:num>
  <w:num w:numId="7">
    <w:abstractNumId w:val="7"/>
  </w:num>
  <w:num w:numId="8">
    <w:abstractNumId w:val="24"/>
  </w:num>
  <w:num w:numId="9">
    <w:abstractNumId w:val="19"/>
  </w:num>
  <w:num w:numId="10">
    <w:abstractNumId w:val="20"/>
  </w:num>
  <w:num w:numId="11">
    <w:abstractNumId w:val="0"/>
  </w:num>
  <w:num w:numId="12">
    <w:abstractNumId w:val="13"/>
  </w:num>
  <w:num w:numId="13">
    <w:abstractNumId w:val="6"/>
  </w:num>
  <w:num w:numId="14">
    <w:abstractNumId w:val="8"/>
  </w:num>
  <w:num w:numId="15">
    <w:abstractNumId w:val="16"/>
  </w:num>
  <w:num w:numId="16">
    <w:abstractNumId w:val="23"/>
  </w:num>
  <w:num w:numId="17">
    <w:abstractNumId w:val="5"/>
  </w:num>
  <w:num w:numId="18">
    <w:abstractNumId w:val="15"/>
  </w:num>
  <w:num w:numId="19">
    <w:abstractNumId w:val="28"/>
  </w:num>
  <w:num w:numId="20">
    <w:abstractNumId w:val="26"/>
  </w:num>
  <w:num w:numId="21">
    <w:abstractNumId w:val="1"/>
  </w:num>
  <w:num w:numId="22">
    <w:abstractNumId w:val="2"/>
  </w:num>
  <w:num w:numId="23">
    <w:abstractNumId w:val="12"/>
  </w:num>
  <w:num w:numId="24">
    <w:abstractNumId w:val="21"/>
  </w:num>
  <w:num w:numId="25">
    <w:abstractNumId w:val="14"/>
  </w:num>
  <w:num w:numId="26">
    <w:abstractNumId w:val="11"/>
  </w:num>
  <w:num w:numId="27">
    <w:abstractNumId w:val="18"/>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BD1026.enl&lt;/item&gt;&lt;/Libraries&gt;&lt;/ENLibraries&gt;"/>
  </w:docVars>
  <w:rsids>
    <w:rsidRoot w:val="00321EF5"/>
    <w:rsid w:val="000024F5"/>
    <w:rsid w:val="00027F3D"/>
    <w:rsid w:val="00030794"/>
    <w:rsid w:val="00031EF8"/>
    <w:rsid w:val="0003566C"/>
    <w:rsid w:val="00040400"/>
    <w:rsid w:val="00043A7C"/>
    <w:rsid w:val="0004461D"/>
    <w:rsid w:val="00050A1C"/>
    <w:rsid w:val="00053FA3"/>
    <w:rsid w:val="00054655"/>
    <w:rsid w:val="000575AE"/>
    <w:rsid w:val="00067A73"/>
    <w:rsid w:val="00075E86"/>
    <w:rsid w:val="000875E6"/>
    <w:rsid w:val="000A57DF"/>
    <w:rsid w:val="000C2316"/>
    <w:rsid w:val="000D7F28"/>
    <w:rsid w:val="000F246E"/>
    <w:rsid w:val="000F2E37"/>
    <w:rsid w:val="00107B46"/>
    <w:rsid w:val="00114B05"/>
    <w:rsid w:val="0012416D"/>
    <w:rsid w:val="001331D1"/>
    <w:rsid w:val="00134522"/>
    <w:rsid w:val="001364FD"/>
    <w:rsid w:val="00146975"/>
    <w:rsid w:val="00163014"/>
    <w:rsid w:val="00176306"/>
    <w:rsid w:val="00176DCA"/>
    <w:rsid w:val="001931B4"/>
    <w:rsid w:val="001A6861"/>
    <w:rsid w:val="001D51A3"/>
    <w:rsid w:val="001F2EBC"/>
    <w:rsid w:val="001F613A"/>
    <w:rsid w:val="001F70C2"/>
    <w:rsid w:val="00203C99"/>
    <w:rsid w:val="00220C1E"/>
    <w:rsid w:val="00224AC4"/>
    <w:rsid w:val="002311C3"/>
    <w:rsid w:val="00237A68"/>
    <w:rsid w:val="002418CF"/>
    <w:rsid w:val="00245CE7"/>
    <w:rsid w:val="00251B10"/>
    <w:rsid w:val="0027168B"/>
    <w:rsid w:val="00271E1A"/>
    <w:rsid w:val="002741F7"/>
    <w:rsid w:val="0027620F"/>
    <w:rsid w:val="0029215E"/>
    <w:rsid w:val="002A728E"/>
    <w:rsid w:val="002B1F3F"/>
    <w:rsid w:val="002D6902"/>
    <w:rsid w:val="002D78A3"/>
    <w:rsid w:val="002E0BCB"/>
    <w:rsid w:val="002E523C"/>
    <w:rsid w:val="002F7C09"/>
    <w:rsid w:val="00306D81"/>
    <w:rsid w:val="00312DAD"/>
    <w:rsid w:val="00312F16"/>
    <w:rsid w:val="00321461"/>
    <w:rsid w:val="00321EF5"/>
    <w:rsid w:val="00325ABC"/>
    <w:rsid w:val="003420B9"/>
    <w:rsid w:val="0034608C"/>
    <w:rsid w:val="00365BAD"/>
    <w:rsid w:val="00375B04"/>
    <w:rsid w:val="003774ED"/>
    <w:rsid w:val="0038382A"/>
    <w:rsid w:val="00395660"/>
    <w:rsid w:val="003A4451"/>
    <w:rsid w:val="003A4813"/>
    <w:rsid w:val="003B1E4F"/>
    <w:rsid w:val="003B4AE2"/>
    <w:rsid w:val="004255FB"/>
    <w:rsid w:val="004343E2"/>
    <w:rsid w:val="00445CE4"/>
    <w:rsid w:val="004476C8"/>
    <w:rsid w:val="00475B14"/>
    <w:rsid w:val="00481699"/>
    <w:rsid w:val="00486E6C"/>
    <w:rsid w:val="0049237E"/>
    <w:rsid w:val="004A7E05"/>
    <w:rsid w:val="004B225F"/>
    <w:rsid w:val="004B6517"/>
    <w:rsid w:val="004B6C26"/>
    <w:rsid w:val="004D6494"/>
    <w:rsid w:val="004E4A48"/>
    <w:rsid w:val="004F4405"/>
    <w:rsid w:val="00505EFF"/>
    <w:rsid w:val="00534F4D"/>
    <w:rsid w:val="00542B4E"/>
    <w:rsid w:val="005756E2"/>
    <w:rsid w:val="005906C3"/>
    <w:rsid w:val="005A4BE0"/>
    <w:rsid w:val="005B0A5C"/>
    <w:rsid w:val="005C336B"/>
    <w:rsid w:val="005D68DD"/>
    <w:rsid w:val="005E612D"/>
    <w:rsid w:val="005F03CC"/>
    <w:rsid w:val="00621379"/>
    <w:rsid w:val="00633C6D"/>
    <w:rsid w:val="00647353"/>
    <w:rsid w:val="00647CCF"/>
    <w:rsid w:val="00650BB8"/>
    <w:rsid w:val="006513AD"/>
    <w:rsid w:val="00653A1C"/>
    <w:rsid w:val="00661EAD"/>
    <w:rsid w:val="0066628B"/>
    <w:rsid w:val="00667FA6"/>
    <w:rsid w:val="006755EF"/>
    <w:rsid w:val="00683FEC"/>
    <w:rsid w:val="00684C8A"/>
    <w:rsid w:val="006B7608"/>
    <w:rsid w:val="006C2075"/>
    <w:rsid w:val="006C2A20"/>
    <w:rsid w:val="006C506F"/>
    <w:rsid w:val="006E3E15"/>
    <w:rsid w:val="006F4A23"/>
    <w:rsid w:val="007124A2"/>
    <w:rsid w:val="0071385D"/>
    <w:rsid w:val="00731F3A"/>
    <w:rsid w:val="00734E9B"/>
    <w:rsid w:val="00771FB1"/>
    <w:rsid w:val="00772720"/>
    <w:rsid w:val="00775F41"/>
    <w:rsid w:val="00793FD1"/>
    <w:rsid w:val="007A7187"/>
    <w:rsid w:val="007E30CB"/>
    <w:rsid w:val="007F259B"/>
    <w:rsid w:val="007F2E57"/>
    <w:rsid w:val="00851295"/>
    <w:rsid w:val="00890A35"/>
    <w:rsid w:val="008A48BA"/>
    <w:rsid w:val="008A5192"/>
    <w:rsid w:val="008B2626"/>
    <w:rsid w:val="008D4481"/>
    <w:rsid w:val="008F3E77"/>
    <w:rsid w:val="00901F29"/>
    <w:rsid w:val="009076FF"/>
    <w:rsid w:val="00912B4C"/>
    <w:rsid w:val="009150E1"/>
    <w:rsid w:val="00920022"/>
    <w:rsid w:val="00933411"/>
    <w:rsid w:val="009361EA"/>
    <w:rsid w:val="00950019"/>
    <w:rsid w:val="00961F5B"/>
    <w:rsid w:val="0096499F"/>
    <w:rsid w:val="00981205"/>
    <w:rsid w:val="009B512C"/>
    <w:rsid w:val="009D2C7F"/>
    <w:rsid w:val="00A015AB"/>
    <w:rsid w:val="00A067E4"/>
    <w:rsid w:val="00A2661E"/>
    <w:rsid w:val="00A45755"/>
    <w:rsid w:val="00A532C1"/>
    <w:rsid w:val="00A55071"/>
    <w:rsid w:val="00A7581A"/>
    <w:rsid w:val="00A76B6D"/>
    <w:rsid w:val="00A948EF"/>
    <w:rsid w:val="00A94903"/>
    <w:rsid w:val="00A95F85"/>
    <w:rsid w:val="00AA31D3"/>
    <w:rsid w:val="00AB1B4E"/>
    <w:rsid w:val="00AC02E3"/>
    <w:rsid w:val="00AC30BF"/>
    <w:rsid w:val="00AC50DF"/>
    <w:rsid w:val="00AD5D76"/>
    <w:rsid w:val="00AD7DAC"/>
    <w:rsid w:val="00AE499A"/>
    <w:rsid w:val="00B031A5"/>
    <w:rsid w:val="00B044BD"/>
    <w:rsid w:val="00B06864"/>
    <w:rsid w:val="00B10796"/>
    <w:rsid w:val="00B17BD4"/>
    <w:rsid w:val="00B34B0A"/>
    <w:rsid w:val="00B522B1"/>
    <w:rsid w:val="00B53B2C"/>
    <w:rsid w:val="00B75EA0"/>
    <w:rsid w:val="00B832BA"/>
    <w:rsid w:val="00B8653A"/>
    <w:rsid w:val="00B94A46"/>
    <w:rsid w:val="00B95B51"/>
    <w:rsid w:val="00BB7697"/>
    <w:rsid w:val="00BC0720"/>
    <w:rsid w:val="00BC6027"/>
    <w:rsid w:val="00BC66F2"/>
    <w:rsid w:val="00BC780A"/>
    <w:rsid w:val="00BD0361"/>
    <w:rsid w:val="00C0791C"/>
    <w:rsid w:val="00C37553"/>
    <w:rsid w:val="00C522F4"/>
    <w:rsid w:val="00C56DD2"/>
    <w:rsid w:val="00C6616A"/>
    <w:rsid w:val="00C82A77"/>
    <w:rsid w:val="00CA1100"/>
    <w:rsid w:val="00CC2C95"/>
    <w:rsid w:val="00CD4083"/>
    <w:rsid w:val="00CE438C"/>
    <w:rsid w:val="00CE6C87"/>
    <w:rsid w:val="00CF5E5A"/>
    <w:rsid w:val="00D147B5"/>
    <w:rsid w:val="00D24849"/>
    <w:rsid w:val="00D34E92"/>
    <w:rsid w:val="00D36245"/>
    <w:rsid w:val="00D518BB"/>
    <w:rsid w:val="00D67D7C"/>
    <w:rsid w:val="00D91651"/>
    <w:rsid w:val="00DA20EF"/>
    <w:rsid w:val="00DA768E"/>
    <w:rsid w:val="00DD0F37"/>
    <w:rsid w:val="00DD4BD7"/>
    <w:rsid w:val="00DF28E2"/>
    <w:rsid w:val="00E04602"/>
    <w:rsid w:val="00E04CC2"/>
    <w:rsid w:val="00E05078"/>
    <w:rsid w:val="00E243A5"/>
    <w:rsid w:val="00E24B73"/>
    <w:rsid w:val="00E34BB8"/>
    <w:rsid w:val="00E456FC"/>
    <w:rsid w:val="00E46C46"/>
    <w:rsid w:val="00E61182"/>
    <w:rsid w:val="00E732FE"/>
    <w:rsid w:val="00E73A01"/>
    <w:rsid w:val="00E77630"/>
    <w:rsid w:val="00E8217B"/>
    <w:rsid w:val="00EA6B4D"/>
    <w:rsid w:val="00EA776B"/>
    <w:rsid w:val="00EB4D1C"/>
    <w:rsid w:val="00EC0F8D"/>
    <w:rsid w:val="00EC4863"/>
    <w:rsid w:val="00EE1236"/>
    <w:rsid w:val="00EF30EA"/>
    <w:rsid w:val="00EF4404"/>
    <w:rsid w:val="00F15619"/>
    <w:rsid w:val="00F26C88"/>
    <w:rsid w:val="00F36291"/>
    <w:rsid w:val="00F607CE"/>
    <w:rsid w:val="00F661AE"/>
    <w:rsid w:val="00F8746D"/>
    <w:rsid w:val="00F96604"/>
    <w:rsid w:val="00FB72AD"/>
    <w:rsid w:val="00FD5220"/>
    <w:rsid w:val="00FE2825"/>
    <w:rsid w:val="00FE366B"/>
    <w:rsid w:val="00FE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A7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5906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uiPriority w:val="99"/>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uiPriority w:val="99"/>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customStyle="1" w:styleId="ColorfulList-Accent11">
    <w:name w:val="Colorful List - Accent 11"/>
    <w:basedOn w:val="Normal"/>
    <w:uiPriority w:val="99"/>
    <w:qFormat/>
    <w:rsid w:val="00C82A77"/>
    <w:pPr>
      <w:overflowPunct/>
      <w:autoSpaceDE/>
      <w:autoSpaceDN/>
      <w:adjustRightInd/>
      <w:ind w:left="720"/>
      <w:contextualSpacing/>
      <w:textAlignment w:val="auto"/>
    </w:pPr>
    <w:rPr>
      <w:rFonts w:eastAsia="MS ??"/>
      <w:sz w:val="24"/>
      <w:szCs w:val="24"/>
    </w:rPr>
  </w:style>
  <w:style w:type="character" w:customStyle="1" w:styleId="Heading1Char">
    <w:name w:val="Heading 1 Char"/>
    <w:basedOn w:val="DefaultParagraphFont"/>
    <w:link w:val="Heading1"/>
    <w:rsid w:val="005906C3"/>
    <w:rPr>
      <w:rFonts w:asciiTheme="majorHAnsi" w:eastAsiaTheme="majorEastAsia" w:hAnsiTheme="majorHAnsi" w:cstheme="majorBidi"/>
      <w:b/>
      <w:bCs/>
      <w:kern w:val="32"/>
      <w:sz w:val="32"/>
      <w:szCs w:val="32"/>
    </w:rPr>
  </w:style>
  <w:style w:type="paragraph" w:styleId="ListParagraph">
    <w:name w:val="List Paragraph"/>
    <w:basedOn w:val="Normal"/>
    <w:qFormat/>
    <w:rsid w:val="005906C3"/>
    <w:pPr>
      <w:overflowPunct/>
      <w:autoSpaceDE/>
      <w:autoSpaceDN/>
      <w:adjustRightInd/>
      <w:ind w:left="720"/>
      <w:contextualSpacing/>
      <w:textAlignment w:val="auto"/>
    </w:pPr>
    <w:rPr>
      <w:sz w:val="24"/>
      <w:szCs w:val="24"/>
    </w:rPr>
  </w:style>
  <w:style w:type="character" w:customStyle="1" w:styleId="FootnoteTextChar">
    <w:name w:val="Footnote Text Char"/>
    <w:link w:val="FootnoteText"/>
    <w:uiPriority w:val="99"/>
    <w:rsid w:val="005906C3"/>
    <w:rPr>
      <w:rFonts w:ascii="Courier" w:hAnsi="Courier"/>
      <w:sz w:val="24"/>
    </w:rPr>
  </w:style>
  <w:style w:type="character" w:customStyle="1" w:styleId="paragraph">
    <w:name w:val="paragraph"/>
    <w:uiPriority w:val="99"/>
    <w:rsid w:val="005906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5906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uiPriority w:val="99"/>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uiPriority w:val="99"/>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customStyle="1" w:styleId="ColorfulList-Accent11">
    <w:name w:val="Colorful List - Accent 11"/>
    <w:basedOn w:val="Normal"/>
    <w:uiPriority w:val="99"/>
    <w:qFormat/>
    <w:rsid w:val="00C82A77"/>
    <w:pPr>
      <w:overflowPunct/>
      <w:autoSpaceDE/>
      <w:autoSpaceDN/>
      <w:adjustRightInd/>
      <w:ind w:left="720"/>
      <w:contextualSpacing/>
      <w:textAlignment w:val="auto"/>
    </w:pPr>
    <w:rPr>
      <w:rFonts w:eastAsia="MS ??"/>
      <w:sz w:val="24"/>
      <w:szCs w:val="24"/>
    </w:rPr>
  </w:style>
  <w:style w:type="character" w:customStyle="1" w:styleId="Heading1Char">
    <w:name w:val="Heading 1 Char"/>
    <w:basedOn w:val="DefaultParagraphFont"/>
    <w:link w:val="Heading1"/>
    <w:rsid w:val="005906C3"/>
    <w:rPr>
      <w:rFonts w:asciiTheme="majorHAnsi" w:eastAsiaTheme="majorEastAsia" w:hAnsiTheme="majorHAnsi" w:cstheme="majorBidi"/>
      <w:b/>
      <w:bCs/>
      <w:kern w:val="32"/>
      <w:sz w:val="32"/>
      <w:szCs w:val="32"/>
    </w:rPr>
  </w:style>
  <w:style w:type="paragraph" w:styleId="ListParagraph">
    <w:name w:val="List Paragraph"/>
    <w:basedOn w:val="Normal"/>
    <w:qFormat/>
    <w:rsid w:val="005906C3"/>
    <w:pPr>
      <w:overflowPunct/>
      <w:autoSpaceDE/>
      <w:autoSpaceDN/>
      <w:adjustRightInd/>
      <w:ind w:left="720"/>
      <w:contextualSpacing/>
      <w:textAlignment w:val="auto"/>
    </w:pPr>
    <w:rPr>
      <w:sz w:val="24"/>
      <w:szCs w:val="24"/>
    </w:rPr>
  </w:style>
  <w:style w:type="character" w:customStyle="1" w:styleId="FootnoteTextChar">
    <w:name w:val="Footnote Text Char"/>
    <w:link w:val="FootnoteText"/>
    <w:uiPriority w:val="99"/>
    <w:rsid w:val="005906C3"/>
    <w:rPr>
      <w:rFonts w:ascii="Courier" w:hAnsi="Courier"/>
      <w:sz w:val="24"/>
    </w:rPr>
  </w:style>
  <w:style w:type="character" w:customStyle="1" w:styleId="paragraph">
    <w:name w:val="paragraph"/>
    <w:uiPriority w:val="99"/>
    <w:rsid w:val="0059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1729">
      <w:bodyDiv w:val="1"/>
      <w:marLeft w:val="0"/>
      <w:marRight w:val="0"/>
      <w:marTop w:val="0"/>
      <w:marBottom w:val="0"/>
      <w:divBdr>
        <w:top w:val="none" w:sz="0" w:space="0" w:color="auto"/>
        <w:left w:val="none" w:sz="0" w:space="0" w:color="auto"/>
        <w:bottom w:val="none" w:sz="0" w:space="0" w:color="auto"/>
        <w:right w:val="none" w:sz="0" w:space="0" w:color="auto"/>
      </w:divBdr>
    </w:div>
    <w:div w:id="562910301">
      <w:bodyDiv w:val="1"/>
      <w:marLeft w:val="0"/>
      <w:marRight w:val="0"/>
      <w:marTop w:val="0"/>
      <w:marBottom w:val="0"/>
      <w:divBdr>
        <w:top w:val="none" w:sz="0" w:space="0" w:color="auto"/>
        <w:left w:val="none" w:sz="0" w:space="0" w:color="auto"/>
        <w:bottom w:val="none" w:sz="0" w:space="0" w:color="auto"/>
        <w:right w:val="none" w:sz="0" w:space="0" w:color="auto"/>
      </w:divBdr>
      <w:divsChild>
        <w:div w:id="900598255">
          <w:marLeft w:val="0"/>
          <w:marRight w:val="0"/>
          <w:marTop w:val="0"/>
          <w:marBottom w:val="0"/>
          <w:divBdr>
            <w:top w:val="none" w:sz="0" w:space="0" w:color="auto"/>
            <w:left w:val="none" w:sz="0" w:space="0" w:color="auto"/>
            <w:bottom w:val="none" w:sz="0" w:space="0" w:color="auto"/>
            <w:right w:val="none" w:sz="0" w:space="0" w:color="auto"/>
          </w:divBdr>
          <w:divsChild>
            <w:div w:id="855726228">
              <w:marLeft w:val="150"/>
              <w:marRight w:val="0"/>
              <w:marTop w:val="0"/>
              <w:marBottom w:val="0"/>
              <w:divBdr>
                <w:top w:val="none" w:sz="0" w:space="0" w:color="auto"/>
                <w:left w:val="none" w:sz="0" w:space="0" w:color="auto"/>
                <w:bottom w:val="none" w:sz="0" w:space="0" w:color="auto"/>
                <w:right w:val="none" w:sz="0" w:space="0" w:color="auto"/>
              </w:divBdr>
              <w:divsChild>
                <w:div w:id="1726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6008">
      <w:bodyDiv w:val="1"/>
      <w:marLeft w:val="0"/>
      <w:marRight w:val="0"/>
      <w:marTop w:val="0"/>
      <w:marBottom w:val="0"/>
      <w:divBdr>
        <w:top w:val="none" w:sz="0" w:space="0" w:color="auto"/>
        <w:left w:val="none" w:sz="0" w:space="0" w:color="auto"/>
        <w:bottom w:val="none" w:sz="0" w:space="0" w:color="auto"/>
        <w:right w:val="none" w:sz="0" w:space="0" w:color="auto"/>
      </w:divBdr>
      <w:divsChild>
        <w:div w:id="1806849666">
          <w:marLeft w:val="0"/>
          <w:marRight w:val="0"/>
          <w:marTop w:val="0"/>
          <w:marBottom w:val="0"/>
          <w:divBdr>
            <w:top w:val="none" w:sz="0" w:space="0" w:color="auto"/>
            <w:left w:val="none" w:sz="0" w:space="0" w:color="auto"/>
            <w:bottom w:val="none" w:sz="0" w:space="0" w:color="auto"/>
            <w:right w:val="none" w:sz="0" w:space="0" w:color="auto"/>
          </w:divBdr>
          <w:divsChild>
            <w:div w:id="1949466209">
              <w:marLeft w:val="0"/>
              <w:marRight w:val="0"/>
              <w:marTop w:val="0"/>
              <w:marBottom w:val="0"/>
              <w:divBdr>
                <w:top w:val="none" w:sz="0" w:space="0" w:color="auto"/>
                <w:left w:val="none" w:sz="0" w:space="0" w:color="auto"/>
                <w:bottom w:val="none" w:sz="0" w:space="0" w:color="auto"/>
                <w:right w:val="none" w:sz="0" w:space="0" w:color="auto"/>
              </w:divBdr>
              <w:divsChild>
                <w:div w:id="1247230293">
                  <w:marLeft w:val="0"/>
                  <w:marRight w:val="0"/>
                  <w:marTop w:val="0"/>
                  <w:marBottom w:val="0"/>
                  <w:divBdr>
                    <w:top w:val="none" w:sz="0" w:space="0" w:color="auto"/>
                    <w:left w:val="none" w:sz="0" w:space="0" w:color="auto"/>
                    <w:bottom w:val="none" w:sz="0" w:space="0" w:color="auto"/>
                    <w:right w:val="none" w:sz="0" w:space="0" w:color="auto"/>
                  </w:divBdr>
                  <w:divsChild>
                    <w:div w:id="1095517524">
                      <w:marLeft w:val="0"/>
                      <w:marRight w:val="0"/>
                      <w:marTop w:val="0"/>
                      <w:marBottom w:val="0"/>
                      <w:divBdr>
                        <w:top w:val="none" w:sz="0" w:space="0" w:color="auto"/>
                        <w:left w:val="none" w:sz="0" w:space="0" w:color="auto"/>
                        <w:bottom w:val="none" w:sz="0" w:space="0" w:color="auto"/>
                        <w:right w:val="none" w:sz="0" w:space="0" w:color="auto"/>
                      </w:divBdr>
                    </w:div>
                  </w:divsChild>
                </w:div>
                <w:div w:id="20279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9746">
      <w:bodyDiv w:val="1"/>
      <w:marLeft w:val="0"/>
      <w:marRight w:val="0"/>
      <w:marTop w:val="0"/>
      <w:marBottom w:val="0"/>
      <w:divBdr>
        <w:top w:val="none" w:sz="0" w:space="0" w:color="auto"/>
        <w:left w:val="none" w:sz="0" w:space="0" w:color="auto"/>
        <w:bottom w:val="none" w:sz="0" w:space="0" w:color="auto"/>
        <w:right w:val="none" w:sz="0" w:space="0" w:color="auto"/>
      </w:divBdr>
    </w:div>
    <w:div w:id="1823807729">
      <w:bodyDiv w:val="1"/>
      <w:marLeft w:val="0"/>
      <w:marRight w:val="0"/>
      <w:marTop w:val="0"/>
      <w:marBottom w:val="0"/>
      <w:divBdr>
        <w:top w:val="none" w:sz="0" w:space="0" w:color="auto"/>
        <w:left w:val="none" w:sz="0" w:space="0" w:color="auto"/>
        <w:bottom w:val="none" w:sz="0" w:space="0" w:color="auto"/>
        <w:right w:val="none" w:sz="0" w:space="0" w:color="auto"/>
      </w:divBdr>
      <w:divsChild>
        <w:div w:id="1147086486">
          <w:marLeft w:val="0"/>
          <w:marRight w:val="0"/>
          <w:marTop w:val="0"/>
          <w:marBottom w:val="0"/>
          <w:divBdr>
            <w:top w:val="none" w:sz="0" w:space="0" w:color="auto"/>
            <w:left w:val="none" w:sz="0" w:space="0" w:color="auto"/>
            <w:bottom w:val="none" w:sz="0" w:space="0" w:color="auto"/>
            <w:right w:val="none" w:sz="0" w:space="0" w:color="auto"/>
          </w:divBdr>
          <w:divsChild>
            <w:div w:id="2078819541">
              <w:marLeft w:val="0"/>
              <w:marRight w:val="0"/>
              <w:marTop w:val="0"/>
              <w:marBottom w:val="0"/>
              <w:divBdr>
                <w:top w:val="none" w:sz="0" w:space="0" w:color="auto"/>
                <w:left w:val="none" w:sz="0" w:space="0" w:color="auto"/>
                <w:bottom w:val="none" w:sz="0" w:space="0" w:color="auto"/>
                <w:right w:val="none" w:sz="0" w:space="0" w:color="auto"/>
              </w:divBdr>
              <w:divsChild>
                <w:div w:id="826750836">
                  <w:marLeft w:val="0"/>
                  <w:marRight w:val="0"/>
                  <w:marTop w:val="0"/>
                  <w:marBottom w:val="0"/>
                  <w:divBdr>
                    <w:top w:val="none" w:sz="0" w:space="0" w:color="auto"/>
                    <w:left w:val="none" w:sz="0" w:space="0" w:color="auto"/>
                    <w:bottom w:val="none" w:sz="0" w:space="0" w:color="auto"/>
                    <w:right w:val="none" w:sz="0" w:space="0" w:color="auto"/>
                  </w:divBdr>
                  <w:divsChild>
                    <w:div w:id="69812340">
                      <w:marLeft w:val="0"/>
                      <w:marRight w:val="0"/>
                      <w:marTop w:val="0"/>
                      <w:marBottom w:val="0"/>
                      <w:divBdr>
                        <w:top w:val="none" w:sz="0" w:space="0" w:color="auto"/>
                        <w:left w:val="none" w:sz="0" w:space="0" w:color="auto"/>
                        <w:bottom w:val="none" w:sz="0" w:space="0" w:color="auto"/>
                        <w:right w:val="none" w:sz="0" w:space="0" w:color="auto"/>
                      </w:divBdr>
                    </w:div>
                  </w:divsChild>
                </w:div>
                <w:div w:id="1814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113">
      <w:bodyDiv w:val="1"/>
      <w:marLeft w:val="15"/>
      <w:marRight w:val="15"/>
      <w:marTop w:val="15"/>
      <w:marBottom w:val="15"/>
      <w:divBdr>
        <w:top w:val="none" w:sz="0" w:space="0" w:color="auto"/>
        <w:left w:val="none" w:sz="0" w:space="0" w:color="auto"/>
        <w:bottom w:val="none" w:sz="0" w:space="0" w:color="auto"/>
        <w:right w:val="none" w:sz="0" w:space="0" w:color="auto"/>
      </w:divBdr>
      <w:divsChild>
        <w:div w:id="1679624349">
          <w:marLeft w:val="0"/>
          <w:marRight w:val="0"/>
          <w:marTop w:val="120"/>
          <w:marBottom w:val="240"/>
          <w:divBdr>
            <w:top w:val="none" w:sz="0" w:space="0" w:color="auto"/>
            <w:left w:val="none" w:sz="0" w:space="0" w:color="auto"/>
            <w:bottom w:val="none" w:sz="0" w:space="0" w:color="auto"/>
            <w:right w:val="none" w:sz="0" w:space="0" w:color="auto"/>
          </w:divBdr>
          <w:divsChild>
            <w:div w:id="1090859245">
              <w:marLeft w:val="0"/>
              <w:marRight w:val="0"/>
              <w:marTop w:val="120"/>
              <w:marBottom w:val="0"/>
              <w:divBdr>
                <w:top w:val="none" w:sz="0" w:space="0" w:color="auto"/>
                <w:left w:val="none" w:sz="0" w:space="0" w:color="auto"/>
                <w:bottom w:val="none" w:sz="0" w:space="0" w:color="auto"/>
                <w:right w:val="none" w:sz="0" w:space="0" w:color="auto"/>
              </w:divBdr>
            </w:div>
            <w:div w:id="21190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emf"/><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health.nytimes.com/health/guides/nutrition/cholesterol/overview.html?inline=nyt-classifier" TargetMode="External"/><Relationship Id="rId10" Type="http://schemas.openxmlformats.org/officeDocument/2006/relationships/hyperlink" Target="http://my.americanheart.org/professional/StatementsGuidelines/PreventionGuidelines/Prevention-Guidelines_UCM_457698_SubHomePag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AD850-CC21-4344-83C9-87AD415A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861</Words>
  <Characters>4912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C:\My Documents\TEACH\CLINEPI\ATCR\answersSession4only2001</vt:lpstr>
    </vt:vector>
  </TitlesOfParts>
  <Company>UCSF-Epi. &amp; Bios.</Company>
  <LinksUpToDate>false</LinksUpToDate>
  <CharactersWithSpaces>5762</CharactersWithSpaces>
  <SharedDoc>false</SharedDoc>
  <HLinks>
    <vt:vector size="42" baseType="variant">
      <vt:variant>
        <vt:i4>720980</vt:i4>
      </vt:variant>
      <vt:variant>
        <vt:i4>26</vt:i4>
      </vt:variant>
      <vt:variant>
        <vt:i4>0</vt:i4>
      </vt:variant>
      <vt:variant>
        <vt:i4>5</vt:i4>
      </vt:variant>
      <vt:variant>
        <vt:lpwstr>http://seer.cancer.gov/statfacts/html/prost.html</vt:lpwstr>
      </vt:variant>
      <vt:variant>
        <vt:lpwstr/>
      </vt:variant>
      <vt:variant>
        <vt:i4>6553682</vt:i4>
      </vt:variant>
      <vt:variant>
        <vt:i4>23</vt:i4>
      </vt:variant>
      <vt:variant>
        <vt:i4>0</vt:i4>
      </vt:variant>
      <vt:variant>
        <vt:i4>5</vt:i4>
      </vt:variant>
      <vt:variant>
        <vt:lpwstr>http://www.uspreventiveservicestaskforce.org/uspstf12/prostate/draftrecprostate.htm</vt:lpwstr>
      </vt:variant>
      <vt:variant>
        <vt:lpwstr/>
      </vt:variant>
      <vt:variant>
        <vt:i4>4653149</vt:i4>
      </vt:variant>
      <vt:variant>
        <vt:i4>20</vt:i4>
      </vt:variant>
      <vt:variant>
        <vt:i4>0</vt:i4>
      </vt:variant>
      <vt:variant>
        <vt:i4>5</vt:i4>
      </vt:variant>
      <vt:variant>
        <vt:lpwstr>http://content.usatoday.com/topics/topic/U.S.+Preventive+Services+Task+Force</vt:lpwstr>
      </vt:variant>
      <vt:variant>
        <vt:lpwstr/>
      </vt:variant>
      <vt:variant>
        <vt:i4>4980763</vt:i4>
      </vt:variant>
      <vt:variant>
        <vt:i4>17</vt:i4>
      </vt:variant>
      <vt:variant>
        <vt:i4>0</vt:i4>
      </vt:variant>
      <vt:variant>
        <vt:i4>5</vt:i4>
      </vt:variant>
      <vt:variant>
        <vt:lpwstr>http://www.usatoday.com/news/opinion/editorials/story/2011-10-10/PSA-test-prostate-cancer/50723714/1</vt:lpwstr>
      </vt:variant>
      <vt:variant>
        <vt:lpwstr/>
      </vt:variant>
      <vt:variant>
        <vt:i4>4521995</vt:i4>
      </vt:variant>
      <vt:variant>
        <vt:i4>13</vt:i4>
      </vt:variant>
      <vt:variant>
        <vt:i4>0</vt:i4>
      </vt:variant>
      <vt:variant>
        <vt:i4>5</vt:i4>
      </vt:variant>
      <vt:variant>
        <vt:lpwstr/>
      </vt:variant>
      <vt:variant>
        <vt:lpwstr>_ENREF_4</vt:lpwstr>
      </vt:variant>
      <vt:variant>
        <vt:i4>4194315</vt:i4>
      </vt:variant>
      <vt:variant>
        <vt:i4>5</vt:i4>
      </vt:variant>
      <vt:variant>
        <vt:i4>0</vt:i4>
      </vt:variant>
      <vt:variant>
        <vt:i4>5</vt:i4>
      </vt:variant>
      <vt:variant>
        <vt:lpwstr/>
      </vt:variant>
      <vt:variant>
        <vt:lpwstr>_ENREF_1</vt:lpwstr>
      </vt:variant>
      <vt:variant>
        <vt:i4>983058</vt:i4>
      </vt:variant>
      <vt:variant>
        <vt:i4>15597</vt:i4>
      </vt:variant>
      <vt:variant>
        <vt:i4>1025</vt:i4>
      </vt:variant>
      <vt:variant>
        <vt:i4>1</vt:i4>
      </vt:variant>
      <vt:variant>
        <vt:lpwstr>Screen Shot 2013-10-15 at 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 Documents\TEACH\CLINEPI\ATCR\answersSession4only2001</dc:title>
  <dc:creator>Thomas Newman</dc:creator>
  <cp:lastModifiedBy>Michael Kohn</cp:lastModifiedBy>
  <cp:revision>3</cp:revision>
  <cp:lastPrinted>2006-10-03T21:58:00Z</cp:lastPrinted>
  <dcterms:created xsi:type="dcterms:W3CDTF">2015-10-23T03:57:00Z</dcterms:created>
  <dcterms:modified xsi:type="dcterms:W3CDTF">2015-10-24T22:21:00Z</dcterms:modified>
</cp:coreProperties>
</file>