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AA1C9" w14:textId="77777777" w:rsidR="00FE62D0" w:rsidRPr="00B84BBB" w:rsidRDefault="005906C3" w:rsidP="00FE62D0">
      <w:pPr>
        <w:pStyle w:val="HTMLPreformatted"/>
        <w:jc w:val="center"/>
        <w:rPr>
          <w:rFonts w:asciiTheme="minorHAnsi" w:hAnsiTheme="minorHAnsi" w:cs="Arial"/>
          <w:b/>
          <w:color w:val="000000"/>
          <w:sz w:val="22"/>
          <w:szCs w:val="22"/>
        </w:rPr>
      </w:pPr>
      <w:bookmarkStart w:id="0" w:name="_GoBack"/>
      <w:bookmarkEnd w:id="0"/>
      <w:r w:rsidRPr="00B84BBB">
        <w:rPr>
          <w:rFonts w:asciiTheme="minorHAnsi" w:hAnsiTheme="minorHAnsi" w:cs="Arial"/>
          <w:b/>
          <w:color w:val="000000"/>
          <w:sz w:val="22"/>
          <w:szCs w:val="22"/>
        </w:rPr>
        <w:t>Epi 204 Chapter 7 and 8</w:t>
      </w:r>
      <w:r w:rsidR="00FE62D0" w:rsidRPr="00B84BBB">
        <w:rPr>
          <w:rFonts w:asciiTheme="minorHAnsi" w:hAnsiTheme="minorHAnsi" w:cs="Arial"/>
          <w:b/>
          <w:color w:val="000000"/>
          <w:sz w:val="22"/>
          <w:szCs w:val="22"/>
        </w:rPr>
        <w:t xml:space="preserve">, Problem Set </w:t>
      </w:r>
      <w:r w:rsidRPr="00B84BBB">
        <w:rPr>
          <w:rFonts w:asciiTheme="minorHAnsi" w:hAnsiTheme="minorHAnsi" w:cs="Arial"/>
          <w:b/>
          <w:color w:val="000000"/>
          <w:sz w:val="22"/>
          <w:szCs w:val="22"/>
        </w:rPr>
        <w:t>7</w:t>
      </w:r>
    </w:p>
    <w:p w14:paraId="6F6D9061" w14:textId="77777777" w:rsidR="005906C3" w:rsidRPr="00B84BBB" w:rsidRDefault="005906C3" w:rsidP="00FE62D0">
      <w:pPr>
        <w:pStyle w:val="HTMLPreformatted"/>
        <w:jc w:val="center"/>
        <w:rPr>
          <w:rFonts w:asciiTheme="minorHAnsi" w:hAnsiTheme="minorHAnsi" w:cs="Arial"/>
          <w:b/>
          <w:color w:val="000000"/>
          <w:sz w:val="22"/>
          <w:szCs w:val="22"/>
        </w:rPr>
      </w:pPr>
      <w:r w:rsidRPr="00B84BBB">
        <w:rPr>
          <w:rFonts w:asciiTheme="minorHAnsi" w:hAnsiTheme="minorHAnsi" w:cs="Arial"/>
          <w:b/>
          <w:color w:val="000000"/>
          <w:sz w:val="22"/>
          <w:szCs w:val="22"/>
        </w:rPr>
        <w:t>Prognostic Tests and Multivariable Models</w:t>
      </w:r>
    </w:p>
    <w:p w14:paraId="0B3F50AE" w14:textId="0C577185" w:rsidR="00FE62D0" w:rsidRDefault="00FE62D0" w:rsidP="003679D4">
      <w:pPr>
        <w:pStyle w:val="HTMLPreformatted"/>
        <w:jc w:val="center"/>
        <w:rPr>
          <w:rFonts w:asciiTheme="minorHAnsi" w:hAnsiTheme="minorHAnsi" w:cs="Arial"/>
          <w:b/>
          <w:color w:val="000000"/>
          <w:sz w:val="22"/>
          <w:szCs w:val="22"/>
        </w:rPr>
      </w:pPr>
      <w:r w:rsidRPr="00B84BBB">
        <w:rPr>
          <w:rFonts w:asciiTheme="minorHAnsi" w:hAnsiTheme="minorHAnsi" w:cs="Arial"/>
          <w:b/>
          <w:color w:val="000000"/>
          <w:sz w:val="22"/>
          <w:szCs w:val="22"/>
        </w:rPr>
        <w:t>Due 1 pm 10/</w:t>
      </w:r>
      <w:r w:rsidR="00B13A0F" w:rsidRPr="00B84BBB">
        <w:rPr>
          <w:rFonts w:asciiTheme="minorHAnsi" w:hAnsiTheme="minorHAnsi" w:cs="Arial"/>
          <w:b/>
          <w:color w:val="000000"/>
          <w:sz w:val="22"/>
          <w:szCs w:val="22"/>
        </w:rPr>
        <w:t>2</w:t>
      </w:r>
      <w:r w:rsidR="00B13A0F">
        <w:rPr>
          <w:rFonts w:asciiTheme="minorHAnsi" w:hAnsiTheme="minorHAnsi" w:cs="Arial"/>
          <w:b/>
          <w:color w:val="000000"/>
          <w:sz w:val="22"/>
          <w:szCs w:val="22"/>
        </w:rPr>
        <w:t>7</w:t>
      </w:r>
      <w:r w:rsidRPr="00B84BBB">
        <w:rPr>
          <w:rFonts w:asciiTheme="minorHAnsi" w:hAnsiTheme="minorHAnsi" w:cs="Arial"/>
          <w:b/>
          <w:color w:val="000000"/>
          <w:sz w:val="22"/>
          <w:szCs w:val="22"/>
        </w:rPr>
        <w:t>/</w:t>
      </w:r>
      <w:r w:rsidR="00B13A0F" w:rsidRPr="00B84BBB">
        <w:rPr>
          <w:rFonts w:asciiTheme="minorHAnsi" w:hAnsiTheme="minorHAnsi" w:cs="Arial"/>
          <w:b/>
          <w:color w:val="000000"/>
          <w:sz w:val="22"/>
          <w:szCs w:val="22"/>
        </w:rPr>
        <w:t>201</w:t>
      </w:r>
      <w:r w:rsidR="00B13A0F">
        <w:rPr>
          <w:rFonts w:asciiTheme="minorHAnsi" w:hAnsiTheme="minorHAnsi" w:cs="Arial"/>
          <w:b/>
          <w:color w:val="000000"/>
          <w:sz w:val="22"/>
          <w:szCs w:val="22"/>
        </w:rPr>
        <w:t>6</w:t>
      </w:r>
    </w:p>
    <w:p w14:paraId="3AF6DB4F" w14:textId="4946972A" w:rsidR="00FE62D0" w:rsidRDefault="00B13A0F" w:rsidP="00FE62D0">
      <w:pPr>
        <w:tabs>
          <w:tab w:val="center" w:pos="4680"/>
        </w:tabs>
        <w:suppressAutoHyphens/>
        <w:outlineLvl w:val="0"/>
        <w:rPr>
          <w:rFonts w:asciiTheme="minorHAnsi" w:hAnsiTheme="minorHAnsi"/>
          <w:sz w:val="22"/>
          <w:szCs w:val="22"/>
        </w:rPr>
      </w:pPr>
      <w:r>
        <w:rPr>
          <w:rFonts w:asciiTheme="minorHAnsi" w:hAnsiTheme="minorHAnsi"/>
          <w:sz w:val="22"/>
          <w:szCs w:val="22"/>
        </w:rPr>
        <w:br/>
      </w:r>
      <w:r w:rsidR="00FE62D0" w:rsidRPr="00B84BBB">
        <w:rPr>
          <w:rFonts w:asciiTheme="minorHAnsi" w:hAnsiTheme="minorHAnsi"/>
          <w:sz w:val="22"/>
          <w:szCs w:val="22"/>
        </w:rPr>
        <w:t>Do problem</w:t>
      </w:r>
      <w:r w:rsidR="003679D4">
        <w:rPr>
          <w:rFonts w:asciiTheme="minorHAnsi" w:hAnsiTheme="minorHAnsi"/>
          <w:sz w:val="22"/>
          <w:szCs w:val="22"/>
        </w:rPr>
        <w:t>s 7.2,</w:t>
      </w:r>
      <w:r w:rsidR="005906C3" w:rsidRPr="00B84BBB">
        <w:rPr>
          <w:rFonts w:asciiTheme="minorHAnsi" w:hAnsiTheme="minorHAnsi"/>
          <w:sz w:val="22"/>
          <w:szCs w:val="22"/>
        </w:rPr>
        <w:t xml:space="preserve"> 7</w:t>
      </w:r>
      <w:r w:rsidR="003679D4">
        <w:rPr>
          <w:rFonts w:asciiTheme="minorHAnsi" w:hAnsiTheme="minorHAnsi"/>
          <w:sz w:val="22"/>
          <w:szCs w:val="22"/>
        </w:rPr>
        <w:t xml:space="preserve">.5, </w:t>
      </w:r>
      <w:r w:rsidR="00311679">
        <w:rPr>
          <w:rFonts w:asciiTheme="minorHAnsi" w:hAnsiTheme="minorHAnsi"/>
          <w:sz w:val="22"/>
          <w:szCs w:val="22"/>
        </w:rPr>
        <w:t>7.9</w:t>
      </w:r>
      <w:r w:rsidR="003679D4">
        <w:rPr>
          <w:rFonts w:asciiTheme="minorHAnsi" w:hAnsiTheme="minorHAnsi"/>
          <w:sz w:val="22"/>
          <w:szCs w:val="22"/>
        </w:rPr>
        <w:t xml:space="preserve"> </w:t>
      </w:r>
      <w:r w:rsidR="005906C3" w:rsidRPr="00B84BBB">
        <w:rPr>
          <w:rFonts w:asciiTheme="minorHAnsi" w:hAnsiTheme="minorHAnsi"/>
          <w:sz w:val="22"/>
          <w:szCs w:val="22"/>
        </w:rPr>
        <w:t>7.12 and 7.13 below.</w:t>
      </w:r>
    </w:p>
    <w:p w14:paraId="1F343E72" w14:textId="197B78F6" w:rsidR="003679D4" w:rsidRDefault="003679D4" w:rsidP="00FE62D0">
      <w:pPr>
        <w:tabs>
          <w:tab w:val="center" w:pos="4680"/>
        </w:tabs>
        <w:suppressAutoHyphens/>
        <w:outlineLvl w:val="0"/>
        <w:rPr>
          <w:rFonts w:asciiTheme="minorHAnsi" w:hAnsiTheme="minorHAnsi"/>
          <w:sz w:val="22"/>
          <w:szCs w:val="22"/>
        </w:rPr>
      </w:pPr>
      <w:r>
        <w:rPr>
          <w:rFonts w:asciiTheme="minorHAnsi" w:hAnsiTheme="minorHAnsi"/>
          <w:sz w:val="22"/>
          <w:szCs w:val="22"/>
        </w:rPr>
        <w:t xml:space="preserve">7.2: </w:t>
      </w:r>
      <w:r w:rsidRPr="003679D4">
        <w:rPr>
          <w:rFonts w:asciiTheme="minorHAnsi" w:hAnsiTheme="minorHAnsi"/>
          <w:i/>
          <w:sz w:val="22"/>
          <w:szCs w:val="22"/>
        </w:rPr>
        <w:t>6 points</w:t>
      </w:r>
      <w:r w:rsidR="00C276C5">
        <w:rPr>
          <w:rFonts w:asciiTheme="minorHAnsi" w:hAnsiTheme="minorHAnsi"/>
          <w:i/>
          <w:sz w:val="22"/>
          <w:szCs w:val="22"/>
        </w:rPr>
        <w:t xml:space="preserve">  </w:t>
      </w:r>
    </w:p>
    <w:p w14:paraId="324C5D94" w14:textId="5320771B" w:rsidR="003679D4" w:rsidRPr="00311679" w:rsidRDefault="003679D4" w:rsidP="00FE62D0">
      <w:pPr>
        <w:tabs>
          <w:tab w:val="center" w:pos="4680"/>
        </w:tabs>
        <w:suppressAutoHyphens/>
        <w:outlineLvl w:val="0"/>
        <w:rPr>
          <w:rFonts w:asciiTheme="minorHAnsi" w:hAnsiTheme="minorHAnsi"/>
          <w:b/>
          <w:i/>
          <w:sz w:val="22"/>
          <w:szCs w:val="22"/>
        </w:rPr>
      </w:pPr>
      <w:r>
        <w:rPr>
          <w:rFonts w:asciiTheme="minorHAnsi" w:hAnsiTheme="minorHAnsi"/>
          <w:sz w:val="22"/>
          <w:szCs w:val="22"/>
        </w:rPr>
        <w:t xml:space="preserve">7.5: </w:t>
      </w:r>
      <w:r w:rsidRPr="003679D4">
        <w:rPr>
          <w:rFonts w:asciiTheme="minorHAnsi" w:hAnsiTheme="minorHAnsi"/>
          <w:i/>
          <w:sz w:val="22"/>
          <w:szCs w:val="22"/>
        </w:rPr>
        <w:t xml:space="preserve">6 </w:t>
      </w:r>
      <w:proofErr w:type="gramStart"/>
      <w:r w:rsidRPr="003679D4">
        <w:rPr>
          <w:rFonts w:asciiTheme="minorHAnsi" w:hAnsiTheme="minorHAnsi"/>
          <w:i/>
          <w:sz w:val="22"/>
          <w:szCs w:val="22"/>
        </w:rPr>
        <w:t>points</w:t>
      </w:r>
      <w:r w:rsidR="00C276C5">
        <w:rPr>
          <w:rFonts w:asciiTheme="minorHAnsi" w:hAnsiTheme="minorHAnsi"/>
          <w:i/>
          <w:sz w:val="22"/>
          <w:szCs w:val="22"/>
        </w:rPr>
        <w:t xml:space="preserve">  </w:t>
      </w:r>
      <w:proofErr w:type="gramEnd"/>
      <w:r w:rsidR="00A504C6">
        <w:rPr>
          <w:rFonts w:asciiTheme="minorHAnsi" w:hAnsiTheme="minorHAnsi"/>
          <w:i/>
          <w:sz w:val="22"/>
          <w:szCs w:val="22"/>
        </w:rPr>
        <w:br/>
      </w:r>
      <w:r w:rsidR="00A504C6" w:rsidRPr="00C91EC1">
        <w:rPr>
          <w:rFonts w:asciiTheme="minorHAnsi" w:hAnsiTheme="minorHAnsi"/>
          <w:i/>
          <w:sz w:val="22"/>
          <w:szCs w:val="22"/>
        </w:rPr>
        <w:t>7.9  8 points</w:t>
      </w:r>
      <w:r w:rsidR="00A504C6">
        <w:rPr>
          <w:rFonts w:asciiTheme="minorHAnsi" w:hAnsiTheme="minorHAnsi"/>
          <w:b/>
          <w:i/>
          <w:sz w:val="22"/>
          <w:szCs w:val="22"/>
        </w:rPr>
        <w:t xml:space="preserve"> </w:t>
      </w:r>
    </w:p>
    <w:p w14:paraId="2603572A" w14:textId="79F816F2" w:rsidR="003679D4" w:rsidRDefault="003679D4" w:rsidP="00FE62D0">
      <w:pPr>
        <w:tabs>
          <w:tab w:val="center" w:pos="4680"/>
        </w:tabs>
        <w:suppressAutoHyphens/>
        <w:outlineLvl w:val="0"/>
        <w:rPr>
          <w:rFonts w:asciiTheme="minorHAnsi" w:hAnsiTheme="minorHAnsi"/>
          <w:sz w:val="22"/>
          <w:szCs w:val="22"/>
        </w:rPr>
      </w:pPr>
      <w:r>
        <w:rPr>
          <w:rFonts w:asciiTheme="minorHAnsi" w:hAnsiTheme="minorHAnsi"/>
          <w:sz w:val="22"/>
          <w:szCs w:val="22"/>
        </w:rPr>
        <w:t xml:space="preserve">7.12: </w:t>
      </w:r>
      <w:r w:rsidRPr="003679D4">
        <w:rPr>
          <w:rFonts w:asciiTheme="minorHAnsi" w:hAnsiTheme="minorHAnsi"/>
          <w:i/>
          <w:sz w:val="22"/>
          <w:szCs w:val="22"/>
        </w:rPr>
        <w:t>7 points</w:t>
      </w:r>
      <w:r>
        <w:rPr>
          <w:rFonts w:asciiTheme="minorHAnsi" w:hAnsiTheme="minorHAnsi"/>
          <w:sz w:val="22"/>
          <w:szCs w:val="22"/>
        </w:rPr>
        <w:t xml:space="preserve"> </w:t>
      </w:r>
      <w:r w:rsidR="00411F2F">
        <w:rPr>
          <w:rFonts w:asciiTheme="minorHAnsi" w:hAnsiTheme="minorHAnsi"/>
          <w:sz w:val="22"/>
          <w:szCs w:val="22"/>
        </w:rPr>
        <w:t xml:space="preserve"> </w:t>
      </w:r>
    </w:p>
    <w:p w14:paraId="748B6709" w14:textId="3D95305C" w:rsidR="003679D4" w:rsidRDefault="003679D4" w:rsidP="00FE62D0">
      <w:pPr>
        <w:tabs>
          <w:tab w:val="center" w:pos="4680"/>
        </w:tabs>
        <w:suppressAutoHyphens/>
        <w:outlineLvl w:val="0"/>
        <w:rPr>
          <w:rFonts w:asciiTheme="minorHAnsi" w:hAnsiTheme="minorHAnsi"/>
          <w:sz w:val="22"/>
          <w:szCs w:val="22"/>
        </w:rPr>
      </w:pPr>
      <w:r>
        <w:rPr>
          <w:rFonts w:asciiTheme="minorHAnsi" w:hAnsiTheme="minorHAnsi"/>
          <w:sz w:val="22"/>
          <w:szCs w:val="22"/>
        </w:rPr>
        <w:t xml:space="preserve">7.13: </w:t>
      </w:r>
      <w:r w:rsidRPr="003679D4">
        <w:rPr>
          <w:rFonts w:asciiTheme="minorHAnsi" w:hAnsiTheme="minorHAnsi"/>
          <w:i/>
          <w:sz w:val="22"/>
          <w:szCs w:val="22"/>
        </w:rPr>
        <w:t>10 points</w:t>
      </w:r>
      <w:r>
        <w:rPr>
          <w:rFonts w:asciiTheme="minorHAnsi" w:hAnsiTheme="minorHAnsi"/>
          <w:sz w:val="22"/>
          <w:szCs w:val="22"/>
        </w:rPr>
        <w:t xml:space="preserve"> </w:t>
      </w:r>
      <w:r w:rsidR="0055678F">
        <w:rPr>
          <w:rFonts w:asciiTheme="minorHAnsi" w:hAnsiTheme="minorHAnsi"/>
          <w:sz w:val="22"/>
          <w:szCs w:val="22"/>
        </w:rPr>
        <w:t xml:space="preserve"> </w:t>
      </w:r>
    </w:p>
    <w:p w14:paraId="449D7BBD" w14:textId="1F6D095F" w:rsidR="003679D4" w:rsidRDefault="003679D4" w:rsidP="00FE62D0">
      <w:pPr>
        <w:tabs>
          <w:tab w:val="center" w:pos="4680"/>
        </w:tabs>
        <w:suppressAutoHyphens/>
        <w:outlineLvl w:val="0"/>
        <w:rPr>
          <w:rFonts w:asciiTheme="minorHAnsi" w:hAnsiTheme="minorHAnsi"/>
          <w:b/>
          <w:i/>
          <w:sz w:val="22"/>
          <w:szCs w:val="22"/>
        </w:rPr>
      </w:pPr>
      <w:r w:rsidRPr="003679D4">
        <w:rPr>
          <w:rFonts w:asciiTheme="minorHAnsi" w:hAnsiTheme="minorHAnsi"/>
          <w:b/>
          <w:i/>
          <w:sz w:val="22"/>
          <w:szCs w:val="22"/>
        </w:rPr>
        <w:t xml:space="preserve">Total </w:t>
      </w:r>
      <w:r w:rsidR="00BF52DC">
        <w:rPr>
          <w:rFonts w:asciiTheme="minorHAnsi" w:hAnsiTheme="minorHAnsi"/>
          <w:b/>
          <w:i/>
          <w:sz w:val="22"/>
          <w:szCs w:val="22"/>
        </w:rPr>
        <w:t>37</w:t>
      </w:r>
      <w:r w:rsidR="00ED61E4" w:rsidRPr="003679D4">
        <w:rPr>
          <w:rFonts w:asciiTheme="minorHAnsi" w:hAnsiTheme="minorHAnsi"/>
          <w:b/>
          <w:i/>
          <w:sz w:val="22"/>
          <w:szCs w:val="22"/>
        </w:rPr>
        <w:t xml:space="preserve"> </w:t>
      </w:r>
      <w:r w:rsidRPr="003679D4">
        <w:rPr>
          <w:rFonts w:asciiTheme="minorHAnsi" w:hAnsiTheme="minorHAnsi"/>
          <w:b/>
          <w:i/>
          <w:sz w:val="22"/>
          <w:szCs w:val="22"/>
        </w:rPr>
        <w:t xml:space="preserve">points </w:t>
      </w:r>
    </w:p>
    <w:p w14:paraId="4A193583" w14:textId="77777777" w:rsidR="00840BBA" w:rsidRPr="00B84BBB" w:rsidRDefault="00840BBA" w:rsidP="00FE62D0">
      <w:pPr>
        <w:tabs>
          <w:tab w:val="center" w:pos="4680"/>
        </w:tabs>
        <w:suppressAutoHyphens/>
        <w:outlineLvl w:val="0"/>
        <w:rPr>
          <w:rFonts w:asciiTheme="minorHAnsi" w:hAnsiTheme="minorHAnsi"/>
          <w:sz w:val="22"/>
          <w:szCs w:val="22"/>
        </w:rPr>
      </w:pPr>
    </w:p>
    <w:p w14:paraId="51A77344" w14:textId="5B5F89E9" w:rsidR="00840BBA" w:rsidRPr="00B84BBB" w:rsidRDefault="00C77654">
      <w:pPr>
        <w:pStyle w:val="HTMLPreformatted"/>
        <w:rPr>
          <w:rFonts w:asciiTheme="minorHAnsi" w:hAnsiTheme="minorHAnsi"/>
          <w:color w:val="000000"/>
          <w:sz w:val="22"/>
          <w:szCs w:val="22"/>
        </w:rPr>
      </w:pPr>
      <w:r w:rsidRPr="00B84BBB">
        <w:rPr>
          <w:rFonts w:asciiTheme="minorHAnsi" w:hAnsiTheme="minorHAnsi"/>
          <w:color w:val="000000"/>
          <w:sz w:val="22"/>
          <w:szCs w:val="22"/>
        </w:rPr>
        <w:t>7.2</w:t>
      </w:r>
      <w:r w:rsidR="004361D7">
        <w:rPr>
          <w:rFonts w:asciiTheme="minorHAnsi" w:hAnsiTheme="minorHAnsi"/>
          <w:color w:val="000000"/>
          <w:sz w:val="22"/>
          <w:szCs w:val="22"/>
        </w:rPr>
        <w:t xml:space="preserve"> </w:t>
      </w:r>
      <w:r w:rsidR="004361D7">
        <w:rPr>
          <w:rFonts w:asciiTheme="minorHAnsi" w:hAnsiTheme="minorHAnsi"/>
          <w:b/>
          <w:sz w:val="22"/>
          <w:szCs w:val="22"/>
          <w:highlight w:val="yellow"/>
        </w:rPr>
        <w:t>[6 points total</w:t>
      </w:r>
      <w:r w:rsidR="004361D7" w:rsidRPr="00B84BBB">
        <w:rPr>
          <w:rFonts w:asciiTheme="minorHAnsi" w:hAnsiTheme="minorHAnsi"/>
          <w:b/>
          <w:sz w:val="22"/>
          <w:szCs w:val="22"/>
          <w:highlight w:val="yellow"/>
        </w:rPr>
        <w:t>]</w:t>
      </w:r>
      <w:r w:rsidR="004361D7">
        <w:rPr>
          <w:rFonts w:asciiTheme="minorHAnsi" w:hAnsiTheme="minorHAnsi"/>
          <w:color w:val="000000"/>
          <w:sz w:val="22"/>
          <w:szCs w:val="22"/>
        </w:rPr>
        <w:t xml:space="preserve"> </w:t>
      </w:r>
      <w:r w:rsidR="00840BBA" w:rsidRPr="00B84BBB">
        <w:rPr>
          <w:rFonts w:asciiTheme="minorHAnsi" w:hAnsiTheme="minorHAnsi"/>
          <w:color w:val="000000"/>
          <w:sz w:val="22"/>
          <w:szCs w:val="22"/>
        </w:rPr>
        <w:t>Cytomegalovirus (CMV), like the chickenpox virus, varicella, is a virus to which most women have already been exposed before pregnancy. However, as with varicella, a pregnant woman with a first-time infection can pass the virus to the fetus. This congenital infection can lead to complications, including hearing loss. One way to test for congenital infection is to look for the virus in the baby's urine (</w:t>
      </w:r>
      <w:proofErr w:type="spellStart"/>
      <w:r w:rsidR="00840BBA" w:rsidRPr="00B84BBB">
        <w:rPr>
          <w:rFonts w:asciiTheme="minorHAnsi" w:hAnsiTheme="minorHAnsi"/>
          <w:color w:val="000000"/>
          <w:sz w:val="22"/>
          <w:szCs w:val="22"/>
        </w:rPr>
        <w:t>viuria</w:t>
      </w:r>
      <w:proofErr w:type="spellEnd"/>
      <w:r w:rsidR="00840BBA" w:rsidRPr="00B84BBB">
        <w:rPr>
          <w:rFonts w:asciiTheme="minorHAnsi" w:hAnsiTheme="minorHAnsi"/>
          <w:color w:val="000000"/>
          <w:sz w:val="22"/>
          <w:szCs w:val="22"/>
        </w:rPr>
        <w:t>). Fowler et al.</w:t>
      </w:r>
      <w:r w:rsidR="00566DA3">
        <w:rPr>
          <w:rFonts w:asciiTheme="minorHAnsi" w:hAnsiTheme="minorHAnsi"/>
          <w:color w:val="000000"/>
          <w:sz w:val="22"/>
          <w:szCs w:val="22"/>
        </w:rPr>
        <w:fldChar w:fldCharType="begin"/>
      </w:r>
      <w:r w:rsidR="00566DA3">
        <w:rPr>
          <w:rFonts w:asciiTheme="minorHAnsi" w:hAnsiTheme="minorHAnsi"/>
          <w:color w:val="000000"/>
          <w:sz w:val="22"/>
          <w:szCs w:val="22"/>
        </w:rPr>
        <w:instrText xml:space="preserve"> ADDIN EN.CITE &lt;EndNote&gt;&lt;Cite&gt;&lt;Author&gt;Fowler&lt;/Author&gt;&lt;Year&gt;1992&lt;/Year&gt;&lt;RecNum&gt;1365&lt;/RecNum&gt;&lt;DisplayText&gt;(Fowler, Stagno et al. 1992)&lt;/DisplayText&gt;&lt;record&gt;&lt;rec-number&gt;1365&lt;/rec-number&gt;&lt;foreign-keys&gt;&lt;key app="EN" db-id="s5wrswzpewzvvze9sxpxree4s0x5vdrwfapp" timestamp="1413008238"&gt;1365&lt;/key&gt;&lt;/foreign-keys&gt;&lt;ref-type name="Journal Article"&gt;17&lt;/ref-type&gt;&lt;contributors&gt;&lt;authors&gt;&lt;author&gt;Fowler, K. B.&lt;/author&gt;&lt;author&gt;Stagno, S.&lt;/author&gt;&lt;author&gt;Pass, R. F.&lt;/author&gt;&lt;author&gt;Britt, W. J.&lt;/author&gt;&lt;author&gt;Boll, T. J.&lt;/author&gt;&lt;author&gt;Alford, C. A.&lt;/author&gt;&lt;/authors&gt;&lt;/contributors&gt;&lt;auth-address&gt;Department of Pediatrics, University of Alabama, Birmingham 35294-0011.&lt;/auth-address&gt;&lt;titles&gt;&lt;title&gt;The outcome of congenital cytomegalovirus infection in relation to maternal antibody status&lt;/title&gt;&lt;secondary-title&gt;N Engl J Med&lt;/secondary-title&gt;&lt;/titles&gt;&lt;periodical&gt;&lt;full-title&gt;N Engl J Med&lt;/full-title&gt;&lt;/periodical&gt;&lt;pages&gt;663-7&lt;/pages&gt;&lt;volume&gt;326&lt;/volume&gt;&lt;number&gt;10&lt;/number&gt;&lt;keywords&gt;&lt;keyword&gt;Antibodies, Viral/*analysis&lt;/keyword&gt;&lt;keyword&gt;Child, Preschool&lt;/keyword&gt;&lt;keyword&gt;Cytomegalovirus/*immunology&lt;/keyword&gt;&lt;keyword&gt;Cytomegalovirus Infections/complications/*congenital/transmission&lt;/keyword&gt;&lt;keyword&gt;Deafness/etiology&lt;/keyword&gt;&lt;keyword&gt;Female&lt;/keyword&gt;&lt;keyword&gt;Fetal Diseases/etiology&lt;/keyword&gt;&lt;keyword&gt;Follow-Up Studies&lt;/keyword&gt;&lt;keyword&gt;Humans&lt;/keyword&gt;&lt;keyword&gt;Infant, Newborn&lt;/keyword&gt;&lt;keyword&gt;Male&lt;/keyword&gt;&lt;keyword&gt;Pregnancy&lt;/keyword&gt;&lt;keyword&gt;Pregnancy Complications, Infectious&lt;/keyword&gt;&lt;keyword&gt;Recurrence&lt;/keyword&gt;&lt;/keywords&gt;&lt;dates&gt;&lt;year&gt;1992&lt;/year&gt;&lt;pub-dates&gt;&lt;date&gt;Mar 5&lt;/date&gt;&lt;/pub-dates&gt;&lt;/dates&gt;&lt;accession-num&gt;1310525&lt;/accession-num&gt;&lt;urls&gt;&lt;related-urls&gt;&lt;url&gt;http://www.ncbi.nlm.nih.gov/entrez/query.fcgi?cmd=Retrieve&amp;amp;db=PubMed&amp;amp;dopt=Citation&amp;amp;list_uids=1310525 &lt;/url&gt;&lt;/related-urls&gt;&lt;/urls&gt;&lt;/record&gt;&lt;/Cite&gt;&lt;/EndNote&gt;</w:instrText>
      </w:r>
      <w:r w:rsidR="00566DA3">
        <w:rPr>
          <w:rFonts w:asciiTheme="minorHAnsi" w:hAnsiTheme="minorHAnsi"/>
          <w:color w:val="000000"/>
          <w:sz w:val="22"/>
          <w:szCs w:val="22"/>
        </w:rPr>
        <w:fldChar w:fldCharType="separate"/>
      </w:r>
      <w:proofErr w:type="gramStart"/>
      <w:r w:rsidR="00566DA3">
        <w:rPr>
          <w:rFonts w:asciiTheme="minorHAnsi" w:hAnsiTheme="minorHAnsi"/>
          <w:noProof/>
          <w:color w:val="000000"/>
          <w:sz w:val="22"/>
          <w:szCs w:val="22"/>
        </w:rPr>
        <w:t>(Fowler, Stagno et al. 1992)</w:t>
      </w:r>
      <w:r w:rsidR="00566DA3">
        <w:rPr>
          <w:rFonts w:asciiTheme="minorHAnsi" w:hAnsiTheme="minorHAnsi"/>
          <w:color w:val="000000"/>
          <w:sz w:val="22"/>
          <w:szCs w:val="22"/>
        </w:rPr>
        <w:fldChar w:fldCharType="end"/>
      </w:r>
      <w:r w:rsidR="00D32FA0">
        <w:rPr>
          <w:rFonts w:asciiTheme="minorHAnsi" w:hAnsiTheme="minorHAnsi"/>
          <w:color w:val="000000"/>
          <w:sz w:val="22"/>
          <w:szCs w:val="22"/>
        </w:rPr>
        <w:t xml:space="preserve"> </w:t>
      </w:r>
      <w:r w:rsidR="00676798">
        <w:rPr>
          <w:rFonts w:asciiTheme="minorHAnsi" w:hAnsiTheme="minorHAnsi"/>
          <w:color w:val="000000"/>
          <w:sz w:val="22"/>
          <w:szCs w:val="22"/>
        </w:rPr>
        <w:t>¡</w:t>
      </w:r>
      <w:r w:rsidR="00840BBA" w:rsidRPr="00B84BBB">
        <w:rPr>
          <w:rFonts w:asciiTheme="minorHAnsi" w:hAnsiTheme="minorHAnsi"/>
          <w:color w:val="000000"/>
          <w:sz w:val="22"/>
          <w:szCs w:val="22"/>
        </w:rPr>
        <w:t>studied the risk of hearing loss in infants and children with congenital CMV.</w:t>
      </w:r>
      <w:proofErr w:type="gramEnd"/>
      <w:r w:rsidR="00D32FA0">
        <w:rPr>
          <w:rFonts w:asciiTheme="minorHAnsi" w:hAnsiTheme="minorHAnsi"/>
          <w:color w:val="000000"/>
          <w:sz w:val="22"/>
          <w:szCs w:val="22"/>
        </w:rPr>
        <w:t xml:space="preserve">  </w:t>
      </w:r>
      <w:r w:rsidR="00840BBA" w:rsidRPr="00B84BBB">
        <w:rPr>
          <w:rFonts w:asciiTheme="minorHAnsi" w:hAnsiTheme="minorHAnsi"/>
          <w:color w:val="000000"/>
          <w:sz w:val="22"/>
          <w:szCs w:val="22"/>
        </w:rPr>
        <w:t xml:space="preserve">Here is an excerpt from the paper's Methods section: </w:t>
      </w:r>
    </w:p>
    <w:p w14:paraId="6A3C720F" w14:textId="77777777" w:rsidR="00840BBA" w:rsidRPr="00B84BBB" w:rsidRDefault="00840BBA" w:rsidP="00840BBA">
      <w:pPr>
        <w:pStyle w:val="HTMLPreformatted"/>
        <w:ind w:left="720"/>
        <w:rPr>
          <w:rFonts w:asciiTheme="minorHAnsi" w:hAnsiTheme="minorHAnsi"/>
          <w:i/>
          <w:color w:val="000000"/>
          <w:sz w:val="22"/>
          <w:szCs w:val="22"/>
        </w:rPr>
      </w:pPr>
      <w:r w:rsidRPr="00B84BBB">
        <w:rPr>
          <w:rFonts w:asciiTheme="minorHAnsi" w:hAnsiTheme="minorHAnsi"/>
          <w:i/>
          <w:color w:val="000000"/>
          <w:sz w:val="22"/>
          <w:szCs w:val="22"/>
        </w:rPr>
        <w:t xml:space="preserve">Of the children in the study, 172 were identified through the obstetrical services at hospitals where we screened newborns for </w:t>
      </w:r>
      <w:proofErr w:type="spellStart"/>
      <w:r w:rsidRPr="00B84BBB">
        <w:rPr>
          <w:rFonts w:asciiTheme="minorHAnsi" w:hAnsiTheme="minorHAnsi"/>
          <w:i/>
          <w:color w:val="000000"/>
          <w:sz w:val="22"/>
          <w:szCs w:val="22"/>
        </w:rPr>
        <w:t>viuria</w:t>
      </w:r>
      <w:proofErr w:type="spellEnd"/>
      <w:r w:rsidRPr="00B84BBB">
        <w:rPr>
          <w:rFonts w:asciiTheme="minorHAnsi" w:hAnsiTheme="minorHAnsi"/>
          <w:i/>
          <w:color w:val="000000"/>
          <w:sz w:val="22"/>
          <w:szCs w:val="22"/>
        </w:rPr>
        <w:t xml:space="preserve"> to detect congenital CMV infection. Twenty-five additional congenitally infected newborns were referred to us by other hospitals or because the mother had evidence of infection on serologic screening or </w:t>
      </w:r>
      <w:proofErr w:type="gramStart"/>
      <w:r w:rsidRPr="00B84BBB">
        <w:rPr>
          <w:rFonts w:asciiTheme="minorHAnsi" w:hAnsiTheme="minorHAnsi"/>
          <w:i/>
          <w:color w:val="000000"/>
          <w:sz w:val="22"/>
          <w:szCs w:val="22"/>
        </w:rPr>
        <w:t>had  illness</w:t>
      </w:r>
      <w:proofErr w:type="gramEnd"/>
      <w:r w:rsidRPr="00B84BBB">
        <w:rPr>
          <w:rFonts w:asciiTheme="minorHAnsi" w:hAnsiTheme="minorHAnsi"/>
          <w:i/>
          <w:color w:val="000000"/>
          <w:sz w:val="22"/>
          <w:szCs w:val="22"/>
        </w:rPr>
        <w:t xml:space="preserve"> during pregnancy or because elevated cord-blood levels of </w:t>
      </w:r>
      <w:proofErr w:type="spellStart"/>
      <w:r w:rsidRPr="00B84BBB">
        <w:rPr>
          <w:rFonts w:asciiTheme="minorHAnsi" w:hAnsiTheme="minorHAnsi"/>
          <w:i/>
          <w:color w:val="000000"/>
          <w:sz w:val="22"/>
          <w:szCs w:val="22"/>
        </w:rPr>
        <w:t>IgM</w:t>
      </w:r>
      <w:proofErr w:type="spellEnd"/>
      <w:r w:rsidRPr="00B84BBB">
        <w:rPr>
          <w:rFonts w:asciiTheme="minorHAnsi" w:hAnsiTheme="minorHAnsi"/>
          <w:i/>
          <w:color w:val="000000"/>
          <w:sz w:val="22"/>
          <w:szCs w:val="22"/>
        </w:rPr>
        <w:t xml:space="preserve"> or rheumatoid factor or symptoms of congenital infection in the newborn led to </w:t>
      </w:r>
      <w:proofErr w:type="spellStart"/>
      <w:r w:rsidRPr="00B84BBB">
        <w:rPr>
          <w:rFonts w:asciiTheme="minorHAnsi" w:hAnsiTheme="minorHAnsi"/>
          <w:i/>
          <w:color w:val="000000"/>
          <w:sz w:val="22"/>
          <w:szCs w:val="22"/>
        </w:rPr>
        <w:t>virologic</w:t>
      </w:r>
      <w:proofErr w:type="spellEnd"/>
      <w:r w:rsidRPr="00B84BBB">
        <w:rPr>
          <w:rFonts w:asciiTheme="minorHAnsi" w:hAnsiTheme="minorHAnsi"/>
          <w:i/>
          <w:color w:val="000000"/>
          <w:sz w:val="22"/>
          <w:szCs w:val="22"/>
        </w:rPr>
        <w:t xml:space="preserve"> testing.</w:t>
      </w:r>
    </w:p>
    <w:p w14:paraId="659EEEF0" w14:textId="639DC502" w:rsidR="00840BBA" w:rsidRPr="00B84BBB" w:rsidRDefault="00840BBA" w:rsidP="008A48BA">
      <w:pPr>
        <w:pStyle w:val="HTMLPreformatted"/>
        <w:rPr>
          <w:rFonts w:asciiTheme="minorHAnsi" w:hAnsiTheme="minorHAnsi"/>
          <w:color w:val="000000"/>
          <w:sz w:val="22"/>
          <w:szCs w:val="22"/>
        </w:rPr>
      </w:pPr>
      <w:r w:rsidRPr="00B84BBB">
        <w:rPr>
          <w:rFonts w:asciiTheme="minorHAnsi" w:hAnsiTheme="minorHAnsi"/>
          <w:color w:val="000000"/>
          <w:sz w:val="22"/>
          <w:szCs w:val="22"/>
        </w:rPr>
        <w:t xml:space="preserve"> a) Comment on the inclusion criteria for the 172 + 25 = 197 subjects in the study. What effect might the sample selection process have had on the results?</w:t>
      </w:r>
      <w:r w:rsidR="004361D7">
        <w:rPr>
          <w:rFonts w:asciiTheme="minorHAnsi" w:hAnsiTheme="minorHAnsi"/>
          <w:color w:val="000000"/>
          <w:sz w:val="22"/>
          <w:szCs w:val="22"/>
        </w:rPr>
        <w:t xml:space="preserve"> </w:t>
      </w:r>
      <w:r w:rsidR="004361D7" w:rsidRPr="00B84BBB">
        <w:rPr>
          <w:rFonts w:asciiTheme="minorHAnsi" w:hAnsiTheme="minorHAnsi"/>
          <w:b/>
          <w:sz w:val="22"/>
          <w:szCs w:val="22"/>
          <w:highlight w:val="yellow"/>
        </w:rPr>
        <w:t>[2]</w:t>
      </w:r>
    </w:p>
    <w:p w14:paraId="75142E5C" w14:textId="4C3F2545" w:rsidR="00840BBA" w:rsidRPr="00B84BBB" w:rsidRDefault="00457962" w:rsidP="008A48BA">
      <w:pPr>
        <w:pStyle w:val="HTMLPreformatted"/>
        <w:rPr>
          <w:rFonts w:asciiTheme="minorHAnsi" w:hAnsiTheme="minorHAnsi"/>
          <w:color w:val="000000"/>
          <w:sz w:val="22"/>
          <w:szCs w:val="22"/>
        </w:rPr>
      </w:pPr>
      <w:r>
        <w:rPr>
          <w:rFonts w:asciiTheme="minorHAnsi" w:hAnsiTheme="minorHAnsi"/>
          <w:b/>
          <w:color w:val="0000FF"/>
          <w:sz w:val="22"/>
          <w:szCs w:val="22"/>
        </w:rPr>
        <w:br/>
      </w:r>
    </w:p>
    <w:p w14:paraId="22436BD8" w14:textId="2CF14945" w:rsidR="00840BBA" w:rsidRPr="00B84BBB" w:rsidRDefault="00840BBA" w:rsidP="008A48BA">
      <w:pPr>
        <w:pStyle w:val="HTMLPreformatted"/>
        <w:rPr>
          <w:rFonts w:asciiTheme="minorHAnsi" w:hAnsiTheme="minorHAnsi"/>
          <w:color w:val="000000"/>
          <w:sz w:val="22"/>
          <w:szCs w:val="22"/>
        </w:rPr>
      </w:pPr>
      <w:r w:rsidRPr="00B84BBB">
        <w:rPr>
          <w:rFonts w:asciiTheme="minorHAnsi" w:hAnsiTheme="minorHAnsi"/>
          <w:color w:val="000000"/>
          <w:sz w:val="22"/>
          <w:szCs w:val="22"/>
        </w:rPr>
        <w:t xml:space="preserve"> b) Overall, hearing loss occurred in 24 of 197 (12%) infants in this study. If you </w:t>
      </w:r>
      <w:proofErr w:type="gramStart"/>
      <w:r w:rsidRPr="00B84BBB">
        <w:rPr>
          <w:rFonts w:asciiTheme="minorHAnsi" w:hAnsiTheme="minorHAnsi"/>
          <w:color w:val="000000"/>
          <w:sz w:val="22"/>
          <w:szCs w:val="22"/>
        </w:rPr>
        <w:t>are</w:t>
      </w:r>
      <w:proofErr w:type="gramEnd"/>
      <w:r w:rsidRPr="00B84BBB">
        <w:rPr>
          <w:rFonts w:asciiTheme="minorHAnsi" w:hAnsiTheme="minorHAnsi"/>
          <w:color w:val="000000"/>
          <w:sz w:val="22"/>
          <w:szCs w:val="22"/>
        </w:rPr>
        <w:t xml:space="preserve"> seeing an infant with congenital CMV picked up on routine screening, what would you calculate as the lowest and highest risks of sensorineural hearing loss consistent with this study? (Ignore random error, i.e., do not do confidence intervals. We are just looking for the effect of the sampling scheme.) </w:t>
      </w:r>
      <w:r w:rsidR="004361D7">
        <w:rPr>
          <w:rFonts w:asciiTheme="minorHAnsi" w:hAnsiTheme="minorHAnsi"/>
          <w:color w:val="000000"/>
          <w:sz w:val="22"/>
          <w:szCs w:val="22"/>
        </w:rPr>
        <w:t xml:space="preserve"> </w:t>
      </w:r>
      <w:r w:rsidR="004361D7" w:rsidRPr="00B84BBB">
        <w:rPr>
          <w:rFonts w:asciiTheme="minorHAnsi" w:hAnsiTheme="minorHAnsi"/>
          <w:b/>
          <w:sz w:val="22"/>
          <w:szCs w:val="22"/>
          <w:highlight w:val="yellow"/>
        </w:rPr>
        <w:t>[2]</w:t>
      </w:r>
    </w:p>
    <w:p w14:paraId="31D28E3C" w14:textId="464E68EA" w:rsidR="00840BBA" w:rsidRPr="00B84BBB" w:rsidRDefault="00457962" w:rsidP="008A48BA">
      <w:pPr>
        <w:pStyle w:val="HTMLPreformatted"/>
        <w:rPr>
          <w:rFonts w:asciiTheme="minorHAnsi" w:hAnsiTheme="minorHAnsi"/>
          <w:color w:val="000000"/>
          <w:sz w:val="22"/>
          <w:szCs w:val="22"/>
        </w:rPr>
      </w:pPr>
      <w:r>
        <w:rPr>
          <w:rFonts w:asciiTheme="minorHAnsi" w:hAnsiTheme="minorHAnsi"/>
          <w:b/>
          <w:color w:val="0000FF"/>
          <w:sz w:val="22"/>
          <w:szCs w:val="22"/>
        </w:rPr>
        <w:br/>
      </w:r>
    </w:p>
    <w:p w14:paraId="01070129" w14:textId="3F949802" w:rsidR="00840BBA" w:rsidRPr="00B84BBB" w:rsidRDefault="00840BBA" w:rsidP="008A48BA">
      <w:pPr>
        <w:pStyle w:val="HTMLPreformatted"/>
        <w:rPr>
          <w:rFonts w:asciiTheme="minorHAnsi" w:hAnsiTheme="minorHAnsi"/>
          <w:color w:val="000000"/>
          <w:sz w:val="22"/>
          <w:szCs w:val="22"/>
        </w:rPr>
      </w:pPr>
      <w:r w:rsidRPr="00B84BBB">
        <w:rPr>
          <w:rFonts w:asciiTheme="minorHAnsi" w:hAnsiTheme="minorHAnsi"/>
          <w:color w:val="000000"/>
          <w:sz w:val="22"/>
          <w:szCs w:val="22"/>
        </w:rPr>
        <w:t xml:space="preserve">c) Repeat part (b), but this time assume the infant was referred because of symptoms of congenital CMV.  </w:t>
      </w:r>
      <w:r w:rsidR="004361D7" w:rsidRPr="00B84BBB">
        <w:rPr>
          <w:rFonts w:asciiTheme="minorHAnsi" w:hAnsiTheme="minorHAnsi"/>
          <w:b/>
          <w:sz w:val="22"/>
          <w:szCs w:val="22"/>
          <w:highlight w:val="yellow"/>
        </w:rPr>
        <w:t>[2]</w:t>
      </w:r>
    </w:p>
    <w:p w14:paraId="1E5B8414" w14:textId="506EF7A6" w:rsidR="006A6343" w:rsidRPr="00B84BBB" w:rsidRDefault="001B492C" w:rsidP="008A48BA">
      <w:pPr>
        <w:pStyle w:val="HTMLPreformatted"/>
        <w:rPr>
          <w:rFonts w:asciiTheme="minorHAnsi" w:hAnsiTheme="minorHAnsi"/>
          <w:color w:val="000000"/>
          <w:sz w:val="22"/>
          <w:szCs w:val="22"/>
        </w:rPr>
      </w:pPr>
      <w:r>
        <w:rPr>
          <w:rFonts w:asciiTheme="minorHAnsi" w:hAnsiTheme="minorHAnsi"/>
          <w:b/>
          <w:color w:val="0000FF"/>
          <w:sz w:val="22"/>
          <w:szCs w:val="22"/>
        </w:rPr>
        <w:br/>
      </w:r>
    </w:p>
    <w:p w14:paraId="41E238BE" w14:textId="03EBABCF" w:rsidR="00840BBA" w:rsidRPr="00B84BBB" w:rsidRDefault="00C77654" w:rsidP="008A48BA">
      <w:pPr>
        <w:pStyle w:val="HTMLPreformatted"/>
        <w:rPr>
          <w:rFonts w:asciiTheme="minorHAnsi" w:hAnsiTheme="minorHAnsi"/>
          <w:color w:val="000000"/>
          <w:sz w:val="22"/>
          <w:szCs w:val="22"/>
        </w:rPr>
      </w:pPr>
      <w:r w:rsidRPr="00B84BBB">
        <w:rPr>
          <w:rFonts w:asciiTheme="minorHAnsi" w:hAnsiTheme="minorHAnsi"/>
          <w:color w:val="000000"/>
          <w:sz w:val="22"/>
          <w:szCs w:val="22"/>
        </w:rPr>
        <w:t>7.5</w:t>
      </w:r>
      <w:r w:rsidR="004361D7">
        <w:rPr>
          <w:rFonts w:asciiTheme="minorHAnsi" w:hAnsiTheme="minorHAnsi"/>
          <w:color w:val="000000"/>
          <w:sz w:val="22"/>
          <w:szCs w:val="22"/>
        </w:rPr>
        <w:t xml:space="preserve"> </w:t>
      </w:r>
      <w:r w:rsidR="004361D7">
        <w:rPr>
          <w:rFonts w:asciiTheme="minorHAnsi" w:hAnsiTheme="minorHAnsi"/>
          <w:b/>
          <w:sz w:val="22"/>
          <w:szCs w:val="22"/>
          <w:highlight w:val="yellow"/>
        </w:rPr>
        <w:t>[6 points total</w:t>
      </w:r>
      <w:r w:rsidR="004361D7" w:rsidRPr="00B84BBB">
        <w:rPr>
          <w:rFonts w:asciiTheme="minorHAnsi" w:hAnsiTheme="minorHAnsi"/>
          <w:b/>
          <w:sz w:val="22"/>
          <w:szCs w:val="22"/>
          <w:highlight w:val="yellow"/>
        </w:rPr>
        <w:t>]</w:t>
      </w:r>
      <w:r w:rsidR="004361D7">
        <w:rPr>
          <w:rFonts w:asciiTheme="minorHAnsi" w:hAnsiTheme="minorHAnsi"/>
          <w:color w:val="000000"/>
          <w:sz w:val="22"/>
          <w:szCs w:val="22"/>
        </w:rPr>
        <w:t xml:space="preserve"> </w:t>
      </w:r>
      <w:r w:rsidR="00840BBA" w:rsidRPr="00B84BBB">
        <w:rPr>
          <w:rFonts w:asciiTheme="minorHAnsi" w:hAnsiTheme="minorHAnsi"/>
          <w:color w:val="000000"/>
          <w:sz w:val="22"/>
          <w:szCs w:val="22"/>
        </w:rPr>
        <w:t>People with cancer that spreads to bone can have fractures and severe bone pain. Brown et al. (2003) investigated a measure of bone resorption, urinary N-</w:t>
      </w:r>
      <w:proofErr w:type="spellStart"/>
      <w:r w:rsidR="00840BBA" w:rsidRPr="00B84BBB">
        <w:rPr>
          <w:rFonts w:asciiTheme="minorHAnsi" w:hAnsiTheme="minorHAnsi"/>
          <w:color w:val="000000"/>
          <w:sz w:val="22"/>
          <w:szCs w:val="22"/>
        </w:rPr>
        <w:t>telopeptide</w:t>
      </w:r>
      <w:proofErr w:type="spellEnd"/>
      <w:r w:rsidR="00840BBA" w:rsidRPr="00B84BBB">
        <w:rPr>
          <w:rFonts w:asciiTheme="minorHAnsi" w:hAnsiTheme="minorHAnsi"/>
          <w:color w:val="000000"/>
          <w:sz w:val="22"/>
          <w:szCs w:val="22"/>
        </w:rPr>
        <w:t xml:space="preserve"> excretion (</w:t>
      </w:r>
      <w:proofErr w:type="spellStart"/>
      <w:r w:rsidR="00840BBA" w:rsidRPr="00B84BBB">
        <w:rPr>
          <w:rFonts w:asciiTheme="minorHAnsi" w:hAnsiTheme="minorHAnsi"/>
          <w:color w:val="000000"/>
          <w:sz w:val="22"/>
          <w:szCs w:val="22"/>
        </w:rPr>
        <w:t>Ntx</w:t>
      </w:r>
      <w:proofErr w:type="spellEnd"/>
      <w:r w:rsidR="00840BBA" w:rsidRPr="00B84BBB">
        <w:rPr>
          <w:rFonts w:asciiTheme="minorHAnsi" w:hAnsiTheme="minorHAnsi"/>
          <w:color w:val="000000"/>
          <w:sz w:val="22"/>
          <w:szCs w:val="22"/>
        </w:rPr>
        <w:t xml:space="preserve">), as a predictor of these complications. Bisphosphonates are drugs used to strengthen bones and reduce fractures in people with osteoporosis. From the abstract: </w:t>
      </w:r>
    </w:p>
    <w:p w14:paraId="1FA94519" w14:textId="77777777" w:rsidR="00840BBA" w:rsidRPr="00B84BBB" w:rsidRDefault="00840BBA" w:rsidP="00840BBA">
      <w:pPr>
        <w:pStyle w:val="HTMLPreformatted"/>
        <w:ind w:left="720"/>
        <w:rPr>
          <w:rFonts w:asciiTheme="minorHAnsi" w:hAnsiTheme="minorHAnsi"/>
          <w:i/>
          <w:color w:val="000000"/>
          <w:sz w:val="22"/>
          <w:szCs w:val="22"/>
        </w:rPr>
      </w:pPr>
      <w:r w:rsidRPr="00B84BBB">
        <w:rPr>
          <w:rFonts w:asciiTheme="minorHAnsi" w:hAnsiTheme="minorHAnsi"/>
          <w:i/>
          <w:color w:val="000000"/>
          <w:sz w:val="22"/>
          <w:szCs w:val="22"/>
        </w:rPr>
        <w:t xml:space="preserve">A total of 121 patients had monthly measurements of </w:t>
      </w:r>
      <w:proofErr w:type="spellStart"/>
      <w:r w:rsidRPr="00B84BBB">
        <w:rPr>
          <w:rFonts w:asciiTheme="minorHAnsi" w:hAnsiTheme="minorHAnsi"/>
          <w:i/>
          <w:color w:val="000000"/>
          <w:sz w:val="22"/>
          <w:szCs w:val="22"/>
        </w:rPr>
        <w:t>Ntx</w:t>
      </w:r>
      <w:proofErr w:type="spellEnd"/>
      <w:r w:rsidRPr="00B84BBB">
        <w:rPr>
          <w:rFonts w:asciiTheme="minorHAnsi" w:hAnsiTheme="minorHAnsi"/>
          <w:i/>
          <w:color w:val="000000"/>
          <w:sz w:val="22"/>
          <w:szCs w:val="22"/>
        </w:rPr>
        <w:t xml:space="preserve"> during treatment with bisphosphonates. All skeletal-related events, plus hospital admissions for bone pain and death during the period of observation, were recorded… Patients with baseline </w:t>
      </w:r>
      <w:proofErr w:type="spellStart"/>
      <w:r w:rsidRPr="00B84BBB">
        <w:rPr>
          <w:rFonts w:asciiTheme="minorHAnsi" w:hAnsiTheme="minorHAnsi"/>
          <w:i/>
          <w:color w:val="000000"/>
          <w:sz w:val="22"/>
          <w:szCs w:val="22"/>
        </w:rPr>
        <w:t>Ntx</w:t>
      </w:r>
      <w:proofErr w:type="spellEnd"/>
      <w:r w:rsidRPr="00B84BBB">
        <w:rPr>
          <w:rFonts w:asciiTheme="minorHAnsi" w:hAnsiTheme="minorHAnsi"/>
          <w:i/>
          <w:color w:val="000000"/>
          <w:sz w:val="22"/>
          <w:szCs w:val="22"/>
        </w:rPr>
        <w:t xml:space="preserve"> values ≥ 100 </w:t>
      </w:r>
      <w:proofErr w:type="spellStart"/>
      <w:r w:rsidRPr="00B84BBB">
        <w:rPr>
          <w:rFonts w:asciiTheme="minorHAnsi" w:hAnsiTheme="minorHAnsi"/>
          <w:i/>
          <w:color w:val="000000"/>
          <w:sz w:val="22"/>
          <w:szCs w:val="22"/>
        </w:rPr>
        <w:t>nmol</w:t>
      </w:r>
      <w:proofErr w:type="spellEnd"/>
      <w:r w:rsidRPr="00B84BBB">
        <w:rPr>
          <w:rFonts w:asciiTheme="minorHAnsi" w:hAnsiTheme="minorHAnsi"/>
          <w:i/>
          <w:color w:val="000000"/>
          <w:sz w:val="22"/>
          <w:szCs w:val="22"/>
        </w:rPr>
        <w:t xml:space="preserve">/ </w:t>
      </w:r>
      <w:proofErr w:type="spellStart"/>
      <w:r w:rsidRPr="00B84BBB">
        <w:rPr>
          <w:rFonts w:asciiTheme="minorHAnsi" w:hAnsiTheme="minorHAnsi"/>
          <w:i/>
          <w:color w:val="000000"/>
          <w:sz w:val="22"/>
          <w:szCs w:val="22"/>
        </w:rPr>
        <w:t>mmol</w:t>
      </w:r>
      <w:proofErr w:type="spellEnd"/>
      <w:r w:rsidRPr="00B84BBB">
        <w:rPr>
          <w:rFonts w:asciiTheme="minorHAnsi" w:hAnsiTheme="minorHAnsi"/>
          <w:i/>
          <w:color w:val="000000"/>
          <w:sz w:val="22"/>
          <w:szCs w:val="22"/>
        </w:rPr>
        <w:t xml:space="preserve"> creatinine (representing clearly accelerated bone resorption) were 19.48 times (95% CI 7.55, 50.22) more likely to experience a skeletal-related event/ death during the first 3 months than those with </w:t>
      </w:r>
      <w:proofErr w:type="spellStart"/>
      <w:r w:rsidRPr="00B84BBB">
        <w:rPr>
          <w:rFonts w:asciiTheme="minorHAnsi" w:hAnsiTheme="minorHAnsi"/>
          <w:i/>
          <w:color w:val="000000"/>
          <w:sz w:val="22"/>
          <w:szCs w:val="22"/>
        </w:rPr>
        <w:t>Ntx</w:t>
      </w:r>
      <w:proofErr w:type="spellEnd"/>
      <w:r w:rsidRPr="00B84BBB">
        <w:rPr>
          <w:rFonts w:asciiTheme="minorHAnsi" w:hAnsiTheme="minorHAnsi"/>
          <w:i/>
          <w:color w:val="000000"/>
          <w:sz w:val="22"/>
          <w:szCs w:val="22"/>
        </w:rPr>
        <w:t xml:space="preserve"> &lt; 100 (P &lt; 0.001). In a multivariate logistic regression model, </w:t>
      </w:r>
      <w:proofErr w:type="spellStart"/>
      <w:r w:rsidRPr="00B84BBB">
        <w:rPr>
          <w:rFonts w:asciiTheme="minorHAnsi" w:hAnsiTheme="minorHAnsi"/>
          <w:i/>
          <w:color w:val="000000"/>
          <w:sz w:val="22"/>
          <w:szCs w:val="22"/>
        </w:rPr>
        <w:t>Ntx</w:t>
      </w:r>
      <w:proofErr w:type="spellEnd"/>
      <w:r w:rsidRPr="00B84BBB">
        <w:rPr>
          <w:rFonts w:asciiTheme="minorHAnsi" w:hAnsiTheme="minorHAnsi"/>
          <w:i/>
          <w:color w:val="000000"/>
          <w:sz w:val="22"/>
          <w:szCs w:val="22"/>
        </w:rPr>
        <w:t xml:space="preserve"> was highly </w:t>
      </w:r>
      <w:r w:rsidRPr="00B84BBB">
        <w:rPr>
          <w:rFonts w:asciiTheme="minorHAnsi" w:hAnsiTheme="minorHAnsi"/>
          <w:i/>
          <w:color w:val="000000"/>
          <w:sz w:val="22"/>
          <w:szCs w:val="22"/>
        </w:rPr>
        <w:lastRenderedPageBreak/>
        <w:t>predictive for events/ death. N-</w:t>
      </w:r>
      <w:proofErr w:type="spellStart"/>
      <w:r w:rsidRPr="00B84BBB">
        <w:rPr>
          <w:rFonts w:asciiTheme="minorHAnsi" w:hAnsiTheme="minorHAnsi"/>
          <w:i/>
          <w:color w:val="000000"/>
          <w:sz w:val="22"/>
          <w:szCs w:val="22"/>
        </w:rPr>
        <w:t>telopeptide</w:t>
      </w:r>
      <w:proofErr w:type="spellEnd"/>
      <w:r w:rsidRPr="00B84BBB">
        <w:rPr>
          <w:rFonts w:asciiTheme="minorHAnsi" w:hAnsiTheme="minorHAnsi"/>
          <w:i/>
          <w:color w:val="000000"/>
          <w:sz w:val="22"/>
          <w:szCs w:val="22"/>
        </w:rPr>
        <w:t xml:space="preserve"> appears useful in the prediction of patients most  </w:t>
      </w:r>
      <w:r w:rsidRPr="00B84BBB">
        <w:rPr>
          <w:rFonts w:asciiTheme="minorHAnsi" w:hAnsiTheme="minorHAnsi"/>
          <w:i/>
          <w:sz w:val="22"/>
          <w:szCs w:val="22"/>
        </w:rPr>
        <w:t xml:space="preserve"> </w:t>
      </w:r>
      <w:r w:rsidRPr="00B84BBB">
        <w:rPr>
          <w:rFonts w:asciiTheme="minorHAnsi" w:hAnsiTheme="minorHAnsi"/>
          <w:i/>
          <w:color w:val="000000"/>
          <w:sz w:val="22"/>
          <w:szCs w:val="22"/>
        </w:rPr>
        <w:t xml:space="preserve">likely to experience skeletal complications and thus benefit from bisphosphonate treatment. </w:t>
      </w:r>
    </w:p>
    <w:p w14:paraId="1E061D0F" w14:textId="180BC36A" w:rsidR="006130FD" w:rsidRPr="003679D4" w:rsidRDefault="00840BBA">
      <w:pPr>
        <w:pStyle w:val="HTMLPreformatted"/>
        <w:rPr>
          <w:rFonts w:asciiTheme="minorHAnsi" w:hAnsiTheme="minorHAnsi"/>
          <w:color w:val="0000FF"/>
          <w:sz w:val="22"/>
          <w:szCs w:val="22"/>
        </w:rPr>
      </w:pPr>
      <w:r w:rsidRPr="00B84BBB">
        <w:rPr>
          <w:rFonts w:asciiTheme="minorHAnsi" w:hAnsiTheme="minorHAnsi"/>
          <w:color w:val="000000"/>
          <w:sz w:val="22"/>
          <w:szCs w:val="22"/>
        </w:rPr>
        <w:t xml:space="preserve">a) The “events” that the </w:t>
      </w:r>
      <w:proofErr w:type="spellStart"/>
      <w:r w:rsidRPr="00B84BBB">
        <w:rPr>
          <w:rFonts w:asciiTheme="minorHAnsi" w:hAnsiTheme="minorHAnsi"/>
          <w:color w:val="000000"/>
          <w:sz w:val="22"/>
          <w:szCs w:val="22"/>
        </w:rPr>
        <w:t>Ntx</w:t>
      </w:r>
      <w:proofErr w:type="spellEnd"/>
      <w:r w:rsidRPr="00B84BBB">
        <w:rPr>
          <w:rFonts w:asciiTheme="minorHAnsi" w:hAnsiTheme="minorHAnsi"/>
          <w:color w:val="000000"/>
          <w:sz w:val="22"/>
          <w:szCs w:val="22"/>
        </w:rPr>
        <w:t xml:space="preserve"> predicted included death. How might this have affected the results? </w:t>
      </w:r>
      <w:r w:rsidR="00125E23">
        <w:rPr>
          <w:rFonts w:asciiTheme="minorHAnsi" w:hAnsiTheme="minorHAnsi"/>
          <w:color w:val="000000"/>
          <w:sz w:val="22"/>
          <w:szCs w:val="22"/>
        </w:rPr>
        <w:t xml:space="preserve"> (Explain how it could have </w:t>
      </w:r>
      <w:r w:rsidR="007128CA">
        <w:rPr>
          <w:rFonts w:asciiTheme="minorHAnsi" w:hAnsiTheme="minorHAnsi"/>
          <w:color w:val="000000"/>
          <w:sz w:val="22"/>
          <w:szCs w:val="22"/>
        </w:rPr>
        <w:t>either</w:t>
      </w:r>
      <w:r w:rsidR="00125E23">
        <w:rPr>
          <w:rFonts w:asciiTheme="minorHAnsi" w:hAnsiTheme="minorHAnsi"/>
          <w:color w:val="000000"/>
          <w:sz w:val="22"/>
          <w:szCs w:val="22"/>
        </w:rPr>
        <w:t xml:space="preserve"> decreased </w:t>
      </w:r>
      <w:r w:rsidR="007128CA">
        <w:rPr>
          <w:rFonts w:asciiTheme="minorHAnsi" w:hAnsiTheme="minorHAnsi"/>
          <w:color w:val="000000"/>
          <w:sz w:val="22"/>
          <w:szCs w:val="22"/>
        </w:rPr>
        <w:t>or</w:t>
      </w:r>
      <w:r w:rsidR="00125E23">
        <w:rPr>
          <w:rFonts w:asciiTheme="minorHAnsi" w:hAnsiTheme="minorHAnsi"/>
          <w:color w:val="000000"/>
          <w:sz w:val="22"/>
          <w:szCs w:val="22"/>
        </w:rPr>
        <w:t xml:space="preserve"> increased the apparent</w:t>
      </w:r>
      <w:r w:rsidR="007128CA">
        <w:rPr>
          <w:rFonts w:asciiTheme="minorHAnsi" w:hAnsiTheme="minorHAnsi"/>
          <w:color w:val="000000"/>
          <w:sz w:val="22"/>
          <w:szCs w:val="22"/>
        </w:rPr>
        <w:t xml:space="preserve"> strength of the association.) </w:t>
      </w:r>
      <w:r w:rsidR="004361D7" w:rsidRPr="00B84BBB">
        <w:rPr>
          <w:rFonts w:asciiTheme="minorHAnsi" w:hAnsiTheme="minorHAnsi"/>
          <w:b/>
          <w:sz w:val="22"/>
          <w:szCs w:val="22"/>
          <w:highlight w:val="yellow"/>
        </w:rPr>
        <w:t>[2]</w:t>
      </w:r>
      <w:r w:rsidR="00125E23">
        <w:rPr>
          <w:rFonts w:asciiTheme="minorHAnsi" w:hAnsiTheme="minorHAnsi"/>
          <w:b/>
          <w:sz w:val="22"/>
          <w:szCs w:val="22"/>
        </w:rPr>
        <w:br/>
      </w:r>
      <w:r w:rsidR="001B492C">
        <w:rPr>
          <w:rFonts w:asciiTheme="minorHAnsi" w:hAnsiTheme="minorHAnsi"/>
          <w:b/>
          <w:color w:val="0000FF"/>
          <w:sz w:val="22"/>
          <w:szCs w:val="22"/>
        </w:rPr>
        <w:br/>
      </w:r>
      <w:r w:rsidR="001B492C">
        <w:rPr>
          <w:rFonts w:asciiTheme="minorHAnsi" w:hAnsiTheme="minorHAnsi"/>
          <w:b/>
          <w:color w:val="0000FF"/>
          <w:sz w:val="22"/>
          <w:szCs w:val="22"/>
        </w:rPr>
        <w:br/>
      </w:r>
    </w:p>
    <w:p w14:paraId="21852F04" w14:textId="3FB2138C" w:rsidR="00895A51" w:rsidRDefault="00840BBA" w:rsidP="00895A51">
      <w:r w:rsidRPr="00B84BBB">
        <w:rPr>
          <w:rFonts w:asciiTheme="minorHAnsi" w:hAnsiTheme="minorHAnsi"/>
          <w:color w:val="000000"/>
          <w:sz w:val="22"/>
          <w:szCs w:val="22"/>
        </w:rPr>
        <w:t>b) Here are the study results at 3 months: Do you agree with the authors' statement</w:t>
      </w:r>
      <w:r w:rsidR="007128CA">
        <w:rPr>
          <w:rFonts w:asciiTheme="minorHAnsi" w:hAnsiTheme="minorHAnsi"/>
          <w:color w:val="000000"/>
          <w:sz w:val="22"/>
          <w:szCs w:val="22"/>
        </w:rPr>
        <w:t>: "</w:t>
      </w:r>
      <w:r w:rsidRPr="00B84BBB">
        <w:rPr>
          <w:rFonts w:asciiTheme="minorHAnsi" w:hAnsiTheme="minorHAnsi"/>
          <w:color w:val="000000"/>
          <w:sz w:val="22"/>
          <w:szCs w:val="22"/>
        </w:rPr>
        <w:t xml:space="preserve"> Patients with baseline </w:t>
      </w:r>
      <w:proofErr w:type="spellStart"/>
      <w:r w:rsidRPr="00B84BBB">
        <w:rPr>
          <w:rFonts w:asciiTheme="minorHAnsi" w:hAnsiTheme="minorHAnsi"/>
          <w:color w:val="000000"/>
          <w:sz w:val="22"/>
          <w:szCs w:val="22"/>
        </w:rPr>
        <w:t>Ntx</w:t>
      </w:r>
      <w:proofErr w:type="spellEnd"/>
      <w:r w:rsidRPr="00B84BBB">
        <w:rPr>
          <w:rFonts w:asciiTheme="minorHAnsi" w:hAnsiTheme="minorHAnsi"/>
          <w:color w:val="000000"/>
          <w:sz w:val="22"/>
          <w:szCs w:val="22"/>
        </w:rPr>
        <w:t xml:space="preserve"> values ≥ 100 </w:t>
      </w:r>
      <w:proofErr w:type="spellStart"/>
      <w:r w:rsidRPr="00B84BBB">
        <w:rPr>
          <w:rFonts w:asciiTheme="minorHAnsi" w:hAnsiTheme="minorHAnsi"/>
          <w:color w:val="000000"/>
          <w:sz w:val="22"/>
          <w:szCs w:val="22"/>
        </w:rPr>
        <w:t>nmol</w:t>
      </w:r>
      <w:proofErr w:type="spellEnd"/>
      <w:r w:rsidRPr="00B84BBB">
        <w:rPr>
          <w:rFonts w:asciiTheme="minorHAnsi" w:hAnsiTheme="minorHAnsi"/>
          <w:color w:val="000000"/>
          <w:sz w:val="22"/>
          <w:szCs w:val="22"/>
        </w:rPr>
        <w:t xml:space="preserve">/ </w:t>
      </w:r>
      <w:proofErr w:type="spellStart"/>
      <w:r w:rsidRPr="00B84BBB">
        <w:rPr>
          <w:rFonts w:asciiTheme="minorHAnsi" w:hAnsiTheme="minorHAnsi"/>
          <w:color w:val="000000"/>
          <w:sz w:val="22"/>
          <w:szCs w:val="22"/>
        </w:rPr>
        <w:t>mmol</w:t>
      </w:r>
      <w:proofErr w:type="spellEnd"/>
      <w:r w:rsidRPr="00B84BBB">
        <w:rPr>
          <w:rFonts w:asciiTheme="minorHAnsi" w:hAnsiTheme="minorHAnsi"/>
          <w:color w:val="000000"/>
          <w:sz w:val="22"/>
          <w:szCs w:val="22"/>
        </w:rPr>
        <w:t xml:space="preserve"> creatinine… were 19.48 times… more likely to experience a skeletal-related event/ death during the first 3 months than those with </w:t>
      </w:r>
      <w:proofErr w:type="spellStart"/>
      <w:r w:rsidRPr="00B84BBB">
        <w:rPr>
          <w:rFonts w:asciiTheme="minorHAnsi" w:hAnsiTheme="minorHAnsi"/>
          <w:color w:val="000000"/>
          <w:sz w:val="22"/>
          <w:szCs w:val="22"/>
        </w:rPr>
        <w:t>Ntx</w:t>
      </w:r>
      <w:proofErr w:type="spellEnd"/>
      <w:r w:rsidRPr="00B84BBB">
        <w:rPr>
          <w:rFonts w:asciiTheme="minorHAnsi" w:hAnsiTheme="minorHAnsi"/>
          <w:color w:val="000000"/>
          <w:sz w:val="22"/>
          <w:szCs w:val="22"/>
        </w:rPr>
        <w:t xml:space="preserve"> &lt; 100…</w:t>
      </w:r>
      <w:proofErr w:type="gramStart"/>
      <w:r w:rsidRPr="00B84BBB">
        <w:rPr>
          <w:rFonts w:asciiTheme="minorHAnsi" w:hAnsiTheme="minorHAnsi"/>
          <w:color w:val="000000"/>
          <w:sz w:val="22"/>
          <w:szCs w:val="22"/>
        </w:rPr>
        <w:t>”</w:t>
      </w:r>
      <w:r w:rsidR="00B772B7">
        <w:rPr>
          <w:rFonts w:asciiTheme="minorHAnsi" w:hAnsiTheme="minorHAnsi"/>
          <w:color w:val="000000"/>
          <w:sz w:val="22"/>
          <w:szCs w:val="22"/>
        </w:rPr>
        <w:t xml:space="preserve"> ?</w:t>
      </w:r>
      <w:proofErr w:type="gramEnd"/>
      <w:r w:rsidR="00B772B7">
        <w:rPr>
          <w:rFonts w:asciiTheme="minorHAnsi" w:hAnsiTheme="minorHAnsi"/>
          <w:color w:val="000000"/>
          <w:sz w:val="22"/>
          <w:szCs w:val="22"/>
        </w:rPr>
        <w:t xml:space="preserve">  </w:t>
      </w:r>
      <w:r w:rsidR="004361D7" w:rsidRPr="00B84BBB">
        <w:rPr>
          <w:rFonts w:asciiTheme="minorHAnsi" w:hAnsiTheme="minorHAnsi"/>
          <w:b/>
          <w:sz w:val="22"/>
          <w:szCs w:val="22"/>
          <w:highlight w:val="yellow"/>
        </w:rPr>
        <w:t>[2]</w:t>
      </w:r>
      <w:r w:rsidR="00895A51">
        <w:rPr>
          <w:rFonts w:asciiTheme="minorHAnsi" w:hAnsiTheme="minorHAnsi"/>
          <w:b/>
          <w:sz w:val="22"/>
          <w:szCs w:val="22"/>
        </w:rPr>
        <w:br/>
      </w:r>
    </w:p>
    <w:tbl>
      <w:tblPr>
        <w:tblW w:w="4695" w:type="dxa"/>
        <w:tblInd w:w="93" w:type="dxa"/>
        <w:tblLook w:val="0000" w:firstRow="0" w:lastRow="0" w:firstColumn="0" w:lastColumn="0" w:noHBand="0" w:noVBand="0"/>
      </w:tblPr>
      <w:tblGrid>
        <w:gridCol w:w="960"/>
        <w:gridCol w:w="944"/>
        <w:gridCol w:w="720"/>
        <w:gridCol w:w="2071"/>
      </w:tblGrid>
      <w:tr w:rsidR="00895A51" w14:paraId="16E41CDC" w14:textId="77777777" w:rsidTr="00895A51">
        <w:trPr>
          <w:trHeight w:val="255"/>
        </w:trPr>
        <w:tc>
          <w:tcPr>
            <w:tcW w:w="960" w:type="dxa"/>
            <w:tcBorders>
              <w:top w:val="nil"/>
              <w:left w:val="nil"/>
              <w:bottom w:val="nil"/>
              <w:right w:val="nil"/>
            </w:tcBorders>
            <w:shd w:val="clear" w:color="auto" w:fill="auto"/>
            <w:noWrap/>
            <w:vAlign w:val="bottom"/>
          </w:tcPr>
          <w:p w14:paraId="0D696973" w14:textId="77777777" w:rsidR="00895A51" w:rsidRDefault="00895A51" w:rsidP="00895A51">
            <w:pPr>
              <w:rPr>
                <w:rFonts w:ascii="Arial" w:hAnsi="Arial" w:cs="Arial"/>
              </w:rPr>
            </w:pPr>
          </w:p>
        </w:tc>
        <w:tc>
          <w:tcPr>
            <w:tcW w:w="3735" w:type="dxa"/>
            <w:gridSpan w:val="3"/>
            <w:tcBorders>
              <w:top w:val="nil"/>
              <w:left w:val="nil"/>
              <w:bottom w:val="nil"/>
              <w:right w:val="nil"/>
            </w:tcBorders>
            <w:shd w:val="clear" w:color="auto" w:fill="auto"/>
            <w:noWrap/>
            <w:vAlign w:val="bottom"/>
          </w:tcPr>
          <w:p w14:paraId="1FFF0EB6" w14:textId="77777777" w:rsidR="00895A51" w:rsidRDefault="00895A51" w:rsidP="00895A51">
            <w:pPr>
              <w:rPr>
                <w:rFonts w:ascii="Arial" w:hAnsi="Arial" w:cs="Arial"/>
              </w:rPr>
            </w:pPr>
            <w:r>
              <w:rPr>
                <w:rFonts w:ascii="Arial" w:hAnsi="Arial" w:cs="Arial"/>
              </w:rPr>
              <w:t>Skeletal Complication (0-3 months)</w:t>
            </w:r>
          </w:p>
        </w:tc>
      </w:tr>
      <w:tr w:rsidR="00895A51" w14:paraId="49F6472A" w14:textId="77777777" w:rsidTr="00895A51">
        <w:trPr>
          <w:trHeight w:val="255"/>
        </w:trPr>
        <w:tc>
          <w:tcPr>
            <w:tcW w:w="960" w:type="dxa"/>
            <w:tcBorders>
              <w:top w:val="nil"/>
              <w:left w:val="nil"/>
              <w:bottom w:val="nil"/>
              <w:right w:val="nil"/>
            </w:tcBorders>
            <w:shd w:val="clear" w:color="auto" w:fill="auto"/>
            <w:noWrap/>
            <w:vAlign w:val="bottom"/>
          </w:tcPr>
          <w:p w14:paraId="4833D500" w14:textId="77777777" w:rsidR="00895A51" w:rsidRDefault="00895A51" w:rsidP="00895A51">
            <w:pPr>
              <w:rPr>
                <w:rFonts w:ascii="Arial" w:hAnsi="Arial" w:cs="Arial"/>
              </w:rPr>
            </w:pPr>
            <w:r>
              <w:rPr>
                <w:rFonts w:ascii="Arial" w:hAnsi="Arial" w:cs="Arial"/>
              </w:rPr>
              <w:t>NTX</w:t>
            </w:r>
          </w:p>
        </w:tc>
        <w:tc>
          <w:tcPr>
            <w:tcW w:w="944" w:type="dxa"/>
            <w:tcBorders>
              <w:top w:val="nil"/>
              <w:left w:val="nil"/>
              <w:bottom w:val="nil"/>
              <w:right w:val="nil"/>
            </w:tcBorders>
            <w:shd w:val="clear" w:color="auto" w:fill="auto"/>
            <w:noWrap/>
            <w:vAlign w:val="bottom"/>
          </w:tcPr>
          <w:p w14:paraId="077F39DE" w14:textId="77777777" w:rsidR="00895A51" w:rsidRDefault="00895A51" w:rsidP="00895A51">
            <w:pPr>
              <w:rPr>
                <w:rFonts w:ascii="Arial" w:hAnsi="Arial" w:cs="Arial"/>
              </w:rPr>
            </w:pPr>
            <w:r>
              <w:rPr>
                <w:rFonts w:ascii="Arial" w:hAnsi="Arial" w:cs="Arial"/>
              </w:rPr>
              <w:t>Yes</w:t>
            </w:r>
          </w:p>
        </w:tc>
        <w:tc>
          <w:tcPr>
            <w:tcW w:w="720" w:type="dxa"/>
            <w:tcBorders>
              <w:top w:val="nil"/>
              <w:left w:val="nil"/>
              <w:bottom w:val="nil"/>
              <w:right w:val="nil"/>
            </w:tcBorders>
            <w:shd w:val="clear" w:color="auto" w:fill="auto"/>
            <w:noWrap/>
            <w:vAlign w:val="bottom"/>
          </w:tcPr>
          <w:p w14:paraId="36DBBD76" w14:textId="77777777" w:rsidR="00895A51" w:rsidRDefault="00895A51" w:rsidP="00895A51">
            <w:pPr>
              <w:rPr>
                <w:rFonts w:ascii="Arial" w:hAnsi="Arial" w:cs="Arial"/>
              </w:rPr>
            </w:pPr>
            <w:r>
              <w:rPr>
                <w:rFonts w:ascii="Arial" w:hAnsi="Arial" w:cs="Arial"/>
              </w:rPr>
              <w:t>No</w:t>
            </w:r>
          </w:p>
        </w:tc>
        <w:tc>
          <w:tcPr>
            <w:tcW w:w="2071" w:type="dxa"/>
            <w:tcBorders>
              <w:top w:val="nil"/>
              <w:left w:val="nil"/>
              <w:bottom w:val="nil"/>
              <w:right w:val="nil"/>
            </w:tcBorders>
            <w:shd w:val="clear" w:color="auto" w:fill="auto"/>
            <w:noWrap/>
            <w:vAlign w:val="bottom"/>
          </w:tcPr>
          <w:p w14:paraId="27001A1B" w14:textId="77777777" w:rsidR="00895A51" w:rsidRDefault="00895A51" w:rsidP="00895A51">
            <w:pPr>
              <w:rPr>
                <w:rFonts w:ascii="Arial" w:hAnsi="Arial" w:cs="Arial"/>
              </w:rPr>
            </w:pPr>
            <w:r>
              <w:rPr>
                <w:rFonts w:ascii="Arial" w:hAnsi="Arial" w:cs="Arial"/>
              </w:rPr>
              <w:t>Total</w:t>
            </w:r>
          </w:p>
        </w:tc>
      </w:tr>
      <w:tr w:rsidR="00895A51" w14:paraId="3FBB8258" w14:textId="77777777" w:rsidTr="00895A51">
        <w:trPr>
          <w:trHeight w:val="255"/>
        </w:trPr>
        <w:tc>
          <w:tcPr>
            <w:tcW w:w="960" w:type="dxa"/>
            <w:tcBorders>
              <w:top w:val="nil"/>
              <w:left w:val="nil"/>
              <w:bottom w:val="nil"/>
              <w:right w:val="nil"/>
            </w:tcBorders>
            <w:shd w:val="clear" w:color="auto" w:fill="auto"/>
            <w:noWrap/>
            <w:vAlign w:val="bottom"/>
          </w:tcPr>
          <w:p w14:paraId="0814E96F" w14:textId="77777777" w:rsidR="00895A51" w:rsidRDefault="00895A51" w:rsidP="00895A51">
            <w:pPr>
              <w:rPr>
                <w:rFonts w:ascii="Arial" w:hAnsi="Arial" w:cs="Arial"/>
              </w:rPr>
            </w:pPr>
            <w:r w:rsidRPr="00A74CD5">
              <w:rPr>
                <w:rFonts w:ascii="Arial" w:hAnsi="Arial" w:cs="Arial"/>
              </w:rPr>
              <w:t>≥</w:t>
            </w:r>
            <w:r>
              <w:rPr>
                <w:rFonts w:ascii="Arial" w:hAnsi="Arial" w:cs="Arial"/>
              </w:rPr>
              <w:t xml:space="preserve"> 100</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BEC44" w14:textId="77777777" w:rsidR="00895A51" w:rsidRDefault="00895A51" w:rsidP="00895A51">
            <w:pPr>
              <w:jc w:val="center"/>
              <w:rPr>
                <w:rFonts w:ascii="Arial" w:hAnsi="Arial" w:cs="Arial"/>
              </w:rPr>
            </w:pPr>
            <w:r>
              <w:rPr>
                <w:rFonts w:ascii="Arial" w:hAnsi="Arial" w:cs="Arial"/>
              </w:rPr>
              <w:t>41</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6CB3B53B" w14:textId="77777777" w:rsidR="00895A51" w:rsidRDefault="00895A51" w:rsidP="00895A51">
            <w:pPr>
              <w:jc w:val="center"/>
              <w:rPr>
                <w:rFonts w:ascii="Arial" w:hAnsi="Arial" w:cs="Arial"/>
              </w:rPr>
            </w:pPr>
            <w:r>
              <w:rPr>
                <w:rFonts w:ascii="Arial" w:hAnsi="Arial" w:cs="Arial"/>
              </w:rPr>
              <w:t>15</w:t>
            </w:r>
          </w:p>
        </w:tc>
        <w:tc>
          <w:tcPr>
            <w:tcW w:w="2071" w:type="dxa"/>
            <w:tcBorders>
              <w:top w:val="nil"/>
              <w:left w:val="nil"/>
              <w:bottom w:val="nil"/>
              <w:right w:val="nil"/>
            </w:tcBorders>
            <w:shd w:val="clear" w:color="auto" w:fill="auto"/>
            <w:noWrap/>
            <w:vAlign w:val="bottom"/>
          </w:tcPr>
          <w:p w14:paraId="453C920B" w14:textId="77777777" w:rsidR="00895A51" w:rsidRDefault="00895A51" w:rsidP="00895A51">
            <w:pPr>
              <w:rPr>
                <w:rFonts w:ascii="Arial" w:hAnsi="Arial" w:cs="Arial"/>
              </w:rPr>
            </w:pPr>
            <w:r>
              <w:rPr>
                <w:rFonts w:ascii="Arial" w:hAnsi="Arial" w:cs="Arial"/>
              </w:rPr>
              <w:t>56</w:t>
            </w:r>
          </w:p>
        </w:tc>
      </w:tr>
      <w:tr w:rsidR="00895A51" w14:paraId="54B5958D" w14:textId="77777777" w:rsidTr="00895A51">
        <w:trPr>
          <w:trHeight w:val="255"/>
        </w:trPr>
        <w:tc>
          <w:tcPr>
            <w:tcW w:w="960" w:type="dxa"/>
            <w:tcBorders>
              <w:top w:val="nil"/>
              <w:left w:val="nil"/>
              <w:bottom w:val="nil"/>
              <w:right w:val="nil"/>
            </w:tcBorders>
            <w:shd w:val="clear" w:color="auto" w:fill="auto"/>
            <w:noWrap/>
            <w:vAlign w:val="bottom"/>
          </w:tcPr>
          <w:p w14:paraId="17843559" w14:textId="77777777" w:rsidR="00895A51" w:rsidRDefault="00895A51" w:rsidP="00895A51">
            <w:pPr>
              <w:rPr>
                <w:rFonts w:ascii="Arial" w:hAnsi="Arial" w:cs="Arial"/>
              </w:rPr>
            </w:pPr>
            <w:r>
              <w:rPr>
                <w:rFonts w:ascii="Arial" w:hAnsi="Arial" w:cs="Arial"/>
              </w:rPr>
              <w:t>&lt; 100</w:t>
            </w:r>
          </w:p>
        </w:tc>
        <w:tc>
          <w:tcPr>
            <w:tcW w:w="944" w:type="dxa"/>
            <w:tcBorders>
              <w:top w:val="nil"/>
              <w:left w:val="single" w:sz="4" w:space="0" w:color="auto"/>
              <w:bottom w:val="single" w:sz="4" w:space="0" w:color="auto"/>
              <w:right w:val="single" w:sz="4" w:space="0" w:color="auto"/>
            </w:tcBorders>
            <w:shd w:val="clear" w:color="auto" w:fill="auto"/>
            <w:noWrap/>
            <w:vAlign w:val="bottom"/>
          </w:tcPr>
          <w:p w14:paraId="45FF66D5" w14:textId="77777777" w:rsidR="00895A51" w:rsidRDefault="00895A51" w:rsidP="00895A51">
            <w:pPr>
              <w:jc w:val="center"/>
              <w:rPr>
                <w:rFonts w:ascii="Arial" w:hAnsi="Arial" w:cs="Arial"/>
              </w:rPr>
            </w:pPr>
            <w:r>
              <w:rPr>
                <w:rFonts w:ascii="Arial" w:hAnsi="Arial" w:cs="Arial"/>
              </w:rPr>
              <w:t>8</w:t>
            </w:r>
          </w:p>
        </w:tc>
        <w:tc>
          <w:tcPr>
            <w:tcW w:w="720" w:type="dxa"/>
            <w:tcBorders>
              <w:top w:val="nil"/>
              <w:left w:val="nil"/>
              <w:bottom w:val="single" w:sz="4" w:space="0" w:color="auto"/>
              <w:right w:val="single" w:sz="4" w:space="0" w:color="auto"/>
            </w:tcBorders>
            <w:shd w:val="clear" w:color="auto" w:fill="auto"/>
            <w:noWrap/>
            <w:vAlign w:val="bottom"/>
          </w:tcPr>
          <w:p w14:paraId="7218C880" w14:textId="77777777" w:rsidR="00895A51" w:rsidRDefault="00895A51" w:rsidP="00895A51">
            <w:pPr>
              <w:jc w:val="center"/>
              <w:rPr>
                <w:rFonts w:ascii="Arial" w:hAnsi="Arial" w:cs="Arial"/>
              </w:rPr>
            </w:pPr>
            <w:r>
              <w:rPr>
                <w:rFonts w:ascii="Arial" w:hAnsi="Arial" w:cs="Arial"/>
              </w:rPr>
              <w:t>57</w:t>
            </w:r>
          </w:p>
        </w:tc>
        <w:tc>
          <w:tcPr>
            <w:tcW w:w="2071" w:type="dxa"/>
            <w:tcBorders>
              <w:top w:val="nil"/>
              <w:left w:val="nil"/>
              <w:bottom w:val="nil"/>
              <w:right w:val="nil"/>
            </w:tcBorders>
            <w:shd w:val="clear" w:color="auto" w:fill="auto"/>
            <w:noWrap/>
            <w:vAlign w:val="bottom"/>
          </w:tcPr>
          <w:p w14:paraId="3BD0CF83" w14:textId="77777777" w:rsidR="00895A51" w:rsidRDefault="00895A51" w:rsidP="00895A51">
            <w:pPr>
              <w:rPr>
                <w:rFonts w:ascii="Arial" w:hAnsi="Arial" w:cs="Arial"/>
              </w:rPr>
            </w:pPr>
            <w:r>
              <w:rPr>
                <w:rFonts w:ascii="Arial" w:hAnsi="Arial" w:cs="Arial"/>
              </w:rPr>
              <w:t>65</w:t>
            </w:r>
          </w:p>
        </w:tc>
      </w:tr>
      <w:tr w:rsidR="00895A51" w14:paraId="4DCC73E7" w14:textId="77777777" w:rsidTr="00895A51">
        <w:trPr>
          <w:trHeight w:val="255"/>
        </w:trPr>
        <w:tc>
          <w:tcPr>
            <w:tcW w:w="960" w:type="dxa"/>
            <w:tcBorders>
              <w:top w:val="nil"/>
              <w:left w:val="nil"/>
              <w:bottom w:val="nil"/>
              <w:right w:val="nil"/>
            </w:tcBorders>
            <w:shd w:val="clear" w:color="auto" w:fill="auto"/>
            <w:noWrap/>
            <w:vAlign w:val="bottom"/>
          </w:tcPr>
          <w:p w14:paraId="55372E91" w14:textId="77777777" w:rsidR="00895A51" w:rsidRDefault="00895A51" w:rsidP="00895A51">
            <w:pPr>
              <w:rPr>
                <w:rFonts w:ascii="Arial" w:hAnsi="Arial" w:cs="Arial"/>
              </w:rPr>
            </w:pPr>
            <w:r>
              <w:rPr>
                <w:rFonts w:ascii="Arial" w:hAnsi="Arial" w:cs="Arial"/>
              </w:rPr>
              <w:t>Total</w:t>
            </w:r>
          </w:p>
        </w:tc>
        <w:tc>
          <w:tcPr>
            <w:tcW w:w="944" w:type="dxa"/>
            <w:tcBorders>
              <w:top w:val="nil"/>
              <w:left w:val="nil"/>
              <w:bottom w:val="nil"/>
              <w:right w:val="nil"/>
            </w:tcBorders>
            <w:shd w:val="clear" w:color="auto" w:fill="auto"/>
            <w:noWrap/>
            <w:vAlign w:val="bottom"/>
          </w:tcPr>
          <w:p w14:paraId="4102638B" w14:textId="77777777" w:rsidR="00895A51" w:rsidRDefault="00895A51" w:rsidP="00895A51">
            <w:pPr>
              <w:jc w:val="center"/>
              <w:rPr>
                <w:rFonts w:ascii="Arial" w:hAnsi="Arial" w:cs="Arial"/>
              </w:rPr>
            </w:pPr>
            <w:r>
              <w:rPr>
                <w:rFonts w:ascii="Arial" w:hAnsi="Arial" w:cs="Arial"/>
              </w:rPr>
              <w:t>49</w:t>
            </w:r>
          </w:p>
        </w:tc>
        <w:tc>
          <w:tcPr>
            <w:tcW w:w="720" w:type="dxa"/>
            <w:tcBorders>
              <w:top w:val="nil"/>
              <w:left w:val="nil"/>
              <w:bottom w:val="nil"/>
              <w:right w:val="nil"/>
            </w:tcBorders>
            <w:shd w:val="clear" w:color="auto" w:fill="auto"/>
            <w:noWrap/>
            <w:vAlign w:val="bottom"/>
          </w:tcPr>
          <w:p w14:paraId="13B1906F" w14:textId="77777777" w:rsidR="00895A51" w:rsidRDefault="00895A51" w:rsidP="00895A51">
            <w:pPr>
              <w:jc w:val="center"/>
              <w:rPr>
                <w:rFonts w:ascii="Arial" w:hAnsi="Arial" w:cs="Arial"/>
              </w:rPr>
            </w:pPr>
            <w:r>
              <w:rPr>
                <w:rFonts w:ascii="Arial" w:hAnsi="Arial" w:cs="Arial"/>
              </w:rPr>
              <w:t>72</w:t>
            </w:r>
          </w:p>
        </w:tc>
        <w:tc>
          <w:tcPr>
            <w:tcW w:w="2071" w:type="dxa"/>
            <w:tcBorders>
              <w:top w:val="nil"/>
              <w:left w:val="nil"/>
              <w:bottom w:val="nil"/>
              <w:right w:val="nil"/>
            </w:tcBorders>
            <w:shd w:val="clear" w:color="auto" w:fill="auto"/>
            <w:noWrap/>
            <w:vAlign w:val="bottom"/>
          </w:tcPr>
          <w:p w14:paraId="1DFEAA00" w14:textId="77777777" w:rsidR="00895A51" w:rsidRDefault="00895A51" w:rsidP="00895A51">
            <w:pPr>
              <w:rPr>
                <w:rFonts w:ascii="Arial" w:hAnsi="Arial" w:cs="Arial"/>
              </w:rPr>
            </w:pPr>
            <w:r>
              <w:rPr>
                <w:rFonts w:ascii="Arial" w:hAnsi="Arial" w:cs="Arial"/>
              </w:rPr>
              <w:t>121</w:t>
            </w:r>
          </w:p>
        </w:tc>
      </w:tr>
    </w:tbl>
    <w:p w14:paraId="37873DB5" w14:textId="77777777" w:rsidR="00895A51" w:rsidRDefault="00895A51" w:rsidP="00895A51"/>
    <w:p w14:paraId="3359FB30" w14:textId="3C72C311" w:rsidR="006130FD" w:rsidRPr="003679D4" w:rsidRDefault="001B492C" w:rsidP="008A48BA">
      <w:pPr>
        <w:pStyle w:val="HTMLPreformatted"/>
        <w:rPr>
          <w:rFonts w:asciiTheme="minorHAnsi" w:hAnsiTheme="minorHAnsi"/>
          <w:color w:val="0000FF"/>
          <w:sz w:val="22"/>
          <w:szCs w:val="22"/>
        </w:rPr>
      </w:pPr>
      <w:r>
        <w:rPr>
          <w:rFonts w:asciiTheme="minorHAnsi" w:hAnsiTheme="minorHAnsi"/>
          <w:b/>
          <w:color w:val="0000FF"/>
          <w:sz w:val="22"/>
          <w:szCs w:val="22"/>
        </w:rPr>
        <w:br/>
      </w:r>
      <w:r>
        <w:rPr>
          <w:rFonts w:asciiTheme="minorHAnsi" w:hAnsiTheme="minorHAnsi"/>
          <w:b/>
          <w:color w:val="0000FF"/>
          <w:sz w:val="22"/>
          <w:szCs w:val="22"/>
        </w:rPr>
        <w:br/>
      </w:r>
    </w:p>
    <w:p w14:paraId="0F7A69F9" w14:textId="4F64B976" w:rsidR="006130FD" w:rsidRPr="00B84BBB" w:rsidRDefault="00840BBA" w:rsidP="008A48BA">
      <w:pPr>
        <w:pStyle w:val="HTMLPreformatted"/>
        <w:rPr>
          <w:rFonts w:asciiTheme="minorHAnsi" w:hAnsiTheme="minorHAnsi"/>
          <w:color w:val="000000"/>
          <w:sz w:val="22"/>
          <w:szCs w:val="22"/>
        </w:rPr>
      </w:pPr>
      <w:r w:rsidRPr="00B84BBB">
        <w:rPr>
          <w:rFonts w:asciiTheme="minorHAnsi" w:hAnsiTheme="minorHAnsi"/>
          <w:color w:val="000000"/>
          <w:sz w:val="22"/>
          <w:szCs w:val="22"/>
        </w:rPr>
        <w:t>c) The last sentence of the abstract states: “N-</w:t>
      </w:r>
      <w:proofErr w:type="spellStart"/>
      <w:r w:rsidRPr="00B84BBB">
        <w:rPr>
          <w:rFonts w:asciiTheme="minorHAnsi" w:hAnsiTheme="minorHAnsi"/>
          <w:color w:val="000000"/>
          <w:sz w:val="22"/>
          <w:szCs w:val="22"/>
        </w:rPr>
        <w:t>telopeptide</w:t>
      </w:r>
      <w:proofErr w:type="spellEnd"/>
      <w:r w:rsidRPr="00B84BBB">
        <w:rPr>
          <w:rFonts w:asciiTheme="minorHAnsi" w:hAnsiTheme="minorHAnsi"/>
          <w:color w:val="000000"/>
          <w:sz w:val="22"/>
          <w:szCs w:val="22"/>
        </w:rPr>
        <w:t xml:space="preserve"> appears useful in the prediction of patients most likely to experience skeletal complications and thus benefit from bisphosphonate treatment.” Do you agree that the study provides information on who might most benefit from bisphosphonate</w:t>
      </w:r>
      <w:r w:rsidR="00E267C1">
        <w:rPr>
          <w:rFonts w:asciiTheme="minorHAnsi" w:hAnsiTheme="minorHAnsi"/>
          <w:color w:val="000000"/>
          <w:sz w:val="22"/>
          <w:szCs w:val="22"/>
        </w:rPr>
        <w:t xml:space="preserve"> treatment</w:t>
      </w:r>
      <w:r w:rsidRPr="00B84BBB">
        <w:rPr>
          <w:rFonts w:asciiTheme="minorHAnsi" w:hAnsiTheme="minorHAnsi"/>
          <w:color w:val="000000"/>
          <w:sz w:val="22"/>
          <w:szCs w:val="22"/>
        </w:rPr>
        <w:t>? Why or why not?</w:t>
      </w:r>
      <w:r w:rsidR="004361D7">
        <w:rPr>
          <w:rFonts w:asciiTheme="minorHAnsi" w:hAnsiTheme="minorHAnsi"/>
          <w:color w:val="000000"/>
          <w:sz w:val="22"/>
          <w:szCs w:val="22"/>
        </w:rPr>
        <w:t xml:space="preserve"> </w:t>
      </w:r>
      <w:r w:rsidR="004361D7" w:rsidRPr="00B84BBB">
        <w:rPr>
          <w:rFonts w:asciiTheme="minorHAnsi" w:hAnsiTheme="minorHAnsi"/>
          <w:b/>
          <w:sz w:val="22"/>
          <w:szCs w:val="22"/>
          <w:highlight w:val="yellow"/>
        </w:rPr>
        <w:t>[2]</w:t>
      </w:r>
    </w:p>
    <w:p w14:paraId="7C5FA147" w14:textId="07E5D0E4" w:rsidR="006A6343" w:rsidRPr="00B84BBB" w:rsidRDefault="001B492C" w:rsidP="008A48BA">
      <w:pPr>
        <w:pStyle w:val="HTMLPreformatted"/>
        <w:rPr>
          <w:rFonts w:asciiTheme="minorHAnsi" w:hAnsiTheme="minorHAnsi"/>
          <w:color w:val="000000"/>
          <w:sz w:val="22"/>
          <w:szCs w:val="22"/>
        </w:rPr>
      </w:pPr>
      <w:r>
        <w:rPr>
          <w:rFonts w:asciiTheme="minorHAnsi" w:hAnsiTheme="minorHAnsi"/>
          <w:b/>
          <w:color w:val="0000FF"/>
          <w:sz w:val="22"/>
          <w:szCs w:val="22"/>
        </w:rPr>
        <w:br/>
      </w:r>
      <w:r>
        <w:rPr>
          <w:rFonts w:asciiTheme="minorHAnsi" w:hAnsiTheme="minorHAnsi"/>
          <w:b/>
          <w:color w:val="0000FF"/>
          <w:sz w:val="22"/>
          <w:szCs w:val="22"/>
        </w:rPr>
        <w:br/>
      </w:r>
    </w:p>
    <w:p w14:paraId="4D445C1E" w14:textId="77777777" w:rsidR="00530553" w:rsidRDefault="00530553" w:rsidP="00530553">
      <w:r>
        <w:rPr>
          <w:b/>
        </w:rPr>
        <w:t>7.9</w:t>
      </w:r>
      <w:r w:rsidRPr="00321F2B">
        <w:rPr>
          <w:b/>
        </w:rPr>
        <w:t>.</w:t>
      </w:r>
      <w:r>
        <w:rPr>
          <w:b/>
        </w:rPr>
        <w:t xml:space="preserve"> </w:t>
      </w:r>
      <w:r>
        <w:t xml:space="preserve">During a rainy month, you watch the weather report and decide whether to carry an umbrella.  Your decision is irrevocable in that, if you decide not to carry an umbrella and head off to work and it rains, you can’t change your mind.  </w:t>
      </w:r>
    </w:p>
    <w:p w14:paraId="528EC99B" w14:textId="77777777" w:rsidR="00530553" w:rsidRDefault="00530553" w:rsidP="00530553"/>
    <w:p w14:paraId="4AD92FED" w14:textId="77777777" w:rsidR="00530553" w:rsidRDefault="00530553" w:rsidP="00530553">
      <w:r>
        <w:t>You are willing to carry an umbrella and not use it 3 times for every time you carry and umbrella and use it.  In other words, being in the rain without an umbrella is exactly 3 times as bad as carrying an umbrella unnecessarily.</w:t>
      </w:r>
    </w:p>
    <w:p w14:paraId="0910712A" w14:textId="77777777" w:rsidR="00530553" w:rsidRDefault="00530553" w:rsidP="00530553"/>
    <w:p w14:paraId="56D21878" w14:textId="52420F71" w:rsidR="00530553" w:rsidRDefault="00AF4DDB" w:rsidP="00530553">
      <w:r>
        <w:t>The Channel 2 weather</w:t>
      </w:r>
      <w:r w:rsidR="00530553">
        <w:t>man predicts a 33% chance of rain on every single day of th</w:t>
      </w:r>
      <w:r>
        <w:t>e month.  The Channel 3 weather</w:t>
      </w:r>
      <w:r w:rsidR="00530553">
        <w:t>man predicts a 50% chance of rain on two-thirds of the days and a 100% chance of rain on one third of the days.  At the end of the month it turns out that it rained on 10 out of 30 days.  It also turns out that e</w:t>
      </w:r>
      <w:r>
        <w:t>very time the Channel 3 weather</w:t>
      </w:r>
      <w:r w:rsidR="00530553">
        <w:t>man predicted a 50% chance of rain, it didn’t rain; and every time he predicted a 100% chance of rain, it did.</w:t>
      </w:r>
    </w:p>
    <w:p w14:paraId="5501A6FB" w14:textId="77777777" w:rsidR="00530553" w:rsidRDefault="00530553" w:rsidP="00530553"/>
    <w:p w14:paraId="3B6FE0E6" w14:textId="77777777" w:rsidR="00530553" w:rsidRDefault="00530553" w:rsidP="00530553">
      <w:pPr>
        <w:numPr>
          <w:ilvl w:val="0"/>
          <w:numId w:val="32"/>
        </w:numPr>
        <w:overflowPunct/>
        <w:autoSpaceDE/>
        <w:autoSpaceDN/>
        <w:adjustRightInd/>
        <w:textAlignment w:val="auto"/>
      </w:pPr>
      <w:r>
        <w:t>What is your threshold probability of rain for carrying an umbrella?  [1]</w:t>
      </w:r>
    </w:p>
    <w:p w14:paraId="4E1398BE" w14:textId="77777777" w:rsidR="00530553" w:rsidRDefault="00530553" w:rsidP="00530553"/>
    <w:p w14:paraId="481F5025" w14:textId="77777777" w:rsidR="00530553" w:rsidRDefault="00530553" w:rsidP="00530553">
      <w:pPr>
        <w:ind w:left="360"/>
      </w:pPr>
    </w:p>
    <w:p w14:paraId="745287DC" w14:textId="77777777" w:rsidR="00530553" w:rsidRDefault="00530553" w:rsidP="00530553">
      <w:pPr>
        <w:numPr>
          <w:ilvl w:val="0"/>
          <w:numId w:val="32"/>
        </w:numPr>
        <w:overflowPunct/>
        <w:autoSpaceDE/>
        <w:autoSpaceDN/>
        <w:adjustRightInd/>
        <w:textAlignment w:val="auto"/>
      </w:pPr>
      <w:r>
        <w:t>If you watched and believed Channel 2, how many days of the month did you carry an umbrella? [1]</w:t>
      </w:r>
    </w:p>
    <w:p w14:paraId="48175F70" w14:textId="649725C7" w:rsidR="00530553" w:rsidRDefault="001B492C" w:rsidP="00530553">
      <w:pPr>
        <w:ind w:left="360"/>
      </w:pPr>
      <w:r>
        <w:rPr>
          <w:b/>
          <w:i/>
        </w:rPr>
        <w:br/>
      </w:r>
    </w:p>
    <w:p w14:paraId="446CD9DD" w14:textId="77777777" w:rsidR="00530553" w:rsidRDefault="00530553" w:rsidP="00530553">
      <w:pPr>
        <w:numPr>
          <w:ilvl w:val="0"/>
          <w:numId w:val="32"/>
        </w:numPr>
        <w:overflowPunct/>
        <w:autoSpaceDE/>
        <w:autoSpaceDN/>
        <w:adjustRightInd/>
        <w:textAlignment w:val="auto"/>
      </w:pPr>
      <w:r>
        <w:t>If you watched and believed Channel 3, how many days of the month did you carry an umbrella? [1]</w:t>
      </w:r>
    </w:p>
    <w:p w14:paraId="1EEED153" w14:textId="77777777" w:rsidR="00530553" w:rsidRDefault="00530553" w:rsidP="00530553">
      <w:pPr>
        <w:ind w:left="360"/>
        <w:rPr>
          <w:b/>
          <w:i/>
        </w:rPr>
      </w:pPr>
    </w:p>
    <w:p w14:paraId="370B64E0" w14:textId="77777777" w:rsidR="00530553" w:rsidRDefault="00530553" w:rsidP="00530553">
      <w:pPr>
        <w:ind w:left="360"/>
        <w:rPr>
          <w:b/>
          <w:i/>
        </w:rPr>
      </w:pPr>
    </w:p>
    <w:p w14:paraId="1D00C27D" w14:textId="77777777" w:rsidR="00530553" w:rsidRDefault="00530553" w:rsidP="00530553">
      <w:pPr>
        <w:numPr>
          <w:ilvl w:val="0"/>
          <w:numId w:val="32"/>
        </w:numPr>
        <w:overflowPunct/>
        <w:autoSpaceDE/>
        <w:autoSpaceDN/>
        <w:adjustRightInd/>
        <w:textAlignment w:val="auto"/>
      </w:pPr>
      <w:r>
        <w:t>What is the average predicted chance of rain for Channel 2?  What is it for Channel 3?  [2]</w:t>
      </w:r>
    </w:p>
    <w:p w14:paraId="4131FE64" w14:textId="77777777" w:rsidR="00530553" w:rsidRDefault="00530553" w:rsidP="00530553">
      <w:pPr>
        <w:ind w:left="360"/>
      </w:pPr>
    </w:p>
    <w:p w14:paraId="32F837ED" w14:textId="15912B99" w:rsidR="00530553" w:rsidRDefault="001B492C" w:rsidP="00530553">
      <w:pPr>
        <w:ind w:left="360"/>
      </w:pPr>
      <w:r>
        <w:rPr>
          <w:b/>
          <w:i/>
        </w:rPr>
        <w:lastRenderedPageBreak/>
        <w:br/>
      </w:r>
    </w:p>
    <w:p w14:paraId="7786454D" w14:textId="1CA1D9A8" w:rsidR="00530553" w:rsidRDefault="00530553" w:rsidP="00530553">
      <w:pPr>
        <w:numPr>
          <w:ilvl w:val="0"/>
          <w:numId w:val="32"/>
        </w:numPr>
        <w:overflowPunct/>
        <w:autoSpaceDE/>
        <w:autoSpaceDN/>
        <w:adjustRightInd/>
        <w:textAlignment w:val="auto"/>
      </w:pPr>
      <w:r>
        <w:t>Which weatherman was better calibrated? [1]</w:t>
      </w:r>
    </w:p>
    <w:p w14:paraId="4EFE633D" w14:textId="3853D48C" w:rsidR="00530553" w:rsidRDefault="004170B9" w:rsidP="00530553">
      <w:pPr>
        <w:ind w:left="360"/>
        <w:rPr>
          <w:b/>
          <w:i/>
        </w:rPr>
      </w:pPr>
      <w:r>
        <w:rPr>
          <w:b/>
          <w:i/>
        </w:rPr>
        <w:br/>
      </w:r>
    </w:p>
    <w:p w14:paraId="1031EFD5" w14:textId="77777777" w:rsidR="00530553" w:rsidRDefault="00530553" w:rsidP="00530553">
      <w:pPr>
        <w:numPr>
          <w:ilvl w:val="0"/>
          <w:numId w:val="32"/>
        </w:numPr>
        <w:overflowPunct/>
        <w:autoSpaceDE/>
        <w:autoSpaceDN/>
        <w:adjustRightInd/>
        <w:textAlignment w:val="auto"/>
      </w:pPr>
      <w:r>
        <w:t>Which channel should you watch next month and why? [2]</w:t>
      </w:r>
    </w:p>
    <w:p w14:paraId="66CA7B98" w14:textId="77777777" w:rsidR="00530553" w:rsidRDefault="00530553" w:rsidP="00530553">
      <w:pPr>
        <w:ind w:left="360"/>
      </w:pPr>
    </w:p>
    <w:p w14:paraId="0A36AB4A" w14:textId="0C87C813" w:rsidR="005906C3" w:rsidRPr="00B84BBB" w:rsidRDefault="005906C3" w:rsidP="005906C3">
      <w:pPr>
        <w:pStyle w:val="Heading1"/>
        <w:rPr>
          <w:rFonts w:asciiTheme="minorHAnsi" w:hAnsiTheme="minorHAnsi" w:cs="Times New Roman"/>
          <w:b w:val="0"/>
          <w:bCs w:val="0"/>
          <w:kern w:val="0"/>
          <w:sz w:val="22"/>
          <w:szCs w:val="22"/>
        </w:rPr>
      </w:pPr>
      <w:r w:rsidRPr="00B84BBB">
        <w:rPr>
          <w:rFonts w:asciiTheme="minorHAnsi" w:hAnsiTheme="minorHAnsi" w:cs="Times New Roman"/>
          <w:bCs w:val="0"/>
          <w:kern w:val="0"/>
          <w:sz w:val="22"/>
          <w:szCs w:val="22"/>
        </w:rPr>
        <w:t>7.12.</w:t>
      </w:r>
      <w:r w:rsidR="00C77654" w:rsidRPr="00B84BBB">
        <w:rPr>
          <w:rFonts w:asciiTheme="minorHAnsi" w:hAnsiTheme="minorHAnsi" w:cs="Times New Roman"/>
          <w:bCs w:val="0"/>
          <w:kern w:val="0"/>
          <w:sz w:val="22"/>
          <w:szCs w:val="22"/>
        </w:rPr>
        <w:t xml:space="preserve"> </w:t>
      </w:r>
      <w:r w:rsidR="00C77654" w:rsidRPr="00B84BBB">
        <w:rPr>
          <w:rFonts w:asciiTheme="minorHAnsi" w:hAnsiTheme="minorHAnsi" w:cs="Times New Roman"/>
          <w:sz w:val="22"/>
          <w:szCs w:val="22"/>
          <w:highlight w:val="yellow"/>
        </w:rPr>
        <w:t>[7 points total]</w:t>
      </w:r>
      <w:r w:rsidRPr="00B84BBB">
        <w:rPr>
          <w:rFonts w:asciiTheme="minorHAnsi" w:hAnsiTheme="minorHAnsi" w:cs="Times New Roman"/>
          <w:bCs w:val="0"/>
          <w:kern w:val="0"/>
          <w:sz w:val="22"/>
          <w:szCs w:val="22"/>
        </w:rPr>
        <w:t xml:space="preserve"> </w:t>
      </w:r>
      <w:r w:rsidRPr="00B84BBB">
        <w:rPr>
          <w:rFonts w:asciiTheme="minorHAnsi" w:hAnsiTheme="minorHAnsi" w:cs="Times New Roman"/>
          <w:b w:val="0"/>
          <w:bCs w:val="0"/>
          <w:kern w:val="0"/>
          <w:sz w:val="22"/>
          <w:szCs w:val="22"/>
        </w:rPr>
        <w:t>(From the 2013 final after editing) A recent New York Times story, “Risk Calculator for Cholesterol Appears Flawed”</w:t>
      </w:r>
      <w:r w:rsidRPr="00B84BBB">
        <w:rPr>
          <w:rStyle w:val="FootnoteReference"/>
          <w:rFonts w:asciiTheme="minorHAnsi" w:hAnsiTheme="minorHAnsi" w:cs="Times New Roman"/>
          <w:b w:val="0"/>
          <w:bCs w:val="0"/>
          <w:kern w:val="0"/>
          <w:sz w:val="22"/>
          <w:szCs w:val="22"/>
        </w:rPr>
        <w:footnoteReference w:id="1"/>
      </w:r>
      <w:r w:rsidRPr="00B84BBB">
        <w:rPr>
          <w:rFonts w:asciiTheme="minorHAnsi" w:hAnsiTheme="minorHAnsi" w:cs="Times New Roman"/>
          <w:b w:val="0"/>
          <w:bCs w:val="0"/>
          <w:kern w:val="0"/>
          <w:sz w:val="22"/>
          <w:szCs w:val="22"/>
        </w:rPr>
        <w:t xml:space="preserve"> includes the following:</w:t>
      </w:r>
      <w:r w:rsidR="00C77654" w:rsidRPr="00B84BBB">
        <w:rPr>
          <w:rFonts w:asciiTheme="minorHAnsi" w:hAnsiTheme="minorHAnsi" w:cs="Times New Roman"/>
          <w:b w:val="0"/>
          <w:bCs w:val="0"/>
          <w:kern w:val="0"/>
          <w:sz w:val="22"/>
          <w:szCs w:val="22"/>
        </w:rPr>
        <w:t xml:space="preserve"> </w:t>
      </w:r>
    </w:p>
    <w:p w14:paraId="6E55DA72" w14:textId="77777777" w:rsidR="005906C3" w:rsidRPr="00B84BBB" w:rsidRDefault="005906C3" w:rsidP="00B84BBB">
      <w:pPr>
        <w:pStyle w:val="Heading1"/>
        <w:rPr>
          <w:rFonts w:asciiTheme="minorHAnsi" w:hAnsiTheme="minorHAnsi"/>
          <w:b w:val="0"/>
          <w:i/>
          <w:sz w:val="22"/>
          <w:szCs w:val="22"/>
        </w:rPr>
      </w:pPr>
      <w:r w:rsidRPr="00B84BBB">
        <w:rPr>
          <w:rFonts w:asciiTheme="minorHAnsi" w:hAnsiTheme="minorHAnsi" w:cs="Times New Roman"/>
          <w:b w:val="0"/>
          <w:i/>
          <w:sz w:val="22"/>
          <w:szCs w:val="22"/>
        </w:rPr>
        <w:t xml:space="preserve">“Last week, the nation’s leading heart organizations released </w:t>
      </w:r>
      <w:r w:rsidRPr="00B84BBB">
        <w:rPr>
          <w:rFonts w:asciiTheme="minorHAnsi" w:hAnsiTheme="minorHAnsi"/>
          <w:b w:val="0"/>
          <w:i/>
          <w:sz w:val="22"/>
          <w:szCs w:val="22"/>
        </w:rPr>
        <w:t xml:space="preserve">a sweeping new set of guidelines for lowering </w:t>
      </w:r>
      <w:hyperlink r:id="rId9" w:tooltip="In-depth reference and news articles about Cholesterol." w:history="1">
        <w:r w:rsidRPr="00B84BBB">
          <w:rPr>
            <w:rFonts w:asciiTheme="minorHAnsi" w:hAnsiTheme="minorHAnsi"/>
            <w:b w:val="0"/>
            <w:i/>
            <w:sz w:val="22"/>
            <w:szCs w:val="22"/>
          </w:rPr>
          <w:t>cholesterol</w:t>
        </w:r>
      </w:hyperlink>
      <w:r w:rsidRPr="00B84BBB">
        <w:rPr>
          <w:rFonts w:asciiTheme="minorHAnsi" w:hAnsiTheme="minorHAnsi"/>
          <w:b w:val="0"/>
          <w:i/>
          <w:sz w:val="22"/>
          <w:szCs w:val="22"/>
        </w:rPr>
        <w:t xml:space="preserve">, along with an </w:t>
      </w:r>
      <w:hyperlink r:id="rId10" w:tooltip="Risk calculator" w:history="1">
        <w:r w:rsidRPr="00B84BBB">
          <w:rPr>
            <w:rFonts w:asciiTheme="minorHAnsi" w:hAnsiTheme="minorHAnsi"/>
            <w:b w:val="0"/>
            <w:i/>
            <w:sz w:val="22"/>
            <w:szCs w:val="22"/>
          </w:rPr>
          <w:t>online calculator</w:t>
        </w:r>
      </w:hyperlink>
      <w:r w:rsidRPr="00B84BBB">
        <w:rPr>
          <w:rFonts w:asciiTheme="minorHAnsi" w:hAnsiTheme="minorHAnsi"/>
          <w:b w:val="0"/>
          <w:i/>
          <w:sz w:val="22"/>
          <w:szCs w:val="22"/>
        </w:rPr>
        <w:t xml:space="preserve"> meant to help doctors assess risks and treatment options. But, in a major embarrassment to the health groups, the calculator appears to greatly overestimate risk...” </w:t>
      </w:r>
    </w:p>
    <w:p w14:paraId="6EAA39D4" w14:textId="77777777" w:rsidR="005906C3" w:rsidRPr="00B84BBB" w:rsidRDefault="005906C3" w:rsidP="00B84BBB">
      <w:pPr>
        <w:pStyle w:val="NormalWeb"/>
        <w:rPr>
          <w:rFonts w:asciiTheme="minorHAnsi" w:hAnsiTheme="minorHAnsi"/>
          <w:i/>
          <w:sz w:val="22"/>
          <w:szCs w:val="22"/>
        </w:rPr>
      </w:pPr>
      <w:r w:rsidRPr="00B84BBB">
        <w:rPr>
          <w:rFonts w:asciiTheme="minorHAnsi" w:hAnsiTheme="minorHAnsi"/>
          <w:i/>
          <w:sz w:val="22"/>
          <w:szCs w:val="22"/>
        </w:rPr>
        <w:t xml:space="preserve">“After they saw the guidelines and the calculator, Dr. </w:t>
      </w:r>
      <w:proofErr w:type="spellStart"/>
      <w:r w:rsidRPr="00B84BBB">
        <w:rPr>
          <w:rFonts w:asciiTheme="minorHAnsi" w:hAnsiTheme="minorHAnsi"/>
          <w:i/>
          <w:sz w:val="22"/>
          <w:szCs w:val="22"/>
        </w:rPr>
        <w:t>Ridker</w:t>
      </w:r>
      <w:proofErr w:type="spellEnd"/>
      <w:r w:rsidRPr="00B84BBB">
        <w:rPr>
          <w:rFonts w:asciiTheme="minorHAnsi" w:hAnsiTheme="minorHAnsi"/>
          <w:i/>
          <w:sz w:val="22"/>
          <w:szCs w:val="22"/>
        </w:rPr>
        <w:t xml:space="preserve"> and Dr. Cook evaluated it using three large studies... They knew the subjects’ characteristics at the start... Then they asked how many had heart attacks or strokes in the next 10 years and how many would the risk calculator predict. </w:t>
      </w:r>
    </w:p>
    <w:p w14:paraId="137961F2" w14:textId="77777777" w:rsidR="005906C3" w:rsidRPr="00B84BBB" w:rsidRDefault="005906C3" w:rsidP="00B84BBB">
      <w:pPr>
        <w:pStyle w:val="NormalWeb"/>
        <w:rPr>
          <w:rFonts w:asciiTheme="minorHAnsi" w:hAnsiTheme="minorHAnsi"/>
          <w:i/>
          <w:sz w:val="22"/>
          <w:szCs w:val="22"/>
        </w:rPr>
      </w:pPr>
      <w:r w:rsidRPr="00B84BBB">
        <w:rPr>
          <w:rFonts w:asciiTheme="minorHAnsi" w:hAnsiTheme="minorHAnsi"/>
          <w:i/>
          <w:sz w:val="22"/>
          <w:szCs w:val="22"/>
        </w:rPr>
        <w:t xml:space="preserve">“The answer was that the calculator </w:t>
      </w:r>
      <w:proofErr w:type="spellStart"/>
      <w:r w:rsidRPr="00B84BBB">
        <w:rPr>
          <w:rFonts w:asciiTheme="minorHAnsi" w:hAnsiTheme="minorHAnsi"/>
          <w:i/>
          <w:sz w:val="22"/>
          <w:szCs w:val="22"/>
        </w:rPr>
        <w:t>overpredicted</w:t>
      </w:r>
      <w:proofErr w:type="spellEnd"/>
      <w:r w:rsidRPr="00B84BBB">
        <w:rPr>
          <w:rFonts w:asciiTheme="minorHAnsi" w:hAnsiTheme="minorHAnsi"/>
          <w:i/>
          <w:sz w:val="22"/>
          <w:szCs w:val="22"/>
        </w:rPr>
        <w:t xml:space="preserve"> risk by 75 to 150 percent, depending on the population. A man whose risk was 4 percent, for example, might show up as having an 8 percent risk. With a 4 percent risk, he would not warrant treatment — the guidelines that say treatment is advised for those with at least a 7.5 percent risk and that treatment can be considered for those whose risk is 5 percent.”</w:t>
      </w:r>
    </w:p>
    <w:p w14:paraId="061DB624" w14:textId="40F5EA23" w:rsidR="005906C3" w:rsidRPr="00B84BBB" w:rsidRDefault="005906C3" w:rsidP="00C77654">
      <w:pPr>
        <w:numPr>
          <w:ilvl w:val="1"/>
          <w:numId w:val="28"/>
        </w:numPr>
        <w:overflowPunct/>
        <w:autoSpaceDE/>
        <w:autoSpaceDN/>
        <w:adjustRightInd/>
        <w:spacing w:before="100" w:beforeAutospacing="1" w:after="100" w:afterAutospacing="1"/>
        <w:ind w:left="90" w:firstLine="0"/>
        <w:contextualSpacing/>
        <w:textAlignment w:val="auto"/>
        <w:rPr>
          <w:rFonts w:asciiTheme="minorHAnsi" w:hAnsiTheme="minorHAnsi"/>
          <w:sz w:val="22"/>
          <w:szCs w:val="22"/>
        </w:rPr>
      </w:pPr>
      <w:r w:rsidRPr="00B84BBB">
        <w:rPr>
          <w:rFonts w:asciiTheme="minorHAnsi" w:hAnsiTheme="minorHAnsi"/>
          <w:sz w:val="22"/>
          <w:szCs w:val="22"/>
        </w:rPr>
        <w:t>Is this a problem with discrimination or calibration?  Explain.</w:t>
      </w:r>
      <w:r w:rsidR="00C77654" w:rsidRPr="00B84BBB">
        <w:rPr>
          <w:rFonts w:asciiTheme="minorHAnsi" w:hAnsiTheme="minorHAnsi"/>
          <w:sz w:val="22"/>
          <w:szCs w:val="22"/>
        </w:rPr>
        <w:t xml:space="preserve"> </w:t>
      </w:r>
      <w:r w:rsidR="00C77654" w:rsidRPr="00B84BBB">
        <w:rPr>
          <w:rFonts w:asciiTheme="minorHAnsi" w:hAnsiTheme="minorHAnsi"/>
          <w:b/>
          <w:sz w:val="22"/>
          <w:szCs w:val="22"/>
          <w:highlight w:val="yellow"/>
        </w:rPr>
        <w:t>[2]</w:t>
      </w:r>
    </w:p>
    <w:p w14:paraId="29695B11" w14:textId="1025BC4D" w:rsidR="005906C3" w:rsidRPr="00B84BBB" w:rsidRDefault="004170B9" w:rsidP="005906C3">
      <w:pPr>
        <w:spacing w:before="100" w:beforeAutospacing="1" w:after="100" w:afterAutospacing="1"/>
        <w:rPr>
          <w:rFonts w:asciiTheme="minorHAnsi" w:hAnsiTheme="minorHAnsi" w:cs="Arial"/>
          <w:sz w:val="22"/>
          <w:szCs w:val="22"/>
        </w:rPr>
      </w:pPr>
      <w:r>
        <w:rPr>
          <w:rFonts w:asciiTheme="minorHAnsi" w:hAnsiTheme="minorHAnsi"/>
          <w:b/>
          <w:color w:val="0000FF"/>
          <w:sz w:val="22"/>
          <w:szCs w:val="22"/>
        </w:rPr>
        <w:br/>
      </w:r>
      <w:r w:rsidR="005906C3" w:rsidRPr="00B84BBB">
        <w:rPr>
          <w:rFonts w:asciiTheme="minorHAnsi" w:hAnsiTheme="minorHAnsi" w:cs="Arial"/>
          <w:sz w:val="22"/>
          <w:szCs w:val="22"/>
        </w:rPr>
        <w:br/>
      </w:r>
      <w:r w:rsidR="00E243A5" w:rsidRPr="00B84BBB">
        <w:rPr>
          <w:rFonts w:asciiTheme="minorHAnsi" w:hAnsiTheme="minorHAnsi" w:cs="Arial"/>
          <w:noProof/>
          <w:sz w:val="22"/>
          <w:szCs w:val="22"/>
        </w:rPr>
        <w:drawing>
          <wp:inline distT="0" distB="0" distL="0" distR="0" wp14:anchorId="69E46D57" wp14:editId="7B439DC9">
            <wp:extent cx="5401945" cy="1693545"/>
            <wp:effectExtent l="0" t="0" r="825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945" cy="1693545"/>
                    </a:xfrm>
                    <a:prstGeom prst="rect">
                      <a:avLst/>
                    </a:prstGeom>
                    <a:noFill/>
                    <a:ln>
                      <a:noFill/>
                    </a:ln>
                  </pic:spPr>
                </pic:pic>
              </a:graphicData>
            </a:graphic>
          </wp:inline>
        </w:drawing>
      </w:r>
    </w:p>
    <w:p w14:paraId="49D76488" w14:textId="50D212AE" w:rsidR="005906C3" w:rsidRPr="00B84BBB" w:rsidRDefault="005906C3" w:rsidP="005906C3">
      <w:pPr>
        <w:numPr>
          <w:ilvl w:val="1"/>
          <w:numId w:val="28"/>
        </w:numPr>
        <w:overflowPunct/>
        <w:autoSpaceDE/>
        <w:autoSpaceDN/>
        <w:adjustRightInd/>
        <w:spacing w:before="100" w:beforeAutospacing="1" w:after="100" w:afterAutospacing="1"/>
        <w:ind w:left="270" w:hanging="270"/>
        <w:contextualSpacing/>
        <w:textAlignment w:val="auto"/>
        <w:rPr>
          <w:rFonts w:asciiTheme="minorHAnsi" w:hAnsiTheme="minorHAnsi"/>
          <w:sz w:val="22"/>
          <w:szCs w:val="22"/>
        </w:rPr>
      </w:pPr>
      <w:r w:rsidRPr="00B84BBB">
        <w:rPr>
          <w:rFonts w:asciiTheme="minorHAnsi" w:hAnsiTheme="minorHAnsi"/>
          <w:sz w:val="22"/>
          <w:szCs w:val="22"/>
        </w:rPr>
        <w:t xml:space="preserve">The guidelines recommend estimating each subject’s risk using a cardiovascular risk calculator, then managing based on whether the predicted 10-year risk is &lt;5%, 5-7.4%, 7.5-9.9%, or ≥ 10%.  The NYT article included a graph of the overestimation, above, which many of your instructors found confusing.  Josh </w:t>
      </w:r>
      <w:proofErr w:type="spellStart"/>
      <w:r w:rsidRPr="00B84BBB">
        <w:rPr>
          <w:rFonts w:asciiTheme="minorHAnsi" w:hAnsiTheme="minorHAnsi"/>
          <w:sz w:val="22"/>
          <w:szCs w:val="22"/>
        </w:rPr>
        <w:t>Galanter</w:t>
      </w:r>
      <w:proofErr w:type="spellEnd"/>
      <w:r w:rsidRPr="00B84BBB">
        <w:rPr>
          <w:rFonts w:asciiTheme="minorHAnsi" w:hAnsiTheme="minorHAnsi"/>
          <w:sz w:val="22"/>
          <w:szCs w:val="22"/>
        </w:rPr>
        <w:t xml:space="preserve"> gallantly created a calibration plot from these data (below), which should look more familiar.  Explain briefly, step by step, how the data to produce figures like these would be </w:t>
      </w:r>
      <w:r w:rsidRPr="00B84BBB">
        <w:rPr>
          <w:rFonts w:asciiTheme="minorHAnsi" w:hAnsiTheme="minorHAnsi"/>
          <w:sz w:val="22"/>
          <w:szCs w:val="22"/>
        </w:rPr>
        <w:lastRenderedPageBreak/>
        <w:t>obtained. (Hint: the X-axis in each case groups patients with predicted risks in the categories above.)</w:t>
      </w:r>
      <w:r w:rsidR="00C77654" w:rsidRPr="00B84BBB">
        <w:rPr>
          <w:rFonts w:asciiTheme="minorHAnsi" w:hAnsiTheme="minorHAnsi"/>
          <w:sz w:val="22"/>
          <w:szCs w:val="22"/>
        </w:rPr>
        <w:t xml:space="preserve"> </w:t>
      </w:r>
      <w:r w:rsidR="00C77654" w:rsidRPr="00B84BBB">
        <w:rPr>
          <w:rFonts w:asciiTheme="minorHAnsi" w:hAnsiTheme="minorHAnsi"/>
          <w:b/>
          <w:sz w:val="22"/>
          <w:szCs w:val="22"/>
          <w:highlight w:val="yellow"/>
        </w:rPr>
        <w:t>[3]</w:t>
      </w:r>
      <w:r w:rsidRPr="00B84BBB">
        <w:rPr>
          <w:rFonts w:asciiTheme="minorHAnsi" w:hAnsiTheme="minorHAnsi"/>
          <w:sz w:val="22"/>
          <w:szCs w:val="22"/>
        </w:rPr>
        <w:br/>
      </w:r>
    </w:p>
    <w:p w14:paraId="67388893" w14:textId="77777777" w:rsidR="005906C3" w:rsidRPr="00B84BBB" w:rsidRDefault="00E243A5" w:rsidP="005906C3">
      <w:pPr>
        <w:spacing w:before="100" w:beforeAutospacing="1" w:after="100" w:afterAutospacing="1"/>
        <w:ind w:left="-180"/>
        <w:rPr>
          <w:rFonts w:asciiTheme="minorHAnsi" w:hAnsiTheme="minorHAnsi" w:cs="Arial"/>
          <w:noProof/>
          <w:sz w:val="22"/>
          <w:szCs w:val="22"/>
        </w:rPr>
      </w:pPr>
      <w:r w:rsidRPr="00B84BBB">
        <w:rPr>
          <w:rFonts w:asciiTheme="minorHAnsi" w:hAnsiTheme="minorHAnsi" w:cs="Arial"/>
          <w:noProof/>
          <w:sz w:val="22"/>
          <w:szCs w:val="22"/>
        </w:rPr>
        <w:drawing>
          <wp:inline distT="0" distB="0" distL="0" distR="0" wp14:anchorId="6C091989" wp14:editId="34257DCD">
            <wp:extent cx="5393055" cy="2091055"/>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3055" cy="2091055"/>
                    </a:xfrm>
                    <a:prstGeom prst="rect">
                      <a:avLst/>
                    </a:prstGeom>
                    <a:noFill/>
                    <a:ln>
                      <a:noFill/>
                    </a:ln>
                  </pic:spPr>
                </pic:pic>
              </a:graphicData>
            </a:graphic>
          </wp:inline>
        </w:drawing>
      </w:r>
    </w:p>
    <w:p w14:paraId="7EDC6111" w14:textId="77777777" w:rsidR="005906C3" w:rsidRPr="00B84BBB" w:rsidRDefault="005906C3" w:rsidP="00C91EC1">
      <w:pPr>
        <w:spacing w:before="100" w:beforeAutospacing="1" w:after="100" w:afterAutospacing="1"/>
        <w:contextualSpacing/>
        <w:rPr>
          <w:rFonts w:asciiTheme="minorHAnsi" w:hAnsiTheme="minorHAnsi" w:cs="Arial"/>
          <w:b/>
          <w:sz w:val="22"/>
          <w:szCs w:val="22"/>
        </w:rPr>
      </w:pPr>
    </w:p>
    <w:p w14:paraId="4898BA4A" w14:textId="77777777" w:rsidR="005906C3" w:rsidRPr="00B84BBB" w:rsidRDefault="005906C3" w:rsidP="00294D07">
      <w:pPr>
        <w:spacing w:before="100" w:beforeAutospacing="1" w:after="100" w:afterAutospacing="1"/>
        <w:contextualSpacing/>
        <w:rPr>
          <w:rStyle w:val="paragraph"/>
          <w:rFonts w:asciiTheme="minorHAnsi" w:hAnsiTheme="minorHAnsi"/>
          <w:b/>
          <w:sz w:val="22"/>
          <w:szCs w:val="22"/>
        </w:rPr>
      </w:pPr>
    </w:p>
    <w:p w14:paraId="262F93A8" w14:textId="79073B67" w:rsidR="005906C3" w:rsidRPr="00B84BBB" w:rsidRDefault="005906C3" w:rsidP="005906C3">
      <w:pPr>
        <w:numPr>
          <w:ilvl w:val="1"/>
          <w:numId w:val="28"/>
        </w:numPr>
        <w:overflowPunct/>
        <w:autoSpaceDE/>
        <w:autoSpaceDN/>
        <w:adjustRightInd/>
        <w:spacing w:before="100" w:beforeAutospacing="1" w:after="100" w:afterAutospacing="1"/>
        <w:ind w:left="270" w:hanging="270"/>
        <w:contextualSpacing/>
        <w:textAlignment w:val="auto"/>
        <w:rPr>
          <w:rStyle w:val="paragraph"/>
          <w:rFonts w:asciiTheme="minorHAnsi" w:hAnsiTheme="minorHAnsi"/>
          <w:sz w:val="22"/>
          <w:szCs w:val="22"/>
        </w:rPr>
      </w:pPr>
      <w:r w:rsidRPr="00B84BBB">
        <w:rPr>
          <w:rStyle w:val="paragraph"/>
          <w:rFonts w:asciiTheme="minorHAnsi" w:hAnsiTheme="minorHAnsi"/>
          <w:sz w:val="22"/>
          <w:szCs w:val="22"/>
        </w:rPr>
        <w:t xml:space="preserve">If we assume that, in fact, the risk calculator is overestimating risk, what more do you </w:t>
      </w:r>
      <w:proofErr w:type="gramStart"/>
      <w:r w:rsidRPr="00B84BBB">
        <w:rPr>
          <w:rStyle w:val="paragraph"/>
          <w:rFonts w:asciiTheme="minorHAnsi" w:hAnsiTheme="minorHAnsi"/>
          <w:sz w:val="22"/>
          <w:szCs w:val="22"/>
        </w:rPr>
        <w:t>need to know to conclude that using these overestimated risks with the treatment thresholds in the guidelines will</w:t>
      </w:r>
      <w:proofErr w:type="gramEnd"/>
      <w:r w:rsidRPr="00B84BBB">
        <w:rPr>
          <w:rStyle w:val="paragraph"/>
          <w:rFonts w:asciiTheme="minorHAnsi" w:hAnsiTheme="minorHAnsi"/>
          <w:sz w:val="22"/>
          <w:szCs w:val="22"/>
        </w:rPr>
        <w:t xml:space="preserve"> lead to excessive treatment?  Explain.</w:t>
      </w:r>
      <w:r w:rsidR="00C77654" w:rsidRPr="00B84BBB">
        <w:rPr>
          <w:rStyle w:val="paragraph"/>
          <w:rFonts w:asciiTheme="minorHAnsi" w:hAnsiTheme="minorHAnsi"/>
          <w:sz w:val="22"/>
          <w:szCs w:val="22"/>
        </w:rPr>
        <w:t xml:space="preserve"> </w:t>
      </w:r>
      <w:r w:rsidR="00C77654" w:rsidRPr="00B84BBB">
        <w:rPr>
          <w:rFonts w:asciiTheme="minorHAnsi" w:hAnsiTheme="minorHAnsi"/>
          <w:b/>
          <w:sz w:val="22"/>
          <w:szCs w:val="22"/>
          <w:highlight w:val="yellow"/>
        </w:rPr>
        <w:t>[2]</w:t>
      </w:r>
    </w:p>
    <w:p w14:paraId="0A4067A8" w14:textId="632C2E28" w:rsidR="005906C3" w:rsidRPr="00B84BBB" w:rsidRDefault="004170B9" w:rsidP="005906C3">
      <w:pPr>
        <w:spacing w:before="100" w:beforeAutospacing="1" w:after="100" w:afterAutospacing="1"/>
        <w:ind w:left="360"/>
        <w:contextualSpacing/>
        <w:rPr>
          <w:rStyle w:val="paragraph"/>
          <w:rFonts w:asciiTheme="minorHAnsi" w:hAnsiTheme="minorHAnsi"/>
          <w:sz w:val="22"/>
          <w:szCs w:val="22"/>
        </w:rPr>
      </w:pPr>
      <w:r>
        <w:rPr>
          <w:rStyle w:val="paragraph"/>
          <w:rFonts w:asciiTheme="minorHAnsi" w:hAnsiTheme="minorHAnsi" w:cs="Arial"/>
          <w:b/>
          <w:color w:val="0000FF"/>
          <w:sz w:val="22"/>
          <w:szCs w:val="22"/>
        </w:rPr>
        <w:br/>
      </w:r>
    </w:p>
    <w:p w14:paraId="50549820" w14:textId="3A60B61B" w:rsidR="005906C3" w:rsidRPr="00294D07" w:rsidRDefault="005906C3" w:rsidP="00294D07">
      <w:pPr>
        <w:rPr>
          <w:rFonts w:asciiTheme="minorHAnsi" w:hAnsiTheme="minorHAnsi"/>
          <w:b/>
          <w:i/>
          <w:sz w:val="22"/>
          <w:szCs w:val="22"/>
        </w:rPr>
      </w:pPr>
      <w:r w:rsidRPr="00294D07">
        <w:rPr>
          <w:rFonts w:asciiTheme="minorHAnsi" w:hAnsiTheme="minorHAnsi"/>
          <w:b/>
          <w:sz w:val="22"/>
          <w:szCs w:val="22"/>
        </w:rPr>
        <w:t>7-13.</w:t>
      </w:r>
      <w:r w:rsidRPr="00294D07">
        <w:rPr>
          <w:rFonts w:asciiTheme="minorHAnsi" w:hAnsiTheme="minorHAnsi"/>
          <w:sz w:val="22"/>
          <w:szCs w:val="22"/>
        </w:rPr>
        <w:t xml:space="preserve">  </w:t>
      </w:r>
      <w:r w:rsidR="001A6454">
        <w:rPr>
          <w:rFonts w:asciiTheme="minorHAnsi" w:hAnsiTheme="minorHAnsi"/>
          <w:b/>
          <w:sz w:val="22"/>
          <w:szCs w:val="22"/>
          <w:highlight w:val="yellow"/>
        </w:rPr>
        <w:t>[10 points total</w:t>
      </w:r>
      <w:r w:rsidR="001A6454" w:rsidRPr="00B84BBB">
        <w:rPr>
          <w:rFonts w:asciiTheme="minorHAnsi" w:hAnsiTheme="minorHAnsi"/>
          <w:b/>
          <w:sz w:val="22"/>
          <w:szCs w:val="22"/>
          <w:highlight w:val="yellow"/>
        </w:rPr>
        <w:t>]</w:t>
      </w:r>
      <w:r w:rsidR="001A6454">
        <w:rPr>
          <w:rFonts w:asciiTheme="minorHAnsi" w:hAnsiTheme="minorHAnsi"/>
          <w:b/>
          <w:sz w:val="22"/>
          <w:szCs w:val="22"/>
        </w:rPr>
        <w:t xml:space="preserve"> </w:t>
      </w:r>
      <w:proofErr w:type="spellStart"/>
      <w:r w:rsidRPr="00294D07">
        <w:rPr>
          <w:rFonts w:asciiTheme="minorHAnsi" w:hAnsiTheme="minorHAnsi"/>
          <w:sz w:val="22"/>
          <w:szCs w:val="22"/>
        </w:rPr>
        <w:t>Schuetz</w:t>
      </w:r>
      <w:proofErr w:type="spellEnd"/>
      <w:r w:rsidRPr="00294D07">
        <w:rPr>
          <w:rFonts w:asciiTheme="minorHAnsi" w:hAnsiTheme="minorHAnsi"/>
          <w:sz w:val="22"/>
          <w:szCs w:val="22"/>
        </w:rPr>
        <w:t xml:space="preserve"> et al (</w:t>
      </w:r>
      <w:proofErr w:type="spellStart"/>
      <w:r w:rsidRPr="00294D07">
        <w:rPr>
          <w:rFonts w:asciiTheme="minorHAnsi" w:hAnsiTheme="minorHAnsi"/>
          <w:sz w:val="22"/>
          <w:szCs w:val="22"/>
        </w:rPr>
        <w:t>Epidemiol</w:t>
      </w:r>
      <w:proofErr w:type="spellEnd"/>
      <w:r w:rsidRPr="00294D07">
        <w:rPr>
          <w:rFonts w:asciiTheme="minorHAnsi" w:hAnsiTheme="minorHAnsi"/>
          <w:sz w:val="22"/>
          <w:szCs w:val="22"/>
        </w:rPr>
        <w:t xml:space="preserve">. Infect. (2008), 136, 1628–1637) compared 3 rules for predicting mortality in patients with community acquired pneumonia.  The 3 rules were the Pneumonia Severity Index (PSI), the CURB65, and the CRB65 (which is CURB65 without the “U”).  They used each of these 3 rules to predict risk of death </w:t>
      </w:r>
      <w:proofErr w:type="gramStart"/>
      <w:r w:rsidRPr="00294D07">
        <w:rPr>
          <w:rFonts w:asciiTheme="minorHAnsi" w:hAnsiTheme="minorHAnsi"/>
          <w:sz w:val="22"/>
          <w:szCs w:val="22"/>
        </w:rPr>
        <w:t>in  371</w:t>
      </w:r>
      <w:proofErr w:type="gramEnd"/>
      <w:r w:rsidRPr="00294D07">
        <w:rPr>
          <w:rFonts w:asciiTheme="minorHAnsi" w:hAnsiTheme="minorHAnsi"/>
          <w:sz w:val="22"/>
          <w:szCs w:val="22"/>
        </w:rPr>
        <w:t xml:space="preserve"> patients with community–acquired pneumonia who were seen in the emergency department of a Swiss university hospital.  </w:t>
      </w:r>
      <w:r w:rsidRPr="00294D07">
        <w:rPr>
          <w:rFonts w:asciiTheme="minorHAnsi" w:hAnsiTheme="minorHAnsi"/>
          <w:b/>
          <w:i/>
          <w:sz w:val="22"/>
          <w:szCs w:val="22"/>
        </w:rPr>
        <w:t>Their calibration plots are shown on the next page.</w:t>
      </w:r>
      <w:r w:rsidRPr="00294D07">
        <w:rPr>
          <w:rFonts w:asciiTheme="minorHAnsi" w:hAnsiTheme="minorHAnsi"/>
          <w:sz w:val="22"/>
          <w:szCs w:val="22"/>
        </w:rPr>
        <w:t xml:space="preserve">  </w:t>
      </w:r>
    </w:p>
    <w:p w14:paraId="585CE721" w14:textId="77777777" w:rsidR="005906C3" w:rsidRPr="00B84BBB" w:rsidRDefault="005906C3" w:rsidP="005906C3">
      <w:pPr>
        <w:pStyle w:val="FootnoteText"/>
        <w:rPr>
          <w:rFonts w:asciiTheme="minorHAnsi" w:hAnsiTheme="minorHAnsi"/>
          <w:sz w:val="22"/>
          <w:szCs w:val="22"/>
        </w:rPr>
      </w:pPr>
    </w:p>
    <w:p w14:paraId="7F1BBF37" w14:textId="77777777" w:rsidR="005906C3" w:rsidRPr="00B84BBB" w:rsidRDefault="005906C3" w:rsidP="005906C3">
      <w:pPr>
        <w:pStyle w:val="FootnoteText"/>
        <w:rPr>
          <w:rFonts w:asciiTheme="minorHAnsi" w:hAnsiTheme="minorHAnsi"/>
          <w:sz w:val="22"/>
          <w:szCs w:val="22"/>
        </w:rPr>
      </w:pPr>
      <w:r w:rsidRPr="00B84BBB">
        <w:rPr>
          <w:rFonts w:asciiTheme="minorHAnsi" w:hAnsiTheme="minorHAnsi"/>
          <w:sz w:val="22"/>
          <w:szCs w:val="22"/>
        </w:rPr>
        <w:t xml:space="preserve">All 3 rules divided the patients into 5 risk groups and, for all 3 rules, the predicted risks differed substantially from the actual mortality rate, so the authors re-calibrated the risk models.   </w:t>
      </w:r>
    </w:p>
    <w:p w14:paraId="6683A633" w14:textId="77777777" w:rsidR="005906C3" w:rsidRPr="00B84BBB" w:rsidRDefault="005906C3" w:rsidP="005906C3">
      <w:pPr>
        <w:pStyle w:val="FootnoteText"/>
        <w:rPr>
          <w:rFonts w:asciiTheme="minorHAnsi" w:hAnsiTheme="minorHAnsi"/>
          <w:sz w:val="22"/>
          <w:szCs w:val="22"/>
        </w:rPr>
      </w:pPr>
    </w:p>
    <w:p w14:paraId="0AB24432" w14:textId="6C3F9983" w:rsidR="005906C3" w:rsidRPr="00B84BBB" w:rsidRDefault="005906C3" w:rsidP="005906C3">
      <w:pPr>
        <w:pStyle w:val="FootnoteText"/>
        <w:rPr>
          <w:rFonts w:asciiTheme="minorHAnsi" w:hAnsiTheme="minorHAnsi"/>
          <w:sz w:val="22"/>
          <w:szCs w:val="22"/>
        </w:rPr>
      </w:pPr>
      <w:r w:rsidRPr="00B84BBB">
        <w:rPr>
          <w:rFonts w:asciiTheme="minorHAnsi" w:hAnsiTheme="minorHAnsi"/>
          <w:sz w:val="22"/>
          <w:szCs w:val="22"/>
        </w:rPr>
        <w:t xml:space="preserve">a) Figure (c) is the calibration plot for the CRB65 rule.  The open diamonds </w:t>
      </w:r>
      <w:r w:rsidRPr="00B84BBB">
        <w:rPr>
          <w:rFonts w:asciiTheme="minorHAnsi" w:hAnsiTheme="minorHAnsi"/>
          <w:color w:val="000000"/>
          <w:sz w:val="22"/>
          <w:szCs w:val="22"/>
          <w:shd w:val="clear" w:color="auto" w:fill="FFFFFF"/>
        </w:rPr>
        <w:t xml:space="preserve">(◊) </w:t>
      </w:r>
      <w:r w:rsidRPr="00B84BBB">
        <w:rPr>
          <w:rFonts w:asciiTheme="minorHAnsi" w:hAnsiTheme="minorHAnsi"/>
          <w:sz w:val="22"/>
          <w:szCs w:val="22"/>
        </w:rPr>
        <w:t>represent the original risk predictions prior to recalibration.  Prior to recalibration, did the CRB65 rule overestimate or underestimate mortality risk? Explain briefly.</w:t>
      </w:r>
      <w:r w:rsidR="004361D7">
        <w:rPr>
          <w:rFonts w:asciiTheme="minorHAnsi" w:hAnsiTheme="minorHAnsi"/>
          <w:sz w:val="22"/>
          <w:szCs w:val="22"/>
        </w:rPr>
        <w:t xml:space="preserve"> </w:t>
      </w:r>
      <w:r w:rsidR="004361D7" w:rsidRPr="00B84BBB">
        <w:rPr>
          <w:rFonts w:asciiTheme="minorHAnsi" w:hAnsiTheme="minorHAnsi"/>
          <w:b/>
          <w:sz w:val="22"/>
          <w:szCs w:val="22"/>
          <w:highlight w:val="yellow"/>
        </w:rPr>
        <w:t>[2]</w:t>
      </w:r>
    </w:p>
    <w:p w14:paraId="6C8DE2FC" w14:textId="268A02DE" w:rsidR="005906C3" w:rsidRPr="00B84BBB" w:rsidRDefault="004170B9" w:rsidP="005906C3">
      <w:pPr>
        <w:pStyle w:val="FootnoteText"/>
        <w:rPr>
          <w:rFonts w:asciiTheme="minorHAnsi" w:hAnsiTheme="minorHAnsi"/>
          <w:sz w:val="22"/>
          <w:szCs w:val="22"/>
        </w:rPr>
      </w:pPr>
      <w:r>
        <w:rPr>
          <w:rFonts w:asciiTheme="minorHAnsi" w:hAnsiTheme="minorHAnsi"/>
          <w:b/>
          <w:color w:val="0000FF"/>
          <w:sz w:val="22"/>
          <w:szCs w:val="22"/>
        </w:rPr>
        <w:br/>
      </w:r>
    </w:p>
    <w:p w14:paraId="1B3DA992" w14:textId="2DBB2794" w:rsidR="005906C3" w:rsidRPr="00B84BBB" w:rsidRDefault="005906C3" w:rsidP="005906C3">
      <w:pPr>
        <w:pStyle w:val="FootnoteText"/>
        <w:rPr>
          <w:rFonts w:asciiTheme="minorHAnsi" w:hAnsiTheme="minorHAnsi"/>
          <w:sz w:val="22"/>
          <w:szCs w:val="22"/>
        </w:rPr>
      </w:pPr>
      <w:r w:rsidRPr="00B84BBB">
        <w:rPr>
          <w:rFonts w:asciiTheme="minorHAnsi" w:hAnsiTheme="minorHAnsi"/>
          <w:sz w:val="22"/>
          <w:szCs w:val="22"/>
        </w:rPr>
        <w:t>b) Figure (b) is the calibration plot for C</w:t>
      </w:r>
      <w:r w:rsidRPr="00B84BBB">
        <w:rPr>
          <w:rFonts w:asciiTheme="minorHAnsi" w:hAnsiTheme="minorHAnsi"/>
          <w:sz w:val="22"/>
          <w:szCs w:val="22"/>
          <w:u w:val="single"/>
        </w:rPr>
        <w:t>U</w:t>
      </w:r>
      <w:r w:rsidRPr="00B84BBB">
        <w:rPr>
          <w:rFonts w:asciiTheme="minorHAnsi" w:hAnsiTheme="minorHAnsi"/>
          <w:sz w:val="22"/>
          <w:szCs w:val="22"/>
        </w:rPr>
        <w:t>RB65 (note the letter “U”).  CURB 65 assigned only 3 patients to its highest risk group.  How many of them died?</w:t>
      </w:r>
      <w:r w:rsidR="00BB08C3">
        <w:rPr>
          <w:rFonts w:asciiTheme="minorHAnsi" w:hAnsiTheme="minorHAnsi"/>
          <w:sz w:val="22"/>
          <w:szCs w:val="22"/>
        </w:rPr>
        <w:t xml:space="preserve"> </w:t>
      </w:r>
      <w:r w:rsidR="00BB08C3">
        <w:rPr>
          <w:rFonts w:asciiTheme="minorHAnsi" w:hAnsiTheme="minorHAnsi"/>
          <w:b/>
          <w:sz w:val="22"/>
          <w:szCs w:val="22"/>
          <w:highlight w:val="yellow"/>
        </w:rPr>
        <w:t>[1</w:t>
      </w:r>
      <w:r w:rsidR="00BB08C3" w:rsidRPr="00B84BBB">
        <w:rPr>
          <w:rFonts w:asciiTheme="minorHAnsi" w:hAnsiTheme="minorHAnsi"/>
          <w:b/>
          <w:sz w:val="22"/>
          <w:szCs w:val="22"/>
          <w:highlight w:val="yellow"/>
        </w:rPr>
        <w:t>]</w:t>
      </w:r>
    </w:p>
    <w:p w14:paraId="1B2A13DB" w14:textId="2A0F42D9" w:rsidR="005906C3" w:rsidRPr="00B84BBB" w:rsidRDefault="004170B9" w:rsidP="005906C3">
      <w:pPr>
        <w:pStyle w:val="FootnoteText"/>
        <w:rPr>
          <w:rFonts w:asciiTheme="minorHAnsi" w:hAnsiTheme="minorHAnsi"/>
          <w:sz w:val="22"/>
          <w:szCs w:val="22"/>
        </w:rPr>
      </w:pPr>
      <w:r>
        <w:rPr>
          <w:rFonts w:asciiTheme="minorHAnsi" w:hAnsiTheme="minorHAnsi"/>
          <w:b/>
          <w:color w:val="0000FF"/>
          <w:sz w:val="22"/>
          <w:szCs w:val="22"/>
        </w:rPr>
        <w:br/>
      </w:r>
    </w:p>
    <w:p w14:paraId="0C70061D" w14:textId="77777777" w:rsidR="005906C3" w:rsidRDefault="005906C3" w:rsidP="005906C3">
      <w:pPr>
        <w:pStyle w:val="FootnoteText"/>
        <w:rPr>
          <w:rFonts w:asciiTheme="minorHAnsi" w:hAnsiTheme="minorHAnsi"/>
          <w:sz w:val="22"/>
          <w:szCs w:val="22"/>
        </w:rPr>
      </w:pPr>
    </w:p>
    <w:p w14:paraId="158BC6F4" w14:textId="77777777" w:rsidR="00C4515A" w:rsidRPr="00B84BBB" w:rsidRDefault="00C4515A" w:rsidP="005906C3">
      <w:pPr>
        <w:pStyle w:val="FootnoteText"/>
        <w:rPr>
          <w:rFonts w:asciiTheme="minorHAnsi" w:hAnsiTheme="minorHAnsi"/>
          <w:sz w:val="22"/>
          <w:szCs w:val="22"/>
        </w:rPr>
      </w:pPr>
    </w:p>
    <w:p w14:paraId="40A73451" w14:textId="77777777" w:rsidR="005906C3" w:rsidRPr="00B84BBB" w:rsidRDefault="005906C3" w:rsidP="005906C3">
      <w:pPr>
        <w:pStyle w:val="FootnoteText"/>
        <w:rPr>
          <w:rFonts w:asciiTheme="minorHAnsi" w:hAnsiTheme="minorHAnsi"/>
          <w:sz w:val="22"/>
          <w:szCs w:val="22"/>
        </w:rPr>
      </w:pPr>
      <w:r w:rsidRPr="00B84BBB">
        <w:rPr>
          <w:rFonts w:asciiTheme="minorHAnsi" w:hAnsiTheme="minorHAnsi"/>
          <w:sz w:val="22"/>
          <w:szCs w:val="22"/>
        </w:rPr>
        <w:t>Note</w:t>
      </w:r>
      <w:r w:rsidR="00E243A5" w:rsidRPr="00B84BBB">
        <w:rPr>
          <w:rFonts w:asciiTheme="minorHAnsi" w:hAnsiTheme="minorHAnsi"/>
          <w:sz w:val="22"/>
          <w:szCs w:val="22"/>
        </w:rPr>
        <w:t xml:space="preserve"> 1</w:t>
      </w:r>
      <w:r w:rsidRPr="00B84BBB">
        <w:rPr>
          <w:rFonts w:asciiTheme="minorHAnsi" w:hAnsiTheme="minorHAnsi"/>
          <w:sz w:val="22"/>
          <w:szCs w:val="22"/>
        </w:rPr>
        <w:t>: The PSI is the same as the PORT Score described in Chapter 8 of Evidence-Based Diagnosis, Table 8.3, page 176.)</w:t>
      </w:r>
    </w:p>
    <w:p w14:paraId="698EE097" w14:textId="77777777" w:rsidR="005906C3" w:rsidRPr="00B84BBB" w:rsidRDefault="005906C3" w:rsidP="005906C3">
      <w:pPr>
        <w:pStyle w:val="FootnoteText"/>
        <w:rPr>
          <w:rFonts w:asciiTheme="minorHAnsi" w:hAnsiTheme="minorHAnsi"/>
          <w:sz w:val="22"/>
          <w:szCs w:val="22"/>
        </w:rPr>
      </w:pPr>
      <w:r w:rsidRPr="00B84BBB">
        <w:rPr>
          <w:rFonts w:asciiTheme="minorHAnsi" w:hAnsiTheme="minorHAnsi"/>
          <w:sz w:val="22"/>
          <w:szCs w:val="22"/>
        </w:rPr>
        <w:t>Note</w:t>
      </w:r>
      <w:r w:rsidR="00E243A5" w:rsidRPr="00B84BBB">
        <w:rPr>
          <w:rFonts w:asciiTheme="minorHAnsi" w:hAnsiTheme="minorHAnsi"/>
          <w:sz w:val="22"/>
          <w:szCs w:val="22"/>
        </w:rPr>
        <w:t xml:space="preserve"> 2</w:t>
      </w:r>
      <w:r w:rsidRPr="00B84BBB">
        <w:rPr>
          <w:rFonts w:asciiTheme="minorHAnsi" w:hAnsiTheme="minorHAnsi"/>
          <w:sz w:val="22"/>
          <w:szCs w:val="22"/>
        </w:rPr>
        <w:t>: the CRB65 is just the CURB65 without a lab test called the BUN.</w:t>
      </w:r>
    </w:p>
    <w:p w14:paraId="294AE08A" w14:textId="77777777" w:rsidR="005906C3" w:rsidRPr="00B84BBB" w:rsidRDefault="005906C3" w:rsidP="005906C3">
      <w:pPr>
        <w:rPr>
          <w:rFonts w:asciiTheme="minorHAnsi" w:hAnsiTheme="minorHAnsi"/>
          <w:sz w:val="22"/>
          <w:szCs w:val="22"/>
        </w:rPr>
      </w:pPr>
    </w:p>
    <w:p w14:paraId="419DD47F" w14:textId="5D47036A" w:rsidR="005906C3" w:rsidRPr="00B84BBB" w:rsidRDefault="005906C3" w:rsidP="005906C3">
      <w:pPr>
        <w:rPr>
          <w:rFonts w:asciiTheme="minorHAnsi" w:hAnsiTheme="minorHAnsi"/>
          <w:color w:val="000000"/>
          <w:sz w:val="22"/>
          <w:szCs w:val="22"/>
          <w:shd w:val="clear" w:color="auto" w:fill="FFFFFF"/>
        </w:rPr>
      </w:pPr>
    </w:p>
    <w:p w14:paraId="5EEDDA96" w14:textId="627C9AE1" w:rsidR="005906C3" w:rsidRPr="00B84BBB" w:rsidRDefault="00C4515A" w:rsidP="005906C3">
      <w:pPr>
        <w:ind w:left="2160"/>
        <w:rPr>
          <w:rFonts w:asciiTheme="minorHAnsi" w:hAnsiTheme="minorHAnsi"/>
          <w:sz w:val="22"/>
          <w:szCs w:val="22"/>
        </w:rPr>
      </w:pPr>
      <w:r w:rsidRPr="00B84BBB">
        <w:rPr>
          <w:rFonts w:asciiTheme="minorHAnsi" w:hAnsiTheme="minorHAnsi"/>
          <w:noProof/>
          <w:sz w:val="22"/>
          <w:szCs w:val="22"/>
        </w:rPr>
        <w:drawing>
          <wp:anchor distT="0" distB="0" distL="114300" distR="114300" simplePos="0" relativeHeight="251662336" behindDoc="0" locked="0" layoutInCell="1" allowOverlap="1" wp14:anchorId="31338813" wp14:editId="03FCB139">
            <wp:simplePos x="0" y="0"/>
            <wp:positionH relativeFrom="column">
              <wp:posOffset>-291465</wp:posOffset>
            </wp:positionH>
            <wp:positionV relativeFrom="paragraph">
              <wp:posOffset>-340360</wp:posOffset>
            </wp:positionV>
            <wp:extent cx="2956560" cy="82296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6560" cy="8229600"/>
                    </a:xfrm>
                    <a:prstGeom prst="rect">
                      <a:avLst/>
                    </a:prstGeom>
                    <a:noFill/>
                  </pic:spPr>
                </pic:pic>
              </a:graphicData>
            </a:graphic>
            <wp14:sizeRelH relativeFrom="page">
              <wp14:pctWidth>0</wp14:pctWidth>
            </wp14:sizeRelH>
            <wp14:sizeRelV relativeFrom="page">
              <wp14:pctHeight>0</wp14:pctHeight>
            </wp14:sizeRelV>
          </wp:anchor>
        </w:drawing>
      </w:r>
      <w:r w:rsidR="005906C3" w:rsidRPr="00B84BBB">
        <w:rPr>
          <w:rFonts w:asciiTheme="minorHAnsi" w:hAnsiTheme="minorHAnsi"/>
          <w:color w:val="000000"/>
          <w:sz w:val="22"/>
          <w:szCs w:val="22"/>
          <w:shd w:val="clear" w:color="auto" w:fill="FFFFFF"/>
        </w:rPr>
        <w:t>Agreement between predicted and observed 30-day mortality (calibration) for three pneumonia severity prediction rules (</w:t>
      </w:r>
      <w:r w:rsidR="005906C3" w:rsidRPr="00B84BBB">
        <w:rPr>
          <w:rFonts w:asciiTheme="minorHAnsi" w:hAnsiTheme="minorHAnsi"/>
          <w:i/>
          <w:iCs/>
          <w:color w:val="000000"/>
          <w:sz w:val="22"/>
          <w:szCs w:val="22"/>
          <w:shd w:val="clear" w:color="auto" w:fill="FFFFFF"/>
        </w:rPr>
        <w:t>a</w:t>
      </w:r>
      <w:r w:rsidR="005906C3" w:rsidRPr="00B84BBB">
        <w:rPr>
          <w:rFonts w:asciiTheme="minorHAnsi" w:hAnsiTheme="minorHAnsi"/>
          <w:color w:val="000000"/>
          <w:sz w:val="22"/>
          <w:szCs w:val="22"/>
          <w:shd w:val="clear" w:color="auto" w:fill="FFFFFF"/>
        </w:rPr>
        <w:t>) PSI, (</w:t>
      </w:r>
      <w:r w:rsidR="005906C3" w:rsidRPr="00B84BBB">
        <w:rPr>
          <w:rFonts w:asciiTheme="minorHAnsi" w:hAnsiTheme="minorHAnsi"/>
          <w:i/>
          <w:iCs/>
          <w:color w:val="000000"/>
          <w:sz w:val="22"/>
          <w:szCs w:val="22"/>
          <w:shd w:val="clear" w:color="auto" w:fill="FFFFFF"/>
        </w:rPr>
        <w:t>b</w:t>
      </w:r>
      <w:r w:rsidR="005906C3" w:rsidRPr="00B84BBB">
        <w:rPr>
          <w:rFonts w:asciiTheme="minorHAnsi" w:hAnsiTheme="minorHAnsi"/>
          <w:color w:val="000000"/>
          <w:sz w:val="22"/>
          <w:szCs w:val="22"/>
          <w:shd w:val="clear" w:color="auto" w:fill="FFFFFF"/>
        </w:rPr>
        <w:t>) CURB65 and (</w:t>
      </w:r>
      <w:r w:rsidR="005906C3" w:rsidRPr="00B84BBB">
        <w:rPr>
          <w:rFonts w:asciiTheme="minorHAnsi" w:hAnsiTheme="minorHAnsi"/>
          <w:i/>
          <w:iCs/>
          <w:color w:val="000000"/>
          <w:sz w:val="22"/>
          <w:szCs w:val="22"/>
          <w:shd w:val="clear" w:color="auto" w:fill="FFFFFF"/>
        </w:rPr>
        <w:t>c</w:t>
      </w:r>
      <w:r w:rsidR="005906C3" w:rsidRPr="00B84BBB">
        <w:rPr>
          <w:rFonts w:asciiTheme="minorHAnsi" w:hAnsiTheme="minorHAnsi"/>
          <w:color w:val="000000"/>
          <w:sz w:val="22"/>
          <w:szCs w:val="22"/>
          <w:shd w:val="clear" w:color="auto" w:fill="FFFFFF"/>
        </w:rPr>
        <w:t xml:space="preserve">) CRB65. Observed mortality is plotted according to classes of predicted risk for each prediction rule separately. The solid line of identity represents perfect calibration of predicted risk within new patients. </w:t>
      </w:r>
      <w:proofErr w:type="gramStart"/>
      <w:r w:rsidR="005906C3" w:rsidRPr="00B84BBB">
        <w:rPr>
          <w:rFonts w:asciiTheme="minorHAnsi" w:hAnsiTheme="minorHAnsi"/>
          <w:color w:val="000000"/>
          <w:sz w:val="22"/>
          <w:szCs w:val="22"/>
          <w:shd w:val="clear" w:color="auto" w:fill="FFFFFF"/>
        </w:rPr>
        <w:t xml:space="preserve">Correction of </w:t>
      </w:r>
      <w:proofErr w:type="spellStart"/>
      <w:r w:rsidR="005906C3" w:rsidRPr="00B84BBB">
        <w:rPr>
          <w:rFonts w:asciiTheme="minorHAnsi" w:hAnsiTheme="minorHAnsi"/>
          <w:color w:val="000000"/>
          <w:sz w:val="22"/>
          <w:szCs w:val="22"/>
          <w:shd w:val="clear" w:color="auto" w:fill="FFFFFF"/>
        </w:rPr>
        <w:t>miscalibration</w:t>
      </w:r>
      <w:proofErr w:type="spellEnd"/>
      <w:r w:rsidR="005906C3" w:rsidRPr="00B84BBB">
        <w:rPr>
          <w:rFonts w:asciiTheme="minorHAnsi" w:hAnsiTheme="minorHAnsi"/>
          <w:color w:val="000000"/>
          <w:sz w:val="22"/>
          <w:szCs w:val="22"/>
          <w:shd w:val="clear" w:color="auto" w:fill="FFFFFF"/>
        </w:rPr>
        <w:t xml:space="preserve"> (</w:t>
      </w:r>
      <w:r>
        <w:rPr>
          <w:rFonts w:ascii="Wingdings" w:hAnsi="Wingdings"/>
          <w:color w:val="000000"/>
          <w:shd w:val="clear" w:color="auto" w:fill="FFFFFF"/>
        </w:rPr>
        <w:t></w:t>
      </w:r>
      <w:r w:rsidR="005906C3" w:rsidRPr="00B84BBB">
        <w:rPr>
          <w:rFonts w:asciiTheme="minorHAnsi" w:hAnsiTheme="minorHAnsi"/>
          <w:color w:val="000000"/>
          <w:sz w:val="22"/>
          <w:szCs w:val="22"/>
          <w:shd w:val="clear" w:color="auto" w:fill="FFFFFF"/>
        </w:rPr>
        <w:t>) after recalibration (◊).</w:t>
      </w:r>
      <w:proofErr w:type="gramEnd"/>
    </w:p>
    <w:p w14:paraId="65E78D26" w14:textId="77777777" w:rsidR="005906C3" w:rsidRPr="00B84BBB" w:rsidRDefault="005906C3" w:rsidP="005906C3">
      <w:pPr>
        <w:rPr>
          <w:rFonts w:asciiTheme="minorHAnsi" w:hAnsiTheme="minorHAnsi"/>
          <w:sz w:val="22"/>
          <w:szCs w:val="22"/>
        </w:rPr>
      </w:pPr>
      <w:r w:rsidRPr="00B84BBB">
        <w:rPr>
          <w:rFonts w:asciiTheme="minorHAnsi" w:hAnsiTheme="minorHAnsi"/>
          <w:sz w:val="22"/>
          <w:szCs w:val="22"/>
        </w:rPr>
        <w:br w:type="page"/>
      </w:r>
    </w:p>
    <w:p w14:paraId="7F1ED0C7" w14:textId="77777777" w:rsidR="005906C3" w:rsidRPr="00B84BBB" w:rsidRDefault="005906C3" w:rsidP="005906C3">
      <w:pPr>
        <w:pStyle w:val="FootnoteText"/>
        <w:rPr>
          <w:rFonts w:asciiTheme="minorHAnsi" w:hAnsiTheme="minorHAnsi"/>
          <w:sz w:val="22"/>
          <w:szCs w:val="22"/>
        </w:rPr>
      </w:pPr>
      <w:r w:rsidRPr="00B84BBB">
        <w:rPr>
          <w:rFonts w:asciiTheme="minorHAnsi" w:hAnsiTheme="minorHAnsi"/>
          <w:sz w:val="22"/>
          <w:szCs w:val="22"/>
        </w:rPr>
        <w:lastRenderedPageBreak/>
        <w:t>The ROC curves are shown below:</w:t>
      </w:r>
    </w:p>
    <w:p w14:paraId="5C3C6AA9" w14:textId="77777777" w:rsidR="005906C3" w:rsidRPr="00B84BBB" w:rsidRDefault="005906C3" w:rsidP="005906C3">
      <w:pPr>
        <w:pStyle w:val="FootnoteText"/>
        <w:rPr>
          <w:rFonts w:asciiTheme="minorHAnsi" w:hAnsiTheme="minorHAnsi"/>
          <w:sz w:val="22"/>
          <w:szCs w:val="22"/>
        </w:rPr>
      </w:pPr>
    </w:p>
    <w:p w14:paraId="14D4C5B7" w14:textId="77777777" w:rsidR="005906C3" w:rsidRPr="00B84BBB" w:rsidRDefault="00E243A5" w:rsidP="005906C3">
      <w:pPr>
        <w:pStyle w:val="FootnoteText"/>
        <w:rPr>
          <w:rFonts w:asciiTheme="minorHAnsi" w:hAnsiTheme="minorHAnsi"/>
          <w:sz w:val="22"/>
          <w:szCs w:val="22"/>
        </w:rPr>
      </w:pPr>
      <w:r w:rsidRPr="00B84BBB">
        <w:rPr>
          <w:rFonts w:asciiTheme="minorHAnsi" w:hAnsiTheme="minorHAnsi"/>
          <w:noProof/>
          <w:sz w:val="22"/>
          <w:szCs w:val="22"/>
        </w:rPr>
        <w:drawing>
          <wp:inline distT="0" distB="0" distL="0" distR="0" wp14:anchorId="5D0AEA00" wp14:editId="06BFFBB0">
            <wp:extent cx="4800600" cy="3268345"/>
            <wp:effectExtent l="0" t="0" r="0" b="825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3268345"/>
                    </a:xfrm>
                    <a:prstGeom prst="rect">
                      <a:avLst/>
                    </a:prstGeom>
                    <a:noFill/>
                    <a:ln>
                      <a:noFill/>
                    </a:ln>
                  </pic:spPr>
                </pic:pic>
              </a:graphicData>
            </a:graphic>
          </wp:inline>
        </w:drawing>
      </w:r>
    </w:p>
    <w:p w14:paraId="41B1BBAC" w14:textId="77777777" w:rsidR="005906C3" w:rsidRPr="00B84BBB" w:rsidRDefault="005906C3" w:rsidP="005906C3">
      <w:pPr>
        <w:pStyle w:val="FootnoteText"/>
        <w:rPr>
          <w:rFonts w:asciiTheme="minorHAnsi" w:hAnsiTheme="minorHAnsi"/>
          <w:sz w:val="22"/>
          <w:szCs w:val="22"/>
        </w:rPr>
      </w:pPr>
    </w:p>
    <w:p w14:paraId="5A79862E" w14:textId="77777777" w:rsidR="005906C3" w:rsidRPr="00B84BBB" w:rsidRDefault="005906C3" w:rsidP="005906C3">
      <w:pPr>
        <w:rPr>
          <w:rFonts w:asciiTheme="minorHAnsi" w:hAnsiTheme="minorHAnsi"/>
          <w:sz w:val="22"/>
          <w:szCs w:val="22"/>
        </w:rPr>
      </w:pPr>
      <w:r w:rsidRPr="00B84BBB">
        <w:rPr>
          <w:rFonts w:asciiTheme="minorHAnsi" w:hAnsiTheme="minorHAnsi"/>
          <w:color w:val="000000"/>
          <w:sz w:val="22"/>
          <w:szCs w:val="22"/>
          <w:shd w:val="clear" w:color="auto" w:fill="FFFFFF"/>
        </w:rPr>
        <w:t xml:space="preserve">Receiver-operating characteristics analysis for 30-day mortality prediction with </w:t>
      </w:r>
      <w:proofErr w:type="gramStart"/>
      <w:r w:rsidRPr="00B84BBB">
        <w:rPr>
          <w:rFonts w:asciiTheme="minorHAnsi" w:hAnsiTheme="minorHAnsi"/>
          <w:color w:val="000000"/>
          <w:sz w:val="22"/>
          <w:szCs w:val="22"/>
          <w:shd w:val="clear" w:color="auto" w:fill="FFFFFF"/>
        </w:rPr>
        <w:t>three pneumonia</w:t>
      </w:r>
      <w:proofErr w:type="gramEnd"/>
      <w:r w:rsidRPr="00B84BBB">
        <w:rPr>
          <w:rFonts w:asciiTheme="minorHAnsi" w:hAnsiTheme="minorHAnsi"/>
          <w:color w:val="000000"/>
          <w:sz w:val="22"/>
          <w:szCs w:val="22"/>
          <w:shd w:val="clear" w:color="auto" w:fill="FFFFFF"/>
        </w:rPr>
        <w:t xml:space="preserve"> severity prediction rules (PSI, CURB65 and CRB65) in 373 patients with CAP.</w:t>
      </w:r>
    </w:p>
    <w:p w14:paraId="031D849B" w14:textId="77777777" w:rsidR="005906C3" w:rsidRPr="00B84BBB" w:rsidRDefault="005906C3" w:rsidP="005906C3">
      <w:pPr>
        <w:pStyle w:val="FootnoteText"/>
        <w:rPr>
          <w:rFonts w:asciiTheme="minorHAnsi" w:hAnsiTheme="minorHAnsi"/>
          <w:sz w:val="22"/>
          <w:szCs w:val="22"/>
        </w:rPr>
      </w:pPr>
    </w:p>
    <w:p w14:paraId="1E74E562" w14:textId="77777777" w:rsidR="005906C3" w:rsidRPr="00B84BBB" w:rsidRDefault="005906C3" w:rsidP="005906C3">
      <w:pPr>
        <w:pStyle w:val="FootnoteText"/>
        <w:rPr>
          <w:rFonts w:asciiTheme="minorHAnsi" w:hAnsiTheme="minorHAnsi"/>
          <w:sz w:val="22"/>
          <w:szCs w:val="22"/>
        </w:rPr>
      </w:pPr>
    </w:p>
    <w:p w14:paraId="19762A73" w14:textId="794056B4" w:rsidR="005906C3" w:rsidRPr="00B84BBB" w:rsidRDefault="005906C3" w:rsidP="005906C3">
      <w:pPr>
        <w:pStyle w:val="FootnoteText"/>
        <w:rPr>
          <w:rFonts w:asciiTheme="minorHAnsi" w:hAnsiTheme="minorHAnsi"/>
          <w:sz w:val="22"/>
          <w:szCs w:val="22"/>
        </w:rPr>
      </w:pPr>
      <w:r w:rsidRPr="00B84BBB">
        <w:rPr>
          <w:rFonts w:asciiTheme="minorHAnsi" w:hAnsiTheme="minorHAnsi"/>
          <w:sz w:val="22"/>
          <w:szCs w:val="22"/>
        </w:rPr>
        <w:t xml:space="preserve">c) Can you tell </w:t>
      </w:r>
      <w:r w:rsidR="00BE19D9">
        <w:rPr>
          <w:rFonts w:asciiTheme="minorHAnsi" w:hAnsiTheme="minorHAnsi"/>
          <w:sz w:val="22"/>
          <w:szCs w:val="22"/>
        </w:rPr>
        <w:t xml:space="preserve">by looking at the ROC curves </w:t>
      </w:r>
      <w:r w:rsidRPr="00B84BBB">
        <w:rPr>
          <w:rFonts w:asciiTheme="minorHAnsi" w:hAnsiTheme="minorHAnsi"/>
          <w:sz w:val="22"/>
          <w:szCs w:val="22"/>
        </w:rPr>
        <w:t>whether the</w:t>
      </w:r>
      <w:r w:rsidR="00BE19D9">
        <w:rPr>
          <w:rFonts w:asciiTheme="minorHAnsi" w:hAnsiTheme="minorHAnsi"/>
          <w:sz w:val="22"/>
          <w:szCs w:val="22"/>
        </w:rPr>
        <w:t>y</w:t>
      </w:r>
      <w:r w:rsidRPr="00B84BBB">
        <w:rPr>
          <w:rFonts w:asciiTheme="minorHAnsi" w:hAnsiTheme="minorHAnsi"/>
          <w:sz w:val="22"/>
          <w:szCs w:val="22"/>
        </w:rPr>
        <w:t xml:space="preserve"> were based on the pre-recalibration or post-recalibration risk predictions? Explain your answer.</w:t>
      </w:r>
      <w:r w:rsidR="00BB08C3">
        <w:rPr>
          <w:rFonts w:asciiTheme="minorHAnsi" w:hAnsiTheme="minorHAnsi"/>
          <w:sz w:val="22"/>
          <w:szCs w:val="22"/>
        </w:rPr>
        <w:t xml:space="preserve"> </w:t>
      </w:r>
      <w:r w:rsidR="00BB08C3" w:rsidRPr="00B84BBB">
        <w:rPr>
          <w:rFonts w:asciiTheme="minorHAnsi" w:hAnsiTheme="minorHAnsi"/>
          <w:b/>
          <w:sz w:val="22"/>
          <w:szCs w:val="22"/>
          <w:highlight w:val="yellow"/>
        </w:rPr>
        <w:t>[2]</w:t>
      </w:r>
    </w:p>
    <w:p w14:paraId="1F9A4EB2" w14:textId="6276681C" w:rsidR="00A469F1" w:rsidRDefault="004170B9" w:rsidP="005906C3">
      <w:pPr>
        <w:pStyle w:val="FootnoteText"/>
        <w:rPr>
          <w:rFonts w:asciiTheme="minorHAnsi" w:hAnsiTheme="minorHAnsi"/>
          <w:b/>
          <w:color w:val="0000FF"/>
          <w:sz w:val="22"/>
          <w:szCs w:val="22"/>
        </w:rPr>
      </w:pPr>
      <w:r>
        <w:rPr>
          <w:rFonts w:asciiTheme="minorHAnsi" w:hAnsiTheme="minorHAnsi"/>
          <w:b/>
          <w:color w:val="0000FF"/>
          <w:sz w:val="22"/>
          <w:szCs w:val="22"/>
        </w:rPr>
        <w:br/>
      </w:r>
      <w:r w:rsidR="005A23E5">
        <w:rPr>
          <w:rFonts w:asciiTheme="minorHAnsi" w:hAnsiTheme="minorHAnsi"/>
          <w:b/>
          <w:color w:val="0000FF"/>
          <w:sz w:val="22"/>
          <w:szCs w:val="22"/>
        </w:rPr>
        <w:br/>
      </w:r>
    </w:p>
    <w:p w14:paraId="76D1E0F0" w14:textId="77777777" w:rsidR="00E243A5" w:rsidRPr="00B84BBB" w:rsidRDefault="00E243A5" w:rsidP="005906C3">
      <w:pPr>
        <w:pStyle w:val="FootnoteText"/>
        <w:rPr>
          <w:rFonts w:asciiTheme="minorHAnsi" w:hAnsiTheme="minorHAnsi"/>
          <w:sz w:val="22"/>
          <w:szCs w:val="22"/>
        </w:rPr>
      </w:pPr>
    </w:p>
    <w:p w14:paraId="1CE3B2A6" w14:textId="0E98F568" w:rsidR="005906C3" w:rsidRPr="00B84BBB" w:rsidRDefault="005906C3" w:rsidP="00271E1A">
      <w:pPr>
        <w:pStyle w:val="FootnoteText"/>
        <w:rPr>
          <w:rFonts w:asciiTheme="minorHAnsi" w:hAnsiTheme="minorHAnsi"/>
          <w:sz w:val="22"/>
          <w:szCs w:val="22"/>
        </w:rPr>
      </w:pPr>
      <w:r w:rsidRPr="00B84BBB">
        <w:rPr>
          <w:rFonts w:asciiTheme="minorHAnsi" w:hAnsiTheme="minorHAnsi"/>
          <w:sz w:val="22"/>
          <w:szCs w:val="22"/>
        </w:rPr>
        <w:t xml:space="preserve">d) </w:t>
      </w:r>
      <w:r w:rsidR="008E2243">
        <w:rPr>
          <w:rFonts w:asciiTheme="minorHAnsi" w:hAnsiTheme="minorHAnsi"/>
          <w:sz w:val="22"/>
          <w:szCs w:val="22"/>
        </w:rPr>
        <w:t>Do</w:t>
      </w:r>
      <w:r w:rsidR="00271E1A" w:rsidRPr="00B84BBB">
        <w:rPr>
          <w:rFonts w:asciiTheme="minorHAnsi" w:hAnsiTheme="minorHAnsi"/>
          <w:sz w:val="22"/>
          <w:szCs w:val="22"/>
        </w:rPr>
        <w:t xml:space="preserve"> the points on the PSI calibration plot represent approximate quintiles of risk?  In other words, does each category of predicted risk contain roughly one-fifth of the population?  How can you tell?  (Hint: Looking at the ROC curve may help.)</w:t>
      </w:r>
      <w:r w:rsidR="00BB08C3">
        <w:rPr>
          <w:rFonts w:asciiTheme="minorHAnsi" w:hAnsiTheme="minorHAnsi"/>
          <w:sz w:val="22"/>
          <w:szCs w:val="22"/>
        </w:rPr>
        <w:t xml:space="preserve"> </w:t>
      </w:r>
      <w:r w:rsidR="00BB08C3" w:rsidRPr="00B84BBB">
        <w:rPr>
          <w:rFonts w:asciiTheme="minorHAnsi" w:hAnsiTheme="minorHAnsi"/>
          <w:b/>
          <w:sz w:val="22"/>
          <w:szCs w:val="22"/>
          <w:highlight w:val="yellow"/>
        </w:rPr>
        <w:t>[2]</w:t>
      </w:r>
    </w:p>
    <w:p w14:paraId="6D385C20" w14:textId="7775243F" w:rsidR="005906C3" w:rsidRPr="00B84BBB" w:rsidRDefault="005A23E5" w:rsidP="005906C3">
      <w:pPr>
        <w:pStyle w:val="FootnoteText"/>
        <w:rPr>
          <w:rFonts w:asciiTheme="minorHAnsi" w:hAnsiTheme="minorHAnsi"/>
          <w:sz w:val="22"/>
          <w:szCs w:val="22"/>
          <w:u w:val="single"/>
        </w:rPr>
      </w:pPr>
      <w:r>
        <w:rPr>
          <w:rFonts w:asciiTheme="minorHAnsi" w:hAnsiTheme="minorHAnsi"/>
          <w:b/>
          <w:color w:val="0000FF"/>
          <w:sz w:val="22"/>
          <w:szCs w:val="22"/>
        </w:rPr>
        <w:br/>
      </w:r>
      <w:r>
        <w:rPr>
          <w:rFonts w:asciiTheme="minorHAnsi" w:hAnsiTheme="minorHAnsi"/>
          <w:b/>
          <w:color w:val="0000FF"/>
          <w:sz w:val="22"/>
          <w:szCs w:val="22"/>
        </w:rPr>
        <w:br/>
      </w:r>
      <w:r w:rsidR="004170B9">
        <w:rPr>
          <w:rFonts w:asciiTheme="minorHAnsi" w:hAnsiTheme="minorHAnsi"/>
          <w:b/>
          <w:color w:val="0000FF"/>
          <w:sz w:val="22"/>
          <w:szCs w:val="22"/>
        </w:rPr>
        <w:br/>
      </w:r>
      <w:r w:rsidR="004170B9">
        <w:rPr>
          <w:rFonts w:asciiTheme="minorHAnsi" w:hAnsiTheme="minorHAnsi"/>
          <w:sz w:val="22"/>
          <w:szCs w:val="22"/>
        </w:rPr>
        <w:br/>
      </w:r>
      <w:proofErr w:type="gramStart"/>
      <w:r w:rsidR="005906C3" w:rsidRPr="00B84BBB">
        <w:rPr>
          <w:rFonts w:asciiTheme="minorHAnsi" w:hAnsiTheme="minorHAnsi"/>
          <w:sz w:val="22"/>
          <w:szCs w:val="22"/>
        </w:rPr>
        <w:t>e)   Below</w:t>
      </w:r>
      <w:proofErr w:type="gramEnd"/>
      <w:r w:rsidR="005906C3" w:rsidRPr="00B84BBB">
        <w:rPr>
          <w:rFonts w:asciiTheme="minorHAnsi" w:hAnsiTheme="minorHAnsi"/>
          <w:sz w:val="22"/>
          <w:szCs w:val="22"/>
        </w:rPr>
        <w:t xml:space="preserve"> is an enlarged version of the calibration plot for the PSI (the top figure from part b) with 3 original risk classes circled.  Where on the ROC curve would the data corresponding to these 3 points at the lower left of the calibration curve be plotted? </w:t>
      </w:r>
      <w:r w:rsidR="005906C3" w:rsidRPr="00B84BBB">
        <w:rPr>
          <w:rFonts w:asciiTheme="minorHAnsi" w:hAnsiTheme="minorHAnsi"/>
          <w:sz w:val="22"/>
          <w:szCs w:val="22"/>
          <w:u w:val="single"/>
        </w:rPr>
        <w:t xml:space="preserve">Draw a circle around the part of the ROC curve that corresponds to these 3 risk classes for the PSI.  </w:t>
      </w:r>
      <w:r w:rsidR="00BB08C3">
        <w:rPr>
          <w:rFonts w:asciiTheme="minorHAnsi" w:hAnsiTheme="minorHAnsi"/>
          <w:b/>
          <w:sz w:val="22"/>
          <w:szCs w:val="22"/>
          <w:highlight w:val="yellow"/>
        </w:rPr>
        <w:t>[1</w:t>
      </w:r>
      <w:r w:rsidR="00BB08C3" w:rsidRPr="00B84BBB">
        <w:rPr>
          <w:rFonts w:asciiTheme="minorHAnsi" w:hAnsiTheme="minorHAnsi"/>
          <w:b/>
          <w:sz w:val="22"/>
          <w:szCs w:val="22"/>
          <w:highlight w:val="yellow"/>
        </w:rPr>
        <w:t>]</w:t>
      </w:r>
    </w:p>
    <w:p w14:paraId="11EF6003" w14:textId="712B546D" w:rsidR="005906C3" w:rsidRPr="00B84BBB" w:rsidRDefault="004170B9" w:rsidP="005906C3">
      <w:pPr>
        <w:pStyle w:val="FootnoteText"/>
        <w:rPr>
          <w:rFonts w:asciiTheme="minorHAnsi" w:hAnsiTheme="minorHAnsi"/>
          <w:sz w:val="22"/>
          <w:szCs w:val="22"/>
        </w:rPr>
      </w:pPr>
      <w:r>
        <w:rPr>
          <w:rFonts w:asciiTheme="minorHAnsi" w:hAnsiTheme="minorHAnsi"/>
          <w:b/>
          <w:color w:val="0000FF"/>
          <w:sz w:val="22"/>
          <w:szCs w:val="22"/>
        </w:rPr>
        <w:br/>
      </w:r>
    </w:p>
    <w:p w14:paraId="2742FB1A" w14:textId="2652DBE6" w:rsidR="005906C3" w:rsidRPr="00B84BBB" w:rsidRDefault="00F74858" w:rsidP="005906C3">
      <w:pPr>
        <w:pStyle w:val="FootnoteText"/>
        <w:rPr>
          <w:rFonts w:asciiTheme="minorHAnsi" w:hAnsiTheme="minorHAnsi"/>
          <w:b/>
          <w:sz w:val="22"/>
          <w:szCs w:val="22"/>
        </w:rPr>
      </w:pPr>
      <w:r>
        <w:rPr>
          <w:rFonts w:asciiTheme="minorHAnsi" w:hAnsiTheme="minorHAnsi"/>
          <w:b/>
          <w:sz w:val="22"/>
          <w:szCs w:val="22"/>
        </w:rPr>
        <w:br w:type="textWrapping" w:clear="all"/>
      </w:r>
    </w:p>
    <w:p w14:paraId="4FA7EE22" w14:textId="77777777" w:rsidR="005906C3" w:rsidRPr="00B84BBB" w:rsidRDefault="005906C3" w:rsidP="005906C3">
      <w:pPr>
        <w:pStyle w:val="FootnoteText"/>
        <w:rPr>
          <w:rFonts w:asciiTheme="minorHAnsi" w:hAnsiTheme="minorHAnsi"/>
          <w:b/>
          <w:sz w:val="22"/>
          <w:szCs w:val="22"/>
        </w:rPr>
      </w:pPr>
    </w:p>
    <w:p w14:paraId="71AE686D" w14:textId="271FCEF9" w:rsidR="005906C3" w:rsidRPr="003679D4" w:rsidRDefault="003379D1" w:rsidP="005906C3">
      <w:pPr>
        <w:rPr>
          <w:rFonts w:asciiTheme="minorHAnsi" w:hAnsiTheme="minorHAnsi"/>
          <w:b/>
          <w:sz w:val="22"/>
          <w:szCs w:val="22"/>
        </w:rPr>
      </w:pPr>
      <w:r w:rsidRPr="00C91EC1">
        <w:rPr>
          <w:rFonts w:asciiTheme="minorHAnsi" w:hAnsiTheme="minorHAnsi"/>
          <w:noProof/>
          <w:sz w:val="22"/>
          <w:szCs w:val="22"/>
        </w:rPr>
        <w:lastRenderedPageBreak/>
        <mc:AlternateContent>
          <mc:Choice Requires="wps">
            <w:drawing>
              <wp:anchor distT="0" distB="0" distL="114300" distR="114300" simplePos="0" relativeHeight="251664384" behindDoc="0" locked="0" layoutInCell="1" allowOverlap="1" wp14:anchorId="6F3E20D3" wp14:editId="5419A7D9">
                <wp:simplePos x="0" y="0"/>
                <wp:positionH relativeFrom="column">
                  <wp:posOffset>546735</wp:posOffset>
                </wp:positionH>
                <wp:positionV relativeFrom="paragraph">
                  <wp:posOffset>2326640</wp:posOffset>
                </wp:positionV>
                <wp:extent cx="381000" cy="381000"/>
                <wp:effectExtent l="50800" t="25400" r="25400" b="101600"/>
                <wp:wrapNone/>
                <wp:docPr id="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381000"/>
                        </a:xfrm>
                        <a:prstGeom prst="ellipse">
                          <a:avLst/>
                        </a:prstGeom>
                        <a:noFill/>
                        <a:ln w="12700" cap="flat" cmpd="sng" algn="ctr">
                          <a:solidFill>
                            <a:sysClr val="windowText" lastClr="000000"/>
                          </a:solidFill>
                          <a:prstDash val="solid"/>
                        </a:ln>
                        <a:effectLst>
                          <a:outerShdw blurRad="40000" dist="23000" dir="5400000" rotWithShape="0">
                            <a:srgbClr val="000000">
                              <a:alpha val="35000"/>
                            </a:srgbClr>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43.05pt;margin-top:183.2pt;width:30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" filled="f" strokecolor="windowText" strokeweight="1pt">
                <v:shadow on="t" opacity="22937f" mv:blur="40000f" origin=",.5" offset="0,23000emu"/>
                <v:path arrowok="t"/>
              </v:oval>
            </w:pict>
          </mc:Fallback>
        </mc:AlternateContent>
      </w:r>
      <w:r w:rsidR="009C75CC">
        <w:rPr>
          <w:rFonts w:asciiTheme="minorHAnsi" w:hAnsiTheme="minorHAnsi"/>
          <w:sz w:val="22"/>
          <w:szCs w:val="22"/>
        </w:rPr>
        <w:br/>
      </w:r>
      <w:r w:rsidR="009C75CC" w:rsidRPr="00C91EC1">
        <w:rPr>
          <w:rFonts w:asciiTheme="minorHAnsi" w:hAnsiTheme="minorHAnsi"/>
          <w:noProof/>
          <w:sz w:val="22"/>
          <w:szCs w:val="22"/>
        </w:rPr>
        <w:drawing>
          <wp:inline distT="0" distB="0" distL="0" distR="0" wp14:anchorId="5A5E4CFA" wp14:editId="240E16E0">
            <wp:extent cx="3670935" cy="3492483"/>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b="65845"/>
                    <a:stretch>
                      <a:fillRect/>
                    </a:stretch>
                  </pic:blipFill>
                  <pic:spPr bwMode="auto">
                    <a:xfrm>
                      <a:off x="0" y="0"/>
                      <a:ext cx="3673834" cy="3495241"/>
                    </a:xfrm>
                    <a:prstGeom prst="rect">
                      <a:avLst/>
                    </a:prstGeom>
                    <a:noFill/>
                    <a:ln>
                      <a:noFill/>
                    </a:ln>
                  </pic:spPr>
                </pic:pic>
              </a:graphicData>
            </a:graphic>
          </wp:inline>
        </w:drawing>
      </w:r>
      <w:r w:rsidR="009C75CC">
        <w:rPr>
          <w:rFonts w:asciiTheme="minorHAnsi" w:hAnsiTheme="minorHAnsi"/>
          <w:sz w:val="22"/>
          <w:szCs w:val="22"/>
        </w:rPr>
        <w:br/>
      </w:r>
      <w:r w:rsidR="009C75CC">
        <w:rPr>
          <w:rFonts w:asciiTheme="minorHAnsi" w:hAnsiTheme="minorHAnsi"/>
          <w:sz w:val="22"/>
          <w:szCs w:val="22"/>
        </w:rPr>
        <w:br/>
      </w:r>
      <w:r w:rsidR="00F74858">
        <w:rPr>
          <w:rFonts w:asciiTheme="minorHAnsi" w:hAnsiTheme="minorHAnsi"/>
          <w:sz w:val="22"/>
          <w:szCs w:val="22"/>
        </w:rPr>
        <w:br/>
      </w:r>
      <w:r w:rsidR="001F473C" w:rsidRPr="00C91EC1">
        <w:rPr>
          <w:rFonts w:asciiTheme="minorHAnsi" w:hAnsiTheme="minorHAnsi"/>
          <w:noProof/>
          <w:sz w:val="22"/>
          <w:szCs w:val="22"/>
        </w:rPr>
        <w:drawing>
          <wp:inline distT="0" distB="0" distL="0" distR="0" wp14:anchorId="0D770CB5" wp14:editId="2B2F2172">
            <wp:extent cx="4800600" cy="3268345"/>
            <wp:effectExtent l="0" t="0" r="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3268345"/>
                    </a:xfrm>
                    <a:prstGeom prst="rect">
                      <a:avLst/>
                    </a:prstGeom>
                    <a:noFill/>
                    <a:ln>
                      <a:noFill/>
                    </a:ln>
                  </pic:spPr>
                </pic:pic>
              </a:graphicData>
            </a:graphic>
          </wp:inline>
        </w:drawing>
      </w:r>
      <w:r w:rsidR="00F74858">
        <w:rPr>
          <w:rFonts w:asciiTheme="minorHAnsi" w:hAnsiTheme="minorHAnsi"/>
          <w:sz w:val="22"/>
          <w:szCs w:val="22"/>
        </w:rPr>
        <w:br/>
      </w:r>
      <w:r w:rsidR="00F74858">
        <w:rPr>
          <w:rFonts w:asciiTheme="minorHAnsi" w:hAnsiTheme="minorHAnsi"/>
          <w:sz w:val="22"/>
          <w:szCs w:val="22"/>
        </w:rPr>
        <w:br/>
      </w:r>
      <w:r w:rsidR="00F74858">
        <w:rPr>
          <w:rFonts w:asciiTheme="minorHAnsi" w:hAnsiTheme="minorHAnsi"/>
          <w:sz w:val="22"/>
          <w:szCs w:val="22"/>
        </w:rPr>
        <w:br/>
      </w:r>
      <w:r w:rsidR="00F74858">
        <w:rPr>
          <w:rFonts w:asciiTheme="minorHAnsi" w:hAnsiTheme="minorHAnsi"/>
          <w:sz w:val="22"/>
          <w:szCs w:val="22"/>
        </w:rPr>
        <w:br/>
      </w:r>
      <w:r w:rsidR="00F74858">
        <w:rPr>
          <w:rFonts w:asciiTheme="minorHAnsi" w:hAnsiTheme="minorHAnsi"/>
          <w:sz w:val="22"/>
          <w:szCs w:val="22"/>
        </w:rPr>
        <w:br/>
      </w:r>
      <w:r w:rsidR="00F74858">
        <w:rPr>
          <w:rFonts w:asciiTheme="minorHAnsi" w:hAnsiTheme="minorHAnsi"/>
          <w:sz w:val="22"/>
          <w:szCs w:val="22"/>
        </w:rPr>
        <w:br/>
      </w:r>
      <w:r w:rsidR="00F74858">
        <w:rPr>
          <w:rFonts w:asciiTheme="minorHAnsi" w:hAnsiTheme="minorHAnsi"/>
          <w:sz w:val="22"/>
          <w:szCs w:val="22"/>
        </w:rPr>
        <w:lastRenderedPageBreak/>
        <w:br/>
      </w:r>
      <w:r w:rsidR="005906C3" w:rsidRPr="00B84BBB">
        <w:rPr>
          <w:rFonts w:asciiTheme="minorHAnsi" w:hAnsiTheme="minorHAnsi"/>
          <w:sz w:val="22"/>
          <w:szCs w:val="22"/>
        </w:rPr>
        <w:t>f) The authors were interested in a rule that could identify pneumonia patients at such low risk of death that they could be discharged from the emergency department.  Even after re-calibration, only one of the 3 rules could identify patients at low enough risk to send home.  Which of the 3 rules was it?  Explain how you know.</w:t>
      </w:r>
      <w:r w:rsidR="00BB08C3">
        <w:rPr>
          <w:rFonts w:asciiTheme="minorHAnsi" w:hAnsiTheme="minorHAnsi"/>
          <w:sz w:val="22"/>
          <w:szCs w:val="22"/>
        </w:rPr>
        <w:t xml:space="preserve"> </w:t>
      </w:r>
      <w:r w:rsidR="00BB08C3">
        <w:rPr>
          <w:rFonts w:asciiTheme="minorHAnsi" w:hAnsiTheme="minorHAnsi"/>
          <w:b/>
          <w:sz w:val="22"/>
          <w:szCs w:val="22"/>
          <w:highlight w:val="yellow"/>
        </w:rPr>
        <w:t>[2</w:t>
      </w:r>
      <w:r w:rsidR="00BB08C3" w:rsidRPr="00B84BBB">
        <w:rPr>
          <w:rFonts w:asciiTheme="minorHAnsi" w:hAnsiTheme="minorHAnsi"/>
          <w:b/>
          <w:sz w:val="22"/>
          <w:szCs w:val="22"/>
          <w:highlight w:val="yellow"/>
        </w:rPr>
        <w:t>]</w:t>
      </w:r>
    </w:p>
    <w:p w14:paraId="483B2C91" w14:textId="0A24F614" w:rsidR="00435129" w:rsidRDefault="002E671C" w:rsidP="00C91EC1">
      <w:pPr>
        <w:rPr>
          <w:b/>
        </w:rPr>
      </w:pPr>
      <w:r>
        <w:rPr>
          <w:rFonts w:asciiTheme="minorHAnsi" w:hAnsiTheme="minorHAnsi"/>
          <w:b/>
          <w:color w:val="0000FF"/>
          <w:sz w:val="22"/>
          <w:szCs w:val="22"/>
        </w:rPr>
        <w:br/>
      </w:r>
      <w:r w:rsidR="003379D1">
        <w:rPr>
          <w:rFonts w:asciiTheme="minorHAnsi" w:hAnsiTheme="minorHAnsi"/>
          <w:sz w:val="22"/>
          <w:szCs w:val="22"/>
        </w:rPr>
        <w:br/>
      </w:r>
      <w:r w:rsidR="003379D1">
        <w:rPr>
          <w:rFonts w:asciiTheme="minorHAnsi" w:hAnsiTheme="minorHAnsi"/>
          <w:sz w:val="22"/>
          <w:szCs w:val="22"/>
        </w:rPr>
        <w:br/>
      </w:r>
      <w:r w:rsidR="003379D1">
        <w:rPr>
          <w:rFonts w:asciiTheme="minorHAnsi" w:hAnsiTheme="minorHAnsi"/>
          <w:sz w:val="22"/>
          <w:szCs w:val="22"/>
        </w:rPr>
        <w:br/>
      </w:r>
      <w:r w:rsidR="003379D1">
        <w:rPr>
          <w:rFonts w:asciiTheme="minorHAnsi" w:hAnsiTheme="minorHAnsi"/>
          <w:sz w:val="22"/>
          <w:szCs w:val="22"/>
        </w:rPr>
        <w:br/>
      </w:r>
      <w:r w:rsidR="003379D1">
        <w:rPr>
          <w:rFonts w:asciiTheme="minorHAnsi" w:hAnsiTheme="minorHAnsi"/>
          <w:sz w:val="22"/>
          <w:szCs w:val="22"/>
        </w:rPr>
        <w:br/>
      </w:r>
      <w:r w:rsidR="003379D1">
        <w:rPr>
          <w:rFonts w:asciiTheme="minorHAnsi" w:hAnsiTheme="minorHAnsi"/>
          <w:sz w:val="22"/>
          <w:szCs w:val="22"/>
        </w:rPr>
        <w:br/>
      </w:r>
      <w:r w:rsidR="003379D1">
        <w:rPr>
          <w:rFonts w:asciiTheme="minorHAnsi" w:hAnsiTheme="minorHAnsi"/>
          <w:sz w:val="22"/>
          <w:szCs w:val="22"/>
        </w:rPr>
        <w:br/>
      </w:r>
      <w:r w:rsidR="003379D1">
        <w:rPr>
          <w:rFonts w:asciiTheme="minorHAnsi" w:hAnsiTheme="minorHAnsi"/>
          <w:sz w:val="22"/>
          <w:szCs w:val="22"/>
        </w:rPr>
        <w:br/>
      </w:r>
      <w:r w:rsidR="00B13A0F">
        <w:rPr>
          <w:rFonts w:asciiTheme="minorHAnsi" w:hAnsiTheme="minorHAnsi"/>
          <w:sz w:val="22"/>
          <w:szCs w:val="22"/>
        </w:rPr>
        <w:br/>
      </w:r>
    </w:p>
    <w:p w14:paraId="46F6DBFF" w14:textId="5786F805" w:rsidR="00B13A0F" w:rsidRDefault="00B13A0F" w:rsidP="005906C3">
      <w:pPr>
        <w:rPr>
          <w:b/>
        </w:rPr>
      </w:pPr>
    </w:p>
    <w:p w14:paraId="2D816722" w14:textId="47011C6E" w:rsidR="00E45C8B" w:rsidRDefault="00566DA3" w:rsidP="005906C3">
      <w:pPr>
        <w:rPr>
          <w:b/>
        </w:rPr>
      </w:pPr>
      <w:r>
        <w:rPr>
          <w:b/>
        </w:rPr>
        <w:t>REFERENCES</w:t>
      </w:r>
    </w:p>
    <w:p w14:paraId="0521CB10" w14:textId="24509D62" w:rsidR="00566DA3" w:rsidRDefault="00566DA3" w:rsidP="00311679">
      <w:pPr>
        <w:rPr>
          <w:b/>
          <w:i/>
        </w:rPr>
      </w:pPr>
    </w:p>
    <w:p w14:paraId="1B91F8FD" w14:textId="77777777" w:rsidR="00566DA3" w:rsidRDefault="00566DA3" w:rsidP="00311679">
      <w:pPr>
        <w:rPr>
          <w:b/>
          <w:i/>
        </w:rPr>
      </w:pPr>
    </w:p>
    <w:p w14:paraId="0AF71DA0" w14:textId="77777777" w:rsidR="00566DA3" w:rsidRPr="00566DA3" w:rsidRDefault="00566DA3" w:rsidP="00566DA3">
      <w:pPr>
        <w:pStyle w:val="EndNoteBibliography"/>
        <w:rPr>
          <w:noProof/>
        </w:rPr>
      </w:pPr>
      <w:r>
        <w:rPr>
          <w:b/>
          <w:i/>
        </w:rPr>
        <w:fldChar w:fldCharType="begin"/>
      </w:r>
      <w:r>
        <w:rPr>
          <w:b/>
          <w:i/>
        </w:rPr>
        <w:instrText xml:space="preserve"> ADDIN EN.REFLIST </w:instrText>
      </w:r>
      <w:r>
        <w:rPr>
          <w:b/>
          <w:i/>
        </w:rPr>
        <w:fldChar w:fldCharType="separate"/>
      </w:r>
      <w:r w:rsidRPr="00566DA3">
        <w:rPr>
          <w:noProof/>
        </w:rPr>
        <w:t xml:space="preserve">Fowler, K. B., S. Stagno, R. F. Pass, W. J. Britt, T. J. Boll and C. A. Alford (1992). "The outcome of congenital cytomegalovirus infection in relation to maternal antibody status." </w:t>
      </w:r>
      <w:r w:rsidRPr="00566DA3">
        <w:rPr>
          <w:noProof/>
          <w:u w:val="single"/>
        </w:rPr>
        <w:t>N Engl J Med</w:t>
      </w:r>
      <w:r w:rsidRPr="00566DA3">
        <w:rPr>
          <w:noProof/>
        </w:rPr>
        <w:t xml:space="preserve"> </w:t>
      </w:r>
      <w:r w:rsidRPr="00566DA3">
        <w:rPr>
          <w:b/>
          <w:noProof/>
        </w:rPr>
        <w:t>326</w:t>
      </w:r>
      <w:r w:rsidRPr="00566DA3">
        <w:rPr>
          <w:noProof/>
        </w:rPr>
        <w:t>(10): 663-667.</w:t>
      </w:r>
    </w:p>
    <w:p w14:paraId="585E485C" w14:textId="4C4194D2" w:rsidR="00E45C8B" w:rsidRPr="00E45C8B" w:rsidRDefault="00566DA3" w:rsidP="00C91EC1">
      <w:pPr>
        <w:rPr>
          <w:b/>
          <w:i/>
        </w:rPr>
      </w:pPr>
      <w:r>
        <w:rPr>
          <w:b/>
          <w:i/>
        </w:rPr>
        <w:fldChar w:fldCharType="end"/>
      </w:r>
    </w:p>
    <w:sectPr w:rsidR="00E45C8B" w:rsidRPr="00E45C8B">
      <w:headerReference w:type="default" r:id="rId15"/>
      <w:footerReference w:type="even" r:id="rId16"/>
      <w:footerReference w:type="default" r:id="rId17"/>
      <w:pgSz w:w="12240" w:h="15840"/>
      <w:pgMar w:top="1440" w:right="1440" w:bottom="1440" w:left="1440" w:header="864" w:footer="864"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03E22" w14:textId="77777777" w:rsidR="001F473C" w:rsidRDefault="001F473C">
      <w:r>
        <w:separator/>
      </w:r>
    </w:p>
  </w:endnote>
  <w:endnote w:type="continuationSeparator" w:id="0">
    <w:p w14:paraId="0047E2B3" w14:textId="77777777" w:rsidR="001F473C" w:rsidRDefault="001F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D9282" w14:textId="77777777" w:rsidR="001F473C" w:rsidRDefault="001F473C" w:rsidP="00266A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791F2B" w14:textId="77777777" w:rsidR="001F473C" w:rsidRDefault="001F473C" w:rsidP="00266AD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A4F8F" w14:textId="77777777" w:rsidR="001F473C" w:rsidRDefault="001F473C" w:rsidP="00266A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1EC1">
      <w:rPr>
        <w:rStyle w:val="PageNumber"/>
        <w:noProof/>
      </w:rPr>
      <w:t>1</w:t>
    </w:r>
    <w:r>
      <w:rPr>
        <w:rStyle w:val="PageNumber"/>
      </w:rPr>
      <w:fldChar w:fldCharType="end"/>
    </w:r>
  </w:p>
  <w:p w14:paraId="3B576CD1" w14:textId="77777777" w:rsidR="001F473C" w:rsidRDefault="001F473C" w:rsidP="00CE6C87">
    <w:pPr>
      <w:pStyle w:val="Footer"/>
      <w:ind w:right="360"/>
    </w:pPr>
    <w:r w:rsidRPr="00CE6C87">
      <w:rPr>
        <w:rStyle w:val="PageNumbe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AA35D" w14:textId="77777777" w:rsidR="001F473C" w:rsidRDefault="001F473C">
      <w:r>
        <w:separator/>
      </w:r>
    </w:p>
  </w:footnote>
  <w:footnote w:type="continuationSeparator" w:id="0">
    <w:p w14:paraId="1EB7CAB5" w14:textId="77777777" w:rsidR="001F473C" w:rsidRDefault="001F473C">
      <w:r>
        <w:continuationSeparator/>
      </w:r>
    </w:p>
  </w:footnote>
  <w:footnote w:id="1">
    <w:p w14:paraId="0EB1A4CD" w14:textId="77777777" w:rsidR="001F473C" w:rsidRDefault="001F473C" w:rsidP="005906C3">
      <w:pPr>
        <w:pStyle w:val="FootnoteText"/>
      </w:pPr>
      <w:r w:rsidRPr="00917184">
        <w:rPr>
          <w:rStyle w:val="FootnoteReference"/>
        </w:rPr>
        <w:footnoteRef/>
      </w:r>
      <w:r w:rsidRPr="00917184">
        <w:t xml:space="preserve"> </w:t>
      </w:r>
      <w:proofErr w:type="spellStart"/>
      <w:r w:rsidRPr="00917184">
        <w:t>Kolata</w:t>
      </w:r>
      <w:proofErr w:type="spellEnd"/>
      <w:r w:rsidRPr="00917184">
        <w:t xml:space="preserve"> G, available at: http://www.nytimes.com/2013/11/18/health/risk-calculator-for-cholesterol-appears-flawed.html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D1DC4" w14:textId="20D9CDA5" w:rsidR="001F473C" w:rsidRPr="00C91EC1" w:rsidRDefault="001F473C">
    <w:pPr>
      <w:pStyle w:val="Header"/>
      <w:rPr>
        <w:sz w:val="16"/>
      </w:rPr>
    </w:pPr>
    <w:r w:rsidRPr="00C91EC1">
      <w:rPr>
        <w:sz w:val="16"/>
      </w:rPr>
      <w:fldChar w:fldCharType="begin"/>
    </w:r>
    <w:r w:rsidRPr="00C91EC1">
      <w:rPr>
        <w:sz w:val="16"/>
      </w:rPr>
      <w:instrText xml:space="preserve"> FILENAME \p  \* MERGEFORMAT </w:instrText>
    </w:r>
    <w:r w:rsidRPr="00C91EC1">
      <w:rPr>
        <w:sz w:val="16"/>
      </w:rPr>
      <w:fldChar w:fldCharType="separate"/>
    </w:r>
    <w:r w:rsidRPr="00C91EC1">
      <w:rPr>
        <w:noProof/>
        <w:sz w:val="16"/>
      </w:rPr>
      <w:t>Macintosh HD:Users:thomasnewman:Box Sync:Clinical Epi 2016:Homework:Chapter 7 &amp; 8:HW_Chs_7_8_potential problems with answers 2016-1018.docx</w:t>
    </w:r>
    <w:r w:rsidRPr="00C91EC1">
      <w:rPr>
        <w:sz w:val="16"/>
      </w:rPr>
      <w:fldChar w:fldCharType="end"/>
    </w:r>
    <w:proofErr w:type="gramStart"/>
    <w:r w:rsidRPr="00C91EC1">
      <w:rPr>
        <w:sz w:val="16"/>
      </w:rPr>
      <w:t xml:space="preserve">  10</w:t>
    </w:r>
    <w:proofErr w:type="gramEnd"/>
    <w:r w:rsidRPr="00C91EC1">
      <w:rPr>
        <w:sz w:val="16"/>
      </w:rPr>
      <w:t>/20/16 5:21 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1063"/>
    <w:multiLevelType w:val="hybridMultilevel"/>
    <w:tmpl w:val="91AE3EBE"/>
    <w:lvl w:ilvl="0" w:tplc="92E84342">
      <w:start w:val="7"/>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6E369E1"/>
    <w:multiLevelType w:val="hybridMultilevel"/>
    <w:tmpl w:val="5A4CA2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56306"/>
    <w:multiLevelType w:val="multilevel"/>
    <w:tmpl w:val="B476A7A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02C29AD"/>
    <w:multiLevelType w:val="hybridMultilevel"/>
    <w:tmpl w:val="48ECF9E2"/>
    <w:lvl w:ilvl="0" w:tplc="5DDADA9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E2E7B8B"/>
    <w:multiLevelType w:val="hybridMultilevel"/>
    <w:tmpl w:val="6FD4B028"/>
    <w:lvl w:ilvl="0" w:tplc="2CDA0A1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E460B42"/>
    <w:multiLevelType w:val="hybridMultilevel"/>
    <w:tmpl w:val="7124D024"/>
    <w:lvl w:ilvl="0" w:tplc="0409000F">
      <w:start w:val="9"/>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8150BD"/>
    <w:multiLevelType w:val="hybridMultilevel"/>
    <w:tmpl w:val="B476A7A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FC69C5"/>
    <w:multiLevelType w:val="hybridMultilevel"/>
    <w:tmpl w:val="1D22162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565552"/>
    <w:multiLevelType w:val="hybridMultilevel"/>
    <w:tmpl w:val="468AA5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855FEB"/>
    <w:multiLevelType w:val="hybridMultilevel"/>
    <w:tmpl w:val="DEEEE378"/>
    <w:lvl w:ilvl="0" w:tplc="04D608DE">
      <w:start w:val="1"/>
      <w:numFmt w:val="lowerLetter"/>
      <w:lvlText w:val="%1."/>
      <w:lvlJc w:val="left"/>
      <w:pPr>
        <w:ind w:left="360" w:hanging="360"/>
      </w:pPr>
      <w:rPr>
        <w:rFonts w:hint="default"/>
        <w:b/>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6B5137"/>
    <w:multiLevelType w:val="hybridMultilevel"/>
    <w:tmpl w:val="1B6C8384"/>
    <w:lvl w:ilvl="0" w:tplc="065EA29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5697093"/>
    <w:multiLevelType w:val="hybridMultilevel"/>
    <w:tmpl w:val="DCE6F9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822385"/>
    <w:multiLevelType w:val="hybridMultilevel"/>
    <w:tmpl w:val="BE88EC40"/>
    <w:lvl w:ilvl="0" w:tplc="0409000F">
      <w:start w:val="1"/>
      <w:numFmt w:val="decimal"/>
      <w:lvlText w:val="%1."/>
      <w:lvlJc w:val="left"/>
      <w:pPr>
        <w:ind w:left="360" w:hanging="360"/>
      </w:pPr>
    </w:lvl>
    <w:lvl w:ilvl="1" w:tplc="0409001B">
      <w:start w:val="1"/>
      <w:numFmt w:val="lowerRoman"/>
      <w:lvlText w:val="%2."/>
      <w:lvlJc w:val="right"/>
      <w:pPr>
        <w:ind w:left="720" w:hanging="360"/>
      </w:pPr>
      <w:rPr>
        <w:rFonts w:cs="Times New Roman" w:hint="default"/>
        <w:i w:val="0"/>
      </w:rPr>
    </w:lvl>
    <w:lvl w:ilvl="2" w:tplc="09C666B8">
      <w:start w:val="1"/>
      <w:numFmt w:val="lowerRoman"/>
      <w:lvlText w:val="%3."/>
      <w:lvlJc w:val="right"/>
      <w:pPr>
        <w:ind w:left="1620" w:hanging="180"/>
      </w:pPr>
      <w:rPr>
        <w:rFonts w:cs="Times New Roman"/>
        <w:i w:val="0"/>
      </w:rPr>
    </w:lvl>
    <w:lvl w:ilvl="3" w:tplc="C91015E0">
      <w:start w:val="1"/>
      <w:numFmt w:val="decimal"/>
      <w:lvlText w:val="%4)"/>
      <w:lvlJc w:val="left"/>
      <w:pPr>
        <w:tabs>
          <w:tab w:val="num" w:pos="2520"/>
        </w:tabs>
        <w:ind w:left="2520" w:hanging="360"/>
      </w:pPr>
      <w:rPr>
        <w:rFonts w:cs="Times New Roman" w:hint="default"/>
        <w:b w:val="0"/>
        <w:i w:val="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9642560"/>
    <w:multiLevelType w:val="hybridMultilevel"/>
    <w:tmpl w:val="A924584E"/>
    <w:lvl w:ilvl="0" w:tplc="DD5A515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75736F"/>
    <w:multiLevelType w:val="hybridMultilevel"/>
    <w:tmpl w:val="8C04F104"/>
    <w:lvl w:ilvl="0" w:tplc="76003AE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9827CF"/>
    <w:multiLevelType w:val="hybridMultilevel"/>
    <w:tmpl w:val="67C452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C431F0"/>
    <w:multiLevelType w:val="hybridMultilevel"/>
    <w:tmpl w:val="20A2556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B26E44"/>
    <w:multiLevelType w:val="hybridMultilevel"/>
    <w:tmpl w:val="7B004184"/>
    <w:lvl w:ilvl="0" w:tplc="29505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5B2BF9"/>
    <w:multiLevelType w:val="hybridMultilevel"/>
    <w:tmpl w:val="94D40728"/>
    <w:lvl w:ilvl="0" w:tplc="04090019">
      <w:start w:val="2"/>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0277D3"/>
    <w:multiLevelType w:val="singleLevel"/>
    <w:tmpl w:val="40F69706"/>
    <w:lvl w:ilvl="0">
      <w:start w:val="1"/>
      <w:numFmt w:val="lowerLetter"/>
      <w:lvlText w:val="%1."/>
      <w:lvlJc w:val="left"/>
      <w:pPr>
        <w:tabs>
          <w:tab w:val="num" w:pos="360"/>
        </w:tabs>
        <w:ind w:left="360" w:hanging="360"/>
      </w:pPr>
      <w:rPr>
        <w:rFonts w:hint="default"/>
      </w:rPr>
    </w:lvl>
  </w:abstractNum>
  <w:abstractNum w:abstractNumId="20">
    <w:nsid w:val="57692496"/>
    <w:multiLevelType w:val="hybridMultilevel"/>
    <w:tmpl w:val="42DEC21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DC456F"/>
    <w:multiLevelType w:val="singleLevel"/>
    <w:tmpl w:val="E722C4F6"/>
    <w:lvl w:ilvl="0">
      <w:start w:val="8"/>
      <w:numFmt w:val="decimal"/>
      <w:lvlText w:val="%1."/>
      <w:lvlJc w:val="left"/>
      <w:pPr>
        <w:tabs>
          <w:tab w:val="num" w:pos="450"/>
        </w:tabs>
        <w:ind w:left="450" w:hanging="360"/>
      </w:pPr>
      <w:rPr>
        <w:rFonts w:hint="default"/>
      </w:rPr>
    </w:lvl>
  </w:abstractNum>
  <w:abstractNum w:abstractNumId="22">
    <w:nsid w:val="59C8143C"/>
    <w:multiLevelType w:val="hybridMultilevel"/>
    <w:tmpl w:val="FE38544C"/>
    <w:lvl w:ilvl="0" w:tplc="15B2D098">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FF87B72"/>
    <w:multiLevelType w:val="hybridMultilevel"/>
    <w:tmpl w:val="F672FB1A"/>
    <w:lvl w:ilvl="0" w:tplc="BB145EDE">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2758E"/>
    <w:multiLevelType w:val="hybridMultilevel"/>
    <w:tmpl w:val="40D2376C"/>
    <w:lvl w:ilvl="0" w:tplc="908854C8">
      <w:start w:val="1"/>
      <w:numFmt w:val="lowerLetter"/>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1C93078"/>
    <w:multiLevelType w:val="hybridMultilevel"/>
    <w:tmpl w:val="E758D8BE"/>
    <w:lvl w:ilvl="0" w:tplc="04090019">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165B39"/>
    <w:multiLevelType w:val="hybridMultilevel"/>
    <w:tmpl w:val="55E23F1C"/>
    <w:lvl w:ilvl="0" w:tplc="9B769D4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CD21482"/>
    <w:multiLevelType w:val="hybridMultilevel"/>
    <w:tmpl w:val="E67A782E"/>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CD27206"/>
    <w:multiLevelType w:val="singleLevel"/>
    <w:tmpl w:val="301CFD66"/>
    <w:lvl w:ilvl="0">
      <w:start w:val="1"/>
      <w:numFmt w:val="lowerRoman"/>
      <w:lvlText w:val="%1.)"/>
      <w:lvlJc w:val="left"/>
      <w:pPr>
        <w:tabs>
          <w:tab w:val="num" w:pos="720"/>
        </w:tabs>
        <w:ind w:left="720" w:hanging="720"/>
      </w:pPr>
      <w:rPr>
        <w:rFonts w:hint="default"/>
        <w:b w:val="0"/>
      </w:rPr>
    </w:lvl>
  </w:abstractNum>
  <w:abstractNum w:abstractNumId="29">
    <w:nsid w:val="6D8F675A"/>
    <w:multiLevelType w:val="hybridMultilevel"/>
    <w:tmpl w:val="573CF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7A5604"/>
    <w:multiLevelType w:val="hybridMultilevel"/>
    <w:tmpl w:val="832CD7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BB599F"/>
    <w:multiLevelType w:val="hybridMultilevel"/>
    <w:tmpl w:val="39086E0A"/>
    <w:lvl w:ilvl="0" w:tplc="CDEE9E1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10"/>
  </w:num>
  <w:num w:numId="3">
    <w:abstractNumId w:val="28"/>
  </w:num>
  <w:num w:numId="4">
    <w:abstractNumId w:val="19"/>
  </w:num>
  <w:num w:numId="5">
    <w:abstractNumId w:val="5"/>
  </w:num>
  <w:num w:numId="6">
    <w:abstractNumId w:val="30"/>
  </w:num>
  <w:num w:numId="7">
    <w:abstractNumId w:val="8"/>
  </w:num>
  <w:num w:numId="8">
    <w:abstractNumId w:val="27"/>
  </w:num>
  <w:num w:numId="9">
    <w:abstractNumId w:val="21"/>
  </w:num>
  <w:num w:numId="10">
    <w:abstractNumId w:val="22"/>
  </w:num>
  <w:num w:numId="11">
    <w:abstractNumId w:val="0"/>
  </w:num>
  <w:num w:numId="12">
    <w:abstractNumId w:val="15"/>
  </w:num>
  <w:num w:numId="13">
    <w:abstractNumId w:val="7"/>
  </w:num>
  <w:num w:numId="14">
    <w:abstractNumId w:val="9"/>
  </w:num>
  <w:num w:numId="15">
    <w:abstractNumId w:val="18"/>
  </w:num>
  <w:num w:numId="16">
    <w:abstractNumId w:val="25"/>
  </w:num>
  <w:num w:numId="17">
    <w:abstractNumId w:val="6"/>
  </w:num>
  <w:num w:numId="18">
    <w:abstractNumId w:val="17"/>
  </w:num>
  <w:num w:numId="19">
    <w:abstractNumId w:val="31"/>
  </w:num>
  <w:num w:numId="20">
    <w:abstractNumId w:val="29"/>
  </w:num>
  <w:num w:numId="21">
    <w:abstractNumId w:val="1"/>
  </w:num>
  <w:num w:numId="22">
    <w:abstractNumId w:val="2"/>
  </w:num>
  <w:num w:numId="23">
    <w:abstractNumId w:val="14"/>
  </w:num>
  <w:num w:numId="24">
    <w:abstractNumId w:val="23"/>
  </w:num>
  <w:num w:numId="25">
    <w:abstractNumId w:val="16"/>
  </w:num>
  <w:num w:numId="26">
    <w:abstractNumId w:val="13"/>
  </w:num>
  <w:num w:numId="27">
    <w:abstractNumId w:val="20"/>
  </w:num>
  <w:num w:numId="28">
    <w:abstractNumId w:val="24"/>
  </w:num>
  <w:num w:numId="29">
    <w:abstractNumId w:val="12"/>
  </w:num>
  <w:num w:numId="30">
    <w:abstractNumId w:val="26"/>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uthor-Date&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wrswzpewzvvze9sxpxree4s0x5vdrwfapp&quot;&gt;MasterLibrary-2016-0428&lt;record-ids&gt;&lt;item&gt;1365&lt;/item&gt;&lt;/record-ids&gt;&lt;/item&gt;&lt;/Libraries&gt;"/>
  </w:docVars>
  <w:rsids>
    <w:rsidRoot w:val="00321EF5"/>
    <w:rsid w:val="000024F5"/>
    <w:rsid w:val="00027F3D"/>
    <w:rsid w:val="00030794"/>
    <w:rsid w:val="00031EF8"/>
    <w:rsid w:val="0003566C"/>
    <w:rsid w:val="00040400"/>
    <w:rsid w:val="00043A7C"/>
    <w:rsid w:val="0004461D"/>
    <w:rsid w:val="0004726C"/>
    <w:rsid w:val="00050A1C"/>
    <w:rsid w:val="00053FA3"/>
    <w:rsid w:val="00054655"/>
    <w:rsid w:val="000575AE"/>
    <w:rsid w:val="00067A73"/>
    <w:rsid w:val="00075E86"/>
    <w:rsid w:val="000875E6"/>
    <w:rsid w:val="000A57DF"/>
    <w:rsid w:val="000B2041"/>
    <w:rsid w:val="000C2316"/>
    <w:rsid w:val="000D1142"/>
    <w:rsid w:val="000D7F28"/>
    <w:rsid w:val="000F246E"/>
    <w:rsid w:val="000F2E37"/>
    <w:rsid w:val="00107B46"/>
    <w:rsid w:val="00114B05"/>
    <w:rsid w:val="0012416D"/>
    <w:rsid w:val="00125DA2"/>
    <w:rsid w:val="00125E23"/>
    <w:rsid w:val="00132069"/>
    <w:rsid w:val="001331D1"/>
    <w:rsid w:val="00134522"/>
    <w:rsid w:val="001364FD"/>
    <w:rsid w:val="00145879"/>
    <w:rsid w:val="00146975"/>
    <w:rsid w:val="00163014"/>
    <w:rsid w:val="00175E08"/>
    <w:rsid w:val="00176306"/>
    <w:rsid w:val="00176DCA"/>
    <w:rsid w:val="001931B4"/>
    <w:rsid w:val="001A6454"/>
    <w:rsid w:val="001A6861"/>
    <w:rsid w:val="001B492C"/>
    <w:rsid w:val="001C4FD7"/>
    <w:rsid w:val="001D3933"/>
    <w:rsid w:val="001D51A3"/>
    <w:rsid w:val="001F2EBC"/>
    <w:rsid w:val="001F473C"/>
    <w:rsid w:val="001F613A"/>
    <w:rsid w:val="001F70C2"/>
    <w:rsid w:val="00203C99"/>
    <w:rsid w:val="00220C1E"/>
    <w:rsid w:val="00224AC4"/>
    <w:rsid w:val="002311C3"/>
    <w:rsid w:val="00233C7D"/>
    <w:rsid w:val="00237096"/>
    <w:rsid w:val="00237A68"/>
    <w:rsid w:val="002418CF"/>
    <w:rsid w:val="00245CE7"/>
    <w:rsid w:val="00251B10"/>
    <w:rsid w:val="00266AD5"/>
    <w:rsid w:val="0027168B"/>
    <w:rsid w:val="00271E1A"/>
    <w:rsid w:val="002741F7"/>
    <w:rsid w:val="0027620F"/>
    <w:rsid w:val="00276ED3"/>
    <w:rsid w:val="0029215E"/>
    <w:rsid w:val="00294D07"/>
    <w:rsid w:val="002A728E"/>
    <w:rsid w:val="002B1F3F"/>
    <w:rsid w:val="002D6902"/>
    <w:rsid w:val="002D78A3"/>
    <w:rsid w:val="002E0BCB"/>
    <w:rsid w:val="002E523C"/>
    <w:rsid w:val="002E671C"/>
    <w:rsid w:val="002F7C09"/>
    <w:rsid w:val="00301840"/>
    <w:rsid w:val="00306D81"/>
    <w:rsid w:val="00311679"/>
    <w:rsid w:val="00312DAD"/>
    <w:rsid w:val="00312F16"/>
    <w:rsid w:val="00321461"/>
    <w:rsid w:val="00321EF5"/>
    <w:rsid w:val="00325ABC"/>
    <w:rsid w:val="00330FE9"/>
    <w:rsid w:val="003379D1"/>
    <w:rsid w:val="003420B9"/>
    <w:rsid w:val="0034608C"/>
    <w:rsid w:val="0035514E"/>
    <w:rsid w:val="00365BAD"/>
    <w:rsid w:val="003679D4"/>
    <w:rsid w:val="00375B04"/>
    <w:rsid w:val="003774ED"/>
    <w:rsid w:val="00382DBE"/>
    <w:rsid w:val="0038382A"/>
    <w:rsid w:val="00385186"/>
    <w:rsid w:val="00395660"/>
    <w:rsid w:val="003A0265"/>
    <w:rsid w:val="003A4451"/>
    <w:rsid w:val="003A4813"/>
    <w:rsid w:val="003B1E4F"/>
    <w:rsid w:val="003B4AE2"/>
    <w:rsid w:val="003F2C56"/>
    <w:rsid w:val="00411F2F"/>
    <w:rsid w:val="00412C9E"/>
    <w:rsid w:val="004170B9"/>
    <w:rsid w:val="004255FB"/>
    <w:rsid w:val="004343E2"/>
    <w:rsid w:val="00435129"/>
    <w:rsid w:val="004361D7"/>
    <w:rsid w:val="004455FD"/>
    <w:rsid w:val="00445CE4"/>
    <w:rsid w:val="004476C8"/>
    <w:rsid w:val="00457962"/>
    <w:rsid w:val="00475B14"/>
    <w:rsid w:val="00481699"/>
    <w:rsid w:val="00486E6C"/>
    <w:rsid w:val="0049237E"/>
    <w:rsid w:val="004A09D7"/>
    <w:rsid w:val="004A16AF"/>
    <w:rsid w:val="004A7E05"/>
    <w:rsid w:val="004B225F"/>
    <w:rsid w:val="004B312B"/>
    <w:rsid w:val="004B6517"/>
    <w:rsid w:val="004B6C26"/>
    <w:rsid w:val="004D2437"/>
    <w:rsid w:val="004D6494"/>
    <w:rsid w:val="004E4A48"/>
    <w:rsid w:val="004F4405"/>
    <w:rsid w:val="00505EFF"/>
    <w:rsid w:val="00506748"/>
    <w:rsid w:val="00507A9E"/>
    <w:rsid w:val="00530553"/>
    <w:rsid w:val="00534F4D"/>
    <w:rsid w:val="0053508A"/>
    <w:rsid w:val="00542B4E"/>
    <w:rsid w:val="0055678F"/>
    <w:rsid w:val="00566DA3"/>
    <w:rsid w:val="005756E2"/>
    <w:rsid w:val="00585769"/>
    <w:rsid w:val="005906C3"/>
    <w:rsid w:val="005A23E5"/>
    <w:rsid w:val="005A4BE0"/>
    <w:rsid w:val="005B0A5C"/>
    <w:rsid w:val="005C336B"/>
    <w:rsid w:val="005C46FE"/>
    <w:rsid w:val="005D68DD"/>
    <w:rsid w:val="005E612D"/>
    <w:rsid w:val="005F03CC"/>
    <w:rsid w:val="00606495"/>
    <w:rsid w:val="006130FD"/>
    <w:rsid w:val="00621379"/>
    <w:rsid w:val="00633C6D"/>
    <w:rsid w:val="00647353"/>
    <w:rsid w:val="00647CCF"/>
    <w:rsid w:val="00650BB8"/>
    <w:rsid w:val="006513AD"/>
    <w:rsid w:val="00653A1C"/>
    <w:rsid w:val="00655C1C"/>
    <w:rsid w:val="00661EAD"/>
    <w:rsid w:val="0066628B"/>
    <w:rsid w:val="00667FA6"/>
    <w:rsid w:val="006755EF"/>
    <w:rsid w:val="00675F26"/>
    <w:rsid w:val="00676798"/>
    <w:rsid w:val="00683FEC"/>
    <w:rsid w:val="00684C8A"/>
    <w:rsid w:val="006A6343"/>
    <w:rsid w:val="006B7608"/>
    <w:rsid w:val="006C2075"/>
    <w:rsid w:val="006C2A20"/>
    <w:rsid w:val="006C506F"/>
    <w:rsid w:val="006E3E15"/>
    <w:rsid w:val="006F4A23"/>
    <w:rsid w:val="00710BEB"/>
    <w:rsid w:val="007124A2"/>
    <w:rsid w:val="007128CA"/>
    <w:rsid w:val="0071385D"/>
    <w:rsid w:val="00717005"/>
    <w:rsid w:val="00730A46"/>
    <w:rsid w:val="00731F3A"/>
    <w:rsid w:val="00734E9B"/>
    <w:rsid w:val="0075153F"/>
    <w:rsid w:val="00771FB1"/>
    <w:rsid w:val="00772720"/>
    <w:rsid w:val="00775F41"/>
    <w:rsid w:val="0077694B"/>
    <w:rsid w:val="007856BC"/>
    <w:rsid w:val="00793FD1"/>
    <w:rsid w:val="00797613"/>
    <w:rsid w:val="00797A90"/>
    <w:rsid w:val="007A7187"/>
    <w:rsid w:val="007E30CB"/>
    <w:rsid w:val="007F0318"/>
    <w:rsid w:val="007F1712"/>
    <w:rsid w:val="007F259B"/>
    <w:rsid w:val="007F2E57"/>
    <w:rsid w:val="00806A0C"/>
    <w:rsid w:val="00840BBA"/>
    <w:rsid w:val="00851295"/>
    <w:rsid w:val="00890A35"/>
    <w:rsid w:val="00895A51"/>
    <w:rsid w:val="008A48BA"/>
    <w:rsid w:val="008A5192"/>
    <w:rsid w:val="008B2626"/>
    <w:rsid w:val="008B72EA"/>
    <w:rsid w:val="008D4481"/>
    <w:rsid w:val="008D4804"/>
    <w:rsid w:val="008E2243"/>
    <w:rsid w:val="008F3E77"/>
    <w:rsid w:val="00901F29"/>
    <w:rsid w:val="009076FF"/>
    <w:rsid w:val="00912B4C"/>
    <w:rsid w:val="009150E1"/>
    <w:rsid w:val="00920022"/>
    <w:rsid w:val="00922E6D"/>
    <w:rsid w:val="00933411"/>
    <w:rsid w:val="00934041"/>
    <w:rsid w:val="009361EA"/>
    <w:rsid w:val="00941BCD"/>
    <w:rsid w:val="00950019"/>
    <w:rsid w:val="00961F5B"/>
    <w:rsid w:val="0096499F"/>
    <w:rsid w:val="00981205"/>
    <w:rsid w:val="009B23A2"/>
    <w:rsid w:val="009B512C"/>
    <w:rsid w:val="009C75CC"/>
    <w:rsid w:val="009D2C7F"/>
    <w:rsid w:val="00A015AB"/>
    <w:rsid w:val="00A067E4"/>
    <w:rsid w:val="00A2661E"/>
    <w:rsid w:val="00A45755"/>
    <w:rsid w:val="00A469F1"/>
    <w:rsid w:val="00A504C6"/>
    <w:rsid w:val="00A532C1"/>
    <w:rsid w:val="00A55071"/>
    <w:rsid w:val="00A61282"/>
    <w:rsid w:val="00A7581A"/>
    <w:rsid w:val="00A76B6D"/>
    <w:rsid w:val="00A80497"/>
    <w:rsid w:val="00A948EF"/>
    <w:rsid w:val="00A94903"/>
    <w:rsid w:val="00A95F85"/>
    <w:rsid w:val="00AA2916"/>
    <w:rsid w:val="00AA31D3"/>
    <w:rsid w:val="00AB1B4E"/>
    <w:rsid w:val="00AB467E"/>
    <w:rsid w:val="00AC02E3"/>
    <w:rsid w:val="00AC30BF"/>
    <w:rsid w:val="00AC50DF"/>
    <w:rsid w:val="00AD332E"/>
    <w:rsid w:val="00AD5D76"/>
    <w:rsid w:val="00AD7DAC"/>
    <w:rsid w:val="00AE499A"/>
    <w:rsid w:val="00AF4DDB"/>
    <w:rsid w:val="00B031A5"/>
    <w:rsid w:val="00B044BD"/>
    <w:rsid w:val="00B06864"/>
    <w:rsid w:val="00B10796"/>
    <w:rsid w:val="00B13A0F"/>
    <w:rsid w:val="00B17BD4"/>
    <w:rsid w:val="00B22EC1"/>
    <w:rsid w:val="00B34B0A"/>
    <w:rsid w:val="00B43BC6"/>
    <w:rsid w:val="00B522B1"/>
    <w:rsid w:val="00B53B2C"/>
    <w:rsid w:val="00B75EA0"/>
    <w:rsid w:val="00B772B7"/>
    <w:rsid w:val="00B820D0"/>
    <w:rsid w:val="00B832BA"/>
    <w:rsid w:val="00B84BBB"/>
    <w:rsid w:val="00B8653A"/>
    <w:rsid w:val="00B94A46"/>
    <w:rsid w:val="00B95B51"/>
    <w:rsid w:val="00BB08C3"/>
    <w:rsid w:val="00BB7697"/>
    <w:rsid w:val="00BC0720"/>
    <w:rsid w:val="00BC6027"/>
    <w:rsid w:val="00BC66F2"/>
    <w:rsid w:val="00BC780A"/>
    <w:rsid w:val="00BD0361"/>
    <w:rsid w:val="00BD50AF"/>
    <w:rsid w:val="00BE19D9"/>
    <w:rsid w:val="00BF52DC"/>
    <w:rsid w:val="00C0791C"/>
    <w:rsid w:val="00C276C5"/>
    <w:rsid w:val="00C37553"/>
    <w:rsid w:val="00C4515A"/>
    <w:rsid w:val="00C522F4"/>
    <w:rsid w:val="00C56DD2"/>
    <w:rsid w:val="00C6616A"/>
    <w:rsid w:val="00C7044D"/>
    <w:rsid w:val="00C72F8C"/>
    <w:rsid w:val="00C773F1"/>
    <w:rsid w:val="00C77654"/>
    <w:rsid w:val="00C82A77"/>
    <w:rsid w:val="00C91EC1"/>
    <w:rsid w:val="00C95338"/>
    <w:rsid w:val="00CA1100"/>
    <w:rsid w:val="00CC2C95"/>
    <w:rsid w:val="00CD4083"/>
    <w:rsid w:val="00CE438C"/>
    <w:rsid w:val="00CE4718"/>
    <w:rsid w:val="00CE6C87"/>
    <w:rsid w:val="00CF5E5A"/>
    <w:rsid w:val="00D147B5"/>
    <w:rsid w:val="00D24849"/>
    <w:rsid w:val="00D32FA0"/>
    <w:rsid w:val="00D34E92"/>
    <w:rsid w:val="00D36245"/>
    <w:rsid w:val="00D518BB"/>
    <w:rsid w:val="00D67D7C"/>
    <w:rsid w:val="00D91651"/>
    <w:rsid w:val="00DA20EF"/>
    <w:rsid w:val="00DA768E"/>
    <w:rsid w:val="00DC7F63"/>
    <w:rsid w:val="00DD0F37"/>
    <w:rsid w:val="00DD4BD7"/>
    <w:rsid w:val="00DF28E2"/>
    <w:rsid w:val="00E04602"/>
    <w:rsid w:val="00E04CC2"/>
    <w:rsid w:val="00E05078"/>
    <w:rsid w:val="00E14AB1"/>
    <w:rsid w:val="00E243A5"/>
    <w:rsid w:val="00E24B73"/>
    <w:rsid w:val="00E267C1"/>
    <w:rsid w:val="00E34BB8"/>
    <w:rsid w:val="00E40B86"/>
    <w:rsid w:val="00E456FC"/>
    <w:rsid w:val="00E45C8B"/>
    <w:rsid w:val="00E46C46"/>
    <w:rsid w:val="00E51DAE"/>
    <w:rsid w:val="00E61182"/>
    <w:rsid w:val="00E732FE"/>
    <w:rsid w:val="00E73A01"/>
    <w:rsid w:val="00E77630"/>
    <w:rsid w:val="00E8217B"/>
    <w:rsid w:val="00EA0D7C"/>
    <w:rsid w:val="00EA6B4D"/>
    <w:rsid w:val="00EA776B"/>
    <w:rsid w:val="00EB4D1C"/>
    <w:rsid w:val="00EB4E46"/>
    <w:rsid w:val="00EC0F8D"/>
    <w:rsid w:val="00EC4863"/>
    <w:rsid w:val="00ED163B"/>
    <w:rsid w:val="00ED61E4"/>
    <w:rsid w:val="00EE1236"/>
    <w:rsid w:val="00EF30EA"/>
    <w:rsid w:val="00EF4404"/>
    <w:rsid w:val="00F15619"/>
    <w:rsid w:val="00F26C88"/>
    <w:rsid w:val="00F36291"/>
    <w:rsid w:val="00F607CE"/>
    <w:rsid w:val="00F661AE"/>
    <w:rsid w:val="00F74858"/>
    <w:rsid w:val="00F77DE0"/>
    <w:rsid w:val="00F815F2"/>
    <w:rsid w:val="00F8746D"/>
    <w:rsid w:val="00F96604"/>
    <w:rsid w:val="00FB72AD"/>
    <w:rsid w:val="00FC2A22"/>
    <w:rsid w:val="00FD5071"/>
    <w:rsid w:val="00FD5220"/>
    <w:rsid w:val="00FE2825"/>
    <w:rsid w:val="00FE366B"/>
    <w:rsid w:val="00FE6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A7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5906C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qFormat/>
    <w:rsid w:val="00A7581A"/>
    <w:pPr>
      <w:overflowPunct/>
      <w:autoSpaceDE/>
      <w:autoSpaceDN/>
      <w:adjustRightInd/>
      <w:spacing w:before="100" w:beforeAutospacing="1" w:after="100" w:afterAutospacing="1"/>
      <w:textAlignment w:val="auto"/>
      <w:outlineLvl w:val="1"/>
    </w:pPr>
    <w:rPr>
      <w:b/>
      <w:bCs/>
      <w:sz w:val="36"/>
      <w:szCs w:val="36"/>
      <w:lang w:eastAsia="ko-KR"/>
    </w:rPr>
  </w:style>
  <w:style w:type="paragraph" w:styleId="Heading6">
    <w:name w:val="heading 6"/>
    <w:basedOn w:val="Normal"/>
    <w:next w:val="Normal"/>
    <w:qFormat/>
    <w:rsid w:val="00661EAD"/>
    <w:pPr>
      <w:overflowPunct/>
      <w:autoSpaceDE/>
      <w:autoSpaceDN/>
      <w:adjustRightInd/>
      <w:spacing w:before="240" w:after="60"/>
      <w:textAlignment w:val="auto"/>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rFonts w:ascii="Courier" w:hAnsi="Courier"/>
      <w:sz w:val="24"/>
    </w:rPr>
  </w:style>
  <w:style w:type="paragraph" w:styleId="BodyText">
    <w:name w:val="Body Text"/>
    <w:basedOn w:val="Normal"/>
    <w:pPr>
      <w:tabs>
        <w:tab w:val="left" w:pos="-720"/>
      </w:tabs>
    </w:pPr>
    <w:rPr>
      <w:rFonts w:ascii="Times" w:hAnsi="Times"/>
      <w:b/>
      <w:sz w:val="24"/>
    </w:rPr>
  </w:style>
  <w:style w:type="paragraph" w:styleId="BodyText2">
    <w:name w:val="Body Text 2"/>
    <w:basedOn w:val="Normal"/>
    <w:pPr>
      <w:tabs>
        <w:tab w:val="left" w:pos="0"/>
        <w:tab w:val="left" w:pos="720"/>
      </w:tabs>
    </w:pPr>
    <w:rPr>
      <w:b/>
      <w:sz w:val="22"/>
    </w:rPr>
  </w:style>
  <w:style w:type="character" w:styleId="Hyperlink">
    <w:name w:val="Hyperlink"/>
    <w:rPr>
      <w:color w:val="auto"/>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BodyTextIndent">
    <w:name w:val="Body Text Indent"/>
    <w:basedOn w:val="Normal"/>
    <w:pPr>
      <w:tabs>
        <w:tab w:val="left" w:pos="0"/>
      </w:tabs>
      <w:suppressAutoHyphens/>
      <w:ind w:left="720" w:hanging="720"/>
    </w:pPr>
    <w:rPr>
      <w:b/>
      <w:bCs/>
      <w:sz w:val="24"/>
    </w:rPr>
  </w:style>
  <w:style w:type="paragraph" w:styleId="BodyText3">
    <w:name w:val="Body Text 3"/>
    <w:basedOn w:val="Normal"/>
    <w:pPr>
      <w:tabs>
        <w:tab w:val="left" w:pos="-1440"/>
        <w:tab w:val="left" w:pos="-720"/>
      </w:tabs>
    </w:pPr>
    <w:rPr>
      <w:sz w:val="24"/>
    </w:rPr>
  </w:style>
  <w:style w:type="paragraph" w:styleId="Header">
    <w:name w:val="header"/>
    <w:basedOn w:val="Normal"/>
    <w:pPr>
      <w:tabs>
        <w:tab w:val="center" w:pos="4320"/>
        <w:tab w:val="right" w:pos="8640"/>
      </w:tabs>
    </w:pPr>
  </w:style>
  <w:style w:type="paragraph" w:styleId="NormalWeb">
    <w:name w:val="Normal (Web)"/>
    <w:basedOn w:val="Normal"/>
    <w:uiPriority w:val="99"/>
    <w:rsid w:val="00A7581A"/>
    <w:pPr>
      <w:overflowPunct/>
      <w:autoSpaceDE/>
      <w:autoSpaceDN/>
      <w:adjustRightInd/>
      <w:spacing w:before="100" w:beforeAutospacing="1" w:after="100" w:afterAutospacing="1"/>
      <w:textAlignment w:val="auto"/>
    </w:pPr>
    <w:rPr>
      <w:sz w:val="24"/>
      <w:szCs w:val="24"/>
      <w:lang w:eastAsia="ko-KR"/>
    </w:rPr>
  </w:style>
  <w:style w:type="paragraph" w:styleId="BalloonText">
    <w:name w:val="Balloon Text"/>
    <w:basedOn w:val="Normal"/>
    <w:semiHidden/>
    <w:rsid w:val="00775F41"/>
    <w:rPr>
      <w:rFonts w:ascii="Tahoma" w:hAnsi="Tahoma" w:cs="Tahoma"/>
      <w:sz w:val="16"/>
      <w:szCs w:val="16"/>
    </w:rPr>
  </w:style>
  <w:style w:type="character" w:styleId="FootnoteReference">
    <w:name w:val="footnote reference"/>
    <w:uiPriority w:val="99"/>
    <w:rsid w:val="001931B4"/>
    <w:rPr>
      <w:vertAlign w:val="superscript"/>
    </w:rPr>
  </w:style>
  <w:style w:type="paragraph" w:styleId="Caption">
    <w:name w:val="caption"/>
    <w:basedOn w:val="Normal"/>
    <w:next w:val="Normal"/>
    <w:qFormat/>
    <w:rsid w:val="00661EAD"/>
    <w:pPr>
      <w:overflowPunct/>
      <w:autoSpaceDE/>
      <w:autoSpaceDN/>
      <w:adjustRightInd/>
      <w:spacing w:before="120" w:after="120"/>
      <w:textAlignment w:val="auto"/>
    </w:pPr>
    <w:rPr>
      <w:b/>
      <w:bCs/>
      <w:sz w:val="24"/>
      <w:szCs w:val="24"/>
    </w:rPr>
  </w:style>
  <w:style w:type="paragraph" w:customStyle="1" w:styleId="DefinitionList">
    <w:name w:val="Definition List"/>
    <w:basedOn w:val="Normal"/>
    <w:next w:val="Normal"/>
    <w:rsid w:val="00661EAD"/>
    <w:pPr>
      <w:overflowPunct/>
      <w:autoSpaceDE/>
      <w:autoSpaceDN/>
      <w:adjustRightInd/>
      <w:ind w:left="360"/>
      <w:textAlignment w:val="auto"/>
    </w:pPr>
    <w:rPr>
      <w:snapToGrid w:val="0"/>
      <w:sz w:val="24"/>
      <w:szCs w:val="24"/>
    </w:rPr>
  </w:style>
  <w:style w:type="character" w:styleId="EndnoteReference">
    <w:name w:val="endnote reference"/>
    <w:semiHidden/>
    <w:rsid w:val="005756E2"/>
    <w:rPr>
      <w:vertAlign w:val="superscript"/>
    </w:rPr>
  </w:style>
  <w:style w:type="paragraph" w:styleId="PlainText">
    <w:name w:val="Plain Text"/>
    <w:basedOn w:val="Normal"/>
    <w:rsid w:val="00E34BB8"/>
    <w:pPr>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locked/>
    <w:rsid w:val="008A48BA"/>
    <w:rPr>
      <w:rFonts w:ascii="Courier New" w:hAnsi="Courier New"/>
    </w:rPr>
  </w:style>
  <w:style w:type="character" w:styleId="FollowedHyperlink">
    <w:name w:val="FollowedHyperlink"/>
    <w:rsid w:val="009D2C7F"/>
    <w:rPr>
      <w:color w:val="800080"/>
      <w:u w:val="single"/>
    </w:rPr>
  </w:style>
  <w:style w:type="paragraph" w:customStyle="1" w:styleId="ColorfulList-Accent11">
    <w:name w:val="Colorful List - Accent 11"/>
    <w:basedOn w:val="Normal"/>
    <w:uiPriority w:val="99"/>
    <w:qFormat/>
    <w:rsid w:val="00C82A77"/>
    <w:pPr>
      <w:overflowPunct/>
      <w:autoSpaceDE/>
      <w:autoSpaceDN/>
      <w:adjustRightInd/>
      <w:ind w:left="720"/>
      <w:contextualSpacing/>
      <w:textAlignment w:val="auto"/>
    </w:pPr>
    <w:rPr>
      <w:rFonts w:eastAsia="MS ??"/>
      <w:sz w:val="24"/>
      <w:szCs w:val="24"/>
    </w:rPr>
  </w:style>
  <w:style w:type="character" w:customStyle="1" w:styleId="Heading1Char">
    <w:name w:val="Heading 1 Char"/>
    <w:basedOn w:val="DefaultParagraphFont"/>
    <w:link w:val="Heading1"/>
    <w:rsid w:val="005906C3"/>
    <w:rPr>
      <w:rFonts w:asciiTheme="majorHAnsi" w:eastAsiaTheme="majorEastAsia" w:hAnsiTheme="majorHAnsi" w:cstheme="majorBidi"/>
      <w:b/>
      <w:bCs/>
      <w:kern w:val="32"/>
      <w:sz w:val="32"/>
      <w:szCs w:val="32"/>
    </w:rPr>
  </w:style>
  <w:style w:type="paragraph" w:styleId="ListParagraph">
    <w:name w:val="List Paragraph"/>
    <w:basedOn w:val="Normal"/>
    <w:qFormat/>
    <w:rsid w:val="005906C3"/>
    <w:pPr>
      <w:overflowPunct/>
      <w:autoSpaceDE/>
      <w:autoSpaceDN/>
      <w:adjustRightInd/>
      <w:ind w:left="720"/>
      <w:contextualSpacing/>
      <w:textAlignment w:val="auto"/>
    </w:pPr>
    <w:rPr>
      <w:sz w:val="24"/>
      <w:szCs w:val="24"/>
    </w:rPr>
  </w:style>
  <w:style w:type="character" w:customStyle="1" w:styleId="FootnoteTextChar">
    <w:name w:val="Footnote Text Char"/>
    <w:link w:val="FootnoteText"/>
    <w:uiPriority w:val="99"/>
    <w:rsid w:val="005906C3"/>
    <w:rPr>
      <w:rFonts w:ascii="Courier" w:hAnsi="Courier"/>
      <w:sz w:val="24"/>
    </w:rPr>
  </w:style>
  <w:style w:type="character" w:customStyle="1" w:styleId="paragraph">
    <w:name w:val="paragraph"/>
    <w:uiPriority w:val="99"/>
    <w:rsid w:val="005906C3"/>
  </w:style>
  <w:style w:type="paragraph" w:customStyle="1" w:styleId="EndNoteBibliographyTitle">
    <w:name w:val="EndNote Bibliography Title"/>
    <w:basedOn w:val="Normal"/>
    <w:rsid w:val="00566DA3"/>
    <w:pPr>
      <w:jc w:val="center"/>
    </w:pPr>
    <w:rPr>
      <w:rFonts w:ascii="Times" w:hAnsi="Times"/>
      <w:sz w:val="24"/>
    </w:rPr>
  </w:style>
  <w:style w:type="paragraph" w:customStyle="1" w:styleId="EndNoteBibliography">
    <w:name w:val="EndNote Bibliography"/>
    <w:basedOn w:val="Normal"/>
    <w:rsid w:val="00566DA3"/>
    <w:rPr>
      <w:rFonts w:ascii="Times" w:hAnsi="Time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5906C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qFormat/>
    <w:rsid w:val="00A7581A"/>
    <w:pPr>
      <w:overflowPunct/>
      <w:autoSpaceDE/>
      <w:autoSpaceDN/>
      <w:adjustRightInd/>
      <w:spacing w:before="100" w:beforeAutospacing="1" w:after="100" w:afterAutospacing="1"/>
      <w:textAlignment w:val="auto"/>
      <w:outlineLvl w:val="1"/>
    </w:pPr>
    <w:rPr>
      <w:b/>
      <w:bCs/>
      <w:sz w:val="36"/>
      <w:szCs w:val="36"/>
      <w:lang w:eastAsia="ko-KR"/>
    </w:rPr>
  </w:style>
  <w:style w:type="paragraph" w:styleId="Heading6">
    <w:name w:val="heading 6"/>
    <w:basedOn w:val="Normal"/>
    <w:next w:val="Normal"/>
    <w:qFormat/>
    <w:rsid w:val="00661EAD"/>
    <w:pPr>
      <w:overflowPunct/>
      <w:autoSpaceDE/>
      <w:autoSpaceDN/>
      <w:adjustRightInd/>
      <w:spacing w:before="240" w:after="60"/>
      <w:textAlignment w:val="auto"/>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rFonts w:ascii="Courier" w:hAnsi="Courier"/>
      <w:sz w:val="24"/>
    </w:rPr>
  </w:style>
  <w:style w:type="paragraph" w:styleId="BodyText">
    <w:name w:val="Body Text"/>
    <w:basedOn w:val="Normal"/>
    <w:pPr>
      <w:tabs>
        <w:tab w:val="left" w:pos="-720"/>
      </w:tabs>
    </w:pPr>
    <w:rPr>
      <w:rFonts w:ascii="Times" w:hAnsi="Times"/>
      <w:b/>
      <w:sz w:val="24"/>
    </w:rPr>
  </w:style>
  <w:style w:type="paragraph" w:styleId="BodyText2">
    <w:name w:val="Body Text 2"/>
    <w:basedOn w:val="Normal"/>
    <w:pPr>
      <w:tabs>
        <w:tab w:val="left" w:pos="0"/>
        <w:tab w:val="left" w:pos="720"/>
      </w:tabs>
    </w:pPr>
    <w:rPr>
      <w:b/>
      <w:sz w:val="22"/>
    </w:rPr>
  </w:style>
  <w:style w:type="character" w:styleId="Hyperlink">
    <w:name w:val="Hyperlink"/>
    <w:rPr>
      <w:color w:val="auto"/>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BodyTextIndent">
    <w:name w:val="Body Text Indent"/>
    <w:basedOn w:val="Normal"/>
    <w:pPr>
      <w:tabs>
        <w:tab w:val="left" w:pos="0"/>
      </w:tabs>
      <w:suppressAutoHyphens/>
      <w:ind w:left="720" w:hanging="720"/>
    </w:pPr>
    <w:rPr>
      <w:b/>
      <w:bCs/>
      <w:sz w:val="24"/>
    </w:rPr>
  </w:style>
  <w:style w:type="paragraph" w:styleId="BodyText3">
    <w:name w:val="Body Text 3"/>
    <w:basedOn w:val="Normal"/>
    <w:pPr>
      <w:tabs>
        <w:tab w:val="left" w:pos="-1440"/>
        <w:tab w:val="left" w:pos="-720"/>
      </w:tabs>
    </w:pPr>
    <w:rPr>
      <w:sz w:val="24"/>
    </w:rPr>
  </w:style>
  <w:style w:type="paragraph" w:styleId="Header">
    <w:name w:val="header"/>
    <w:basedOn w:val="Normal"/>
    <w:pPr>
      <w:tabs>
        <w:tab w:val="center" w:pos="4320"/>
        <w:tab w:val="right" w:pos="8640"/>
      </w:tabs>
    </w:pPr>
  </w:style>
  <w:style w:type="paragraph" w:styleId="NormalWeb">
    <w:name w:val="Normal (Web)"/>
    <w:basedOn w:val="Normal"/>
    <w:uiPriority w:val="99"/>
    <w:rsid w:val="00A7581A"/>
    <w:pPr>
      <w:overflowPunct/>
      <w:autoSpaceDE/>
      <w:autoSpaceDN/>
      <w:adjustRightInd/>
      <w:spacing w:before="100" w:beforeAutospacing="1" w:after="100" w:afterAutospacing="1"/>
      <w:textAlignment w:val="auto"/>
    </w:pPr>
    <w:rPr>
      <w:sz w:val="24"/>
      <w:szCs w:val="24"/>
      <w:lang w:eastAsia="ko-KR"/>
    </w:rPr>
  </w:style>
  <w:style w:type="paragraph" w:styleId="BalloonText">
    <w:name w:val="Balloon Text"/>
    <w:basedOn w:val="Normal"/>
    <w:semiHidden/>
    <w:rsid w:val="00775F41"/>
    <w:rPr>
      <w:rFonts w:ascii="Tahoma" w:hAnsi="Tahoma" w:cs="Tahoma"/>
      <w:sz w:val="16"/>
      <w:szCs w:val="16"/>
    </w:rPr>
  </w:style>
  <w:style w:type="character" w:styleId="FootnoteReference">
    <w:name w:val="footnote reference"/>
    <w:uiPriority w:val="99"/>
    <w:rsid w:val="001931B4"/>
    <w:rPr>
      <w:vertAlign w:val="superscript"/>
    </w:rPr>
  </w:style>
  <w:style w:type="paragraph" w:styleId="Caption">
    <w:name w:val="caption"/>
    <w:basedOn w:val="Normal"/>
    <w:next w:val="Normal"/>
    <w:qFormat/>
    <w:rsid w:val="00661EAD"/>
    <w:pPr>
      <w:overflowPunct/>
      <w:autoSpaceDE/>
      <w:autoSpaceDN/>
      <w:adjustRightInd/>
      <w:spacing w:before="120" w:after="120"/>
      <w:textAlignment w:val="auto"/>
    </w:pPr>
    <w:rPr>
      <w:b/>
      <w:bCs/>
      <w:sz w:val="24"/>
      <w:szCs w:val="24"/>
    </w:rPr>
  </w:style>
  <w:style w:type="paragraph" w:customStyle="1" w:styleId="DefinitionList">
    <w:name w:val="Definition List"/>
    <w:basedOn w:val="Normal"/>
    <w:next w:val="Normal"/>
    <w:rsid w:val="00661EAD"/>
    <w:pPr>
      <w:overflowPunct/>
      <w:autoSpaceDE/>
      <w:autoSpaceDN/>
      <w:adjustRightInd/>
      <w:ind w:left="360"/>
      <w:textAlignment w:val="auto"/>
    </w:pPr>
    <w:rPr>
      <w:snapToGrid w:val="0"/>
      <w:sz w:val="24"/>
      <w:szCs w:val="24"/>
    </w:rPr>
  </w:style>
  <w:style w:type="character" w:styleId="EndnoteReference">
    <w:name w:val="endnote reference"/>
    <w:semiHidden/>
    <w:rsid w:val="005756E2"/>
    <w:rPr>
      <w:vertAlign w:val="superscript"/>
    </w:rPr>
  </w:style>
  <w:style w:type="paragraph" w:styleId="PlainText">
    <w:name w:val="Plain Text"/>
    <w:basedOn w:val="Normal"/>
    <w:rsid w:val="00E34BB8"/>
    <w:pPr>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locked/>
    <w:rsid w:val="008A48BA"/>
    <w:rPr>
      <w:rFonts w:ascii="Courier New" w:hAnsi="Courier New"/>
    </w:rPr>
  </w:style>
  <w:style w:type="character" w:styleId="FollowedHyperlink">
    <w:name w:val="FollowedHyperlink"/>
    <w:rsid w:val="009D2C7F"/>
    <w:rPr>
      <w:color w:val="800080"/>
      <w:u w:val="single"/>
    </w:rPr>
  </w:style>
  <w:style w:type="paragraph" w:customStyle="1" w:styleId="ColorfulList-Accent11">
    <w:name w:val="Colorful List - Accent 11"/>
    <w:basedOn w:val="Normal"/>
    <w:uiPriority w:val="99"/>
    <w:qFormat/>
    <w:rsid w:val="00C82A77"/>
    <w:pPr>
      <w:overflowPunct/>
      <w:autoSpaceDE/>
      <w:autoSpaceDN/>
      <w:adjustRightInd/>
      <w:ind w:left="720"/>
      <w:contextualSpacing/>
      <w:textAlignment w:val="auto"/>
    </w:pPr>
    <w:rPr>
      <w:rFonts w:eastAsia="MS ??"/>
      <w:sz w:val="24"/>
      <w:szCs w:val="24"/>
    </w:rPr>
  </w:style>
  <w:style w:type="character" w:customStyle="1" w:styleId="Heading1Char">
    <w:name w:val="Heading 1 Char"/>
    <w:basedOn w:val="DefaultParagraphFont"/>
    <w:link w:val="Heading1"/>
    <w:rsid w:val="005906C3"/>
    <w:rPr>
      <w:rFonts w:asciiTheme="majorHAnsi" w:eastAsiaTheme="majorEastAsia" w:hAnsiTheme="majorHAnsi" w:cstheme="majorBidi"/>
      <w:b/>
      <w:bCs/>
      <w:kern w:val="32"/>
      <w:sz w:val="32"/>
      <w:szCs w:val="32"/>
    </w:rPr>
  </w:style>
  <w:style w:type="paragraph" w:styleId="ListParagraph">
    <w:name w:val="List Paragraph"/>
    <w:basedOn w:val="Normal"/>
    <w:qFormat/>
    <w:rsid w:val="005906C3"/>
    <w:pPr>
      <w:overflowPunct/>
      <w:autoSpaceDE/>
      <w:autoSpaceDN/>
      <w:adjustRightInd/>
      <w:ind w:left="720"/>
      <w:contextualSpacing/>
      <w:textAlignment w:val="auto"/>
    </w:pPr>
    <w:rPr>
      <w:sz w:val="24"/>
      <w:szCs w:val="24"/>
    </w:rPr>
  </w:style>
  <w:style w:type="character" w:customStyle="1" w:styleId="FootnoteTextChar">
    <w:name w:val="Footnote Text Char"/>
    <w:link w:val="FootnoteText"/>
    <w:uiPriority w:val="99"/>
    <w:rsid w:val="005906C3"/>
    <w:rPr>
      <w:rFonts w:ascii="Courier" w:hAnsi="Courier"/>
      <w:sz w:val="24"/>
    </w:rPr>
  </w:style>
  <w:style w:type="character" w:customStyle="1" w:styleId="paragraph">
    <w:name w:val="paragraph"/>
    <w:uiPriority w:val="99"/>
    <w:rsid w:val="005906C3"/>
  </w:style>
  <w:style w:type="paragraph" w:customStyle="1" w:styleId="EndNoteBibliographyTitle">
    <w:name w:val="EndNote Bibliography Title"/>
    <w:basedOn w:val="Normal"/>
    <w:rsid w:val="00566DA3"/>
    <w:pPr>
      <w:jc w:val="center"/>
    </w:pPr>
    <w:rPr>
      <w:rFonts w:ascii="Times" w:hAnsi="Times"/>
      <w:sz w:val="24"/>
    </w:rPr>
  </w:style>
  <w:style w:type="paragraph" w:customStyle="1" w:styleId="EndNoteBibliography">
    <w:name w:val="EndNote Bibliography"/>
    <w:basedOn w:val="Normal"/>
    <w:rsid w:val="00566DA3"/>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1729">
      <w:bodyDiv w:val="1"/>
      <w:marLeft w:val="0"/>
      <w:marRight w:val="0"/>
      <w:marTop w:val="0"/>
      <w:marBottom w:val="0"/>
      <w:divBdr>
        <w:top w:val="none" w:sz="0" w:space="0" w:color="auto"/>
        <w:left w:val="none" w:sz="0" w:space="0" w:color="auto"/>
        <w:bottom w:val="none" w:sz="0" w:space="0" w:color="auto"/>
        <w:right w:val="none" w:sz="0" w:space="0" w:color="auto"/>
      </w:divBdr>
    </w:div>
    <w:div w:id="562910301">
      <w:bodyDiv w:val="1"/>
      <w:marLeft w:val="0"/>
      <w:marRight w:val="0"/>
      <w:marTop w:val="0"/>
      <w:marBottom w:val="0"/>
      <w:divBdr>
        <w:top w:val="none" w:sz="0" w:space="0" w:color="auto"/>
        <w:left w:val="none" w:sz="0" w:space="0" w:color="auto"/>
        <w:bottom w:val="none" w:sz="0" w:space="0" w:color="auto"/>
        <w:right w:val="none" w:sz="0" w:space="0" w:color="auto"/>
      </w:divBdr>
      <w:divsChild>
        <w:div w:id="900598255">
          <w:marLeft w:val="0"/>
          <w:marRight w:val="0"/>
          <w:marTop w:val="0"/>
          <w:marBottom w:val="0"/>
          <w:divBdr>
            <w:top w:val="none" w:sz="0" w:space="0" w:color="auto"/>
            <w:left w:val="none" w:sz="0" w:space="0" w:color="auto"/>
            <w:bottom w:val="none" w:sz="0" w:space="0" w:color="auto"/>
            <w:right w:val="none" w:sz="0" w:space="0" w:color="auto"/>
          </w:divBdr>
          <w:divsChild>
            <w:div w:id="855726228">
              <w:marLeft w:val="150"/>
              <w:marRight w:val="0"/>
              <w:marTop w:val="0"/>
              <w:marBottom w:val="0"/>
              <w:divBdr>
                <w:top w:val="none" w:sz="0" w:space="0" w:color="auto"/>
                <w:left w:val="none" w:sz="0" w:space="0" w:color="auto"/>
                <w:bottom w:val="none" w:sz="0" w:space="0" w:color="auto"/>
                <w:right w:val="none" w:sz="0" w:space="0" w:color="auto"/>
              </w:divBdr>
              <w:divsChild>
                <w:div w:id="17266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6008">
      <w:bodyDiv w:val="1"/>
      <w:marLeft w:val="0"/>
      <w:marRight w:val="0"/>
      <w:marTop w:val="0"/>
      <w:marBottom w:val="0"/>
      <w:divBdr>
        <w:top w:val="none" w:sz="0" w:space="0" w:color="auto"/>
        <w:left w:val="none" w:sz="0" w:space="0" w:color="auto"/>
        <w:bottom w:val="none" w:sz="0" w:space="0" w:color="auto"/>
        <w:right w:val="none" w:sz="0" w:space="0" w:color="auto"/>
      </w:divBdr>
      <w:divsChild>
        <w:div w:id="1806849666">
          <w:marLeft w:val="0"/>
          <w:marRight w:val="0"/>
          <w:marTop w:val="0"/>
          <w:marBottom w:val="0"/>
          <w:divBdr>
            <w:top w:val="none" w:sz="0" w:space="0" w:color="auto"/>
            <w:left w:val="none" w:sz="0" w:space="0" w:color="auto"/>
            <w:bottom w:val="none" w:sz="0" w:space="0" w:color="auto"/>
            <w:right w:val="none" w:sz="0" w:space="0" w:color="auto"/>
          </w:divBdr>
          <w:divsChild>
            <w:div w:id="1949466209">
              <w:marLeft w:val="0"/>
              <w:marRight w:val="0"/>
              <w:marTop w:val="0"/>
              <w:marBottom w:val="0"/>
              <w:divBdr>
                <w:top w:val="none" w:sz="0" w:space="0" w:color="auto"/>
                <w:left w:val="none" w:sz="0" w:space="0" w:color="auto"/>
                <w:bottom w:val="none" w:sz="0" w:space="0" w:color="auto"/>
                <w:right w:val="none" w:sz="0" w:space="0" w:color="auto"/>
              </w:divBdr>
              <w:divsChild>
                <w:div w:id="1247230293">
                  <w:marLeft w:val="0"/>
                  <w:marRight w:val="0"/>
                  <w:marTop w:val="0"/>
                  <w:marBottom w:val="0"/>
                  <w:divBdr>
                    <w:top w:val="none" w:sz="0" w:space="0" w:color="auto"/>
                    <w:left w:val="none" w:sz="0" w:space="0" w:color="auto"/>
                    <w:bottom w:val="none" w:sz="0" w:space="0" w:color="auto"/>
                    <w:right w:val="none" w:sz="0" w:space="0" w:color="auto"/>
                  </w:divBdr>
                  <w:divsChild>
                    <w:div w:id="1095517524">
                      <w:marLeft w:val="0"/>
                      <w:marRight w:val="0"/>
                      <w:marTop w:val="0"/>
                      <w:marBottom w:val="0"/>
                      <w:divBdr>
                        <w:top w:val="none" w:sz="0" w:space="0" w:color="auto"/>
                        <w:left w:val="none" w:sz="0" w:space="0" w:color="auto"/>
                        <w:bottom w:val="none" w:sz="0" w:space="0" w:color="auto"/>
                        <w:right w:val="none" w:sz="0" w:space="0" w:color="auto"/>
                      </w:divBdr>
                    </w:div>
                  </w:divsChild>
                </w:div>
                <w:div w:id="20279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29746">
      <w:bodyDiv w:val="1"/>
      <w:marLeft w:val="0"/>
      <w:marRight w:val="0"/>
      <w:marTop w:val="0"/>
      <w:marBottom w:val="0"/>
      <w:divBdr>
        <w:top w:val="none" w:sz="0" w:space="0" w:color="auto"/>
        <w:left w:val="none" w:sz="0" w:space="0" w:color="auto"/>
        <w:bottom w:val="none" w:sz="0" w:space="0" w:color="auto"/>
        <w:right w:val="none" w:sz="0" w:space="0" w:color="auto"/>
      </w:divBdr>
    </w:div>
    <w:div w:id="1823807729">
      <w:bodyDiv w:val="1"/>
      <w:marLeft w:val="0"/>
      <w:marRight w:val="0"/>
      <w:marTop w:val="0"/>
      <w:marBottom w:val="0"/>
      <w:divBdr>
        <w:top w:val="none" w:sz="0" w:space="0" w:color="auto"/>
        <w:left w:val="none" w:sz="0" w:space="0" w:color="auto"/>
        <w:bottom w:val="none" w:sz="0" w:space="0" w:color="auto"/>
        <w:right w:val="none" w:sz="0" w:space="0" w:color="auto"/>
      </w:divBdr>
      <w:divsChild>
        <w:div w:id="1147086486">
          <w:marLeft w:val="0"/>
          <w:marRight w:val="0"/>
          <w:marTop w:val="0"/>
          <w:marBottom w:val="0"/>
          <w:divBdr>
            <w:top w:val="none" w:sz="0" w:space="0" w:color="auto"/>
            <w:left w:val="none" w:sz="0" w:space="0" w:color="auto"/>
            <w:bottom w:val="none" w:sz="0" w:space="0" w:color="auto"/>
            <w:right w:val="none" w:sz="0" w:space="0" w:color="auto"/>
          </w:divBdr>
          <w:divsChild>
            <w:div w:id="2078819541">
              <w:marLeft w:val="0"/>
              <w:marRight w:val="0"/>
              <w:marTop w:val="0"/>
              <w:marBottom w:val="0"/>
              <w:divBdr>
                <w:top w:val="none" w:sz="0" w:space="0" w:color="auto"/>
                <w:left w:val="none" w:sz="0" w:space="0" w:color="auto"/>
                <w:bottom w:val="none" w:sz="0" w:space="0" w:color="auto"/>
                <w:right w:val="none" w:sz="0" w:space="0" w:color="auto"/>
              </w:divBdr>
              <w:divsChild>
                <w:div w:id="826750836">
                  <w:marLeft w:val="0"/>
                  <w:marRight w:val="0"/>
                  <w:marTop w:val="0"/>
                  <w:marBottom w:val="0"/>
                  <w:divBdr>
                    <w:top w:val="none" w:sz="0" w:space="0" w:color="auto"/>
                    <w:left w:val="none" w:sz="0" w:space="0" w:color="auto"/>
                    <w:bottom w:val="none" w:sz="0" w:space="0" w:color="auto"/>
                    <w:right w:val="none" w:sz="0" w:space="0" w:color="auto"/>
                  </w:divBdr>
                  <w:divsChild>
                    <w:div w:id="69812340">
                      <w:marLeft w:val="0"/>
                      <w:marRight w:val="0"/>
                      <w:marTop w:val="0"/>
                      <w:marBottom w:val="0"/>
                      <w:divBdr>
                        <w:top w:val="none" w:sz="0" w:space="0" w:color="auto"/>
                        <w:left w:val="none" w:sz="0" w:space="0" w:color="auto"/>
                        <w:bottom w:val="none" w:sz="0" w:space="0" w:color="auto"/>
                        <w:right w:val="none" w:sz="0" w:space="0" w:color="auto"/>
                      </w:divBdr>
                    </w:div>
                  </w:divsChild>
                </w:div>
                <w:div w:id="1814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0113">
      <w:bodyDiv w:val="1"/>
      <w:marLeft w:val="15"/>
      <w:marRight w:val="15"/>
      <w:marTop w:val="15"/>
      <w:marBottom w:val="15"/>
      <w:divBdr>
        <w:top w:val="none" w:sz="0" w:space="0" w:color="auto"/>
        <w:left w:val="none" w:sz="0" w:space="0" w:color="auto"/>
        <w:bottom w:val="none" w:sz="0" w:space="0" w:color="auto"/>
        <w:right w:val="none" w:sz="0" w:space="0" w:color="auto"/>
      </w:divBdr>
      <w:divsChild>
        <w:div w:id="1679624349">
          <w:marLeft w:val="0"/>
          <w:marRight w:val="0"/>
          <w:marTop w:val="120"/>
          <w:marBottom w:val="240"/>
          <w:divBdr>
            <w:top w:val="none" w:sz="0" w:space="0" w:color="auto"/>
            <w:left w:val="none" w:sz="0" w:space="0" w:color="auto"/>
            <w:bottom w:val="none" w:sz="0" w:space="0" w:color="auto"/>
            <w:right w:val="none" w:sz="0" w:space="0" w:color="auto"/>
          </w:divBdr>
          <w:divsChild>
            <w:div w:id="1090859245">
              <w:marLeft w:val="0"/>
              <w:marRight w:val="0"/>
              <w:marTop w:val="120"/>
              <w:marBottom w:val="0"/>
              <w:divBdr>
                <w:top w:val="none" w:sz="0" w:space="0" w:color="auto"/>
                <w:left w:val="none" w:sz="0" w:space="0" w:color="auto"/>
                <w:bottom w:val="none" w:sz="0" w:space="0" w:color="auto"/>
                <w:right w:val="none" w:sz="0" w:space="0" w:color="auto"/>
              </w:divBdr>
            </w:div>
            <w:div w:id="21190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emf"/><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health.nytimes.com/health/guides/nutrition/cholesterol/overview.html?inline=nyt-classifier" TargetMode="External"/><Relationship Id="rId10" Type="http://schemas.openxmlformats.org/officeDocument/2006/relationships/hyperlink" Target="http://my.americanheart.org/professional/StatementsGuidelines/PreventionGuidelines/Prevention-Guidelines_UCM_457698_SubHomePage.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06786-1F8C-804C-9F0A-8BA73911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1964</Words>
  <Characters>11197</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C:\My Documents\TEACH\CLINEPI\ATCR\answersSession4only2001</vt:lpstr>
    </vt:vector>
  </TitlesOfParts>
  <Company>UCSF-Epi. &amp; Bios.</Company>
  <LinksUpToDate>false</LinksUpToDate>
  <CharactersWithSpaces>13135</CharactersWithSpaces>
  <SharedDoc>false</SharedDoc>
  <HLinks>
    <vt:vector size="42" baseType="variant">
      <vt:variant>
        <vt:i4>720980</vt:i4>
      </vt:variant>
      <vt:variant>
        <vt:i4>26</vt:i4>
      </vt:variant>
      <vt:variant>
        <vt:i4>0</vt:i4>
      </vt:variant>
      <vt:variant>
        <vt:i4>5</vt:i4>
      </vt:variant>
      <vt:variant>
        <vt:lpwstr>http://seer.cancer.gov/statfacts/html/prost.html</vt:lpwstr>
      </vt:variant>
      <vt:variant>
        <vt:lpwstr/>
      </vt:variant>
      <vt:variant>
        <vt:i4>6553682</vt:i4>
      </vt:variant>
      <vt:variant>
        <vt:i4>23</vt:i4>
      </vt:variant>
      <vt:variant>
        <vt:i4>0</vt:i4>
      </vt:variant>
      <vt:variant>
        <vt:i4>5</vt:i4>
      </vt:variant>
      <vt:variant>
        <vt:lpwstr>http://www.uspreventiveservicestaskforce.org/uspstf12/prostate/draftrecprostate.htm</vt:lpwstr>
      </vt:variant>
      <vt:variant>
        <vt:lpwstr/>
      </vt:variant>
      <vt:variant>
        <vt:i4>4653149</vt:i4>
      </vt:variant>
      <vt:variant>
        <vt:i4>20</vt:i4>
      </vt:variant>
      <vt:variant>
        <vt:i4>0</vt:i4>
      </vt:variant>
      <vt:variant>
        <vt:i4>5</vt:i4>
      </vt:variant>
      <vt:variant>
        <vt:lpwstr>http://content.usatoday.com/topics/topic/U.S.+Preventive+Services+Task+Force</vt:lpwstr>
      </vt:variant>
      <vt:variant>
        <vt:lpwstr/>
      </vt:variant>
      <vt:variant>
        <vt:i4>4980763</vt:i4>
      </vt:variant>
      <vt:variant>
        <vt:i4>17</vt:i4>
      </vt:variant>
      <vt:variant>
        <vt:i4>0</vt:i4>
      </vt:variant>
      <vt:variant>
        <vt:i4>5</vt:i4>
      </vt:variant>
      <vt:variant>
        <vt:lpwstr>http://www.usatoday.com/news/opinion/editorials/story/2011-10-10/PSA-test-prostate-cancer/50723714/1</vt:lpwstr>
      </vt:variant>
      <vt:variant>
        <vt:lpwstr/>
      </vt:variant>
      <vt:variant>
        <vt:i4>4521995</vt:i4>
      </vt:variant>
      <vt:variant>
        <vt:i4>13</vt:i4>
      </vt:variant>
      <vt:variant>
        <vt:i4>0</vt:i4>
      </vt:variant>
      <vt:variant>
        <vt:i4>5</vt:i4>
      </vt:variant>
      <vt:variant>
        <vt:lpwstr/>
      </vt:variant>
      <vt:variant>
        <vt:lpwstr>_ENREF_4</vt:lpwstr>
      </vt:variant>
      <vt:variant>
        <vt:i4>4194315</vt:i4>
      </vt:variant>
      <vt:variant>
        <vt:i4>5</vt:i4>
      </vt:variant>
      <vt:variant>
        <vt:i4>0</vt:i4>
      </vt:variant>
      <vt:variant>
        <vt:i4>5</vt:i4>
      </vt:variant>
      <vt:variant>
        <vt:lpwstr/>
      </vt:variant>
      <vt:variant>
        <vt:lpwstr>_ENREF_1</vt:lpwstr>
      </vt:variant>
      <vt:variant>
        <vt:i4>983058</vt:i4>
      </vt:variant>
      <vt:variant>
        <vt:i4>15597</vt:i4>
      </vt:variant>
      <vt:variant>
        <vt:i4>1025</vt:i4>
      </vt:variant>
      <vt:variant>
        <vt:i4>1</vt:i4>
      </vt:variant>
      <vt:variant>
        <vt:lpwstr>Screen Shot 2013-10-15 at 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C:\My Documents\TEACH\CLINEPI\ATCR\answersSession4only2001</dc:title>
  <dc:creator>Thomas Newman</dc:creator>
  <cp:lastModifiedBy>Tom Newman</cp:lastModifiedBy>
  <cp:revision>2</cp:revision>
  <cp:lastPrinted>2015-10-29T17:57:00Z</cp:lastPrinted>
  <dcterms:created xsi:type="dcterms:W3CDTF">2016-10-21T16:46:00Z</dcterms:created>
  <dcterms:modified xsi:type="dcterms:W3CDTF">2016-10-21T16:46:00Z</dcterms:modified>
</cp:coreProperties>
</file>