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8065" w:tblpY="-974"/>
        <w:tblW w:w="3915" w:type="dxa"/>
        <w:tblLayout w:type="fixed"/>
        <w:tblLook w:val="0000" w:firstRow="0" w:lastRow="0" w:firstColumn="0" w:lastColumn="0" w:noHBand="0" w:noVBand="0"/>
      </w:tblPr>
      <w:tblGrid>
        <w:gridCol w:w="900"/>
        <w:gridCol w:w="1080"/>
        <w:gridCol w:w="990"/>
        <w:gridCol w:w="945"/>
      </w:tblGrid>
      <w:tr w:rsidR="00332108" w:rsidRPr="00A12E08" w14:paraId="1F9DC7EE" w14:textId="77777777" w:rsidTr="00332108">
        <w:trPr>
          <w:trHeight w:val="480"/>
        </w:trPr>
        <w:tc>
          <w:tcPr>
            <w:tcW w:w="900" w:type="dxa"/>
            <w:tcBorders>
              <w:top w:val="single" w:sz="4" w:space="0" w:color="auto"/>
              <w:left w:val="single" w:sz="4" w:space="0" w:color="auto"/>
              <w:bottom w:val="single" w:sz="4" w:space="0" w:color="auto"/>
              <w:right w:val="single" w:sz="4" w:space="0" w:color="auto"/>
            </w:tcBorders>
            <w:noWrap/>
            <w:vAlign w:val="bottom"/>
          </w:tcPr>
          <w:p w14:paraId="431CDF4B" w14:textId="77777777" w:rsidR="00946D26" w:rsidRPr="00A12E08" w:rsidRDefault="00512A48" w:rsidP="00332108">
            <w:pPr>
              <w:rPr>
                <w:rFonts w:ascii="Arial" w:hAnsi="Arial" w:cs="Arial"/>
              </w:rPr>
            </w:pPr>
            <w:r w:rsidRPr="00A12E08">
              <w:rPr>
                <w:rFonts w:ascii="Arial" w:hAnsi="Arial" w:cs="Arial"/>
              </w:rPr>
              <w:t xml:space="preserve">  </w:t>
            </w:r>
            <w:r w:rsidR="00946D26" w:rsidRPr="00A12E08">
              <w:rPr>
                <w:rFonts w:ascii="Arial" w:hAnsi="Arial" w:cs="Arial"/>
              </w:rPr>
              <w:t>#</w:t>
            </w:r>
          </w:p>
        </w:tc>
        <w:tc>
          <w:tcPr>
            <w:tcW w:w="1080" w:type="dxa"/>
            <w:tcBorders>
              <w:top w:val="single" w:sz="4" w:space="0" w:color="auto"/>
              <w:left w:val="nil"/>
              <w:bottom w:val="single" w:sz="4" w:space="0" w:color="auto"/>
              <w:right w:val="single" w:sz="4" w:space="0" w:color="auto"/>
            </w:tcBorders>
          </w:tcPr>
          <w:p w14:paraId="45AF11EB" w14:textId="77777777" w:rsidR="00946D26" w:rsidRPr="008457A0" w:rsidRDefault="00946D26" w:rsidP="00332108">
            <w:pPr>
              <w:rPr>
                <w:rFonts w:ascii="Arial" w:hAnsi="Arial" w:cs="Arial"/>
                <w:sz w:val="22"/>
                <w:szCs w:val="22"/>
              </w:rPr>
            </w:pPr>
            <w:r w:rsidRPr="008457A0">
              <w:rPr>
                <w:rFonts w:ascii="Arial" w:hAnsi="Arial" w:cs="Arial"/>
                <w:sz w:val="22"/>
                <w:szCs w:val="22"/>
              </w:rPr>
              <w:t>Pts Possible</w:t>
            </w:r>
          </w:p>
        </w:tc>
        <w:tc>
          <w:tcPr>
            <w:tcW w:w="990" w:type="dxa"/>
            <w:tcBorders>
              <w:top w:val="single" w:sz="4" w:space="0" w:color="auto"/>
              <w:left w:val="nil"/>
              <w:bottom w:val="single" w:sz="4" w:space="0" w:color="auto"/>
              <w:right w:val="single" w:sz="4" w:space="0" w:color="auto"/>
            </w:tcBorders>
          </w:tcPr>
          <w:p w14:paraId="684F3DC2" w14:textId="77777777" w:rsidR="00946D26" w:rsidRPr="008457A0" w:rsidRDefault="00946D26" w:rsidP="00332108">
            <w:pPr>
              <w:rPr>
                <w:rFonts w:ascii="Arial" w:hAnsi="Arial" w:cs="Arial"/>
                <w:sz w:val="22"/>
                <w:szCs w:val="22"/>
              </w:rPr>
            </w:pPr>
            <w:r w:rsidRPr="008457A0">
              <w:rPr>
                <w:rFonts w:ascii="Arial" w:hAnsi="Arial" w:cs="Arial"/>
                <w:sz w:val="22"/>
                <w:szCs w:val="22"/>
              </w:rPr>
              <w:t>Pts missed</w:t>
            </w:r>
          </w:p>
        </w:tc>
        <w:tc>
          <w:tcPr>
            <w:tcW w:w="945" w:type="dxa"/>
            <w:tcBorders>
              <w:top w:val="single" w:sz="4" w:space="0" w:color="auto"/>
              <w:left w:val="nil"/>
              <w:bottom w:val="single" w:sz="4" w:space="0" w:color="auto"/>
              <w:right w:val="single" w:sz="4" w:space="0" w:color="auto"/>
            </w:tcBorders>
          </w:tcPr>
          <w:p w14:paraId="43013011" w14:textId="77777777" w:rsidR="00946D26" w:rsidRPr="008457A0" w:rsidRDefault="00946D26" w:rsidP="00332108">
            <w:pPr>
              <w:rPr>
                <w:rFonts w:ascii="Arial" w:hAnsi="Arial" w:cs="Arial"/>
                <w:sz w:val="22"/>
                <w:szCs w:val="22"/>
              </w:rPr>
            </w:pPr>
            <w:r w:rsidRPr="008457A0">
              <w:rPr>
                <w:rFonts w:ascii="Arial" w:hAnsi="Arial" w:cs="Arial"/>
                <w:sz w:val="22"/>
                <w:szCs w:val="22"/>
              </w:rPr>
              <w:t>Extra Credit</w:t>
            </w:r>
          </w:p>
        </w:tc>
      </w:tr>
      <w:tr w:rsidR="00332108" w:rsidRPr="00A12E08" w14:paraId="5EBA3C8A"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030BC171" w14:textId="77777777" w:rsidR="00946D26" w:rsidRPr="00A12E08" w:rsidRDefault="00946D26" w:rsidP="00332108">
            <w:pPr>
              <w:jc w:val="center"/>
              <w:rPr>
                <w:rFonts w:ascii="Arial" w:hAnsi="Arial" w:cs="Arial"/>
              </w:rPr>
            </w:pPr>
            <w:r w:rsidRPr="00A12E08">
              <w:rPr>
                <w:rFonts w:ascii="Arial" w:hAnsi="Arial" w:cs="Arial"/>
              </w:rPr>
              <w:t>1</w:t>
            </w:r>
          </w:p>
        </w:tc>
        <w:tc>
          <w:tcPr>
            <w:tcW w:w="1080" w:type="dxa"/>
            <w:tcBorders>
              <w:top w:val="nil"/>
              <w:left w:val="nil"/>
              <w:bottom w:val="single" w:sz="4" w:space="0" w:color="auto"/>
              <w:right w:val="single" w:sz="4" w:space="0" w:color="auto"/>
            </w:tcBorders>
            <w:noWrap/>
            <w:vAlign w:val="bottom"/>
          </w:tcPr>
          <w:p w14:paraId="7508C691" w14:textId="6BEEFA27" w:rsidR="00946D26" w:rsidRPr="00A12E08" w:rsidRDefault="00E15CDA" w:rsidP="00332108">
            <w:pPr>
              <w:jc w:val="right"/>
              <w:rPr>
                <w:rFonts w:ascii="Arial" w:hAnsi="Arial" w:cs="Arial"/>
              </w:rPr>
            </w:pPr>
            <w:r>
              <w:rPr>
                <w:rFonts w:ascii="Arial" w:hAnsi="Arial" w:cs="Arial"/>
              </w:rPr>
              <w:t>10</w:t>
            </w:r>
          </w:p>
        </w:tc>
        <w:tc>
          <w:tcPr>
            <w:tcW w:w="990" w:type="dxa"/>
            <w:tcBorders>
              <w:top w:val="nil"/>
              <w:left w:val="nil"/>
              <w:bottom w:val="single" w:sz="4" w:space="0" w:color="auto"/>
              <w:right w:val="single" w:sz="4" w:space="0" w:color="auto"/>
            </w:tcBorders>
            <w:noWrap/>
            <w:vAlign w:val="bottom"/>
          </w:tcPr>
          <w:p w14:paraId="6CB6A38F"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35AD91AC"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288DF3E1"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29B157CB" w14:textId="40094C6D" w:rsidR="00946D26" w:rsidRPr="00A12E08" w:rsidRDefault="00946D26" w:rsidP="00332108">
            <w:pPr>
              <w:jc w:val="center"/>
              <w:rPr>
                <w:rFonts w:ascii="Arial" w:hAnsi="Arial" w:cs="Arial"/>
              </w:rPr>
            </w:pPr>
            <w:r w:rsidRPr="00A12E08">
              <w:rPr>
                <w:rFonts w:ascii="Arial" w:hAnsi="Arial" w:cs="Arial"/>
              </w:rPr>
              <w:t>2</w:t>
            </w:r>
          </w:p>
        </w:tc>
        <w:tc>
          <w:tcPr>
            <w:tcW w:w="1080" w:type="dxa"/>
            <w:tcBorders>
              <w:top w:val="nil"/>
              <w:left w:val="nil"/>
              <w:bottom w:val="single" w:sz="4" w:space="0" w:color="auto"/>
              <w:right w:val="single" w:sz="4" w:space="0" w:color="auto"/>
            </w:tcBorders>
            <w:noWrap/>
            <w:vAlign w:val="bottom"/>
          </w:tcPr>
          <w:p w14:paraId="1381E289" w14:textId="49FF8907" w:rsidR="00946D26" w:rsidRPr="00A12E08" w:rsidRDefault="00E15CDA" w:rsidP="00332108">
            <w:pPr>
              <w:jc w:val="right"/>
              <w:rPr>
                <w:rFonts w:ascii="Arial" w:hAnsi="Arial" w:cs="Arial"/>
              </w:rPr>
            </w:pPr>
            <w:r>
              <w:rPr>
                <w:rFonts w:ascii="Arial" w:hAnsi="Arial" w:cs="Arial"/>
              </w:rPr>
              <w:t>8</w:t>
            </w:r>
          </w:p>
        </w:tc>
        <w:tc>
          <w:tcPr>
            <w:tcW w:w="990" w:type="dxa"/>
            <w:tcBorders>
              <w:top w:val="nil"/>
              <w:left w:val="nil"/>
              <w:bottom w:val="single" w:sz="4" w:space="0" w:color="auto"/>
              <w:right w:val="single" w:sz="4" w:space="0" w:color="auto"/>
            </w:tcBorders>
            <w:noWrap/>
            <w:vAlign w:val="bottom"/>
          </w:tcPr>
          <w:p w14:paraId="78DC68CC"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3AAD61CE"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48332C69"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68D1C29F" w14:textId="77777777" w:rsidR="00946D26" w:rsidRPr="00A12E08" w:rsidRDefault="00946D26" w:rsidP="00332108">
            <w:pPr>
              <w:jc w:val="center"/>
              <w:rPr>
                <w:rFonts w:ascii="Arial" w:hAnsi="Arial" w:cs="Arial"/>
              </w:rPr>
            </w:pPr>
            <w:r w:rsidRPr="00A12E08">
              <w:rPr>
                <w:rFonts w:ascii="Arial" w:hAnsi="Arial" w:cs="Arial"/>
              </w:rPr>
              <w:t>3</w:t>
            </w:r>
          </w:p>
        </w:tc>
        <w:tc>
          <w:tcPr>
            <w:tcW w:w="1080" w:type="dxa"/>
            <w:tcBorders>
              <w:top w:val="nil"/>
              <w:left w:val="nil"/>
              <w:bottom w:val="single" w:sz="4" w:space="0" w:color="auto"/>
              <w:right w:val="single" w:sz="4" w:space="0" w:color="auto"/>
            </w:tcBorders>
            <w:noWrap/>
            <w:vAlign w:val="bottom"/>
          </w:tcPr>
          <w:p w14:paraId="52243D54" w14:textId="6B38A9E2" w:rsidR="00946D26" w:rsidRPr="00A12E08" w:rsidRDefault="00E15CDA" w:rsidP="00332108">
            <w:pPr>
              <w:jc w:val="right"/>
              <w:rPr>
                <w:rFonts w:ascii="Arial" w:hAnsi="Arial" w:cs="Arial"/>
              </w:rPr>
            </w:pPr>
            <w:r>
              <w:rPr>
                <w:rFonts w:ascii="Arial" w:hAnsi="Arial" w:cs="Arial"/>
              </w:rPr>
              <w:t>15</w:t>
            </w:r>
          </w:p>
        </w:tc>
        <w:tc>
          <w:tcPr>
            <w:tcW w:w="990" w:type="dxa"/>
            <w:tcBorders>
              <w:top w:val="nil"/>
              <w:left w:val="nil"/>
              <w:bottom w:val="single" w:sz="4" w:space="0" w:color="auto"/>
              <w:right w:val="single" w:sz="4" w:space="0" w:color="auto"/>
            </w:tcBorders>
            <w:noWrap/>
            <w:vAlign w:val="bottom"/>
          </w:tcPr>
          <w:p w14:paraId="5351AB1D"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7F1E4B14"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05C9500A"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6E3B9295" w14:textId="77777777" w:rsidR="00946D26" w:rsidRPr="00A12E08" w:rsidRDefault="00946D26" w:rsidP="00332108">
            <w:pPr>
              <w:jc w:val="center"/>
              <w:rPr>
                <w:rFonts w:ascii="Arial" w:hAnsi="Arial" w:cs="Arial"/>
              </w:rPr>
            </w:pPr>
            <w:r w:rsidRPr="00A12E08">
              <w:rPr>
                <w:rFonts w:ascii="Arial" w:hAnsi="Arial" w:cs="Arial"/>
              </w:rPr>
              <w:t>4</w:t>
            </w:r>
          </w:p>
        </w:tc>
        <w:tc>
          <w:tcPr>
            <w:tcW w:w="1080" w:type="dxa"/>
            <w:tcBorders>
              <w:top w:val="nil"/>
              <w:left w:val="nil"/>
              <w:bottom w:val="single" w:sz="4" w:space="0" w:color="auto"/>
              <w:right w:val="single" w:sz="4" w:space="0" w:color="auto"/>
            </w:tcBorders>
            <w:noWrap/>
            <w:vAlign w:val="bottom"/>
          </w:tcPr>
          <w:p w14:paraId="7E73412E" w14:textId="77DA22DB" w:rsidR="00946D26" w:rsidRPr="00A12E08" w:rsidRDefault="00E15CDA" w:rsidP="00332108">
            <w:pPr>
              <w:jc w:val="right"/>
              <w:rPr>
                <w:rFonts w:ascii="Arial" w:hAnsi="Arial" w:cs="Arial"/>
              </w:rPr>
            </w:pPr>
            <w:r>
              <w:rPr>
                <w:rFonts w:ascii="Arial" w:hAnsi="Arial" w:cs="Arial"/>
              </w:rPr>
              <w:t>5</w:t>
            </w:r>
          </w:p>
        </w:tc>
        <w:tc>
          <w:tcPr>
            <w:tcW w:w="990" w:type="dxa"/>
            <w:tcBorders>
              <w:top w:val="nil"/>
              <w:left w:val="nil"/>
              <w:bottom w:val="single" w:sz="4" w:space="0" w:color="auto"/>
              <w:right w:val="single" w:sz="4" w:space="0" w:color="auto"/>
            </w:tcBorders>
            <w:noWrap/>
            <w:vAlign w:val="bottom"/>
          </w:tcPr>
          <w:p w14:paraId="26988703"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448036F6"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6EC8BA86"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17104CDA" w14:textId="77777777" w:rsidR="00946D26" w:rsidRPr="00A12E08" w:rsidRDefault="00946D26" w:rsidP="00332108">
            <w:pPr>
              <w:jc w:val="center"/>
              <w:rPr>
                <w:rFonts w:ascii="Arial" w:hAnsi="Arial" w:cs="Arial"/>
              </w:rPr>
            </w:pPr>
            <w:r w:rsidRPr="00A12E08">
              <w:rPr>
                <w:rFonts w:ascii="Arial" w:hAnsi="Arial" w:cs="Arial"/>
              </w:rPr>
              <w:t>5</w:t>
            </w:r>
          </w:p>
        </w:tc>
        <w:tc>
          <w:tcPr>
            <w:tcW w:w="1080" w:type="dxa"/>
            <w:tcBorders>
              <w:top w:val="nil"/>
              <w:left w:val="nil"/>
              <w:bottom w:val="single" w:sz="4" w:space="0" w:color="auto"/>
              <w:right w:val="single" w:sz="4" w:space="0" w:color="auto"/>
            </w:tcBorders>
            <w:noWrap/>
            <w:vAlign w:val="bottom"/>
          </w:tcPr>
          <w:p w14:paraId="67610A07" w14:textId="06783129" w:rsidR="00946D26" w:rsidRPr="00A12E08" w:rsidRDefault="00E15CDA" w:rsidP="00332108">
            <w:pPr>
              <w:jc w:val="right"/>
              <w:rPr>
                <w:rFonts w:ascii="Arial" w:hAnsi="Arial" w:cs="Arial"/>
              </w:rPr>
            </w:pPr>
            <w:r>
              <w:rPr>
                <w:rFonts w:ascii="Arial" w:hAnsi="Arial" w:cs="Arial"/>
              </w:rPr>
              <w:t>10</w:t>
            </w:r>
          </w:p>
        </w:tc>
        <w:tc>
          <w:tcPr>
            <w:tcW w:w="990" w:type="dxa"/>
            <w:tcBorders>
              <w:top w:val="nil"/>
              <w:left w:val="nil"/>
              <w:bottom w:val="single" w:sz="4" w:space="0" w:color="auto"/>
              <w:right w:val="single" w:sz="4" w:space="0" w:color="auto"/>
            </w:tcBorders>
            <w:noWrap/>
            <w:vAlign w:val="bottom"/>
          </w:tcPr>
          <w:p w14:paraId="10CAAFA6"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4AC12582"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41B98F3A"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25A89FC4" w14:textId="77777777" w:rsidR="00946D26" w:rsidRPr="00A12E08" w:rsidRDefault="00946D26" w:rsidP="00332108">
            <w:pPr>
              <w:jc w:val="center"/>
              <w:rPr>
                <w:rFonts w:ascii="Arial" w:hAnsi="Arial" w:cs="Arial"/>
              </w:rPr>
            </w:pPr>
            <w:r w:rsidRPr="00A12E08">
              <w:rPr>
                <w:rFonts w:ascii="Arial" w:hAnsi="Arial" w:cs="Arial"/>
              </w:rPr>
              <w:t>6</w:t>
            </w:r>
          </w:p>
        </w:tc>
        <w:tc>
          <w:tcPr>
            <w:tcW w:w="1080" w:type="dxa"/>
            <w:tcBorders>
              <w:top w:val="nil"/>
              <w:left w:val="nil"/>
              <w:bottom w:val="single" w:sz="4" w:space="0" w:color="auto"/>
              <w:right w:val="single" w:sz="4" w:space="0" w:color="auto"/>
            </w:tcBorders>
            <w:noWrap/>
            <w:vAlign w:val="bottom"/>
          </w:tcPr>
          <w:p w14:paraId="5105EA0F" w14:textId="43D94363" w:rsidR="00946D26" w:rsidRPr="00A12E08" w:rsidRDefault="00E15CDA" w:rsidP="002572C8">
            <w:pPr>
              <w:jc w:val="right"/>
              <w:rPr>
                <w:rFonts w:ascii="Arial" w:hAnsi="Arial" w:cs="Arial"/>
              </w:rPr>
            </w:pPr>
            <w:r>
              <w:rPr>
                <w:rFonts w:ascii="Arial" w:hAnsi="Arial" w:cs="Arial"/>
              </w:rPr>
              <w:t>1</w:t>
            </w:r>
            <w:r w:rsidR="002572C8">
              <w:rPr>
                <w:rFonts w:ascii="Arial" w:hAnsi="Arial" w:cs="Arial"/>
              </w:rPr>
              <w:t>9</w:t>
            </w:r>
          </w:p>
        </w:tc>
        <w:tc>
          <w:tcPr>
            <w:tcW w:w="990" w:type="dxa"/>
            <w:tcBorders>
              <w:top w:val="nil"/>
              <w:left w:val="nil"/>
              <w:bottom w:val="single" w:sz="4" w:space="0" w:color="auto"/>
              <w:right w:val="single" w:sz="4" w:space="0" w:color="auto"/>
            </w:tcBorders>
            <w:noWrap/>
            <w:vAlign w:val="bottom"/>
          </w:tcPr>
          <w:p w14:paraId="6AF122B4"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3FCD4AC0"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559F2283"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06B877FE" w14:textId="77777777" w:rsidR="00946D26" w:rsidRPr="00A12E08" w:rsidRDefault="00946D26" w:rsidP="00332108">
            <w:pPr>
              <w:jc w:val="center"/>
              <w:rPr>
                <w:rFonts w:ascii="Arial" w:hAnsi="Arial" w:cs="Arial"/>
              </w:rPr>
            </w:pPr>
            <w:r w:rsidRPr="00A12E08">
              <w:rPr>
                <w:rFonts w:ascii="Arial" w:hAnsi="Arial" w:cs="Arial"/>
              </w:rPr>
              <w:t>7</w:t>
            </w:r>
          </w:p>
        </w:tc>
        <w:tc>
          <w:tcPr>
            <w:tcW w:w="1080" w:type="dxa"/>
            <w:tcBorders>
              <w:top w:val="nil"/>
              <w:left w:val="nil"/>
              <w:bottom w:val="single" w:sz="4" w:space="0" w:color="auto"/>
              <w:right w:val="single" w:sz="4" w:space="0" w:color="auto"/>
            </w:tcBorders>
            <w:noWrap/>
            <w:vAlign w:val="bottom"/>
          </w:tcPr>
          <w:p w14:paraId="6DE00F88" w14:textId="3AD06C88" w:rsidR="00946D26" w:rsidRPr="00A12E08" w:rsidRDefault="00E15CDA" w:rsidP="00332108">
            <w:pPr>
              <w:jc w:val="right"/>
              <w:rPr>
                <w:rFonts w:ascii="Arial" w:hAnsi="Arial" w:cs="Arial"/>
              </w:rPr>
            </w:pPr>
            <w:r>
              <w:rPr>
                <w:rFonts w:ascii="Arial" w:hAnsi="Arial" w:cs="Arial"/>
              </w:rPr>
              <w:t>1</w:t>
            </w:r>
            <w:r w:rsidR="002572C8">
              <w:rPr>
                <w:rFonts w:ascii="Arial" w:hAnsi="Arial" w:cs="Arial"/>
              </w:rPr>
              <w:t>4</w:t>
            </w:r>
          </w:p>
        </w:tc>
        <w:tc>
          <w:tcPr>
            <w:tcW w:w="990" w:type="dxa"/>
            <w:tcBorders>
              <w:top w:val="nil"/>
              <w:left w:val="nil"/>
              <w:bottom w:val="single" w:sz="4" w:space="0" w:color="auto"/>
              <w:right w:val="single" w:sz="4" w:space="0" w:color="auto"/>
            </w:tcBorders>
            <w:noWrap/>
            <w:vAlign w:val="bottom"/>
          </w:tcPr>
          <w:p w14:paraId="47C0C074"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48A3F948"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1F0E8E59"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54FBCFE2" w14:textId="77777777" w:rsidR="00946D26" w:rsidRPr="00A12E08" w:rsidRDefault="00946D26" w:rsidP="00332108">
            <w:pPr>
              <w:jc w:val="center"/>
              <w:rPr>
                <w:rFonts w:ascii="Arial" w:hAnsi="Arial" w:cs="Arial"/>
              </w:rPr>
            </w:pPr>
            <w:r w:rsidRPr="00A12E08">
              <w:rPr>
                <w:rFonts w:ascii="Arial" w:hAnsi="Arial" w:cs="Arial"/>
              </w:rPr>
              <w:t>8</w:t>
            </w:r>
          </w:p>
        </w:tc>
        <w:tc>
          <w:tcPr>
            <w:tcW w:w="1080" w:type="dxa"/>
            <w:tcBorders>
              <w:top w:val="nil"/>
              <w:left w:val="nil"/>
              <w:bottom w:val="single" w:sz="4" w:space="0" w:color="auto"/>
              <w:right w:val="single" w:sz="4" w:space="0" w:color="auto"/>
            </w:tcBorders>
            <w:noWrap/>
            <w:vAlign w:val="bottom"/>
          </w:tcPr>
          <w:p w14:paraId="5B62F834" w14:textId="6A2C66E5" w:rsidR="00946D26" w:rsidRPr="00A12E08" w:rsidRDefault="00E15CDA" w:rsidP="00332108">
            <w:pPr>
              <w:jc w:val="right"/>
              <w:rPr>
                <w:rFonts w:ascii="Arial" w:hAnsi="Arial" w:cs="Arial"/>
              </w:rPr>
            </w:pPr>
            <w:r>
              <w:rPr>
                <w:rFonts w:ascii="Arial" w:hAnsi="Arial" w:cs="Arial"/>
              </w:rPr>
              <w:t>5</w:t>
            </w:r>
          </w:p>
        </w:tc>
        <w:tc>
          <w:tcPr>
            <w:tcW w:w="990" w:type="dxa"/>
            <w:tcBorders>
              <w:top w:val="nil"/>
              <w:left w:val="nil"/>
              <w:bottom w:val="single" w:sz="4" w:space="0" w:color="auto"/>
              <w:right w:val="single" w:sz="4" w:space="0" w:color="auto"/>
            </w:tcBorders>
            <w:noWrap/>
            <w:vAlign w:val="bottom"/>
          </w:tcPr>
          <w:p w14:paraId="7ED8BA54"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5B7127BE"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234C4605"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0C77BC82" w14:textId="77777777" w:rsidR="00946D26" w:rsidRPr="00A12E08" w:rsidRDefault="00946D26" w:rsidP="00332108">
            <w:pPr>
              <w:jc w:val="center"/>
              <w:rPr>
                <w:rFonts w:ascii="Arial" w:hAnsi="Arial" w:cs="Arial"/>
              </w:rPr>
            </w:pPr>
            <w:r w:rsidRPr="00A12E08">
              <w:rPr>
                <w:rFonts w:ascii="Arial" w:hAnsi="Arial" w:cs="Arial"/>
              </w:rPr>
              <w:t>9</w:t>
            </w:r>
          </w:p>
        </w:tc>
        <w:tc>
          <w:tcPr>
            <w:tcW w:w="1080" w:type="dxa"/>
            <w:tcBorders>
              <w:top w:val="nil"/>
              <w:left w:val="nil"/>
              <w:bottom w:val="single" w:sz="4" w:space="0" w:color="auto"/>
              <w:right w:val="single" w:sz="4" w:space="0" w:color="auto"/>
            </w:tcBorders>
            <w:noWrap/>
            <w:vAlign w:val="bottom"/>
          </w:tcPr>
          <w:p w14:paraId="68878856" w14:textId="447460AB" w:rsidR="00946D26" w:rsidRPr="00A12E08" w:rsidRDefault="00E15CDA" w:rsidP="00332108">
            <w:pPr>
              <w:jc w:val="right"/>
              <w:rPr>
                <w:rFonts w:ascii="Arial" w:hAnsi="Arial" w:cs="Arial"/>
              </w:rPr>
            </w:pPr>
            <w:r>
              <w:rPr>
                <w:rFonts w:ascii="Arial" w:hAnsi="Arial" w:cs="Arial"/>
              </w:rPr>
              <w:t>8</w:t>
            </w:r>
          </w:p>
        </w:tc>
        <w:tc>
          <w:tcPr>
            <w:tcW w:w="990" w:type="dxa"/>
            <w:tcBorders>
              <w:top w:val="nil"/>
              <w:left w:val="nil"/>
              <w:bottom w:val="single" w:sz="4" w:space="0" w:color="auto"/>
              <w:right w:val="single" w:sz="4" w:space="0" w:color="auto"/>
            </w:tcBorders>
            <w:noWrap/>
            <w:vAlign w:val="bottom"/>
          </w:tcPr>
          <w:p w14:paraId="32864587"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6426104D"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41662ED5"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402704CF" w14:textId="65000AB7" w:rsidR="00946D26" w:rsidRPr="00A12E08" w:rsidRDefault="00332108" w:rsidP="00332108">
            <w:pPr>
              <w:jc w:val="center"/>
              <w:rPr>
                <w:rFonts w:ascii="Arial" w:hAnsi="Arial" w:cs="Arial"/>
              </w:rPr>
            </w:pPr>
            <w:r>
              <w:rPr>
                <w:rFonts w:ascii="Arial" w:hAnsi="Arial" w:cs="Arial"/>
              </w:rPr>
              <w:t>10</w:t>
            </w:r>
          </w:p>
        </w:tc>
        <w:tc>
          <w:tcPr>
            <w:tcW w:w="1080" w:type="dxa"/>
            <w:tcBorders>
              <w:top w:val="nil"/>
              <w:left w:val="nil"/>
              <w:bottom w:val="single" w:sz="4" w:space="0" w:color="auto"/>
              <w:right w:val="single" w:sz="4" w:space="0" w:color="auto"/>
            </w:tcBorders>
            <w:noWrap/>
            <w:vAlign w:val="bottom"/>
          </w:tcPr>
          <w:p w14:paraId="33F04E9E" w14:textId="3FAD552A" w:rsidR="00946D26" w:rsidRPr="00A12E08" w:rsidRDefault="00E15CDA" w:rsidP="00332108">
            <w:pPr>
              <w:jc w:val="right"/>
              <w:rPr>
                <w:rFonts w:ascii="Arial" w:hAnsi="Arial" w:cs="Arial"/>
              </w:rPr>
            </w:pPr>
            <w:r>
              <w:rPr>
                <w:rFonts w:ascii="Arial" w:hAnsi="Arial" w:cs="Arial"/>
              </w:rPr>
              <w:t>6</w:t>
            </w:r>
          </w:p>
        </w:tc>
        <w:tc>
          <w:tcPr>
            <w:tcW w:w="990" w:type="dxa"/>
            <w:tcBorders>
              <w:top w:val="nil"/>
              <w:left w:val="nil"/>
              <w:bottom w:val="single" w:sz="4" w:space="0" w:color="auto"/>
              <w:right w:val="single" w:sz="4" w:space="0" w:color="auto"/>
            </w:tcBorders>
            <w:noWrap/>
            <w:vAlign w:val="bottom"/>
          </w:tcPr>
          <w:p w14:paraId="2504DFF0"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470FBA2D"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4590F47C"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4191D286" w14:textId="4DA80E3C" w:rsidR="00332108" w:rsidRPr="00A12E08" w:rsidRDefault="00332108" w:rsidP="00332108">
            <w:pPr>
              <w:jc w:val="center"/>
              <w:rPr>
                <w:rFonts w:ascii="Arial" w:hAnsi="Arial" w:cs="Arial"/>
              </w:rPr>
            </w:pPr>
            <w:r>
              <w:rPr>
                <w:rFonts w:ascii="Arial" w:hAnsi="Arial" w:cs="Arial"/>
              </w:rPr>
              <w:t>11</w:t>
            </w:r>
          </w:p>
        </w:tc>
        <w:tc>
          <w:tcPr>
            <w:tcW w:w="1080" w:type="dxa"/>
            <w:tcBorders>
              <w:top w:val="nil"/>
              <w:left w:val="nil"/>
              <w:bottom w:val="single" w:sz="4" w:space="0" w:color="auto"/>
              <w:right w:val="single" w:sz="4" w:space="0" w:color="auto"/>
            </w:tcBorders>
            <w:noWrap/>
            <w:vAlign w:val="bottom"/>
          </w:tcPr>
          <w:p w14:paraId="12463AD8" w14:textId="77A90C50" w:rsidR="00332108" w:rsidRPr="00A12E08" w:rsidRDefault="00E15CDA" w:rsidP="00332108">
            <w:pPr>
              <w:jc w:val="right"/>
              <w:rPr>
                <w:rFonts w:ascii="Arial" w:hAnsi="Arial" w:cs="Arial"/>
              </w:rPr>
            </w:pPr>
            <w:r>
              <w:rPr>
                <w:rFonts w:ascii="Arial" w:hAnsi="Arial" w:cs="Arial"/>
              </w:rPr>
              <w:t>+4</w:t>
            </w:r>
          </w:p>
        </w:tc>
        <w:tc>
          <w:tcPr>
            <w:tcW w:w="990" w:type="dxa"/>
            <w:tcBorders>
              <w:top w:val="nil"/>
              <w:left w:val="nil"/>
              <w:bottom w:val="single" w:sz="4" w:space="0" w:color="auto"/>
              <w:right w:val="single" w:sz="4" w:space="0" w:color="auto"/>
            </w:tcBorders>
            <w:noWrap/>
            <w:vAlign w:val="bottom"/>
          </w:tcPr>
          <w:p w14:paraId="2B4C33FB" w14:textId="77777777" w:rsidR="00332108" w:rsidRPr="00A12E08" w:rsidRDefault="00332108" w:rsidP="00332108">
            <w:pPr>
              <w:jc w:val="center"/>
              <w:rPr>
                <w:rFonts w:ascii="Arial" w:hAnsi="Arial" w:cs="Arial"/>
              </w:rPr>
            </w:pPr>
          </w:p>
        </w:tc>
        <w:tc>
          <w:tcPr>
            <w:tcW w:w="945" w:type="dxa"/>
            <w:tcBorders>
              <w:top w:val="nil"/>
              <w:left w:val="nil"/>
              <w:bottom w:val="single" w:sz="4" w:space="0" w:color="auto"/>
              <w:right w:val="single" w:sz="4" w:space="0" w:color="auto"/>
            </w:tcBorders>
          </w:tcPr>
          <w:p w14:paraId="2572F0EA" w14:textId="77777777" w:rsidR="00332108" w:rsidRPr="00A12E08" w:rsidRDefault="00332108" w:rsidP="00332108">
            <w:pPr>
              <w:rPr>
                <w:rFonts w:ascii="Arial" w:hAnsi="Arial" w:cs="Arial"/>
              </w:rPr>
            </w:pPr>
          </w:p>
        </w:tc>
      </w:tr>
      <w:tr w:rsidR="00332108" w:rsidRPr="00A12E08" w14:paraId="555077A4"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081F7D18" w14:textId="77777777" w:rsidR="00946D26" w:rsidRPr="00A12E08" w:rsidRDefault="00946D26" w:rsidP="00332108">
            <w:pPr>
              <w:jc w:val="center"/>
              <w:rPr>
                <w:rFonts w:ascii="Arial" w:hAnsi="Arial" w:cs="Arial"/>
              </w:rPr>
            </w:pPr>
            <w:r w:rsidRPr="00A12E08">
              <w:rPr>
                <w:rFonts w:ascii="Arial" w:hAnsi="Arial" w:cs="Arial"/>
              </w:rPr>
              <w:t>Total</w:t>
            </w:r>
          </w:p>
        </w:tc>
        <w:tc>
          <w:tcPr>
            <w:tcW w:w="1080" w:type="dxa"/>
            <w:tcBorders>
              <w:top w:val="nil"/>
              <w:left w:val="nil"/>
              <w:bottom w:val="single" w:sz="4" w:space="0" w:color="auto"/>
              <w:right w:val="single" w:sz="4" w:space="0" w:color="auto"/>
            </w:tcBorders>
            <w:noWrap/>
            <w:vAlign w:val="bottom"/>
          </w:tcPr>
          <w:p w14:paraId="3B0EC1C8" w14:textId="2B4A5405" w:rsidR="00946D26" w:rsidRPr="00A12E08" w:rsidRDefault="002A2979" w:rsidP="00332108">
            <w:pPr>
              <w:jc w:val="right"/>
              <w:rPr>
                <w:rFonts w:ascii="Arial" w:hAnsi="Arial" w:cs="Arial"/>
              </w:rPr>
            </w:pPr>
            <w:r w:rsidRPr="00A12E08">
              <w:rPr>
                <w:rFonts w:ascii="Arial" w:hAnsi="Arial" w:cs="Arial"/>
              </w:rPr>
              <w:t>100</w:t>
            </w:r>
            <w:r w:rsidR="00E15CDA">
              <w:rPr>
                <w:rFonts w:ascii="Arial" w:hAnsi="Arial" w:cs="Arial"/>
              </w:rPr>
              <w:t xml:space="preserve"> + 4</w:t>
            </w:r>
          </w:p>
        </w:tc>
        <w:tc>
          <w:tcPr>
            <w:tcW w:w="990" w:type="dxa"/>
            <w:tcBorders>
              <w:top w:val="nil"/>
              <w:left w:val="nil"/>
              <w:bottom w:val="single" w:sz="4" w:space="0" w:color="auto"/>
              <w:right w:val="single" w:sz="4" w:space="0" w:color="auto"/>
            </w:tcBorders>
            <w:noWrap/>
            <w:vAlign w:val="bottom"/>
          </w:tcPr>
          <w:p w14:paraId="402CFB1C" w14:textId="77777777" w:rsidR="00946D26" w:rsidRPr="00A12E08" w:rsidRDefault="00946D26" w:rsidP="00332108">
            <w:pPr>
              <w:jc w:val="cente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tcPr>
          <w:p w14:paraId="18AA38C4"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0485B6E9" w14:textId="77777777" w:rsidTr="00332108">
        <w:trPr>
          <w:trHeight w:val="255"/>
        </w:trPr>
        <w:tc>
          <w:tcPr>
            <w:tcW w:w="900" w:type="dxa"/>
            <w:tcBorders>
              <w:top w:val="nil"/>
              <w:left w:val="single" w:sz="4" w:space="0" w:color="auto"/>
              <w:bottom w:val="single" w:sz="4" w:space="0" w:color="auto"/>
              <w:right w:val="single" w:sz="4" w:space="0" w:color="auto"/>
            </w:tcBorders>
            <w:noWrap/>
            <w:vAlign w:val="bottom"/>
          </w:tcPr>
          <w:p w14:paraId="0B0AB083" w14:textId="77777777" w:rsidR="00946D26" w:rsidRPr="00A12E08" w:rsidRDefault="00946D26" w:rsidP="00332108">
            <w:pPr>
              <w:rPr>
                <w:rFonts w:ascii="Arial" w:hAnsi="Arial" w:cs="Arial"/>
              </w:rPr>
            </w:pPr>
            <w:r w:rsidRPr="00A12E08">
              <w:rPr>
                <w:rFonts w:ascii="Arial" w:hAnsi="Arial" w:cs="Arial"/>
              </w:rPr>
              <w:t>Score</w:t>
            </w:r>
          </w:p>
        </w:tc>
        <w:tc>
          <w:tcPr>
            <w:tcW w:w="1080" w:type="dxa"/>
            <w:tcBorders>
              <w:top w:val="nil"/>
              <w:left w:val="nil"/>
              <w:bottom w:val="single" w:sz="4" w:space="0" w:color="auto"/>
              <w:right w:val="single" w:sz="4" w:space="0" w:color="auto"/>
            </w:tcBorders>
            <w:noWrap/>
            <w:vAlign w:val="bottom"/>
          </w:tcPr>
          <w:p w14:paraId="34225494" w14:textId="77777777" w:rsidR="00946D26" w:rsidRPr="00A12E08" w:rsidRDefault="00946D26" w:rsidP="00332108">
            <w:pPr>
              <w:rPr>
                <w:rFonts w:ascii="Arial" w:hAnsi="Arial" w:cs="Arial"/>
              </w:rPr>
            </w:pPr>
            <w:r w:rsidRPr="00A12E08">
              <w:rPr>
                <w:rFonts w:ascii="Arial" w:hAnsi="Arial" w:cs="Arial"/>
              </w:rPr>
              <w:t> </w:t>
            </w:r>
          </w:p>
        </w:tc>
        <w:tc>
          <w:tcPr>
            <w:tcW w:w="990" w:type="dxa"/>
            <w:tcBorders>
              <w:top w:val="nil"/>
              <w:left w:val="nil"/>
              <w:bottom w:val="single" w:sz="4" w:space="0" w:color="auto"/>
              <w:right w:val="single" w:sz="4" w:space="0" w:color="auto"/>
            </w:tcBorders>
            <w:noWrap/>
            <w:vAlign w:val="bottom"/>
          </w:tcPr>
          <w:p w14:paraId="24137414" w14:textId="77777777" w:rsidR="00946D26" w:rsidRPr="00A12E08" w:rsidRDefault="00946D26" w:rsidP="00332108">
            <w:pPr>
              <w:rPr>
                <w:rFonts w:ascii="Arial" w:hAnsi="Arial" w:cs="Arial"/>
              </w:rPr>
            </w:pPr>
            <w:r w:rsidRPr="00A12E08">
              <w:rPr>
                <w:rFonts w:ascii="Arial" w:hAnsi="Arial" w:cs="Arial"/>
              </w:rPr>
              <w:t> </w:t>
            </w:r>
          </w:p>
        </w:tc>
        <w:tc>
          <w:tcPr>
            <w:tcW w:w="945" w:type="dxa"/>
            <w:tcBorders>
              <w:top w:val="nil"/>
              <w:left w:val="nil"/>
              <w:bottom w:val="single" w:sz="4" w:space="0" w:color="auto"/>
              <w:right w:val="single" w:sz="4" w:space="0" w:color="auto"/>
            </w:tcBorders>
            <w:noWrap/>
            <w:vAlign w:val="bottom"/>
          </w:tcPr>
          <w:p w14:paraId="1958F397" w14:textId="77777777" w:rsidR="00946D26" w:rsidRPr="00A12E08" w:rsidRDefault="00946D26" w:rsidP="00332108">
            <w:pPr>
              <w:rPr>
                <w:rFonts w:ascii="Arial" w:hAnsi="Arial" w:cs="Arial"/>
              </w:rPr>
            </w:pPr>
            <w:r w:rsidRPr="00A12E08">
              <w:rPr>
                <w:rFonts w:ascii="Arial" w:hAnsi="Arial" w:cs="Arial"/>
              </w:rPr>
              <w:t> </w:t>
            </w:r>
          </w:p>
        </w:tc>
      </w:tr>
      <w:tr w:rsidR="00332108" w:rsidRPr="00A12E08" w14:paraId="190C7B61" w14:textId="77777777" w:rsidTr="00332108">
        <w:trPr>
          <w:trHeight w:val="255"/>
        </w:trPr>
        <w:tc>
          <w:tcPr>
            <w:tcW w:w="3915" w:type="dxa"/>
            <w:gridSpan w:val="4"/>
            <w:tcBorders>
              <w:top w:val="nil"/>
              <w:left w:val="nil"/>
              <w:bottom w:val="nil"/>
              <w:right w:val="nil"/>
            </w:tcBorders>
            <w:noWrap/>
            <w:vAlign w:val="bottom"/>
          </w:tcPr>
          <w:p w14:paraId="18C6ADF6" w14:textId="77777777" w:rsidR="00946D26" w:rsidRPr="00A12E08" w:rsidRDefault="00946D26" w:rsidP="00332108">
            <w:pPr>
              <w:rPr>
                <w:rFonts w:ascii="Arial" w:hAnsi="Arial" w:cs="Arial"/>
              </w:rPr>
            </w:pPr>
          </w:p>
        </w:tc>
      </w:tr>
    </w:tbl>
    <w:p w14:paraId="0EE5F6E2" w14:textId="61004E1B" w:rsidR="00946D26" w:rsidRPr="00A12E08" w:rsidRDefault="00687DE1" w:rsidP="00A12E08">
      <w:pPr>
        <w:ind w:right="357"/>
        <w:rPr>
          <w:rFonts w:ascii="Arial" w:hAnsi="Arial" w:cs="Arial"/>
          <w:b/>
          <w:u w:val="single"/>
        </w:rPr>
      </w:pPr>
      <w:r w:rsidRPr="00A12E08">
        <w:rPr>
          <w:rFonts w:ascii="Arial" w:hAnsi="Arial" w:cs="Arial"/>
          <w:b/>
        </w:rPr>
        <w:t>NAME _______________________</w:t>
      </w:r>
      <w:r w:rsidR="00C46B39" w:rsidRPr="00A12E08">
        <w:rPr>
          <w:rFonts w:ascii="Arial" w:hAnsi="Arial" w:cs="Arial"/>
          <w:b/>
        </w:rPr>
        <w:br/>
      </w:r>
      <w:r w:rsidR="001463C8" w:rsidRPr="00A12E08">
        <w:rPr>
          <w:rFonts w:eastAsia="Times New Roman"/>
          <w:b/>
        </w:rPr>
        <w:t xml:space="preserve">BRING THE EXAM ON PAPER to our last class or UPLOAD TO THE CLE SITE BEFORE 08:45 ON THURSDAY DECEMBER </w:t>
      </w:r>
      <w:r w:rsidR="0043235D" w:rsidRPr="00A12E08">
        <w:rPr>
          <w:rFonts w:eastAsia="Times New Roman"/>
          <w:b/>
        </w:rPr>
        <w:t>1</w:t>
      </w:r>
      <w:r w:rsidR="001463C8" w:rsidRPr="00A12E08">
        <w:rPr>
          <w:rFonts w:eastAsia="Times New Roman"/>
        </w:rPr>
        <w:t>.</w:t>
      </w:r>
      <w:r w:rsidR="00946D26" w:rsidRPr="00A12E08">
        <w:rPr>
          <w:rFonts w:ascii="Arial" w:hAnsi="Arial" w:cs="Arial"/>
          <w:b/>
        </w:rPr>
        <w:t xml:space="preserve"> </w:t>
      </w:r>
      <w:r w:rsidR="00946D26" w:rsidRPr="00A12E08">
        <w:rPr>
          <w:rFonts w:ascii="Arial" w:hAnsi="Arial" w:cs="Arial"/>
          <w:b/>
          <w:u w:val="single"/>
        </w:rPr>
        <w:t xml:space="preserve">Late exams cannot be accepted; </w:t>
      </w:r>
      <w:r w:rsidR="001463C8" w:rsidRPr="00A12E08">
        <w:rPr>
          <w:rFonts w:ascii="Arial" w:hAnsi="Arial" w:cs="Arial"/>
          <w:b/>
          <w:u w:val="single"/>
        </w:rPr>
        <w:t>submit</w:t>
      </w:r>
      <w:r w:rsidR="00946D26" w:rsidRPr="00A12E08">
        <w:rPr>
          <w:rFonts w:ascii="Arial" w:hAnsi="Arial" w:cs="Arial"/>
          <w:b/>
          <w:u w:val="single"/>
        </w:rPr>
        <w:t xml:space="preserve"> </w:t>
      </w:r>
      <w:r w:rsidR="007674F4" w:rsidRPr="00A12E08">
        <w:rPr>
          <w:rFonts w:ascii="Arial" w:hAnsi="Arial" w:cs="Arial"/>
          <w:b/>
          <w:u w:val="single"/>
        </w:rPr>
        <w:t>EARLY</w:t>
      </w:r>
      <w:r w:rsidR="00946D26" w:rsidRPr="00A12E08">
        <w:rPr>
          <w:rFonts w:ascii="Arial" w:hAnsi="Arial" w:cs="Arial"/>
          <w:b/>
          <w:u w:val="single"/>
        </w:rPr>
        <w:t xml:space="preserve"> to be safe if you won't be in class.  Do NOT plan to print it </w:t>
      </w:r>
      <w:r w:rsidR="007767DF" w:rsidRPr="00A12E08">
        <w:rPr>
          <w:rFonts w:ascii="Arial" w:hAnsi="Arial" w:cs="Arial"/>
          <w:b/>
          <w:u w:val="single"/>
        </w:rPr>
        <w:t>at Mission Hall</w:t>
      </w:r>
      <w:r w:rsidR="00512A48" w:rsidRPr="00A12E08">
        <w:rPr>
          <w:rFonts w:ascii="Arial" w:hAnsi="Arial" w:cs="Arial"/>
          <w:b/>
          <w:u w:val="single"/>
        </w:rPr>
        <w:t xml:space="preserve"> on 12/</w:t>
      </w:r>
      <w:r w:rsidR="0043235D" w:rsidRPr="00A12E08">
        <w:rPr>
          <w:rFonts w:ascii="Arial" w:hAnsi="Arial" w:cs="Arial"/>
          <w:b/>
          <w:u w:val="single"/>
        </w:rPr>
        <w:t>1</w:t>
      </w:r>
      <w:r w:rsidR="00946D26" w:rsidRPr="00A12E08">
        <w:rPr>
          <w:rFonts w:ascii="Arial" w:hAnsi="Arial" w:cs="Arial"/>
          <w:b/>
          <w:u w:val="single"/>
        </w:rPr>
        <w:t>.</w:t>
      </w:r>
    </w:p>
    <w:p w14:paraId="273CE9E2" w14:textId="77777777" w:rsidR="00946D26" w:rsidRPr="00A12E08" w:rsidRDefault="00946D26" w:rsidP="00A12E08">
      <w:pPr>
        <w:rPr>
          <w:rFonts w:ascii="Arial" w:hAnsi="Arial" w:cs="Arial"/>
          <w:b/>
        </w:rPr>
      </w:pPr>
    </w:p>
    <w:p w14:paraId="66E55C44" w14:textId="77777777" w:rsidR="00946D26" w:rsidRPr="00A12E08" w:rsidRDefault="00946D26" w:rsidP="00A12E08">
      <w:pPr>
        <w:rPr>
          <w:rFonts w:ascii="Arial" w:hAnsi="Arial" w:cs="Arial"/>
          <w:b/>
          <w:color w:val="FF0000"/>
        </w:rPr>
      </w:pPr>
      <w:r w:rsidRPr="00A12E08">
        <w:rPr>
          <w:rFonts w:ascii="Arial" w:hAnsi="Arial" w:cs="Arial"/>
          <w:b/>
          <w:color w:val="FF0000"/>
        </w:rPr>
        <w:t xml:space="preserve">Collaboration with others is NOT permitted.  </w:t>
      </w:r>
      <w:r w:rsidR="008E71DD" w:rsidRPr="00A12E08">
        <w:rPr>
          <w:rFonts w:ascii="Arial" w:hAnsi="Arial" w:cs="Arial"/>
          <w:b/>
          <w:color w:val="FF0000"/>
        </w:rPr>
        <w:t>Answers must be in your own words.</w:t>
      </w:r>
    </w:p>
    <w:p w14:paraId="08117C64" w14:textId="77777777" w:rsidR="00946D26" w:rsidRPr="00A12E08" w:rsidRDefault="00946D26" w:rsidP="00A12E08">
      <w:pPr>
        <w:rPr>
          <w:rFonts w:ascii="Arial" w:hAnsi="Arial" w:cs="Arial"/>
          <w:b/>
        </w:rPr>
      </w:pPr>
    </w:p>
    <w:p w14:paraId="5FDD31E8" w14:textId="1DBDAC90" w:rsidR="00A6451D" w:rsidRPr="00A12E08" w:rsidRDefault="00946D26" w:rsidP="00A12E08">
      <w:pPr>
        <w:rPr>
          <w:rFonts w:ascii="Arial" w:hAnsi="Arial" w:cs="Arial"/>
          <w:b/>
          <w:u w:val="single"/>
        </w:rPr>
      </w:pPr>
      <w:r w:rsidRPr="00A12E08">
        <w:rPr>
          <w:rFonts w:ascii="Arial" w:hAnsi="Arial" w:cs="Arial"/>
          <w:b/>
          <w:u w:val="single"/>
        </w:rPr>
        <w:t>Please show your work.</w:t>
      </w:r>
      <w:r w:rsidR="000D6A8B">
        <w:rPr>
          <w:rFonts w:ascii="Arial" w:hAnsi="Arial" w:cs="Arial"/>
          <w:b/>
          <w:u w:val="single"/>
        </w:rPr>
        <w:t xml:space="preserve"> Pay attention to words in </w:t>
      </w:r>
      <w:r w:rsidR="000D6A8B" w:rsidRPr="0091430D">
        <w:rPr>
          <w:rFonts w:ascii="Arial" w:hAnsi="Arial" w:cs="Arial"/>
          <w:b/>
          <w:i/>
          <w:u w:val="single"/>
        </w:rPr>
        <w:t>italics</w:t>
      </w:r>
      <w:r w:rsidR="000D6A8B">
        <w:rPr>
          <w:rFonts w:ascii="Arial" w:hAnsi="Arial" w:cs="Arial"/>
          <w:b/>
          <w:u w:val="single"/>
        </w:rPr>
        <w:t>.</w:t>
      </w:r>
      <w:r w:rsidRPr="00A12E08">
        <w:rPr>
          <w:rFonts w:ascii="Arial" w:hAnsi="Arial" w:cs="Arial"/>
          <w:b/>
          <w:u w:val="single"/>
        </w:rPr>
        <w:t xml:space="preserve">  </w:t>
      </w:r>
    </w:p>
    <w:p w14:paraId="5238827B" w14:textId="77777777" w:rsidR="00946D26" w:rsidRPr="00A12E08" w:rsidRDefault="00946D26" w:rsidP="00A12E08">
      <w:pPr>
        <w:rPr>
          <w:rFonts w:ascii="Arial" w:hAnsi="Arial" w:cs="Arial"/>
          <w:b/>
        </w:rPr>
      </w:pPr>
    </w:p>
    <w:p w14:paraId="06C2C280" w14:textId="30221DBF" w:rsidR="006A2956" w:rsidRPr="00A12E08" w:rsidRDefault="00A26848" w:rsidP="00A12E08">
      <w:pPr>
        <w:pStyle w:val="Header"/>
        <w:rPr>
          <w:b/>
        </w:rPr>
      </w:pPr>
      <w:r w:rsidRPr="00A12E08">
        <w:rPr>
          <w:rFonts w:ascii="Arial" w:hAnsi="Arial" w:cs="Arial"/>
        </w:rPr>
        <w:t xml:space="preserve">1. </w:t>
      </w:r>
      <w:r w:rsidR="0043235D" w:rsidRPr="00A12E08">
        <w:rPr>
          <w:rFonts w:ascii="Arial" w:hAnsi="Arial" w:cs="Arial"/>
        </w:rPr>
        <w:t xml:space="preserve">  </w:t>
      </w:r>
      <w:r w:rsidR="006B35A6" w:rsidRPr="00A12E08">
        <w:rPr>
          <w:b/>
        </w:rPr>
        <w:t xml:space="preserve">Pain over speed bumps </w:t>
      </w:r>
      <w:r w:rsidR="00E22D5C">
        <w:rPr>
          <w:b/>
        </w:rPr>
        <w:t>and</w:t>
      </w:r>
      <w:r w:rsidR="006B35A6" w:rsidRPr="00A12E08">
        <w:rPr>
          <w:b/>
        </w:rPr>
        <w:t xml:space="preserve"> diagnosis of acute appendicitis</w:t>
      </w:r>
    </w:p>
    <w:p w14:paraId="27D0F466" w14:textId="78AC5AA0" w:rsidR="006B35A6" w:rsidRPr="00A12E08" w:rsidRDefault="006B35A6" w:rsidP="00A12E08">
      <w:pPr>
        <w:pStyle w:val="Header"/>
      </w:pPr>
      <w:r w:rsidRPr="00A12E08">
        <w:rPr>
          <w:b/>
        </w:rPr>
        <w:t xml:space="preserve"> (</w:t>
      </w:r>
      <w:r w:rsidR="006A2956" w:rsidRPr="00A12E08">
        <w:t>with thanks to</w:t>
      </w:r>
      <w:r w:rsidRPr="00A12E08">
        <w:t xml:space="preserve"> Kali Zhou, Michelle Gomez Mendez, John Sy, and Benjamin Lee)</w:t>
      </w:r>
    </w:p>
    <w:p w14:paraId="163CAE05" w14:textId="77777777" w:rsidR="006B35A6" w:rsidRPr="00A12E08" w:rsidRDefault="006B35A6" w:rsidP="00A12E08">
      <w:pPr>
        <w:rPr>
          <w:b/>
        </w:rPr>
      </w:pPr>
    </w:p>
    <w:p w14:paraId="04ED73FA" w14:textId="1B8BC5CB" w:rsidR="006B35A6" w:rsidRPr="00A12E08" w:rsidRDefault="006B35A6" w:rsidP="00A12E08">
      <w:r w:rsidRPr="00A12E08">
        <w:t xml:space="preserve">Acute appendicitis is an important cause of emergency department visits for abdominal pain. In an Ig-Nobel prize-winning (see </w:t>
      </w:r>
      <w:r w:rsidRPr="00A12E08">
        <w:rPr>
          <w:rFonts w:ascii="Calibri" w:hAnsi="Calibri" w:cs="Calibri"/>
          <w:color w:val="0000E9"/>
          <w:u w:val="single" w:color="0000E9"/>
        </w:rPr>
        <w:t xml:space="preserve">http://www.improbable.com/ig/winners/) </w:t>
      </w:r>
      <w:r w:rsidRPr="00A12E08">
        <w:t>article, researchers looked into utilizing speed bumps as a potential diagnostic tool for acute appendicitis.</w:t>
      </w:r>
      <w:r w:rsidR="00395EC2">
        <w:fldChar w:fldCharType="begin"/>
      </w:r>
      <w:r w:rsidR="00395EC2">
        <w:instrText xml:space="preserve"> ADDIN EN.CITE &lt;EndNote&gt;&lt;Cite&gt;&lt;Author&gt;Ashdown&lt;/Author&gt;&lt;Year&gt;2012&lt;/Year&gt;&lt;RecNum&gt;3997&lt;/RecNum&gt;&lt;DisplayText&gt;&lt;style face="superscript"&gt;1&lt;/style&gt;&lt;/DisplayText&gt;&lt;record&gt;&lt;rec-number&gt;3997&lt;/rec-number&gt;&lt;foreign-keys&gt;&lt;key app="EN" db-id="s5wrswzpewzvvze9sxpxree4s0x5vdrwfapp" timestamp="1479162334"&gt;3997&lt;/key&gt;&lt;key app="ENWeb" db-id=""&gt;0&lt;/key&gt;&lt;/foreign-keys&gt;&lt;ref-type name="Journal Article"&gt;17&lt;/ref-type&gt;&lt;contributors&gt;&lt;authors&gt;&lt;author&gt;Ashdown, H. F.&lt;/author&gt;&lt;author&gt;D&amp;apos;Souza, N.&lt;/author&gt;&lt;author&gt;Karim, D.&lt;/author&gt;&lt;author&gt;Stevens, R. J.&lt;/author&gt;&lt;author&gt;Huang, A.&lt;/author&gt;&lt;author&gt;Harnden, A.&lt;/author&gt;&lt;/authors&gt;&lt;/contributors&gt;&lt;auth-address&gt;Department of Primary Care Health Sciences, University of Oxford, Oxford OX2 6GG, UK. helen.ashdown@phc.ox.ac.uk&lt;/auth-address&gt;&lt;titles&gt;&lt;title&gt;Pain over speed bumps in diagnosis of acute appendicitis: diagnostic accuracy study&lt;/title&gt;&lt;secondary-title&gt;BMJ&lt;/secondary-title&gt;&lt;/titles&gt;&lt;periodical&gt;&lt;full-title&gt;BMJ&lt;/full-title&gt;&lt;/periodical&gt;&lt;pages&gt;e8012&lt;/pages&gt;&lt;volume&gt;345&lt;/volume&gt;&lt;keywords&gt;&lt;keyword&gt;Abdominal Pain/*etiology&lt;/keyword&gt;&lt;keyword&gt;Acute Disease&lt;/keyword&gt;&lt;keyword&gt;Adolescent&lt;/keyword&gt;&lt;keyword&gt;Adult&lt;/keyword&gt;&lt;keyword&gt;Aged&lt;/keyword&gt;&lt;keyword&gt;Appendicitis/complications/*diagnosis&lt;/keyword&gt;&lt;keyword&gt;Automobiles&lt;/keyword&gt;&lt;keyword&gt;Confidence Intervals&lt;/keyword&gt;&lt;keyword&gt;Humans&lt;/keyword&gt;&lt;keyword&gt;Middle Aged&lt;/keyword&gt;&lt;keyword&gt;Predictive Value of Tests&lt;/keyword&gt;&lt;keyword&gt;Prospective Studies&lt;/keyword&gt;&lt;keyword&gt;Surveys and Questionnaires&lt;/keyword&gt;&lt;keyword&gt;*Travel&lt;/keyword&gt;&lt;keyword&gt;Young Adult&lt;/keyword&gt;&lt;/keywords&gt;&lt;dates&gt;&lt;year&gt;2012&lt;/year&gt;&lt;pub-dates&gt;&lt;date&gt;Dec 14&lt;/date&gt;&lt;/pub-dates&gt;&lt;/dates&gt;&lt;isbn&gt;1756-1833 (Electronic)&amp;#xD;0959-535X (Linking)&lt;/isbn&gt;&lt;accession-num&gt;23247977&lt;/accession-num&gt;&lt;urls&gt;&lt;related-urls&gt;&lt;url&gt;https://www.ncbi.nlm.nih.gov/pubmed/23247977&lt;/url&gt;&lt;/related-urls&gt;&lt;/urls&gt;&lt;custom2&gt;PMC3524367&lt;/custom2&gt;&lt;electronic-resource-num&gt;10.1136/bmj.e8012&lt;/electronic-resource-num&gt;&lt;/record&gt;&lt;/Cite&gt;&lt;/EndNote&gt;</w:instrText>
      </w:r>
      <w:r w:rsidR="00395EC2">
        <w:fldChar w:fldCharType="separate"/>
      </w:r>
      <w:r w:rsidR="00395EC2" w:rsidRPr="00395EC2">
        <w:rPr>
          <w:noProof/>
          <w:vertAlign w:val="superscript"/>
        </w:rPr>
        <w:t>1</w:t>
      </w:r>
      <w:r w:rsidR="00395EC2">
        <w:fldChar w:fldCharType="end"/>
      </w:r>
      <w:r w:rsidRPr="00A12E08">
        <w:t xml:space="preserve"> The abstract is reproduced below. </w:t>
      </w:r>
    </w:p>
    <w:p w14:paraId="248702C2" w14:textId="77777777" w:rsidR="006B35A6" w:rsidRPr="00A12E08" w:rsidRDefault="006B35A6" w:rsidP="00A12E08"/>
    <w:p w14:paraId="6A818425" w14:textId="77777777" w:rsidR="006B35A6" w:rsidRPr="00980ABD" w:rsidRDefault="006B35A6" w:rsidP="00A12E08">
      <w:pPr>
        <w:rPr>
          <w:rFonts w:ascii="Arial" w:hAnsi="Arial" w:cs="Arial"/>
          <w:sz w:val="22"/>
          <w:szCs w:val="22"/>
        </w:rPr>
      </w:pPr>
      <w:r w:rsidRPr="00980ABD">
        <w:rPr>
          <w:rFonts w:ascii="Arial" w:hAnsi="Arial" w:cs="Arial"/>
          <w:sz w:val="22"/>
          <w:szCs w:val="22"/>
          <w:u w:val="single"/>
        </w:rPr>
        <w:t>Objective</w:t>
      </w:r>
      <w:r w:rsidRPr="00980ABD">
        <w:rPr>
          <w:rFonts w:ascii="Arial" w:hAnsi="Arial" w:cs="Arial"/>
          <w:sz w:val="22"/>
          <w:szCs w:val="22"/>
        </w:rPr>
        <w:t xml:space="preserve">: To assess the diagnostic accuracy of pain on travelling over speed bumps for the diagnosis of acute appendicitis. </w:t>
      </w:r>
    </w:p>
    <w:p w14:paraId="05B77E13" w14:textId="77777777" w:rsidR="006B35A6" w:rsidRPr="00980ABD" w:rsidRDefault="006B35A6" w:rsidP="00A12E08">
      <w:pPr>
        <w:rPr>
          <w:rFonts w:ascii="Arial" w:hAnsi="Arial" w:cs="Arial"/>
          <w:sz w:val="22"/>
          <w:szCs w:val="22"/>
        </w:rPr>
      </w:pPr>
      <w:r w:rsidRPr="00980ABD">
        <w:rPr>
          <w:rFonts w:ascii="Arial" w:hAnsi="Arial" w:cs="Arial"/>
          <w:sz w:val="22"/>
          <w:szCs w:val="22"/>
          <w:u w:val="single"/>
        </w:rPr>
        <w:t>Setting</w:t>
      </w:r>
      <w:r w:rsidRPr="00980ABD">
        <w:rPr>
          <w:rFonts w:ascii="Arial" w:hAnsi="Arial" w:cs="Arial"/>
          <w:sz w:val="22"/>
          <w:szCs w:val="22"/>
        </w:rPr>
        <w:t>: Secondary care surgical assessment unit at a district general hospital in the UK</w:t>
      </w:r>
    </w:p>
    <w:p w14:paraId="6B6C5154" w14:textId="77777777" w:rsidR="006B35A6" w:rsidRPr="00980ABD" w:rsidRDefault="006B35A6" w:rsidP="00A12E08">
      <w:pPr>
        <w:rPr>
          <w:rFonts w:ascii="Arial" w:hAnsi="Arial" w:cs="Arial"/>
          <w:sz w:val="22"/>
          <w:szCs w:val="22"/>
        </w:rPr>
      </w:pPr>
      <w:r w:rsidRPr="00980ABD">
        <w:rPr>
          <w:rFonts w:ascii="Arial" w:hAnsi="Arial" w:cs="Arial"/>
          <w:sz w:val="22"/>
          <w:szCs w:val="22"/>
          <w:u w:val="single"/>
        </w:rPr>
        <w:t>Participants</w:t>
      </w:r>
      <w:r w:rsidRPr="00980ABD">
        <w:rPr>
          <w:rFonts w:ascii="Arial" w:hAnsi="Arial" w:cs="Arial"/>
          <w:sz w:val="22"/>
          <w:szCs w:val="22"/>
        </w:rPr>
        <w:t xml:space="preserve">: 101 patients aged 17-76 years referred to the on-call surgical team for assessment of possible appendicitis. </w:t>
      </w:r>
    </w:p>
    <w:p w14:paraId="3578E6B9" w14:textId="77777777" w:rsidR="006B35A6" w:rsidRPr="00980ABD" w:rsidRDefault="006B35A6" w:rsidP="00A12E08">
      <w:pPr>
        <w:rPr>
          <w:rFonts w:ascii="Arial" w:hAnsi="Arial" w:cs="Arial"/>
          <w:sz w:val="22"/>
          <w:szCs w:val="22"/>
        </w:rPr>
      </w:pPr>
      <w:r w:rsidRPr="00980ABD">
        <w:rPr>
          <w:rFonts w:ascii="Arial" w:hAnsi="Arial" w:cs="Arial"/>
          <w:sz w:val="22"/>
          <w:szCs w:val="22"/>
          <w:u w:val="single"/>
        </w:rPr>
        <w:t>Main outcome measures</w:t>
      </w:r>
      <w:r w:rsidRPr="00980ABD">
        <w:rPr>
          <w:rFonts w:ascii="Arial" w:hAnsi="Arial" w:cs="Arial"/>
          <w:sz w:val="22"/>
          <w:szCs w:val="22"/>
        </w:rPr>
        <w:t xml:space="preserve">: Sensitivity, specificity, positive and negative predictive values, and positive and negative likelihood ratios for pain over speed bumps in diagnosing appendicitis, with histological diagnosis of appendicitis as the reference standard. </w:t>
      </w:r>
    </w:p>
    <w:p w14:paraId="7A380D90" w14:textId="77777777" w:rsidR="006B35A6" w:rsidRPr="00980ABD" w:rsidRDefault="006B35A6" w:rsidP="00A12E08">
      <w:pPr>
        <w:rPr>
          <w:rFonts w:ascii="Arial" w:hAnsi="Arial" w:cs="Arial"/>
          <w:sz w:val="22"/>
          <w:szCs w:val="22"/>
        </w:rPr>
      </w:pPr>
      <w:r w:rsidRPr="00980ABD">
        <w:rPr>
          <w:rFonts w:ascii="Arial" w:hAnsi="Arial" w:cs="Arial"/>
          <w:sz w:val="22"/>
          <w:szCs w:val="22"/>
          <w:u w:val="single"/>
        </w:rPr>
        <w:t>Results</w:t>
      </w:r>
      <w:r w:rsidRPr="00980ABD">
        <w:rPr>
          <w:rFonts w:ascii="Arial" w:hAnsi="Arial" w:cs="Arial"/>
          <w:sz w:val="22"/>
          <w:szCs w:val="22"/>
        </w:rPr>
        <w:t xml:space="preserve">: The analysis included 64 participants who had travelled over speed bumps over their journey to the hospital. Of these, 34 had a confirmed histological diagnosis of appendicitis, 33 of whom reported increase pain over speed bumps. The sensitivity was 97% (95%CI 85-100%), and the specificity was 30% (15% to 49%). The positive predictive value was 61% (47% to 74%), and the negative predictive value was 90% (56% to 100%). The likelihood ratios were 1.4 (1.1 to 1.8) for a positive test result and 0.1 (0.0 to 0.7) for a negative result. Speed bumps had a better sensitivity and negative likelihood ratio than did other clinical features assessed, including migration of pain and rebound tenderness. </w:t>
      </w:r>
    </w:p>
    <w:p w14:paraId="536D3CA8" w14:textId="77777777" w:rsidR="006B35A6" w:rsidRPr="00980ABD" w:rsidRDefault="006B35A6" w:rsidP="00A12E08">
      <w:pPr>
        <w:rPr>
          <w:rFonts w:ascii="Arial" w:hAnsi="Arial" w:cs="Arial"/>
          <w:sz w:val="22"/>
          <w:szCs w:val="22"/>
        </w:rPr>
      </w:pPr>
      <w:r w:rsidRPr="00980ABD">
        <w:rPr>
          <w:rFonts w:ascii="Arial" w:hAnsi="Arial" w:cs="Arial"/>
          <w:sz w:val="22"/>
          <w:szCs w:val="22"/>
          <w:u w:val="single"/>
        </w:rPr>
        <w:t>Conclusions</w:t>
      </w:r>
      <w:r w:rsidRPr="00980ABD">
        <w:rPr>
          <w:rFonts w:ascii="Arial" w:hAnsi="Arial" w:cs="Arial"/>
          <w:sz w:val="22"/>
          <w:szCs w:val="22"/>
        </w:rPr>
        <w:t xml:space="preserve">: Presence of pain while travelling over speed bumps was associated with an increased likelihood of acute appendicitis. As a diagnostic variable, it compared favorably with other measures commonly used in clinical assessment. Asking about speed bumps may contribute to clinical assessment and could be useful in telephone assessment of patients. </w:t>
      </w:r>
    </w:p>
    <w:p w14:paraId="20BCCFE0" w14:textId="77777777" w:rsidR="006B35A6" w:rsidRPr="00A12E08" w:rsidRDefault="006B35A6" w:rsidP="00A12E08"/>
    <w:p w14:paraId="1C7C64E3" w14:textId="02281700" w:rsidR="00DA339F" w:rsidRPr="00362C2F" w:rsidRDefault="00DA339F" w:rsidP="00A12E08">
      <w:r w:rsidRPr="00A12E08">
        <w:t>A</w:t>
      </w:r>
      <w:r w:rsidR="002970AB">
        <w:t>.</w:t>
      </w:r>
      <w:r w:rsidRPr="00A12E08">
        <w:t xml:space="preserve">  </w:t>
      </w:r>
      <w:r w:rsidR="002A4514">
        <w:t>Below is a</w:t>
      </w:r>
      <w:r w:rsidRPr="00A12E08">
        <w:t xml:space="preserve"> 2 </w:t>
      </w:r>
      <w:r w:rsidR="00D228EC">
        <w:t xml:space="preserve">× </w:t>
      </w:r>
      <w:r w:rsidRPr="00A12E08">
        <w:t>2 table that summarizes the results on the 64 patients analyzed. Are their values for positive and negative predictive value correct</w:t>
      </w:r>
      <w:r w:rsidRPr="00362C2F">
        <w:t>?    [</w:t>
      </w:r>
      <w:r w:rsidR="00362C2F" w:rsidRPr="00362C2F">
        <w:t>2</w:t>
      </w:r>
      <w:r w:rsidRPr="00362C2F">
        <w:t>]</w:t>
      </w:r>
    </w:p>
    <w:p w14:paraId="18CF0657" w14:textId="67EFA27E" w:rsidR="00D228EC" w:rsidRPr="00362C2F" w:rsidRDefault="00D228EC" w:rsidP="00D228EC"/>
    <w:tbl>
      <w:tblPr>
        <w:tblStyle w:val="TableGrid"/>
        <w:tblW w:w="0" w:type="auto"/>
        <w:tblLook w:val="04A0" w:firstRow="1" w:lastRow="0" w:firstColumn="1" w:lastColumn="0" w:noHBand="0" w:noVBand="1"/>
      </w:tblPr>
      <w:tblGrid>
        <w:gridCol w:w="2538"/>
        <w:gridCol w:w="2538"/>
        <w:gridCol w:w="2538"/>
        <w:gridCol w:w="2538"/>
      </w:tblGrid>
      <w:tr w:rsidR="00D228EC" w:rsidRPr="00362C2F" w14:paraId="32490BD0" w14:textId="77777777" w:rsidTr="00D228EC">
        <w:tc>
          <w:tcPr>
            <w:tcW w:w="2538" w:type="dxa"/>
          </w:tcPr>
          <w:p w14:paraId="5932F4D2" w14:textId="77777777" w:rsidR="00D228EC" w:rsidRPr="00362C2F" w:rsidRDefault="00D228EC" w:rsidP="00D228EC"/>
        </w:tc>
        <w:tc>
          <w:tcPr>
            <w:tcW w:w="2538" w:type="dxa"/>
          </w:tcPr>
          <w:p w14:paraId="12E7057E" w14:textId="77777777" w:rsidR="00D228EC" w:rsidRPr="00362C2F" w:rsidRDefault="00D228EC" w:rsidP="00D228EC">
            <w:r w:rsidRPr="00362C2F">
              <w:t>Appendicitis</w:t>
            </w:r>
          </w:p>
        </w:tc>
        <w:tc>
          <w:tcPr>
            <w:tcW w:w="2538" w:type="dxa"/>
          </w:tcPr>
          <w:p w14:paraId="43CA6726" w14:textId="77777777" w:rsidR="00D228EC" w:rsidRPr="00362C2F" w:rsidRDefault="00D228EC" w:rsidP="00D228EC">
            <w:r w:rsidRPr="00362C2F">
              <w:t>No Appendicitis</w:t>
            </w:r>
          </w:p>
        </w:tc>
        <w:tc>
          <w:tcPr>
            <w:tcW w:w="2538" w:type="dxa"/>
          </w:tcPr>
          <w:p w14:paraId="46E3F55F" w14:textId="77777777" w:rsidR="00D228EC" w:rsidRPr="00362C2F" w:rsidRDefault="00D228EC" w:rsidP="00D228EC">
            <w:r w:rsidRPr="00362C2F">
              <w:t>Total</w:t>
            </w:r>
          </w:p>
        </w:tc>
      </w:tr>
      <w:tr w:rsidR="00D228EC" w:rsidRPr="00362C2F" w14:paraId="43D46BBC" w14:textId="77777777" w:rsidTr="00D228EC">
        <w:tc>
          <w:tcPr>
            <w:tcW w:w="2538" w:type="dxa"/>
          </w:tcPr>
          <w:p w14:paraId="3756FD49" w14:textId="77777777" w:rsidR="00D228EC" w:rsidRPr="00362C2F" w:rsidRDefault="00D228EC" w:rsidP="00D228EC">
            <w:r w:rsidRPr="00362C2F">
              <w:t>Positive</w:t>
            </w:r>
          </w:p>
        </w:tc>
        <w:tc>
          <w:tcPr>
            <w:tcW w:w="2538" w:type="dxa"/>
          </w:tcPr>
          <w:p w14:paraId="1F3FA161" w14:textId="77777777" w:rsidR="00D228EC" w:rsidRPr="00362C2F" w:rsidRDefault="00D228EC" w:rsidP="00D228EC">
            <w:r w:rsidRPr="00362C2F">
              <w:t>33</w:t>
            </w:r>
          </w:p>
        </w:tc>
        <w:tc>
          <w:tcPr>
            <w:tcW w:w="2538" w:type="dxa"/>
          </w:tcPr>
          <w:p w14:paraId="671EC121" w14:textId="77777777" w:rsidR="00D228EC" w:rsidRPr="00362C2F" w:rsidRDefault="00D228EC" w:rsidP="00D228EC">
            <w:r w:rsidRPr="00362C2F">
              <w:t>21</w:t>
            </w:r>
          </w:p>
        </w:tc>
        <w:tc>
          <w:tcPr>
            <w:tcW w:w="2538" w:type="dxa"/>
          </w:tcPr>
          <w:p w14:paraId="21E4065A" w14:textId="77777777" w:rsidR="00D228EC" w:rsidRPr="00362C2F" w:rsidRDefault="00D228EC" w:rsidP="00D228EC">
            <w:r w:rsidRPr="00362C2F">
              <w:t>54</w:t>
            </w:r>
          </w:p>
        </w:tc>
      </w:tr>
      <w:tr w:rsidR="00D228EC" w:rsidRPr="00362C2F" w14:paraId="7C57A1AC" w14:textId="77777777" w:rsidTr="00D228EC">
        <w:tc>
          <w:tcPr>
            <w:tcW w:w="2538" w:type="dxa"/>
          </w:tcPr>
          <w:p w14:paraId="4735D840" w14:textId="77777777" w:rsidR="00D228EC" w:rsidRPr="00362C2F" w:rsidRDefault="00D228EC" w:rsidP="00D228EC">
            <w:r w:rsidRPr="00362C2F">
              <w:t>Negative</w:t>
            </w:r>
          </w:p>
        </w:tc>
        <w:tc>
          <w:tcPr>
            <w:tcW w:w="2538" w:type="dxa"/>
          </w:tcPr>
          <w:p w14:paraId="77B5D7A1" w14:textId="77777777" w:rsidR="00D228EC" w:rsidRPr="00362C2F" w:rsidRDefault="00D228EC" w:rsidP="00D228EC">
            <w:r w:rsidRPr="00362C2F">
              <w:t>1</w:t>
            </w:r>
          </w:p>
        </w:tc>
        <w:tc>
          <w:tcPr>
            <w:tcW w:w="2538" w:type="dxa"/>
          </w:tcPr>
          <w:p w14:paraId="161E272A" w14:textId="77777777" w:rsidR="00D228EC" w:rsidRPr="00362C2F" w:rsidRDefault="00D228EC" w:rsidP="00D228EC">
            <w:r w:rsidRPr="00362C2F">
              <w:t>9</w:t>
            </w:r>
          </w:p>
        </w:tc>
        <w:tc>
          <w:tcPr>
            <w:tcW w:w="2538" w:type="dxa"/>
          </w:tcPr>
          <w:p w14:paraId="1DD12A7C" w14:textId="77777777" w:rsidR="00D228EC" w:rsidRPr="00362C2F" w:rsidRDefault="00D228EC" w:rsidP="00D228EC">
            <w:r w:rsidRPr="00362C2F">
              <w:t>10</w:t>
            </w:r>
          </w:p>
        </w:tc>
      </w:tr>
      <w:tr w:rsidR="00D228EC" w:rsidRPr="00362C2F" w14:paraId="57F0AD5A" w14:textId="77777777" w:rsidTr="00D228EC">
        <w:tc>
          <w:tcPr>
            <w:tcW w:w="2538" w:type="dxa"/>
          </w:tcPr>
          <w:p w14:paraId="48E24064" w14:textId="77777777" w:rsidR="00D228EC" w:rsidRPr="00362C2F" w:rsidRDefault="00D228EC" w:rsidP="00D228EC">
            <w:r w:rsidRPr="00362C2F">
              <w:t>Total</w:t>
            </w:r>
          </w:p>
        </w:tc>
        <w:tc>
          <w:tcPr>
            <w:tcW w:w="2538" w:type="dxa"/>
          </w:tcPr>
          <w:p w14:paraId="2ACD0E60" w14:textId="77777777" w:rsidR="00D228EC" w:rsidRPr="00362C2F" w:rsidRDefault="00D228EC" w:rsidP="00D228EC">
            <w:r w:rsidRPr="00362C2F">
              <w:t>34</w:t>
            </w:r>
          </w:p>
        </w:tc>
        <w:tc>
          <w:tcPr>
            <w:tcW w:w="2538" w:type="dxa"/>
          </w:tcPr>
          <w:p w14:paraId="17AD4EBF" w14:textId="77777777" w:rsidR="00D228EC" w:rsidRPr="00362C2F" w:rsidRDefault="00D228EC" w:rsidP="00D228EC">
            <w:r w:rsidRPr="00362C2F">
              <w:t>30</w:t>
            </w:r>
          </w:p>
        </w:tc>
        <w:tc>
          <w:tcPr>
            <w:tcW w:w="2538" w:type="dxa"/>
          </w:tcPr>
          <w:p w14:paraId="6EB2AF01" w14:textId="77777777" w:rsidR="00D228EC" w:rsidRPr="00362C2F" w:rsidRDefault="00D228EC" w:rsidP="00D228EC">
            <w:r w:rsidRPr="00362C2F">
              <w:t>64</w:t>
            </w:r>
          </w:p>
        </w:tc>
      </w:tr>
    </w:tbl>
    <w:p w14:paraId="6B371FA5" w14:textId="77777777" w:rsidR="00DA339F" w:rsidRPr="00362C2F" w:rsidRDefault="00DA339F" w:rsidP="00A12E08"/>
    <w:p w14:paraId="3CC5EC36" w14:textId="35E876E7" w:rsidR="00DA339F" w:rsidRPr="00A12E08" w:rsidRDefault="00DA339F" w:rsidP="00A12E08">
      <w:r w:rsidRPr="00A12E08">
        <w:lastRenderedPageBreak/>
        <w:br/>
        <w:t>B</w:t>
      </w:r>
      <w:r w:rsidR="002970AB">
        <w:t>.</w:t>
      </w:r>
      <w:r w:rsidRPr="00A12E08">
        <w:t xml:space="preserve">  33 patients did not recall having travelled over speed bumps and were excluded from the study. If many of them had, in fact, gone over speed bumps, but did not remember (because it didn't hurt) what kind of bias would result from excluding these patients from the study, and how would it affect reported sensitivity and specificity?  [2]</w:t>
      </w:r>
    </w:p>
    <w:p w14:paraId="1003A36B" w14:textId="018F7F2F" w:rsidR="00DA339F" w:rsidRPr="00A12E08" w:rsidRDefault="00DA339F" w:rsidP="00A12E08">
      <w:r w:rsidRPr="00A12E08">
        <w:br/>
      </w:r>
      <w:r w:rsidR="00980ABD">
        <w:br/>
      </w:r>
    </w:p>
    <w:p w14:paraId="76A10481" w14:textId="77777777" w:rsidR="00DA339F" w:rsidRPr="00A12E08" w:rsidRDefault="00DA339F" w:rsidP="00A12E08">
      <w:pPr>
        <w:widowControl w:val="0"/>
        <w:autoSpaceDE w:val="0"/>
        <w:autoSpaceDN w:val="0"/>
        <w:adjustRightInd w:val="0"/>
        <w:ind w:left="640" w:hanging="640"/>
      </w:pPr>
    </w:p>
    <w:p w14:paraId="1A36B164" w14:textId="197A7629" w:rsidR="00DA339F" w:rsidRPr="00A12E08" w:rsidRDefault="00DA339F" w:rsidP="00A12E08">
      <w:pPr>
        <w:widowControl w:val="0"/>
        <w:autoSpaceDE w:val="0"/>
        <w:autoSpaceDN w:val="0"/>
        <w:adjustRightInd w:val="0"/>
      </w:pPr>
      <w:r w:rsidRPr="00A12E08">
        <w:t>C</w:t>
      </w:r>
      <w:r w:rsidR="002970AB">
        <w:t>.</w:t>
      </w:r>
      <w:r w:rsidRPr="00A12E08">
        <w:t xml:space="preserve">  Assume that those excluded from the study because they did not remember traveling over speed bumps were otherwise similar (in terms </w:t>
      </w:r>
      <w:r w:rsidR="00980ABD">
        <w:t xml:space="preserve">of appendicitis risk) to those </w:t>
      </w:r>
      <w:r w:rsidRPr="00A12E08">
        <w:t>who remembered traveling over speed bumps, but not feeling pain.   How would the exclusion of these subjects affect the point estimate and 95% confidence interval of the negative predictive value? [2]</w:t>
      </w:r>
      <w:r w:rsidRPr="00A12E08">
        <w:br/>
      </w:r>
      <w:r w:rsidRPr="00A12E08">
        <w:br/>
      </w:r>
      <w:r w:rsidR="00980ABD">
        <w:br/>
      </w:r>
      <w:r w:rsidRPr="00A12E08">
        <w:br/>
      </w:r>
    </w:p>
    <w:p w14:paraId="560953C3" w14:textId="1A47F3E8" w:rsidR="008520D7" w:rsidRPr="00A12E08" w:rsidRDefault="00DA339F" w:rsidP="00A12E08">
      <w:r w:rsidRPr="00A12E08">
        <w:t>D</w:t>
      </w:r>
      <w:r w:rsidR="002970AB">
        <w:t>.</w:t>
      </w:r>
      <w:r w:rsidRPr="00A12E08">
        <w:t xml:space="preserve">  </w:t>
      </w:r>
      <w:r w:rsidR="00CD5616" w:rsidRPr="00A12E08">
        <w:t>Another possibility is that the reason why those 33 patients did not recall going over speed bumps was that they deliberately avoided them because they thought it would hurt.  If just this (and not forgetfulness from part A) caused some of the 33 patients to be excluded, how would that affect the reported sensitivity and specificity</w:t>
      </w:r>
      <w:r w:rsidR="00CD5616">
        <w:t xml:space="preserve"> (compared with including them and counting them as positive for pain over speed bumps)</w:t>
      </w:r>
      <w:r w:rsidR="00CD5616" w:rsidRPr="00A12E08">
        <w:t xml:space="preserve">? [2]  (Hint: don't try to name this bias.) </w:t>
      </w:r>
      <w:r w:rsidR="00CD5616" w:rsidRPr="00A12E08">
        <w:br/>
      </w:r>
      <w:r w:rsidRPr="00A12E08">
        <w:br/>
      </w:r>
      <w:r w:rsidRPr="00A12E08">
        <w:br/>
      </w:r>
      <w:r w:rsidR="00980ABD">
        <w:br/>
      </w:r>
      <w:r w:rsidRPr="00A12E08">
        <w:br/>
      </w:r>
      <w:r w:rsidRPr="00A12E08">
        <w:br/>
      </w:r>
      <w:r w:rsidRPr="00A12E08">
        <w:br/>
        <w:t>E.  The diagnosis of appendicitis was confirmed histologically (i.e., by examination of the removed appendix under a microscope) in all cases.  However the diagnosis of no appendicitis was sometimes made clinically (e.g., pain resolved without surgery).   If appendicitis sometimes resolved spontaneously and those with positive speed bump tests were more likely to have appendectomies, what bias would that cause, and how would it affect reported sensitivity and specificity?  [2]</w:t>
      </w:r>
      <w:r w:rsidR="006A2956" w:rsidRPr="00A12E08">
        <w:br/>
      </w:r>
      <w:r w:rsidR="006A2956" w:rsidRPr="00A12E08">
        <w:br/>
      </w:r>
      <w:r w:rsidR="00980ABD">
        <w:br/>
      </w:r>
      <w:r w:rsidR="00980ABD">
        <w:br/>
      </w:r>
    </w:p>
    <w:p w14:paraId="0B3D43D2" w14:textId="1B6224BA" w:rsidR="0066083D" w:rsidRPr="00A12E08" w:rsidRDefault="006A2956" w:rsidP="00A12E08">
      <w:pPr>
        <w:rPr>
          <w:b/>
        </w:rPr>
      </w:pPr>
      <w:r w:rsidRPr="00A12E08">
        <w:t xml:space="preserve">2.  </w:t>
      </w:r>
      <w:r w:rsidR="0066083D" w:rsidRPr="00A12E08">
        <w:rPr>
          <w:b/>
        </w:rPr>
        <w:t>Unconditional prenatal income supplement and birth outcomes</w:t>
      </w:r>
    </w:p>
    <w:p w14:paraId="485F834A" w14:textId="77777777" w:rsidR="0066083D" w:rsidRPr="00A12E08" w:rsidRDefault="0066083D" w:rsidP="00A12E08">
      <w:pPr>
        <w:rPr>
          <w:b/>
        </w:rPr>
      </w:pPr>
    </w:p>
    <w:p w14:paraId="133C89F9" w14:textId="21B86A2F" w:rsidR="0066083D" w:rsidRPr="00A12E08" w:rsidRDefault="0066083D" w:rsidP="00A12E08">
      <w:r w:rsidRPr="00A12E08">
        <w:t xml:space="preserve">Brownell et al </w:t>
      </w:r>
      <w:r w:rsidR="00395EC2">
        <w:fldChar w:fldCharType="begin"/>
      </w:r>
      <w:r w:rsidR="00395EC2">
        <w:instrText xml:space="preserve"> ADDIN EN.CITE &lt;EndNote&gt;&lt;Cite&gt;&lt;Author&gt;Brownell&lt;/Author&gt;&lt;Year&gt;2016&lt;/Year&gt;&lt;RecNum&gt;3995&lt;/RecNum&gt;&lt;DisplayText&gt;&lt;style face="superscript"&gt;2&lt;/style&gt;&lt;/DisplayText&gt;&lt;record&gt;&lt;rec-number&gt;3995&lt;/rec-number&gt;&lt;foreign-keys&gt;&lt;key app="EN" db-id="s5wrswzpewzvvze9sxpxree4s0x5vdrwfapp" timestamp="1479105054"&gt;3995&lt;/key&gt;&lt;/foreign-keys&gt;&lt;ref-type name="Journal Article"&gt;17&lt;/ref-type&gt;&lt;contributors&gt;&lt;authors&gt;&lt;author&gt;Brownell, M. D.&lt;/author&gt;&lt;author&gt;Chartier, M. J.&lt;/author&gt;&lt;author&gt;Nickel, N. C.&lt;/author&gt;&lt;author&gt;Chateau, D.&lt;/author&gt;&lt;author&gt;Martens, P. J.&lt;/author&gt;&lt;author&gt;Sarkar, J.&lt;/author&gt;&lt;author&gt;Burland, E.&lt;/author&gt;&lt;author&gt;Jutte, D. P.&lt;/author&gt;&lt;author&gt;Taylor, C.&lt;/author&gt;&lt;author&gt;Santos, R. G.&lt;/author&gt;&lt;author&gt;Katz, A.&lt;/author&gt;&lt;author&gt;Paths Equity for Children Team&lt;/author&gt;&lt;/authors&gt;&lt;/contributors&gt;&lt;auth-address&gt;Department of Community Health Sciences, University of Manitoba, Winnipeg, Manitoba, Canada; Manitoba Centre for Health Policy, Winnipeg, Manitoba, Canada; and marni_brownell@cpe.umanitoba.ca.&amp;#xD;Department of Community Health Sciences, University of Manitoba, Winnipeg, Manitoba, Canada; Manitoba Centre for Health Policy, Winnipeg, Manitoba, Canada; and.&amp;#xD;Manitoba Centre for Health Policy, Winnipeg, Manitoba, Canada; and.&amp;#xD;School of Public Health, University of California, Berkeley, Berkeley, California.&lt;/auth-address&gt;&lt;titles&gt;&lt;title&gt;Unconditional Prenatal Income Supplement and Birth Outcomes&lt;/title&gt;&lt;secondary-title&gt;Pediatrics&lt;/secondary-title&gt;&lt;/titles&gt;&lt;periodical&gt;&lt;full-title&gt;Pediatrics&lt;/full-title&gt;&lt;/periodical&gt;&lt;volume&gt;137&lt;/volume&gt;&lt;number&gt;6&lt;/number&gt;&lt;dates&gt;&lt;year&gt;2016&lt;/year&gt;&lt;pub-dates&gt;&lt;date&gt;Jun&lt;/date&gt;&lt;/pub-dates&gt;&lt;/dates&gt;&lt;isbn&gt;1098-4275 (Electronic)&amp;#xD;0031-4005 (Linking)&lt;/isbn&gt;&lt;accession-num&gt;27244846&lt;/accession-num&gt;&lt;urls&gt;&lt;related-urls&gt;&lt;url&gt;https://www.ncbi.nlm.nih.gov/pubmed/27244846&lt;/url&gt;&lt;/related-urls&gt;&lt;/urls&gt;&lt;electronic-resource-num&gt;10.1542/peds.2015-2992&lt;/electronic-resource-num&gt;&lt;/record&gt;&lt;/Cite&gt;&lt;/EndNote&gt;</w:instrText>
      </w:r>
      <w:r w:rsidR="00395EC2">
        <w:fldChar w:fldCharType="separate"/>
      </w:r>
      <w:r w:rsidR="00395EC2" w:rsidRPr="00395EC2">
        <w:rPr>
          <w:noProof/>
          <w:vertAlign w:val="superscript"/>
        </w:rPr>
        <w:t>2</w:t>
      </w:r>
      <w:r w:rsidR="00395EC2">
        <w:fldChar w:fldCharType="end"/>
      </w:r>
      <w:r w:rsidRPr="00A12E08">
        <w:t xml:space="preserve"> tested whether simply giving poor mothers in Mantoba, Canada some extra money (about $80/month, amounting to about a 10% increase in their monthly income) would improve their birth outcomes.  The abstract of the study is excerpted below:</w:t>
      </w:r>
    </w:p>
    <w:p w14:paraId="1485D201" w14:textId="77777777" w:rsidR="0066083D" w:rsidRPr="00A12E08" w:rsidRDefault="0066083D" w:rsidP="00A12E08"/>
    <w:p w14:paraId="6CD61AD8" w14:textId="77777777" w:rsidR="0066083D" w:rsidRPr="00980ABD" w:rsidRDefault="0066083D" w:rsidP="00A12E08">
      <w:pPr>
        <w:rPr>
          <w:rFonts w:ascii="Helvetica" w:hAnsi="Helvetica" w:cs="Helvetica"/>
          <w:sz w:val="22"/>
          <w:szCs w:val="22"/>
          <w:lang w:eastAsia="ja-JP"/>
        </w:rPr>
      </w:pPr>
      <w:r w:rsidRPr="00980ABD">
        <w:rPr>
          <w:rFonts w:ascii="Helvetica" w:hAnsi="Helvetica" w:cs="Helvetica"/>
          <w:sz w:val="22"/>
          <w:szCs w:val="22"/>
          <w:lang w:eastAsia="ja-JP"/>
        </w:rPr>
        <w:t xml:space="preserve">BACKGROUND AND OBJECTIVES: Perinatal outcomes have improved in developed countries but remain poor for disadvantaged populations. We examined whether an unconditional income supplement to low-income pregnant women was associated with improved birth outcomes. </w:t>
      </w:r>
    </w:p>
    <w:p w14:paraId="6CD0D04B" w14:textId="77777777" w:rsidR="0066083D" w:rsidRPr="00980ABD" w:rsidRDefault="0066083D" w:rsidP="00A12E08">
      <w:pPr>
        <w:rPr>
          <w:rFonts w:ascii="Helvetica" w:hAnsi="Helvetica" w:cs="Helvetica"/>
          <w:sz w:val="22"/>
          <w:szCs w:val="22"/>
          <w:lang w:eastAsia="ja-JP"/>
        </w:rPr>
      </w:pPr>
    </w:p>
    <w:p w14:paraId="21D3C8F4" w14:textId="77777777" w:rsidR="0066083D" w:rsidRPr="00980ABD" w:rsidRDefault="0066083D" w:rsidP="00A12E08">
      <w:pPr>
        <w:rPr>
          <w:rFonts w:ascii="Helvetica" w:hAnsi="Helvetica" w:cs="Helvetica"/>
          <w:sz w:val="22"/>
          <w:szCs w:val="22"/>
          <w:lang w:eastAsia="ja-JP"/>
        </w:rPr>
      </w:pPr>
      <w:r w:rsidRPr="00980ABD">
        <w:rPr>
          <w:rFonts w:ascii="Helvetica" w:hAnsi="Helvetica" w:cs="Helvetica"/>
          <w:sz w:val="22"/>
          <w:szCs w:val="22"/>
          <w:lang w:eastAsia="ja-JP"/>
        </w:rPr>
        <w:t xml:space="preserve">METHODS: This study included all mother-newborn pairs (2003-2010) in Manitoba, Canada, where the mother received prenatal social assistance, the infant was born in the hospital, and the pair had a risk screen (N = 14 591). Low-income women who received the income supplement (Healthy Baby Prenatal Benefit [HBPB], n = 10 738) were compared with low-income women who did not receive HBPB (n = 3853) ... Covariates from risk screens were used to develop propensity scores and to balance differences between groups in regression models…. </w:t>
      </w:r>
    </w:p>
    <w:p w14:paraId="54D10E48" w14:textId="77777777" w:rsidR="0066083D" w:rsidRPr="00980ABD" w:rsidRDefault="0066083D" w:rsidP="00A12E08">
      <w:pPr>
        <w:rPr>
          <w:rFonts w:ascii="Helvetica" w:hAnsi="Helvetica" w:cs="Helvetica"/>
          <w:sz w:val="22"/>
          <w:szCs w:val="22"/>
          <w:lang w:eastAsia="ja-JP"/>
        </w:rPr>
      </w:pPr>
    </w:p>
    <w:p w14:paraId="6611F4D8" w14:textId="305B77C0" w:rsidR="00D40797" w:rsidRDefault="0066083D" w:rsidP="00A12E08">
      <w:r w:rsidRPr="00980ABD">
        <w:rPr>
          <w:rFonts w:ascii="Helvetica" w:hAnsi="Helvetica" w:cs="Helvetica"/>
          <w:sz w:val="22"/>
          <w:szCs w:val="22"/>
          <w:lang w:eastAsia="ja-JP"/>
        </w:rPr>
        <w:t>RESULTS: HBPB was associated with reductions in low birth weight ([adjusted risk ratio] aRR, 0.71 [95% CI, 0.63-0.81]), preterm births (aRR, 0.76 [95% CI, 0.69-0.84]) and small for gestational age births (aRR, 0.90 [95% CI, 0.81-0.99]) …</w:t>
      </w:r>
      <w:r w:rsidRPr="00980ABD">
        <w:rPr>
          <w:rFonts w:ascii="Helvetica" w:hAnsi="Helvetica" w:cs="Helvetica"/>
          <w:sz w:val="22"/>
          <w:szCs w:val="22"/>
          <w:lang w:eastAsia="ja-JP"/>
        </w:rPr>
        <w:br/>
      </w:r>
      <w:r w:rsidRPr="00980ABD">
        <w:rPr>
          <w:rFonts w:ascii="Helvetica" w:hAnsi="Helvetica" w:cs="Helvetica"/>
          <w:sz w:val="22"/>
          <w:szCs w:val="22"/>
          <w:lang w:eastAsia="ja-JP"/>
        </w:rPr>
        <w:br/>
        <w:t>CONCLUSIONS: Receipt of an unconditional prenatal income supplement was associated with positive outcomes. Placing conditions on income supplements may not be necessary to promote prenatal and perinatal health.</w:t>
      </w:r>
      <w:r w:rsidRPr="00980ABD">
        <w:rPr>
          <w:rFonts w:ascii="Helvetica" w:hAnsi="Helvetica" w:cs="Helvetica"/>
          <w:sz w:val="22"/>
          <w:szCs w:val="22"/>
          <w:lang w:eastAsia="ja-JP"/>
        </w:rPr>
        <w:br/>
      </w:r>
      <w:r w:rsidRPr="00A12E08">
        <w:br/>
        <w:t xml:space="preserve">a.)  This was an observational study, not a randomized trial.  Could confounding </w:t>
      </w:r>
      <w:r w:rsidRPr="00DB3C42">
        <w:rPr>
          <w:i/>
        </w:rPr>
        <w:t>by indication</w:t>
      </w:r>
      <w:r w:rsidRPr="00A12E08">
        <w:t xml:space="preserve"> explain these favorable results?  Explain</w:t>
      </w:r>
      <w:r w:rsidR="00CA50B1">
        <w:t>.</w:t>
      </w:r>
      <w:r w:rsidRPr="00A12E08">
        <w:t xml:space="preserve"> [2]</w:t>
      </w:r>
      <w:r w:rsidRPr="00A12E08">
        <w:br/>
      </w:r>
      <w:r w:rsidRPr="00A12E08">
        <w:br/>
      </w:r>
      <w:r w:rsidRPr="00A12E08">
        <w:br/>
      </w:r>
      <w:r w:rsidRPr="00A12E08">
        <w:br/>
      </w:r>
      <w:r w:rsidRPr="00A12E08">
        <w:br/>
        <w:t>b.)   The authors created a propensity score to deal with the possibility of confounding.  What would be the characteristics of variables would they would want to include in their propensity score? [2]</w:t>
      </w:r>
      <w:r w:rsidRPr="00A12E08">
        <w:br/>
      </w:r>
      <w:r w:rsidRPr="00A12E08">
        <w:br/>
      </w:r>
      <w:r w:rsidR="00CA50B1">
        <w:br/>
      </w:r>
      <w:r w:rsidRPr="00A12E08">
        <w:br/>
      </w:r>
      <w:r w:rsidRPr="00A12E08">
        <w:br/>
        <w:t>c.)   Imagine that Martha has a propensity score of 0.7.  Explain in words what that would mean.  [2]</w:t>
      </w:r>
      <w:r w:rsidRPr="00A12E08">
        <w:br/>
      </w:r>
      <w:r w:rsidRPr="00A12E08">
        <w:br/>
      </w:r>
      <w:r w:rsidRPr="00A12E08">
        <w:br/>
      </w:r>
      <w:r w:rsidRPr="00A12E08">
        <w:br/>
        <w:t xml:space="preserve">d.)  The HBPB program began in Manitoba in 2001.  If we can assume that nothing else affecting birth outcomes changed between pre- and post 2001, would it be a good idea to include births from before 2001 in the study, and </w:t>
      </w:r>
      <w:r w:rsidR="00BF0641">
        <w:t xml:space="preserve">then </w:t>
      </w:r>
      <w:r w:rsidRPr="00A12E08">
        <w:t>include year of birth as a predictor variable in the propensity score?  Explain.  [2]</w:t>
      </w:r>
      <w:r w:rsidR="00274EFD" w:rsidRPr="00A12E08">
        <w:br/>
      </w:r>
      <w:r w:rsidR="00274EFD" w:rsidRPr="00A12E08">
        <w:br/>
      </w:r>
    </w:p>
    <w:p w14:paraId="72F62A01" w14:textId="59EAF28F" w:rsidR="00274EFD" w:rsidRPr="00A12E08" w:rsidRDefault="00274EFD" w:rsidP="00A12E08">
      <w:r w:rsidRPr="00A12E08">
        <w:br/>
      </w:r>
    </w:p>
    <w:p w14:paraId="4BCE6020" w14:textId="77777777" w:rsidR="00574006" w:rsidRPr="00A12E08" w:rsidRDefault="00274EFD" w:rsidP="00A12E08">
      <w:r w:rsidRPr="00A12E08">
        <w:t xml:space="preserve">3.  </w:t>
      </w:r>
      <w:r w:rsidR="00574006" w:rsidRPr="00A12E08">
        <w:t>Measuring disease activity in rheumatoid arthritis. (Thanks to Zara Izadi.)</w:t>
      </w:r>
    </w:p>
    <w:p w14:paraId="474A7B93" w14:textId="529FD785" w:rsidR="00574006" w:rsidRPr="00A12E08" w:rsidRDefault="00574006" w:rsidP="00A12E08">
      <w:r w:rsidRPr="00A12E08">
        <w:t xml:space="preserve">Clinical Disease Activity Index (CDAI) and 28-joint Disease Activity Score based on erythrocyte sedimentation rate (DAS28ESR) are two measures used for assessment of disease activity in Rheumatoid Arthritis (RA). The internationally agreed on standard of good practice, often referred to as “treat-to-target,” recommends that all patients </w:t>
      </w:r>
      <w:r w:rsidR="00295FBE">
        <w:t xml:space="preserve">be treated to </w:t>
      </w:r>
      <w:r w:rsidR="00A3485A">
        <w:t xml:space="preserve">a </w:t>
      </w:r>
      <w:r w:rsidR="0090100B">
        <w:t xml:space="preserve">level that will </w:t>
      </w:r>
      <w:r w:rsidRPr="00A12E08">
        <w:t xml:space="preserve">restore physical function. </w:t>
      </w:r>
      <w:r w:rsidR="004E1BF9">
        <w:t xml:space="preserve">Although both disease activity measures have a </w:t>
      </w:r>
      <w:r w:rsidR="00C046A9">
        <w:t>result category called "remission," it is not clear how well it</w:t>
      </w:r>
      <w:r w:rsidR="004E1BF9">
        <w:t xml:space="preserve"> corresponds to restoration of physical function</w:t>
      </w:r>
      <w:r w:rsidRPr="00A12E08">
        <w:t xml:space="preserve">. </w:t>
      </w:r>
    </w:p>
    <w:p w14:paraId="0F7388FA" w14:textId="0958F9DB" w:rsidR="00574006" w:rsidRPr="00A12E08" w:rsidRDefault="00574006" w:rsidP="00A12E08">
      <w:r w:rsidRPr="00A12E08">
        <w:t>Your colleague has done a preliminary analysis of your RA patients and is ready to publish her findings in an abstract. An excerpt from the abstract reads:</w:t>
      </w:r>
    </w:p>
    <w:p w14:paraId="5E5A98BD" w14:textId="357602E0" w:rsidR="00574006" w:rsidRPr="00A12E08" w:rsidRDefault="00163655" w:rsidP="00A12E08">
      <w:r w:rsidRPr="00A12E08">
        <w:rPr>
          <w:noProof/>
        </w:rPr>
        <mc:AlternateContent>
          <mc:Choice Requires="wps">
            <w:drawing>
              <wp:anchor distT="0" distB="0" distL="114300" distR="114300" simplePos="0" relativeHeight="251659264" behindDoc="0" locked="0" layoutInCell="1" allowOverlap="1" wp14:anchorId="1C1402C2" wp14:editId="136A1DB5">
                <wp:simplePos x="0" y="0"/>
                <wp:positionH relativeFrom="margin">
                  <wp:posOffset>120015</wp:posOffset>
                </wp:positionH>
                <wp:positionV relativeFrom="paragraph">
                  <wp:posOffset>80010</wp:posOffset>
                </wp:positionV>
                <wp:extent cx="5924550" cy="76200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924550" cy="762000"/>
                        </a:xfrm>
                        <a:prstGeom prst="rect">
                          <a:avLst/>
                        </a:prstGeom>
                        <a:solidFill>
                          <a:schemeClr val="lt1"/>
                        </a:solidFill>
                        <a:ln w="6350">
                          <a:solidFill>
                            <a:prstClr val="black"/>
                          </a:solidFill>
                        </a:ln>
                      </wps:spPr>
                      <wps:txbx>
                        <w:txbxContent>
                          <w:p w14:paraId="6D17D620" w14:textId="77777777" w:rsidR="00163655" w:rsidRPr="00BC32F7" w:rsidRDefault="00163655" w:rsidP="00574006">
                            <w:pPr>
                              <w:rPr>
                                <w:i/>
                              </w:rPr>
                            </w:pPr>
                            <w:r>
                              <w:rPr>
                                <w:i/>
                              </w:rPr>
                              <w:t>“In patients with DAS28</w:t>
                            </w:r>
                            <w:r w:rsidRPr="00BC32F7">
                              <w:rPr>
                                <w:i/>
                              </w:rPr>
                              <w:t xml:space="preserve">ESR remission (n=40), those who also </w:t>
                            </w:r>
                            <w:r>
                              <w:rPr>
                                <w:i/>
                              </w:rPr>
                              <w:t>achieved</w:t>
                            </w:r>
                            <w:r w:rsidRPr="00BC32F7">
                              <w:rPr>
                                <w:i/>
                              </w:rPr>
                              <w:t xml:space="preserve"> CDAI remission (n=18) experienced improved physical function (p&lt;0.05). In patients with CDAI remission (n=24), those who also </w:t>
                            </w:r>
                            <w:r>
                              <w:rPr>
                                <w:i/>
                              </w:rPr>
                              <w:t>achieved</w:t>
                            </w:r>
                            <w:r w:rsidRPr="00BC32F7">
                              <w:rPr>
                                <w:i/>
                              </w:rPr>
                              <w:t xml:space="preserve"> DAS28ESR remission (n=18) did not experience further improvements in physical function.” </w:t>
                            </w:r>
                          </w:p>
                          <w:p w14:paraId="467E73F3" w14:textId="77777777" w:rsidR="00163655" w:rsidRDefault="00163655" w:rsidP="00574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9.45pt;margin-top:6.3pt;width:466.5pt;height:60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" fillcolor="white [3201]" strokeweight=".5pt">
                <v:textbox>
                  <w:txbxContent>
                    <w:p w14:paraId="6D17D620" w14:textId="77777777" w:rsidR="00163655" w:rsidRPr="00BC32F7" w:rsidRDefault="00163655" w:rsidP="00574006">
                      <w:pPr>
                        <w:rPr>
                          <w:i/>
                        </w:rPr>
                      </w:pPr>
                      <w:r>
                        <w:rPr>
                          <w:i/>
                        </w:rPr>
                        <w:t>“In patients with DAS28</w:t>
                      </w:r>
                      <w:r w:rsidRPr="00BC32F7">
                        <w:rPr>
                          <w:i/>
                        </w:rPr>
                        <w:t xml:space="preserve">ESR remission (n=40), those who also </w:t>
                      </w:r>
                      <w:r>
                        <w:rPr>
                          <w:i/>
                        </w:rPr>
                        <w:t>achieved</w:t>
                      </w:r>
                      <w:r w:rsidRPr="00BC32F7">
                        <w:rPr>
                          <w:i/>
                        </w:rPr>
                        <w:t xml:space="preserve"> CDAI remission (n=18) experienced improved physical function (p&lt;0.05). In patients with CDAI remission (n=24), those who also </w:t>
                      </w:r>
                      <w:r>
                        <w:rPr>
                          <w:i/>
                        </w:rPr>
                        <w:t>achieved</w:t>
                      </w:r>
                      <w:r w:rsidRPr="00BC32F7">
                        <w:rPr>
                          <w:i/>
                        </w:rPr>
                        <w:t xml:space="preserve"> DAS28ESR remission (n=18) did not experience further improvements in physical function.” </w:t>
                      </w:r>
                    </w:p>
                    <w:p w14:paraId="467E73F3" w14:textId="77777777" w:rsidR="00163655" w:rsidRDefault="00163655" w:rsidP="00574006"/>
                  </w:txbxContent>
                </v:textbox>
                <w10:wrap anchorx="margin"/>
              </v:shape>
            </w:pict>
          </mc:Fallback>
        </mc:AlternateContent>
      </w:r>
    </w:p>
    <w:p w14:paraId="54A27429" w14:textId="77777777" w:rsidR="00574006" w:rsidRPr="00A12E08" w:rsidRDefault="00574006" w:rsidP="00A12E08"/>
    <w:p w14:paraId="774F1924" w14:textId="77777777" w:rsidR="00574006" w:rsidRPr="00A12E08" w:rsidRDefault="00574006" w:rsidP="00A12E08"/>
    <w:p w14:paraId="333D9E2C" w14:textId="77777777" w:rsidR="007D18CD" w:rsidRPr="00A12E08" w:rsidRDefault="007D18CD" w:rsidP="00A12E08"/>
    <w:p w14:paraId="5DE9DA25" w14:textId="77777777" w:rsidR="007D18CD" w:rsidRPr="00A12E08" w:rsidRDefault="007D18CD" w:rsidP="00A12E08"/>
    <w:p w14:paraId="6F62A750" w14:textId="77777777" w:rsidR="007D18CD" w:rsidRPr="00A12E08" w:rsidRDefault="007D18CD" w:rsidP="00A12E08"/>
    <w:p w14:paraId="30846886" w14:textId="206A2A3D" w:rsidR="00574006" w:rsidRPr="00A12E08" w:rsidRDefault="00574006" w:rsidP="00A12E08">
      <w:r w:rsidRPr="00A12E08">
        <w:t xml:space="preserve">After reading the above excerpt you set out to compare these two measures </w:t>
      </w:r>
      <w:r w:rsidR="000966D7">
        <w:t>of disease activity</w:t>
      </w:r>
      <w:r w:rsidRPr="00A12E08">
        <w:t xml:space="preserve">. </w:t>
      </w:r>
    </w:p>
    <w:p w14:paraId="62AAACA0" w14:textId="46A11803" w:rsidR="00574006" w:rsidRPr="00A12E08" w:rsidRDefault="00574006" w:rsidP="00A12E08">
      <w:pPr>
        <w:pStyle w:val="ListParagraph"/>
        <w:numPr>
          <w:ilvl w:val="0"/>
          <w:numId w:val="22"/>
        </w:numPr>
      </w:pPr>
      <w:r w:rsidRPr="00A12E08">
        <w:t>[2] Using predefined cut-offs you dichotomize both measures into ‘remission’ and ‘active disease</w:t>
      </w:r>
      <w:r w:rsidR="00CA50B1">
        <w:t>.’</w:t>
      </w:r>
      <w:r w:rsidRPr="00A12E08">
        <w:t xml:space="preserve">  What is the concordance rate between the two criteria?  What is kappa?  [2]</w:t>
      </w:r>
    </w:p>
    <w:p w14:paraId="48AD6F0F" w14:textId="77777777" w:rsidR="00574006" w:rsidRPr="00A12E08" w:rsidRDefault="00574006" w:rsidP="00A12E08">
      <w:pPr>
        <w:pStyle w:val="ListParagraph"/>
      </w:pPr>
      <w:r w:rsidRPr="00A12E08">
        <w:rPr>
          <w:noProof/>
        </w:rPr>
        <w:drawing>
          <wp:inline distT="0" distB="0" distL="0" distR="0" wp14:anchorId="7CBA1A93" wp14:editId="0A9A7C61">
            <wp:extent cx="3062288" cy="989224"/>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28" t="49038" r="54245" b="37139"/>
                    <a:stretch/>
                  </pic:blipFill>
                  <pic:spPr bwMode="auto">
                    <a:xfrm>
                      <a:off x="0" y="0"/>
                      <a:ext cx="3145435" cy="1016083"/>
                    </a:xfrm>
                    <a:prstGeom prst="rect">
                      <a:avLst/>
                    </a:prstGeom>
                    <a:ln>
                      <a:noFill/>
                    </a:ln>
                    <a:extLst>
                      <a:ext uri="{53640926-AAD7-44d8-BBD7-CCE9431645EC}">
                        <a14:shadowObscured xmlns:a14="http://schemas.microsoft.com/office/drawing/2010/main"/>
                      </a:ext>
                    </a:extLst>
                  </pic:spPr>
                </pic:pic>
              </a:graphicData>
            </a:graphic>
          </wp:inline>
        </w:drawing>
      </w:r>
      <w:r w:rsidRPr="00A12E08">
        <w:t xml:space="preserve"> </w:t>
      </w:r>
    </w:p>
    <w:p w14:paraId="408A72BB" w14:textId="77777777" w:rsidR="00574006" w:rsidRPr="00A12E08" w:rsidRDefault="00574006" w:rsidP="00A12E08">
      <w:pPr>
        <w:pStyle w:val="ListParagraph"/>
        <w:rPr>
          <w:color w:val="0070C0"/>
        </w:rPr>
      </w:pPr>
      <w:r w:rsidRPr="00A12E08">
        <w:rPr>
          <w:color w:val="0070C0"/>
        </w:rPr>
        <w:br/>
      </w:r>
      <w:r w:rsidRPr="00A12E08">
        <w:rPr>
          <w:color w:val="0070C0"/>
        </w:rPr>
        <w:br/>
      </w:r>
      <w:r w:rsidRPr="00A12E08">
        <w:rPr>
          <w:color w:val="0070C0"/>
        </w:rPr>
        <w:br/>
      </w:r>
    </w:p>
    <w:p w14:paraId="1A60596F" w14:textId="746DD64F" w:rsidR="00574006" w:rsidRPr="00A12E08" w:rsidRDefault="00574006" w:rsidP="00A12E08">
      <w:pPr>
        <w:pStyle w:val="ListParagraph"/>
        <w:numPr>
          <w:ilvl w:val="0"/>
          <w:numId w:val="22"/>
        </w:numPr>
      </w:pPr>
      <w:r w:rsidRPr="00A12E08">
        <w:t xml:space="preserve">Are the disagreements balanced or unbalanced? How would this affect your interpretation of a study of the prevalence of </w:t>
      </w:r>
      <w:r w:rsidR="00896505">
        <w:t>"active disease"</w:t>
      </w:r>
      <w:r w:rsidR="00896505" w:rsidRPr="00A12E08">
        <w:t xml:space="preserve"> </w:t>
      </w:r>
      <w:r w:rsidRPr="00A12E08">
        <w:t>in patients with RA, if assessment was using the DAS28ESR?  [2]</w:t>
      </w:r>
      <w:r w:rsidRPr="00A12E08">
        <w:br/>
      </w:r>
      <w:r w:rsidRPr="00A12E08">
        <w:br/>
      </w:r>
      <w:r w:rsidRPr="00A12E08">
        <w:br/>
      </w:r>
      <w:r w:rsidRPr="00A12E08">
        <w:br/>
      </w:r>
    </w:p>
    <w:p w14:paraId="7D53C792" w14:textId="77777777" w:rsidR="00574006" w:rsidRPr="00A12E08" w:rsidRDefault="00574006" w:rsidP="00A12E08">
      <w:pPr>
        <w:pStyle w:val="ListParagraph"/>
      </w:pPr>
    </w:p>
    <w:p w14:paraId="56D4EE92" w14:textId="1819E519" w:rsidR="00212923" w:rsidRDefault="00C67915" w:rsidP="00D40797">
      <w:pPr>
        <w:pStyle w:val="ListParagraph"/>
        <w:numPr>
          <w:ilvl w:val="0"/>
          <w:numId w:val="22"/>
        </w:numPr>
        <w:ind w:left="0" w:firstLine="0"/>
      </w:pPr>
      <w:r>
        <w:rPr>
          <w:noProof/>
        </w:rPr>
        <mc:AlternateContent>
          <mc:Choice Requires="wps">
            <w:drawing>
              <wp:anchor distT="0" distB="0" distL="114300" distR="114300" simplePos="0" relativeHeight="251667456" behindDoc="0" locked="0" layoutInCell="1" allowOverlap="1" wp14:anchorId="0E0999BA" wp14:editId="2EA400B7">
                <wp:simplePos x="0" y="0"/>
                <wp:positionH relativeFrom="column">
                  <wp:posOffset>2083602</wp:posOffset>
                </wp:positionH>
                <wp:positionV relativeFrom="paragraph">
                  <wp:posOffset>2488788</wp:posOffset>
                </wp:positionV>
                <wp:extent cx="1304290" cy="414655"/>
                <wp:effectExtent l="25400" t="50800" r="16510" b="42545"/>
                <wp:wrapNone/>
                <wp:docPr id="8" name="Oval 8"/>
                <wp:cNvGraphicFramePr/>
                <a:graphic xmlns:a="http://schemas.openxmlformats.org/drawingml/2006/main">
                  <a:graphicData uri="http://schemas.microsoft.com/office/word/2010/wordprocessingShape">
                    <wps:wsp>
                      <wps:cNvSpPr/>
                      <wps:spPr>
                        <a:xfrm rot="21177805">
                          <a:off x="0" y="0"/>
                          <a:ext cx="1304290" cy="414655"/>
                        </a:xfrm>
                        <a:prstGeom prst="ellipse">
                          <a:avLst/>
                        </a:prstGeom>
                        <a:noFill/>
                        <a:ln w="3175">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64.05pt;margin-top:195.95pt;width:102.7pt;height:32.65pt;rotation:-46115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" filled="f" strokecolor="#0070c0" strokeweight=".25pt">
                <v:stroke dashstyle="1 1"/>
              </v:oval>
            </w:pict>
          </mc:Fallback>
        </mc:AlternateContent>
      </w:r>
      <w:r w:rsidR="00CC22B8">
        <w:rPr>
          <w:noProof/>
        </w:rPr>
        <mc:AlternateContent>
          <mc:Choice Requires="wps">
            <w:drawing>
              <wp:anchor distT="0" distB="0" distL="114300" distR="114300" simplePos="0" relativeHeight="251669504" behindDoc="0" locked="0" layoutInCell="1" allowOverlap="1" wp14:anchorId="099E57FC" wp14:editId="5CAFE07B">
                <wp:simplePos x="0" y="0"/>
                <wp:positionH relativeFrom="column">
                  <wp:posOffset>3237865</wp:posOffset>
                </wp:positionH>
                <wp:positionV relativeFrom="paragraph">
                  <wp:posOffset>2119630</wp:posOffset>
                </wp:positionV>
                <wp:extent cx="1304290" cy="414655"/>
                <wp:effectExtent l="190817" t="0" r="207328" b="0"/>
                <wp:wrapNone/>
                <wp:docPr id="9" name="Oval 9"/>
                <wp:cNvGraphicFramePr/>
                <a:graphic xmlns:a="http://schemas.openxmlformats.org/drawingml/2006/main">
                  <a:graphicData uri="http://schemas.microsoft.com/office/word/2010/wordprocessingShape">
                    <wps:wsp>
                      <wps:cNvSpPr/>
                      <wps:spPr>
                        <a:xfrm rot="18094169">
                          <a:off x="0" y="0"/>
                          <a:ext cx="1304290" cy="414655"/>
                        </a:xfrm>
                        <a:prstGeom prst="ellipse">
                          <a:avLst/>
                        </a:prstGeom>
                        <a:noFill/>
                        <a:ln w="3175">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6" style="position:absolute;margin-left:254.95pt;margin-top:166.9pt;width:102.7pt;height:32.65pt;rotation:-3829302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" filled="f" strokecolor="#0070c0" strokeweight=".25pt">
                <v:stroke dashstyle="1 1"/>
              </v:oval>
            </w:pict>
          </mc:Fallback>
        </mc:AlternateContent>
      </w:r>
      <w:r w:rsidR="00CC22B8">
        <w:rPr>
          <w:noProof/>
        </w:rPr>
        <mc:AlternateContent>
          <mc:Choice Requires="wps">
            <w:drawing>
              <wp:anchor distT="0" distB="0" distL="114300" distR="114300" simplePos="0" relativeHeight="251665408" behindDoc="0" locked="0" layoutInCell="1" allowOverlap="1" wp14:anchorId="63E79319" wp14:editId="512E0CFD">
                <wp:simplePos x="0" y="0"/>
                <wp:positionH relativeFrom="column">
                  <wp:posOffset>3509645</wp:posOffset>
                </wp:positionH>
                <wp:positionV relativeFrom="paragraph">
                  <wp:posOffset>2859405</wp:posOffset>
                </wp:positionV>
                <wp:extent cx="1304290" cy="414655"/>
                <wp:effectExtent l="0" t="254000" r="0" b="245745"/>
                <wp:wrapNone/>
                <wp:docPr id="7" name="Oval 7"/>
                <wp:cNvGraphicFramePr/>
                <a:graphic xmlns:a="http://schemas.openxmlformats.org/drawingml/2006/main">
                  <a:graphicData uri="http://schemas.microsoft.com/office/word/2010/wordprocessingShape">
                    <wps:wsp>
                      <wps:cNvSpPr/>
                      <wps:spPr>
                        <a:xfrm rot="19382537">
                          <a:off x="0" y="0"/>
                          <a:ext cx="1304290" cy="414655"/>
                        </a:xfrm>
                        <a:prstGeom prst="ellipse">
                          <a:avLst/>
                        </a:prstGeom>
                        <a:noFill/>
                        <a:ln w="3175">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76.35pt;margin-top:225.15pt;width:102.7pt;height:32.65pt;rotation:-242206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" filled="f" strokecolor="#0070c0" strokeweight=".25pt">
                <v:stroke dashstyle="1 1"/>
              </v:oval>
            </w:pict>
          </mc:Fallback>
        </mc:AlternateContent>
      </w:r>
      <w:r w:rsidR="00743D86">
        <w:rPr>
          <w:noProof/>
        </w:rPr>
        <mc:AlternateContent>
          <mc:Choice Requires="wps">
            <w:drawing>
              <wp:anchor distT="0" distB="0" distL="114300" distR="114300" simplePos="0" relativeHeight="251675648" behindDoc="0" locked="0" layoutInCell="1" allowOverlap="1" wp14:anchorId="17FCC28F" wp14:editId="5B9B5D79">
                <wp:simplePos x="0" y="0"/>
                <wp:positionH relativeFrom="column">
                  <wp:posOffset>4463415</wp:posOffset>
                </wp:positionH>
                <wp:positionV relativeFrom="paragraph">
                  <wp:posOffset>1496060</wp:posOffset>
                </wp:positionV>
                <wp:extent cx="800100" cy="2381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14:paraId="29479310" w14:textId="71FDE4EF" w:rsidR="00163655" w:rsidRPr="00E317CC" w:rsidRDefault="00163655" w:rsidP="004925B5">
                            <w:pPr>
                              <w:rPr>
                                <w:color w:val="0070C0"/>
                                <w:sz w:val="18"/>
                                <w:szCs w:val="18"/>
                              </w:rPr>
                            </w:pPr>
                            <w:r>
                              <w:rPr>
                                <w:color w:val="0070C0"/>
                                <w:sz w:val="18"/>
                                <w:szCs w:val="18"/>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351.45pt;margin-top:117.8pt;width:63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" filled="f" stroked="f" strokeweight=".5pt">
                <v:textbox>
                  <w:txbxContent>
                    <w:p w14:paraId="29479310" w14:textId="71FDE4EF" w:rsidR="000A3EB7" w:rsidRPr="00E317CC" w:rsidRDefault="000A3EB7" w:rsidP="004925B5">
                      <w:pPr>
                        <w:rPr>
                          <w:color w:val="0070C0"/>
                          <w:sz w:val="18"/>
                          <w:szCs w:val="18"/>
                        </w:rPr>
                      </w:pPr>
                      <w:r>
                        <w:rPr>
                          <w:color w:val="0070C0"/>
                          <w:sz w:val="18"/>
                          <w:szCs w:val="18"/>
                        </w:rPr>
                        <w:t>High</w:t>
                      </w:r>
                    </w:p>
                  </w:txbxContent>
                </v:textbox>
              </v:shape>
            </w:pict>
          </mc:Fallback>
        </mc:AlternateContent>
      </w:r>
      <w:r w:rsidR="00743D86">
        <w:rPr>
          <w:noProof/>
        </w:rPr>
        <mc:AlternateContent>
          <mc:Choice Requires="wps">
            <w:drawing>
              <wp:anchor distT="0" distB="0" distL="114300" distR="114300" simplePos="0" relativeHeight="251663360" behindDoc="0" locked="0" layoutInCell="1" allowOverlap="1" wp14:anchorId="4338D53E" wp14:editId="63F8C578">
                <wp:simplePos x="0" y="0"/>
                <wp:positionH relativeFrom="column">
                  <wp:posOffset>1294765</wp:posOffset>
                </wp:positionH>
                <wp:positionV relativeFrom="paragraph">
                  <wp:posOffset>2247900</wp:posOffset>
                </wp:positionV>
                <wp:extent cx="1304290" cy="414655"/>
                <wp:effectExtent l="165417" t="0" r="156528" b="0"/>
                <wp:wrapNone/>
                <wp:docPr id="5" name="Oval 5"/>
                <wp:cNvGraphicFramePr/>
                <a:graphic xmlns:a="http://schemas.openxmlformats.org/drawingml/2006/main">
                  <a:graphicData uri="http://schemas.microsoft.com/office/word/2010/wordprocessingShape">
                    <wps:wsp>
                      <wps:cNvSpPr/>
                      <wps:spPr>
                        <a:xfrm rot="17752818">
                          <a:off x="0" y="0"/>
                          <a:ext cx="1304290" cy="414655"/>
                        </a:xfrm>
                        <a:prstGeom prst="ellipse">
                          <a:avLst/>
                        </a:prstGeom>
                        <a:noFill/>
                        <a:ln w="3175">
                          <a:solidFill>
                            <a:srgbClr val="0070C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01.95pt;margin-top:177pt;width:102.7pt;height:32.65pt;rotation:-420214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" filled="f" strokecolor="#0070c0" strokeweight=".25pt">
                <v:stroke dashstyle="1 1"/>
              </v:oval>
            </w:pict>
          </mc:Fallback>
        </mc:AlternateContent>
      </w:r>
      <w:r w:rsidR="004925B5">
        <w:rPr>
          <w:noProof/>
        </w:rPr>
        <mc:AlternateContent>
          <mc:Choice Requires="wps">
            <w:drawing>
              <wp:anchor distT="0" distB="0" distL="114300" distR="114300" simplePos="0" relativeHeight="251673600" behindDoc="0" locked="0" layoutInCell="1" allowOverlap="1" wp14:anchorId="3F0F735E" wp14:editId="4EC9A83A">
                <wp:simplePos x="0" y="0"/>
                <wp:positionH relativeFrom="column">
                  <wp:posOffset>699135</wp:posOffset>
                </wp:positionH>
                <wp:positionV relativeFrom="paragraph">
                  <wp:posOffset>1732915</wp:posOffset>
                </wp:positionV>
                <wp:extent cx="80010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14:paraId="5B3D8FFE" w14:textId="48D4EB5B" w:rsidR="00163655" w:rsidRPr="00E317CC" w:rsidRDefault="00163655" w:rsidP="004925B5">
                            <w:pPr>
                              <w:rPr>
                                <w:color w:val="0070C0"/>
                                <w:sz w:val="18"/>
                                <w:szCs w:val="18"/>
                              </w:rPr>
                            </w:pPr>
                            <w:r>
                              <w:rPr>
                                <w:color w:val="0070C0"/>
                                <w:sz w:val="18"/>
                                <w:szCs w:val="18"/>
                              </w:rPr>
                              <w:t>Moderate</w:t>
                            </w:r>
                            <w:r w:rsidRPr="00E317CC">
                              <w:rPr>
                                <w:color w:val="0070C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55.05pt;margin-top:136.45pt;width:63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" filled="f" stroked="f" strokeweight=".5pt">
                <v:textbox>
                  <w:txbxContent>
                    <w:p w14:paraId="5B3D8FFE" w14:textId="48D4EB5B" w:rsidR="000A3EB7" w:rsidRPr="00E317CC" w:rsidRDefault="000A3EB7" w:rsidP="004925B5">
                      <w:pPr>
                        <w:rPr>
                          <w:color w:val="0070C0"/>
                          <w:sz w:val="18"/>
                          <w:szCs w:val="18"/>
                        </w:rPr>
                      </w:pPr>
                      <w:r>
                        <w:rPr>
                          <w:color w:val="0070C0"/>
                          <w:sz w:val="18"/>
                          <w:szCs w:val="18"/>
                        </w:rPr>
                        <w:t>Moderate</w:t>
                      </w:r>
                      <w:r w:rsidRPr="00E317CC">
                        <w:rPr>
                          <w:color w:val="0070C0"/>
                          <w:sz w:val="18"/>
                          <w:szCs w:val="18"/>
                        </w:rPr>
                        <w:t xml:space="preserve"> </w:t>
                      </w:r>
                    </w:p>
                  </w:txbxContent>
                </v:textbox>
              </v:shape>
            </w:pict>
          </mc:Fallback>
        </mc:AlternateContent>
      </w:r>
      <w:r w:rsidR="004925B5">
        <w:rPr>
          <w:noProof/>
        </w:rPr>
        <mc:AlternateContent>
          <mc:Choice Requires="wps">
            <w:drawing>
              <wp:anchor distT="0" distB="0" distL="114300" distR="114300" simplePos="0" relativeHeight="251671552" behindDoc="0" locked="0" layoutInCell="1" allowOverlap="1" wp14:anchorId="20FF2BB9" wp14:editId="783D1AE4">
                <wp:simplePos x="0" y="0"/>
                <wp:positionH relativeFrom="column">
                  <wp:posOffset>546735</wp:posOffset>
                </wp:positionH>
                <wp:positionV relativeFrom="paragraph">
                  <wp:posOffset>1580515</wp:posOffset>
                </wp:positionV>
                <wp:extent cx="8001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14:paraId="3C4679D0" w14:textId="180176CF" w:rsidR="00163655" w:rsidRPr="00E317CC" w:rsidRDefault="00163655" w:rsidP="004925B5">
                            <w:pPr>
                              <w:rPr>
                                <w:color w:val="0070C0"/>
                                <w:sz w:val="18"/>
                                <w:szCs w:val="18"/>
                              </w:rPr>
                            </w:pPr>
                            <w:r>
                              <w:rPr>
                                <w:color w:val="0070C0"/>
                                <w:sz w:val="18"/>
                                <w:szCs w:val="18"/>
                              </w:rP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43.05pt;margin-top:124.45pt;width:63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" filled="f" stroked="f" strokeweight=".5pt">
                <v:textbox>
                  <w:txbxContent>
                    <w:p w14:paraId="3C4679D0" w14:textId="180176CF" w:rsidR="000A3EB7" w:rsidRPr="00E317CC" w:rsidRDefault="000A3EB7" w:rsidP="004925B5">
                      <w:pPr>
                        <w:rPr>
                          <w:color w:val="0070C0"/>
                          <w:sz w:val="18"/>
                          <w:szCs w:val="18"/>
                        </w:rPr>
                      </w:pPr>
                      <w:r>
                        <w:rPr>
                          <w:color w:val="0070C0"/>
                          <w:sz w:val="18"/>
                          <w:szCs w:val="18"/>
                        </w:rPr>
                        <w:t>Low</w:t>
                      </w:r>
                    </w:p>
                  </w:txbxContent>
                </v:textbox>
              </v:shape>
            </w:pict>
          </mc:Fallback>
        </mc:AlternateContent>
      </w:r>
      <w:r w:rsidR="00473421">
        <w:rPr>
          <w:noProof/>
        </w:rPr>
        <mc:AlternateContent>
          <mc:Choice Requires="wps">
            <w:drawing>
              <wp:anchor distT="0" distB="0" distL="114300" distR="114300" simplePos="0" relativeHeight="251661312" behindDoc="0" locked="0" layoutInCell="1" allowOverlap="1" wp14:anchorId="4B7F1B3A" wp14:editId="3C061223">
                <wp:simplePos x="0" y="0"/>
                <wp:positionH relativeFrom="column">
                  <wp:posOffset>394335</wp:posOffset>
                </wp:positionH>
                <wp:positionV relativeFrom="paragraph">
                  <wp:posOffset>1428115</wp:posOffset>
                </wp:positionV>
                <wp:extent cx="800100" cy="238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14:paraId="4A5A8064" w14:textId="1F20B310" w:rsidR="00163655" w:rsidRPr="00E317CC" w:rsidRDefault="00163655" w:rsidP="00212923">
                            <w:pPr>
                              <w:rPr>
                                <w:color w:val="0070C0"/>
                                <w:sz w:val="18"/>
                                <w:szCs w:val="18"/>
                              </w:rPr>
                            </w:pPr>
                            <w:r>
                              <w:rPr>
                                <w:color w:val="0070C0"/>
                                <w:sz w:val="18"/>
                                <w:szCs w:val="18"/>
                              </w:rPr>
                              <w:t>Remission</w:t>
                            </w:r>
                            <w:r w:rsidRPr="00E317CC">
                              <w:rPr>
                                <w:color w:val="0070C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31.05pt;margin-top:112.45pt;width:63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" filled="f" stroked="f" strokeweight=".5pt">
                <v:textbox>
                  <w:txbxContent>
                    <w:p w14:paraId="4A5A8064" w14:textId="1F20B310" w:rsidR="000A3EB7" w:rsidRPr="00E317CC" w:rsidRDefault="000A3EB7" w:rsidP="00212923">
                      <w:pPr>
                        <w:rPr>
                          <w:color w:val="0070C0"/>
                          <w:sz w:val="18"/>
                          <w:szCs w:val="18"/>
                        </w:rPr>
                      </w:pPr>
                      <w:r>
                        <w:rPr>
                          <w:color w:val="0070C0"/>
                          <w:sz w:val="18"/>
                          <w:szCs w:val="18"/>
                        </w:rPr>
                        <w:t>Remission</w:t>
                      </w:r>
                      <w:r w:rsidRPr="00E317CC">
                        <w:rPr>
                          <w:color w:val="0070C0"/>
                          <w:sz w:val="18"/>
                          <w:szCs w:val="18"/>
                        </w:rPr>
                        <w:t xml:space="preserve"> </w:t>
                      </w:r>
                    </w:p>
                  </w:txbxContent>
                </v:textbox>
              </v:shape>
            </w:pict>
          </mc:Fallback>
        </mc:AlternateContent>
      </w:r>
      <w:r w:rsidR="00574006" w:rsidRPr="00A12E08">
        <w:t xml:space="preserve">Assume that you have a </w:t>
      </w:r>
      <w:r w:rsidR="00743D86">
        <w:t xml:space="preserve">(dichotomous) </w:t>
      </w:r>
      <w:r w:rsidR="00574006" w:rsidRPr="00A12E08">
        <w:t xml:space="preserve">gold standard measure of </w:t>
      </w:r>
      <w:r w:rsidR="0088683C">
        <w:t>restored</w:t>
      </w:r>
      <w:r w:rsidR="0088683C" w:rsidRPr="00A12E08">
        <w:t xml:space="preserve"> </w:t>
      </w:r>
      <w:r w:rsidR="00574006" w:rsidRPr="00A12E08">
        <w:t>physical functioning and instead of dichotomizing</w:t>
      </w:r>
      <w:r w:rsidR="00743D86">
        <w:t xml:space="preserve"> the disease activity scales</w:t>
      </w:r>
      <w:r w:rsidR="00574006" w:rsidRPr="00A12E08">
        <w:t xml:space="preserve">, you divide each scale into 4 categories: ‘remission’,  ‘low’ disease activity, ‘moderate’ disease activity and ‘high’ disease activity. You use these </w:t>
      </w:r>
      <w:r w:rsidR="006A679D">
        <w:t>cateogories</w:t>
      </w:r>
      <w:r w:rsidR="00574006" w:rsidRPr="00A12E08">
        <w:t xml:space="preserve"> to plot Receiver Operator Curves (ROCs) for both criteria. Label the four categories of disease activity on these ROC curves. </w:t>
      </w:r>
      <w:r w:rsidR="0037501B" w:rsidRPr="00A12E08">
        <w:t>[2]</w:t>
      </w:r>
      <w:r w:rsidR="00574006" w:rsidRPr="00A12E08">
        <w:br/>
      </w:r>
      <w:r w:rsidR="00574006" w:rsidRPr="00A12E08">
        <w:br/>
      </w:r>
      <w:r w:rsidR="00910477">
        <w:t xml:space="preserve">Here are some </w:t>
      </w:r>
      <w:r w:rsidR="00473421">
        <w:t xml:space="preserve">labels and </w:t>
      </w:r>
      <w:r w:rsidR="00910477">
        <w:t>ovals you can drag</w:t>
      </w:r>
      <w:r w:rsidR="00212923">
        <w:t xml:space="preserve"> to different parts of the curve</w:t>
      </w:r>
      <w:r>
        <w:t xml:space="preserve"> (only if it saves you time)</w:t>
      </w:r>
      <w:r w:rsidR="00212923">
        <w:t>:</w:t>
      </w:r>
    </w:p>
    <w:p w14:paraId="41FC5464" w14:textId="26632F7E" w:rsidR="0065758B" w:rsidRDefault="00574006" w:rsidP="00473421">
      <w:r w:rsidRPr="00A12E08">
        <w:br/>
      </w:r>
      <w:r w:rsidRPr="00A12E08">
        <w:rPr>
          <w:noProof/>
        </w:rPr>
        <w:drawing>
          <wp:inline distT="0" distB="0" distL="0" distR="0" wp14:anchorId="63A25C32" wp14:editId="05640B42">
            <wp:extent cx="4350385" cy="31838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0321" cy="3191073"/>
                    </a:xfrm>
                    <a:prstGeom prst="rect">
                      <a:avLst/>
                    </a:prstGeom>
                    <a:noFill/>
                    <a:ln>
                      <a:noFill/>
                    </a:ln>
                  </pic:spPr>
                </pic:pic>
              </a:graphicData>
            </a:graphic>
          </wp:inline>
        </w:drawing>
      </w:r>
      <w:r w:rsidRPr="00A12E08">
        <w:br/>
      </w:r>
      <w:r w:rsidRPr="00A12E08">
        <w:br/>
      </w:r>
      <w:r w:rsidRPr="00A12E08">
        <w:br/>
        <w:t xml:space="preserve">d.  Which scale is better at discriminating between </w:t>
      </w:r>
      <w:r w:rsidR="003A3DA8" w:rsidRPr="00A12E08">
        <w:t xml:space="preserve">RA patients </w:t>
      </w:r>
      <w:r w:rsidRPr="00A12E08">
        <w:t xml:space="preserve">who do and do not have poor physical functioning when it indicates </w:t>
      </w:r>
      <w:r w:rsidRPr="003A3DA8">
        <w:rPr>
          <w:i/>
        </w:rPr>
        <w:t>remission</w:t>
      </w:r>
      <w:r w:rsidRPr="00A12E08">
        <w:t>?</w:t>
      </w:r>
      <w:r w:rsidR="0065758B">
        <w:t xml:space="preserve"> Explain. [</w:t>
      </w:r>
      <w:r w:rsidR="00334531">
        <w:t>2</w:t>
      </w:r>
      <w:r w:rsidR="0065758B">
        <w:t>]</w:t>
      </w:r>
      <w:r w:rsidR="0065758B">
        <w:br/>
      </w:r>
      <w:r w:rsidR="0065758B">
        <w:br/>
      </w:r>
      <w:r w:rsidR="0065758B">
        <w:br/>
      </w:r>
    </w:p>
    <w:p w14:paraId="5B30D6FE" w14:textId="5BADB639" w:rsidR="00574006" w:rsidRPr="00A12E08" w:rsidRDefault="0065758B" w:rsidP="00473421">
      <w:r>
        <w:t>e.</w:t>
      </w:r>
      <w:r w:rsidR="00574006" w:rsidRPr="00A12E08">
        <w:t xml:space="preserve"> Which is better when it indicates </w:t>
      </w:r>
      <w:r w:rsidR="00574006" w:rsidRPr="003A3DA8">
        <w:rPr>
          <w:i/>
        </w:rPr>
        <w:t>high disease activity</w:t>
      </w:r>
      <w:r w:rsidR="00574006" w:rsidRPr="00A12E08">
        <w:t xml:space="preserve">? </w:t>
      </w:r>
      <w:r>
        <w:t xml:space="preserve">Explain. </w:t>
      </w:r>
      <w:r w:rsidR="00574006" w:rsidRPr="00A12E08">
        <w:rPr>
          <w:noProof/>
        </w:rPr>
        <w:t>[</w:t>
      </w:r>
      <w:r>
        <w:rPr>
          <w:noProof/>
        </w:rPr>
        <w:t>2</w:t>
      </w:r>
      <w:r w:rsidR="00574006" w:rsidRPr="00A12E08">
        <w:rPr>
          <w:noProof/>
        </w:rPr>
        <w:t>]</w:t>
      </w:r>
      <w:r w:rsidR="00574006" w:rsidRPr="00A12E08">
        <w:rPr>
          <w:noProof/>
        </w:rPr>
        <w:br/>
      </w:r>
      <w:r w:rsidR="00574006" w:rsidRPr="00A12E08">
        <w:rPr>
          <w:noProof/>
        </w:rPr>
        <w:br/>
      </w:r>
    </w:p>
    <w:p w14:paraId="7BB4C734" w14:textId="77777777" w:rsidR="00574006" w:rsidRPr="00A12E08" w:rsidRDefault="00574006" w:rsidP="00A12E08">
      <w:pPr>
        <w:pStyle w:val="ListParagraph"/>
      </w:pPr>
      <w:r w:rsidRPr="00A12E08">
        <w:rPr>
          <w:color w:val="FF0000"/>
        </w:rPr>
        <w:br/>
      </w:r>
      <w:r w:rsidRPr="00A12E08">
        <w:br/>
      </w:r>
    </w:p>
    <w:p w14:paraId="4558B57D" w14:textId="2CEDB3D6" w:rsidR="006E763B" w:rsidRDefault="00B21DF0" w:rsidP="00D40797">
      <w:pPr>
        <w:pStyle w:val="ListParagraph"/>
        <w:ind w:left="0"/>
      </w:pPr>
      <w:r>
        <w:t>f</w:t>
      </w:r>
      <w:r w:rsidR="00574006" w:rsidRPr="00A12E08">
        <w:t xml:space="preserve">.  </w:t>
      </w:r>
      <w:r w:rsidR="007D18CD" w:rsidRPr="00A12E08">
        <w:t xml:space="preserve"> </w:t>
      </w:r>
      <w:r w:rsidR="00574006" w:rsidRPr="00A12E08">
        <w:t xml:space="preserve">Your colleague suggests that instead of dividing these scales into 4 categories, you just use 3.  </w:t>
      </w:r>
      <w:r w:rsidR="003422A3">
        <w:br/>
        <w:t xml:space="preserve">        </w:t>
      </w:r>
      <w:r w:rsidR="006E763B">
        <w:tab/>
      </w:r>
      <w:r w:rsidR="003422A3">
        <w:t>i.</w:t>
      </w:r>
      <w:r w:rsidR="006E763B">
        <w:t xml:space="preserve">   </w:t>
      </w:r>
      <w:r w:rsidR="00574006" w:rsidRPr="00A12E08">
        <w:t xml:space="preserve">Based on the ROC curve above, which two </w:t>
      </w:r>
      <w:r w:rsidR="003422A3" w:rsidRPr="006E763B">
        <w:rPr>
          <w:i/>
        </w:rPr>
        <w:t>CDAI</w:t>
      </w:r>
      <w:r w:rsidR="003422A3">
        <w:t xml:space="preserve"> </w:t>
      </w:r>
      <w:r w:rsidR="00574006" w:rsidRPr="00A12E08">
        <w:t>groups would you</w:t>
      </w:r>
      <w:r w:rsidR="006E763B">
        <w:t xml:space="preserve"> combine</w:t>
      </w:r>
      <w:r w:rsidR="00574006" w:rsidRPr="00A12E08">
        <w:t>? [</w:t>
      </w:r>
      <w:r w:rsidR="003422A3">
        <w:t>1</w:t>
      </w:r>
      <w:r w:rsidR="00574006" w:rsidRPr="00A12E08">
        <w:t>]</w:t>
      </w:r>
      <w:r w:rsidR="006E763B">
        <w:br/>
      </w:r>
    </w:p>
    <w:p w14:paraId="1EC42025" w14:textId="77777777" w:rsidR="006E763B" w:rsidRDefault="006E763B" w:rsidP="00D40797">
      <w:pPr>
        <w:pStyle w:val="ListParagraph"/>
        <w:ind w:left="0"/>
      </w:pPr>
    </w:p>
    <w:p w14:paraId="614B1C89" w14:textId="7BE21FDF" w:rsidR="00574006" w:rsidRPr="00A12E08" w:rsidRDefault="006E763B" w:rsidP="00D40797">
      <w:pPr>
        <w:pStyle w:val="ListParagraph"/>
        <w:ind w:left="0"/>
      </w:pPr>
      <w:r>
        <w:tab/>
        <w:t xml:space="preserve">ii.  Which two </w:t>
      </w:r>
      <w:r w:rsidRPr="00A12E08">
        <w:t>DAS28ESR</w:t>
      </w:r>
      <w:r>
        <w:t xml:space="preserve"> groups would you combine?  [1]</w:t>
      </w:r>
      <w:r>
        <w:br/>
      </w:r>
      <w:r>
        <w:br/>
      </w:r>
      <w:r>
        <w:tab/>
      </w:r>
    </w:p>
    <w:p w14:paraId="19929D59" w14:textId="77777777" w:rsidR="00574006" w:rsidRPr="00A12E08" w:rsidRDefault="00574006" w:rsidP="00A12E08">
      <w:pPr>
        <w:pStyle w:val="ListParagraph"/>
      </w:pPr>
    </w:p>
    <w:p w14:paraId="28AB1030" w14:textId="77777777" w:rsidR="00574006" w:rsidRPr="00A12E08" w:rsidRDefault="00574006" w:rsidP="00A12E08">
      <w:pPr>
        <w:pStyle w:val="ListParagraph"/>
      </w:pPr>
    </w:p>
    <w:p w14:paraId="4598C566" w14:textId="77777777" w:rsidR="00574006" w:rsidRPr="00A12E08" w:rsidRDefault="00574006" w:rsidP="00A12E08">
      <w:pPr>
        <w:pStyle w:val="ListParagraph"/>
      </w:pPr>
    </w:p>
    <w:p w14:paraId="10D9AA3B" w14:textId="77777777" w:rsidR="00574006" w:rsidRPr="00A12E08" w:rsidRDefault="00574006" w:rsidP="00A12E08">
      <w:pPr>
        <w:pStyle w:val="ListParagraph"/>
      </w:pPr>
    </w:p>
    <w:p w14:paraId="09645A8D" w14:textId="68FB9AE0" w:rsidR="00574006" w:rsidRPr="00A12E08" w:rsidRDefault="00B21DF0" w:rsidP="00D40797">
      <w:pPr>
        <w:pStyle w:val="ListParagraph"/>
        <w:ind w:left="0"/>
      </w:pPr>
      <w:r>
        <w:t>g</w:t>
      </w:r>
      <w:r w:rsidR="00574006" w:rsidRPr="00A12E08">
        <w:t xml:space="preserve">.   The data used to create the DAS28ESR ROC curve above are summarized in the table below.   Assume you have a patient with a prior probability of poor physical functioning of 0.5, who had a "Moderate" DAS28ESR score.  </w:t>
      </w:r>
      <w:r w:rsidR="00DE511A" w:rsidRPr="00A12E08">
        <w:t xml:space="preserve">What would be the best estimate for </w:t>
      </w:r>
      <w:r w:rsidR="00DE511A">
        <w:t>her</w:t>
      </w:r>
      <w:r w:rsidR="00DE511A" w:rsidRPr="00A12E08">
        <w:t xml:space="preserve"> posterior probability of poor physical functioning? </w:t>
      </w:r>
      <w:r w:rsidR="00574006" w:rsidRPr="00A12E08">
        <w:t>[</w:t>
      </w:r>
      <w:r w:rsidR="00DB3C42">
        <w:t>3</w:t>
      </w:r>
      <w:r w:rsidR="00574006" w:rsidRPr="00A12E08">
        <w:t>]</w:t>
      </w:r>
      <w:r w:rsidR="00574006" w:rsidRPr="00A12E08">
        <w:br/>
      </w:r>
    </w:p>
    <w:tbl>
      <w:tblPr>
        <w:tblW w:w="4335" w:type="dxa"/>
        <w:tblInd w:w="93" w:type="dxa"/>
        <w:tblLayout w:type="fixed"/>
        <w:tblLook w:val="04A0" w:firstRow="1" w:lastRow="0" w:firstColumn="1" w:lastColumn="0" w:noHBand="0" w:noVBand="1"/>
      </w:tblPr>
      <w:tblGrid>
        <w:gridCol w:w="1337"/>
        <w:gridCol w:w="1297"/>
        <w:gridCol w:w="1701"/>
      </w:tblGrid>
      <w:tr w:rsidR="00BA79E3" w:rsidRPr="00A12E08" w14:paraId="4621F514" w14:textId="77777777" w:rsidTr="00047783">
        <w:trPr>
          <w:trHeight w:val="240"/>
        </w:trPr>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280C7" w14:textId="43492689" w:rsidR="00BA79E3" w:rsidRPr="00A12E08" w:rsidRDefault="00BA79E3" w:rsidP="00A12E08">
            <w:pPr>
              <w:rPr>
                <w:rFonts w:ascii="Arial" w:eastAsia="Times New Roman" w:hAnsi="Arial" w:cs="Arial"/>
              </w:rPr>
            </w:pPr>
            <w:r w:rsidRPr="00A12E08">
              <w:rPr>
                <w:rFonts w:ascii="Arial" w:eastAsia="Times New Roman" w:hAnsi="Arial" w:cs="Arial"/>
              </w:rPr>
              <w:t> Abn</w:t>
            </w:r>
            <w:r w:rsidR="006D1240">
              <w:rPr>
                <w:rFonts w:ascii="Arial" w:eastAsia="Times New Roman" w:hAnsi="Arial" w:cs="Arial"/>
              </w:rPr>
              <w:t>orma</w:t>
            </w:r>
            <w:r w:rsidRPr="00A12E08">
              <w:rPr>
                <w:rFonts w:ascii="Arial" w:eastAsia="Times New Roman" w:hAnsi="Arial" w:cs="Arial"/>
              </w:rPr>
              <w:t>l if ≥</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7433CEB" w14:textId="77777777" w:rsidR="00BA79E3" w:rsidRPr="00A12E08" w:rsidRDefault="00BA79E3" w:rsidP="00047783">
            <w:pPr>
              <w:jc w:val="center"/>
              <w:rPr>
                <w:rFonts w:ascii="Arial" w:eastAsia="Times New Roman" w:hAnsi="Arial" w:cs="Arial"/>
              </w:rPr>
            </w:pPr>
            <w:r w:rsidRPr="00A12E08">
              <w:rPr>
                <w:rFonts w:ascii="Arial" w:eastAsia="Times New Roman" w:hAnsi="Arial" w:cs="Arial"/>
              </w:rPr>
              <w:t>Sensitivity</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984C90F" w14:textId="4DB8D273" w:rsidR="00BA79E3" w:rsidRPr="00A12E08" w:rsidRDefault="00047783" w:rsidP="00047783">
            <w:pPr>
              <w:jc w:val="center"/>
              <w:rPr>
                <w:rFonts w:ascii="Arial" w:eastAsia="Times New Roman" w:hAnsi="Arial" w:cs="Arial"/>
              </w:rPr>
            </w:pPr>
            <w:r>
              <w:rPr>
                <w:rFonts w:ascii="Arial" w:eastAsia="Times New Roman" w:hAnsi="Arial" w:cs="Arial"/>
              </w:rPr>
              <w:t>1-S</w:t>
            </w:r>
            <w:r w:rsidR="00BA79E3">
              <w:rPr>
                <w:rFonts w:ascii="Arial" w:eastAsia="Times New Roman" w:hAnsi="Arial" w:cs="Arial"/>
              </w:rPr>
              <w:t>pecificity</w:t>
            </w:r>
          </w:p>
        </w:tc>
      </w:tr>
      <w:tr w:rsidR="00BA79E3" w:rsidRPr="00A12E08" w14:paraId="3D101A2A" w14:textId="77777777" w:rsidTr="00047783">
        <w:trPr>
          <w:trHeight w:val="24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1FC3D5B0" w14:textId="77777777" w:rsidR="00BA79E3" w:rsidRPr="00A12E08" w:rsidRDefault="00BA79E3" w:rsidP="00A12E08">
            <w:pPr>
              <w:rPr>
                <w:rFonts w:ascii="Arial" w:eastAsia="Times New Roman" w:hAnsi="Arial" w:cs="Arial"/>
              </w:rPr>
            </w:pPr>
            <w:r w:rsidRPr="00A12E08">
              <w:rPr>
                <w:rFonts w:ascii="Arial" w:eastAsia="Times New Roman" w:hAnsi="Arial" w:cs="Arial"/>
              </w:rPr>
              <w:t>Remission</w:t>
            </w:r>
          </w:p>
        </w:tc>
        <w:tc>
          <w:tcPr>
            <w:tcW w:w="1297" w:type="dxa"/>
            <w:tcBorders>
              <w:top w:val="nil"/>
              <w:left w:val="nil"/>
              <w:bottom w:val="single" w:sz="4" w:space="0" w:color="auto"/>
              <w:right w:val="single" w:sz="4" w:space="0" w:color="auto"/>
            </w:tcBorders>
            <w:shd w:val="clear" w:color="auto" w:fill="auto"/>
            <w:noWrap/>
            <w:vAlign w:val="bottom"/>
            <w:hideMark/>
          </w:tcPr>
          <w:p w14:paraId="36E9771D" w14:textId="77777777" w:rsidR="00BA79E3" w:rsidRPr="00A12E08" w:rsidRDefault="00BA79E3" w:rsidP="00047783">
            <w:pPr>
              <w:jc w:val="center"/>
              <w:rPr>
                <w:rFonts w:ascii="Arial" w:eastAsia="Times New Roman" w:hAnsi="Arial" w:cs="Arial"/>
              </w:rPr>
            </w:pPr>
            <w:r w:rsidRPr="00A12E08">
              <w:rPr>
                <w:rFonts w:ascii="Arial" w:eastAsia="Times New Roman" w:hAnsi="Arial" w:cs="Arial"/>
              </w:rPr>
              <w:t>100%</w:t>
            </w:r>
          </w:p>
        </w:tc>
        <w:tc>
          <w:tcPr>
            <w:tcW w:w="1701" w:type="dxa"/>
            <w:tcBorders>
              <w:top w:val="nil"/>
              <w:left w:val="nil"/>
              <w:bottom w:val="single" w:sz="4" w:space="0" w:color="auto"/>
              <w:right w:val="single" w:sz="4" w:space="0" w:color="auto"/>
            </w:tcBorders>
            <w:shd w:val="clear" w:color="auto" w:fill="auto"/>
            <w:noWrap/>
            <w:vAlign w:val="bottom"/>
            <w:hideMark/>
          </w:tcPr>
          <w:p w14:paraId="358B5386" w14:textId="7381A886" w:rsidR="00BA79E3" w:rsidRPr="00A12E08" w:rsidRDefault="00BA79E3" w:rsidP="00047783">
            <w:pPr>
              <w:jc w:val="center"/>
              <w:rPr>
                <w:rFonts w:ascii="Arial" w:eastAsia="Times New Roman" w:hAnsi="Arial" w:cs="Arial"/>
              </w:rPr>
            </w:pPr>
            <w:r>
              <w:rPr>
                <w:rFonts w:ascii="Arial" w:eastAsia="Times New Roman" w:hAnsi="Arial" w:cs="Arial"/>
              </w:rPr>
              <w:t>100%</w:t>
            </w:r>
          </w:p>
        </w:tc>
      </w:tr>
      <w:tr w:rsidR="00BA79E3" w:rsidRPr="00A12E08" w14:paraId="79328C28" w14:textId="77777777" w:rsidTr="00047783">
        <w:trPr>
          <w:trHeight w:val="24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DC898F9" w14:textId="77777777" w:rsidR="00BA79E3" w:rsidRPr="00A12E08" w:rsidRDefault="00BA79E3" w:rsidP="00A12E08">
            <w:pPr>
              <w:rPr>
                <w:rFonts w:ascii="Arial" w:eastAsia="Times New Roman" w:hAnsi="Arial" w:cs="Arial"/>
              </w:rPr>
            </w:pPr>
            <w:r w:rsidRPr="00A12E08">
              <w:rPr>
                <w:rFonts w:ascii="Arial" w:eastAsia="Times New Roman" w:hAnsi="Arial" w:cs="Arial"/>
              </w:rPr>
              <w:t>Low</w:t>
            </w:r>
          </w:p>
        </w:tc>
        <w:tc>
          <w:tcPr>
            <w:tcW w:w="1297" w:type="dxa"/>
            <w:tcBorders>
              <w:top w:val="nil"/>
              <w:left w:val="nil"/>
              <w:bottom w:val="single" w:sz="4" w:space="0" w:color="auto"/>
              <w:right w:val="single" w:sz="4" w:space="0" w:color="auto"/>
            </w:tcBorders>
            <w:shd w:val="clear" w:color="auto" w:fill="auto"/>
            <w:noWrap/>
            <w:vAlign w:val="bottom"/>
            <w:hideMark/>
          </w:tcPr>
          <w:p w14:paraId="03A14886" w14:textId="77777777" w:rsidR="00BA79E3" w:rsidRPr="00A12E08" w:rsidRDefault="00BA79E3" w:rsidP="00047783">
            <w:pPr>
              <w:jc w:val="center"/>
              <w:rPr>
                <w:rFonts w:ascii="Arial" w:eastAsia="Times New Roman" w:hAnsi="Arial" w:cs="Arial"/>
              </w:rPr>
            </w:pPr>
            <w:r w:rsidRPr="00A12E08">
              <w:rPr>
                <w:rFonts w:ascii="Arial" w:eastAsia="Times New Roman" w:hAnsi="Arial" w:cs="Arial"/>
              </w:rPr>
              <w:t>85%</w:t>
            </w:r>
          </w:p>
        </w:tc>
        <w:tc>
          <w:tcPr>
            <w:tcW w:w="1701" w:type="dxa"/>
            <w:tcBorders>
              <w:top w:val="nil"/>
              <w:left w:val="nil"/>
              <w:bottom w:val="single" w:sz="4" w:space="0" w:color="auto"/>
              <w:right w:val="single" w:sz="4" w:space="0" w:color="auto"/>
            </w:tcBorders>
            <w:shd w:val="clear" w:color="auto" w:fill="auto"/>
            <w:noWrap/>
            <w:vAlign w:val="bottom"/>
            <w:hideMark/>
          </w:tcPr>
          <w:p w14:paraId="5D67FBC5" w14:textId="1E597A5F" w:rsidR="00BA79E3" w:rsidRPr="00A12E08" w:rsidRDefault="00BA79E3" w:rsidP="00047783">
            <w:pPr>
              <w:jc w:val="center"/>
              <w:rPr>
                <w:rFonts w:ascii="Arial" w:eastAsia="Times New Roman" w:hAnsi="Arial" w:cs="Arial"/>
              </w:rPr>
            </w:pPr>
            <w:r>
              <w:rPr>
                <w:rFonts w:ascii="Arial" w:eastAsia="Times New Roman" w:hAnsi="Arial" w:cs="Arial"/>
              </w:rPr>
              <w:t>47%</w:t>
            </w:r>
          </w:p>
        </w:tc>
      </w:tr>
      <w:tr w:rsidR="00BA79E3" w:rsidRPr="00A12E08" w14:paraId="640D2C88" w14:textId="77777777" w:rsidTr="00047783">
        <w:trPr>
          <w:trHeight w:val="24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2337C156" w14:textId="77777777" w:rsidR="00BA79E3" w:rsidRPr="00A12E08" w:rsidRDefault="00BA79E3" w:rsidP="00A12E08">
            <w:pPr>
              <w:rPr>
                <w:rFonts w:ascii="Arial" w:eastAsia="Times New Roman" w:hAnsi="Arial" w:cs="Arial"/>
              </w:rPr>
            </w:pPr>
            <w:r w:rsidRPr="00A12E08">
              <w:rPr>
                <w:rFonts w:ascii="Arial" w:eastAsia="Times New Roman" w:hAnsi="Arial" w:cs="Arial"/>
              </w:rPr>
              <w:t>Moderate</w:t>
            </w:r>
          </w:p>
        </w:tc>
        <w:tc>
          <w:tcPr>
            <w:tcW w:w="1297" w:type="dxa"/>
            <w:tcBorders>
              <w:top w:val="nil"/>
              <w:left w:val="nil"/>
              <w:bottom w:val="single" w:sz="4" w:space="0" w:color="auto"/>
              <w:right w:val="single" w:sz="4" w:space="0" w:color="auto"/>
            </w:tcBorders>
            <w:shd w:val="clear" w:color="auto" w:fill="auto"/>
            <w:noWrap/>
            <w:vAlign w:val="bottom"/>
            <w:hideMark/>
          </w:tcPr>
          <w:p w14:paraId="2D00BBD0" w14:textId="77777777" w:rsidR="00BA79E3" w:rsidRPr="00A12E08" w:rsidRDefault="00BA79E3" w:rsidP="00047783">
            <w:pPr>
              <w:jc w:val="center"/>
              <w:rPr>
                <w:rFonts w:ascii="Arial" w:eastAsia="Times New Roman" w:hAnsi="Arial" w:cs="Arial"/>
              </w:rPr>
            </w:pPr>
            <w:r w:rsidRPr="00A12E08">
              <w:rPr>
                <w:rFonts w:ascii="Arial" w:eastAsia="Times New Roman" w:hAnsi="Arial" w:cs="Arial"/>
              </w:rPr>
              <w:t>72%</w:t>
            </w:r>
          </w:p>
        </w:tc>
        <w:tc>
          <w:tcPr>
            <w:tcW w:w="1701" w:type="dxa"/>
            <w:tcBorders>
              <w:top w:val="nil"/>
              <w:left w:val="nil"/>
              <w:bottom w:val="single" w:sz="4" w:space="0" w:color="auto"/>
              <w:right w:val="single" w:sz="4" w:space="0" w:color="auto"/>
            </w:tcBorders>
            <w:shd w:val="clear" w:color="auto" w:fill="auto"/>
            <w:noWrap/>
            <w:vAlign w:val="bottom"/>
            <w:hideMark/>
          </w:tcPr>
          <w:p w14:paraId="1031DD8D" w14:textId="5FC7D60D" w:rsidR="00BA79E3" w:rsidRPr="00A12E08" w:rsidRDefault="00BA79E3" w:rsidP="00047783">
            <w:pPr>
              <w:jc w:val="center"/>
              <w:rPr>
                <w:rFonts w:ascii="Arial" w:eastAsia="Times New Roman" w:hAnsi="Arial" w:cs="Arial"/>
              </w:rPr>
            </w:pPr>
            <w:r>
              <w:rPr>
                <w:rFonts w:ascii="Arial" w:eastAsia="Times New Roman" w:hAnsi="Arial" w:cs="Arial"/>
              </w:rPr>
              <w:t>17%</w:t>
            </w:r>
          </w:p>
        </w:tc>
      </w:tr>
      <w:tr w:rsidR="00BA79E3" w:rsidRPr="00A12E08" w14:paraId="0E4325E6" w14:textId="77777777" w:rsidTr="00047783">
        <w:trPr>
          <w:trHeight w:val="240"/>
        </w:trPr>
        <w:tc>
          <w:tcPr>
            <w:tcW w:w="1337" w:type="dxa"/>
            <w:tcBorders>
              <w:top w:val="nil"/>
              <w:left w:val="single" w:sz="4" w:space="0" w:color="auto"/>
              <w:bottom w:val="single" w:sz="4" w:space="0" w:color="auto"/>
              <w:right w:val="single" w:sz="4" w:space="0" w:color="auto"/>
            </w:tcBorders>
            <w:shd w:val="clear" w:color="auto" w:fill="auto"/>
            <w:noWrap/>
            <w:vAlign w:val="bottom"/>
            <w:hideMark/>
          </w:tcPr>
          <w:p w14:paraId="68725417" w14:textId="77777777" w:rsidR="00BA79E3" w:rsidRPr="00A12E08" w:rsidRDefault="00BA79E3" w:rsidP="00A12E08">
            <w:pPr>
              <w:rPr>
                <w:rFonts w:ascii="Arial" w:eastAsia="Times New Roman" w:hAnsi="Arial" w:cs="Arial"/>
              </w:rPr>
            </w:pPr>
            <w:r w:rsidRPr="00A12E08">
              <w:rPr>
                <w:rFonts w:ascii="Arial" w:eastAsia="Times New Roman" w:hAnsi="Arial" w:cs="Arial"/>
              </w:rPr>
              <w:t>High</w:t>
            </w:r>
          </w:p>
        </w:tc>
        <w:tc>
          <w:tcPr>
            <w:tcW w:w="1297" w:type="dxa"/>
            <w:tcBorders>
              <w:top w:val="nil"/>
              <w:left w:val="nil"/>
              <w:bottom w:val="single" w:sz="4" w:space="0" w:color="auto"/>
              <w:right w:val="single" w:sz="4" w:space="0" w:color="auto"/>
            </w:tcBorders>
            <w:shd w:val="clear" w:color="auto" w:fill="auto"/>
            <w:noWrap/>
            <w:vAlign w:val="bottom"/>
            <w:hideMark/>
          </w:tcPr>
          <w:p w14:paraId="0510EBC6" w14:textId="77777777" w:rsidR="00BA79E3" w:rsidRPr="00A12E08" w:rsidRDefault="00BA79E3" w:rsidP="00047783">
            <w:pPr>
              <w:jc w:val="center"/>
              <w:rPr>
                <w:rFonts w:ascii="Arial" w:eastAsia="Times New Roman" w:hAnsi="Arial" w:cs="Arial"/>
              </w:rPr>
            </w:pPr>
            <w:r w:rsidRPr="00A12E08">
              <w:rPr>
                <w:rFonts w:ascii="Arial" w:eastAsia="Times New Roman" w:hAnsi="Arial" w:cs="Arial"/>
              </w:rPr>
              <w:t>28%</w:t>
            </w:r>
          </w:p>
        </w:tc>
        <w:tc>
          <w:tcPr>
            <w:tcW w:w="1701" w:type="dxa"/>
            <w:tcBorders>
              <w:top w:val="nil"/>
              <w:left w:val="nil"/>
              <w:bottom w:val="single" w:sz="4" w:space="0" w:color="auto"/>
              <w:right w:val="single" w:sz="4" w:space="0" w:color="auto"/>
            </w:tcBorders>
            <w:shd w:val="clear" w:color="auto" w:fill="auto"/>
            <w:noWrap/>
            <w:vAlign w:val="bottom"/>
            <w:hideMark/>
          </w:tcPr>
          <w:p w14:paraId="7531B03E" w14:textId="0A72D3AF" w:rsidR="00BA79E3" w:rsidRPr="00A12E08" w:rsidRDefault="00BA79E3" w:rsidP="00047783">
            <w:pPr>
              <w:jc w:val="center"/>
              <w:rPr>
                <w:rFonts w:ascii="Arial" w:eastAsia="Times New Roman" w:hAnsi="Arial" w:cs="Arial"/>
              </w:rPr>
            </w:pPr>
            <w:r>
              <w:rPr>
                <w:rFonts w:ascii="Arial" w:eastAsia="Times New Roman" w:hAnsi="Arial" w:cs="Arial"/>
              </w:rPr>
              <w:t>0%</w:t>
            </w:r>
          </w:p>
        </w:tc>
      </w:tr>
    </w:tbl>
    <w:p w14:paraId="4111A745" w14:textId="1ED0CBE4" w:rsidR="00574006" w:rsidRPr="00A12E08" w:rsidRDefault="004028DF" w:rsidP="00A12E08">
      <w:pPr>
        <w:pStyle w:val="ListParagraph"/>
        <w:rPr>
          <w:color w:val="FF0000"/>
        </w:rPr>
      </w:pPr>
      <w:r w:rsidRPr="00A12E08">
        <w:rPr>
          <w:color w:val="FF0000"/>
        </w:rPr>
        <w:br/>
      </w:r>
    </w:p>
    <w:p w14:paraId="5991BF7D" w14:textId="33CA855F" w:rsidR="0098151E" w:rsidRPr="00A12E08" w:rsidRDefault="00841512" w:rsidP="00A12E08">
      <w:pPr>
        <w:pStyle w:val="BodyText2"/>
        <w:tabs>
          <w:tab w:val="left" w:pos="-720"/>
        </w:tabs>
        <w:suppressAutoHyphens/>
        <w:rPr>
          <w:rFonts w:ascii="Times New Roman" w:hAnsi="Times New Roman"/>
          <w:b/>
          <w:szCs w:val="24"/>
        </w:rPr>
      </w:pPr>
      <w:r w:rsidRPr="00A12E08">
        <w:rPr>
          <w:szCs w:val="24"/>
        </w:rPr>
        <w:t>4.</w:t>
      </w:r>
      <w:r w:rsidRPr="00A12E08">
        <w:rPr>
          <w:color w:val="FF0000"/>
          <w:szCs w:val="24"/>
        </w:rPr>
        <w:t xml:space="preserve"> </w:t>
      </w:r>
      <w:r w:rsidR="0098151E" w:rsidRPr="00A12E08">
        <w:rPr>
          <w:rFonts w:ascii="Times New Roman" w:hAnsi="Times New Roman"/>
          <w:b/>
          <w:szCs w:val="24"/>
        </w:rPr>
        <w:t xml:space="preserve">Agreement on the diagnosis of dysplastic Barrett’s Esophagus with Narrow Band Imaging.  </w:t>
      </w:r>
      <w:r w:rsidR="0098151E" w:rsidRPr="00A12E08">
        <w:rPr>
          <w:rFonts w:ascii="Times New Roman" w:hAnsi="Times New Roman"/>
          <w:szCs w:val="24"/>
        </w:rPr>
        <w:t>From a problem by Suzanne Sharpton, Eric Bomberg</w:t>
      </w:r>
      <w:r w:rsidR="004028DF" w:rsidRPr="00A12E08">
        <w:rPr>
          <w:rFonts w:ascii="Times New Roman" w:hAnsi="Times New Roman"/>
          <w:szCs w:val="24"/>
        </w:rPr>
        <w:t xml:space="preserve"> &amp;</w:t>
      </w:r>
      <w:r w:rsidR="0098151E" w:rsidRPr="00A12E08">
        <w:rPr>
          <w:rFonts w:ascii="Times New Roman" w:hAnsi="Times New Roman"/>
          <w:szCs w:val="24"/>
        </w:rPr>
        <w:t xml:space="preserve"> Alon Vaisman</w:t>
      </w:r>
    </w:p>
    <w:p w14:paraId="476C1745" w14:textId="77777777" w:rsidR="0098151E" w:rsidRPr="00A12E08" w:rsidRDefault="0098151E" w:rsidP="00A12E08">
      <w:pPr>
        <w:pStyle w:val="BodyText2"/>
        <w:tabs>
          <w:tab w:val="left" w:pos="-720"/>
        </w:tabs>
        <w:suppressAutoHyphens/>
        <w:rPr>
          <w:rFonts w:ascii="Times New Roman" w:hAnsi="Times New Roman"/>
          <w:b/>
          <w:szCs w:val="24"/>
        </w:rPr>
      </w:pPr>
    </w:p>
    <w:p w14:paraId="18C58B62" w14:textId="77777777" w:rsidR="0098151E" w:rsidRPr="00A12E08" w:rsidRDefault="0098151E" w:rsidP="00A12E08">
      <w:pPr>
        <w:pStyle w:val="BodyText2"/>
        <w:tabs>
          <w:tab w:val="left" w:pos="-720"/>
        </w:tabs>
        <w:suppressAutoHyphens/>
        <w:rPr>
          <w:rFonts w:ascii="Times New Roman" w:hAnsi="Times New Roman"/>
          <w:szCs w:val="24"/>
        </w:rPr>
      </w:pPr>
      <w:r w:rsidRPr="00A12E08">
        <w:rPr>
          <w:rFonts w:ascii="Times New Roman" w:hAnsi="Times New Roman"/>
          <w:szCs w:val="24"/>
        </w:rPr>
        <w:t xml:space="preserve">Barrett’s esophagus is a </w:t>
      </w:r>
      <w:r w:rsidRPr="00A12E08">
        <w:rPr>
          <w:rFonts w:ascii="Times New Roman" w:hAnsi="Times New Roman"/>
          <w:szCs w:val="24"/>
          <w:u w:val="single"/>
        </w:rPr>
        <w:t>precursor</w:t>
      </w:r>
      <w:r w:rsidRPr="00A12E08">
        <w:rPr>
          <w:rFonts w:ascii="Times New Roman" w:hAnsi="Times New Roman"/>
          <w:szCs w:val="24"/>
        </w:rPr>
        <w:t xml:space="preserve"> for esophageal cancer, which is the most rapidly increasing cancer in the United States. Patients diagnosed with Barrett’s esophagus undergo routine endoscopic surveillance, with the goal of detecting dysplasia (which has a high risk of evolving into cancer) or cancer in situ (in the early stage when treatment is can still be curative). </w:t>
      </w:r>
    </w:p>
    <w:p w14:paraId="6D80F5DB" w14:textId="77777777" w:rsidR="0098151E" w:rsidRPr="00A12E08" w:rsidRDefault="0098151E" w:rsidP="00A12E08">
      <w:pPr>
        <w:pStyle w:val="BodyText2"/>
        <w:tabs>
          <w:tab w:val="left" w:pos="-720"/>
        </w:tabs>
        <w:suppressAutoHyphens/>
        <w:rPr>
          <w:rFonts w:ascii="Times New Roman" w:eastAsiaTheme="minorEastAsia" w:hAnsi="Times New Roman"/>
          <w:color w:val="2085C8"/>
          <w:position w:val="10"/>
          <w:szCs w:val="24"/>
        </w:rPr>
      </w:pPr>
    </w:p>
    <w:p w14:paraId="0764C8CD" w14:textId="77777777" w:rsidR="0098151E" w:rsidRPr="00A12E08" w:rsidRDefault="0098151E" w:rsidP="00A12E08">
      <w:pPr>
        <w:widowControl w:val="0"/>
        <w:autoSpaceDE w:val="0"/>
        <w:autoSpaceDN w:val="0"/>
        <w:adjustRightInd w:val="0"/>
        <w:rPr>
          <w:rFonts w:eastAsiaTheme="minorEastAsia"/>
        </w:rPr>
      </w:pPr>
      <w:r w:rsidRPr="00A12E08">
        <w:t xml:space="preserve">To increase the yield of surveillance endoscopy in Barrett’s esophagus, some gastroenterology groups are interested in narrow band imaging (NBI). Interpretation of NBI requires examining for </w:t>
      </w:r>
      <w:r w:rsidRPr="00A12E08">
        <w:rPr>
          <w:rFonts w:eastAsiaTheme="minorEastAsia"/>
        </w:rPr>
        <w:t xml:space="preserve">specific mucosal patterns (i.e. irregular, nodular) and vascular patterns (i.e. degree of irregularity of vessels) characteristic of Barrett’s epithelium. </w:t>
      </w:r>
    </w:p>
    <w:p w14:paraId="407805DD" w14:textId="77777777" w:rsidR="0098151E" w:rsidRPr="00A12E08" w:rsidRDefault="0098151E" w:rsidP="00A12E08">
      <w:pPr>
        <w:widowControl w:val="0"/>
        <w:autoSpaceDE w:val="0"/>
        <w:autoSpaceDN w:val="0"/>
        <w:adjustRightInd w:val="0"/>
        <w:rPr>
          <w:rFonts w:eastAsiaTheme="minorEastAsia"/>
        </w:rPr>
      </w:pPr>
    </w:p>
    <w:p w14:paraId="5785BB43" w14:textId="77777777" w:rsidR="0098151E" w:rsidRPr="00A12E08" w:rsidRDefault="0098151E" w:rsidP="00A12E08">
      <w:pPr>
        <w:widowControl w:val="0"/>
        <w:autoSpaceDE w:val="0"/>
        <w:autoSpaceDN w:val="0"/>
        <w:adjustRightInd w:val="0"/>
        <w:rPr>
          <w:rFonts w:eastAsiaTheme="minorEastAsia"/>
        </w:rPr>
      </w:pPr>
      <w:r w:rsidRPr="00A12E08">
        <w:rPr>
          <w:rFonts w:eastAsiaTheme="minorEastAsia"/>
        </w:rPr>
        <w:t>Two expert gastroenterology attendings from a national gastroenterology working group were asked to classify the histopathology of 130 NBI images into one of the following categories based on their review of images: 1=non-dysplastic BE, 2=dysplastic BE, 3=esophageal carcinoma in situ (early cancer), or 4=indeterminate/uncertain. The results are shown below.</w:t>
      </w:r>
    </w:p>
    <w:p w14:paraId="406DDA39" w14:textId="77777777" w:rsidR="0098151E" w:rsidRPr="00A12E08" w:rsidRDefault="0098151E" w:rsidP="00A12E08">
      <w:pPr>
        <w:pStyle w:val="BodyText2"/>
        <w:tabs>
          <w:tab w:val="left" w:pos="-720"/>
        </w:tabs>
        <w:suppressAutoHyphens/>
        <w:rPr>
          <w:rFonts w:ascii="Times New Roman" w:hAnsi="Times New Roman"/>
          <w:szCs w:val="24"/>
        </w:rPr>
      </w:pPr>
    </w:p>
    <w:tbl>
      <w:tblPr>
        <w:tblW w:w="5924" w:type="dxa"/>
        <w:tblInd w:w="98" w:type="dxa"/>
        <w:tblLayout w:type="fixed"/>
        <w:tblLook w:val="04A0" w:firstRow="1" w:lastRow="0" w:firstColumn="1" w:lastColumn="0" w:noHBand="0" w:noVBand="1"/>
      </w:tblPr>
      <w:tblGrid>
        <w:gridCol w:w="1450"/>
        <w:gridCol w:w="630"/>
        <w:gridCol w:w="961"/>
        <w:gridCol w:w="961"/>
        <w:gridCol w:w="961"/>
        <w:gridCol w:w="961"/>
      </w:tblGrid>
      <w:tr w:rsidR="0098151E" w:rsidRPr="00A12E08" w14:paraId="25C44E17" w14:textId="77777777" w:rsidTr="0098151E">
        <w:trPr>
          <w:trHeight w:val="315"/>
        </w:trPr>
        <w:tc>
          <w:tcPr>
            <w:tcW w:w="1450" w:type="dxa"/>
            <w:tcBorders>
              <w:top w:val="single" w:sz="8" w:space="0" w:color="auto"/>
              <w:left w:val="single" w:sz="8" w:space="0" w:color="auto"/>
              <w:bottom w:val="single" w:sz="8" w:space="0" w:color="auto"/>
              <w:right w:val="nil"/>
            </w:tcBorders>
            <w:hideMark/>
          </w:tcPr>
          <w:p w14:paraId="5159913A" w14:textId="77777777" w:rsidR="0098151E" w:rsidRPr="00A12E08" w:rsidRDefault="0098151E" w:rsidP="00A12E08">
            <w:pPr>
              <w:rPr>
                <w:b/>
                <w:bCs/>
                <w:color w:val="000000"/>
              </w:rPr>
            </w:pPr>
            <w:r w:rsidRPr="00A12E08">
              <w:rPr>
                <w:b/>
                <w:bCs/>
                <w:color w:val="000000"/>
              </w:rPr>
              <w:t> </w:t>
            </w:r>
          </w:p>
        </w:tc>
        <w:tc>
          <w:tcPr>
            <w:tcW w:w="3513" w:type="dxa"/>
            <w:gridSpan w:val="4"/>
            <w:tcBorders>
              <w:top w:val="single" w:sz="8" w:space="0" w:color="auto"/>
              <w:left w:val="nil"/>
              <w:bottom w:val="single" w:sz="8" w:space="0" w:color="auto"/>
              <w:right w:val="nil"/>
            </w:tcBorders>
            <w:hideMark/>
          </w:tcPr>
          <w:p w14:paraId="742533B6" w14:textId="77777777" w:rsidR="0098151E" w:rsidRPr="00A12E08" w:rsidRDefault="0098151E" w:rsidP="00A12E08">
            <w:pPr>
              <w:jc w:val="center"/>
              <w:rPr>
                <w:b/>
                <w:bCs/>
                <w:color w:val="000000"/>
              </w:rPr>
            </w:pPr>
            <w:r w:rsidRPr="00A12E08">
              <w:rPr>
                <w:b/>
                <w:bCs/>
                <w:color w:val="000000"/>
              </w:rPr>
              <w:t>Attending 2 </w:t>
            </w:r>
          </w:p>
        </w:tc>
        <w:tc>
          <w:tcPr>
            <w:tcW w:w="961" w:type="dxa"/>
            <w:tcBorders>
              <w:top w:val="single" w:sz="8" w:space="0" w:color="auto"/>
              <w:left w:val="nil"/>
              <w:bottom w:val="single" w:sz="8" w:space="0" w:color="auto"/>
              <w:right w:val="single" w:sz="8" w:space="0" w:color="auto"/>
            </w:tcBorders>
            <w:hideMark/>
          </w:tcPr>
          <w:p w14:paraId="523DBE8F" w14:textId="77777777" w:rsidR="0098151E" w:rsidRPr="00A12E08" w:rsidRDefault="0098151E" w:rsidP="00A12E08">
            <w:pPr>
              <w:jc w:val="center"/>
              <w:rPr>
                <w:b/>
                <w:bCs/>
                <w:color w:val="000000"/>
              </w:rPr>
            </w:pPr>
            <w:r w:rsidRPr="00A12E08">
              <w:rPr>
                <w:b/>
                <w:bCs/>
                <w:color w:val="000000"/>
              </w:rPr>
              <w:t> </w:t>
            </w:r>
          </w:p>
        </w:tc>
      </w:tr>
      <w:tr w:rsidR="0098151E" w:rsidRPr="00A12E08" w14:paraId="78EB7009" w14:textId="77777777" w:rsidTr="0098151E">
        <w:trPr>
          <w:trHeight w:val="315"/>
        </w:trPr>
        <w:tc>
          <w:tcPr>
            <w:tcW w:w="1450" w:type="dxa"/>
            <w:tcBorders>
              <w:top w:val="nil"/>
              <w:left w:val="single" w:sz="8" w:space="0" w:color="auto"/>
              <w:bottom w:val="single" w:sz="8" w:space="0" w:color="auto"/>
              <w:right w:val="single" w:sz="8" w:space="0" w:color="auto"/>
            </w:tcBorders>
            <w:hideMark/>
          </w:tcPr>
          <w:p w14:paraId="76F48F89" w14:textId="77777777" w:rsidR="0098151E" w:rsidRPr="00A12E08" w:rsidRDefault="0098151E" w:rsidP="00A12E08">
            <w:pPr>
              <w:jc w:val="center"/>
              <w:rPr>
                <w:b/>
                <w:bCs/>
                <w:color w:val="000000"/>
              </w:rPr>
            </w:pPr>
            <w:r w:rsidRPr="00A12E08">
              <w:rPr>
                <w:b/>
                <w:bCs/>
                <w:color w:val="000000"/>
              </w:rPr>
              <w:t>Attending 1</w:t>
            </w:r>
          </w:p>
        </w:tc>
        <w:tc>
          <w:tcPr>
            <w:tcW w:w="630" w:type="dxa"/>
            <w:tcBorders>
              <w:top w:val="nil"/>
              <w:left w:val="nil"/>
              <w:bottom w:val="single" w:sz="8" w:space="0" w:color="auto"/>
              <w:right w:val="single" w:sz="8" w:space="0" w:color="auto"/>
            </w:tcBorders>
            <w:hideMark/>
          </w:tcPr>
          <w:p w14:paraId="1F336A0A" w14:textId="77777777" w:rsidR="0098151E" w:rsidRPr="00A12E08" w:rsidRDefault="0098151E" w:rsidP="00A12E08">
            <w:pPr>
              <w:jc w:val="center"/>
              <w:rPr>
                <w:b/>
                <w:bCs/>
                <w:color w:val="000000"/>
              </w:rPr>
            </w:pPr>
            <w:r w:rsidRPr="00A12E08">
              <w:rPr>
                <w:b/>
                <w:bCs/>
                <w:color w:val="000000"/>
              </w:rPr>
              <w:t>1</w:t>
            </w:r>
          </w:p>
        </w:tc>
        <w:tc>
          <w:tcPr>
            <w:tcW w:w="961" w:type="dxa"/>
            <w:tcBorders>
              <w:top w:val="nil"/>
              <w:left w:val="nil"/>
              <w:bottom w:val="single" w:sz="8" w:space="0" w:color="auto"/>
              <w:right w:val="single" w:sz="8" w:space="0" w:color="auto"/>
            </w:tcBorders>
            <w:hideMark/>
          </w:tcPr>
          <w:p w14:paraId="1277D16F" w14:textId="77777777" w:rsidR="0098151E" w:rsidRPr="00A12E08" w:rsidRDefault="0098151E" w:rsidP="00A12E08">
            <w:pPr>
              <w:jc w:val="center"/>
              <w:rPr>
                <w:b/>
                <w:bCs/>
                <w:color w:val="000000"/>
              </w:rPr>
            </w:pPr>
            <w:r w:rsidRPr="00A12E08">
              <w:rPr>
                <w:b/>
                <w:bCs/>
                <w:color w:val="000000"/>
              </w:rPr>
              <w:t>2</w:t>
            </w:r>
          </w:p>
        </w:tc>
        <w:tc>
          <w:tcPr>
            <w:tcW w:w="961" w:type="dxa"/>
            <w:tcBorders>
              <w:top w:val="nil"/>
              <w:left w:val="nil"/>
              <w:bottom w:val="single" w:sz="8" w:space="0" w:color="auto"/>
              <w:right w:val="single" w:sz="8" w:space="0" w:color="auto"/>
            </w:tcBorders>
            <w:hideMark/>
          </w:tcPr>
          <w:p w14:paraId="19AA53F6" w14:textId="77777777" w:rsidR="0098151E" w:rsidRPr="00A12E08" w:rsidRDefault="0098151E" w:rsidP="00A12E08">
            <w:pPr>
              <w:jc w:val="center"/>
              <w:rPr>
                <w:b/>
                <w:bCs/>
                <w:color w:val="000000"/>
              </w:rPr>
            </w:pPr>
            <w:r w:rsidRPr="00A12E08">
              <w:rPr>
                <w:b/>
                <w:bCs/>
                <w:color w:val="000000"/>
              </w:rPr>
              <w:t>3</w:t>
            </w:r>
          </w:p>
        </w:tc>
        <w:tc>
          <w:tcPr>
            <w:tcW w:w="961" w:type="dxa"/>
            <w:tcBorders>
              <w:top w:val="nil"/>
              <w:left w:val="nil"/>
              <w:bottom w:val="single" w:sz="8" w:space="0" w:color="auto"/>
              <w:right w:val="single" w:sz="8" w:space="0" w:color="auto"/>
            </w:tcBorders>
            <w:hideMark/>
          </w:tcPr>
          <w:p w14:paraId="3663C688" w14:textId="77777777" w:rsidR="0098151E" w:rsidRPr="00A12E08" w:rsidRDefault="0098151E" w:rsidP="00A12E08">
            <w:pPr>
              <w:jc w:val="center"/>
              <w:rPr>
                <w:b/>
                <w:bCs/>
                <w:color w:val="000000"/>
              </w:rPr>
            </w:pPr>
            <w:r w:rsidRPr="00A12E08">
              <w:rPr>
                <w:b/>
                <w:bCs/>
                <w:color w:val="000000"/>
              </w:rPr>
              <w:t>4</w:t>
            </w:r>
          </w:p>
        </w:tc>
        <w:tc>
          <w:tcPr>
            <w:tcW w:w="961" w:type="dxa"/>
            <w:tcBorders>
              <w:top w:val="nil"/>
              <w:left w:val="nil"/>
              <w:bottom w:val="single" w:sz="8" w:space="0" w:color="auto"/>
              <w:right w:val="single" w:sz="8" w:space="0" w:color="auto"/>
            </w:tcBorders>
            <w:hideMark/>
          </w:tcPr>
          <w:p w14:paraId="2CC411CB" w14:textId="77777777" w:rsidR="0098151E" w:rsidRPr="00A12E08" w:rsidRDefault="0098151E" w:rsidP="00A12E08">
            <w:pPr>
              <w:jc w:val="center"/>
              <w:rPr>
                <w:b/>
                <w:bCs/>
                <w:color w:val="000000"/>
              </w:rPr>
            </w:pPr>
            <w:r w:rsidRPr="00A12E08">
              <w:rPr>
                <w:b/>
                <w:bCs/>
                <w:color w:val="000000"/>
              </w:rPr>
              <w:t>Total</w:t>
            </w:r>
          </w:p>
        </w:tc>
      </w:tr>
      <w:tr w:rsidR="0098151E" w:rsidRPr="00A12E08" w14:paraId="4D28BDB2" w14:textId="77777777" w:rsidTr="0098151E">
        <w:trPr>
          <w:trHeight w:val="315"/>
        </w:trPr>
        <w:tc>
          <w:tcPr>
            <w:tcW w:w="1450" w:type="dxa"/>
            <w:tcBorders>
              <w:top w:val="nil"/>
              <w:left w:val="single" w:sz="8" w:space="0" w:color="auto"/>
              <w:bottom w:val="single" w:sz="8" w:space="0" w:color="auto"/>
              <w:right w:val="single" w:sz="8" w:space="0" w:color="auto"/>
            </w:tcBorders>
            <w:hideMark/>
          </w:tcPr>
          <w:p w14:paraId="7B35FA8F" w14:textId="77777777" w:rsidR="0098151E" w:rsidRPr="00A12E08" w:rsidRDefault="0098151E" w:rsidP="00A12E08">
            <w:pPr>
              <w:jc w:val="center"/>
              <w:rPr>
                <w:b/>
                <w:bCs/>
                <w:color w:val="000000"/>
              </w:rPr>
            </w:pPr>
            <w:r w:rsidRPr="00A12E08">
              <w:rPr>
                <w:b/>
                <w:bCs/>
                <w:color w:val="000000"/>
              </w:rPr>
              <w:t>1</w:t>
            </w:r>
          </w:p>
        </w:tc>
        <w:tc>
          <w:tcPr>
            <w:tcW w:w="630" w:type="dxa"/>
            <w:tcBorders>
              <w:top w:val="nil"/>
              <w:left w:val="nil"/>
              <w:bottom w:val="single" w:sz="8" w:space="0" w:color="auto"/>
              <w:right w:val="single" w:sz="8" w:space="0" w:color="auto"/>
            </w:tcBorders>
            <w:hideMark/>
          </w:tcPr>
          <w:p w14:paraId="60DA325D" w14:textId="77777777" w:rsidR="0098151E" w:rsidRPr="00A12E08" w:rsidRDefault="0098151E" w:rsidP="00A12E08">
            <w:pPr>
              <w:jc w:val="center"/>
              <w:rPr>
                <w:color w:val="000000"/>
              </w:rPr>
            </w:pPr>
            <w:r w:rsidRPr="00A12E08">
              <w:rPr>
                <w:color w:val="000000"/>
              </w:rPr>
              <w:t>10</w:t>
            </w:r>
          </w:p>
        </w:tc>
        <w:tc>
          <w:tcPr>
            <w:tcW w:w="961" w:type="dxa"/>
            <w:tcBorders>
              <w:top w:val="nil"/>
              <w:left w:val="nil"/>
              <w:bottom w:val="single" w:sz="8" w:space="0" w:color="auto"/>
              <w:right w:val="single" w:sz="8" w:space="0" w:color="auto"/>
            </w:tcBorders>
            <w:hideMark/>
          </w:tcPr>
          <w:p w14:paraId="2DCB01B6" w14:textId="77777777" w:rsidR="0098151E" w:rsidRPr="00A12E08" w:rsidRDefault="0098151E" w:rsidP="00A12E08">
            <w:pPr>
              <w:jc w:val="center"/>
              <w:rPr>
                <w:color w:val="000000"/>
              </w:rPr>
            </w:pPr>
            <w:r w:rsidRPr="00A12E08">
              <w:rPr>
                <w:color w:val="000000"/>
              </w:rPr>
              <w:t>4</w:t>
            </w:r>
          </w:p>
        </w:tc>
        <w:tc>
          <w:tcPr>
            <w:tcW w:w="961" w:type="dxa"/>
            <w:tcBorders>
              <w:top w:val="nil"/>
              <w:left w:val="nil"/>
              <w:bottom w:val="single" w:sz="8" w:space="0" w:color="auto"/>
              <w:right w:val="single" w:sz="8" w:space="0" w:color="auto"/>
            </w:tcBorders>
            <w:hideMark/>
          </w:tcPr>
          <w:p w14:paraId="600D7A7B" w14:textId="77777777" w:rsidR="0098151E" w:rsidRPr="00A12E08" w:rsidRDefault="0098151E" w:rsidP="00A12E08">
            <w:pPr>
              <w:jc w:val="center"/>
              <w:rPr>
                <w:color w:val="000000"/>
              </w:rPr>
            </w:pPr>
            <w:r w:rsidRPr="00A12E08">
              <w:rPr>
                <w:color w:val="000000"/>
              </w:rPr>
              <w:t>0</w:t>
            </w:r>
          </w:p>
        </w:tc>
        <w:tc>
          <w:tcPr>
            <w:tcW w:w="961" w:type="dxa"/>
            <w:tcBorders>
              <w:top w:val="nil"/>
              <w:left w:val="nil"/>
              <w:bottom w:val="single" w:sz="8" w:space="0" w:color="auto"/>
              <w:right w:val="single" w:sz="8" w:space="0" w:color="auto"/>
            </w:tcBorders>
            <w:hideMark/>
          </w:tcPr>
          <w:p w14:paraId="0020B8F3" w14:textId="77777777" w:rsidR="0098151E" w:rsidRPr="00A12E08" w:rsidRDefault="0098151E" w:rsidP="00A12E08">
            <w:pPr>
              <w:jc w:val="center"/>
              <w:rPr>
                <w:color w:val="000000"/>
              </w:rPr>
            </w:pPr>
            <w:r w:rsidRPr="00A12E08">
              <w:rPr>
                <w:color w:val="000000"/>
              </w:rPr>
              <w:t>15</w:t>
            </w:r>
          </w:p>
        </w:tc>
        <w:tc>
          <w:tcPr>
            <w:tcW w:w="961" w:type="dxa"/>
            <w:tcBorders>
              <w:top w:val="nil"/>
              <w:left w:val="nil"/>
              <w:bottom w:val="single" w:sz="8" w:space="0" w:color="auto"/>
              <w:right w:val="single" w:sz="8" w:space="0" w:color="auto"/>
            </w:tcBorders>
            <w:hideMark/>
          </w:tcPr>
          <w:p w14:paraId="0263E3D9" w14:textId="77777777" w:rsidR="0098151E" w:rsidRPr="00A12E08" w:rsidRDefault="0098151E" w:rsidP="00A12E08">
            <w:pPr>
              <w:jc w:val="center"/>
              <w:rPr>
                <w:b/>
                <w:bCs/>
                <w:color w:val="000000"/>
              </w:rPr>
            </w:pPr>
            <w:r w:rsidRPr="00A12E08">
              <w:rPr>
                <w:b/>
                <w:bCs/>
                <w:color w:val="000000"/>
              </w:rPr>
              <w:t>29</w:t>
            </w:r>
          </w:p>
        </w:tc>
      </w:tr>
      <w:tr w:rsidR="0098151E" w:rsidRPr="00A12E08" w14:paraId="35BDF7B7" w14:textId="77777777" w:rsidTr="0098151E">
        <w:trPr>
          <w:trHeight w:val="315"/>
        </w:trPr>
        <w:tc>
          <w:tcPr>
            <w:tcW w:w="1450" w:type="dxa"/>
            <w:tcBorders>
              <w:top w:val="nil"/>
              <w:left w:val="single" w:sz="8" w:space="0" w:color="auto"/>
              <w:bottom w:val="single" w:sz="8" w:space="0" w:color="auto"/>
              <w:right w:val="single" w:sz="8" w:space="0" w:color="auto"/>
            </w:tcBorders>
            <w:hideMark/>
          </w:tcPr>
          <w:p w14:paraId="2F0230EB" w14:textId="77777777" w:rsidR="0098151E" w:rsidRPr="00A12E08" w:rsidRDefault="0098151E" w:rsidP="00A12E08">
            <w:pPr>
              <w:jc w:val="center"/>
              <w:rPr>
                <w:b/>
                <w:bCs/>
                <w:color w:val="000000"/>
              </w:rPr>
            </w:pPr>
            <w:r w:rsidRPr="00A12E08">
              <w:rPr>
                <w:b/>
                <w:bCs/>
                <w:color w:val="000000"/>
              </w:rPr>
              <w:t>2</w:t>
            </w:r>
          </w:p>
        </w:tc>
        <w:tc>
          <w:tcPr>
            <w:tcW w:w="630" w:type="dxa"/>
            <w:tcBorders>
              <w:top w:val="nil"/>
              <w:left w:val="nil"/>
              <w:bottom w:val="single" w:sz="8" w:space="0" w:color="auto"/>
              <w:right w:val="single" w:sz="8" w:space="0" w:color="auto"/>
            </w:tcBorders>
            <w:hideMark/>
          </w:tcPr>
          <w:p w14:paraId="021B6411" w14:textId="77777777" w:rsidR="0098151E" w:rsidRPr="00A12E08" w:rsidRDefault="0098151E" w:rsidP="00A12E08">
            <w:pPr>
              <w:jc w:val="center"/>
              <w:rPr>
                <w:color w:val="000000"/>
              </w:rPr>
            </w:pPr>
            <w:r w:rsidRPr="00A12E08">
              <w:rPr>
                <w:color w:val="000000"/>
              </w:rPr>
              <w:t>15</w:t>
            </w:r>
          </w:p>
        </w:tc>
        <w:tc>
          <w:tcPr>
            <w:tcW w:w="961" w:type="dxa"/>
            <w:tcBorders>
              <w:top w:val="nil"/>
              <w:left w:val="nil"/>
              <w:bottom w:val="single" w:sz="8" w:space="0" w:color="auto"/>
              <w:right w:val="single" w:sz="8" w:space="0" w:color="auto"/>
            </w:tcBorders>
            <w:hideMark/>
          </w:tcPr>
          <w:p w14:paraId="6FDA9898" w14:textId="77777777" w:rsidR="0098151E" w:rsidRPr="00A12E08" w:rsidRDefault="0098151E" w:rsidP="00A12E08">
            <w:pPr>
              <w:jc w:val="center"/>
              <w:rPr>
                <w:color w:val="000000"/>
              </w:rPr>
            </w:pPr>
            <w:r w:rsidRPr="00A12E08">
              <w:rPr>
                <w:color w:val="000000"/>
              </w:rPr>
              <w:t>15</w:t>
            </w:r>
          </w:p>
        </w:tc>
        <w:tc>
          <w:tcPr>
            <w:tcW w:w="961" w:type="dxa"/>
            <w:tcBorders>
              <w:top w:val="nil"/>
              <w:left w:val="nil"/>
              <w:bottom w:val="single" w:sz="8" w:space="0" w:color="auto"/>
              <w:right w:val="single" w:sz="8" w:space="0" w:color="auto"/>
            </w:tcBorders>
            <w:hideMark/>
          </w:tcPr>
          <w:p w14:paraId="301CF6CF" w14:textId="77777777" w:rsidR="0098151E" w:rsidRPr="00A12E08" w:rsidRDefault="0098151E" w:rsidP="00A12E08">
            <w:pPr>
              <w:jc w:val="center"/>
              <w:rPr>
                <w:color w:val="000000"/>
              </w:rPr>
            </w:pPr>
            <w:r w:rsidRPr="00A12E08">
              <w:rPr>
                <w:color w:val="000000"/>
              </w:rPr>
              <w:t>4</w:t>
            </w:r>
          </w:p>
        </w:tc>
        <w:tc>
          <w:tcPr>
            <w:tcW w:w="961" w:type="dxa"/>
            <w:tcBorders>
              <w:top w:val="nil"/>
              <w:left w:val="nil"/>
              <w:bottom w:val="single" w:sz="8" w:space="0" w:color="auto"/>
              <w:right w:val="single" w:sz="8" w:space="0" w:color="auto"/>
            </w:tcBorders>
            <w:hideMark/>
          </w:tcPr>
          <w:p w14:paraId="623529DB" w14:textId="77777777" w:rsidR="0098151E" w:rsidRPr="00A12E08" w:rsidRDefault="0098151E" w:rsidP="00A12E08">
            <w:pPr>
              <w:jc w:val="center"/>
              <w:rPr>
                <w:color w:val="000000"/>
              </w:rPr>
            </w:pPr>
            <w:r w:rsidRPr="00A12E08">
              <w:rPr>
                <w:color w:val="000000"/>
              </w:rPr>
              <w:t>5</w:t>
            </w:r>
          </w:p>
        </w:tc>
        <w:tc>
          <w:tcPr>
            <w:tcW w:w="961" w:type="dxa"/>
            <w:tcBorders>
              <w:top w:val="nil"/>
              <w:left w:val="nil"/>
              <w:bottom w:val="single" w:sz="8" w:space="0" w:color="auto"/>
              <w:right w:val="single" w:sz="8" w:space="0" w:color="auto"/>
            </w:tcBorders>
            <w:hideMark/>
          </w:tcPr>
          <w:p w14:paraId="2C939B6A" w14:textId="77777777" w:rsidR="0098151E" w:rsidRPr="00A12E08" w:rsidRDefault="0098151E" w:rsidP="00A12E08">
            <w:pPr>
              <w:jc w:val="center"/>
              <w:rPr>
                <w:b/>
                <w:bCs/>
                <w:color w:val="000000"/>
              </w:rPr>
            </w:pPr>
            <w:r w:rsidRPr="00A12E08">
              <w:rPr>
                <w:b/>
                <w:bCs/>
                <w:color w:val="000000"/>
              </w:rPr>
              <w:t>39</w:t>
            </w:r>
          </w:p>
        </w:tc>
      </w:tr>
      <w:tr w:rsidR="0098151E" w:rsidRPr="00A12E08" w14:paraId="06EF1128" w14:textId="77777777" w:rsidTr="0098151E">
        <w:trPr>
          <w:trHeight w:val="315"/>
        </w:trPr>
        <w:tc>
          <w:tcPr>
            <w:tcW w:w="1450" w:type="dxa"/>
            <w:tcBorders>
              <w:top w:val="nil"/>
              <w:left w:val="single" w:sz="8" w:space="0" w:color="auto"/>
              <w:bottom w:val="single" w:sz="8" w:space="0" w:color="auto"/>
              <w:right w:val="single" w:sz="8" w:space="0" w:color="auto"/>
            </w:tcBorders>
            <w:hideMark/>
          </w:tcPr>
          <w:p w14:paraId="53D508E3" w14:textId="77777777" w:rsidR="0098151E" w:rsidRPr="00A12E08" w:rsidRDefault="0098151E" w:rsidP="00A12E08">
            <w:pPr>
              <w:jc w:val="center"/>
              <w:rPr>
                <w:b/>
                <w:bCs/>
                <w:color w:val="000000"/>
              </w:rPr>
            </w:pPr>
            <w:r w:rsidRPr="00A12E08">
              <w:rPr>
                <w:b/>
                <w:bCs/>
                <w:color w:val="000000"/>
              </w:rPr>
              <w:t>3</w:t>
            </w:r>
          </w:p>
        </w:tc>
        <w:tc>
          <w:tcPr>
            <w:tcW w:w="630" w:type="dxa"/>
            <w:tcBorders>
              <w:top w:val="nil"/>
              <w:left w:val="nil"/>
              <w:bottom w:val="single" w:sz="8" w:space="0" w:color="auto"/>
              <w:right w:val="single" w:sz="8" w:space="0" w:color="auto"/>
            </w:tcBorders>
            <w:hideMark/>
          </w:tcPr>
          <w:p w14:paraId="2EC2CB66" w14:textId="77777777" w:rsidR="0098151E" w:rsidRPr="00A12E08" w:rsidRDefault="0098151E" w:rsidP="00A12E08">
            <w:pPr>
              <w:jc w:val="center"/>
              <w:rPr>
                <w:color w:val="000000"/>
              </w:rPr>
            </w:pPr>
            <w:r w:rsidRPr="00A12E08">
              <w:rPr>
                <w:color w:val="000000"/>
              </w:rPr>
              <w:t>6</w:t>
            </w:r>
          </w:p>
        </w:tc>
        <w:tc>
          <w:tcPr>
            <w:tcW w:w="961" w:type="dxa"/>
            <w:tcBorders>
              <w:top w:val="nil"/>
              <w:left w:val="nil"/>
              <w:bottom w:val="single" w:sz="8" w:space="0" w:color="auto"/>
              <w:right w:val="single" w:sz="8" w:space="0" w:color="auto"/>
            </w:tcBorders>
            <w:hideMark/>
          </w:tcPr>
          <w:p w14:paraId="0201E738" w14:textId="77777777" w:rsidR="0098151E" w:rsidRPr="00A12E08" w:rsidRDefault="0098151E" w:rsidP="00A12E08">
            <w:pPr>
              <w:jc w:val="center"/>
              <w:rPr>
                <w:color w:val="000000"/>
              </w:rPr>
            </w:pPr>
            <w:r w:rsidRPr="00A12E08">
              <w:rPr>
                <w:color w:val="000000"/>
              </w:rPr>
              <w:t>15</w:t>
            </w:r>
          </w:p>
        </w:tc>
        <w:tc>
          <w:tcPr>
            <w:tcW w:w="961" w:type="dxa"/>
            <w:tcBorders>
              <w:top w:val="nil"/>
              <w:left w:val="nil"/>
              <w:bottom w:val="single" w:sz="8" w:space="0" w:color="auto"/>
              <w:right w:val="single" w:sz="8" w:space="0" w:color="auto"/>
            </w:tcBorders>
            <w:hideMark/>
          </w:tcPr>
          <w:p w14:paraId="1E0FF6AF" w14:textId="77777777" w:rsidR="0098151E" w:rsidRPr="00A12E08" w:rsidRDefault="0098151E" w:rsidP="00A12E08">
            <w:pPr>
              <w:jc w:val="center"/>
              <w:rPr>
                <w:color w:val="000000"/>
              </w:rPr>
            </w:pPr>
            <w:r w:rsidRPr="00A12E08">
              <w:rPr>
                <w:color w:val="000000"/>
              </w:rPr>
              <w:t>26</w:t>
            </w:r>
          </w:p>
        </w:tc>
        <w:tc>
          <w:tcPr>
            <w:tcW w:w="961" w:type="dxa"/>
            <w:tcBorders>
              <w:top w:val="nil"/>
              <w:left w:val="nil"/>
              <w:bottom w:val="single" w:sz="8" w:space="0" w:color="auto"/>
              <w:right w:val="single" w:sz="8" w:space="0" w:color="auto"/>
            </w:tcBorders>
            <w:hideMark/>
          </w:tcPr>
          <w:p w14:paraId="657758E9" w14:textId="77777777" w:rsidR="0098151E" w:rsidRPr="00A12E08" w:rsidRDefault="0098151E" w:rsidP="00A12E08">
            <w:pPr>
              <w:jc w:val="center"/>
              <w:rPr>
                <w:color w:val="000000"/>
              </w:rPr>
            </w:pPr>
            <w:r w:rsidRPr="00A12E08">
              <w:rPr>
                <w:color w:val="000000"/>
              </w:rPr>
              <w:t>4</w:t>
            </w:r>
          </w:p>
        </w:tc>
        <w:tc>
          <w:tcPr>
            <w:tcW w:w="961" w:type="dxa"/>
            <w:tcBorders>
              <w:top w:val="nil"/>
              <w:left w:val="nil"/>
              <w:bottom w:val="single" w:sz="8" w:space="0" w:color="auto"/>
              <w:right w:val="single" w:sz="8" w:space="0" w:color="auto"/>
            </w:tcBorders>
            <w:hideMark/>
          </w:tcPr>
          <w:p w14:paraId="2E9AE279" w14:textId="77777777" w:rsidR="0098151E" w:rsidRPr="00A12E08" w:rsidRDefault="0098151E" w:rsidP="00A12E08">
            <w:pPr>
              <w:jc w:val="center"/>
              <w:rPr>
                <w:b/>
                <w:bCs/>
                <w:color w:val="000000"/>
              </w:rPr>
            </w:pPr>
            <w:r w:rsidRPr="00A12E08">
              <w:rPr>
                <w:b/>
                <w:bCs/>
                <w:color w:val="000000"/>
              </w:rPr>
              <w:t>51</w:t>
            </w:r>
          </w:p>
        </w:tc>
      </w:tr>
      <w:tr w:rsidR="0098151E" w:rsidRPr="00A12E08" w14:paraId="05C173CD" w14:textId="77777777" w:rsidTr="0098151E">
        <w:trPr>
          <w:trHeight w:val="315"/>
        </w:trPr>
        <w:tc>
          <w:tcPr>
            <w:tcW w:w="1450" w:type="dxa"/>
            <w:tcBorders>
              <w:top w:val="nil"/>
              <w:left w:val="single" w:sz="8" w:space="0" w:color="auto"/>
              <w:bottom w:val="single" w:sz="8" w:space="0" w:color="auto"/>
              <w:right w:val="single" w:sz="8" w:space="0" w:color="auto"/>
            </w:tcBorders>
            <w:hideMark/>
          </w:tcPr>
          <w:p w14:paraId="1C71CCCD" w14:textId="77777777" w:rsidR="0098151E" w:rsidRPr="00A12E08" w:rsidRDefault="0098151E" w:rsidP="00A12E08">
            <w:pPr>
              <w:jc w:val="center"/>
              <w:rPr>
                <w:b/>
                <w:bCs/>
                <w:color w:val="000000"/>
              </w:rPr>
            </w:pPr>
            <w:r w:rsidRPr="00A12E08">
              <w:rPr>
                <w:b/>
                <w:bCs/>
                <w:color w:val="000000"/>
              </w:rPr>
              <w:t>4</w:t>
            </w:r>
          </w:p>
        </w:tc>
        <w:tc>
          <w:tcPr>
            <w:tcW w:w="630" w:type="dxa"/>
            <w:tcBorders>
              <w:top w:val="nil"/>
              <w:left w:val="nil"/>
              <w:bottom w:val="single" w:sz="8" w:space="0" w:color="auto"/>
              <w:right w:val="single" w:sz="8" w:space="0" w:color="auto"/>
            </w:tcBorders>
            <w:hideMark/>
          </w:tcPr>
          <w:p w14:paraId="54CAA0D3" w14:textId="77777777" w:rsidR="0098151E" w:rsidRPr="00A12E08" w:rsidRDefault="0098151E" w:rsidP="00A12E08">
            <w:pPr>
              <w:jc w:val="center"/>
              <w:rPr>
                <w:color w:val="000000"/>
              </w:rPr>
            </w:pPr>
            <w:r w:rsidRPr="00A12E08">
              <w:rPr>
                <w:color w:val="000000"/>
              </w:rPr>
              <w:t>2</w:t>
            </w:r>
          </w:p>
        </w:tc>
        <w:tc>
          <w:tcPr>
            <w:tcW w:w="961" w:type="dxa"/>
            <w:tcBorders>
              <w:top w:val="nil"/>
              <w:left w:val="nil"/>
              <w:bottom w:val="single" w:sz="8" w:space="0" w:color="auto"/>
              <w:right w:val="single" w:sz="8" w:space="0" w:color="auto"/>
            </w:tcBorders>
            <w:hideMark/>
          </w:tcPr>
          <w:p w14:paraId="7C889C02" w14:textId="77777777" w:rsidR="0098151E" w:rsidRPr="00A12E08" w:rsidRDefault="0098151E" w:rsidP="00A12E08">
            <w:pPr>
              <w:jc w:val="center"/>
              <w:rPr>
                <w:color w:val="000000"/>
              </w:rPr>
            </w:pPr>
            <w:r w:rsidRPr="00A12E08">
              <w:rPr>
                <w:color w:val="000000"/>
              </w:rPr>
              <w:t>1</w:t>
            </w:r>
          </w:p>
        </w:tc>
        <w:tc>
          <w:tcPr>
            <w:tcW w:w="961" w:type="dxa"/>
            <w:tcBorders>
              <w:top w:val="nil"/>
              <w:left w:val="nil"/>
              <w:bottom w:val="single" w:sz="8" w:space="0" w:color="auto"/>
              <w:right w:val="single" w:sz="8" w:space="0" w:color="auto"/>
            </w:tcBorders>
            <w:hideMark/>
          </w:tcPr>
          <w:p w14:paraId="1FD6055F" w14:textId="77777777" w:rsidR="0098151E" w:rsidRPr="00A12E08" w:rsidRDefault="0098151E" w:rsidP="00A12E08">
            <w:pPr>
              <w:jc w:val="center"/>
              <w:rPr>
                <w:color w:val="000000"/>
              </w:rPr>
            </w:pPr>
            <w:r w:rsidRPr="00A12E08">
              <w:rPr>
                <w:color w:val="000000"/>
              </w:rPr>
              <w:t>0</w:t>
            </w:r>
          </w:p>
        </w:tc>
        <w:tc>
          <w:tcPr>
            <w:tcW w:w="961" w:type="dxa"/>
            <w:tcBorders>
              <w:top w:val="nil"/>
              <w:left w:val="nil"/>
              <w:bottom w:val="single" w:sz="8" w:space="0" w:color="auto"/>
              <w:right w:val="single" w:sz="8" w:space="0" w:color="auto"/>
            </w:tcBorders>
            <w:hideMark/>
          </w:tcPr>
          <w:p w14:paraId="7098BEBD" w14:textId="77777777" w:rsidR="0098151E" w:rsidRPr="00A12E08" w:rsidRDefault="0098151E" w:rsidP="00A12E08">
            <w:pPr>
              <w:jc w:val="center"/>
              <w:rPr>
                <w:color w:val="000000"/>
              </w:rPr>
            </w:pPr>
            <w:r w:rsidRPr="00A12E08">
              <w:rPr>
                <w:color w:val="000000"/>
              </w:rPr>
              <w:t>8</w:t>
            </w:r>
          </w:p>
        </w:tc>
        <w:tc>
          <w:tcPr>
            <w:tcW w:w="961" w:type="dxa"/>
            <w:tcBorders>
              <w:top w:val="nil"/>
              <w:left w:val="nil"/>
              <w:bottom w:val="single" w:sz="8" w:space="0" w:color="auto"/>
              <w:right w:val="single" w:sz="8" w:space="0" w:color="auto"/>
            </w:tcBorders>
            <w:hideMark/>
          </w:tcPr>
          <w:p w14:paraId="2EDA3F77" w14:textId="77777777" w:rsidR="0098151E" w:rsidRPr="00A12E08" w:rsidRDefault="0098151E" w:rsidP="00A12E08">
            <w:pPr>
              <w:jc w:val="center"/>
              <w:rPr>
                <w:b/>
                <w:bCs/>
                <w:color w:val="000000"/>
              </w:rPr>
            </w:pPr>
            <w:r w:rsidRPr="00A12E08">
              <w:rPr>
                <w:b/>
                <w:bCs/>
                <w:color w:val="000000"/>
              </w:rPr>
              <w:t>11</w:t>
            </w:r>
          </w:p>
        </w:tc>
      </w:tr>
      <w:tr w:rsidR="0098151E" w:rsidRPr="00A12E08" w14:paraId="0527D207" w14:textId="77777777" w:rsidTr="0098151E">
        <w:trPr>
          <w:trHeight w:val="315"/>
        </w:trPr>
        <w:tc>
          <w:tcPr>
            <w:tcW w:w="1450" w:type="dxa"/>
            <w:tcBorders>
              <w:top w:val="nil"/>
              <w:left w:val="single" w:sz="8" w:space="0" w:color="auto"/>
              <w:bottom w:val="single" w:sz="8" w:space="0" w:color="auto"/>
              <w:right w:val="single" w:sz="8" w:space="0" w:color="auto"/>
            </w:tcBorders>
            <w:hideMark/>
          </w:tcPr>
          <w:p w14:paraId="69844275" w14:textId="77777777" w:rsidR="0098151E" w:rsidRPr="00A12E08" w:rsidRDefault="0098151E" w:rsidP="00A12E08">
            <w:pPr>
              <w:jc w:val="center"/>
              <w:rPr>
                <w:b/>
                <w:bCs/>
                <w:color w:val="000000"/>
              </w:rPr>
            </w:pPr>
            <w:r w:rsidRPr="00A12E08">
              <w:rPr>
                <w:b/>
                <w:bCs/>
                <w:color w:val="000000"/>
              </w:rPr>
              <w:t>Total</w:t>
            </w:r>
          </w:p>
        </w:tc>
        <w:tc>
          <w:tcPr>
            <w:tcW w:w="630" w:type="dxa"/>
            <w:tcBorders>
              <w:top w:val="nil"/>
              <w:left w:val="nil"/>
              <w:bottom w:val="single" w:sz="8" w:space="0" w:color="auto"/>
              <w:right w:val="single" w:sz="8" w:space="0" w:color="auto"/>
            </w:tcBorders>
            <w:hideMark/>
          </w:tcPr>
          <w:p w14:paraId="11F66B2F" w14:textId="77777777" w:rsidR="0098151E" w:rsidRPr="00A12E08" w:rsidRDefault="0098151E" w:rsidP="00A12E08">
            <w:pPr>
              <w:jc w:val="center"/>
              <w:rPr>
                <w:b/>
                <w:bCs/>
                <w:color w:val="000000"/>
              </w:rPr>
            </w:pPr>
            <w:r w:rsidRPr="00A12E08">
              <w:rPr>
                <w:b/>
                <w:bCs/>
                <w:color w:val="000000"/>
              </w:rPr>
              <w:t>33</w:t>
            </w:r>
          </w:p>
        </w:tc>
        <w:tc>
          <w:tcPr>
            <w:tcW w:w="961" w:type="dxa"/>
            <w:tcBorders>
              <w:top w:val="nil"/>
              <w:left w:val="nil"/>
              <w:bottom w:val="single" w:sz="8" w:space="0" w:color="auto"/>
              <w:right w:val="single" w:sz="8" w:space="0" w:color="auto"/>
            </w:tcBorders>
            <w:hideMark/>
          </w:tcPr>
          <w:p w14:paraId="357A9409" w14:textId="77777777" w:rsidR="0098151E" w:rsidRPr="00A12E08" w:rsidRDefault="0098151E" w:rsidP="00A12E08">
            <w:pPr>
              <w:jc w:val="center"/>
              <w:rPr>
                <w:b/>
                <w:bCs/>
                <w:color w:val="000000"/>
              </w:rPr>
            </w:pPr>
            <w:r w:rsidRPr="00A12E08">
              <w:rPr>
                <w:b/>
                <w:bCs/>
                <w:color w:val="000000"/>
              </w:rPr>
              <w:t>35</w:t>
            </w:r>
          </w:p>
        </w:tc>
        <w:tc>
          <w:tcPr>
            <w:tcW w:w="961" w:type="dxa"/>
            <w:tcBorders>
              <w:top w:val="nil"/>
              <w:left w:val="nil"/>
              <w:bottom w:val="single" w:sz="8" w:space="0" w:color="auto"/>
              <w:right w:val="single" w:sz="8" w:space="0" w:color="auto"/>
            </w:tcBorders>
            <w:hideMark/>
          </w:tcPr>
          <w:p w14:paraId="3A8DEC52" w14:textId="77777777" w:rsidR="0098151E" w:rsidRPr="00A12E08" w:rsidRDefault="0098151E" w:rsidP="00A12E08">
            <w:pPr>
              <w:jc w:val="center"/>
              <w:rPr>
                <w:b/>
                <w:bCs/>
                <w:color w:val="000000"/>
              </w:rPr>
            </w:pPr>
            <w:r w:rsidRPr="00A12E08">
              <w:rPr>
                <w:b/>
                <w:bCs/>
                <w:color w:val="000000"/>
              </w:rPr>
              <w:t>30</w:t>
            </w:r>
          </w:p>
        </w:tc>
        <w:tc>
          <w:tcPr>
            <w:tcW w:w="961" w:type="dxa"/>
            <w:tcBorders>
              <w:top w:val="nil"/>
              <w:left w:val="nil"/>
              <w:bottom w:val="single" w:sz="8" w:space="0" w:color="auto"/>
              <w:right w:val="single" w:sz="8" w:space="0" w:color="auto"/>
            </w:tcBorders>
            <w:hideMark/>
          </w:tcPr>
          <w:p w14:paraId="71AFD177" w14:textId="77777777" w:rsidR="0098151E" w:rsidRPr="00A12E08" w:rsidRDefault="0098151E" w:rsidP="00A12E08">
            <w:pPr>
              <w:jc w:val="center"/>
              <w:rPr>
                <w:b/>
                <w:bCs/>
                <w:color w:val="000000"/>
              </w:rPr>
            </w:pPr>
            <w:r w:rsidRPr="00A12E08">
              <w:rPr>
                <w:b/>
                <w:bCs/>
                <w:color w:val="000000"/>
              </w:rPr>
              <w:t>32</w:t>
            </w:r>
          </w:p>
        </w:tc>
        <w:tc>
          <w:tcPr>
            <w:tcW w:w="961" w:type="dxa"/>
            <w:tcBorders>
              <w:top w:val="nil"/>
              <w:left w:val="nil"/>
              <w:bottom w:val="single" w:sz="8" w:space="0" w:color="auto"/>
              <w:right w:val="single" w:sz="8" w:space="0" w:color="auto"/>
            </w:tcBorders>
            <w:hideMark/>
          </w:tcPr>
          <w:p w14:paraId="0103AD9B" w14:textId="77777777" w:rsidR="0098151E" w:rsidRPr="00A12E08" w:rsidRDefault="0098151E" w:rsidP="00A12E08">
            <w:pPr>
              <w:jc w:val="center"/>
              <w:rPr>
                <w:b/>
                <w:bCs/>
                <w:color w:val="000000"/>
              </w:rPr>
            </w:pPr>
            <w:r w:rsidRPr="00A12E08">
              <w:rPr>
                <w:b/>
                <w:bCs/>
                <w:color w:val="000000"/>
              </w:rPr>
              <w:t>130</w:t>
            </w:r>
          </w:p>
        </w:tc>
      </w:tr>
    </w:tbl>
    <w:p w14:paraId="63B10B4B" w14:textId="77777777" w:rsidR="0098151E" w:rsidRPr="00A12E08" w:rsidRDefault="0098151E" w:rsidP="00A12E08">
      <w:pPr>
        <w:tabs>
          <w:tab w:val="left" w:pos="-720"/>
        </w:tabs>
        <w:suppressAutoHyphens/>
      </w:pPr>
    </w:p>
    <w:p w14:paraId="1A0B1CCA" w14:textId="77777777" w:rsidR="0098151E" w:rsidRPr="00A12E08" w:rsidRDefault="0098151E" w:rsidP="00A12E08">
      <w:pPr>
        <w:tabs>
          <w:tab w:val="left" w:pos="-720"/>
        </w:tabs>
        <w:suppressAutoHyphens/>
      </w:pPr>
    </w:p>
    <w:p w14:paraId="375C321F" w14:textId="77777777" w:rsidR="0098151E" w:rsidRPr="00A12E08" w:rsidRDefault="0098151E" w:rsidP="00A12E08">
      <w:pPr>
        <w:tabs>
          <w:tab w:val="left" w:pos="-720"/>
        </w:tabs>
        <w:suppressAutoHyphens/>
      </w:pPr>
      <w:r w:rsidRPr="00A12E08">
        <w:t>a.  What is the observed % agreement? (Show your work) [1]</w:t>
      </w:r>
    </w:p>
    <w:p w14:paraId="66FBA6B3" w14:textId="77777777" w:rsidR="0098151E" w:rsidRPr="00A12E08" w:rsidRDefault="0098151E" w:rsidP="00A12E08">
      <w:pPr>
        <w:tabs>
          <w:tab w:val="left" w:pos="-720"/>
        </w:tabs>
        <w:suppressAutoHyphens/>
        <w:rPr>
          <w:b/>
          <w:i/>
        </w:rPr>
      </w:pPr>
      <w:bookmarkStart w:id="0" w:name="OLE_LINK2"/>
      <w:bookmarkStart w:id="1" w:name="OLE_LINK1"/>
    </w:p>
    <w:bookmarkEnd w:id="0"/>
    <w:bookmarkEnd w:id="1"/>
    <w:p w14:paraId="5F372041" w14:textId="77777777" w:rsidR="0098151E" w:rsidRPr="00A12E08" w:rsidRDefault="0098151E" w:rsidP="00A12E08">
      <w:pPr>
        <w:tabs>
          <w:tab w:val="left" w:pos="-720"/>
        </w:tabs>
        <w:suppressAutoHyphens/>
      </w:pPr>
    </w:p>
    <w:p w14:paraId="60DD47C9" w14:textId="77777777" w:rsidR="0098151E" w:rsidRPr="00A12E08" w:rsidRDefault="0098151E" w:rsidP="00A12E08">
      <w:pPr>
        <w:tabs>
          <w:tab w:val="left" w:pos="-720"/>
        </w:tabs>
        <w:suppressAutoHyphens/>
      </w:pPr>
      <w:r w:rsidRPr="00A12E08">
        <w:t>b.  What % agreement would be expected based on the marginals? (Show your work) [1]</w:t>
      </w:r>
    </w:p>
    <w:p w14:paraId="2417D29F" w14:textId="77777777" w:rsidR="0098151E" w:rsidRPr="00A12E08" w:rsidRDefault="0098151E" w:rsidP="00A12E08">
      <w:pPr>
        <w:tabs>
          <w:tab w:val="left" w:pos="-720"/>
        </w:tabs>
        <w:suppressAutoHyphens/>
        <w:rPr>
          <w:b/>
          <w:i/>
        </w:rPr>
      </w:pPr>
    </w:p>
    <w:p w14:paraId="40F7E71E" w14:textId="77777777" w:rsidR="0098151E" w:rsidRPr="00A12E08" w:rsidRDefault="0098151E" w:rsidP="00A12E08">
      <w:pPr>
        <w:tabs>
          <w:tab w:val="left" w:pos="-720"/>
        </w:tabs>
        <w:suppressAutoHyphens/>
      </w:pPr>
    </w:p>
    <w:p w14:paraId="016A3D13" w14:textId="77777777" w:rsidR="0098151E" w:rsidRPr="00A12E08" w:rsidRDefault="0098151E" w:rsidP="00A12E08">
      <w:pPr>
        <w:tabs>
          <w:tab w:val="left" w:pos="-720"/>
        </w:tabs>
        <w:suppressAutoHyphens/>
      </w:pPr>
      <w:r w:rsidRPr="00A12E08">
        <w:t>c. What is the unweighted Kappa? (Show your work) [1]</w:t>
      </w:r>
    </w:p>
    <w:p w14:paraId="63B5A6D7" w14:textId="77777777" w:rsidR="0098151E" w:rsidRPr="00A12E08" w:rsidRDefault="0098151E" w:rsidP="00A12E08">
      <w:pPr>
        <w:tabs>
          <w:tab w:val="left" w:pos="-720"/>
        </w:tabs>
        <w:suppressAutoHyphens/>
        <w:rPr>
          <w:b/>
          <w:i/>
        </w:rPr>
      </w:pPr>
    </w:p>
    <w:p w14:paraId="4ACE7500" w14:textId="77777777" w:rsidR="0098151E" w:rsidRPr="00A12E08" w:rsidRDefault="0098151E" w:rsidP="00A12E08"/>
    <w:p w14:paraId="6D6B5FB5" w14:textId="77777777" w:rsidR="0098151E" w:rsidRPr="00A12E08" w:rsidRDefault="0098151E" w:rsidP="00A12E08">
      <w:pPr>
        <w:rPr>
          <w:rFonts w:ascii="Consolas" w:hAnsi="Consolas"/>
        </w:rPr>
      </w:pPr>
      <w:r w:rsidRPr="00A12E08">
        <w:t xml:space="preserve">d.  Linear weighted Kappa would use the following weights.  </w:t>
      </w:r>
      <w:r w:rsidRPr="00A12E08">
        <w:br/>
      </w:r>
      <w:r w:rsidRPr="00A12E08">
        <w:rPr>
          <w:rFonts w:ascii="Consolas" w:hAnsi="Consolas"/>
        </w:rPr>
        <w:t>Ratings weighted by:</w:t>
      </w:r>
    </w:p>
    <w:p w14:paraId="4B43935F" w14:textId="77777777" w:rsidR="0098151E" w:rsidRPr="00A12E08" w:rsidRDefault="0098151E" w:rsidP="00A12E08">
      <w:pPr>
        <w:rPr>
          <w:rFonts w:ascii="Consolas" w:hAnsi="Consolas"/>
        </w:rPr>
      </w:pPr>
      <w:r w:rsidRPr="00A12E08">
        <w:rPr>
          <w:rFonts w:ascii="Consolas" w:hAnsi="Consolas"/>
        </w:rPr>
        <w:t xml:space="preserve">   1.0000   0.6667   0.3333   0.0000</w:t>
      </w:r>
    </w:p>
    <w:p w14:paraId="7A797DA6" w14:textId="77777777" w:rsidR="0098151E" w:rsidRPr="00A12E08" w:rsidRDefault="0098151E" w:rsidP="00A12E08">
      <w:pPr>
        <w:rPr>
          <w:rFonts w:ascii="Consolas" w:hAnsi="Consolas"/>
        </w:rPr>
      </w:pPr>
      <w:r w:rsidRPr="00A12E08">
        <w:rPr>
          <w:rFonts w:ascii="Consolas" w:hAnsi="Consolas"/>
        </w:rPr>
        <w:t xml:space="preserve">   0.6667   1.0000   0.6667   0.3333</w:t>
      </w:r>
    </w:p>
    <w:p w14:paraId="21D636DA" w14:textId="77777777" w:rsidR="0098151E" w:rsidRPr="00A12E08" w:rsidRDefault="0098151E" w:rsidP="00A12E08">
      <w:pPr>
        <w:rPr>
          <w:rFonts w:ascii="Consolas" w:hAnsi="Consolas"/>
        </w:rPr>
      </w:pPr>
      <w:r w:rsidRPr="00A12E08">
        <w:rPr>
          <w:rFonts w:ascii="Consolas" w:hAnsi="Consolas"/>
        </w:rPr>
        <w:t xml:space="preserve">   0.3333   0.6667   1.0000   0.6667</w:t>
      </w:r>
    </w:p>
    <w:p w14:paraId="32031240" w14:textId="77777777" w:rsidR="0098151E" w:rsidRPr="00A12E08" w:rsidRDefault="0098151E" w:rsidP="00A12E08">
      <w:pPr>
        <w:rPr>
          <w:rFonts w:ascii="Consolas" w:hAnsi="Consolas"/>
        </w:rPr>
      </w:pPr>
      <w:r w:rsidRPr="00A12E08">
        <w:rPr>
          <w:rFonts w:ascii="Consolas" w:hAnsi="Consolas"/>
        </w:rPr>
        <w:t xml:space="preserve">   0.0000   0.3333   0.6667   1.0000</w:t>
      </w:r>
    </w:p>
    <w:p w14:paraId="3E430C6F" w14:textId="77777777" w:rsidR="0098151E" w:rsidRPr="00A12E08" w:rsidRDefault="0098151E" w:rsidP="00A12E08">
      <w:pPr>
        <w:rPr>
          <w:b/>
          <w:i/>
        </w:rPr>
      </w:pPr>
      <w:r w:rsidRPr="00A12E08">
        <w:br/>
        <w:t>Would linear weighted Kappa be preferable to unweighted Kappa in this case?  Why or why not? [2]</w:t>
      </w:r>
    </w:p>
    <w:p w14:paraId="229A0175" w14:textId="0EF68297" w:rsidR="00841512" w:rsidRPr="00A12E08" w:rsidRDefault="00841512" w:rsidP="00A12E08">
      <w:pPr>
        <w:pStyle w:val="ListParagraph"/>
        <w:ind w:left="0"/>
        <w:rPr>
          <w:color w:val="FF0000"/>
        </w:rPr>
      </w:pPr>
    </w:p>
    <w:p w14:paraId="53EF2D25" w14:textId="2958E985" w:rsidR="004028DF" w:rsidRPr="00A12E08" w:rsidRDefault="004028DF" w:rsidP="00D559DA">
      <w:pPr>
        <w:pStyle w:val="ListParagraph"/>
        <w:rPr>
          <w:b/>
        </w:rPr>
      </w:pPr>
      <w:r w:rsidRPr="00A12E08">
        <w:rPr>
          <w:color w:val="FF0000"/>
        </w:rPr>
        <w:br/>
      </w:r>
    </w:p>
    <w:p w14:paraId="57FD84E9" w14:textId="165705D6" w:rsidR="00B659A3" w:rsidRPr="00A12E08" w:rsidRDefault="00FB3BAF" w:rsidP="00A12E08">
      <w:pPr>
        <w:rPr>
          <w:b/>
        </w:rPr>
      </w:pPr>
      <w:r w:rsidRPr="00A12E08">
        <w:rPr>
          <w:b/>
        </w:rPr>
        <w:t>5</w:t>
      </w:r>
      <w:r w:rsidR="00B659A3" w:rsidRPr="00A12E08">
        <w:rPr>
          <w:b/>
        </w:rPr>
        <w:t>.   Tailored vs Standard Chemotherapy for High-Risk Early Breast Cancer</w:t>
      </w:r>
    </w:p>
    <w:p w14:paraId="33E0C6F2" w14:textId="37E020BE" w:rsidR="00B659A3" w:rsidRPr="00A12E08" w:rsidRDefault="00B659A3" w:rsidP="00A12E08">
      <w:r w:rsidRPr="00A12E08">
        <w:t>Investigators from Sweden, Germany and Austria studied the effect of "tailored" chemotherapy in which higher doses are given to those who can tolerate them, compared with standard chemotherapy.</w:t>
      </w:r>
      <w:r w:rsidR="00295214" w:rsidRPr="00295214">
        <w:t xml:space="preserve"> </w:t>
      </w:r>
      <w:r w:rsidR="00AC328D">
        <w:fldChar w:fldCharType="begin">
          <w:fldData xml:space="preserve">PEVuZE5vdGU+PENpdGU+PEF1dGhvcj5Gb3VrYWtpczwvQXV0aG9yPjxZZWFyPjIwMTY8L1llYXI+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</w:fldData>
        </w:fldChar>
      </w:r>
      <w:r w:rsidR="00AC328D">
        <w:instrText xml:space="preserve"> ADDIN EN.CITE </w:instrText>
      </w:r>
      <w:r w:rsidR="00AC328D">
        <w:fldChar w:fldCharType="begin">
          <w:fldData xml:space="preserve">PEVuZE5vdGU+PENpdGU+PEF1dGhvcj5Gb3VrYWtpczwvQXV0aG9yPjxZZWFyPjIwMTY8L1llYXI+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</w:fldData>
        </w:fldChar>
      </w:r>
      <w:r w:rsidR="00AC328D">
        <w:instrText xml:space="preserve"> ADDIN EN.CITE.DATA </w:instrText>
      </w:r>
      <w:r w:rsidR="00AC328D">
        <w:fldChar w:fldCharType="end"/>
      </w:r>
      <w:r w:rsidR="00AC328D">
        <w:fldChar w:fldCharType="separate"/>
      </w:r>
      <w:r w:rsidR="00AC328D" w:rsidRPr="00AC328D">
        <w:rPr>
          <w:noProof/>
          <w:vertAlign w:val="superscript"/>
        </w:rPr>
        <w:t>3</w:t>
      </w:r>
      <w:r w:rsidR="00AC328D">
        <w:fldChar w:fldCharType="end"/>
      </w:r>
      <w:r w:rsidRPr="00A12E08">
        <w:t xml:space="preserve"> </w:t>
      </w:r>
      <w:r w:rsidR="00295214">
        <w:t xml:space="preserve"> </w:t>
      </w:r>
      <w:r w:rsidRPr="00A12E08">
        <w:t>As expected, there was greater toxicity in the tailored group.  The primary efficacy endpoint was breast cancer recurrence-free survival (BCRFS).  There were 3 secondary endpoints.</w:t>
      </w:r>
      <w:r w:rsidRPr="00A12E08">
        <w:br/>
      </w:r>
      <w:r w:rsidRPr="00A12E08">
        <w:br/>
        <w:t xml:space="preserve">Cumulative incidence curves for the efficacy endpoints are shown below. </w:t>
      </w:r>
    </w:p>
    <w:p w14:paraId="513D05C2" w14:textId="77777777" w:rsidR="00B659A3" w:rsidRPr="00A12E08" w:rsidRDefault="00B659A3" w:rsidP="00A12E08">
      <w:r w:rsidRPr="00A12E08">
        <w:rPr>
          <w:noProof/>
        </w:rPr>
        <w:drawing>
          <wp:inline distT="0" distB="0" distL="0" distR="0" wp14:anchorId="01655FDE" wp14:editId="291B7F9F">
            <wp:extent cx="6176010" cy="4889500"/>
            <wp:effectExtent l="0" t="0" r="0" b="12700"/>
            <wp:docPr id="3" name="Picture 13" descr="Descripti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6010" cy="4889500"/>
                    </a:xfrm>
                    <a:prstGeom prst="rect">
                      <a:avLst/>
                    </a:prstGeom>
                    <a:noFill/>
                    <a:ln>
                      <a:noFill/>
                    </a:ln>
                  </pic:spPr>
                </pic:pic>
              </a:graphicData>
            </a:graphic>
          </wp:inline>
        </w:drawing>
      </w:r>
      <w:r w:rsidRPr="00D559DA">
        <w:rPr>
          <w:rFonts w:ascii="Arial" w:hAnsi="Arial" w:cs="Arial"/>
          <w:sz w:val="20"/>
          <w:szCs w:val="20"/>
        </w:rPr>
        <w:t>Figure 2 Cumulative Incidence Curves of Efficacy End Points in the Intention-to-Treat Population. Cumulative incidence curves are shown for the end point for breast cancer recurrence–free survival (primary end point) (A), the end point for event-free survival (B), the end point for overall survival (C), and the end point for distant disease–free survival (D) after a median follow-up of 5.3 years (interquartile range, 4.5-6.1 years) in the tailored dose-dense group and the standard chemotherapy (control) group. HR indicates hazard ratio.</w:t>
      </w:r>
    </w:p>
    <w:p w14:paraId="2D12C722" w14:textId="469A8271" w:rsidR="00B659A3" w:rsidRPr="00A12E08" w:rsidRDefault="00B659A3" w:rsidP="00A12E08">
      <w:r w:rsidRPr="00A12E08">
        <w:br/>
      </w:r>
      <w:r w:rsidR="00024556" w:rsidRPr="00A12E08">
        <w:t>Answer the following True/False questions and provide an explanation for your answer.</w:t>
      </w:r>
      <w:r w:rsidR="00024556" w:rsidRPr="00A12E08">
        <w:br/>
      </w:r>
    </w:p>
    <w:p w14:paraId="308B09C9" w14:textId="77777777" w:rsidR="00024556" w:rsidRDefault="00B659A3" w:rsidP="00A12E08">
      <w:pPr>
        <w:numPr>
          <w:ilvl w:val="0"/>
          <w:numId w:val="23"/>
        </w:numPr>
      </w:pPr>
      <w:r w:rsidRPr="00A12E08">
        <w:t>Although the P-value of 0.06 for (primary outcome) BCRFS was considered not statistically significant, there still is a (1− 0.06 =) 94% chance that the probability of BCRFS is lower with standard than with tailored chemotherapy. [2]</w:t>
      </w:r>
      <w:r w:rsidRPr="00A12E08">
        <w:br/>
      </w:r>
    </w:p>
    <w:p w14:paraId="446E2D28" w14:textId="61032A9A" w:rsidR="00B659A3" w:rsidRPr="00A12E08" w:rsidRDefault="00B659A3" w:rsidP="00024556">
      <w:pPr>
        <w:ind w:left="360"/>
      </w:pPr>
      <w:r w:rsidRPr="00A12E08">
        <w:br/>
      </w:r>
    </w:p>
    <w:p w14:paraId="51C72E26" w14:textId="22106D2D" w:rsidR="00B659A3" w:rsidRPr="00A12E08" w:rsidRDefault="00B659A3" w:rsidP="00A12E08">
      <w:pPr>
        <w:numPr>
          <w:ilvl w:val="0"/>
          <w:numId w:val="23"/>
        </w:numPr>
      </w:pPr>
      <w:r w:rsidRPr="00A12E08">
        <w:t xml:space="preserve">Although 4 different outcomes were examined, the alpha value for rejection of the null hypothesis </w:t>
      </w:r>
      <w:r w:rsidR="00E57EA5">
        <w:t xml:space="preserve">for the primary outcome </w:t>
      </w:r>
      <w:r w:rsidRPr="00A12E08">
        <w:t>need not be adjusted. [2]</w:t>
      </w:r>
      <w:r w:rsidRPr="00A12E08">
        <w:br/>
      </w:r>
      <w:r w:rsidR="00024556">
        <w:br/>
      </w:r>
      <w:r w:rsidRPr="00A12E08">
        <w:br/>
      </w:r>
    </w:p>
    <w:p w14:paraId="614240BE" w14:textId="77777777" w:rsidR="00B659A3" w:rsidRPr="00A12E08" w:rsidRDefault="00B659A3" w:rsidP="00A12E08">
      <w:pPr>
        <w:widowControl w:val="0"/>
        <w:numPr>
          <w:ilvl w:val="0"/>
          <w:numId w:val="23"/>
        </w:numPr>
        <w:autoSpaceDE w:val="0"/>
        <w:autoSpaceDN w:val="0"/>
        <w:adjustRightInd w:val="0"/>
        <w:rPr>
          <w:rFonts w:ascii="Times" w:eastAsiaTheme="minorEastAsia" w:hAnsi="Times" w:cs="Times"/>
          <w:lang w:eastAsia="ja-JP"/>
        </w:rPr>
      </w:pPr>
      <w:r w:rsidRPr="00A12E08">
        <w:t>The abstract states: "The groups did not differ in overall survival (HR, 0.77; 95% CI, 0.57-1.05; P=.09…)"   This means that tailored chemotherapy did not increase survival in this study.  [2]</w:t>
      </w:r>
      <w:r w:rsidRPr="00A12E08">
        <w:br/>
      </w:r>
      <w:r w:rsidRPr="00A12E08">
        <w:br/>
      </w:r>
      <w:r w:rsidRPr="00A12E08">
        <w:br/>
      </w:r>
    </w:p>
    <w:p w14:paraId="45BAAA2A" w14:textId="77777777" w:rsidR="00B659A3" w:rsidRPr="00A12E08" w:rsidRDefault="00B659A3" w:rsidP="00A12E08">
      <w:pPr>
        <w:widowControl w:val="0"/>
        <w:numPr>
          <w:ilvl w:val="0"/>
          <w:numId w:val="23"/>
        </w:numPr>
        <w:autoSpaceDE w:val="0"/>
        <w:autoSpaceDN w:val="0"/>
        <w:adjustRightInd w:val="0"/>
        <w:rPr>
          <w:rFonts w:ascii="Times" w:eastAsiaTheme="minorEastAsia" w:hAnsi="Times" w:cs="Times"/>
          <w:lang w:eastAsia="ja-JP"/>
        </w:rPr>
      </w:pPr>
      <w:r w:rsidRPr="00A12E08">
        <w:t>A correct interpretation of this 95% confidence interval for this null result is that if we were to repeat this study 100 times, we would expect 95% of the studies to have a 95% CI that includes the null value (i.e., overlaps 1), as this one does. [2]</w:t>
      </w:r>
      <w:r w:rsidRPr="00A12E08">
        <w:rPr>
          <w:rFonts w:ascii="Times" w:eastAsiaTheme="minorEastAsia" w:hAnsi="Times" w:cs="Times"/>
          <w:lang w:eastAsia="ja-JP"/>
        </w:rPr>
        <w:br/>
      </w:r>
    </w:p>
    <w:p w14:paraId="251EF1BD" w14:textId="4048CCC9" w:rsidR="00B659A3" w:rsidRPr="00A12E08" w:rsidRDefault="00024556" w:rsidP="00A12E08">
      <w:pPr>
        <w:widowControl w:val="0"/>
        <w:autoSpaceDE w:val="0"/>
        <w:autoSpaceDN w:val="0"/>
        <w:adjustRightInd w:val="0"/>
        <w:rPr>
          <w:rFonts w:ascii="Times" w:eastAsiaTheme="minorEastAsia" w:hAnsi="Times" w:cs="Times"/>
          <w:lang w:eastAsia="ja-JP"/>
        </w:rPr>
      </w:pPr>
      <w:r>
        <w:br/>
      </w:r>
      <w:r>
        <w:br/>
      </w:r>
      <w:r w:rsidR="00B659A3" w:rsidRPr="00A12E08">
        <w:t>Careful examination of the primary and secondary outcomes of this study reveals that many of the same events are included in more than one outcome.  In fact, breast cancer deaths are counted in all four outcomes.  (This is a fact, not a question.)</w:t>
      </w:r>
    </w:p>
    <w:p w14:paraId="2F2CA964" w14:textId="43E51D7A" w:rsidR="00B659A3" w:rsidRPr="00A12E08" w:rsidRDefault="00B659A3" w:rsidP="00A12E08">
      <w:r w:rsidRPr="00A12E08">
        <w:t xml:space="preserve">       </w:t>
      </w:r>
      <w:r w:rsidR="00024556">
        <w:br/>
      </w:r>
      <w:r w:rsidRPr="00A12E08">
        <w:t>E</w:t>
      </w:r>
      <w:r w:rsidRPr="00A12E08">
        <w:tab/>
        <w:t>Because of the above fact, it would be less important to do some kind of adjustment for multiple comparisons than if all outcomes were independent. [2]</w:t>
      </w:r>
    </w:p>
    <w:p w14:paraId="5F6B30FA" w14:textId="77777777" w:rsidR="00B659A3" w:rsidRPr="00A12E08" w:rsidRDefault="00B659A3" w:rsidP="00A12E08">
      <w:pPr>
        <w:ind w:firstLine="720"/>
      </w:pPr>
      <w:r w:rsidRPr="00A12E08">
        <w:t xml:space="preserve">               </w:t>
      </w:r>
    </w:p>
    <w:p w14:paraId="2E42C3E2" w14:textId="77777777" w:rsidR="00B659A3" w:rsidRPr="00A12E08" w:rsidRDefault="00B659A3" w:rsidP="00A12E08"/>
    <w:p w14:paraId="7F37BCAB" w14:textId="77777777" w:rsidR="00A33B31" w:rsidRPr="00A12E08" w:rsidRDefault="00A33B31" w:rsidP="00A12E08"/>
    <w:p w14:paraId="4DAF3368" w14:textId="134B810A" w:rsidR="00A33B31" w:rsidRPr="00A12E08" w:rsidRDefault="00A33B31" w:rsidP="00A12E08">
      <w:pPr>
        <w:rPr>
          <w:b/>
        </w:rPr>
      </w:pPr>
      <w:r w:rsidRPr="00A12E08">
        <w:t xml:space="preserve">6.  </w:t>
      </w:r>
      <w:r w:rsidRPr="00A12E08">
        <w:rPr>
          <w:b/>
        </w:rPr>
        <w:t>Long-acting injectable (LAI), aripiprazole lauroxil for acute schizophrenia in adults (with thanks to Kat Dang)</w:t>
      </w:r>
    </w:p>
    <w:p w14:paraId="55540979" w14:textId="7C29BEA6" w:rsidR="00A33B31" w:rsidRPr="00A12E08" w:rsidRDefault="00A33B31" w:rsidP="00A12E08">
      <w:r w:rsidRPr="00A12E08">
        <w:t>Approximately 80% of patients with schizophrenia relapse within 5 years despite the availability of effective oral medications. Relapse of patients is often associated with poor adherence and worsening of long-term functional and mental outcomes. Meltzer et al.</w:t>
      </w:r>
      <w:r w:rsidRPr="00A12E08">
        <w:fldChar w:fldCharType="begin">
          <w:fldData xml:space="preserve">PEVuZE5vdGU+PENpdGU+PEF1dGhvcj5NZWx0emVyPC9BdXRob3I+PFllYXI+MjAxNTwvWWVhcj48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</w:fldData>
        </w:fldChar>
      </w:r>
      <w:r w:rsidR="00AC328D">
        <w:instrText xml:space="preserve"> ADDIN EN.CITE </w:instrText>
      </w:r>
      <w:r w:rsidR="00AC328D">
        <w:fldChar w:fldCharType="begin">
          <w:fldData xml:space="preserve">PEVuZE5vdGU+PENpdGU+PEF1dGhvcj5NZWx0emVyPC9BdXRob3I+PFllYXI+MjAxNTwvWWVhcj48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</w:fldData>
        </w:fldChar>
      </w:r>
      <w:r w:rsidR="00AC328D">
        <w:instrText xml:space="preserve"> ADDIN EN.CITE.DATA </w:instrText>
      </w:r>
      <w:r w:rsidR="00AC328D">
        <w:fldChar w:fldCharType="end"/>
      </w:r>
      <w:r w:rsidRPr="00A12E08">
        <w:fldChar w:fldCharType="separate"/>
      </w:r>
      <w:r w:rsidR="00AC328D" w:rsidRPr="00AC328D">
        <w:rPr>
          <w:noProof/>
          <w:vertAlign w:val="superscript"/>
        </w:rPr>
        <w:t>4</w:t>
      </w:r>
      <w:r w:rsidRPr="00A12E08">
        <w:fldChar w:fldCharType="end"/>
      </w:r>
      <w:r w:rsidRPr="00A12E08">
        <w:t xml:space="preserve"> reported a randomized double-blind trial to determine the efficacy of the long-acting injectable (LAI), aripiprazole lauroxil, on acute exacerbation of schizophrenia in adults ages 18-70.  Alkermes, Inc sponsored the trial and all patients were seen at Alkermes, Inc research sites in 7 countries.  Patients were randomized to receive either 441 mg of aripoprazole lauroxil , 882 mg  of aripoprazole lauroxil or matching placebo via intramuscular injection once a month for 12 weeks. </w:t>
      </w:r>
      <w:r w:rsidR="00A12E08">
        <w:br/>
      </w:r>
    </w:p>
    <w:p w14:paraId="13FC4EE3" w14:textId="0154F5FF" w:rsidR="00A33B31" w:rsidRPr="00A12E08" w:rsidRDefault="00A33B31" w:rsidP="00A12E08">
      <w:pPr>
        <w:pStyle w:val="ListParagraph"/>
        <w:numPr>
          <w:ilvl w:val="1"/>
          <w:numId w:val="24"/>
        </w:numPr>
        <w:rPr>
          <w:rFonts w:ascii="Times" w:hAnsi="Times"/>
        </w:rPr>
      </w:pPr>
      <w:r w:rsidRPr="00A12E08">
        <w:rPr>
          <w:rFonts w:ascii="Times" w:hAnsi="Times"/>
        </w:rPr>
        <w:t xml:space="preserve">Out of the 622 subjects who enrolled and received baseline measurements, only 360 subjects completed the study.  Drop out rates were 77/207 (37.2%), 73/208 (35.1%) and 112/207 (54%) subjects from the 441 mg, 882 mg and placebo groups, respectively. </w:t>
      </w:r>
      <w:r w:rsidR="00D666B5">
        <w:rPr>
          <w:rFonts w:ascii="Times" w:hAnsi="Times"/>
        </w:rPr>
        <w:t xml:space="preserve">What </w:t>
      </w:r>
      <w:r w:rsidR="00D666B5" w:rsidRPr="001517D6">
        <w:t xml:space="preserve">approach can you take to estimate the maximum potential effect that loss to follow-up can have on </w:t>
      </w:r>
      <w:r w:rsidR="00D666B5">
        <w:t>a</w:t>
      </w:r>
      <w:r w:rsidR="00D666B5" w:rsidRPr="001517D6">
        <w:t xml:space="preserve"> study</w:t>
      </w:r>
      <w:r w:rsidR="00D666B5">
        <w:t>?</w:t>
      </w:r>
      <w:r w:rsidR="00D666B5" w:rsidRPr="00A12E08">
        <w:rPr>
          <w:rFonts w:ascii="Times" w:hAnsi="Times"/>
        </w:rPr>
        <w:t xml:space="preserve"> </w:t>
      </w:r>
      <w:r w:rsidRPr="00A12E08">
        <w:rPr>
          <w:rFonts w:ascii="Times" w:hAnsi="Times"/>
        </w:rPr>
        <w:t>Explain. [2]</w:t>
      </w:r>
      <w:r w:rsidRPr="00A12E08">
        <w:rPr>
          <w:rFonts w:ascii="Times" w:hAnsi="Times"/>
        </w:rPr>
        <w:br/>
      </w:r>
      <w:r w:rsidRPr="00A12E08">
        <w:rPr>
          <w:rFonts w:ascii="Times" w:hAnsi="Times"/>
        </w:rPr>
        <w:br/>
      </w:r>
      <w:r w:rsidRPr="00A12E08">
        <w:rPr>
          <w:rFonts w:ascii="Times" w:hAnsi="Times"/>
        </w:rPr>
        <w:br/>
      </w:r>
      <w:r w:rsidRPr="00A12E08">
        <w:rPr>
          <w:rFonts w:ascii="Times" w:hAnsi="Times"/>
        </w:rPr>
        <w:br/>
      </w:r>
    </w:p>
    <w:p w14:paraId="516B0B78" w14:textId="5089A93C" w:rsidR="00A33B31" w:rsidRPr="00A12E08" w:rsidRDefault="00A33B31" w:rsidP="00A12E08">
      <w:pPr>
        <w:pStyle w:val="ListParagraph"/>
        <w:numPr>
          <w:ilvl w:val="1"/>
          <w:numId w:val="24"/>
        </w:numPr>
        <w:rPr>
          <w:rFonts w:ascii="Times" w:hAnsi="Times"/>
        </w:rPr>
      </w:pPr>
      <w:r w:rsidRPr="00A12E08">
        <w:rPr>
          <w:rFonts w:ascii="Times" w:hAnsi="Times"/>
        </w:rPr>
        <w:t xml:space="preserve">Serious adverse events were reported in 11 patients, but in only 1 patient was the event considered by the investigators to be related to study drug.  In analyzing adverse events, should the investigators include </w:t>
      </w:r>
      <w:r w:rsidR="000D6AE3">
        <w:rPr>
          <w:rFonts w:ascii="Times" w:hAnsi="Times"/>
        </w:rPr>
        <w:t xml:space="preserve">only </w:t>
      </w:r>
      <w:r w:rsidRPr="00A12E08">
        <w:rPr>
          <w:rFonts w:ascii="Times" w:hAnsi="Times"/>
        </w:rPr>
        <w:t xml:space="preserve">events that they believe were related to study drug? </w:t>
      </w:r>
      <w:r w:rsidR="0048109D">
        <w:rPr>
          <w:rFonts w:ascii="Times" w:hAnsi="Times"/>
        </w:rPr>
        <w:t xml:space="preserve"> Why or why not?</w:t>
      </w:r>
      <w:r w:rsidRPr="00A12E08">
        <w:rPr>
          <w:rFonts w:ascii="Times" w:hAnsi="Times"/>
        </w:rPr>
        <w:t xml:space="preserve"> [2]</w:t>
      </w:r>
      <w:r w:rsidRPr="00A12E08">
        <w:rPr>
          <w:rFonts w:ascii="Times" w:hAnsi="Times"/>
        </w:rPr>
        <w:br/>
      </w:r>
      <w:r w:rsidRPr="00A12E08">
        <w:rPr>
          <w:rFonts w:ascii="Times" w:hAnsi="Times"/>
        </w:rPr>
        <w:br/>
      </w:r>
      <w:r w:rsidRPr="00A12E08">
        <w:rPr>
          <w:rFonts w:ascii="Times" w:hAnsi="Times"/>
        </w:rPr>
        <w:br/>
      </w:r>
      <w:r w:rsidRPr="00A12E08">
        <w:rPr>
          <w:rFonts w:ascii="Times" w:hAnsi="Times"/>
        </w:rPr>
        <w:br/>
      </w:r>
    </w:p>
    <w:p w14:paraId="12A3CC7E" w14:textId="18CE7B62" w:rsidR="00A33B31" w:rsidRPr="00A12E08" w:rsidRDefault="00A33B31" w:rsidP="00A12E08">
      <w:pPr>
        <w:pStyle w:val="ListParagraph"/>
        <w:numPr>
          <w:ilvl w:val="1"/>
          <w:numId w:val="24"/>
        </w:numPr>
        <w:rPr>
          <w:rFonts w:ascii="Times" w:hAnsi="Times"/>
        </w:rPr>
      </w:pPr>
      <w:r w:rsidRPr="00A12E08">
        <w:rPr>
          <w:rFonts w:ascii="Times" w:hAnsi="Times"/>
        </w:rPr>
        <w:t xml:space="preserve">Figure 3 of the paper shows the proportions of subjects reporting "improved or very much improved" in the 3 groups.  Subjects with missing values (because they dropped out) were assumed ("imputed") to have no improvement.    Although the raw numbers are not given, from measuring the heights of the bars at day 85, it looks like about 82/196  (42%) of subjects on aripiprazole 441 mg and 40/196 (20%) of subjects on placebo had the outcome of "Very Much or Much Improved" on the Clinical Global Impressions Improvement Scale.   </w:t>
      </w:r>
      <w:r w:rsidR="009D414E">
        <w:rPr>
          <w:rFonts w:ascii="Times" w:hAnsi="Times"/>
        </w:rPr>
        <w:t>Creat</w:t>
      </w:r>
      <w:r w:rsidRPr="00A12E08">
        <w:rPr>
          <w:rFonts w:ascii="Times" w:hAnsi="Times"/>
        </w:rPr>
        <w:t>e</w:t>
      </w:r>
      <w:r w:rsidR="000A3EB7">
        <w:rPr>
          <w:rFonts w:ascii="Times" w:hAnsi="Times"/>
        </w:rPr>
        <w:t xml:space="preserve"> a</w:t>
      </w:r>
      <w:r w:rsidRPr="00A12E08">
        <w:rPr>
          <w:rFonts w:ascii="Times" w:hAnsi="Times"/>
        </w:rPr>
        <w:t xml:space="preserve"> 2 x 2 table with the results </w:t>
      </w:r>
      <w:r w:rsidR="000A3EB7">
        <w:rPr>
          <w:rFonts w:ascii="Times" w:hAnsi="Times"/>
        </w:rPr>
        <w:t>above using</w:t>
      </w:r>
      <w:r w:rsidRPr="00A12E08">
        <w:rPr>
          <w:rFonts w:ascii="Times" w:hAnsi="Times"/>
        </w:rPr>
        <w:t xml:space="preserve"> the conventions preferred for this class (outcome is something bad, drug is in numerator) </w:t>
      </w:r>
      <w:r w:rsidR="000A3EB7">
        <w:rPr>
          <w:rFonts w:ascii="Times" w:hAnsi="Times"/>
        </w:rPr>
        <w:t xml:space="preserve">and </w:t>
      </w:r>
      <w:r w:rsidRPr="00A12E08">
        <w:rPr>
          <w:rFonts w:ascii="Times" w:hAnsi="Times"/>
        </w:rPr>
        <w:t xml:space="preserve">calculate the RR, RRR, ARR.  </w:t>
      </w:r>
      <w:r w:rsidR="009D414E">
        <w:rPr>
          <w:rFonts w:ascii="Times" w:hAnsi="Times"/>
        </w:rPr>
        <w:t>[5</w:t>
      </w:r>
      <w:r w:rsidRPr="00A12E08">
        <w:rPr>
          <w:rFonts w:ascii="Times" w:hAnsi="Times"/>
        </w:rPr>
        <w:t>]</w:t>
      </w:r>
      <w:r w:rsidR="009D414E">
        <w:rPr>
          <w:rFonts w:ascii="Times" w:hAnsi="Times"/>
        </w:rPr>
        <w:br/>
      </w:r>
      <w:r w:rsidR="009D414E">
        <w:rPr>
          <w:rFonts w:ascii="Times" w:hAnsi="Times"/>
        </w:rPr>
        <w:br/>
      </w:r>
      <w:r w:rsidR="002572C8">
        <w:rPr>
          <w:rFonts w:ascii="Times" w:hAnsi="Times"/>
        </w:rPr>
        <w:br/>
      </w:r>
      <w:r w:rsidR="002572C8">
        <w:rPr>
          <w:rFonts w:ascii="Times" w:hAnsi="Times"/>
        </w:rPr>
        <w:br/>
      </w:r>
      <w:r w:rsidR="002572C8">
        <w:rPr>
          <w:rFonts w:ascii="Times" w:hAnsi="Times"/>
        </w:rPr>
        <w:br/>
      </w:r>
      <w:r w:rsidR="009D414E">
        <w:rPr>
          <w:rFonts w:ascii="Times" w:hAnsi="Times"/>
        </w:rPr>
        <w:br/>
      </w:r>
      <w:r w:rsidRPr="00A12E08">
        <w:rPr>
          <w:rFonts w:ascii="Times" w:hAnsi="Times"/>
        </w:rPr>
        <w:br/>
      </w:r>
    </w:p>
    <w:p w14:paraId="6F2BE2E8" w14:textId="49A9A22C" w:rsidR="00A33B31" w:rsidRPr="00A12E08" w:rsidRDefault="00A33B31" w:rsidP="00A12E08"/>
    <w:p w14:paraId="01ACD173" w14:textId="2F5FA6CA" w:rsidR="00A33B31" w:rsidRPr="00A12E08" w:rsidRDefault="00A33B31" w:rsidP="00A12E08">
      <w:r w:rsidRPr="00A12E08">
        <w:rPr>
          <w:b/>
        </w:rPr>
        <w:tab/>
      </w:r>
      <w:r w:rsidRPr="00A12E08">
        <w:t>d.  Calculate the NNT and use that number in a sentence that explains what it means, including all relevant information for understanding that NNT.  [2]</w:t>
      </w:r>
      <w:r w:rsidRPr="00A12E08">
        <w:br/>
      </w:r>
      <w:r w:rsidRPr="00A12E08">
        <w:br/>
      </w:r>
      <w:r w:rsidR="00A12E08">
        <w:br/>
      </w:r>
      <w:r w:rsidRPr="00A12E08">
        <w:br/>
      </w:r>
      <w:r w:rsidRPr="00A12E08">
        <w:tab/>
        <w:t xml:space="preserve">e.  </w:t>
      </w:r>
      <w:r w:rsidR="00831313" w:rsidRPr="00A12E08">
        <w:t xml:space="preserve">Use Stata (or the software package of your choice) to </w:t>
      </w:r>
      <w:r w:rsidR="00831313">
        <w:t xml:space="preserve">help you </w:t>
      </w:r>
      <w:r w:rsidR="00831313" w:rsidRPr="00A12E08">
        <w:t xml:space="preserve">calculate 95% CI for the NNT. </w:t>
      </w:r>
      <w:r w:rsidR="00831313">
        <w:t xml:space="preserve">Show your work.  </w:t>
      </w:r>
      <w:r w:rsidR="00831313" w:rsidRPr="00A12E08">
        <w:t>[2]</w:t>
      </w:r>
      <w:r w:rsidRPr="00A12E08">
        <w:br/>
      </w:r>
      <w:r w:rsidR="00A12E08">
        <w:br/>
      </w:r>
      <w:r w:rsidRPr="00A12E08">
        <w:br/>
      </w:r>
      <w:r w:rsidRPr="00A12E08">
        <w:br/>
      </w:r>
      <w:r w:rsidRPr="00A12E08">
        <w:tab/>
        <w:t>f.    With a coupon from GoodRx.com, a monthly injection of 441 mg aripiprazole lauroxil costs about $1120 at CVS/Target (11/13/16). What is the approximate medication cost to get one patient much improved or very much</w:t>
      </w:r>
      <w:r w:rsidR="00514295">
        <w:t xml:space="preserve"> improved</w:t>
      </w:r>
      <w:r w:rsidRPr="00A12E08">
        <w:t xml:space="preserve"> after 3 months of treatment (assumi</w:t>
      </w:r>
      <w:r w:rsidR="000E3ECB">
        <w:t>ng full adherence, i.e., 3 shots</w:t>
      </w:r>
      <w:r w:rsidRPr="00A12E08">
        <w:t>), compared with placebo?  [2]</w:t>
      </w:r>
      <w:r w:rsidRPr="00A12E08">
        <w:br/>
      </w:r>
      <w:r w:rsidRPr="00A12E08">
        <w:br/>
      </w:r>
      <w:r w:rsidRPr="00A12E08">
        <w:br/>
      </w:r>
    </w:p>
    <w:p w14:paraId="5DEBE34B" w14:textId="21BBA699" w:rsidR="00A33B31" w:rsidRDefault="00A33B31" w:rsidP="00395EC2">
      <w:pPr>
        <w:rPr>
          <w:rFonts w:cs="Times"/>
        </w:rPr>
      </w:pPr>
      <w:r w:rsidRPr="00A12E08">
        <w:t>g.  The calculation in part F was based on a comparison with placebo.  But there are inexpensive drugs known to be effective for acute schizophrenia.  How would the calculation in part F change if the comparison group had been an active drug with similar efficacy?</w:t>
      </w:r>
      <w:r w:rsidR="00D61D4D">
        <w:t xml:space="preserve">  </w:t>
      </w:r>
      <w:r w:rsidR="00D61D4D">
        <w:rPr>
          <w:rFonts w:cs="Times"/>
        </w:rPr>
        <w:t>Explain briefly.</w:t>
      </w:r>
      <w:r w:rsidRPr="00A12E08">
        <w:t xml:space="preserve">  [2]</w:t>
      </w:r>
      <w:r w:rsidRPr="00A12E08">
        <w:br/>
      </w:r>
      <w:r w:rsidRPr="00A12E08">
        <w:br/>
      </w:r>
      <w:r w:rsidRPr="00A12E08">
        <w:br/>
      </w:r>
      <w:r w:rsidRPr="00A12E08">
        <w:br/>
      </w:r>
      <w:r w:rsidRPr="00A12E08">
        <w:br/>
        <w:t xml:space="preserve"> h.  </w:t>
      </w:r>
      <w:r w:rsidR="000E3ECB">
        <w:t xml:space="preserve">The </w:t>
      </w:r>
      <w:r w:rsidRPr="00A12E08">
        <w:t>US</w:t>
      </w:r>
      <w:r w:rsidR="000E3ECB">
        <w:t xml:space="preserve"> has a low and declining </w:t>
      </w:r>
      <w:r w:rsidRPr="00A12E08">
        <w:t>number of inpatient psychiatric beds</w:t>
      </w:r>
      <w:r w:rsidR="008F77E6">
        <w:t>,</w:t>
      </w:r>
      <w:r w:rsidRPr="00A12E08">
        <w:fldChar w:fldCharType="begin"/>
      </w:r>
      <w:r w:rsidR="00AC328D">
        <w:instrText xml:space="preserve"> ADDIN EN.CITE &lt;EndNote&gt;&lt;Cite&gt;&lt;Author&gt;Bastiampillai&lt;/Author&gt;&lt;Year&gt;2016&lt;/Year&gt;&lt;RecNum&gt;3991&lt;/RecNum&gt;&lt;DisplayText&gt;&lt;style face="superscript"&gt;5&lt;/style&gt;&lt;/DisplayText&gt;&lt;record&gt;&lt;rec-number&gt;3991&lt;/rec-number&gt;&lt;foreign-keys&gt;&lt;key app="EN" db-id="s5wrswzpewzvvze9sxpxree4s0x5vdrwfapp" timestamp="1479097351"&gt;3991&lt;/key&gt;&lt;/foreign-keys&gt;&lt;ref-type name="Journal Article"&gt;17&lt;/ref-type&gt;&lt;contributors&gt;&lt;authors&gt;&lt;author&gt;Bastiampillai, T.&lt;/author&gt;&lt;author&gt;Sharfstein, S. S.&lt;/author&gt;&lt;author&gt;Allison, S.&lt;/author&gt;&lt;/authors&gt;&lt;/contributors&gt;&lt;auth-address&gt;Mind and Brain, South Australian Health and Medical Research Institute, Adelaide, Australia2Discipline of Psychiatry, School of Medicine, Flinders University, Adelaide, Australia.&amp;#xD;Shepherd Pratt Health System, Baltimore, Maryland.&amp;#xD;Discipline of Psychiatry, School of Medicine, Flinders University, Adelaide, Australia.&lt;/auth-address&gt;&lt;titles&gt;&lt;title&gt;Increase in US Suicide Rates and the Critical Decline in Psychiatric Beds&lt;/title&gt;&lt;secondary-title&gt;JAMA&lt;/secondary-title&gt;&lt;/titles&gt;&lt;periodical&gt;&lt;full-title&gt;JAMA&lt;/full-title&gt;&lt;/periodical&gt;&lt;dates&gt;&lt;year&gt;2016&lt;/year&gt;&lt;pub-dates&gt;&lt;date&gt;Nov 3&lt;/date&gt;&lt;/pub-dates&gt;&lt;/dates&gt;&lt;isbn&gt;1538-3598 (Electronic)&amp;#xD;0098-7484 (Linking)&lt;/isbn&gt;&lt;accession-num&gt;27812693&lt;/accession-num&gt;&lt;urls&gt;&lt;related-urls&gt;&lt;url&gt;https://www.ncbi.nlm.nih.gov/pubmed/27812693&lt;/url&gt;&lt;/related-urls&gt;&lt;/urls&gt;&lt;electronic-resource-num&gt;10.1001/jama.2016.16989&lt;/electronic-resource-num&gt;&lt;/record&gt;&lt;/Cite&gt;&lt;/EndNote&gt;</w:instrText>
      </w:r>
      <w:r w:rsidRPr="00A12E08">
        <w:fldChar w:fldCharType="separate"/>
      </w:r>
      <w:r w:rsidR="00AC328D" w:rsidRPr="00AC328D">
        <w:rPr>
          <w:noProof/>
          <w:vertAlign w:val="superscript"/>
        </w:rPr>
        <w:t>5</w:t>
      </w:r>
      <w:r w:rsidRPr="00A12E08">
        <w:fldChar w:fldCharType="end"/>
      </w:r>
      <w:r w:rsidRPr="00A12E08">
        <w:t xml:space="preserve"> </w:t>
      </w:r>
      <w:r w:rsidR="008F77E6">
        <w:t xml:space="preserve">and </w:t>
      </w:r>
      <w:r w:rsidR="002D25DB">
        <w:t xml:space="preserve">according to our </w:t>
      </w:r>
      <w:r w:rsidR="009F609C">
        <w:t>local</w:t>
      </w:r>
      <w:r w:rsidR="002D25DB">
        <w:t xml:space="preserve"> expert (Raj) </w:t>
      </w:r>
      <w:r w:rsidR="008F77E6">
        <w:t xml:space="preserve">patients with acute schizophrenia are commonly discharged after only 3 days in the hospital.  </w:t>
      </w:r>
      <w:r w:rsidRPr="00A12E08">
        <w:t xml:space="preserve">However, in this study, </w:t>
      </w:r>
      <w:r w:rsidR="00B2567E">
        <w:t>patients were hospitalized at least 2 weeks, and not discharged until "</w:t>
      </w:r>
      <w:r w:rsidRPr="00A12E08">
        <w:rPr>
          <w:rFonts w:cs="Times"/>
        </w:rPr>
        <w:t>the study investigator determined that they were clinically stable."  Furthermore, "In addition to intramuscular study drug, patients received oral study drug daily administered in a double-blind fashion for the first 3 weeks after randomization to achieve early therapeutic exposure to aripiprazole from the combined release of aripiprazole lauroxil and oral aripip</w:t>
      </w:r>
      <w:r w:rsidR="005370EA">
        <w:rPr>
          <w:rFonts w:cs="Times"/>
        </w:rPr>
        <w:t xml:space="preserve">razole..." </w:t>
      </w:r>
      <w:r w:rsidR="005370EA">
        <w:rPr>
          <w:rFonts w:cs="Times"/>
        </w:rPr>
        <w:br/>
      </w:r>
      <w:r w:rsidR="005370EA">
        <w:rPr>
          <w:rFonts w:cs="Times"/>
        </w:rPr>
        <w:br/>
        <w:t>How would these differences between the treatment of patients in the study and the way they would be likely to be treated in the "re</w:t>
      </w:r>
      <w:r w:rsidR="00B101E7">
        <w:rPr>
          <w:rFonts w:cs="Times"/>
        </w:rPr>
        <w:t xml:space="preserve">al world" affect the estimated NNT? </w:t>
      </w:r>
      <w:r w:rsidR="00D61D4D">
        <w:rPr>
          <w:rFonts w:cs="Times"/>
        </w:rPr>
        <w:t xml:space="preserve"> Explain briefly.</w:t>
      </w:r>
      <w:r w:rsidRPr="00A12E08">
        <w:rPr>
          <w:rFonts w:cs="Times"/>
        </w:rPr>
        <w:t xml:space="preserve">  [</w:t>
      </w:r>
      <w:r w:rsidR="00E42FE8">
        <w:rPr>
          <w:rFonts w:cs="Times"/>
        </w:rPr>
        <w:t>2</w:t>
      </w:r>
      <w:r w:rsidRPr="00A12E08">
        <w:rPr>
          <w:rFonts w:cs="Times"/>
        </w:rPr>
        <w:t>]</w:t>
      </w:r>
    </w:p>
    <w:p w14:paraId="2FD76F03" w14:textId="77777777" w:rsidR="001D6977" w:rsidRDefault="001D6977" w:rsidP="00A12E08">
      <w:pPr>
        <w:ind w:left="720"/>
        <w:rPr>
          <w:rFonts w:cs="Times"/>
        </w:rPr>
      </w:pPr>
    </w:p>
    <w:p w14:paraId="76CA9FA0" w14:textId="77777777" w:rsidR="001D6977" w:rsidRDefault="001D6977" w:rsidP="00A12E08">
      <w:pPr>
        <w:ind w:left="720"/>
        <w:rPr>
          <w:rFonts w:cs="Times"/>
        </w:rPr>
      </w:pPr>
    </w:p>
    <w:p w14:paraId="57ECBE9C" w14:textId="77777777" w:rsidR="00395EC2" w:rsidRDefault="00395EC2" w:rsidP="00A12E08">
      <w:pPr>
        <w:ind w:left="720"/>
        <w:rPr>
          <w:rFonts w:cs="Times"/>
        </w:rPr>
      </w:pPr>
    </w:p>
    <w:p w14:paraId="565ABFA6" w14:textId="40EDD48A" w:rsidR="001D6977" w:rsidRDefault="00395EC2" w:rsidP="00A12E08">
      <w:pPr>
        <w:ind w:left="720"/>
        <w:rPr>
          <w:rFonts w:cs="Times"/>
        </w:rPr>
      </w:pPr>
      <w:r>
        <w:rPr>
          <w:rFonts w:cs="Times"/>
        </w:rPr>
        <w:br/>
      </w:r>
      <w:r>
        <w:rPr>
          <w:rFonts w:cs="Times"/>
        </w:rPr>
        <w:br/>
      </w:r>
    </w:p>
    <w:p w14:paraId="72772D53" w14:textId="77777777" w:rsidR="001D6977" w:rsidRDefault="001D6977" w:rsidP="00A12E08">
      <w:pPr>
        <w:ind w:left="720"/>
        <w:rPr>
          <w:rFonts w:cs="Times"/>
        </w:rPr>
      </w:pPr>
    </w:p>
    <w:p w14:paraId="6112CA2D" w14:textId="77777777" w:rsidR="001D6977" w:rsidRDefault="001D6977" w:rsidP="00A12E08">
      <w:pPr>
        <w:ind w:left="720"/>
        <w:rPr>
          <w:rFonts w:cs="Times"/>
        </w:rPr>
      </w:pPr>
    </w:p>
    <w:p w14:paraId="7159A7EC" w14:textId="31A57DD2" w:rsidR="008B3452" w:rsidRPr="00870D2F" w:rsidRDefault="001D6977" w:rsidP="008B3452">
      <w:pPr>
        <w:rPr>
          <w:b/>
        </w:rPr>
      </w:pPr>
      <w:r>
        <w:rPr>
          <w:rFonts w:cs="Times"/>
        </w:rPr>
        <w:t xml:space="preserve">7. </w:t>
      </w:r>
      <w:r w:rsidR="008B3452" w:rsidRPr="00870D2F">
        <w:rPr>
          <w:b/>
        </w:rPr>
        <w:t xml:space="preserve">New "HS index" for hereditary spherocytosis.  </w:t>
      </w:r>
      <w:r w:rsidR="008B3452" w:rsidRPr="00033D91">
        <w:t xml:space="preserve">(Thanks to Nicole Weiss, Shab Peyvandi and  Katie Wysham ) </w:t>
      </w:r>
    </w:p>
    <w:p w14:paraId="178C062B" w14:textId="28A96A70" w:rsidR="008B3452" w:rsidRPr="00870D2F" w:rsidRDefault="008B3452" w:rsidP="008B3452">
      <w:pPr>
        <w:rPr>
          <w:b/>
        </w:rPr>
      </w:pPr>
      <w:r w:rsidRPr="00870D2F">
        <w:t xml:space="preserve">Hereditary spherocytosis (HS) is a cause of hemolytic anemia (low blood count due to destruction of red cells), occurring in approximately 1 in 2,000 people.  It is caused by defective red blood cell membranes that result in fragile red blood cells. These fragile red blood cells break down easily, causing anemia and sometimes jaundice. HS can be diagnosed by several different tests. Once diagnosed, treatments may include folic acid, blood transfusions, and splenectomy. </w:t>
      </w:r>
      <w:r w:rsidRPr="00870D2F">
        <w:br/>
      </w:r>
      <w:r w:rsidRPr="00870D2F">
        <w:br/>
        <w:t>Christensen et al.</w:t>
      </w:r>
      <w:r w:rsidR="00395EC2">
        <w:fldChar w:fldCharType="begin"/>
      </w:r>
      <w:r w:rsidR="00AC328D">
        <w:instrText xml:space="preserve"> ADDIN EN.CITE &lt;EndNote&gt;&lt;Cite&gt;&lt;Author&gt;Christensen&lt;/Author&gt;&lt;Year&gt;2013&lt;/Year&gt;&lt;RecNum&gt;3990&lt;/RecNum&gt;&lt;DisplayText&gt;&lt;style face="superscript"&gt;6&lt;/style&gt;&lt;/DisplayText&gt;&lt;record&gt;&lt;rec-number&gt;3990&lt;/rec-number&gt;&lt;foreign-keys&gt;&lt;key app="EN" db-id="s5wrswzpewzvvze9sxpxree4s0x5vdrwfapp" timestamp="1478904682"&gt;3990&lt;/key&gt;&lt;key app="ENWeb" db-id=""&gt;0&lt;/key&gt;&lt;/foreign-keys&gt;&lt;ref-type name="Journal Article"&gt;17&lt;/ref-type&gt;&lt;contributors&gt;&lt;authors&gt;&lt;author&gt;Christensen, Robert D&lt;/author&gt;&lt;author&gt;Hassan, Y&lt;/author&gt;&lt;author&gt;Henry, E&lt;/author&gt;&lt;author&gt;Baer, V&lt;/author&gt;&lt;author&gt;Bennet, Sterling&lt;/author&gt;&lt;/authors&gt;&lt;/contributors&gt;&lt;titles&gt;&lt;title&gt;A simple method for screening newborn infants for  hereditary spherocytosis&lt;/title&gt;&lt;secondary-title&gt;J Applied Hematol&lt;/secondary-title&gt;&lt;/titles&gt;&lt;periodical&gt;&lt;full-title&gt;J Applied Hematol&lt;/full-title&gt;&lt;/periodical&gt;&lt;volume&gt;27-32&lt;/volume&gt;&lt;dates&gt;&lt;year&gt;2013&lt;/year&gt;&lt;/dates&gt;&lt;urls&gt;&lt;/urls&gt;&lt;/record&gt;&lt;/Cite&gt;&lt;/EndNote&gt;</w:instrText>
      </w:r>
      <w:r w:rsidR="00395EC2">
        <w:fldChar w:fldCharType="separate"/>
      </w:r>
      <w:r w:rsidR="00AC328D" w:rsidRPr="00AC328D">
        <w:rPr>
          <w:noProof/>
          <w:vertAlign w:val="superscript"/>
        </w:rPr>
        <w:t>6</w:t>
      </w:r>
      <w:r w:rsidR="00395EC2">
        <w:fldChar w:fldCharType="end"/>
      </w:r>
      <w:r w:rsidRPr="00870D2F">
        <w:t xml:space="preserve"> recently published a study of infants up to 3 months old who had complete blood counts (CBCs) for various reasons, evaluating the accuracy of a new "HS index" as a screening tool for HS. The HS index is the ratio of the hemoglobin concentration in the cells to the volume of the red blood cells, i.e., the mean corpuscular hemoglobin concentration (MCHC) divided by the mean corpuscular volume (MC</w:t>
      </w:r>
      <w:r w:rsidR="006A0E0C">
        <w:t xml:space="preserve">V).  Both the MCHC and MCV are </w:t>
      </w:r>
      <w:r w:rsidRPr="00870D2F">
        <w:t>obtained from a CBC. The authors reported that an HS index</w:t>
      </w:r>
      <w:r w:rsidRPr="00870D2F">
        <w:rPr>
          <w:b/>
        </w:rPr>
        <w:t xml:space="preserve"> </w:t>
      </w:r>
      <w:r w:rsidRPr="00870D2F">
        <w:t>≥0.36 had 97% sensitivity and 99% specificity for hereditary spherocytosis, as well as an NPV of &gt;99% and a PPV of 7%.</w:t>
      </w:r>
      <w:r w:rsidRPr="00870D2F">
        <w:rPr>
          <w:b/>
        </w:rPr>
        <w:t xml:space="preserve"> </w:t>
      </w:r>
    </w:p>
    <w:p w14:paraId="71D555CB" w14:textId="77777777" w:rsidR="008B3452" w:rsidRPr="00870D2F" w:rsidRDefault="008B3452" w:rsidP="008B3452">
      <w:pPr>
        <w:rPr>
          <w:b/>
        </w:rPr>
      </w:pPr>
    </w:p>
    <w:p w14:paraId="2049331A" w14:textId="77777777" w:rsidR="008B3452" w:rsidRPr="00870D2F" w:rsidRDefault="008B3452" w:rsidP="008B3452">
      <w:r w:rsidRPr="00870D2F">
        <w:t>Results from the study are displayed below. (</w:t>
      </w:r>
      <w:r w:rsidRPr="00870D2F">
        <w:rPr>
          <w:i/>
        </w:rPr>
        <w:t>Note: data were extrapolated from study text and numbers of patients were doubled to facilitate rounding in subsequent questions</w:t>
      </w:r>
      <w:r w:rsidRPr="00870D2F">
        <w:t>)</w:t>
      </w:r>
    </w:p>
    <w:tbl>
      <w:tblPr>
        <w:tblStyle w:val="TableGrid"/>
        <w:tblW w:w="0" w:type="auto"/>
        <w:tblInd w:w="108" w:type="dxa"/>
        <w:tblLook w:val="04A0" w:firstRow="1" w:lastRow="0" w:firstColumn="1" w:lastColumn="0" w:noHBand="0" w:noVBand="1"/>
      </w:tblPr>
      <w:tblGrid>
        <w:gridCol w:w="2036"/>
        <w:gridCol w:w="2056"/>
        <w:gridCol w:w="2056"/>
        <w:gridCol w:w="930"/>
        <w:gridCol w:w="1458"/>
      </w:tblGrid>
      <w:tr w:rsidR="008B3452" w:rsidRPr="00682CDE" w14:paraId="31958C94" w14:textId="77777777" w:rsidTr="008B3452">
        <w:trPr>
          <w:trHeight w:val="276"/>
        </w:trPr>
        <w:tc>
          <w:tcPr>
            <w:tcW w:w="2036" w:type="dxa"/>
            <w:tcBorders>
              <w:top w:val="nil"/>
              <w:left w:val="nil"/>
            </w:tcBorders>
          </w:tcPr>
          <w:p w14:paraId="333A24B8" w14:textId="77777777" w:rsidR="008B3452" w:rsidRPr="00870D2F" w:rsidRDefault="008B3452" w:rsidP="008B3452">
            <w:pPr>
              <w:jc w:val="center"/>
            </w:pPr>
          </w:p>
        </w:tc>
        <w:tc>
          <w:tcPr>
            <w:tcW w:w="2056" w:type="dxa"/>
            <w:tcBorders>
              <w:top w:val="nil"/>
            </w:tcBorders>
          </w:tcPr>
          <w:p w14:paraId="589F6A21" w14:textId="77777777" w:rsidR="008B3452" w:rsidRPr="00870D2F" w:rsidRDefault="008B3452" w:rsidP="008B3452">
            <w:pPr>
              <w:jc w:val="center"/>
            </w:pPr>
            <w:r w:rsidRPr="00870D2F">
              <w:t>HS +</w:t>
            </w:r>
          </w:p>
        </w:tc>
        <w:tc>
          <w:tcPr>
            <w:tcW w:w="2056" w:type="dxa"/>
            <w:tcBorders>
              <w:top w:val="nil"/>
            </w:tcBorders>
          </w:tcPr>
          <w:p w14:paraId="76B7522C" w14:textId="77777777" w:rsidR="008B3452" w:rsidRPr="00870D2F" w:rsidRDefault="008B3452" w:rsidP="008B3452">
            <w:pPr>
              <w:jc w:val="center"/>
            </w:pPr>
            <w:r w:rsidRPr="00870D2F">
              <w:t>HS –</w:t>
            </w:r>
          </w:p>
        </w:tc>
        <w:tc>
          <w:tcPr>
            <w:tcW w:w="872" w:type="dxa"/>
            <w:tcBorders>
              <w:top w:val="nil"/>
              <w:right w:val="nil"/>
            </w:tcBorders>
            <w:vAlign w:val="center"/>
          </w:tcPr>
          <w:p w14:paraId="71D8482F" w14:textId="77777777" w:rsidR="008B3452" w:rsidRPr="00870D2F" w:rsidRDefault="008B3452" w:rsidP="008B3452">
            <w:pPr>
              <w:jc w:val="center"/>
            </w:pPr>
          </w:p>
        </w:tc>
        <w:tc>
          <w:tcPr>
            <w:tcW w:w="1458" w:type="dxa"/>
            <w:tcBorders>
              <w:top w:val="nil"/>
              <w:left w:val="nil"/>
              <w:right w:val="nil"/>
            </w:tcBorders>
          </w:tcPr>
          <w:p w14:paraId="115629FD" w14:textId="77777777" w:rsidR="008B3452" w:rsidRPr="00870D2F" w:rsidRDefault="008B3452" w:rsidP="008B3452">
            <w:pPr>
              <w:jc w:val="center"/>
            </w:pPr>
          </w:p>
        </w:tc>
      </w:tr>
      <w:tr w:rsidR="008B3452" w:rsidRPr="00682CDE" w14:paraId="01D528CB" w14:textId="77777777" w:rsidTr="008B3452">
        <w:trPr>
          <w:trHeight w:val="413"/>
        </w:trPr>
        <w:tc>
          <w:tcPr>
            <w:tcW w:w="2036" w:type="dxa"/>
            <w:tcBorders>
              <w:left w:val="nil"/>
            </w:tcBorders>
            <w:vAlign w:val="center"/>
          </w:tcPr>
          <w:p w14:paraId="513ED00C" w14:textId="77777777" w:rsidR="008B3452" w:rsidRPr="00870D2F" w:rsidRDefault="008B3452" w:rsidP="008B3452">
            <w:pPr>
              <w:ind w:left="-18"/>
              <w:jc w:val="center"/>
            </w:pPr>
            <w:r w:rsidRPr="00870D2F">
              <w:t>HS index ≥0.36</w:t>
            </w:r>
          </w:p>
        </w:tc>
        <w:tc>
          <w:tcPr>
            <w:tcW w:w="2056" w:type="dxa"/>
            <w:vAlign w:val="center"/>
          </w:tcPr>
          <w:p w14:paraId="71C044BB" w14:textId="77777777" w:rsidR="008B3452" w:rsidRPr="00870D2F" w:rsidRDefault="008B3452" w:rsidP="008B3452">
            <w:pPr>
              <w:jc w:val="center"/>
            </w:pPr>
            <w:r w:rsidRPr="00870D2F">
              <w:t>64</w:t>
            </w:r>
          </w:p>
        </w:tc>
        <w:tc>
          <w:tcPr>
            <w:tcW w:w="2056" w:type="dxa"/>
            <w:vAlign w:val="center"/>
          </w:tcPr>
          <w:p w14:paraId="7819BB1B" w14:textId="77777777" w:rsidR="008B3452" w:rsidRPr="00870D2F" w:rsidRDefault="008B3452" w:rsidP="008B3452">
            <w:pPr>
              <w:jc w:val="center"/>
            </w:pPr>
            <w:r w:rsidRPr="00870D2F">
              <w:t>818</w:t>
            </w:r>
          </w:p>
        </w:tc>
        <w:tc>
          <w:tcPr>
            <w:tcW w:w="872" w:type="dxa"/>
            <w:tcBorders>
              <w:right w:val="nil"/>
            </w:tcBorders>
            <w:vAlign w:val="center"/>
          </w:tcPr>
          <w:p w14:paraId="0E2C00B5" w14:textId="77777777" w:rsidR="008B3452" w:rsidRPr="00870D2F" w:rsidRDefault="008B3452" w:rsidP="008B3452">
            <w:pPr>
              <w:jc w:val="center"/>
            </w:pPr>
            <w:r w:rsidRPr="00870D2F">
              <w:t>882</w:t>
            </w:r>
          </w:p>
        </w:tc>
        <w:tc>
          <w:tcPr>
            <w:tcW w:w="1458" w:type="dxa"/>
            <w:tcBorders>
              <w:left w:val="nil"/>
              <w:right w:val="nil"/>
            </w:tcBorders>
            <w:vAlign w:val="center"/>
          </w:tcPr>
          <w:p w14:paraId="4923EA02" w14:textId="77777777" w:rsidR="008B3452" w:rsidRPr="00870D2F" w:rsidRDefault="008B3452" w:rsidP="008B3452">
            <w:pPr>
              <w:jc w:val="center"/>
              <w:rPr>
                <w:color w:val="0000FF"/>
              </w:rPr>
            </w:pPr>
          </w:p>
        </w:tc>
      </w:tr>
      <w:tr w:rsidR="008B3452" w:rsidRPr="00682CDE" w14:paraId="0FB13D1F" w14:textId="77777777" w:rsidTr="008B3452">
        <w:trPr>
          <w:trHeight w:val="341"/>
        </w:trPr>
        <w:tc>
          <w:tcPr>
            <w:tcW w:w="2036" w:type="dxa"/>
            <w:tcBorders>
              <w:left w:val="nil"/>
              <w:bottom w:val="single" w:sz="4" w:space="0" w:color="auto"/>
            </w:tcBorders>
            <w:vAlign w:val="center"/>
          </w:tcPr>
          <w:p w14:paraId="698AB3F5" w14:textId="77777777" w:rsidR="008B3452" w:rsidRPr="00870D2F" w:rsidRDefault="008B3452" w:rsidP="008B3452">
            <w:pPr>
              <w:jc w:val="center"/>
            </w:pPr>
            <w:r w:rsidRPr="00870D2F">
              <w:t>HS index &lt;0.36</w:t>
            </w:r>
          </w:p>
        </w:tc>
        <w:tc>
          <w:tcPr>
            <w:tcW w:w="2056" w:type="dxa"/>
            <w:tcBorders>
              <w:bottom w:val="single" w:sz="4" w:space="0" w:color="auto"/>
            </w:tcBorders>
            <w:vAlign w:val="center"/>
          </w:tcPr>
          <w:p w14:paraId="0926B166" w14:textId="77777777" w:rsidR="008B3452" w:rsidRPr="00870D2F" w:rsidRDefault="008B3452" w:rsidP="008B3452">
            <w:pPr>
              <w:jc w:val="center"/>
            </w:pPr>
            <w:r w:rsidRPr="00870D2F">
              <w:t>2</w:t>
            </w:r>
          </w:p>
        </w:tc>
        <w:tc>
          <w:tcPr>
            <w:tcW w:w="2056" w:type="dxa"/>
            <w:tcBorders>
              <w:bottom w:val="single" w:sz="4" w:space="0" w:color="auto"/>
            </w:tcBorders>
            <w:vAlign w:val="center"/>
          </w:tcPr>
          <w:p w14:paraId="2C70560C" w14:textId="77777777" w:rsidR="008B3452" w:rsidRPr="00870D2F" w:rsidRDefault="008B3452" w:rsidP="008B3452">
            <w:pPr>
              <w:jc w:val="center"/>
            </w:pPr>
            <w:r w:rsidRPr="00870D2F">
              <w:t>81,074</w:t>
            </w:r>
          </w:p>
        </w:tc>
        <w:tc>
          <w:tcPr>
            <w:tcW w:w="872" w:type="dxa"/>
            <w:tcBorders>
              <w:bottom w:val="single" w:sz="4" w:space="0" w:color="auto"/>
              <w:right w:val="nil"/>
            </w:tcBorders>
            <w:vAlign w:val="center"/>
          </w:tcPr>
          <w:p w14:paraId="6CA1C27A" w14:textId="77777777" w:rsidR="008B3452" w:rsidRPr="00870D2F" w:rsidRDefault="008B3452" w:rsidP="008B3452">
            <w:pPr>
              <w:jc w:val="center"/>
            </w:pPr>
            <w:r w:rsidRPr="00870D2F">
              <w:t>81,076</w:t>
            </w:r>
          </w:p>
        </w:tc>
        <w:tc>
          <w:tcPr>
            <w:tcW w:w="1458" w:type="dxa"/>
            <w:tcBorders>
              <w:left w:val="nil"/>
              <w:bottom w:val="single" w:sz="4" w:space="0" w:color="auto"/>
              <w:right w:val="nil"/>
            </w:tcBorders>
            <w:vAlign w:val="center"/>
          </w:tcPr>
          <w:p w14:paraId="14AEC466" w14:textId="77777777" w:rsidR="008B3452" w:rsidRPr="00870D2F" w:rsidRDefault="008B3452" w:rsidP="008B3452">
            <w:pPr>
              <w:jc w:val="center"/>
              <w:rPr>
                <w:color w:val="0000FF"/>
              </w:rPr>
            </w:pPr>
          </w:p>
        </w:tc>
      </w:tr>
      <w:tr w:rsidR="008B3452" w:rsidRPr="001C1B38" w14:paraId="07D55F7B" w14:textId="77777777" w:rsidTr="008B3452">
        <w:trPr>
          <w:trHeight w:val="276"/>
        </w:trPr>
        <w:tc>
          <w:tcPr>
            <w:tcW w:w="2036" w:type="dxa"/>
            <w:tcBorders>
              <w:left w:val="nil"/>
              <w:bottom w:val="nil"/>
            </w:tcBorders>
            <w:vAlign w:val="center"/>
          </w:tcPr>
          <w:p w14:paraId="1D828D5B" w14:textId="77777777" w:rsidR="008B3452" w:rsidRPr="001C1B38" w:rsidRDefault="008B3452" w:rsidP="008B3452">
            <w:pPr>
              <w:jc w:val="center"/>
            </w:pPr>
          </w:p>
        </w:tc>
        <w:tc>
          <w:tcPr>
            <w:tcW w:w="2056" w:type="dxa"/>
            <w:tcBorders>
              <w:bottom w:val="nil"/>
            </w:tcBorders>
            <w:vAlign w:val="center"/>
          </w:tcPr>
          <w:p w14:paraId="34758D4A" w14:textId="77777777" w:rsidR="008B3452" w:rsidRPr="001C1B38" w:rsidRDefault="008B3452" w:rsidP="008B3452">
            <w:pPr>
              <w:jc w:val="center"/>
            </w:pPr>
            <w:r w:rsidRPr="001C1B38">
              <w:t>66</w:t>
            </w:r>
          </w:p>
        </w:tc>
        <w:tc>
          <w:tcPr>
            <w:tcW w:w="2056" w:type="dxa"/>
            <w:tcBorders>
              <w:bottom w:val="nil"/>
            </w:tcBorders>
            <w:vAlign w:val="center"/>
          </w:tcPr>
          <w:p w14:paraId="1CBA1053" w14:textId="77777777" w:rsidR="008B3452" w:rsidRPr="001C1B38" w:rsidRDefault="008B3452" w:rsidP="008B3452">
            <w:pPr>
              <w:jc w:val="center"/>
            </w:pPr>
            <w:r w:rsidRPr="001C1B38">
              <w:t>81,892</w:t>
            </w:r>
          </w:p>
        </w:tc>
        <w:tc>
          <w:tcPr>
            <w:tcW w:w="872" w:type="dxa"/>
            <w:tcBorders>
              <w:bottom w:val="nil"/>
              <w:right w:val="nil"/>
            </w:tcBorders>
            <w:vAlign w:val="center"/>
          </w:tcPr>
          <w:p w14:paraId="2910FBB9" w14:textId="77777777" w:rsidR="008B3452" w:rsidRPr="001C1B38" w:rsidRDefault="008B3452" w:rsidP="008B3452">
            <w:pPr>
              <w:jc w:val="center"/>
            </w:pPr>
            <w:r w:rsidRPr="001C1B38">
              <w:t>81,958</w:t>
            </w:r>
          </w:p>
        </w:tc>
        <w:tc>
          <w:tcPr>
            <w:tcW w:w="1458" w:type="dxa"/>
            <w:tcBorders>
              <w:left w:val="nil"/>
              <w:bottom w:val="nil"/>
              <w:right w:val="nil"/>
            </w:tcBorders>
            <w:vAlign w:val="center"/>
          </w:tcPr>
          <w:p w14:paraId="0B95AB32" w14:textId="77777777" w:rsidR="008B3452" w:rsidRPr="001C1B38" w:rsidRDefault="008B3452" w:rsidP="008B3452">
            <w:pPr>
              <w:jc w:val="center"/>
            </w:pPr>
          </w:p>
        </w:tc>
      </w:tr>
    </w:tbl>
    <w:p w14:paraId="1FBC9BA5" w14:textId="77777777" w:rsidR="008B3452" w:rsidRPr="001C1B38" w:rsidRDefault="008B3452" w:rsidP="008B3452"/>
    <w:p w14:paraId="21ABD7FE" w14:textId="77777777" w:rsidR="008B3452" w:rsidRPr="001C1B38" w:rsidRDefault="008B3452" w:rsidP="008B3452">
      <w:pPr>
        <w:pStyle w:val="ListParagraph"/>
        <w:numPr>
          <w:ilvl w:val="0"/>
          <w:numId w:val="25"/>
        </w:numPr>
        <w:ind w:left="360"/>
      </w:pPr>
      <w:r w:rsidRPr="001C1B38">
        <w:t>Why is the negative predictive value of "&gt;99%" provided by the authors unhelpful? [2]</w:t>
      </w:r>
    </w:p>
    <w:p w14:paraId="5889F6F3" w14:textId="77777777" w:rsidR="008B3452" w:rsidRPr="001C1B38" w:rsidRDefault="008B3452" w:rsidP="008B3452">
      <w:pPr>
        <w:pStyle w:val="ListParagraph"/>
        <w:ind w:left="360"/>
      </w:pPr>
      <w:r w:rsidRPr="001C1B38">
        <w:br/>
      </w:r>
      <w:r w:rsidRPr="001C1B38">
        <w:br/>
      </w:r>
      <w:r w:rsidRPr="001C1B38">
        <w:br/>
      </w:r>
    </w:p>
    <w:p w14:paraId="3FD3B3A6" w14:textId="2AC9573D" w:rsidR="008B3452" w:rsidRPr="001C1B38" w:rsidRDefault="008B3452" w:rsidP="008B3452">
      <w:pPr>
        <w:pStyle w:val="ListParagraph"/>
        <w:numPr>
          <w:ilvl w:val="0"/>
          <w:numId w:val="25"/>
        </w:numPr>
        <w:ind w:left="360"/>
      </w:pPr>
      <w:r w:rsidRPr="001C1B38">
        <w:t xml:space="preserve"> Osmotic fragility is one test used to confirm the diagnosis of hereditary spherocytosis. Assume that missing a diagnosis of HS by not performing the osmotic fragility test is </w:t>
      </w:r>
      <w:r w:rsidR="00EA095D">
        <w:t>9</w:t>
      </w:r>
      <w:r w:rsidRPr="001C1B38">
        <w:t xml:space="preserve"> times as bad as unnecessarily performing osmotic fragility testing. Also assume that the CBC is costless because it is usually obtained for other reasons, such as evaluation for infection or in the setting of significant jaundice. At what probability threshold would we perform osmotic testing?  [2]</w:t>
      </w:r>
      <w:r w:rsidRPr="001C1B38">
        <w:br/>
      </w:r>
      <w:r w:rsidRPr="001C1B38">
        <w:br/>
      </w:r>
      <w:r w:rsidR="00EA095D">
        <w:br/>
      </w:r>
    </w:p>
    <w:p w14:paraId="379FCC4F" w14:textId="77777777" w:rsidR="008B3452" w:rsidRPr="001C1B38" w:rsidRDefault="008B3452" w:rsidP="008B3452"/>
    <w:p w14:paraId="086DC6D9" w14:textId="0F3BDDD7" w:rsidR="008B3452" w:rsidRPr="001C1B38" w:rsidRDefault="008B3452" w:rsidP="008B3452">
      <w:pPr>
        <w:pStyle w:val="ListParagraph"/>
        <w:numPr>
          <w:ilvl w:val="0"/>
          <w:numId w:val="26"/>
        </w:numPr>
      </w:pPr>
      <w:r w:rsidRPr="001C1B38">
        <w:t xml:space="preserve">At what range of prior probabilities of hereditary spherocytosis would the HS index be helpful in deciding whether to pursue further testing? </w:t>
      </w:r>
      <w:r w:rsidR="00646C14">
        <w:t xml:space="preserve">Provide the numbers and a sentence explaining what they mean.  </w:t>
      </w:r>
      <w:r w:rsidRPr="001C1B38">
        <w:t>[3]</w:t>
      </w:r>
      <m:oMath>
        <m:r>
          <m:rPr>
            <m:sty m:val="p"/>
          </m:rPr>
          <w:rPr>
            <w:rFonts w:ascii="Cambria Math" w:hAnsi="Cambria Math"/>
          </w:rPr>
          <m:t xml:space="preserve"> </m:t>
        </m:r>
      </m:oMath>
    </w:p>
    <w:p w14:paraId="5B343AF5" w14:textId="31D8FA48" w:rsidR="008B3452" w:rsidRPr="00870D2F" w:rsidRDefault="008B3452" w:rsidP="00245B19">
      <w:pPr>
        <w:ind w:left="360"/>
        <w:rPr>
          <w:color w:val="0000FF"/>
        </w:rPr>
      </w:pPr>
      <w:r w:rsidRPr="001C1B38">
        <w:br/>
      </w:r>
      <w:r>
        <w:rPr>
          <w:color w:val="0000FF"/>
        </w:rPr>
        <w:br/>
      </w:r>
      <w:r>
        <w:rPr>
          <w:color w:val="0000FF"/>
        </w:rPr>
        <w:br/>
      </w:r>
      <w:r>
        <w:rPr>
          <w:color w:val="0000FF"/>
        </w:rPr>
        <w:br/>
      </w:r>
    </w:p>
    <w:p w14:paraId="7DC6C12F" w14:textId="4A6FBA0E" w:rsidR="008B3452" w:rsidRDefault="008B3452" w:rsidP="007275AA">
      <w:pPr>
        <w:pStyle w:val="ListParagraph"/>
        <w:numPr>
          <w:ilvl w:val="0"/>
          <w:numId w:val="26"/>
        </w:numPr>
      </w:pPr>
      <w:r w:rsidRPr="00870D2F">
        <w:t>Jaundice in the newborn period increases the likelihood of hereditary spherocytosis. As such, the authors would like to combine the presence of significant jaundice with their HS index to determine if this will help with the decision to pursue osmotic fragility testing in a newborn. First, they need to know whether the presence of significant jaundice (which they define as jaundice severe enough to need phototherapy) and the HS index are independent tests. They divide their cohort into two groups, based on presence of significant jaundice:</w:t>
      </w:r>
    </w:p>
    <w:p w14:paraId="45529319" w14:textId="77777777" w:rsidR="00415BED" w:rsidRDefault="00415BED" w:rsidP="00415BED"/>
    <w:tbl>
      <w:tblPr>
        <w:tblW w:w="9040" w:type="dxa"/>
        <w:tblInd w:w="93" w:type="dxa"/>
        <w:tblLook w:val="04A0" w:firstRow="1" w:lastRow="0" w:firstColumn="1" w:lastColumn="0" w:noHBand="0" w:noVBand="1"/>
      </w:tblPr>
      <w:tblGrid>
        <w:gridCol w:w="1300"/>
        <w:gridCol w:w="1120"/>
        <w:gridCol w:w="1540"/>
        <w:gridCol w:w="880"/>
        <w:gridCol w:w="1300"/>
        <w:gridCol w:w="1300"/>
        <w:gridCol w:w="1600"/>
      </w:tblGrid>
      <w:tr w:rsidR="00D679BF" w:rsidRPr="00D679BF" w14:paraId="1ECF5561" w14:textId="77777777" w:rsidTr="00D679BF">
        <w:trPr>
          <w:trHeight w:val="240"/>
        </w:trPr>
        <w:tc>
          <w:tcPr>
            <w:tcW w:w="396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C176669" w14:textId="77777777" w:rsidR="00D679BF" w:rsidRPr="00D679BF" w:rsidRDefault="00D679BF" w:rsidP="00D679BF">
            <w:pPr>
              <w:jc w:val="center"/>
              <w:rPr>
                <w:rFonts w:ascii="Arial" w:eastAsia="Times New Roman" w:hAnsi="Arial" w:cs="Arial"/>
                <w:sz w:val="20"/>
                <w:szCs w:val="20"/>
              </w:rPr>
            </w:pPr>
            <w:r w:rsidRPr="00D679BF">
              <w:rPr>
                <w:rFonts w:ascii="Arial" w:eastAsia="Times New Roman" w:hAnsi="Arial" w:cs="Arial"/>
                <w:sz w:val="20"/>
                <w:szCs w:val="20"/>
              </w:rPr>
              <w:t>Babies with jaundice needing phototherapy</w:t>
            </w:r>
          </w:p>
        </w:tc>
        <w:tc>
          <w:tcPr>
            <w:tcW w:w="880" w:type="dxa"/>
            <w:tcBorders>
              <w:top w:val="nil"/>
              <w:left w:val="nil"/>
              <w:bottom w:val="nil"/>
              <w:right w:val="nil"/>
            </w:tcBorders>
            <w:shd w:val="clear" w:color="auto" w:fill="auto"/>
            <w:noWrap/>
            <w:vAlign w:val="bottom"/>
            <w:hideMark/>
          </w:tcPr>
          <w:p w14:paraId="28C0D2BE" w14:textId="77777777" w:rsidR="00D679BF" w:rsidRPr="00D679BF" w:rsidRDefault="00D679BF" w:rsidP="00D679BF">
            <w:pPr>
              <w:rPr>
                <w:rFonts w:ascii="Arial" w:eastAsia="Times New Roman" w:hAnsi="Arial" w:cs="Arial"/>
                <w:sz w:val="20"/>
                <w:szCs w:val="20"/>
              </w:rPr>
            </w:pPr>
          </w:p>
        </w:tc>
        <w:tc>
          <w:tcPr>
            <w:tcW w:w="42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617B99" w14:textId="77777777" w:rsidR="00D679BF" w:rsidRPr="00D679BF" w:rsidRDefault="00D679BF" w:rsidP="00D679BF">
            <w:pPr>
              <w:jc w:val="center"/>
              <w:rPr>
                <w:rFonts w:ascii="Arial" w:eastAsia="Times New Roman" w:hAnsi="Arial" w:cs="Arial"/>
                <w:sz w:val="20"/>
                <w:szCs w:val="20"/>
              </w:rPr>
            </w:pPr>
            <w:r w:rsidRPr="00D679BF">
              <w:rPr>
                <w:rFonts w:ascii="Arial" w:eastAsia="Times New Roman" w:hAnsi="Arial" w:cs="Arial"/>
                <w:sz w:val="20"/>
                <w:szCs w:val="20"/>
              </w:rPr>
              <w:t>Babies with no jaundice needing phototherapy</w:t>
            </w:r>
          </w:p>
        </w:tc>
      </w:tr>
      <w:tr w:rsidR="00D679BF" w:rsidRPr="00D679BF" w14:paraId="66987E6D" w14:textId="77777777" w:rsidTr="00D679BF">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30B37F1"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 </w:t>
            </w:r>
          </w:p>
        </w:tc>
        <w:tc>
          <w:tcPr>
            <w:tcW w:w="1120" w:type="dxa"/>
            <w:tcBorders>
              <w:top w:val="nil"/>
              <w:left w:val="nil"/>
              <w:bottom w:val="single" w:sz="4" w:space="0" w:color="auto"/>
              <w:right w:val="single" w:sz="4" w:space="0" w:color="auto"/>
            </w:tcBorders>
            <w:shd w:val="clear" w:color="auto" w:fill="auto"/>
            <w:vAlign w:val="center"/>
            <w:hideMark/>
          </w:tcPr>
          <w:p w14:paraId="306DD9E4"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w:t>
            </w:r>
          </w:p>
        </w:tc>
        <w:tc>
          <w:tcPr>
            <w:tcW w:w="1540" w:type="dxa"/>
            <w:tcBorders>
              <w:top w:val="nil"/>
              <w:left w:val="nil"/>
              <w:bottom w:val="single" w:sz="4" w:space="0" w:color="auto"/>
              <w:right w:val="single" w:sz="4" w:space="0" w:color="auto"/>
            </w:tcBorders>
            <w:shd w:val="clear" w:color="auto" w:fill="auto"/>
            <w:vAlign w:val="center"/>
            <w:hideMark/>
          </w:tcPr>
          <w:p w14:paraId="014CC24B"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w:t>
            </w:r>
          </w:p>
        </w:tc>
        <w:tc>
          <w:tcPr>
            <w:tcW w:w="880" w:type="dxa"/>
            <w:tcBorders>
              <w:top w:val="nil"/>
              <w:left w:val="nil"/>
              <w:bottom w:val="nil"/>
              <w:right w:val="nil"/>
            </w:tcBorders>
            <w:shd w:val="clear" w:color="auto" w:fill="auto"/>
            <w:vAlign w:val="center"/>
            <w:hideMark/>
          </w:tcPr>
          <w:p w14:paraId="78C66F24" w14:textId="77777777" w:rsidR="00D679BF" w:rsidRPr="00D679BF" w:rsidRDefault="00D679BF" w:rsidP="00D679BF">
            <w:pPr>
              <w:jc w:val="center"/>
              <w:rPr>
                <w:rFonts w:ascii="Cambria" w:eastAsia="Times New Roman" w:hAnsi="Cambria" w:cs="Arial"/>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6FA2A53F"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 </w:t>
            </w:r>
          </w:p>
        </w:tc>
        <w:tc>
          <w:tcPr>
            <w:tcW w:w="1300" w:type="dxa"/>
            <w:tcBorders>
              <w:top w:val="nil"/>
              <w:left w:val="nil"/>
              <w:bottom w:val="single" w:sz="4" w:space="0" w:color="auto"/>
              <w:right w:val="single" w:sz="4" w:space="0" w:color="auto"/>
            </w:tcBorders>
            <w:shd w:val="clear" w:color="auto" w:fill="auto"/>
            <w:vAlign w:val="center"/>
            <w:hideMark/>
          </w:tcPr>
          <w:p w14:paraId="4DAA604A"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w:t>
            </w:r>
          </w:p>
        </w:tc>
        <w:tc>
          <w:tcPr>
            <w:tcW w:w="1600" w:type="dxa"/>
            <w:tcBorders>
              <w:top w:val="nil"/>
              <w:left w:val="nil"/>
              <w:bottom w:val="single" w:sz="4" w:space="0" w:color="auto"/>
              <w:right w:val="single" w:sz="4" w:space="0" w:color="auto"/>
            </w:tcBorders>
            <w:shd w:val="clear" w:color="auto" w:fill="auto"/>
            <w:vAlign w:val="center"/>
            <w:hideMark/>
          </w:tcPr>
          <w:p w14:paraId="1C3CE135"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w:t>
            </w:r>
          </w:p>
        </w:tc>
      </w:tr>
      <w:tr w:rsidR="00D679BF" w:rsidRPr="00D679BF" w14:paraId="0B39F5C1" w14:textId="77777777" w:rsidTr="00D679BF">
        <w:trPr>
          <w:trHeight w:val="6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3370314"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index ≥0.36</w:t>
            </w:r>
          </w:p>
        </w:tc>
        <w:tc>
          <w:tcPr>
            <w:tcW w:w="1120" w:type="dxa"/>
            <w:tcBorders>
              <w:top w:val="nil"/>
              <w:left w:val="nil"/>
              <w:bottom w:val="single" w:sz="4" w:space="0" w:color="auto"/>
              <w:right w:val="single" w:sz="4" w:space="0" w:color="auto"/>
            </w:tcBorders>
            <w:shd w:val="clear" w:color="auto" w:fill="auto"/>
            <w:vAlign w:val="center"/>
            <w:hideMark/>
          </w:tcPr>
          <w:p w14:paraId="707DC3D2"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35</w:t>
            </w:r>
          </w:p>
        </w:tc>
        <w:tc>
          <w:tcPr>
            <w:tcW w:w="1540" w:type="dxa"/>
            <w:tcBorders>
              <w:top w:val="nil"/>
              <w:left w:val="nil"/>
              <w:bottom w:val="single" w:sz="4" w:space="0" w:color="auto"/>
              <w:right w:val="single" w:sz="4" w:space="0" w:color="auto"/>
            </w:tcBorders>
            <w:shd w:val="clear" w:color="auto" w:fill="auto"/>
            <w:vAlign w:val="center"/>
            <w:hideMark/>
          </w:tcPr>
          <w:p w14:paraId="23CE39EB"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19</w:t>
            </w:r>
          </w:p>
        </w:tc>
        <w:tc>
          <w:tcPr>
            <w:tcW w:w="880" w:type="dxa"/>
            <w:tcBorders>
              <w:top w:val="nil"/>
              <w:left w:val="nil"/>
              <w:bottom w:val="nil"/>
              <w:right w:val="nil"/>
            </w:tcBorders>
            <w:shd w:val="clear" w:color="auto" w:fill="auto"/>
            <w:vAlign w:val="center"/>
            <w:hideMark/>
          </w:tcPr>
          <w:p w14:paraId="3990A2B2" w14:textId="77777777" w:rsidR="00D679BF" w:rsidRPr="00D679BF" w:rsidRDefault="00D679BF" w:rsidP="00D679BF">
            <w:pPr>
              <w:jc w:val="center"/>
              <w:rPr>
                <w:rFonts w:ascii="Cambria" w:eastAsia="Times New Roman" w:hAnsi="Cambria" w:cs="Arial"/>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CBE5496"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index ≥0.36</w:t>
            </w:r>
          </w:p>
        </w:tc>
        <w:tc>
          <w:tcPr>
            <w:tcW w:w="1300" w:type="dxa"/>
            <w:tcBorders>
              <w:top w:val="nil"/>
              <w:left w:val="nil"/>
              <w:bottom w:val="single" w:sz="4" w:space="0" w:color="auto"/>
              <w:right w:val="single" w:sz="4" w:space="0" w:color="auto"/>
            </w:tcBorders>
            <w:shd w:val="clear" w:color="auto" w:fill="auto"/>
            <w:vAlign w:val="center"/>
            <w:hideMark/>
          </w:tcPr>
          <w:p w14:paraId="2CBFFB19"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29</w:t>
            </w:r>
          </w:p>
        </w:tc>
        <w:tc>
          <w:tcPr>
            <w:tcW w:w="1600" w:type="dxa"/>
            <w:tcBorders>
              <w:top w:val="nil"/>
              <w:left w:val="nil"/>
              <w:bottom w:val="single" w:sz="4" w:space="0" w:color="auto"/>
              <w:right w:val="single" w:sz="4" w:space="0" w:color="auto"/>
            </w:tcBorders>
            <w:shd w:val="clear" w:color="auto" w:fill="auto"/>
            <w:vAlign w:val="center"/>
            <w:hideMark/>
          </w:tcPr>
          <w:p w14:paraId="5C10CA9E"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799</w:t>
            </w:r>
          </w:p>
        </w:tc>
      </w:tr>
      <w:tr w:rsidR="00D679BF" w:rsidRPr="00D679BF" w14:paraId="3810D407" w14:textId="77777777" w:rsidTr="00D679BF">
        <w:trPr>
          <w:trHeight w:val="6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995A53C"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index &lt;0.36</w:t>
            </w:r>
          </w:p>
        </w:tc>
        <w:tc>
          <w:tcPr>
            <w:tcW w:w="1120" w:type="dxa"/>
            <w:tcBorders>
              <w:top w:val="nil"/>
              <w:left w:val="nil"/>
              <w:bottom w:val="single" w:sz="4" w:space="0" w:color="auto"/>
              <w:right w:val="single" w:sz="4" w:space="0" w:color="auto"/>
            </w:tcBorders>
            <w:shd w:val="clear" w:color="auto" w:fill="auto"/>
            <w:vAlign w:val="center"/>
            <w:hideMark/>
          </w:tcPr>
          <w:p w14:paraId="0CF0CA83"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1</w:t>
            </w:r>
          </w:p>
        </w:tc>
        <w:tc>
          <w:tcPr>
            <w:tcW w:w="1540" w:type="dxa"/>
            <w:tcBorders>
              <w:top w:val="nil"/>
              <w:left w:val="nil"/>
              <w:bottom w:val="single" w:sz="4" w:space="0" w:color="auto"/>
              <w:right w:val="single" w:sz="4" w:space="0" w:color="auto"/>
            </w:tcBorders>
            <w:shd w:val="clear" w:color="auto" w:fill="auto"/>
            <w:vAlign w:val="center"/>
            <w:hideMark/>
          </w:tcPr>
          <w:p w14:paraId="0C95C3A8"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1,865</w:t>
            </w:r>
          </w:p>
        </w:tc>
        <w:tc>
          <w:tcPr>
            <w:tcW w:w="880" w:type="dxa"/>
            <w:tcBorders>
              <w:top w:val="nil"/>
              <w:left w:val="nil"/>
              <w:bottom w:val="nil"/>
              <w:right w:val="nil"/>
            </w:tcBorders>
            <w:shd w:val="clear" w:color="auto" w:fill="auto"/>
            <w:vAlign w:val="center"/>
            <w:hideMark/>
          </w:tcPr>
          <w:p w14:paraId="687FC31E" w14:textId="77777777" w:rsidR="00D679BF" w:rsidRPr="00D679BF" w:rsidRDefault="00D679BF" w:rsidP="00D679BF">
            <w:pPr>
              <w:jc w:val="center"/>
              <w:rPr>
                <w:rFonts w:ascii="Cambria" w:eastAsia="Times New Roman" w:hAnsi="Cambria" w:cs="Arial"/>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086D53DB"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HS index &lt;0.36</w:t>
            </w:r>
          </w:p>
        </w:tc>
        <w:tc>
          <w:tcPr>
            <w:tcW w:w="1300" w:type="dxa"/>
            <w:tcBorders>
              <w:top w:val="nil"/>
              <w:left w:val="nil"/>
              <w:bottom w:val="single" w:sz="4" w:space="0" w:color="auto"/>
              <w:right w:val="single" w:sz="4" w:space="0" w:color="auto"/>
            </w:tcBorders>
            <w:shd w:val="clear" w:color="auto" w:fill="auto"/>
            <w:vAlign w:val="center"/>
            <w:hideMark/>
          </w:tcPr>
          <w:p w14:paraId="6536B8FF"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1</w:t>
            </w:r>
          </w:p>
        </w:tc>
        <w:tc>
          <w:tcPr>
            <w:tcW w:w="1600" w:type="dxa"/>
            <w:tcBorders>
              <w:top w:val="nil"/>
              <w:left w:val="nil"/>
              <w:bottom w:val="single" w:sz="4" w:space="0" w:color="auto"/>
              <w:right w:val="single" w:sz="4" w:space="0" w:color="auto"/>
            </w:tcBorders>
            <w:shd w:val="clear" w:color="auto" w:fill="auto"/>
            <w:vAlign w:val="center"/>
            <w:hideMark/>
          </w:tcPr>
          <w:p w14:paraId="7F63F090"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79,209</w:t>
            </w:r>
          </w:p>
        </w:tc>
      </w:tr>
      <w:tr w:rsidR="00D679BF" w:rsidRPr="00D679BF" w14:paraId="7E536B3F" w14:textId="77777777" w:rsidTr="00D679BF">
        <w:trPr>
          <w:trHeight w:val="300"/>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8A2D300"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 </w:t>
            </w:r>
          </w:p>
        </w:tc>
        <w:tc>
          <w:tcPr>
            <w:tcW w:w="1120" w:type="dxa"/>
            <w:tcBorders>
              <w:top w:val="nil"/>
              <w:left w:val="nil"/>
              <w:bottom w:val="single" w:sz="4" w:space="0" w:color="auto"/>
              <w:right w:val="single" w:sz="4" w:space="0" w:color="auto"/>
            </w:tcBorders>
            <w:shd w:val="clear" w:color="auto" w:fill="auto"/>
            <w:vAlign w:val="center"/>
            <w:hideMark/>
          </w:tcPr>
          <w:p w14:paraId="1985ABA0"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36</w:t>
            </w:r>
          </w:p>
        </w:tc>
        <w:tc>
          <w:tcPr>
            <w:tcW w:w="1540" w:type="dxa"/>
            <w:tcBorders>
              <w:top w:val="nil"/>
              <w:left w:val="nil"/>
              <w:bottom w:val="single" w:sz="4" w:space="0" w:color="auto"/>
              <w:right w:val="single" w:sz="4" w:space="0" w:color="auto"/>
            </w:tcBorders>
            <w:shd w:val="clear" w:color="auto" w:fill="auto"/>
            <w:vAlign w:val="center"/>
            <w:hideMark/>
          </w:tcPr>
          <w:p w14:paraId="3815E015"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1,884</w:t>
            </w:r>
          </w:p>
        </w:tc>
        <w:tc>
          <w:tcPr>
            <w:tcW w:w="880" w:type="dxa"/>
            <w:tcBorders>
              <w:top w:val="nil"/>
              <w:left w:val="nil"/>
              <w:bottom w:val="nil"/>
              <w:right w:val="nil"/>
            </w:tcBorders>
            <w:shd w:val="clear" w:color="auto" w:fill="auto"/>
            <w:vAlign w:val="center"/>
            <w:hideMark/>
          </w:tcPr>
          <w:p w14:paraId="3A425FFE" w14:textId="77777777" w:rsidR="00D679BF" w:rsidRPr="00D679BF" w:rsidRDefault="00D679BF" w:rsidP="00D679BF">
            <w:pPr>
              <w:jc w:val="center"/>
              <w:rPr>
                <w:rFonts w:ascii="Cambria" w:eastAsia="Times New Roman" w:hAnsi="Cambria" w:cs="Arial"/>
              </w:rPr>
            </w:pP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1F696F5D"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 </w:t>
            </w:r>
          </w:p>
        </w:tc>
        <w:tc>
          <w:tcPr>
            <w:tcW w:w="1300" w:type="dxa"/>
            <w:tcBorders>
              <w:top w:val="nil"/>
              <w:left w:val="nil"/>
              <w:bottom w:val="single" w:sz="4" w:space="0" w:color="auto"/>
              <w:right w:val="single" w:sz="4" w:space="0" w:color="auto"/>
            </w:tcBorders>
            <w:shd w:val="clear" w:color="auto" w:fill="auto"/>
            <w:vAlign w:val="center"/>
            <w:hideMark/>
          </w:tcPr>
          <w:p w14:paraId="2AE1FF54"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30</w:t>
            </w:r>
          </w:p>
        </w:tc>
        <w:tc>
          <w:tcPr>
            <w:tcW w:w="1600" w:type="dxa"/>
            <w:tcBorders>
              <w:top w:val="nil"/>
              <w:left w:val="nil"/>
              <w:bottom w:val="single" w:sz="4" w:space="0" w:color="auto"/>
              <w:right w:val="single" w:sz="4" w:space="0" w:color="auto"/>
            </w:tcBorders>
            <w:shd w:val="clear" w:color="auto" w:fill="auto"/>
            <w:vAlign w:val="center"/>
            <w:hideMark/>
          </w:tcPr>
          <w:p w14:paraId="3B0D0A5D" w14:textId="77777777" w:rsidR="00D679BF" w:rsidRPr="00D679BF" w:rsidRDefault="00D679BF" w:rsidP="00D679BF">
            <w:pPr>
              <w:jc w:val="center"/>
              <w:rPr>
                <w:rFonts w:ascii="Cambria" w:eastAsia="Times New Roman" w:hAnsi="Cambria" w:cs="Arial"/>
              </w:rPr>
            </w:pPr>
            <w:r w:rsidRPr="00D679BF">
              <w:rPr>
                <w:rFonts w:ascii="Cambria" w:eastAsia="Times New Roman" w:hAnsi="Cambria" w:cs="Arial"/>
              </w:rPr>
              <w:t>80,008</w:t>
            </w:r>
          </w:p>
        </w:tc>
      </w:tr>
    </w:tbl>
    <w:p w14:paraId="57D8C3C4" w14:textId="60C91C1E" w:rsidR="00D679BF" w:rsidRDefault="00D679BF" w:rsidP="008B3452"/>
    <w:p w14:paraId="31DB1909" w14:textId="77777777" w:rsidR="00D679BF" w:rsidRPr="00870D2F" w:rsidRDefault="00D679BF" w:rsidP="008B3452"/>
    <w:p w14:paraId="12FCA9E8" w14:textId="77777777" w:rsidR="008B3452" w:rsidRPr="00870D2F" w:rsidRDefault="008B3452" w:rsidP="008B3452">
      <w:pPr>
        <w:ind w:left="360"/>
      </w:pPr>
      <w:r>
        <w:t>Are the occurrence of jaundice needing phototherapy and the HS index independent</w:t>
      </w:r>
      <w:r w:rsidRPr="00870D2F">
        <w:t>? How can you tell? [2]</w:t>
      </w:r>
      <w:r w:rsidRPr="00870D2F">
        <w:br/>
      </w:r>
    </w:p>
    <w:p w14:paraId="020EDA97" w14:textId="77777777" w:rsidR="008B3452" w:rsidRDefault="008B3452" w:rsidP="008B3452"/>
    <w:p w14:paraId="1AC8CA6E" w14:textId="77777777" w:rsidR="00246A26" w:rsidRPr="00870D2F" w:rsidRDefault="00246A26" w:rsidP="008B3452"/>
    <w:p w14:paraId="0EE473E7" w14:textId="37BC90A1" w:rsidR="008B3452" w:rsidRPr="00870D2F" w:rsidRDefault="008B3452" w:rsidP="008B3452">
      <w:pPr>
        <w:pStyle w:val="ListParagraph"/>
        <w:numPr>
          <w:ilvl w:val="0"/>
          <w:numId w:val="27"/>
        </w:numPr>
      </w:pPr>
      <w:r w:rsidRPr="00870D2F">
        <w:t xml:space="preserve"> Assume the prior probability in your population (though not in the current study; see next problem) is 0.05%. Thus, the prior probability is low enough that you wouldn’t perform the HS index on every newborn. But, what if you had a baby with jaundice needing phototherapy? Would an HS index help you decide whether to pursue further testing for HS? [</w:t>
      </w:r>
      <w:r w:rsidR="00672763">
        <w:t>3</w:t>
      </w:r>
      <w:r w:rsidRPr="00870D2F">
        <w:t>]</w:t>
      </w:r>
    </w:p>
    <w:p w14:paraId="6D3F1C5D" w14:textId="77777777" w:rsidR="008B3452" w:rsidRPr="00870D2F" w:rsidRDefault="008B3452" w:rsidP="008B3452"/>
    <w:p w14:paraId="29301C84" w14:textId="52C3A177" w:rsidR="008B3452" w:rsidRPr="00870D2F" w:rsidRDefault="008B3452" w:rsidP="008B3452">
      <w:pPr>
        <w:ind w:left="360"/>
        <w:rPr>
          <w:i/>
        </w:rPr>
      </w:pPr>
      <w:r w:rsidRPr="00870D2F">
        <w:rPr>
          <w:i/>
        </w:rPr>
        <w:t>Hint: first calculate the likelihood ratios for jaundice by filling out table below from above data</w:t>
      </w:r>
      <w:r w:rsidR="004863DD">
        <w:rPr>
          <w:i/>
        </w:rPr>
        <w:br/>
      </w:r>
    </w:p>
    <w:tbl>
      <w:tblPr>
        <w:tblStyle w:val="TableGrid"/>
        <w:tblW w:w="0" w:type="auto"/>
        <w:tblInd w:w="468" w:type="dxa"/>
        <w:tblLook w:val="04A0" w:firstRow="1" w:lastRow="0" w:firstColumn="1" w:lastColumn="0" w:noHBand="0" w:noVBand="1"/>
      </w:tblPr>
      <w:tblGrid>
        <w:gridCol w:w="2036"/>
        <w:gridCol w:w="2056"/>
        <w:gridCol w:w="2056"/>
        <w:gridCol w:w="872"/>
        <w:gridCol w:w="1080"/>
      </w:tblGrid>
      <w:tr w:rsidR="008B3452" w:rsidRPr="00682CDE" w14:paraId="5D121AD8" w14:textId="77777777" w:rsidTr="008B3452">
        <w:trPr>
          <w:trHeight w:val="276"/>
        </w:trPr>
        <w:tc>
          <w:tcPr>
            <w:tcW w:w="2036" w:type="dxa"/>
            <w:tcBorders>
              <w:top w:val="nil"/>
              <w:left w:val="nil"/>
            </w:tcBorders>
          </w:tcPr>
          <w:p w14:paraId="35C2A9D4" w14:textId="77777777" w:rsidR="008B3452" w:rsidRPr="00870D2F" w:rsidRDefault="008B3452" w:rsidP="008B3452">
            <w:pPr>
              <w:jc w:val="center"/>
              <w:rPr>
                <w:color w:val="0000FF"/>
              </w:rPr>
            </w:pPr>
          </w:p>
        </w:tc>
        <w:tc>
          <w:tcPr>
            <w:tcW w:w="2056" w:type="dxa"/>
            <w:tcBorders>
              <w:top w:val="nil"/>
            </w:tcBorders>
          </w:tcPr>
          <w:p w14:paraId="07F9F480" w14:textId="77777777" w:rsidR="008B3452" w:rsidRPr="00870D2F" w:rsidRDefault="008B3452" w:rsidP="008B3452">
            <w:pPr>
              <w:jc w:val="center"/>
            </w:pPr>
            <w:r w:rsidRPr="00870D2F">
              <w:t>HS +</w:t>
            </w:r>
          </w:p>
        </w:tc>
        <w:tc>
          <w:tcPr>
            <w:tcW w:w="2056" w:type="dxa"/>
            <w:tcBorders>
              <w:top w:val="nil"/>
            </w:tcBorders>
          </w:tcPr>
          <w:p w14:paraId="1B2574BF" w14:textId="77777777" w:rsidR="008B3452" w:rsidRPr="00870D2F" w:rsidRDefault="008B3452" w:rsidP="008B3452">
            <w:pPr>
              <w:jc w:val="center"/>
            </w:pPr>
            <w:r w:rsidRPr="00870D2F">
              <w:t>HS –</w:t>
            </w:r>
          </w:p>
        </w:tc>
        <w:tc>
          <w:tcPr>
            <w:tcW w:w="872" w:type="dxa"/>
            <w:tcBorders>
              <w:top w:val="nil"/>
              <w:right w:val="nil"/>
            </w:tcBorders>
            <w:vAlign w:val="center"/>
          </w:tcPr>
          <w:p w14:paraId="06FC773E" w14:textId="77777777" w:rsidR="008B3452" w:rsidRPr="00870D2F" w:rsidRDefault="008B3452" w:rsidP="008B3452">
            <w:pPr>
              <w:jc w:val="center"/>
              <w:rPr>
                <w:color w:val="0000FF"/>
              </w:rPr>
            </w:pPr>
          </w:p>
        </w:tc>
        <w:tc>
          <w:tcPr>
            <w:tcW w:w="1080" w:type="dxa"/>
            <w:tcBorders>
              <w:top w:val="nil"/>
              <w:left w:val="nil"/>
              <w:right w:val="nil"/>
            </w:tcBorders>
          </w:tcPr>
          <w:p w14:paraId="1E772D50" w14:textId="77777777" w:rsidR="008B3452" w:rsidRPr="00870D2F" w:rsidRDefault="008B3452" w:rsidP="008B3452">
            <w:pPr>
              <w:jc w:val="center"/>
              <w:rPr>
                <w:color w:val="0000FF"/>
              </w:rPr>
            </w:pPr>
          </w:p>
        </w:tc>
      </w:tr>
      <w:tr w:rsidR="008B3452" w:rsidRPr="00682CDE" w14:paraId="20228127" w14:textId="77777777" w:rsidTr="008B3452">
        <w:trPr>
          <w:trHeight w:val="413"/>
        </w:trPr>
        <w:tc>
          <w:tcPr>
            <w:tcW w:w="2036" w:type="dxa"/>
            <w:tcBorders>
              <w:left w:val="nil"/>
            </w:tcBorders>
            <w:vAlign w:val="center"/>
          </w:tcPr>
          <w:p w14:paraId="1A9CC6EF" w14:textId="77777777" w:rsidR="008B3452" w:rsidRPr="00870D2F" w:rsidRDefault="008B3452" w:rsidP="008B3452">
            <w:pPr>
              <w:ind w:left="-18"/>
              <w:jc w:val="center"/>
            </w:pPr>
            <w:r w:rsidRPr="00870D2F">
              <w:t>Jaundice needing phototherapy</w:t>
            </w:r>
          </w:p>
        </w:tc>
        <w:tc>
          <w:tcPr>
            <w:tcW w:w="2056" w:type="dxa"/>
            <w:vAlign w:val="center"/>
          </w:tcPr>
          <w:p w14:paraId="0B8878F9" w14:textId="77777777" w:rsidR="008B3452" w:rsidRPr="00870D2F" w:rsidRDefault="008B3452" w:rsidP="008B3452">
            <w:pPr>
              <w:jc w:val="center"/>
              <w:rPr>
                <w:color w:val="0000FF"/>
              </w:rPr>
            </w:pPr>
          </w:p>
        </w:tc>
        <w:tc>
          <w:tcPr>
            <w:tcW w:w="2056" w:type="dxa"/>
            <w:vAlign w:val="center"/>
          </w:tcPr>
          <w:p w14:paraId="0D959A23" w14:textId="77777777" w:rsidR="008B3452" w:rsidRPr="00870D2F" w:rsidRDefault="008B3452" w:rsidP="008B3452">
            <w:pPr>
              <w:jc w:val="center"/>
              <w:rPr>
                <w:color w:val="0000FF"/>
              </w:rPr>
            </w:pPr>
          </w:p>
        </w:tc>
        <w:tc>
          <w:tcPr>
            <w:tcW w:w="1952" w:type="dxa"/>
            <w:gridSpan w:val="2"/>
            <w:tcBorders>
              <w:right w:val="nil"/>
            </w:tcBorders>
            <w:vAlign w:val="center"/>
          </w:tcPr>
          <w:p w14:paraId="3F46F49A" w14:textId="77777777" w:rsidR="008B3452" w:rsidRPr="00870D2F" w:rsidRDefault="008B3452" w:rsidP="008B3452">
            <w:pPr>
              <w:jc w:val="center"/>
              <w:rPr>
                <w:b/>
                <w:color w:val="0000FF"/>
              </w:rPr>
            </w:pPr>
          </w:p>
        </w:tc>
      </w:tr>
      <w:tr w:rsidR="008B3452" w:rsidRPr="00682CDE" w14:paraId="575C82DB" w14:textId="77777777" w:rsidTr="008B3452">
        <w:trPr>
          <w:trHeight w:val="458"/>
        </w:trPr>
        <w:tc>
          <w:tcPr>
            <w:tcW w:w="2036" w:type="dxa"/>
            <w:tcBorders>
              <w:left w:val="nil"/>
              <w:bottom w:val="single" w:sz="4" w:space="0" w:color="auto"/>
            </w:tcBorders>
            <w:vAlign w:val="center"/>
          </w:tcPr>
          <w:p w14:paraId="66C17A66" w14:textId="77777777" w:rsidR="008B3452" w:rsidRPr="00870D2F" w:rsidRDefault="008B3452" w:rsidP="008B3452">
            <w:pPr>
              <w:jc w:val="center"/>
            </w:pPr>
            <w:r w:rsidRPr="00870D2F">
              <w:t>No or insignificant jaundice</w:t>
            </w:r>
          </w:p>
        </w:tc>
        <w:tc>
          <w:tcPr>
            <w:tcW w:w="2056" w:type="dxa"/>
            <w:tcBorders>
              <w:bottom w:val="single" w:sz="4" w:space="0" w:color="auto"/>
            </w:tcBorders>
            <w:vAlign w:val="center"/>
          </w:tcPr>
          <w:p w14:paraId="278194F7" w14:textId="77777777" w:rsidR="008B3452" w:rsidRPr="00870D2F" w:rsidRDefault="008B3452" w:rsidP="008B3452">
            <w:pPr>
              <w:jc w:val="center"/>
              <w:rPr>
                <w:color w:val="0000FF"/>
              </w:rPr>
            </w:pPr>
          </w:p>
        </w:tc>
        <w:tc>
          <w:tcPr>
            <w:tcW w:w="2056" w:type="dxa"/>
            <w:tcBorders>
              <w:bottom w:val="single" w:sz="4" w:space="0" w:color="auto"/>
            </w:tcBorders>
            <w:vAlign w:val="center"/>
          </w:tcPr>
          <w:p w14:paraId="313C8F83" w14:textId="77777777" w:rsidR="008B3452" w:rsidRPr="00870D2F" w:rsidRDefault="008B3452" w:rsidP="008B3452">
            <w:pPr>
              <w:jc w:val="center"/>
              <w:rPr>
                <w:color w:val="0000FF"/>
              </w:rPr>
            </w:pPr>
          </w:p>
        </w:tc>
        <w:tc>
          <w:tcPr>
            <w:tcW w:w="1952" w:type="dxa"/>
            <w:gridSpan w:val="2"/>
            <w:tcBorders>
              <w:bottom w:val="single" w:sz="4" w:space="0" w:color="auto"/>
              <w:right w:val="nil"/>
            </w:tcBorders>
            <w:vAlign w:val="center"/>
          </w:tcPr>
          <w:p w14:paraId="7B5A6EE0" w14:textId="77777777" w:rsidR="008B3452" w:rsidRPr="00870D2F" w:rsidRDefault="008B3452" w:rsidP="008B3452">
            <w:pPr>
              <w:jc w:val="center"/>
              <w:rPr>
                <w:b/>
                <w:color w:val="0000FF"/>
              </w:rPr>
            </w:pPr>
          </w:p>
        </w:tc>
      </w:tr>
      <w:tr w:rsidR="008B3452" w:rsidRPr="00682CDE" w14:paraId="77CD3BF7" w14:textId="77777777" w:rsidTr="008B3452">
        <w:trPr>
          <w:trHeight w:val="276"/>
        </w:trPr>
        <w:tc>
          <w:tcPr>
            <w:tcW w:w="2036" w:type="dxa"/>
            <w:tcBorders>
              <w:left w:val="nil"/>
              <w:bottom w:val="nil"/>
            </w:tcBorders>
            <w:vAlign w:val="center"/>
          </w:tcPr>
          <w:p w14:paraId="1314F297" w14:textId="77777777" w:rsidR="008B3452" w:rsidRPr="00870D2F" w:rsidRDefault="008B3452" w:rsidP="008B3452">
            <w:pPr>
              <w:jc w:val="center"/>
              <w:rPr>
                <w:color w:val="0000FF"/>
              </w:rPr>
            </w:pPr>
          </w:p>
        </w:tc>
        <w:tc>
          <w:tcPr>
            <w:tcW w:w="2056" w:type="dxa"/>
            <w:tcBorders>
              <w:bottom w:val="nil"/>
            </w:tcBorders>
            <w:vAlign w:val="center"/>
          </w:tcPr>
          <w:p w14:paraId="25AB34F8" w14:textId="77777777" w:rsidR="008B3452" w:rsidRPr="00870D2F" w:rsidRDefault="008B3452" w:rsidP="008B3452">
            <w:pPr>
              <w:jc w:val="center"/>
              <w:rPr>
                <w:color w:val="0000FF"/>
              </w:rPr>
            </w:pPr>
          </w:p>
        </w:tc>
        <w:tc>
          <w:tcPr>
            <w:tcW w:w="2056" w:type="dxa"/>
            <w:tcBorders>
              <w:bottom w:val="nil"/>
            </w:tcBorders>
            <w:vAlign w:val="center"/>
          </w:tcPr>
          <w:p w14:paraId="341BC4B8" w14:textId="77777777" w:rsidR="008B3452" w:rsidRPr="00870D2F" w:rsidRDefault="008B3452" w:rsidP="008B3452">
            <w:pPr>
              <w:jc w:val="center"/>
              <w:rPr>
                <w:color w:val="0000FF"/>
              </w:rPr>
            </w:pPr>
          </w:p>
        </w:tc>
        <w:tc>
          <w:tcPr>
            <w:tcW w:w="872" w:type="dxa"/>
            <w:tcBorders>
              <w:bottom w:val="nil"/>
              <w:right w:val="nil"/>
            </w:tcBorders>
            <w:vAlign w:val="center"/>
          </w:tcPr>
          <w:p w14:paraId="28568A48" w14:textId="77777777" w:rsidR="008B3452" w:rsidRPr="00870D2F" w:rsidRDefault="008B3452" w:rsidP="008B3452">
            <w:pPr>
              <w:jc w:val="center"/>
              <w:rPr>
                <w:color w:val="0000FF"/>
              </w:rPr>
            </w:pPr>
          </w:p>
        </w:tc>
        <w:tc>
          <w:tcPr>
            <w:tcW w:w="1080" w:type="dxa"/>
            <w:tcBorders>
              <w:left w:val="nil"/>
              <w:bottom w:val="nil"/>
              <w:right w:val="nil"/>
            </w:tcBorders>
            <w:vAlign w:val="center"/>
          </w:tcPr>
          <w:p w14:paraId="1B03B1EB" w14:textId="77777777" w:rsidR="008B3452" w:rsidRPr="00870D2F" w:rsidRDefault="008B3452" w:rsidP="008B3452">
            <w:pPr>
              <w:jc w:val="center"/>
              <w:rPr>
                <w:color w:val="0000FF"/>
              </w:rPr>
            </w:pPr>
          </w:p>
        </w:tc>
      </w:tr>
      <w:tr w:rsidR="008B3452" w:rsidRPr="00682CDE" w14:paraId="05C8B885" w14:textId="77777777" w:rsidTr="008B3452">
        <w:trPr>
          <w:trHeight w:val="276"/>
        </w:trPr>
        <w:tc>
          <w:tcPr>
            <w:tcW w:w="2036" w:type="dxa"/>
            <w:tcBorders>
              <w:top w:val="nil"/>
              <w:left w:val="nil"/>
              <w:bottom w:val="nil"/>
            </w:tcBorders>
            <w:vAlign w:val="center"/>
          </w:tcPr>
          <w:p w14:paraId="17826A65" w14:textId="77777777" w:rsidR="008B3452" w:rsidRPr="00870D2F" w:rsidRDefault="008B3452" w:rsidP="008B3452">
            <w:pPr>
              <w:jc w:val="center"/>
              <w:rPr>
                <w:color w:val="0000FF"/>
              </w:rPr>
            </w:pPr>
          </w:p>
        </w:tc>
        <w:tc>
          <w:tcPr>
            <w:tcW w:w="2056" w:type="dxa"/>
            <w:tcBorders>
              <w:top w:val="nil"/>
              <w:bottom w:val="nil"/>
            </w:tcBorders>
            <w:vAlign w:val="center"/>
          </w:tcPr>
          <w:p w14:paraId="01385B51" w14:textId="77777777" w:rsidR="008B3452" w:rsidRPr="00870D2F" w:rsidRDefault="008B3452" w:rsidP="008B3452">
            <w:pPr>
              <w:jc w:val="center"/>
              <w:rPr>
                <w:b/>
                <w:color w:val="0000FF"/>
              </w:rPr>
            </w:pPr>
          </w:p>
        </w:tc>
        <w:tc>
          <w:tcPr>
            <w:tcW w:w="2056" w:type="dxa"/>
            <w:tcBorders>
              <w:top w:val="nil"/>
              <w:bottom w:val="nil"/>
            </w:tcBorders>
            <w:vAlign w:val="center"/>
          </w:tcPr>
          <w:p w14:paraId="6A13F5DC" w14:textId="77777777" w:rsidR="008B3452" w:rsidRPr="00870D2F" w:rsidRDefault="008B3452" w:rsidP="008B3452">
            <w:pPr>
              <w:jc w:val="center"/>
              <w:rPr>
                <w:b/>
                <w:color w:val="0000FF"/>
              </w:rPr>
            </w:pPr>
          </w:p>
        </w:tc>
        <w:tc>
          <w:tcPr>
            <w:tcW w:w="872" w:type="dxa"/>
            <w:tcBorders>
              <w:top w:val="nil"/>
              <w:bottom w:val="nil"/>
              <w:right w:val="nil"/>
            </w:tcBorders>
          </w:tcPr>
          <w:p w14:paraId="1ACBE50C" w14:textId="77777777" w:rsidR="008B3452" w:rsidRPr="00870D2F" w:rsidRDefault="008B3452" w:rsidP="008B3452">
            <w:pPr>
              <w:rPr>
                <w:color w:val="0000FF"/>
              </w:rPr>
            </w:pPr>
          </w:p>
        </w:tc>
        <w:tc>
          <w:tcPr>
            <w:tcW w:w="1080" w:type="dxa"/>
            <w:tcBorders>
              <w:top w:val="nil"/>
              <w:left w:val="nil"/>
              <w:bottom w:val="nil"/>
              <w:right w:val="nil"/>
            </w:tcBorders>
            <w:vAlign w:val="center"/>
          </w:tcPr>
          <w:p w14:paraId="1B1EC06C" w14:textId="77777777" w:rsidR="008B3452" w:rsidRPr="00870D2F" w:rsidRDefault="008B3452" w:rsidP="008B3452">
            <w:pPr>
              <w:jc w:val="center"/>
              <w:rPr>
                <w:color w:val="0000FF"/>
              </w:rPr>
            </w:pPr>
          </w:p>
        </w:tc>
      </w:tr>
    </w:tbl>
    <w:p w14:paraId="73AD19CC" w14:textId="77777777" w:rsidR="004863DD" w:rsidRDefault="004863DD" w:rsidP="004863DD">
      <w:pPr>
        <w:pStyle w:val="ListParagraph"/>
      </w:pPr>
    </w:p>
    <w:p w14:paraId="005B6C29" w14:textId="1DEF4872" w:rsidR="008B3452" w:rsidRPr="00620C94" w:rsidRDefault="007617E3" w:rsidP="008B3452">
      <w:pPr>
        <w:pStyle w:val="ListParagraph"/>
        <w:numPr>
          <w:ilvl w:val="0"/>
          <w:numId w:val="27"/>
        </w:numPr>
      </w:pPr>
      <w:r>
        <w:t>This study includes only infants who had a CBC, and y</w:t>
      </w:r>
      <w:r w:rsidR="008B3452" w:rsidRPr="00620C94">
        <w:t xml:space="preserve">ou notice that the prevalence of hereditary spherocytosis in the study population is 0.08%, which is higher than the 0.05% prevalence in the overall population of the United States. </w:t>
      </w:r>
      <w:r>
        <w:t xml:space="preserve"> </w:t>
      </w:r>
      <w:r w:rsidR="00C437E7">
        <w:t>Could inclusion of only subjects who had a CBC account for an artificially high prevalence in the study population</w:t>
      </w:r>
      <w:r w:rsidR="00C437E7" w:rsidRPr="00620C94">
        <w:t xml:space="preserve">? </w:t>
      </w:r>
      <w:r w:rsidR="00C437E7">
        <w:t xml:space="preserve"> Explain. </w:t>
      </w:r>
      <w:r w:rsidR="008B3452" w:rsidRPr="00620C94">
        <w:t>[2]</w:t>
      </w:r>
    </w:p>
    <w:p w14:paraId="4E5109F4" w14:textId="0D743839" w:rsidR="008B3452" w:rsidRPr="00620C94" w:rsidRDefault="008B3452" w:rsidP="008B3452">
      <w:pPr>
        <w:ind w:left="360"/>
        <w:rPr>
          <w:color w:val="0000FF"/>
        </w:rPr>
      </w:pPr>
      <w:r>
        <w:rPr>
          <w:color w:val="0000FF"/>
        </w:rPr>
        <w:br/>
      </w:r>
      <w:r>
        <w:rPr>
          <w:color w:val="0000FF"/>
        </w:rPr>
        <w:br/>
      </w:r>
    </w:p>
    <w:p w14:paraId="15F7C42A" w14:textId="77777777" w:rsidR="008B3452" w:rsidRPr="00620C94" w:rsidRDefault="008B3452" w:rsidP="008B3452">
      <w:pPr>
        <w:ind w:left="360"/>
        <w:rPr>
          <w:color w:val="0000FF"/>
        </w:rPr>
      </w:pPr>
    </w:p>
    <w:p w14:paraId="2DEC5CCC" w14:textId="77777777" w:rsidR="008B3452" w:rsidRDefault="008B3452" w:rsidP="00C22287">
      <w:pPr>
        <w:rPr>
          <w:rFonts w:cs="Times"/>
        </w:rPr>
      </w:pPr>
    </w:p>
    <w:p w14:paraId="5FB0D134" w14:textId="77777777" w:rsidR="008B3452" w:rsidRDefault="008B3452" w:rsidP="00C22287">
      <w:pPr>
        <w:rPr>
          <w:rFonts w:cs="Times"/>
        </w:rPr>
      </w:pPr>
    </w:p>
    <w:p w14:paraId="1D56A297" w14:textId="77777777" w:rsidR="008B3452" w:rsidRDefault="008B3452" w:rsidP="00C22287">
      <w:pPr>
        <w:rPr>
          <w:rFonts w:cs="Times"/>
        </w:rPr>
      </w:pPr>
    </w:p>
    <w:p w14:paraId="31C489FE" w14:textId="1FA84782" w:rsidR="00C22287" w:rsidRPr="00774F03" w:rsidRDefault="008B3452" w:rsidP="00C22287">
      <w:pPr>
        <w:rPr>
          <w:b/>
        </w:rPr>
      </w:pPr>
      <w:r>
        <w:rPr>
          <w:rFonts w:cs="Times"/>
        </w:rPr>
        <w:t xml:space="preserve">8.  </w:t>
      </w:r>
      <w:r w:rsidR="00C22287" w:rsidRPr="00774F03">
        <w:rPr>
          <w:b/>
        </w:rPr>
        <w:t>Financial incentives for smoking cessation</w:t>
      </w:r>
    </w:p>
    <w:p w14:paraId="5BEE9929" w14:textId="77777777" w:rsidR="00C22287" w:rsidRDefault="00C22287" w:rsidP="00C22287"/>
    <w:p w14:paraId="6B769A1A" w14:textId="3F1E7C91" w:rsidR="00C22287" w:rsidRDefault="00C22287" w:rsidP="00C22287">
      <w:pPr>
        <w:pStyle w:val="LO-normal"/>
        <w:spacing w:line="240" w:lineRule="auto"/>
        <w:rPr>
          <w:rFonts w:asciiTheme="minorHAnsi" w:hAnsiTheme="minorHAnsi"/>
        </w:rPr>
      </w:pPr>
      <w:r>
        <w:rPr>
          <w:rFonts w:asciiTheme="minorHAnsi" w:hAnsiTheme="minorHAnsi"/>
        </w:rPr>
        <w:t>Halpern et al.</w:t>
      </w:r>
      <w:r w:rsidR="00395EC2">
        <w:rPr>
          <w:rFonts w:asciiTheme="minorHAnsi" w:hAnsiTheme="minorHAnsi"/>
        </w:rPr>
        <w:fldChar w:fldCharType="begin">
          <w:fldData xml:space="preserve">PEVuZE5vdGU+PENpdGU+PEF1dGhvcj5IYWxwZXJuPC9BdXRob3I+PFllYXI+MjAxNTwvWWVhcj48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</w:fldData>
        </w:fldChar>
      </w:r>
      <w:r w:rsidR="00AC328D">
        <w:rPr>
          <w:rFonts w:asciiTheme="minorHAnsi" w:hAnsiTheme="minorHAnsi"/>
        </w:rPr>
        <w:instrText xml:space="preserve"> ADDIN EN.CITE </w:instrText>
      </w:r>
      <w:r w:rsidR="00AC328D">
        <w:rPr>
          <w:rFonts w:asciiTheme="minorHAnsi" w:hAnsiTheme="minorHAnsi"/>
        </w:rPr>
        <w:fldChar w:fldCharType="begin">
          <w:fldData xml:space="preserve">PEVuZE5vdGU+PENpdGU+PEF1dGhvcj5IYWxwZXJuPC9BdXRob3I+PFllYXI+MjAxNTwvWWVhcj48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</w:fldData>
        </w:fldChar>
      </w:r>
      <w:r w:rsidR="00AC328D">
        <w:rPr>
          <w:rFonts w:asciiTheme="minorHAnsi" w:hAnsiTheme="minorHAnsi"/>
        </w:rPr>
        <w:instrText xml:space="preserve"> ADDIN EN.CITE.DATA </w:instrText>
      </w:r>
      <w:r w:rsidR="00AC328D">
        <w:rPr>
          <w:rFonts w:asciiTheme="minorHAnsi" w:hAnsiTheme="minorHAnsi"/>
        </w:rPr>
      </w:r>
      <w:r w:rsidR="00AC328D">
        <w:rPr>
          <w:rFonts w:asciiTheme="minorHAnsi" w:hAnsiTheme="minorHAnsi"/>
        </w:rPr>
        <w:fldChar w:fldCharType="end"/>
      </w:r>
      <w:r w:rsidR="00395EC2">
        <w:rPr>
          <w:rFonts w:asciiTheme="minorHAnsi" w:hAnsiTheme="minorHAnsi"/>
        </w:rPr>
      </w:r>
      <w:r w:rsidR="00395EC2">
        <w:rPr>
          <w:rFonts w:asciiTheme="minorHAnsi" w:hAnsiTheme="minorHAnsi"/>
        </w:rPr>
        <w:fldChar w:fldCharType="separate"/>
      </w:r>
      <w:r w:rsidR="00AC328D" w:rsidRPr="00AC328D">
        <w:rPr>
          <w:rFonts w:asciiTheme="minorHAnsi" w:hAnsiTheme="minorHAnsi"/>
          <w:noProof/>
          <w:vertAlign w:val="superscript"/>
        </w:rPr>
        <w:t>7</w:t>
      </w:r>
      <w:r w:rsidR="00395EC2">
        <w:rPr>
          <w:rFonts w:asciiTheme="minorHAnsi" w:hAnsiTheme="minorHAnsi"/>
        </w:rPr>
        <w:fldChar w:fldCharType="end"/>
      </w:r>
      <w:r>
        <w:rPr>
          <w:rFonts w:asciiTheme="minorHAnsi" w:hAnsiTheme="minorHAnsi"/>
        </w:rPr>
        <w:t xml:space="preserve"> compared the effects of 4 different incentive programs with usual care to try to get people to stop smoking.  The full article is on the course website; an abstract that should have all you need is excerpted below. </w:t>
      </w:r>
    </w:p>
    <w:p w14:paraId="4002B9FA" w14:textId="77777777" w:rsidR="00C22287" w:rsidRDefault="00C22287" w:rsidP="00C22287">
      <w:pPr>
        <w:pStyle w:val="LO-normal"/>
        <w:spacing w:line="240" w:lineRule="auto"/>
        <w:rPr>
          <w:rFonts w:asciiTheme="minorHAnsi" w:hAnsiTheme="minorHAnsi"/>
        </w:rPr>
      </w:pPr>
    </w:p>
    <w:p w14:paraId="43A58044" w14:textId="77777777" w:rsidR="00C22287" w:rsidRDefault="00C22287" w:rsidP="00C22287">
      <w:pPr>
        <w:pStyle w:val="LO-normal"/>
        <w:spacing w:line="240" w:lineRule="auto"/>
        <w:rPr>
          <w:rFonts w:ascii="Helvetica" w:hAnsi="Helvetica" w:cs="Helvetica"/>
          <w:lang w:eastAsia="ja-JP"/>
        </w:rPr>
      </w:pPr>
      <w:r>
        <w:rPr>
          <w:rFonts w:ascii="Helvetica" w:hAnsi="Helvetica" w:cs="Helvetica"/>
          <w:lang w:eastAsia="ja-JP"/>
        </w:rPr>
        <w:t xml:space="preserve">BACKGROUND: Financial incentives promote many health behaviors, but effective ways to deliver health incentives remain uncertain. </w:t>
      </w:r>
    </w:p>
    <w:p w14:paraId="3F367F61" w14:textId="77777777" w:rsidR="00C22287" w:rsidRDefault="00C22287" w:rsidP="00C22287">
      <w:pPr>
        <w:pStyle w:val="LO-normal"/>
        <w:spacing w:line="240" w:lineRule="auto"/>
        <w:rPr>
          <w:rFonts w:ascii="Helvetica" w:hAnsi="Helvetica" w:cs="Helvetica"/>
          <w:lang w:eastAsia="ja-JP"/>
        </w:rPr>
      </w:pPr>
    </w:p>
    <w:p w14:paraId="28C17B70" w14:textId="77777777" w:rsidR="00C22287" w:rsidRDefault="00C22287" w:rsidP="00C22287">
      <w:pPr>
        <w:pStyle w:val="LO-normal"/>
        <w:spacing w:line="240" w:lineRule="auto"/>
        <w:rPr>
          <w:rFonts w:ascii="Helvetica" w:hAnsi="Helvetica" w:cs="Helvetica"/>
          <w:lang w:eastAsia="ja-JP"/>
        </w:rPr>
      </w:pPr>
      <w:r>
        <w:rPr>
          <w:rFonts w:ascii="Helvetica" w:hAnsi="Helvetica" w:cs="Helvetica"/>
          <w:lang w:eastAsia="ja-JP"/>
        </w:rPr>
        <w:t xml:space="preserve">METHODS: We randomly assigned CVS Caremark employees and their relatives and friends to one of four incentive programs or to usual care for smoking cessation. Two of the incentive programs targeted individuals, and two targeted groups of six participants. One of the individual-oriented programs and one of the group-oriented programs entailed rewards of approximately $800 for smoking cessation; the others entailed refundable deposits of $150 plus $650 in reward payments for successful participants. Usual care included informational resources and free smoking-cessation aids. </w:t>
      </w:r>
    </w:p>
    <w:p w14:paraId="21A9514E" w14:textId="77777777" w:rsidR="00C22287" w:rsidRDefault="00C22287" w:rsidP="00C22287">
      <w:pPr>
        <w:pStyle w:val="LO-normal"/>
        <w:spacing w:line="240" w:lineRule="auto"/>
        <w:rPr>
          <w:rFonts w:ascii="Helvetica" w:hAnsi="Helvetica" w:cs="Helvetica"/>
          <w:lang w:eastAsia="ja-JP"/>
        </w:rPr>
      </w:pPr>
    </w:p>
    <w:p w14:paraId="77A0DA1A" w14:textId="77777777" w:rsidR="00C22287" w:rsidRDefault="00C22287" w:rsidP="00C22287">
      <w:pPr>
        <w:pStyle w:val="LO-normal"/>
        <w:spacing w:line="240" w:lineRule="auto"/>
        <w:rPr>
          <w:rFonts w:ascii="Helvetica" w:hAnsi="Helvetica" w:cs="Helvetica"/>
          <w:lang w:eastAsia="ja-JP"/>
        </w:rPr>
      </w:pPr>
      <w:r>
        <w:rPr>
          <w:rFonts w:ascii="Helvetica" w:hAnsi="Helvetica" w:cs="Helvetica"/>
          <w:lang w:eastAsia="ja-JP"/>
        </w:rPr>
        <w:t xml:space="preserve">RESULTS: Overall, 2538 participants were enrolled. Of those assigned to reward-based programs, 90.0% accepted the assignment, as compared with 13.7% of those assigned to deposit-based programs (P&lt;0.001). In intention-to-treat analyses, rates of sustained abstinence from smoking through 6 months were higher with each of the four incentive programs (range, 9.4 to 16.0%) than with usual care (6.0%) (P&lt;0.05 for all comparisons); the superiority of reward-based programs was sustained through 12 months. Group-oriented and individual-oriented programs were associated with similar 6-month abstinence rates (13.7% and 12.1%, respectively; P=0.29). Reward-based programs were associated with higher abstinence rates than deposit-based programs (15.7% vs. 10.2%, P&lt;0.001). However, in instrumental-variable analyses that accounted for differential acceptance, the rate of abstinence at 6 months was 13.2 percentage points (95% confidence interval, 3.1 to 22.8) higher in the deposit-based programs than in the reward-based programs among the estimated 13.7% of the participants who would accept participation in either type of program. </w:t>
      </w:r>
    </w:p>
    <w:p w14:paraId="70DBFD32" w14:textId="77777777" w:rsidR="00C22287" w:rsidRDefault="00C22287" w:rsidP="00C22287">
      <w:pPr>
        <w:pStyle w:val="LO-normal"/>
        <w:spacing w:line="240" w:lineRule="auto"/>
        <w:rPr>
          <w:rFonts w:ascii="Helvetica" w:hAnsi="Helvetica" w:cs="Helvetica"/>
          <w:lang w:eastAsia="ja-JP"/>
        </w:rPr>
      </w:pPr>
    </w:p>
    <w:p w14:paraId="428D5AC7" w14:textId="77777777" w:rsidR="00C22287" w:rsidRDefault="00C22287" w:rsidP="00C22287">
      <w:pPr>
        <w:pStyle w:val="LO-normal"/>
        <w:spacing w:line="240" w:lineRule="auto"/>
        <w:rPr>
          <w:rFonts w:asciiTheme="minorHAnsi" w:hAnsiTheme="minorHAnsi"/>
        </w:rPr>
      </w:pPr>
      <w:r>
        <w:rPr>
          <w:rFonts w:ascii="Helvetica" w:hAnsi="Helvetica" w:cs="Helvetica"/>
          <w:lang w:eastAsia="ja-JP"/>
        </w:rPr>
        <w:t xml:space="preserve">CONCLUSIONS: Reward-based programs were much more commonly accepted than deposit-based programs, leading to higher rates of sustained abstinence from smoking… </w:t>
      </w:r>
    </w:p>
    <w:p w14:paraId="43E0689F" w14:textId="77777777" w:rsidR="00C22287" w:rsidRDefault="00C22287" w:rsidP="00C22287">
      <w:pPr>
        <w:pStyle w:val="LO-normal"/>
        <w:spacing w:line="240" w:lineRule="auto"/>
        <w:rPr>
          <w:rFonts w:asciiTheme="minorHAnsi" w:hAnsiTheme="minorHAnsi"/>
        </w:rPr>
      </w:pPr>
    </w:p>
    <w:p w14:paraId="131A7DEC" w14:textId="77777777" w:rsidR="00C22287" w:rsidRDefault="00C22287" w:rsidP="00C22287">
      <w:pPr>
        <w:pStyle w:val="LO-normal"/>
        <w:spacing w:line="240" w:lineRule="auto"/>
        <w:rPr>
          <w:rFonts w:asciiTheme="minorHAnsi" w:hAnsiTheme="minorHAnsi"/>
        </w:rPr>
      </w:pPr>
      <w:r>
        <w:rPr>
          <w:rFonts w:asciiTheme="minorHAnsi" w:hAnsiTheme="minorHAnsi"/>
        </w:rPr>
        <w:t>For simplicity, because the group vs individual differences were insignificant, we will reduce the 5 possible treatment arms to 3: Reward-based incentives, Deposit-based incentives and Usual Care.   The basic idea is that people who enroll in the reward-based programs get a reward if they quit smoking, and have nothing to lose if they don't.  People in the deposit based programs had to put up $150 of their own money, which they got back (with an additional $650) only if they were successful.  Not surprisingly, many more assigned to the reward-based programs accepted the assignment, but among those who accepted, the quit rates were lower.</w:t>
      </w:r>
    </w:p>
    <w:p w14:paraId="7A5D7842" w14:textId="77777777" w:rsidR="00C22287" w:rsidRDefault="00C22287" w:rsidP="00C22287">
      <w:pPr>
        <w:pStyle w:val="LO-normal"/>
        <w:spacing w:line="240" w:lineRule="auto"/>
        <w:rPr>
          <w:rFonts w:asciiTheme="minorHAnsi" w:hAnsiTheme="minorHAnsi"/>
        </w:rPr>
      </w:pPr>
    </w:p>
    <w:p w14:paraId="28E31876" w14:textId="6EDB7EA6" w:rsidR="001D6977" w:rsidRDefault="00C22287" w:rsidP="00C22287">
      <w:pPr>
        <w:ind w:left="720"/>
        <w:rPr>
          <w:rFonts w:eastAsia="Times New Roman"/>
        </w:rPr>
      </w:pPr>
      <w:r>
        <w:rPr>
          <w:rFonts w:asciiTheme="minorHAnsi" w:hAnsiTheme="minorHAnsi"/>
        </w:rPr>
        <w:t xml:space="preserve">a.   Only 13.7% of those assigned to deposit-based programs accepted the assignment and enrolled.   Would an intention-to-treat analysis of the effect of </w:t>
      </w:r>
      <w:r>
        <w:rPr>
          <w:rFonts w:asciiTheme="minorHAnsi" w:hAnsiTheme="minorHAnsi"/>
          <w:i/>
        </w:rPr>
        <w:t>offering</w:t>
      </w:r>
      <w:r>
        <w:rPr>
          <w:rFonts w:asciiTheme="minorHAnsi" w:hAnsiTheme="minorHAnsi"/>
        </w:rPr>
        <w:t xml:space="preserve"> a deposit-based program (vs usual care) be biased towards the null?  Explain.  [2]</w:t>
      </w:r>
      <w:r>
        <w:rPr>
          <w:rFonts w:asciiTheme="minorHAnsi" w:hAnsiTheme="minorHAnsi"/>
        </w:rPr>
        <w:br/>
      </w:r>
      <w:r>
        <w:rPr>
          <w:rFonts w:asciiTheme="minorHAnsi" w:hAnsiTheme="minorHAnsi"/>
        </w:rPr>
        <w:br/>
      </w:r>
      <w:r>
        <w:rPr>
          <w:rFonts w:asciiTheme="minorHAnsi" w:hAnsiTheme="minorHAnsi"/>
        </w:rPr>
        <w:br/>
      </w:r>
      <w:r>
        <w:rPr>
          <w:rFonts w:asciiTheme="minorHAnsi" w:hAnsiTheme="minorHAnsi"/>
        </w:rPr>
        <w:br/>
        <w:t>b.    From the paper: "In standard per-protocol analyses, 52.3% of those who accepted deposits versus 17.1% of those who accepted rewards had sustained abstinence through 6 months."   Does this analysis show that deposit-based incentives are more effective than reward-based incentives?  Why or why not?  [2]</w:t>
      </w:r>
      <w:r>
        <w:rPr>
          <w:rFonts w:asciiTheme="minorHAnsi" w:hAnsiTheme="minorHAnsi"/>
        </w:rPr>
        <w:br/>
      </w:r>
      <w:r>
        <w:rPr>
          <w:rFonts w:asciiTheme="minorHAnsi" w:hAnsiTheme="minorHAnsi"/>
        </w:rPr>
        <w:br/>
      </w:r>
      <w:r>
        <w:rPr>
          <w:rFonts w:asciiTheme="minorHAnsi" w:hAnsiTheme="minorHAnsi"/>
        </w:rPr>
        <w:br/>
      </w:r>
      <w:r>
        <w:rPr>
          <w:rFonts w:asciiTheme="minorHAnsi" w:hAnsiTheme="minorHAnsi"/>
        </w:rPr>
        <w:br/>
      </w:r>
      <w:r>
        <w:rPr>
          <w:rFonts w:asciiTheme="minorHAnsi" w:hAnsiTheme="minorHAnsi"/>
        </w:rPr>
        <w:br/>
      </w:r>
      <w:r>
        <w:rPr>
          <w:rFonts w:asciiTheme="minorHAnsi" w:hAnsiTheme="minorHAnsi"/>
        </w:rPr>
        <w:br/>
        <w:t>c.    The authors also reported an instrumental variable analysis.  What should they have used as their instrument?  [1]</w:t>
      </w:r>
      <w:r>
        <w:rPr>
          <w:rFonts w:asciiTheme="minorHAnsi" w:hAnsiTheme="minorHAnsi"/>
        </w:rPr>
        <w:br/>
      </w:r>
    </w:p>
    <w:p w14:paraId="75969E1D" w14:textId="77777777" w:rsidR="00C22287" w:rsidRDefault="00C22287" w:rsidP="00C22287">
      <w:pPr>
        <w:ind w:left="720"/>
        <w:rPr>
          <w:rFonts w:eastAsia="Times New Roman"/>
        </w:rPr>
      </w:pPr>
    </w:p>
    <w:p w14:paraId="2E3CA976" w14:textId="77777777" w:rsidR="00C22287" w:rsidRDefault="00C22287" w:rsidP="00C22287">
      <w:pPr>
        <w:ind w:left="720"/>
        <w:rPr>
          <w:rFonts w:eastAsia="Times New Roman"/>
        </w:rPr>
      </w:pPr>
    </w:p>
    <w:p w14:paraId="683DCF22" w14:textId="77777777" w:rsidR="00C22287" w:rsidRDefault="00C22287" w:rsidP="00C22287">
      <w:pPr>
        <w:ind w:left="720"/>
        <w:rPr>
          <w:rFonts w:eastAsia="Times New Roman"/>
        </w:rPr>
      </w:pPr>
    </w:p>
    <w:p w14:paraId="3078116F" w14:textId="77777777" w:rsidR="008433AB" w:rsidRPr="00E828FB" w:rsidRDefault="001C1B38" w:rsidP="008433AB">
      <w:pPr>
        <w:rPr>
          <w:b/>
        </w:rPr>
      </w:pPr>
      <w:r>
        <w:rPr>
          <w:rFonts w:eastAsia="Times New Roman"/>
        </w:rPr>
        <w:t>9</w:t>
      </w:r>
      <w:r w:rsidR="00C22287">
        <w:rPr>
          <w:rFonts w:eastAsia="Times New Roman"/>
        </w:rPr>
        <w:t>.</w:t>
      </w:r>
      <w:r>
        <w:rPr>
          <w:rFonts w:eastAsia="Times New Roman"/>
        </w:rPr>
        <w:t xml:space="preserve">  </w:t>
      </w:r>
      <w:r w:rsidR="008433AB">
        <w:rPr>
          <w:rFonts w:eastAsia="Times New Roman"/>
        </w:rPr>
        <w:t xml:space="preserve">  </w:t>
      </w:r>
      <w:r w:rsidR="008433AB" w:rsidRPr="00E828FB">
        <w:rPr>
          <w:b/>
        </w:rPr>
        <w:t xml:space="preserve">Predicting positive sentinel node biopsies in women with breast cancer </w:t>
      </w:r>
    </w:p>
    <w:p w14:paraId="0941A5B8" w14:textId="77777777" w:rsidR="008433AB" w:rsidRDefault="008433AB" w:rsidP="008433AB">
      <w:pPr>
        <w:rPr>
          <w:lang w:eastAsia="ja-JP"/>
        </w:rPr>
      </w:pPr>
    </w:p>
    <w:p w14:paraId="367F47E1" w14:textId="05E48B78" w:rsidR="008433AB" w:rsidRDefault="008433AB" w:rsidP="008433AB">
      <w:pPr>
        <w:widowControl w:val="0"/>
        <w:autoSpaceDE w:val="0"/>
        <w:autoSpaceDN w:val="0"/>
        <w:adjustRightInd w:val="0"/>
        <w:spacing w:after="240"/>
        <w:rPr>
          <w:rFonts w:ascii="Times" w:hAnsi="Times" w:cs="Times"/>
          <w:iCs/>
          <w:lang w:eastAsia="ja-JP"/>
        </w:rPr>
      </w:pPr>
      <w:r>
        <w:rPr>
          <w:lang w:eastAsia="ja-JP"/>
        </w:rPr>
        <w:t>As part of her research into whether she should have an axillary node dissection, our friend with breast cancer from HW #1, problem 4 reviewed an article describing a "validated nomogram for risk estimation."</w:t>
      </w:r>
      <w:r w:rsidR="00395EC2">
        <w:rPr>
          <w:lang w:eastAsia="ja-JP"/>
        </w:rPr>
        <w:fldChar w:fldCharType="begin"/>
      </w:r>
      <w:r w:rsidR="00AC328D">
        <w:rPr>
          <w:lang w:eastAsia="ja-JP"/>
        </w:rPr>
        <w:instrText xml:space="preserve"> ADDIN EN.CITE &lt;EndNote&gt;&lt;Cite&gt;&lt;Author&gt;Bevilacqua&lt;/Author&gt;&lt;Year&gt;2007&lt;/Year&gt;&lt;RecNum&gt;3996&lt;/RecNum&gt;&lt;DisplayText&gt;&lt;style face="superscript"&gt;8&lt;/style&gt;&lt;/DisplayText&gt;&lt;record&gt;&lt;rec-number&gt;3996&lt;/rec-number&gt;&lt;foreign-keys&gt;&lt;key app="EN" db-id="s5wrswzpewzvvze9sxpxree4s0x5vdrwfapp" timestamp="1479157530"&gt;3996&lt;/key&gt;&lt;/foreign-keys&gt;&lt;ref-type name="Journal Article"&gt;17&lt;/ref-type&gt;&lt;contributors&gt;&lt;authors&gt;&lt;author&gt;Bevilacqua, J. L.&lt;/author&gt;&lt;author&gt;Kattan, M. W.&lt;/author&gt;&lt;author&gt;Fey, J. V.&lt;/author&gt;&lt;author&gt;Cody, H. S., 3rd&lt;/author&gt;&lt;author&gt;Borgen, P. I.&lt;/author&gt;&lt;author&gt;Van Zee, K. J.&lt;/author&gt;&lt;/authors&gt;&lt;/contributors&gt;&lt;auth-address&gt;Department of Surgery, Memorial Sloan-Kettering Cancer Center, MRI 1026, New York, NY 10021, USA.&lt;/auth-address&gt;&lt;titles&gt;&lt;title&gt;Doctor, what are my chances of having a positive sentinel node? A validated nomogram for risk estimation&lt;/title&gt;&lt;secondary-title&gt;J Clin Oncol&lt;/secondary-title&gt;&lt;/titles&gt;&lt;periodical&gt;&lt;full-title&gt;J Clin Oncol&lt;/full-title&gt;&lt;/periodical&gt;&lt;pages&gt;3670-9&lt;/pages&gt;&lt;volume&gt;25&lt;/volume&gt;&lt;number&gt;24&lt;/number&gt;&lt;keywords&gt;&lt;keyword&gt;Adult&lt;/keyword&gt;&lt;keyword&gt;Aged&lt;/keyword&gt;&lt;keyword&gt;Axilla&lt;/keyword&gt;&lt;keyword&gt;Breast Neoplasms/*pathology&lt;/keyword&gt;&lt;keyword&gt;Female&lt;/keyword&gt;&lt;keyword&gt;Humans&lt;/keyword&gt;&lt;keyword&gt;Lymphatic Metastasis&lt;/keyword&gt;&lt;keyword&gt;Middle Aged&lt;/keyword&gt;&lt;keyword&gt;Models, Statistical&lt;/keyword&gt;&lt;keyword&gt;*Nomograms&lt;/keyword&gt;&lt;keyword&gt;Risk Assessment&lt;/keyword&gt;&lt;keyword&gt;*Sentinel Lymph Node Biopsy&lt;/keyword&gt;&lt;/keywords&gt;&lt;dates&gt;&lt;year&gt;2007&lt;/year&gt;&lt;pub-dates&gt;&lt;date&gt;Aug 20&lt;/date&gt;&lt;/pub-dates&gt;&lt;/dates&gt;&lt;isbn&gt;1527-7755 (Electronic)&amp;#xD;0732-183X (Linking)&lt;/isbn&gt;&lt;accession-num&gt;17664461&lt;/accession-num&gt;&lt;urls&gt;&lt;related-urls&gt;&lt;url&gt;https://www.ncbi.nlm.nih.gov/pubmed/17664461&lt;/url&gt;&lt;/related-urls&gt;&lt;/urls&gt;&lt;electronic-resource-num&gt;10.1200/JCO.2006.08.8013&lt;/electronic-resource-num&gt;&lt;/record&gt;&lt;/Cite&gt;&lt;/EndNote&gt;</w:instrText>
      </w:r>
      <w:r w:rsidR="00395EC2">
        <w:rPr>
          <w:lang w:eastAsia="ja-JP"/>
        </w:rPr>
        <w:fldChar w:fldCharType="separate"/>
      </w:r>
      <w:r w:rsidR="00AC328D" w:rsidRPr="00AC328D">
        <w:rPr>
          <w:noProof/>
          <w:vertAlign w:val="superscript"/>
          <w:lang w:eastAsia="ja-JP"/>
        </w:rPr>
        <w:t>8</w:t>
      </w:r>
      <w:r w:rsidR="00395EC2">
        <w:rPr>
          <w:lang w:eastAsia="ja-JP"/>
        </w:rPr>
        <w:fldChar w:fldCharType="end"/>
      </w:r>
      <w:r w:rsidR="00961AEE">
        <w:rPr>
          <w:rFonts w:ascii="Times" w:hAnsi="Times" w:cs="Times"/>
          <w:iCs/>
          <w:lang w:eastAsia="ja-JP"/>
        </w:rPr>
        <w:t xml:space="preserve">  </w:t>
      </w:r>
      <w:r>
        <w:rPr>
          <w:rFonts w:ascii="Times" w:hAnsi="Times" w:cs="Times"/>
          <w:iCs/>
          <w:lang w:eastAsia="ja-JP"/>
        </w:rPr>
        <w:t xml:space="preserve"> Investigators for that study derived a nomogram to predict sentinel lymph node (SLN) metastases from 3,786 sequential SLN biopsies.  They then validated the nomogram on the next 1,545 SLN biopsies.  (They converted their prediction rule into a web-based calculator; you can see it here: </w:t>
      </w:r>
      <w:hyperlink r:id="rId11" w:history="1">
        <w:r w:rsidRPr="00A20BD8">
          <w:rPr>
            <w:rStyle w:val="Hyperlink"/>
            <w:rFonts w:ascii="Times" w:hAnsi="Times" w:cs="Times"/>
            <w:iCs/>
            <w:lang w:eastAsia="ja-JP"/>
          </w:rPr>
          <w:t>http://nomograms.mskcc.org/breast/BreastSLNodeMetastasisPage.aspx</w:t>
        </w:r>
      </w:hyperlink>
      <w:r>
        <w:rPr>
          <w:rFonts w:ascii="Times" w:hAnsi="Times" w:cs="Times"/>
          <w:iCs/>
          <w:lang w:eastAsia="ja-JP"/>
        </w:rPr>
        <w:t>.)  The authors reported, "</w:t>
      </w:r>
      <w:r>
        <w:rPr>
          <w:rFonts w:ascii="Helvetica" w:hAnsi="Helvetica" w:cs="Helvetica"/>
          <w:lang w:eastAsia="ja-JP"/>
        </w:rPr>
        <w:t>The nomogram was accurate and discriminating, with an area under the receiver operating characteristic curve of 0.754 when applied to the validation group."</w:t>
      </w:r>
    </w:p>
    <w:p w14:paraId="4BF559E1" w14:textId="77777777" w:rsidR="008433AB" w:rsidRDefault="008433AB" w:rsidP="008433AB">
      <w:pPr>
        <w:widowControl w:val="0"/>
        <w:autoSpaceDE w:val="0"/>
        <w:autoSpaceDN w:val="0"/>
        <w:adjustRightInd w:val="0"/>
        <w:spacing w:after="240"/>
        <w:rPr>
          <w:rFonts w:ascii="Times" w:hAnsi="Times" w:cs="Times"/>
          <w:iCs/>
          <w:lang w:eastAsia="ja-JP"/>
        </w:rPr>
      </w:pPr>
      <w:r>
        <w:rPr>
          <w:rFonts w:ascii="Times" w:hAnsi="Times" w:cs="Times"/>
          <w:iCs/>
          <w:lang w:eastAsia="ja-JP"/>
        </w:rPr>
        <w:t>For questions a and b, indicate whether the statement is true or false and explain your answer.</w:t>
      </w:r>
    </w:p>
    <w:p w14:paraId="1E85F018" w14:textId="77777777" w:rsidR="008433AB" w:rsidRDefault="008433AB" w:rsidP="008433AB">
      <w:pPr>
        <w:pStyle w:val="ListParagraph"/>
        <w:widowControl w:val="0"/>
        <w:numPr>
          <w:ilvl w:val="0"/>
          <w:numId w:val="28"/>
        </w:numPr>
        <w:autoSpaceDE w:val="0"/>
        <w:autoSpaceDN w:val="0"/>
        <w:adjustRightInd w:val="0"/>
        <w:spacing w:after="240"/>
        <w:rPr>
          <w:rFonts w:ascii="Times" w:hAnsi="Times" w:cs="Times"/>
          <w:iCs/>
          <w:lang w:eastAsia="ja-JP"/>
        </w:rPr>
      </w:pPr>
      <w:r>
        <w:rPr>
          <w:rFonts w:ascii="Times" w:hAnsi="Times" w:cs="Times"/>
          <w:iCs/>
          <w:lang w:eastAsia="ja-JP"/>
        </w:rPr>
        <w:t xml:space="preserve">(T/F) </w:t>
      </w:r>
      <w:r w:rsidRPr="009619A0">
        <w:rPr>
          <w:rFonts w:ascii="Times" w:hAnsi="Times" w:cs="Times"/>
          <w:iCs/>
          <w:lang w:eastAsia="ja-JP"/>
        </w:rPr>
        <w:t>The area under the receiver operating characteristic curve of 0.754 in the validation group indicates good but not outstanding calibration.  [2]</w:t>
      </w:r>
      <w:r>
        <w:rPr>
          <w:rFonts w:ascii="Times" w:hAnsi="Times" w:cs="Times"/>
          <w:iCs/>
          <w:lang w:eastAsia="ja-JP"/>
        </w:rPr>
        <w:br/>
      </w:r>
      <w:r>
        <w:rPr>
          <w:rFonts w:ascii="Times" w:hAnsi="Times" w:cs="Times"/>
          <w:iCs/>
          <w:lang w:eastAsia="ja-JP"/>
        </w:rPr>
        <w:br/>
      </w:r>
      <w:r>
        <w:rPr>
          <w:rFonts w:ascii="Times" w:hAnsi="Times" w:cs="Times"/>
          <w:iCs/>
          <w:lang w:eastAsia="ja-JP"/>
        </w:rPr>
        <w:br/>
      </w:r>
      <w:r>
        <w:rPr>
          <w:rFonts w:ascii="Times" w:hAnsi="Times" w:cs="Times"/>
          <w:iCs/>
          <w:lang w:eastAsia="ja-JP"/>
        </w:rPr>
        <w:br/>
      </w:r>
    </w:p>
    <w:p w14:paraId="13589D04" w14:textId="77777777" w:rsidR="008433AB" w:rsidRDefault="008433AB" w:rsidP="008433AB">
      <w:pPr>
        <w:pStyle w:val="ListParagraph"/>
        <w:widowControl w:val="0"/>
        <w:numPr>
          <w:ilvl w:val="0"/>
          <w:numId w:val="28"/>
        </w:numPr>
        <w:autoSpaceDE w:val="0"/>
        <w:autoSpaceDN w:val="0"/>
        <w:adjustRightInd w:val="0"/>
        <w:spacing w:after="240"/>
        <w:rPr>
          <w:rFonts w:ascii="Times" w:hAnsi="Times" w:cs="Times"/>
          <w:iCs/>
          <w:lang w:eastAsia="ja-JP"/>
        </w:rPr>
      </w:pPr>
      <w:r>
        <w:rPr>
          <w:rFonts w:ascii="Times" w:hAnsi="Times" w:cs="Times"/>
          <w:iCs/>
          <w:lang w:eastAsia="ja-JP"/>
        </w:rPr>
        <w:t xml:space="preserve">(T/F)  </w:t>
      </w:r>
      <w:r w:rsidRPr="009619A0">
        <w:rPr>
          <w:rFonts w:ascii="Times" w:hAnsi="Times" w:cs="Times"/>
          <w:iCs/>
          <w:lang w:eastAsia="ja-JP"/>
        </w:rPr>
        <w:t>If their goal was to create score by adding up points for various risk factors</w:t>
      </w:r>
      <w:r>
        <w:rPr>
          <w:rFonts w:ascii="Times" w:hAnsi="Times" w:cs="Times"/>
          <w:iCs/>
          <w:lang w:eastAsia="ja-JP"/>
        </w:rPr>
        <w:t xml:space="preserve"> (as they did)</w:t>
      </w:r>
      <w:r w:rsidRPr="009619A0">
        <w:rPr>
          <w:rFonts w:ascii="Times" w:hAnsi="Times" w:cs="Times"/>
          <w:iCs/>
          <w:lang w:eastAsia="ja-JP"/>
        </w:rPr>
        <w:t xml:space="preserve">, they were right to use </w:t>
      </w:r>
      <w:r>
        <w:rPr>
          <w:rFonts w:ascii="Times" w:hAnsi="Times" w:cs="Times"/>
          <w:iCs/>
          <w:lang w:eastAsia="ja-JP"/>
        </w:rPr>
        <w:t xml:space="preserve">logistic regression rather than </w:t>
      </w:r>
      <w:r w:rsidRPr="009619A0">
        <w:rPr>
          <w:rFonts w:ascii="Times" w:hAnsi="Times" w:cs="Times"/>
          <w:iCs/>
          <w:lang w:eastAsia="ja-JP"/>
        </w:rPr>
        <w:t>recursive partitioning.</w:t>
      </w:r>
      <w:r>
        <w:rPr>
          <w:rFonts w:ascii="Times" w:hAnsi="Times" w:cs="Times"/>
          <w:iCs/>
          <w:lang w:eastAsia="ja-JP"/>
        </w:rPr>
        <w:t xml:space="preserve"> [2]</w:t>
      </w:r>
      <w:r>
        <w:rPr>
          <w:rFonts w:ascii="Times" w:hAnsi="Times" w:cs="Times"/>
          <w:iCs/>
          <w:lang w:eastAsia="ja-JP"/>
        </w:rPr>
        <w:br/>
      </w:r>
      <w:r>
        <w:rPr>
          <w:rFonts w:ascii="Times" w:hAnsi="Times" w:cs="Times"/>
          <w:iCs/>
          <w:lang w:eastAsia="ja-JP"/>
        </w:rPr>
        <w:br/>
      </w:r>
      <w:r>
        <w:rPr>
          <w:rFonts w:ascii="Times" w:hAnsi="Times" w:cs="Times"/>
          <w:iCs/>
          <w:lang w:eastAsia="ja-JP"/>
        </w:rPr>
        <w:br/>
      </w:r>
    </w:p>
    <w:p w14:paraId="498C6331" w14:textId="77777777" w:rsidR="008433AB" w:rsidRDefault="008433AB" w:rsidP="008433AB">
      <w:pPr>
        <w:pStyle w:val="ListParagraph"/>
        <w:widowControl w:val="0"/>
        <w:autoSpaceDE w:val="0"/>
        <w:autoSpaceDN w:val="0"/>
        <w:adjustRightInd w:val="0"/>
        <w:spacing w:after="240"/>
        <w:ind w:left="360"/>
        <w:rPr>
          <w:rFonts w:ascii="Times" w:hAnsi="Times" w:cs="Times"/>
          <w:iCs/>
          <w:lang w:eastAsia="ja-JP"/>
        </w:rPr>
      </w:pPr>
      <w:r>
        <w:rPr>
          <w:rFonts w:ascii="Times" w:hAnsi="Times" w:cs="Times"/>
          <w:iCs/>
          <w:lang w:eastAsia="ja-JP"/>
        </w:rPr>
        <w:t>The calibration plot for their nomogram is shown below.</w:t>
      </w:r>
      <w:r>
        <w:rPr>
          <w:rFonts w:ascii="Times" w:hAnsi="Times" w:cs="Times"/>
          <w:iCs/>
          <w:lang w:eastAsia="ja-JP"/>
        </w:rPr>
        <w:br/>
      </w:r>
      <w:r>
        <w:rPr>
          <w:rFonts w:ascii="Times" w:hAnsi="Times" w:cs="Times"/>
          <w:iCs/>
          <w:lang w:eastAsia="ja-JP"/>
        </w:rPr>
        <w:br/>
      </w:r>
      <w:r>
        <w:rPr>
          <w:rFonts w:ascii="Times" w:hAnsi="Times" w:cs="Times"/>
          <w:iCs/>
          <w:noProof/>
        </w:rPr>
        <w:drawing>
          <wp:inline distT="0" distB="0" distL="0" distR="0" wp14:anchorId="7E93FD8A" wp14:editId="0E7281E9">
            <wp:extent cx="5423535" cy="357677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11-14 13.20.48.png"/>
                    <pic:cNvPicPr/>
                  </pic:nvPicPr>
                  <pic:blipFill>
                    <a:blip r:embed="rId12">
                      <a:extLst>
                        <a:ext uri="{28A0092B-C50C-407E-A947-70E740481C1C}">
                          <a14:useLocalDpi xmlns:a14="http://schemas.microsoft.com/office/drawing/2010/main" val="0"/>
                        </a:ext>
                      </a:extLst>
                    </a:blip>
                    <a:stretch>
                      <a:fillRect/>
                    </a:stretch>
                  </pic:blipFill>
                  <pic:spPr>
                    <a:xfrm>
                      <a:off x="0" y="0"/>
                      <a:ext cx="5423730" cy="3576899"/>
                    </a:xfrm>
                    <a:prstGeom prst="rect">
                      <a:avLst/>
                    </a:prstGeom>
                  </pic:spPr>
                </pic:pic>
              </a:graphicData>
            </a:graphic>
          </wp:inline>
        </w:drawing>
      </w:r>
    </w:p>
    <w:p w14:paraId="5839BD85" w14:textId="77777777" w:rsidR="00362B89" w:rsidRDefault="008433AB" w:rsidP="009A092E">
      <w:pPr>
        <w:rPr>
          <w:rFonts w:ascii="Times" w:hAnsi="Times" w:cs="Times"/>
          <w:iCs/>
          <w:lang w:eastAsia="ja-JP"/>
        </w:rPr>
      </w:pPr>
      <w:r>
        <w:rPr>
          <w:rFonts w:ascii="Times" w:hAnsi="Times" w:cs="Times"/>
          <w:iCs/>
          <w:lang w:eastAsia="ja-JP"/>
        </w:rPr>
        <w:br/>
      </w:r>
      <w:r>
        <w:rPr>
          <w:rFonts w:ascii="Times" w:hAnsi="Times" w:cs="Times"/>
          <w:iCs/>
          <w:lang w:eastAsia="ja-JP"/>
        </w:rPr>
        <w:br/>
        <w:t>c.   The yellow triangles represent deciles of risk.  Describe the steps needed to create this plot, including the histogram at the bottom.  [4]</w:t>
      </w:r>
      <w:r>
        <w:rPr>
          <w:rFonts w:ascii="Times" w:hAnsi="Times" w:cs="Times"/>
          <w:iCs/>
          <w:lang w:eastAsia="ja-JP"/>
        </w:rPr>
        <w:br/>
      </w:r>
      <w:r>
        <w:rPr>
          <w:rFonts w:ascii="Times" w:hAnsi="Times" w:cs="Times"/>
          <w:iCs/>
          <w:lang w:eastAsia="ja-JP"/>
        </w:rPr>
        <w:br/>
      </w:r>
    </w:p>
    <w:p w14:paraId="3A611A16" w14:textId="77777777" w:rsidR="00362B89" w:rsidRDefault="00362B89" w:rsidP="00362B89"/>
    <w:p w14:paraId="3A3284F3" w14:textId="77777777" w:rsidR="00362B89" w:rsidRDefault="00362B89" w:rsidP="00362B89"/>
    <w:p w14:paraId="3F2338A4" w14:textId="77777777" w:rsidR="00362B89" w:rsidRDefault="00362B89" w:rsidP="00362B89"/>
    <w:p w14:paraId="3BE8E472" w14:textId="4540C7AA" w:rsidR="00362B89" w:rsidRDefault="00362B89" w:rsidP="00362B89">
      <w:r>
        <w:t>10.  A recent (11/16/16) news story (</w:t>
      </w:r>
      <w:hyperlink r:id="rId13" w:history="1">
        <w:r w:rsidRPr="00A20BD8">
          <w:rPr>
            <w:rStyle w:val="Hyperlink"/>
          </w:rPr>
          <w:t>http://www.ctvnews.ca/health/toronto-oncologist-plans-study-to-test-which-prostate-cancer-screening-is-better-1.3163013</w:t>
        </w:r>
      </w:hyperlink>
      <w:r>
        <w:t>) reports investigators are recruiting for a new clinical trial of prostate cancer screening.  Per the ClinicalTrials.Gov website (</w:t>
      </w:r>
      <w:hyperlink r:id="rId14" w:history="1">
        <w:r w:rsidRPr="00A20BD8">
          <w:rPr>
            <w:rStyle w:val="Hyperlink"/>
          </w:rPr>
          <w:t>https://clinicaltrials.gov/ct2/show/NCT02799303</w:t>
        </w:r>
      </w:hyperlink>
      <w:r>
        <w:t>), the investigators "</w:t>
      </w:r>
      <w:r w:rsidRPr="00495FBD">
        <w:t>seek to study whether prostate cancer screening using multiparametric prostate magnetic resonance imaging (mpMRI) improves the detection rate of clinically-significant prostate cancer (defined as Gleason score ≥7 on prostate biopsy) compared with prostate cancer screening using prostate-specific antigen (PSA).</w:t>
      </w:r>
      <w:r>
        <w:t>"</w:t>
      </w:r>
    </w:p>
    <w:p w14:paraId="7090C366" w14:textId="77777777" w:rsidR="00362B89" w:rsidRDefault="00362B89" w:rsidP="00362B89"/>
    <w:p w14:paraId="7CA52606" w14:textId="6138A7A9" w:rsidR="00362B89" w:rsidRPr="00BC1B10" w:rsidRDefault="00362B89" w:rsidP="00362B89">
      <w:pPr>
        <w:rPr>
          <w:rFonts w:ascii="Times" w:eastAsia="Times New Roman" w:hAnsi="Times"/>
          <w:sz w:val="20"/>
          <w:szCs w:val="20"/>
        </w:rPr>
      </w:pPr>
      <w:r>
        <w:t xml:space="preserve">A.  Let's suppose that the study comes out as the investigators hope, and in fact the detection rate for </w:t>
      </w:r>
      <w:r w:rsidRPr="00122B36">
        <w:t xml:space="preserve">clinically-significant prostate cancer is statistically and clinically significantly higher in the </w:t>
      </w:r>
      <w:r>
        <w:t>mp</w:t>
      </w:r>
      <w:r w:rsidRPr="00122B36">
        <w:t>MRI group.</w:t>
      </w:r>
      <w:r>
        <w:t xml:space="preserve">  What are </w:t>
      </w:r>
      <w:commentRangeStart w:id="2"/>
      <w:r>
        <w:t xml:space="preserve">at least 2 </w:t>
      </w:r>
      <w:commentRangeEnd w:id="2"/>
      <w:r>
        <w:rPr>
          <w:rStyle w:val="CommentReference"/>
        </w:rPr>
        <w:commentReference w:id="2"/>
      </w:r>
      <w:r>
        <w:t>additional things you would want to know before recommending mpMRI over PSA for prostate cancer screening? [2]</w:t>
      </w:r>
      <w:r>
        <w:br/>
      </w:r>
      <w:r>
        <w:br/>
      </w:r>
      <w:r>
        <w:br/>
      </w:r>
      <w:r>
        <w:br/>
        <w:t xml:space="preserve">B.  The story reports that the clinical trial is being supported by </w:t>
      </w:r>
      <w:r w:rsidRPr="00A32C68">
        <w:t xml:space="preserve">Jerry Howarth, "the voice behind the Toronto Blue Jays," whose own prostate cancer was diagnosed by MRI.  Jerry's tumor was identified by screening, rather than symptoms.  Tumors identified by screening are more likely to be curable than tumors that present with symptoms, simply because screening preferentially identifies tumors with a better prognosis. What is the name of the bias that this </w:t>
      </w:r>
      <w:r>
        <w:t>phenomenon</w:t>
      </w:r>
      <w:r w:rsidRPr="00A32C68">
        <w:t xml:space="preserve"> causes?  [1]</w:t>
      </w:r>
      <w:r w:rsidRPr="00A32C68">
        <w:br/>
      </w:r>
    </w:p>
    <w:p w14:paraId="66B0ABB0" w14:textId="5584F59B" w:rsidR="00362B89" w:rsidRDefault="00362B89" w:rsidP="00362B89">
      <w:r>
        <w:br/>
      </w:r>
      <w:r>
        <w:br/>
        <w:t>C.  What phenomenon could cause Jerry to believe prostate cancer screening and treatment had saved his life, when actually it did him no good at all?  [1]</w:t>
      </w:r>
    </w:p>
    <w:p w14:paraId="22B7745A" w14:textId="68CF14C5" w:rsidR="00362B89" w:rsidRDefault="00362B89" w:rsidP="00362B89">
      <w:r>
        <w:br/>
      </w:r>
      <w:r>
        <w:br/>
      </w:r>
    </w:p>
    <w:p w14:paraId="72F76C5F" w14:textId="0C2542E9" w:rsidR="00362B89" w:rsidRDefault="00362B89" w:rsidP="00362B89">
      <w:r>
        <w:t>D. Imagine that the study has been completed, and the authors did additional long-term follow-up in order to be able to look at mortality from prostate cancer.  They find that prostate cancer mortality is significantly reduced in the group randomized to mpMRI,</w:t>
      </w:r>
      <w:r w:rsidRPr="008E51E0">
        <w:t xml:space="preserve"> </w:t>
      </w:r>
      <w:r>
        <w:t xml:space="preserve">compared with PSA.  </w:t>
      </w:r>
      <w:r w:rsidR="005B6102">
        <w:t>What bias do you still need to worry about before concluding that the mpMRI actually saved lives?  Explain.</w:t>
      </w:r>
      <w:r>
        <w:t xml:space="preserve"> [2]</w:t>
      </w:r>
      <w:r>
        <w:br/>
      </w:r>
    </w:p>
    <w:p w14:paraId="190563E3" w14:textId="77777777" w:rsidR="00362B89" w:rsidRDefault="00362B89" w:rsidP="00362B89"/>
    <w:p w14:paraId="7ED5BA2D" w14:textId="77777777" w:rsidR="00362B89" w:rsidRDefault="00362B89" w:rsidP="00362B89"/>
    <w:p w14:paraId="685451D2" w14:textId="77777777" w:rsidR="00362B89" w:rsidRDefault="00362B89" w:rsidP="00362B89">
      <w:r>
        <w:br/>
      </w:r>
      <w:r>
        <w:br/>
      </w:r>
      <w:r>
        <w:br/>
      </w:r>
    </w:p>
    <w:p w14:paraId="05D3E0B3" w14:textId="77777777" w:rsidR="00362B89" w:rsidRDefault="00362B89" w:rsidP="00362B89"/>
    <w:p w14:paraId="1927DAC9" w14:textId="327F8911" w:rsidR="009A092E" w:rsidRPr="00307683" w:rsidRDefault="008433AB" w:rsidP="009A092E">
      <w:pPr>
        <w:rPr>
          <w:color w:val="000000"/>
          <w:sz w:val="22"/>
          <w:szCs w:val="22"/>
        </w:rPr>
      </w:pPr>
      <w:r>
        <w:rPr>
          <w:rFonts w:ascii="Times" w:hAnsi="Times" w:cs="Times"/>
          <w:iCs/>
          <w:lang w:eastAsia="ja-JP"/>
        </w:rPr>
        <w:br/>
      </w:r>
      <w:r>
        <w:rPr>
          <w:rFonts w:ascii="Times" w:hAnsi="Times" w:cs="Times"/>
          <w:iCs/>
          <w:lang w:eastAsia="ja-JP"/>
        </w:rPr>
        <w:br/>
      </w:r>
      <w:r w:rsidR="00362B89">
        <w:rPr>
          <w:color w:val="000000"/>
          <w:sz w:val="22"/>
          <w:szCs w:val="22"/>
        </w:rPr>
        <w:t>11</w:t>
      </w:r>
      <w:r w:rsidR="009A092E">
        <w:rPr>
          <w:color w:val="000000"/>
          <w:sz w:val="22"/>
          <w:szCs w:val="22"/>
        </w:rPr>
        <w:t>.  [EXTRA CREDIT +</w:t>
      </w:r>
      <w:r w:rsidR="00362B89">
        <w:rPr>
          <w:color w:val="000000"/>
          <w:sz w:val="22"/>
          <w:szCs w:val="22"/>
        </w:rPr>
        <w:t>3</w:t>
      </w:r>
      <w:r w:rsidR="009A092E">
        <w:rPr>
          <w:color w:val="000000"/>
          <w:sz w:val="22"/>
          <w:szCs w:val="22"/>
        </w:rPr>
        <w:t xml:space="preserve">]  </w:t>
      </w:r>
      <w:r w:rsidR="009A092E" w:rsidRPr="00624B65">
        <w:rPr>
          <w:b/>
          <w:color w:val="000000"/>
          <w:sz w:val="22"/>
          <w:szCs w:val="22"/>
        </w:rPr>
        <w:t xml:space="preserve">Finding the murder weapon </w:t>
      </w:r>
      <w:r w:rsidR="009A092E" w:rsidRPr="00307683">
        <w:rPr>
          <w:color w:val="000000"/>
          <w:sz w:val="22"/>
          <w:szCs w:val="22"/>
        </w:rPr>
        <w:t>(drastically shortened from a problem by Samuel Zetumer &amp; Fanny Elahi)</w:t>
      </w:r>
    </w:p>
    <w:p w14:paraId="290120AC" w14:textId="77777777" w:rsidR="009A092E" w:rsidRDefault="009A092E" w:rsidP="009A092E">
      <w:pPr>
        <w:ind w:firstLine="720"/>
        <w:rPr>
          <w:color w:val="000000"/>
          <w:sz w:val="22"/>
          <w:szCs w:val="22"/>
        </w:rPr>
      </w:pPr>
    </w:p>
    <w:p w14:paraId="2B4F1D2F" w14:textId="77777777" w:rsidR="009A092E" w:rsidRPr="00114D29" w:rsidRDefault="009A092E" w:rsidP="009A092E">
      <w:pPr>
        <w:ind w:firstLine="720"/>
        <w:rPr>
          <w:color w:val="000000"/>
          <w:sz w:val="22"/>
          <w:szCs w:val="22"/>
        </w:rPr>
      </w:pPr>
      <w:r w:rsidRPr="00BC23E3">
        <w:rPr>
          <w:color w:val="000000"/>
          <w:sz w:val="22"/>
          <w:szCs w:val="22"/>
        </w:rPr>
        <w:t xml:space="preserve">Michael Shleitz – part time thug and full time low-life – sits across from you in police detention. He was found, drunk as a skunk, near the scene of a gruesome murder. Three blocks away from the back alley where he was found lays the body </w:t>
      </w:r>
      <w:r>
        <w:rPr>
          <w:color w:val="000000"/>
          <w:sz w:val="22"/>
          <w:szCs w:val="22"/>
        </w:rPr>
        <w:t xml:space="preserve">of his </w:t>
      </w:r>
      <w:r w:rsidRPr="00BC23E3">
        <w:rPr>
          <w:color w:val="000000"/>
          <w:sz w:val="22"/>
          <w:szCs w:val="22"/>
        </w:rPr>
        <w:t>high school sweetheart Mary Liebowitz. Her friends, shocked and dismayed at the news of her murder, described her as “someone who was headed places.” Not anymore. Forensics estimates that at 2 am last night, Mary’s life was gruesomely cut short. Literally. While they have not been able to find the murder weapon - a thin blade given the size and shape of the wound - they suspect that the killer could not have gone far.</w:t>
      </w:r>
    </w:p>
    <w:p w14:paraId="151F5E7B" w14:textId="77777777" w:rsidR="009A092E" w:rsidRPr="00BC23E3" w:rsidRDefault="009A092E" w:rsidP="009A092E">
      <w:pPr>
        <w:ind w:firstLine="720"/>
        <w:rPr>
          <w:sz w:val="20"/>
          <w:szCs w:val="20"/>
        </w:rPr>
      </w:pPr>
    </w:p>
    <w:p w14:paraId="6F785651" w14:textId="77777777" w:rsidR="009A092E" w:rsidRPr="00BC23E3" w:rsidRDefault="009A092E" w:rsidP="009A092E">
      <w:pPr>
        <w:ind w:firstLine="720"/>
        <w:rPr>
          <w:sz w:val="20"/>
          <w:szCs w:val="20"/>
        </w:rPr>
      </w:pPr>
      <w:r w:rsidRPr="00BC23E3">
        <w:rPr>
          <w:color w:val="000000"/>
          <w:sz w:val="22"/>
          <w:szCs w:val="22"/>
        </w:rPr>
        <w:t xml:space="preserve">You, the chief of police, are looking at the only suspect to date. Due to some liberal political non-sense in the eighties, police departments in California have only 48 hours to convince the district attorney to press charges on any suspect detained at the station. </w:t>
      </w:r>
    </w:p>
    <w:p w14:paraId="7694661F" w14:textId="77777777" w:rsidR="009A092E" w:rsidRDefault="009A092E" w:rsidP="009A092E">
      <w:pPr>
        <w:ind w:firstLine="720"/>
        <w:rPr>
          <w:color w:val="000000"/>
          <w:sz w:val="22"/>
          <w:szCs w:val="22"/>
        </w:rPr>
      </w:pPr>
    </w:p>
    <w:p w14:paraId="361EA77A" w14:textId="77777777" w:rsidR="009A092E" w:rsidRPr="00114D29" w:rsidRDefault="009A092E" w:rsidP="009A092E">
      <w:pPr>
        <w:ind w:firstLine="720"/>
        <w:rPr>
          <w:color w:val="000000"/>
          <w:sz w:val="22"/>
          <w:szCs w:val="22"/>
        </w:rPr>
      </w:pPr>
      <w:r w:rsidRPr="00BC23E3">
        <w:rPr>
          <w:color w:val="000000"/>
          <w:sz w:val="22"/>
          <w:szCs w:val="22"/>
        </w:rPr>
        <w:t>You look at your records of arrests and the proportion of them that resulted in a guilty verdict. Over the course of about thirty years of police experience (Christ, has it been that long?) you estimate that about 20% of similarly detained suspects are guilty of the suspected crime. Over the next two days, the likelihood that this man killed the girl will go up and down as you find out more information, depending on what you do. You can…</w:t>
      </w:r>
    </w:p>
    <w:p w14:paraId="510BC2AB" w14:textId="77777777" w:rsidR="009A092E" w:rsidRPr="00BC23E3" w:rsidRDefault="009A092E" w:rsidP="009A092E">
      <w:pPr>
        <w:ind w:firstLine="720"/>
        <w:rPr>
          <w:sz w:val="20"/>
          <w:szCs w:val="20"/>
        </w:rPr>
      </w:pPr>
    </w:p>
    <w:p w14:paraId="4B3801AC" w14:textId="77FAE364" w:rsidR="009A092E" w:rsidRPr="00114D29" w:rsidRDefault="009A092E" w:rsidP="009A092E">
      <w:pPr>
        <w:rPr>
          <w:color w:val="000000"/>
          <w:sz w:val="22"/>
          <w:szCs w:val="22"/>
        </w:rPr>
      </w:pPr>
      <w:r w:rsidRPr="00BC23E3">
        <w:rPr>
          <w:b/>
          <w:bCs/>
          <w:color w:val="000000"/>
          <w:sz w:val="22"/>
          <w:szCs w:val="22"/>
        </w:rPr>
        <w:t>Action 1</w:t>
      </w:r>
      <w:r w:rsidRPr="00BC23E3">
        <w:rPr>
          <w:color w:val="000000"/>
          <w:sz w:val="22"/>
          <w:szCs w:val="22"/>
        </w:rPr>
        <w:t>: Case the suspect’s apartment for a murder weapon. If you find something resembling the stiletto that was used for this gruesome crime, this street rat is almost certainly going to</w:t>
      </w:r>
      <w:r w:rsidR="00DD344E">
        <w:rPr>
          <w:color w:val="000000"/>
          <w:sz w:val="22"/>
          <w:szCs w:val="22"/>
        </w:rPr>
        <w:t xml:space="preserve"> get the book thrown at him (LR+</w:t>
      </w:r>
      <w:r w:rsidRPr="00BC23E3">
        <w:rPr>
          <w:color w:val="000000"/>
          <w:sz w:val="22"/>
          <w:szCs w:val="22"/>
        </w:rPr>
        <w:t xml:space="preserve"> = 10). </w:t>
      </w:r>
      <w:r w:rsidR="00F124C9">
        <w:rPr>
          <w:color w:val="000000"/>
          <w:sz w:val="22"/>
          <w:szCs w:val="22"/>
        </w:rPr>
        <w:t xml:space="preserve"> </w:t>
      </w:r>
      <w:r w:rsidRPr="00BC23E3">
        <w:rPr>
          <w:color w:val="000000"/>
          <w:sz w:val="22"/>
          <w:szCs w:val="22"/>
        </w:rPr>
        <w:t>If you don’t find anything resembling the thin blade that apparently killed the vic</w:t>
      </w:r>
      <w:r>
        <w:rPr>
          <w:color w:val="000000"/>
          <w:sz w:val="22"/>
          <w:szCs w:val="22"/>
        </w:rPr>
        <w:t>tim</w:t>
      </w:r>
      <w:r w:rsidRPr="00BC23E3">
        <w:rPr>
          <w:color w:val="000000"/>
          <w:sz w:val="22"/>
          <w:szCs w:val="22"/>
        </w:rPr>
        <w:t xml:space="preserve">, it doesn’t tell you much about Mikey’s innocence. The negative likelihood ratio </w:t>
      </w:r>
      <w:r w:rsidR="00DD344E">
        <w:rPr>
          <w:color w:val="000000"/>
          <w:sz w:val="22"/>
          <w:szCs w:val="22"/>
        </w:rPr>
        <w:t xml:space="preserve">(LR−) </w:t>
      </w:r>
      <w:r w:rsidRPr="00BC23E3">
        <w:rPr>
          <w:color w:val="000000"/>
          <w:sz w:val="22"/>
          <w:szCs w:val="22"/>
        </w:rPr>
        <w:t>for this action is only 0.9</w:t>
      </w:r>
      <w:r w:rsidR="006253EA">
        <w:rPr>
          <w:color w:val="000000"/>
          <w:sz w:val="22"/>
          <w:szCs w:val="22"/>
        </w:rPr>
        <w:t>09</w:t>
      </w:r>
      <w:r w:rsidRPr="00BC23E3">
        <w:rPr>
          <w:color w:val="000000"/>
          <w:sz w:val="22"/>
          <w:szCs w:val="22"/>
        </w:rPr>
        <w:t xml:space="preserve">. </w:t>
      </w:r>
    </w:p>
    <w:p w14:paraId="3EA4FE5F" w14:textId="77777777" w:rsidR="009A092E" w:rsidRDefault="009A092E" w:rsidP="009A092E">
      <w:pPr>
        <w:rPr>
          <w:sz w:val="20"/>
          <w:szCs w:val="20"/>
        </w:rPr>
      </w:pPr>
    </w:p>
    <w:p w14:paraId="3BA6D859" w14:textId="1F6A277C" w:rsidR="002E3592" w:rsidRDefault="009A092E" w:rsidP="002E3592">
      <w:pPr>
        <w:rPr>
          <w:color w:val="000000"/>
          <w:sz w:val="22"/>
          <w:szCs w:val="22"/>
        </w:rPr>
      </w:pPr>
      <w:r>
        <w:rPr>
          <w:b/>
          <w:bCs/>
          <w:color w:val="000000"/>
          <w:sz w:val="22"/>
          <w:szCs w:val="22"/>
        </w:rPr>
        <w:t>Question</w:t>
      </w:r>
      <w:r w:rsidRPr="00BC23E3">
        <w:rPr>
          <w:b/>
          <w:bCs/>
          <w:color w:val="000000"/>
          <w:sz w:val="22"/>
          <w:szCs w:val="22"/>
        </w:rPr>
        <w:t>:</w:t>
      </w:r>
      <w:r w:rsidRPr="00BC23E3">
        <w:rPr>
          <w:color w:val="000000"/>
          <w:sz w:val="22"/>
          <w:szCs w:val="22"/>
        </w:rPr>
        <w:t xml:space="preserve"> What is the likelihood </w:t>
      </w:r>
      <w:r w:rsidR="0071768C">
        <w:rPr>
          <w:color w:val="000000"/>
          <w:sz w:val="22"/>
          <w:szCs w:val="22"/>
        </w:rPr>
        <w:t xml:space="preserve">that you will find something resembling the </w:t>
      </w:r>
      <w:r w:rsidR="00325C54">
        <w:rPr>
          <w:color w:val="000000"/>
          <w:sz w:val="22"/>
          <w:szCs w:val="22"/>
        </w:rPr>
        <w:t>stiletto in Mikey's</w:t>
      </w:r>
      <w:r w:rsidRPr="00BC23E3">
        <w:rPr>
          <w:color w:val="000000"/>
          <w:sz w:val="22"/>
          <w:szCs w:val="22"/>
        </w:rPr>
        <w:t xml:space="preserve"> apartment?</w:t>
      </w:r>
      <w:r>
        <w:rPr>
          <w:color w:val="000000"/>
          <w:sz w:val="22"/>
          <w:szCs w:val="22"/>
        </w:rPr>
        <w:t xml:space="preserve"> [+</w:t>
      </w:r>
      <w:r w:rsidR="00054F78">
        <w:rPr>
          <w:color w:val="000000"/>
          <w:sz w:val="22"/>
          <w:szCs w:val="22"/>
        </w:rPr>
        <w:t>4</w:t>
      </w:r>
      <w:r>
        <w:rPr>
          <w:color w:val="000000"/>
          <w:sz w:val="22"/>
          <w:szCs w:val="22"/>
        </w:rPr>
        <w:t>]</w:t>
      </w:r>
      <w:r>
        <w:rPr>
          <w:color w:val="000000"/>
          <w:sz w:val="22"/>
          <w:szCs w:val="22"/>
        </w:rPr>
        <w:br/>
      </w:r>
    </w:p>
    <w:p w14:paraId="5ABF6903" w14:textId="3707629C" w:rsidR="009A092E" w:rsidRDefault="009A092E" w:rsidP="009A092E">
      <w:pPr>
        <w:rPr>
          <w:color w:val="000000"/>
          <w:sz w:val="22"/>
          <w:szCs w:val="22"/>
        </w:rPr>
      </w:pPr>
      <w:r>
        <w:rPr>
          <w:color w:val="000000"/>
          <w:sz w:val="22"/>
          <w:szCs w:val="22"/>
        </w:rPr>
        <w:br/>
      </w:r>
    </w:p>
    <w:p w14:paraId="52E4690F" w14:textId="5D34569C" w:rsidR="009A092E" w:rsidRPr="00114D29" w:rsidRDefault="009A092E" w:rsidP="009A092E">
      <w:pPr>
        <w:rPr>
          <w:color w:val="000000"/>
          <w:sz w:val="22"/>
          <w:szCs w:val="22"/>
        </w:rPr>
      </w:pPr>
      <w:r>
        <w:rPr>
          <w:color w:val="000000"/>
          <w:sz w:val="22"/>
          <w:szCs w:val="22"/>
        </w:rPr>
        <w:br/>
      </w:r>
      <w:r>
        <w:rPr>
          <w:color w:val="000000"/>
          <w:sz w:val="22"/>
          <w:szCs w:val="22"/>
        </w:rPr>
        <w:br/>
        <w:t>(There were many more actions and questions; perhaps Sam and Fanny can post for your vacation pleasure.)</w:t>
      </w:r>
    </w:p>
    <w:p w14:paraId="5C801358" w14:textId="77777777" w:rsidR="00AC328D" w:rsidRPr="00AC328D" w:rsidRDefault="00A33B31" w:rsidP="00AC328D">
      <w:pPr>
        <w:pStyle w:val="EndNoteBibliographyTitle"/>
        <w:rPr>
          <w:noProof/>
        </w:rPr>
      </w:pPr>
      <w:r w:rsidRPr="00A12E08">
        <w:fldChar w:fldCharType="begin"/>
      </w:r>
      <w:r w:rsidRPr="00A12E08">
        <w:instrText xml:space="preserve"> ADDIN EN.REFLIST </w:instrText>
      </w:r>
      <w:r w:rsidRPr="00A12E08">
        <w:fldChar w:fldCharType="separate"/>
      </w:r>
      <w:r w:rsidR="00AC328D" w:rsidRPr="00AC328D">
        <w:rPr>
          <w:noProof/>
        </w:rPr>
        <w:t>REFERENCES</w:t>
      </w:r>
    </w:p>
    <w:p w14:paraId="2BDDAEC3" w14:textId="77777777" w:rsidR="00AC328D" w:rsidRPr="00AC328D" w:rsidRDefault="00AC328D" w:rsidP="00AC328D">
      <w:pPr>
        <w:pStyle w:val="EndNoteBibliographyTitle"/>
        <w:rPr>
          <w:noProof/>
        </w:rPr>
      </w:pPr>
    </w:p>
    <w:p w14:paraId="22BDEB48" w14:textId="77777777" w:rsidR="00AC328D" w:rsidRPr="00AC328D" w:rsidRDefault="00AC328D" w:rsidP="00AC328D">
      <w:pPr>
        <w:pStyle w:val="EndNoteBibliography"/>
        <w:ind w:left="720" w:hanging="720"/>
        <w:rPr>
          <w:noProof/>
        </w:rPr>
      </w:pPr>
      <w:r w:rsidRPr="00AC328D">
        <w:rPr>
          <w:noProof/>
        </w:rPr>
        <w:t>1.</w:t>
      </w:r>
      <w:r w:rsidRPr="00AC328D">
        <w:rPr>
          <w:noProof/>
        </w:rPr>
        <w:tab/>
        <w:t xml:space="preserve">Ashdown HF, D'Souza N, Karim D, Stevens RJ, Huang A, Harnden A. Pain over speed bumps in diagnosis of acute appendicitis: diagnostic accuracy study. </w:t>
      </w:r>
      <w:r w:rsidRPr="00AC328D">
        <w:rPr>
          <w:i/>
          <w:noProof/>
        </w:rPr>
        <w:t xml:space="preserve">BMJ. </w:t>
      </w:r>
      <w:r w:rsidRPr="00AC328D">
        <w:rPr>
          <w:noProof/>
        </w:rPr>
        <w:t>2012;345:e8012.</w:t>
      </w:r>
    </w:p>
    <w:p w14:paraId="361D17AB" w14:textId="77777777" w:rsidR="00AC328D" w:rsidRPr="00AC328D" w:rsidRDefault="00AC328D" w:rsidP="00AC328D">
      <w:pPr>
        <w:pStyle w:val="EndNoteBibliography"/>
        <w:ind w:left="720" w:hanging="720"/>
        <w:rPr>
          <w:noProof/>
        </w:rPr>
      </w:pPr>
      <w:r w:rsidRPr="00AC328D">
        <w:rPr>
          <w:noProof/>
        </w:rPr>
        <w:t>2.</w:t>
      </w:r>
      <w:r w:rsidRPr="00AC328D">
        <w:rPr>
          <w:noProof/>
        </w:rPr>
        <w:tab/>
        <w:t xml:space="preserve">Brownell MD, Chartier MJ, Nickel NC, et al. Unconditional Prenatal Income Supplement and Birth Outcomes. </w:t>
      </w:r>
      <w:r w:rsidRPr="00AC328D">
        <w:rPr>
          <w:i/>
          <w:noProof/>
        </w:rPr>
        <w:t xml:space="preserve">Pediatrics. </w:t>
      </w:r>
      <w:r w:rsidRPr="00AC328D">
        <w:rPr>
          <w:noProof/>
        </w:rPr>
        <w:t>2016;137(6).</w:t>
      </w:r>
    </w:p>
    <w:p w14:paraId="67C965D2" w14:textId="77777777" w:rsidR="00AC328D" w:rsidRPr="00AC328D" w:rsidRDefault="00AC328D" w:rsidP="00AC328D">
      <w:pPr>
        <w:pStyle w:val="EndNoteBibliography"/>
        <w:ind w:left="720" w:hanging="720"/>
        <w:rPr>
          <w:noProof/>
        </w:rPr>
      </w:pPr>
      <w:r w:rsidRPr="00AC328D">
        <w:rPr>
          <w:noProof/>
        </w:rPr>
        <w:t>3.</w:t>
      </w:r>
      <w:r w:rsidRPr="00AC328D">
        <w:rPr>
          <w:noProof/>
        </w:rPr>
        <w:tab/>
        <w:t xml:space="preserve">Foukakis T, von Minckwitz G, Bengtsson NO, et al. Effect of Tailored Dose-Dense Chemotherapy vs Standard 3-Weekly Adjuvant Chemotherapy on Recurrence-Free Survival Among Women With High-Risk Early Breast Cancer: A Randomized Clinical Trial. </w:t>
      </w:r>
      <w:r w:rsidRPr="00AC328D">
        <w:rPr>
          <w:i/>
          <w:noProof/>
        </w:rPr>
        <w:t xml:space="preserve">JAMA. </w:t>
      </w:r>
      <w:r w:rsidRPr="00AC328D">
        <w:rPr>
          <w:noProof/>
        </w:rPr>
        <w:t>2016;316(18):1888-1896.</w:t>
      </w:r>
    </w:p>
    <w:p w14:paraId="313C5EBB" w14:textId="77777777" w:rsidR="00AC328D" w:rsidRPr="00AC328D" w:rsidRDefault="00AC328D" w:rsidP="00AC328D">
      <w:pPr>
        <w:pStyle w:val="EndNoteBibliography"/>
        <w:ind w:left="720" w:hanging="720"/>
        <w:rPr>
          <w:noProof/>
        </w:rPr>
      </w:pPr>
      <w:r w:rsidRPr="00AC328D">
        <w:rPr>
          <w:noProof/>
        </w:rPr>
        <w:t>4.</w:t>
      </w:r>
      <w:r w:rsidRPr="00AC328D">
        <w:rPr>
          <w:noProof/>
        </w:rPr>
        <w:tab/>
        <w:t xml:space="preserve">Meltzer HY, Risinger R, Nasrallah HA, et al. A randomized, double-blind, placebo-controlled trial of aripiprazole lauroxil in acute exacerbation of schizophrenia. </w:t>
      </w:r>
      <w:r w:rsidRPr="00AC328D">
        <w:rPr>
          <w:i/>
          <w:noProof/>
        </w:rPr>
        <w:t xml:space="preserve">J Clin Psychiatry. </w:t>
      </w:r>
      <w:r w:rsidRPr="00AC328D">
        <w:rPr>
          <w:noProof/>
        </w:rPr>
        <w:t>2015;76(8):1085-1090.</w:t>
      </w:r>
    </w:p>
    <w:p w14:paraId="650638D1" w14:textId="77777777" w:rsidR="00AC328D" w:rsidRPr="00AC328D" w:rsidRDefault="00AC328D" w:rsidP="00AC328D">
      <w:pPr>
        <w:pStyle w:val="EndNoteBibliography"/>
        <w:ind w:left="720" w:hanging="720"/>
        <w:rPr>
          <w:noProof/>
        </w:rPr>
      </w:pPr>
      <w:r w:rsidRPr="00AC328D">
        <w:rPr>
          <w:noProof/>
        </w:rPr>
        <w:t>5.</w:t>
      </w:r>
      <w:r w:rsidRPr="00AC328D">
        <w:rPr>
          <w:noProof/>
        </w:rPr>
        <w:tab/>
        <w:t xml:space="preserve">Bastiampillai T, Sharfstein SS, Allison S. Increase in US Suicide Rates and the Critical Decline in Psychiatric Beds. </w:t>
      </w:r>
      <w:r w:rsidRPr="00AC328D">
        <w:rPr>
          <w:i/>
          <w:noProof/>
        </w:rPr>
        <w:t xml:space="preserve">JAMA. </w:t>
      </w:r>
      <w:r w:rsidRPr="00AC328D">
        <w:rPr>
          <w:noProof/>
        </w:rPr>
        <w:t>2016.</w:t>
      </w:r>
    </w:p>
    <w:p w14:paraId="5B0AA316" w14:textId="77777777" w:rsidR="00AC328D" w:rsidRPr="00AC328D" w:rsidRDefault="00AC328D" w:rsidP="00AC328D">
      <w:pPr>
        <w:pStyle w:val="EndNoteBibliography"/>
        <w:ind w:left="720" w:hanging="720"/>
        <w:rPr>
          <w:noProof/>
        </w:rPr>
      </w:pPr>
      <w:r w:rsidRPr="00AC328D">
        <w:rPr>
          <w:noProof/>
        </w:rPr>
        <w:t>6.</w:t>
      </w:r>
      <w:r w:rsidRPr="00AC328D">
        <w:rPr>
          <w:noProof/>
        </w:rPr>
        <w:tab/>
        <w:t xml:space="preserve">Christensen RD, Hassan Y, Henry E, Baer V, Bennet S. A simple method for screening newborn infants for  hereditary spherocytosis. </w:t>
      </w:r>
      <w:r w:rsidRPr="00AC328D">
        <w:rPr>
          <w:i/>
          <w:noProof/>
        </w:rPr>
        <w:t xml:space="preserve">J Applied Hematol. </w:t>
      </w:r>
      <w:r w:rsidRPr="00AC328D">
        <w:rPr>
          <w:noProof/>
        </w:rPr>
        <w:t>2013;27-32.</w:t>
      </w:r>
    </w:p>
    <w:p w14:paraId="48AF03C0" w14:textId="77777777" w:rsidR="00AC328D" w:rsidRPr="00AC328D" w:rsidRDefault="00AC328D" w:rsidP="00AC328D">
      <w:pPr>
        <w:pStyle w:val="EndNoteBibliography"/>
        <w:ind w:left="720" w:hanging="720"/>
        <w:rPr>
          <w:noProof/>
        </w:rPr>
      </w:pPr>
      <w:r w:rsidRPr="00AC328D">
        <w:rPr>
          <w:noProof/>
        </w:rPr>
        <w:t>7.</w:t>
      </w:r>
      <w:r w:rsidRPr="00AC328D">
        <w:rPr>
          <w:noProof/>
        </w:rPr>
        <w:tab/>
        <w:t xml:space="preserve">Halpern SD, French B, Small DS, et al. Randomized trial of four financial-incentive programs for smoking cessation. </w:t>
      </w:r>
      <w:r w:rsidRPr="00AC328D">
        <w:rPr>
          <w:i/>
          <w:noProof/>
        </w:rPr>
        <w:t xml:space="preserve">N Engl J Med. </w:t>
      </w:r>
      <w:r w:rsidRPr="00AC328D">
        <w:rPr>
          <w:noProof/>
        </w:rPr>
        <w:t>2015;372(22):2108-2117.</w:t>
      </w:r>
    </w:p>
    <w:p w14:paraId="59FEB492" w14:textId="0B65AE2C" w:rsidR="0066083D" w:rsidRPr="00A12E08" w:rsidRDefault="00AC328D" w:rsidP="00796A49">
      <w:pPr>
        <w:pStyle w:val="EndNoteBibliography"/>
        <w:ind w:left="720" w:hanging="720"/>
      </w:pPr>
      <w:r w:rsidRPr="00AC328D">
        <w:rPr>
          <w:noProof/>
        </w:rPr>
        <w:t>8.</w:t>
      </w:r>
      <w:r w:rsidRPr="00AC328D">
        <w:rPr>
          <w:noProof/>
        </w:rPr>
        <w:tab/>
        <w:t xml:space="preserve">Bevilacqua JL, Kattan MW, Fey JV, Cody HS, 3rd, Borgen PI, Van Zee KJ. Doctor, what are my chances of having a positive sentinel node? A validated nomogram for risk estimation. </w:t>
      </w:r>
      <w:r w:rsidRPr="00AC328D">
        <w:rPr>
          <w:i/>
          <w:noProof/>
        </w:rPr>
        <w:t xml:space="preserve">J Clin Oncol. </w:t>
      </w:r>
      <w:r w:rsidRPr="00AC328D">
        <w:rPr>
          <w:noProof/>
        </w:rPr>
        <w:t>2007;25(24):3670-3679.</w:t>
      </w:r>
      <w:r w:rsidR="00A33B31" w:rsidRPr="00A12E08">
        <w:fldChar w:fldCharType="end"/>
      </w:r>
      <w:bookmarkStart w:id="3" w:name="_GoBack"/>
      <w:bookmarkEnd w:id="3"/>
    </w:p>
    <w:p w14:paraId="7BD2BEDC" w14:textId="5E7A218F" w:rsidR="006A2956" w:rsidRPr="00A12E08" w:rsidRDefault="006A2956" w:rsidP="00A12E08">
      <w:pPr>
        <w:rPr>
          <w:rFonts w:ascii="Arial" w:hAnsi="Arial" w:cs="Arial"/>
        </w:rPr>
      </w:pPr>
    </w:p>
    <w:sectPr w:rsidR="006A2956" w:rsidRPr="00A12E08" w:rsidSect="003051B3">
      <w:headerReference w:type="default" r:id="rId16"/>
      <w:footerReference w:type="default" r:id="rId17"/>
      <w:pgSz w:w="12240" w:h="15840"/>
      <w:pgMar w:top="1296" w:right="1152" w:bottom="1296" w:left="1152" w:header="720" w:footer="259"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Tom Newman" w:date="2016-11-17T15:50:00Z" w:initials="TBN">
    <w:p w14:paraId="2C5FECB9" w14:textId="77777777" w:rsidR="00163655" w:rsidRDefault="00163655" w:rsidP="00362B89">
      <w:pPr>
        <w:pStyle w:val="CommentText"/>
      </w:pPr>
      <w:r>
        <w:rPr>
          <w:rStyle w:val="CommentReference"/>
        </w:rPr>
        <w:annotationRef/>
      </w:r>
      <w:r>
        <w:t>Vs 3?  I can think of 3 pretty distinct ones, but some might combine them.</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E602CA" w14:textId="77777777" w:rsidR="00163655" w:rsidRDefault="00163655" w:rsidP="00AD63A4">
      <w:r>
        <w:separator/>
      </w:r>
    </w:p>
  </w:endnote>
  <w:endnote w:type="continuationSeparator" w:id="0">
    <w:p w14:paraId="6DCDF20A" w14:textId="77777777" w:rsidR="00163655" w:rsidRDefault="00163655" w:rsidP="00AD63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F4728" w14:textId="77777777" w:rsidR="00163655" w:rsidRDefault="00163655" w:rsidP="004863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6A49">
      <w:rPr>
        <w:rStyle w:val="PageNumber"/>
        <w:noProof/>
      </w:rPr>
      <w:t>1</w:t>
    </w:r>
    <w:r>
      <w:rPr>
        <w:rStyle w:val="PageNumber"/>
      </w:rPr>
      <w:fldChar w:fldCharType="end"/>
    </w:r>
  </w:p>
  <w:p w14:paraId="09F6BB5E" w14:textId="77777777" w:rsidR="00163655" w:rsidRDefault="00163655" w:rsidP="004863DD">
    <w:pPr>
      <w:pStyle w:val="Footer"/>
      <w:ind w:right="360"/>
      <w:jc w:val="center"/>
    </w:pPr>
  </w:p>
  <w:p w14:paraId="597EB57A" w14:textId="77777777" w:rsidR="00163655" w:rsidRDefault="00163655" w:rsidP="00AE50A1">
    <w:pPr>
      <w:pStyle w:val="Footer"/>
      <w:jc w:val="center"/>
    </w:pPr>
  </w:p>
  <w:p w14:paraId="70744317" w14:textId="77777777" w:rsidR="00163655" w:rsidRDefault="0016365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59269" w14:textId="77777777" w:rsidR="00163655" w:rsidRDefault="00163655" w:rsidP="00AD63A4">
      <w:r>
        <w:separator/>
      </w:r>
    </w:p>
  </w:footnote>
  <w:footnote w:type="continuationSeparator" w:id="0">
    <w:p w14:paraId="7B0150DC" w14:textId="77777777" w:rsidR="00163655" w:rsidRDefault="00163655" w:rsidP="00AD63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D5C67" w14:textId="42D07A6D" w:rsidR="00163655" w:rsidRPr="00077F1A" w:rsidRDefault="00163655" w:rsidP="00AE50A1">
    <w:pPr>
      <w:ind w:right="357"/>
      <w:rPr>
        <w:b/>
        <w:sz w:val="28"/>
        <w:szCs w:val="28"/>
      </w:rPr>
    </w:pPr>
    <w:r w:rsidRPr="0046686A">
      <w:rPr>
        <w:sz w:val="28"/>
        <w:szCs w:val="28"/>
      </w:rPr>
      <w:t>Clinical Epidemiology Final Examination, Fall 201</w:t>
    </w:r>
    <w:r>
      <w:rPr>
        <w:sz w:val="28"/>
        <w:szCs w:val="28"/>
      </w:rPr>
      <w:t>6</w:t>
    </w:r>
  </w:p>
  <w:p w14:paraId="00FED09C" w14:textId="77777777" w:rsidR="00163655" w:rsidRDefault="00163655" w:rsidP="00AE50A1">
    <w:pPr>
      <w:ind w:right="357"/>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37D"/>
    <w:multiLevelType w:val="hybridMultilevel"/>
    <w:tmpl w:val="02664000"/>
    <w:lvl w:ilvl="0" w:tplc="04090019">
      <w:start w:val="1"/>
      <w:numFmt w:val="lowerLetter"/>
      <w:lvlText w:val="%1."/>
      <w:lvlJc w:val="left"/>
      <w:pPr>
        <w:ind w:left="360" w:hanging="360"/>
      </w:pPr>
      <w:rPr>
        <w:rFonts w:cs="Times New Roman"/>
      </w:rPr>
    </w:lvl>
    <w:lvl w:ilvl="1" w:tplc="0409001B">
      <w:start w:val="1"/>
      <w:numFmt w:val="lowerRoman"/>
      <w:lvlText w:val="%2."/>
      <w:lvlJc w:val="right"/>
      <w:pPr>
        <w:ind w:left="720" w:hanging="360"/>
      </w:pPr>
      <w:rPr>
        <w:rFonts w:cs="Times New Roman" w:hint="default"/>
        <w:i w:val="0"/>
      </w:rPr>
    </w:lvl>
    <w:lvl w:ilvl="2" w:tplc="09C666B8">
      <w:start w:val="1"/>
      <w:numFmt w:val="lowerRoman"/>
      <w:lvlText w:val="%3."/>
      <w:lvlJc w:val="right"/>
      <w:pPr>
        <w:ind w:left="1620" w:hanging="180"/>
      </w:pPr>
      <w:rPr>
        <w:rFonts w:cs="Times New Roman"/>
        <w:i w:val="0"/>
      </w:rPr>
    </w:lvl>
    <w:lvl w:ilvl="3" w:tplc="C91015E0">
      <w:start w:val="1"/>
      <w:numFmt w:val="decimal"/>
      <w:lvlText w:val="%4)"/>
      <w:lvlJc w:val="left"/>
      <w:pPr>
        <w:tabs>
          <w:tab w:val="num" w:pos="2520"/>
        </w:tabs>
        <w:ind w:left="2520" w:hanging="360"/>
      </w:pPr>
      <w:rPr>
        <w:rFonts w:cs="Times New Roman" w:hint="default"/>
        <w:b w:val="0"/>
        <w:i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0B7712BB"/>
    <w:multiLevelType w:val="hybridMultilevel"/>
    <w:tmpl w:val="975E72C0"/>
    <w:lvl w:ilvl="0" w:tplc="385C9AB2">
      <w:start w:val="1"/>
      <w:numFmt w:val="lowerLetter"/>
      <w:lvlText w:val="%1.)"/>
      <w:lvlJc w:val="left"/>
      <w:pPr>
        <w:ind w:left="360" w:hanging="360"/>
      </w:pPr>
      <w:rPr>
        <w:rFonts w:cs="Times New Roman" w:hint="default"/>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nsid w:val="0C221DD8"/>
    <w:multiLevelType w:val="hybridMultilevel"/>
    <w:tmpl w:val="517EB5AC"/>
    <w:lvl w:ilvl="0" w:tplc="90BABF16">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C832597"/>
    <w:multiLevelType w:val="hybridMultilevel"/>
    <w:tmpl w:val="D6D667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A916F7B"/>
    <w:multiLevelType w:val="hybridMultilevel"/>
    <w:tmpl w:val="ECB22E30"/>
    <w:lvl w:ilvl="0" w:tplc="C81C8612">
      <w:start w:val="1"/>
      <w:numFmt w:val="lowerRoman"/>
      <w:lvlText w:val="%1."/>
      <w:lvlJc w:val="left"/>
      <w:pPr>
        <w:ind w:left="1660" w:hanging="9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BE00FFD"/>
    <w:multiLevelType w:val="hybridMultilevel"/>
    <w:tmpl w:val="2B66507A"/>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A02770"/>
    <w:multiLevelType w:val="hybridMultilevel"/>
    <w:tmpl w:val="1CDA509C"/>
    <w:lvl w:ilvl="0" w:tplc="2978696E">
      <w:start w:val="5"/>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822385"/>
    <w:multiLevelType w:val="hybridMultilevel"/>
    <w:tmpl w:val="BE88EC40"/>
    <w:lvl w:ilvl="0" w:tplc="0409000F">
      <w:start w:val="1"/>
      <w:numFmt w:val="decimal"/>
      <w:lvlText w:val="%1."/>
      <w:lvlJc w:val="left"/>
      <w:pPr>
        <w:ind w:left="360" w:hanging="360"/>
      </w:pPr>
    </w:lvl>
    <w:lvl w:ilvl="1" w:tplc="0409001B">
      <w:start w:val="1"/>
      <w:numFmt w:val="lowerRoman"/>
      <w:lvlText w:val="%2."/>
      <w:lvlJc w:val="right"/>
      <w:pPr>
        <w:ind w:left="720" w:hanging="360"/>
      </w:pPr>
      <w:rPr>
        <w:rFonts w:cs="Times New Roman" w:hint="default"/>
        <w:i w:val="0"/>
      </w:rPr>
    </w:lvl>
    <w:lvl w:ilvl="2" w:tplc="09C666B8">
      <w:start w:val="1"/>
      <w:numFmt w:val="lowerRoman"/>
      <w:lvlText w:val="%3."/>
      <w:lvlJc w:val="right"/>
      <w:pPr>
        <w:ind w:left="1620" w:hanging="180"/>
      </w:pPr>
      <w:rPr>
        <w:rFonts w:cs="Times New Roman"/>
        <w:i w:val="0"/>
      </w:rPr>
    </w:lvl>
    <w:lvl w:ilvl="3" w:tplc="C91015E0">
      <w:start w:val="1"/>
      <w:numFmt w:val="decimal"/>
      <w:lvlText w:val="%4)"/>
      <w:lvlJc w:val="left"/>
      <w:pPr>
        <w:tabs>
          <w:tab w:val="num" w:pos="2520"/>
        </w:tabs>
        <w:ind w:left="2520" w:hanging="360"/>
      </w:pPr>
      <w:rPr>
        <w:rFonts w:cs="Times New Roman" w:hint="default"/>
        <w:b w:val="0"/>
        <w:i w:val="0"/>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72C7761"/>
    <w:multiLevelType w:val="hybridMultilevel"/>
    <w:tmpl w:val="1460F28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B935DDD"/>
    <w:multiLevelType w:val="hybridMultilevel"/>
    <w:tmpl w:val="19181066"/>
    <w:lvl w:ilvl="0" w:tplc="116EFA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690891"/>
    <w:multiLevelType w:val="hybridMultilevel"/>
    <w:tmpl w:val="81B69B12"/>
    <w:lvl w:ilvl="0" w:tplc="908854C8">
      <w:start w:val="1"/>
      <w:numFmt w:val="lowerLetter"/>
      <w:lvlText w:val="%1."/>
      <w:lvlJc w:val="left"/>
      <w:pPr>
        <w:ind w:left="360" w:hanging="360"/>
      </w:pPr>
      <w:rPr>
        <w:rFonts w:cs="Times New Roman" w:hint="default"/>
        <w:b w:val="0"/>
      </w:rPr>
    </w:lvl>
    <w:lvl w:ilvl="1" w:tplc="0409001B">
      <w:start w:val="1"/>
      <w:numFmt w:val="lowerRoman"/>
      <w:lvlText w:val="%2."/>
      <w:lvlJc w:val="righ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322F7D65"/>
    <w:multiLevelType w:val="hybridMultilevel"/>
    <w:tmpl w:val="201412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39797D"/>
    <w:multiLevelType w:val="hybridMultilevel"/>
    <w:tmpl w:val="5DD87E60"/>
    <w:lvl w:ilvl="0" w:tplc="04090019">
      <w:start w:val="1"/>
      <w:numFmt w:val="lowerLetter"/>
      <w:lvlText w:val="%1."/>
      <w:lvlJc w:val="left"/>
      <w:pPr>
        <w:ind w:left="720" w:hanging="360"/>
      </w:pPr>
      <w:rPr>
        <w:rFonts w:cs="Times New Roman"/>
      </w:rPr>
    </w:lvl>
    <w:lvl w:ilvl="1" w:tplc="B7C21CAA">
      <w:start w:val="1"/>
      <w:numFmt w:val="lowerLetter"/>
      <w:lvlText w:val="%2)"/>
      <w:lvlJc w:val="left"/>
      <w:pPr>
        <w:ind w:left="1440" w:hanging="360"/>
      </w:pPr>
      <w:rPr>
        <w:rFonts w:cs="Times New Roman" w:hint="default"/>
        <w:i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33D1A1E"/>
    <w:multiLevelType w:val="hybridMultilevel"/>
    <w:tmpl w:val="6A0251B0"/>
    <w:lvl w:ilvl="0" w:tplc="F64443CC">
      <w:start w:val="3"/>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6954CAC"/>
    <w:multiLevelType w:val="hybridMultilevel"/>
    <w:tmpl w:val="39D4C184"/>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8591B62"/>
    <w:multiLevelType w:val="hybridMultilevel"/>
    <w:tmpl w:val="18745B2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B06409E"/>
    <w:multiLevelType w:val="hybridMultilevel"/>
    <w:tmpl w:val="D222F3F6"/>
    <w:lvl w:ilvl="0" w:tplc="04090019">
      <w:start w:val="1"/>
      <w:numFmt w:val="lowerLetter"/>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1315DE"/>
    <w:multiLevelType w:val="hybridMultilevel"/>
    <w:tmpl w:val="B274B464"/>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D832B74"/>
    <w:multiLevelType w:val="hybridMultilevel"/>
    <w:tmpl w:val="B6F0CC4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5EE36EA6"/>
    <w:multiLevelType w:val="hybridMultilevel"/>
    <w:tmpl w:val="2550CDA6"/>
    <w:lvl w:ilvl="0" w:tplc="A7A888A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FBC0522"/>
    <w:multiLevelType w:val="hybridMultilevel"/>
    <w:tmpl w:val="AAB8E5F8"/>
    <w:lvl w:ilvl="0" w:tplc="0F3843A4">
      <w:start w:val="1"/>
      <w:numFmt w:val="lowerLetter"/>
      <w:lvlText w:val="%1.)"/>
      <w:lvlJc w:val="left"/>
      <w:pPr>
        <w:ind w:left="360" w:hanging="360"/>
      </w:pPr>
      <w:rPr>
        <w:rFonts w:ascii="Times" w:hAnsi="Times" w:cs="Times New Roman" w:hint="default"/>
        <w:sz w:val="22"/>
        <w:szCs w:val="22"/>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6182758E"/>
    <w:multiLevelType w:val="hybridMultilevel"/>
    <w:tmpl w:val="40D2376C"/>
    <w:lvl w:ilvl="0" w:tplc="908854C8">
      <w:start w:val="1"/>
      <w:numFmt w:val="lowerLetter"/>
      <w:lvlText w:val="%1."/>
      <w:lvlJc w:val="left"/>
      <w:pPr>
        <w:ind w:left="360" w:hanging="360"/>
      </w:pPr>
      <w:rPr>
        <w:rFonts w:cs="Times New Roman" w:hint="default"/>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68794887"/>
    <w:multiLevelType w:val="hybridMultilevel"/>
    <w:tmpl w:val="DE3A0D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B06018"/>
    <w:multiLevelType w:val="hybridMultilevel"/>
    <w:tmpl w:val="9744A9D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AA50D3E"/>
    <w:multiLevelType w:val="hybridMultilevel"/>
    <w:tmpl w:val="51D23D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BB599F"/>
    <w:multiLevelType w:val="hybridMultilevel"/>
    <w:tmpl w:val="39086E0A"/>
    <w:lvl w:ilvl="0" w:tplc="CDEE9E1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7A944F6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B4E26EC"/>
    <w:multiLevelType w:val="hybridMultilevel"/>
    <w:tmpl w:val="A8402962"/>
    <w:lvl w:ilvl="0" w:tplc="60309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1"/>
  </w:num>
  <w:num w:numId="4">
    <w:abstractNumId w:val="12"/>
  </w:num>
  <w:num w:numId="5">
    <w:abstractNumId w:val="0"/>
  </w:num>
  <w:num w:numId="6">
    <w:abstractNumId w:val="21"/>
  </w:num>
  <w:num w:numId="7">
    <w:abstractNumId w:val="10"/>
  </w:num>
  <w:num w:numId="8">
    <w:abstractNumId w:val="14"/>
  </w:num>
  <w:num w:numId="9">
    <w:abstractNumId w:val="25"/>
  </w:num>
  <w:num w:numId="10">
    <w:abstractNumId w:val="6"/>
  </w:num>
  <w:num w:numId="11">
    <w:abstractNumId w:val="19"/>
  </w:num>
  <w:num w:numId="12">
    <w:abstractNumId w:val="13"/>
  </w:num>
  <w:num w:numId="13">
    <w:abstractNumId w:val="24"/>
  </w:num>
  <w:num w:numId="14">
    <w:abstractNumId w:val="9"/>
  </w:num>
  <w:num w:numId="15">
    <w:abstractNumId w:val="7"/>
  </w:num>
  <w:num w:numId="16">
    <w:abstractNumId w:val="4"/>
  </w:num>
  <w:num w:numId="17">
    <w:abstractNumId w:val="16"/>
  </w:num>
  <w:num w:numId="18">
    <w:abstractNumId w:val="15"/>
  </w:num>
  <w:num w:numId="19">
    <w:abstractNumId w:val="2"/>
  </w:num>
  <w:num w:numId="20">
    <w:abstractNumId w:val="27"/>
  </w:num>
  <w:num w:numId="21">
    <w:abstractNumId w:val="23"/>
  </w:num>
  <w:num w:numId="22">
    <w:abstractNumId w:val="22"/>
  </w:num>
  <w:num w:numId="23">
    <w:abstractNumId w:val="3"/>
  </w:num>
  <w:num w:numId="24">
    <w:abstractNumId w:val="26"/>
  </w:num>
  <w:num w:numId="25">
    <w:abstractNumId w:val="11"/>
  </w:num>
  <w:num w:numId="26">
    <w:abstractNumId w:val="17"/>
  </w:num>
  <w:num w:numId="27">
    <w:abstractNumId w:val="5"/>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activeWritingStyle w:appName="MSWord" w:lang="en-CA" w:vendorID="64" w:dllVersion="131078" w:nlCheck="1" w:checkStyle="1"/>
  <w:activeWritingStyle w:appName="MSWord" w:lang="en-US" w:vendorID="64" w:dllVersion="131078" w:nlCheck="1" w:checkStyle="1"/>
  <w:activeWritingStyle w:appName="MSWord" w:lang="fr-FR" w:vendorID="64" w:dllVersion="131078" w:nlCheck="1" w:checkStyle="1"/>
  <w:revisionView w:markup="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JAMA&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wrswzpewzvvze9sxpxree4s0x5vdrwfapp&quot;&gt;MasterLibrary-2016-0428&lt;record-ids&gt;&lt;item&gt;3990&lt;/item&gt;&lt;item&gt;3991&lt;/item&gt;&lt;item&gt;3992&lt;/item&gt;&lt;item&gt;3993&lt;/item&gt;&lt;item&gt;3995&lt;/item&gt;&lt;item&gt;3996&lt;/item&gt;&lt;item&gt;3997&lt;/item&gt;&lt;item&gt;3998&lt;/item&gt;&lt;/record-ids&gt;&lt;/item&gt;&lt;/Libraries&gt;"/>
  </w:docVars>
  <w:rsids>
    <w:rsidRoot w:val="00AD63A4"/>
    <w:rsid w:val="00002AB6"/>
    <w:rsid w:val="00003270"/>
    <w:rsid w:val="00004B5E"/>
    <w:rsid w:val="00013AAF"/>
    <w:rsid w:val="00017190"/>
    <w:rsid w:val="000212FD"/>
    <w:rsid w:val="000219EA"/>
    <w:rsid w:val="00022E92"/>
    <w:rsid w:val="00023703"/>
    <w:rsid w:val="00024556"/>
    <w:rsid w:val="00025537"/>
    <w:rsid w:val="00033992"/>
    <w:rsid w:val="00033D91"/>
    <w:rsid w:val="000347E1"/>
    <w:rsid w:val="00035F63"/>
    <w:rsid w:val="00036847"/>
    <w:rsid w:val="00037030"/>
    <w:rsid w:val="00041A09"/>
    <w:rsid w:val="00041DB0"/>
    <w:rsid w:val="00047783"/>
    <w:rsid w:val="000526A3"/>
    <w:rsid w:val="000532E5"/>
    <w:rsid w:val="00054F78"/>
    <w:rsid w:val="00060A13"/>
    <w:rsid w:val="0006205F"/>
    <w:rsid w:val="00067D89"/>
    <w:rsid w:val="00077F1A"/>
    <w:rsid w:val="00083D39"/>
    <w:rsid w:val="0008412A"/>
    <w:rsid w:val="00084959"/>
    <w:rsid w:val="000917B8"/>
    <w:rsid w:val="0009187E"/>
    <w:rsid w:val="000922B9"/>
    <w:rsid w:val="00093D46"/>
    <w:rsid w:val="00093E7C"/>
    <w:rsid w:val="00095730"/>
    <w:rsid w:val="000966D7"/>
    <w:rsid w:val="000A3500"/>
    <w:rsid w:val="000A3EB7"/>
    <w:rsid w:val="000A41B3"/>
    <w:rsid w:val="000A4717"/>
    <w:rsid w:val="000A769D"/>
    <w:rsid w:val="000B0659"/>
    <w:rsid w:val="000B0906"/>
    <w:rsid w:val="000B097D"/>
    <w:rsid w:val="000B5AB5"/>
    <w:rsid w:val="000C1AF3"/>
    <w:rsid w:val="000C3FB3"/>
    <w:rsid w:val="000C533F"/>
    <w:rsid w:val="000C5DA4"/>
    <w:rsid w:val="000C6F06"/>
    <w:rsid w:val="000D2685"/>
    <w:rsid w:val="000D61B5"/>
    <w:rsid w:val="000D6A8B"/>
    <w:rsid w:val="000D6AE3"/>
    <w:rsid w:val="000E232B"/>
    <w:rsid w:val="000E365B"/>
    <w:rsid w:val="000E39EF"/>
    <w:rsid w:val="000E3ECB"/>
    <w:rsid w:val="000E527F"/>
    <w:rsid w:val="000E7026"/>
    <w:rsid w:val="000F298A"/>
    <w:rsid w:val="0010280E"/>
    <w:rsid w:val="00103779"/>
    <w:rsid w:val="00105285"/>
    <w:rsid w:val="00112026"/>
    <w:rsid w:val="001135F6"/>
    <w:rsid w:val="001143C8"/>
    <w:rsid w:val="00117BB3"/>
    <w:rsid w:val="001220FB"/>
    <w:rsid w:val="001225A7"/>
    <w:rsid w:val="0012507C"/>
    <w:rsid w:val="00125ADC"/>
    <w:rsid w:val="00126910"/>
    <w:rsid w:val="001269A4"/>
    <w:rsid w:val="00127421"/>
    <w:rsid w:val="00131BCC"/>
    <w:rsid w:val="00133D87"/>
    <w:rsid w:val="00134B1F"/>
    <w:rsid w:val="0013510A"/>
    <w:rsid w:val="00143AE3"/>
    <w:rsid w:val="001463C8"/>
    <w:rsid w:val="001502A6"/>
    <w:rsid w:val="00153102"/>
    <w:rsid w:val="001553C9"/>
    <w:rsid w:val="00155D54"/>
    <w:rsid w:val="00156636"/>
    <w:rsid w:val="00163655"/>
    <w:rsid w:val="00163A58"/>
    <w:rsid w:val="0016595D"/>
    <w:rsid w:val="0016703D"/>
    <w:rsid w:val="001710F4"/>
    <w:rsid w:val="001714DA"/>
    <w:rsid w:val="001765B0"/>
    <w:rsid w:val="00181B11"/>
    <w:rsid w:val="00181E78"/>
    <w:rsid w:val="00187118"/>
    <w:rsid w:val="001876CD"/>
    <w:rsid w:val="001931A8"/>
    <w:rsid w:val="001946DC"/>
    <w:rsid w:val="0019585A"/>
    <w:rsid w:val="001962B9"/>
    <w:rsid w:val="00196E50"/>
    <w:rsid w:val="001A083B"/>
    <w:rsid w:val="001A18FD"/>
    <w:rsid w:val="001A1936"/>
    <w:rsid w:val="001A3440"/>
    <w:rsid w:val="001B5232"/>
    <w:rsid w:val="001B58CC"/>
    <w:rsid w:val="001B7087"/>
    <w:rsid w:val="001C1B38"/>
    <w:rsid w:val="001C7028"/>
    <w:rsid w:val="001C7BF1"/>
    <w:rsid w:val="001D4106"/>
    <w:rsid w:val="001D5D0C"/>
    <w:rsid w:val="001D6977"/>
    <w:rsid w:val="001D6CD3"/>
    <w:rsid w:val="001E5B63"/>
    <w:rsid w:val="001E7D0D"/>
    <w:rsid w:val="001F3B2B"/>
    <w:rsid w:val="001F7BB3"/>
    <w:rsid w:val="0020132F"/>
    <w:rsid w:val="00205C0B"/>
    <w:rsid w:val="002115FB"/>
    <w:rsid w:val="00212923"/>
    <w:rsid w:val="002138B9"/>
    <w:rsid w:val="00221447"/>
    <w:rsid w:val="00227783"/>
    <w:rsid w:val="00237948"/>
    <w:rsid w:val="00240C03"/>
    <w:rsid w:val="00242D5C"/>
    <w:rsid w:val="00243F23"/>
    <w:rsid w:val="00245B19"/>
    <w:rsid w:val="00246A26"/>
    <w:rsid w:val="00246E39"/>
    <w:rsid w:val="00247F0C"/>
    <w:rsid w:val="002521B8"/>
    <w:rsid w:val="002565BE"/>
    <w:rsid w:val="0025663D"/>
    <w:rsid w:val="002572C8"/>
    <w:rsid w:val="00260EA9"/>
    <w:rsid w:val="0026235A"/>
    <w:rsid w:val="00262701"/>
    <w:rsid w:val="002638F1"/>
    <w:rsid w:val="002656FF"/>
    <w:rsid w:val="00272636"/>
    <w:rsid w:val="002735CF"/>
    <w:rsid w:val="00274EFD"/>
    <w:rsid w:val="00275557"/>
    <w:rsid w:val="00277496"/>
    <w:rsid w:val="00277571"/>
    <w:rsid w:val="002873B8"/>
    <w:rsid w:val="0029043E"/>
    <w:rsid w:val="00290AE9"/>
    <w:rsid w:val="00294EDD"/>
    <w:rsid w:val="00295214"/>
    <w:rsid w:val="00295FBE"/>
    <w:rsid w:val="00296B72"/>
    <w:rsid w:val="002970AB"/>
    <w:rsid w:val="00297E28"/>
    <w:rsid w:val="002A2979"/>
    <w:rsid w:val="002A4514"/>
    <w:rsid w:val="002A4C52"/>
    <w:rsid w:val="002A5C33"/>
    <w:rsid w:val="002B1CA1"/>
    <w:rsid w:val="002B206F"/>
    <w:rsid w:val="002B54BD"/>
    <w:rsid w:val="002B7631"/>
    <w:rsid w:val="002B785F"/>
    <w:rsid w:val="002C2BC6"/>
    <w:rsid w:val="002C2CEA"/>
    <w:rsid w:val="002C3679"/>
    <w:rsid w:val="002D134D"/>
    <w:rsid w:val="002D1797"/>
    <w:rsid w:val="002D25DB"/>
    <w:rsid w:val="002D2FDB"/>
    <w:rsid w:val="002D3AB1"/>
    <w:rsid w:val="002D7588"/>
    <w:rsid w:val="002D7A57"/>
    <w:rsid w:val="002E3592"/>
    <w:rsid w:val="002E56BE"/>
    <w:rsid w:val="002E5949"/>
    <w:rsid w:val="002E6392"/>
    <w:rsid w:val="002E71BD"/>
    <w:rsid w:val="002F257F"/>
    <w:rsid w:val="002F579D"/>
    <w:rsid w:val="002F731A"/>
    <w:rsid w:val="00300CFE"/>
    <w:rsid w:val="003051B3"/>
    <w:rsid w:val="00311EDF"/>
    <w:rsid w:val="00312BEC"/>
    <w:rsid w:val="00314E1C"/>
    <w:rsid w:val="003165C8"/>
    <w:rsid w:val="00317815"/>
    <w:rsid w:val="00322679"/>
    <w:rsid w:val="00324AEB"/>
    <w:rsid w:val="00324BD3"/>
    <w:rsid w:val="00325C54"/>
    <w:rsid w:val="00330028"/>
    <w:rsid w:val="00332108"/>
    <w:rsid w:val="0033293A"/>
    <w:rsid w:val="00334531"/>
    <w:rsid w:val="00341061"/>
    <w:rsid w:val="00341AC0"/>
    <w:rsid w:val="003422A3"/>
    <w:rsid w:val="003462FC"/>
    <w:rsid w:val="0034673F"/>
    <w:rsid w:val="00350539"/>
    <w:rsid w:val="003527EA"/>
    <w:rsid w:val="00353D19"/>
    <w:rsid w:val="00355C20"/>
    <w:rsid w:val="00355DB2"/>
    <w:rsid w:val="00362B89"/>
    <w:rsid w:val="00362C2F"/>
    <w:rsid w:val="003645A6"/>
    <w:rsid w:val="0036603D"/>
    <w:rsid w:val="00366BF9"/>
    <w:rsid w:val="00367DB7"/>
    <w:rsid w:val="00370392"/>
    <w:rsid w:val="00371502"/>
    <w:rsid w:val="003719C1"/>
    <w:rsid w:val="00373494"/>
    <w:rsid w:val="0037501B"/>
    <w:rsid w:val="0038088B"/>
    <w:rsid w:val="00381077"/>
    <w:rsid w:val="00382E36"/>
    <w:rsid w:val="00386C50"/>
    <w:rsid w:val="00395EC2"/>
    <w:rsid w:val="003A3DA8"/>
    <w:rsid w:val="003B1806"/>
    <w:rsid w:val="003B5F29"/>
    <w:rsid w:val="003B6923"/>
    <w:rsid w:val="003C4E5B"/>
    <w:rsid w:val="003D0011"/>
    <w:rsid w:val="003D2CD5"/>
    <w:rsid w:val="003D2D47"/>
    <w:rsid w:val="003E26D3"/>
    <w:rsid w:val="003E3949"/>
    <w:rsid w:val="003E61FE"/>
    <w:rsid w:val="003F15D7"/>
    <w:rsid w:val="003F5DF9"/>
    <w:rsid w:val="00400C1F"/>
    <w:rsid w:val="004021C1"/>
    <w:rsid w:val="004028DF"/>
    <w:rsid w:val="0040592D"/>
    <w:rsid w:val="00411C6A"/>
    <w:rsid w:val="0041574B"/>
    <w:rsid w:val="00415BED"/>
    <w:rsid w:val="0042290F"/>
    <w:rsid w:val="0042760D"/>
    <w:rsid w:val="00427BDB"/>
    <w:rsid w:val="0043235D"/>
    <w:rsid w:val="0043476C"/>
    <w:rsid w:val="00443E60"/>
    <w:rsid w:val="00464DCC"/>
    <w:rsid w:val="0046686A"/>
    <w:rsid w:val="00467996"/>
    <w:rsid w:val="00470331"/>
    <w:rsid w:val="00472B8E"/>
    <w:rsid w:val="00472F45"/>
    <w:rsid w:val="00473421"/>
    <w:rsid w:val="00475E3A"/>
    <w:rsid w:val="0048109D"/>
    <w:rsid w:val="00481803"/>
    <w:rsid w:val="00482C1F"/>
    <w:rsid w:val="00483929"/>
    <w:rsid w:val="004842AA"/>
    <w:rsid w:val="004863DD"/>
    <w:rsid w:val="00486B74"/>
    <w:rsid w:val="004925B5"/>
    <w:rsid w:val="00493EBA"/>
    <w:rsid w:val="00495908"/>
    <w:rsid w:val="00495AD3"/>
    <w:rsid w:val="004A2F68"/>
    <w:rsid w:val="004A4293"/>
    <w:rsid w:val="004B12E7"/>
    <w:rsid w:val="004B2C8A"/>
    <w:rsid w:val="004B3470"/>
    <w:rsid w:val="004B5C4C"/>
    <w:rsid w:val="004C2629"/>
    <w:rsid w:val="004C2EF5"/>
    <w:rsid w:val="004C6E84"/>
    <w:rsid w:val="004D2393"/>
    <w:rsid w:val="004D27DC"/>
    <w:rsid w:val="004D3ABB"/>
    <w:rsid w:val="004D6FDD"/>
    <w:rsid w:val="004D72A9"/>
    <w:rsid w:val="004E1BF9"/>
    <w:rsid w:val="004E1C01"/>
    <w:rsid w:val="004F06DD"/>
    <w:rsid w:val="004F0EDC"/>
    <w:rsid w:val="004F33A3"/>
    <w:rsid w:val="004F5763"/>
    <w:rsid w:val="004F5E65"/>
    <w:rsid w:val="00505056"/>
    <w:rsid w:val="00507D96"/>
    <w:rsid w:val="00510804"/>
    <w:rsid w:val="00510EB3"/>
    <w:rsid w:val="00512A48"/>
    <w:rsid w:val="00514295"/>
    <w:rsid w:val="00517E13"/>
    <w:rsid w:val="00521BCD"/>
    <w:rsid w:val="0052544D"/>
    <w:rsid w:val="005322D7"/>
    <w:rsid w:val="00533503"/>
    <w:rsid w:val="00536349"/>
    <w:rsid w:val="005370EA"/>
    <w:rsid w:val="00537985"/>
    <w:rsid w:val="005412CE"/>
    <w:rsid w:val="0054245D"/>
    <w:rsid w:val="005509B2"/>
    <w:rsid w:val="00551F5A"/>
    <w:rsid w:val="00552861"/>
    <w:rsid w:val="00553A70"/>
    <w:rsid w:val="005558CC"/>
    <w:rsid w:val="00570587"/>
    <w:rsid w:val="005718D5"/>
    <w:rsid w:val="00571C4F"/>
    <w:rsid w:val="00573E4A"/>
    <w:rsid w:val="00574006"/>
    <w:rsid w:val="00574CCB"/>
    <w:rsid w:val="00574E27"/>
    <w:rsid w:val="00575BEF"/>
    <w:rsid w:val="00577CF6"/>
    <w:rsid w:val="00582E3B"/>
    <w:rsid w:val="00586502"/>
    <w:rsid w:val="0058708B"/>
    <w:rsid w:val="00587A0D"/>
    <w:rsid w:val="00597374"/>
    <w:rsid w:val="005973CF"/>
    <w:rsid w:val="005A1C3D"/>
    <w:rsid w:val="005A3E68"/>
    <w:rsid w:val="005A7D44"/>
    <w:rsid w:val="005B2EA7"/>
    <w:rsid w:val="005B60A3"/>
    <w:rsid w:val="005B6102"/>
    <w:rsid w:val="005C1DB0"/>
    <w:rsid w:val="005C6224"/>
    <w:rsid w:val="005D32EB"/>
    <w:rsid w:val="005D759F"/>
    <w:rsid w:val="005E6269"/>
    <w:rsid w:val="005E748E"/>
    <w:rsid w:val="005F04AA"/>
    <w:rsid w:val="005F096C"/>
    <w:rsid w:val="005F1CAA"/>
    <w:rsid w:val="005F291C"/>
    <w:rsid w:val="005F3387"/>
    <w:rsid w:val="005F4561"/>
    <w:rsid w:val="005F46CD"/>
    <w:rsid w:val="005F5A54"/>
    <w:rsid w:val="00600EEB"/>
    <w:rsid w:val="00601601"/>
    <w:rsid w:val="006032C1"/>
    <w:rsid w:val="00607CCA"/>
    <w:rsid w:val="006109A2"/>
    <w:rsid w:val="006109FC"/>
    <w:rsid w:val="00610D7D"/>
    <w:rsid w:val="00613D49"/>
    <w:rsid w:val="00617D44"/>
    <w:rsid w:val="00620238"/>
    <w:rsid w:val="006253EA"/>
    <w:rsid w:val="0063096E"/>
    <w:rsid w:val="00630ED8"/>
    <w:rsid w:val="00633061"/>
    <w:rsid w:val="00635BE2"/>
    <w:rsid w:val="006360B8"/>
    <w:rsid w:val="0064485D"/>
    <w:rsid w:val="00646C14"/>
    <w:rsid w:val="00651915"/>
    <w:rsid w:val="006522AD"/>
    <w:rsid w:val="00652739"/>
    <w:rsid w:val="00654809"/>
    <w:rsid w:val="00655374"/>
    <w:rsid w:val="0065607C"/>
    <w:rsid w:val="0065758B"/>
    <w:rsid w:val="0066083D"/>
    <w:rsid w:val="00662077"/>
    <w:rsid w:val="00663E54"/>
    <w:rsid w:val="00671843"/>
    <w:rsid w:val="00672763"/>
    <w:rsid w:val="00674B03"/>
    <w:rsid w:val="00676B97"/>
    <w:rsid w:val="00682B1B"/>
    <w:rsid w:val="006854A4"/>
    <w:rsid w:val="0068731D"/>
    <w:rsid w:val="00687DE1"/>
    <w:rsid w:val="00693905"/>
    <w:rsid w:val="00693BBD"/>
    <w:rsid w:val="006946E4"/>
    <w:rsid w:val="00694CCF"/>
    <w:rsid w:val="00694DF9"/>
    <w:rsid w:val="00697C6D"/>
    <w:rsid w:val="006A0E0C"/>
    <w:rsid w:val="006A2956"/>
    <w:rsid w:val="006A3A99"/>
    <w:rsid w:val="006A4CD5"/>
    <w:rsid w:val="006A5DE1"/>
    <w:rsid w:val="006A679D"/>
    <w:rsid w:val="006B07B1"/>
    <w:rsid w:val="006B35A6"/>
    <w:rsid w:val="006B67EF"/>
    <w:rsid w:val="006C3984"/>
    <w:rsid w:val="006C461F"/>
    <w:rsid w:val="006C5026"/>
    <w:rsid w:val="006D0492"/>
    <w:rsid w:val="006D0A3D"/>
    <w:rsid w:val="006D1240"/>
    <w:rsid w:val="006D64CC"/>
    <w:rsid w:val="006E0D3C"/>
    <w:rsid w:val="006E47C4"/>
    <w:rsid w:val="006E5F56"/>
    <w:rsid w:val="006E763B"/>
    <w:rsid w:val="006E7DEC"/>
    <w:rsid w:val="006F3B7C"/>
    <w:rsid w:val="006F6599"/>
    <w:rsid w:val="006F7BAC"/>
    <w:rsid w:val="006F7C4C"/>
    <w:rsid w:val="00705DF1"/>
    <w:rsid w:val="00706525"/>
    <w:rsid w:val="00713D80"/>
    <w:rsid w:val="007143A4"/>
    <w:rsid w:val="00714568"/>
    <w:rsid w:val="007145BB"/>
    <w:rsid w:val="0071768C"/>
    <w:rsid w:val="007266D0"/>
    <w:rsid w:val="007275AA"/>
    <w:rsid w:val="007312F9"/>
    <w:rsid w:val="007343D1"/>
    <w:rsid w:val="00741AE0"/>
    <w:rsid w:val="007429F4"/>
    <w:rsid w:val="00743D86"/>
    <w:rsid w:val="007516E3"/>
    <w:rsid w:val="007522D1"/>
    <w:rsid w:val="007617E3"/>
    <w:rsid w:val="007628F4"/>
    <w:rsid w:val="007674F4"/>
    <w:rsid w:val="0077232D"/>
    <w:rsid w:val="0077280B"/>
    <w:rsid w:val="007733B6"/>
    <w:rsid w:val="0077585B"/>
    <w:rsid w:val="007767DF"/>
    <w:rsid w:val="00777808"/>
    <w:rsid w:val="00782668"/>
    <w:rsid w:val="00784B3E"/>
    <w:rsid w:val="00786B05"/>
    <w:rsid w:val="00790812"/>
    <w:rsid w:val="007923ED"/>
    <w:rsid w:val="00792E5E"/>
    <w:rsid w:val="00793989"/>
    <w:rsid w:val="0079436C"/>
    <w:rsid w:val="00796329"/>
    <w:rsid w:val="00796339"/>
    <w:rsid w:val="0079688E"/>
    <w:rsid w:val="00796A49"/>
    <w:rsid w:val="007A6CF8"/>
    <w:rsid w:val="007B5961"/>
    <w:rsid w:val="007B5EE5"/>
    <w:rsid w:val="007B7B90"/>
    <w:rsid w:val="007C2B61"/>
    <w:rsid w:val="007C3F7E"/>
    <w:rsid w:val="007C73F6"/>
    <w:rsid w:val="007D0F8A"/>
    <w:rsid w:val="007D18CD"/>
    <w:rsid w:val="007D1BDF"/>
    <w:rsid w:val="007D2187"/>
    <w:rsid w:val="007E2B8D"/>
    <w:rsid w:val="007F1338"/>
    <w:rsid w:val="007F3D23"/>
    <w:rsid w:val="007F6934"/>
    <w:rsid w:val="00801114"/>
    <w:rsid w:val="00810960"/>
    <w:rsid w:val="00812A08"/>
    <w:rsid w:val="00812BBD"/>
    <w:rsid w:val="008156D6"/>
    <w:rsid w:val="00820C61"/>
    <w:rsid w:val="00821BA8"/>
    <w:rsid w:val="00823105"/>
    <w:rsid w:val="008243E0"/>
    <w:rsid w:val="0082442A"/>
    <w:rsid w:val="008265C7"/>
    <w:rsid w:val="00826810"/>
    <w:rsid w:val="00831313"/>
    <w:rsid w:val="0083219D"/>
    <w:rsid w:val="00837C9B"/>
    <w:rsid w:val="00841512"/>
    <w:rsid w:val="008433AB"/>
    <w:rsid w:val="008457A0"/>
    <w:rsid w:val="008458FA"/>
    <w:rsid w:val="008472B9"/>
    <w:rsid w:val="008520D7"/>
    <w:rsid w:val="00852274"/>
    <w:rsid w:val="008560C2"/>
    <w:rsid w:val="00860D99"/>
    <w:rsid w:val="00863A8A"/>
    <w:rsid w:val="00864964"/>
    <w:rsid w:val="008731BB"/>
    <w:rsid w:val="00874453"/>
    <w:rsid w:val="00876EF0"/>
    <w:rsid w:val="0088683C"/>
    <w:rsid w:val="00893692"/>
    <w:rsid w:val="00893EA4"/>
    <w:rsid w:val="00894E90"/>
    <w:rsid w:val="00895586"/>
    <w:rsid w:val="00896505"/>
    <w:rsid w:val="008A3343"/>
    <w:rsid w:val="008A4230"/>
    <w:rsid w:val="008A6402"/>
    <w:rsid w:val="008B287A"/>
    <w:rsid w:val="008B3452"/>
    <w:rsid w:val="008B6B25"/>
    <w:rsid w:val="008C1B75"/>
    <w:rsid w:val="008C4CB4"/>
    <w:rsid w:val="008C6A0A"/>
    <w:rsid w:val="008C7D98"/>
    <w:rsid w:val="008D38DA"/>
    <w:rsid w:val="008D7A57"/>
    <w:rsid w:val="008E71DD"/>
    <w:rsid w:val="008F1476"/>
    <w:rsid w:val="008F21CA"/>
    <w:rsid w:val="008F77E6"/>
    <w:rsid w:val="0090100B"/>
    <w:rsid w:val="009013EA"/>
    <w:rsid w:val="0090312B"/>
    <w:rsid w:val="0091016D"/>
    <w:rsid w:val="00910477"/>
    <w:rsid w:val="009122F4"/>
    <w:rsid w:val="0091430D"/>
    <w:rsid w:val="00916098"/>
    <w:rsid w:val="00917184"/>
    <w:rsid w:val="009179F5"/>
    <w:rsid w:val="0092582D"/>
    <w:rsid w:val="00927A89"/>
    <w:rsid w:val="009350B1"/>
    <w:rsid w:val="0093610B"/>
    <w:rsid w:val="00937A9B"/>
    <w:rsid w:val="009404B3"/>
    <w:rsid w:val="00940715"/>
    <w:rsid w:val="00943A10"/>
    <w:rsid w:val="00943F87"/>
    <w:rsid w:val="00946D26"/>
    <w:rsid w:val="00947ECB"/>
    <w:rsid w:val="009547C1"/>
    <w:rsid w:val="0095516D"/>
    <w:rsid w:val="00955C7E"/>
    <w:rsid w:val="00961AEE"/>
    <w:rsid w:val="00973641"/>
    <w:rsid w:val="00980ABD"/>
    <w:rsid w:val="0098151E"/>
    <w:rsid w:val="00984630"/>
    <w:rsid w:val="00984D2C"/>
    <w:rsid w:val="009906BF"/>
    <w:rsid w:val="009A092E"/>
    <w:rsid w:val="009A0C94"/>
    <w:rsid w:val="009A14FB"/>
    <w:rsid w:val="009A4937"/>
    <w:rsid w:val="009A7E01"/>
    <w:rsid w:val="009B1383"/>
    <w:rsid w:val="009B4D8C"/>
    <w:rsid w:val="009B6660"/>
    <w:rsid w:val="009C2310"/>
    <w:rsid w:val="009C3BBA"/>
    <w:rsid w:val="009C49CA"/>
    <w:rsid w:val="009D0BA5"/>
    <w:rsid w:val="009D3750"/>
    <w:rsid w:val="009D414E"/>
    <w:rsid w:val="009D496B"/>
    <w:rsid w:val="009D5A9C"/>
    <w:rsid w:val="009E2C86"/>
    <w:rsid w:val="009E59D4"/>
    <w:rsid w:val="009F0510"/>
    <w:rsid w:val="009F3A56"/>
    <w:rsid w:val="009F3C9E"/>
    <w:rsid w:val="009F57DD"/>
    <w:rsid w:val="009F609C"/>
    <w:rsid w:val="009F6542"/>
    <w:rsid w:val="009F6BC1"/>
    <w:rsid w:val="00A01BC8"/>
    <w:rsid w:val="00A04B28"/>
    <w:rsid w:val="00A05FDD"/>
    <w:rsid w:val="00A11504"/>
    <w:rsid w:val="00A11F2A"/>
    <w:rsid w:val="00A12E08"/>
    <w:rsid w:val="00A16459"/>
    <w:rsid w:val="00A1651A"/>
    <w:rsid w:val="00A23D6C"/>
    <w:rsid w:val="00A23F3B"/>
    <w:rsid w:val="00A2464A"/>
    <w:rsid w:val="00A24BB7"/>
    <w:rsid w:val="00A2560C"/>
    <w:rsid w:val="00A26848"/>
    <w:rsid w:val="00A33B31"/>
    <w:rsid w:val="00A3458A"/>
    <w:rsid w:val="00A3485A"/>
    <w:rsid w:val="00A418CB"/>
    <w:rsid w:val="00A43C1A"/>
    <w:rsid w:val="00A44ED9"/>
    <w:rsid w:val="00A45188"/>
    <w:rsid w:val="00A53CBC"/>
    <w:rsid w:val="00A56653"/>
    <w:rsid w:val="00A625CD"/>
    <w:rsid w:val="00A6451D"/>
    <w:rsid w:val="00A76283"/>
    <w:rsid w:val="00A7638A"/>
    <w:rsid w:val="00A76613"/>
    <w:rsid w:val="00A77D36"/>
    <w:rsid w:val="00A82ADD"/>
    <w:rsid w:val="00A83896"/>
    <w:rsid w:val="00A83978"/>
    <w:rsid w:val="00A86034"/>
    <w:rsid w:val="00A8654E"/>
    <w:rsid w:val="00A90565"/>
    <w:rsid w:val="00A9222E"/>
    <w:rsid w:val="00A92684"/>
    <w:rsid w:val="00AA2BE2"/>
    <w:rsid w:val="00AA6376"/>
    <w:rsid w:val="00AA6FAE"/>
    <w:rsid w:val="00AB0D91"/>
    <w:rsid w:val="00AB36B1"/>
    <w:rsid w:val="00AB5846"/>
    <w:rsid w:val="00AB70DF"/>
    <w:rsid w:val="00AB7405"/>
    <w:rsid w:val="00AC0A22"/>
    <w:rsid w:val="00AC328D"/>
    <w:rsid w:val="00AC4D18"/>
    <w:rsid w:val="00AC58C6"/>
    <w:rsid w:val="00AC59DD"/>
    <w:rsid w:val="00AD1147"/>
    <w:rsid w:val="00AD1908"/>
    <w:rsid w:val="00AD2CDE"/>
    <w:rsid w:val="00AD398E"/>
    <w:rsid w:val="00AD5FFC"/>
    <w:rsid w:val="00AD6115"/>
    <w:rsid w:val="00AD63A4"/>
    <w:rsid w:val="00AD654D"/>
    <w:rsid w:val="00AE0928"/>
    <w:rsid w:val="00AE4EAB"/>
    <w:rsid w:val="00AE50A1"/>
    <w:rsid w:val="00AE63C7"/>
    <w:rsid w:val="00AE6AB4"/>
    <w:rsid w:val="00AE719A"/>
    <w:rsid w:val="00AF200F"/>
    <w:rsid w:val="00AF2A0B"/>
    <w:rsid w:val="00AF3055"/>
    <w:rsid w:val="00AF3A07"/>
    <w:rsid w:val="00AF4EE7"/>
    <w:rsid w:val="00B01E1C"/>
    <w:rsid w:val="00B0210A"/>
    <w:rsid w:val="00B0585C"/>
    <w:rsid w:val="00B0686F"/>
    <w:rsid w:val="00B07013"/>
    <w:rsid w:val="00B07B20"/>
    <w:rsid w:val="00B07E14"/>
    <w:rsid w:val="00B101E7"/>
    <w:rsid w:val="00B11862"/>
    <w:rsid w:val="00B133BF"/>
    <w:rsid w:val="00B148F9"/>
    <w:rsid w:val="00B17CCD"/>
    <w:rsid w:val="00B20E91"/>
    <w:rsid w:val="00B21DF0"/>
    <w:rsid w:val="00B22206"/>
    <w:rsid w:val="00B2227F"/>
    <w:rsid w:val="00B22E30"/>
    <w:rsid w:val="00B25035"/>
    <w:rsid w:val="00B2567E"/>
    <w:rsid w:val="00B26D88"/>
    <w:rsid w:val="00B3135E"/>
    <w:rsid w:val="00B31573"/>
    <w:rsid w:val="00B341F5"/>
    <w:rsid w:val="00B47F22"/>
    <w:rsid w:val="00B52038"/>
    <w:rsid w:val="00B53304"/>
    <w:rsid w:val="00B54C1B"/>
    <w:rsid w:val="00B57665"/>
    <w:rsid w:val="00B57A3C"/>
    <w:rsid w:val="00B57CF4"/>
    <w:rsid w:val="00B63973"/>
    <w:rsid w:val="00B64C94"/>
    <w:rsid w:val="00B659A3"/>
    <w:rsid w:val="00B679F6"/>
    <w:rsid w:val="00B72D81"/>
    <w:rsid w:val="00B74E26"/>
    <w:rsid w:val="00B750E0"/>
    <w:rsid w:val="00B751AD"/>
    <w:rsid w:val="00B84E26"/>
    <w:rsid w:val="00B85CE3"/>
    <w:rsid w:val="00B8626F"/>
    <w:rsid w:val="00B940BF"/>
    <w:rsid w:val="00B95E35"/>
    <w:rsid w:val="00B95F47"/>
    <w:rsid w:val="00BA79E3"/>
    <w:rsid w:val="00BB151C"/>
    <w:rsid w:val="00BB2457"/>
    <w:rsid w:val="00BB5CAE"/>
    <w:rsid w:val="00BC1166"/>
    <w:rsid w:val="00BC1A47"/>
    <w:rsid w:val="00BC1C14"/>
    <w:rsid w:val="00BC5CB0"/>
    <w:rsid w:val="00BC5E91"/>
    <w:rsid w:val="00BC7315"/>
    <w:rsid w:val="00BD5136"/>
    <w:rsid w:val="00BE49D0"/>
    <w:rsid w:val="00BE643F"/>
    <w:rsid w:val="00BF0641"/>
    <w:rsid w:val="00BF204F"/>
    <w:rsid w:val="00BF5628"/>
    <w:rsid w:val="00BF6629"/>
    <w:rsid w:val="00BF688B"/>
    <w:rsid w:val="00C02000"/>
    <w:rsid w:val="00C02AA2"/>
    <w:rsid w:val="00C046A9"/>
    <w:rsid w:val="00C05A69"/>
    <w:rsid w:val="00C06E6F"/>
    <w:rsid w:val="00C13654"/>
    <w:rsid w:val="00C17067"/>
    <w:rsid w:val="00C205C3"/>
    <w:rsid w:val="00C217C4"/>
    <w:rsid w:val="00C22287"/>
    <w:rsid w:val="00C22594"/>
    <w:rsid w:val="00C2413A"/>
    <w:rsid w:val="00C24337"/>
    <w:rsid w:val="00C244DC"/>
    <w:rsid w:val="00C27283"/>
    <w:rsid w:val="00C36A8A"/>
    <w:rsid w:val="00C37C6B"/>
    <w:rsid w:val="00C40DF7"/>
    <w:rsid w:val="00C437E7"/>
    <w:rsid w:val="00C45618"/>
    <w:rsid w:val="00C46B39"/>
    <w:rsid w:val="00C508C7"/>
    <w:rsid w:val="00C51C6E"/>
    <w:rsid w:val="00C53924"/>
    <w:rsid w:val="00C601F9"/>
    <w:rsid w:val="00C60959"/>
    <w:rsid w:val="00C632CF"/>
    <w:rsid w:val="00C64383"/>
    <w:rsid w:val="00C6482E"/>
    <w:rsid w:val="00C65DCC"/>
    <w:rsid w:val="00C66F3A"/>
    <w:rsid w:val="00C67915"/>
    <w:rsid w:val="00C74227"/>
    <w:rsid w:val="00C76B4C"/>
    <w:rsid w:val="00C77E63"/>
    <w:rsid w:val="00C77F1B"/>
    <w:rsid w:val="00C80E7F"/>
    <w:rsid w:val="00C82A22"/>
    <w:rsid w:val="00C85547"/>
    <w:rsid w:val="00C87C3E"/>
    <w:rsid w:val="00C91041"/>
    <w:rsid w:val="00C91C92"/>
    <w:rsid w:val="00C95653"/>
    <w:rsid w:val="00CA21A8"/>
    <w:rsid w:val="00CA2AD4"/>
    <w:rsid w:val="00CA3106"/>
    <w:rsid w:val="00CA50B1"/>
    <w:rsid w:val="00CB1A10"/>
    <w:rsid w:val="00CB392A"/>
    <w:rsid w:val="00CB4C56"/>
    <w:rsid w:val="00CB6C6B"/>
    <w:rsid w:val="00CC0180"/>
    <w:rsid w:val="00CC11DD"/>
    <w:rsid w:val="00CC22B8"/>
    <w:rsid w:val="00CC653B"/>
    <w:rsid w:val="00CD0E88"/>
    <w:rsid w:val="00CD2546"/>
    <w:rsid w:val="00CD32AB"/>
    <w:rsid w:val="00CD333A"/>
    <w:rsid w:val="00CD5616"/>
    <w:rsid w:val="00CE01EF"/>
    <w:rsid w:val="00CE2956"/>
    <w:rsid w:val="00CE2B09"/>
    <w:rsid w:val="00CE3033"/>
    <w:rsid w:val="00CE3FFB"/>
    <w:rsid w:val="00CE41E9"/>
    <w:rsid w:val="00CF305B"/>
    <w:rsid w:val="00CF357B"/>
    <w:rsid w:val="00CF37DE"/>
    <w:rsid w:val="00CF3C0D"/>
    <w:rsid w:val="00CF7027"/>
    <w:rsid w:val="00CF7137"/>
    <w:rsid w:val="00D0142A"/>
    <w:rsid w:val="00D047D1"/>
    <w:rsid w:val="00D15237"/>
    <w:rsid w:val="00D228EC"/>
    <w:rsid w:val="00D27C7D"/>
    <w:rsid w:val="00D36452"/>
    <w:rsid w:val="00D406E2"/>
    <w:rsid w:val="00D40797"/>
    <w:rsid w:val="00D417D1"/>
    <w:rsid w:val="00D438B3"/>
    <w:rsid w:val="00D46ECF"/>
    <w:rsid w:val="00D474EB"/>
    <w:rsid w:val="00D536AF"/>
    <w:rsid w:val="00D53AD5"/>
    <w:rsid w:val="00D559DA"/>
    <w:rsid w:val="00D55C15"/>
    <w:rsid w:val="00D570E5"/>
    <w:rsid w:val="00D6062C"/>
    <w:rsid w:val="00D60B43"/>
    <w:rsid w:val="00D61D4D"/>
    <w:rsid w:val="00D62796"/>
    <w:rsid w:val="00D636E8"/>
    <w:rsid w:val="00D66226"/>
    <w:rsid w:val="00D666B5"/>
    <w:rsid w:val="00D679BF"/>
    <w:rsid w:val="00D702CF"/>
    <w:rsid w:val="00D83D06"/>
    <w:rsid w:val="00D84F51"/>
    <w:rsid w:val="00D859EC"/>
    <w:rsid w:val="00D85AEE"/>
    <w:rsid w:val="00D8770D"/>
    <w:rsid w:val="00D92516"/>
    <w:rsid w:val="00D928CE"/>
    <w:rsid w:val="00D92E05"/>
    <w:rsid w:val="00DA339F"/>
    <w:rsid w:val="00DA38C5"/>
    <w:rsid w:val="00DA4455"/>
    <w:rsid w:val="00DA5411"/>
    <w:rsid w:val="00DA6AF6"/>
    <w:rsid w:val="00DB00F5"/>
    <w:rsid w:val="00DB1D58"/>
    <w:rsid w:val="00DB2564"/>
    <w:rsid w:val="00DB3339"/>
    <w:rsid w:val="00DB3C42"/>
    <w:rsid w:val="00DB3D59"/>
    <w:rsid w:val="00DB5026"/>
    <w:rsid w:val="00DB7920"/>
    <w:rsid w:val="00DC1A82"/>
    <w:rsid w:val="00DC1CA6"/>
    <w:rsid w:val="00DD2010"/>
    <w:rsid w:val="00DD344E"/>
    <w:rsid w:val="00DD3B10"/>
    <w:rsid w:val="00DD3C84"/>
    <w:rsid w:val="00DD42C2"/>
    <w:rsid w:val="00DE0FCB"/>
    <w:rsid w:val="00DE2006"/>
    <w:rsid w:val="00DE3A90"/>
    <w:rsid w:val="00DE511A"/>
    <w:rsid w:val="00DE55BF"/>
    <w:rsid w:val="00DE59D4"/>
    <w:rsid w:val="00DF0299"/>
    <w:rsid w:val="00DF70DC"/>
    <w:rsid w:val="00E009A6"/>
    <w:rsid w:val="00E010DF"/>
    <w:rsid w:val="00E04F6F"/>
    <w:rsid w:val="00E052D2"/>
    <w:rsid w:val="00E12ECA"/>
    <w:rsid w:val="00E13BB6"/>
    <w:rsid w:val="00E13DDC"/>
    <w:rsid w:val="00E15CDA"/>
    <w:rsid w:val="00E21C91"/>
    <w:rsid w:val="00E22D5C"/>
    <w:rsid w:val="00E24FE3"/>
    <w:rsid w:val="00E2761E"/>
    <w:rsid w:val="00E2789D"/>
    <w:rsid w:val="00E32877"/>
    <w:rsid w:val="00E33FCE"/>
    <w:rsid w:val="00E34FCA"/>
    <w:rsid w:val="00E36E6B"/>
    <w:rsid w:val="00E37C0C"/>
    <w:rsid w:val="00E41893"/>
    <w:rsid w:val="00E42FE8"/>
    <w:rsid w:val="00E44139"/>
    <w:rsid w:val="00E449F4"/>
    <w:rsid w:val="00E4631B"/>
    <w:rsid w:val="00E46C60"/>
    <w:rsid w:val="00E51AA2"/>
    <w:rsid w:val="00E527F7"/>
    <w:rsid w:val="00E55CE3"/>
    <w:rsid w:val="00E57EA5"/>
    <w:rsid w:val="00E61C4B"/>
    <w:rsid w:val="00E624F0"/>
    <w:rsid w:val="00E63CF8"/>
    <w:rsid w:val="00E669AB"/>
    <w:rsid w:val="00E674E7"/>
    <w:rsid w:val="00E725B8"/>
    <w:rsid w:val="00E7441C"/>
    <w:rsid w:val="00E76527"/>
    <w:rsid w:val="00E8172F"/>
    <w:rsid w:val="00E833D7"/>
    <w:rsid w:val="00E841D3"/>
    <w:rsid w:val="00E870EB"/>
    <w:rsid w:val="00E95FEB"/>
    <w:rsid w:val="00E97B6B"/>
    <w:rsid w:val="00EA095D"/>
    <w:rsid w:val="00EA7CEF"/>
    <w:rsid w:val="00EB4CD7"/>
    <w:rsid w:val="00EB53C3"/>
    <w:rsid w:val="00EB5537"/>
    <w:rsid w:val="00EB7498"/>
    <w:rsid w:val="00EB7603"/>
    <w:rsid w:val="00EC5E3D"/>
    <w:rsid w:val="00EC62A9"/>
    <w:rsid w:val="00ED046B"/>
    <w:rsid w:val="00ED4903"/>
    <w:rsid w:val="00ED755B"/>
    <w:rsid w:val="00EE09DB"/>
    <w:rsid w:val="00EE3723"/>
    <w:rsid w:val="00EE6A7D"/>
    <w:rsid w:val="00EF10A9"/>
    <w:rsid w:val="00EF5DF1"/>
    <w:rsid w:val="00EF6541"/>
    <w:rsid w:val="00EF7476"/>
    <w:rsid w:val="00F015F4"/>
    <w:rsid w:val="00F02579"/>
    <w:rsid w:val="00F06D6C"/>
    <w:rsid w:val="00F1100A"/>
    <w:rsid w:val="00F11AA7"/>
    <w:rsid w:val="00F124C9"/>
    <w:rsid w:val="00F14B92"/>
    <w:rsid w:val="00F16626"/>
    <w:rsid w:val="00F17DD8"/>
    <w:rsid w:val="00F2083F"/>
    <w:rsid w:val="00F21088"/>
    <w:rsid w:val="00F22294"/>
    <w:rsid w:val="00F22518"/>
    <w:rsid w:val="00F2255B"/>
    <w:rsid w:val="00F3072D"/>
    <w:rsid w:val="00F34336"/>
    <w:rsid w:val="00F3577F"/>
    <w:rsid w:val="00F364C6"/>
    <w:rsid w:val="00F452A7"/>
    <w:rsid w:val="00F45EA0"/>
    <w:rsid w:val="00F5552E"/>
    <w:rsid w:val="00F57AE4"/>
    <w:rsid w:val="00F6119E"/>
    <w:rsid w:val="00F64E0A"/>
    <w:rsid w:val="00F669BD"/>
    <w:rsid w:val="00F66B43"/>
    <w:rsid w:val="00F700D6"/>
    <w:rsid w:val="00F7173D"/>
    <w:rsid w:val="00F72622"/>
    <w:rsid w:val="00F72845"/>
    <w:rsid w:val="00F73D60"/>
    <w:rsid w:val="00F74C5D"/>
    <w:rsid w:val="00F76545"/>
    <w:rsid w:val="00F805DA"/>
    <w:rsid w:val="00F82595"/>
    <w:rsid w:val="00F86C75"/>
    <w:rsid w:val="00F9476C"/>
    <w:rsid w:val="00F948C0"/>
    <w:rsid w:val="00FA0239"/>
    <w:rsid w:val="00FA0F04"/>
    <w:rsid w:val="00FA337E"/>
    <w:rsid w:val="00FA7791"/>
    <w:rsid w:val="00FB0962"/>
    <w:rsid w:val="00FB3BAF"/>
    <w:rsid w:val="00FB5362"/>
    <w:rsid w:val="00FB549E"/>
    <w:rsid w:val="00FC4010"/>
    <w:rsid w:val="00FC60DC"/>
    <w:rsid w:val="00FC73E7"/>
    <w:rsid w:val="00FD0319"/>
    <w:rsid w:val="00FD08C6"/>
    <w:rsid w:val="00FD182B"/>
    <w:rsid w:val="00FD1AAD"/>
    <w:rsid w:val="00FD6C46"/>
    <w:rsid w:val="00FE0300"/>
    <w:rsid w:val="00FE2621"/>
    <w:rsid w:val="00FE458C"/>
    <w:rsid w:val="00FE5D2D"/>
    <w:rsid w:val="00FE65B4"/>
    <w:rsid w:val="00FE69D8"/>
    <w:rsid w:val="00FE71CA"/>
    <w:rsid w:val="00FE7777"/>
    <w:rsid w:val="00FF0A8C"/>
    <w:rsid w:val="00FF77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A8043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end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34"/>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uiPriority w:val="99"/>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uiPriority w:val="99"/>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uiPriority w:val="99"/>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rsid w:val="008520D7"/>
    <w:rPr>
      <w:vertAlign w:val="superscript"/>
    </w:rPr>
  </w:style>
  <w:style w:type="table" w:styleId="TableGrid">
    <w:name w:val="Table Grid"/>
    <w:basedOn w:val="TableNormal"/>
    <w:locked/>
    <w:rsid w:val="00694DF9"/>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AF2A0B"/>
    <w:pPr>
      <w:jc w:val="center"/>
    </w:pPr>
    <w:rPr>
      <w:sz w:val="20"/>
    </w:rPr>
  </w:style>
  <w:style w:type="paragraph" w:customStyle="1" w:styleId="EndNoteBibliography">
    <w:name w:val="EndNote Bibliography"/>
    <w:basedOn w:val="Normal"/>
    <w:rsid w:val="00AF2A0B"/>
    <w:rPr>
      <w:sz w:val="20"/>
    </w:rPr>
  </w:style>
  <w:style w:type="paragraph" w:styleId="BodyText2">
    <w:name w:val="Body Text 2"/>
    <w:basedOn w:val="Normal"/>
    <w:link w:val="BodyText2Char"/>
    <w:unhideWhenUsed/>
    <w:rsid w:val="0098151E"/>
    <w:pPr>
      <w:widowControl w:val="0"/>
    </w:pPr>
    <w:rPr>
      <w:rFonts w:ascii="Courier New" w:eastAsia="Times New Roman" w:hAnsi="Courier New"/>
      <w:szCs w:val="20"/>
    </w:rPr>
  </w:style>
  <w:style w:type="character" w:customStyle="1" w:styleId="BodyText2Char">
    <w:name w:val="Body Text 2 Char"/>
    <w:basedOn w:val="DefaultParagraphFont"/>
    <w:link w:val="BodyText2"/>
    <w:rsid w:val="0098151E"/>
    <w:rPr>
      <w:rFonts w:ascii="Courier New" w:eastAsia="Times New Roman" w:hAnsi="Courier New"/>
      <w:sz w:val="24"/>
    </w:rPr>
  </w:style>
  <w:style w:type="paragraph" w:customStyle="1" w:styleId="LO-normal">
    <w:name w:val="LO-normal"/>
    <w:qFormat/>
    <w:rsid w:val="00C22287"/>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end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3A4"/>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34"/>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uiPriority w:val="99"/>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uiPriority w:val="99"/>
    <w:rsid w:val="00AD63A4"/>
    <w:rPr>
      <w:rFonts w:cs="Times New Roman"/>
      <w:vertAlign w:val="superscript"/>
    </w:rPr>
  </w:style>
  <w:style w:type="paragraph" w:styleId="NoSpacing">
    <w:name w:val="No Spacing"/>
    <w:uiPriority w:val="99"/>
    <w:qFormat/>
    <w:rsid w:val="00AD63A4"/>
    <w:rPr>
      <w:rFonts w:ascii="Cambria" w:hAnsi="Cambria"/>
      <w:sz w:val="22"/>
      <w:szCs w:val="22"/>
      <w:lang w:val="en-CA"/>
    </w:rPr>
  </w:style>
  <w:style w:type="paragraph" w:styleId="HTMLPreformatted">
    <w:name w:val="HTML Preformatted"/>
    <w:basedOn w:val="Normal"/>
    <w:link w:val="HTMLPreformattedChar"/>
    <w:uiPriority w:val="99"/>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uiPriority w:val="99"/>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rsid w:val="008520D7"/>
    <w:rPr>
      <w:color w:val="0000FF"/>
      <w:u w:val="single"/>
    </w:rPr>
  </w:style>
  <w:style w:type="character" w:styleId="EndnoteReference">
    <w:name w:val="endnote reference"/>
    <w:rsid w:val="008520D7"/>
    <w:rPr>
      <w:vertAlign w:val="superscript"/>
    </w:rPr>
  </w:style>
  <w:style w:type="table" w:styleId="TableGrid">
    <w:name w:val="Table Grid"/>
    <w:basedOn w:val="TableNormal"/>
    <w:locked/>
    <w:rsid w:val="00694DF9"/>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AF2A0B"/>
    <w:pPr>
      <w:jc w:val="center"/>
    </w:pPr>
    <w:rPr>
      <w:sz w:val="20"/>
    </w:rPr>
  </w:style>
  <w:style w:type="paragraph" w:customStyle="1" w:styleId="EndNoteBibliography">
    <w:name w:val="EndNote Bibliography"/>
    <w:basedOn w:val="Normal"/>
    <w:rsid w:val="00AF2A0B"/>
    <w:rPr>
      <w:sz w:val="20"/>
    </w:rPr>
  </w:style>
  <w:style w:type="paragraph" w:styleId="BodyText2">
    <w:name w:val="Body Text 2"/>
    <w:basedOn w:val="Normal"/>
    <w:link w:val="BodyText2Char"/>
    <w:unhideWhenUsed/>
    <w:rsid w:val="0098151E"/>
    <w:pPr>
      <w:widowControl w:val="0"/>
    </w:pPr>
    <w:rPr>
      <w:rFonts w:ascii="Courier New" w:eastAsia="Times New Roman" w:hAnsi="Courier New"/>
      <w:szCs w:val="20"/>
    </w:rPr>
  </w:style>
  <w:style w:type="character" w:customStyle="1" w:styleId="BodyText2Char">
    <w:name w:val="Body Text 2 Char"/>
    <w:basedOn w:val="DefaultParagraphFont"/>
    <w:link w:val="BodyText2"/>
    <w:rsid w:val="0098151E"/>
    <w:rPr>
      <w:rFonts w:ascii="Courier New" w:eastAsia="Times New Roman" w:hAnsi="Courier New"/>
      <w:sz w:val="24"/>
    </w:rPr>
  </w:style>
  <w:style w:type="paragraph" w:customStyle="1" w:styleId="LO-normal">
    <w:name w:val="LO-normal"/>
    <w:qFormat/>
    <w:rsid w:val="00C22287"/>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00070">
      <w:bodyDiv w:val="1"/>
      <w:marLeft w:val="0"/>
      <w:marRight w:val="0"/>
      <w:marTop w:val="0"/>
      <w:marBottom w:val="0"/>
      <w:divBdr>
        <w:top w:val="none" w:sz="0" w:space="0" w:color="auto"/>
        <w:left w:val="none" w:sz="0" w:space="0" w:color="auto"/>
        <w:bottom w:val="none" w:sz="0" w:space="0" w:color="auto"/>
        <w:right w:val="none" w:sz="0" w:space="0" w:color="auto"/>
      </w:divBdr>
    </w:div>
    <w:div w:id="308020050">
      <w:bodyDiv w:val="1"/>
      <w:marLeft w:val="0"/>
      <w:marRight w:val="0"/>
      <w:marTop w:val="0"/>
      <w:marBottom w:val="0"/>
      <w:divBdr>
        <w:top w:val="none" w:sz="0" w:space="0" w:color="auto"/>
        <w:left w:val="none" w:sz="0" w:space="0" w:color="auto"/>
        <w:bottom w:val="none" w:sz="0" w:space="0" w:color="auto"/>
        <w:right w:val="none" w:sz="0" w:space="0" w:color="auto"/>
      </w:divBdr>
    </w:div>
    <w:div w:id="660154582">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1097212422">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497113047">
      <w:bodyDiv w:val="1"/>
      <w:marLeft w:val="0"/>
      <w:marRight w:val="0"/>
      <w:marTop w:val="0"/>
      <w:marBottom w:val="0"/>
      <w:divBdr>
        <w:top w:val="none" w:sz="0" w:space="0" w:color="auto"/>
        <w:left w:val="none" w:sz="0" w:space="0" w:color="auto"/>
        <w:bottom w:val="none" w:sz="0" w:space="0" w:color="auto"/>
        <w:right w:val="none" w:sz="0" w:space="0" w:color="auto"/>
      </w:divBdr>
    </w:div>
    <w:div w:id="1521360486">
      <w:bodyDiv w:val="1"/>
      <w:marLeft w:val="0"/>
      <w:marRight w:val="0"/>
      <w:marTop w:val="0"/>
      <w:marBottom w:val="0"/>
      <w:divBdr>
        <w:top w:val="none" w:sz="0" w:space="0" w:color="auto"/>
        <w:left w:val="none" w:sz="0" w:space="0" w:color="auto"/>
        <w:bottom w:val="none" w:sz="0" w:space="0" w:color="auto"/>
        <w:right w:val="none" w:sz="0" w:space="0" w:color="auto"/>
      </w:divBdr>
    </w:div>
    <w:div w:id="160159887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nomograms.mskcc.org/breast/BreastSLNodeMetastasisPage.aspx" TargetMode="External"/><Relationship Id="rId12" Type="http://schemas.openxmlformats.org/officeDocument/2006/relationships/image" Target="media/image4.png"/><Relationship Id="rId13" Type="http://schemas.openxmlformats.org/officeDocument/2006/relationships/hyperlink" Target="http://www.ctvnews.ca/health/toronto-oncologist-plans-study-to-test-which-prostate-cancer-screening-is-better-1.3163013" TargetMode="External"/><Relationship Id="rId14" Type="http://schemas.openxmlformats.org/officeDocument/2006/relationships/hyperlink" Target="https://clinicaltrials.gov/ct2/show/NCT02799303" TargetMode="External"/><Relationship Id="rId15" Type="http://schemas.openxmlformats.org/officeDocument/2006/relationships/comments" Target="comments.xm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6185</Words>
  <Characters>35256</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vt:lpstr>
    </vt:vector>
  </TitlesOfParts>
  <Company>UCSF, Dept of Epidemiology</Company>
  <LinksUpToDate>false</LinksUpToDate>
  <CharactersWithSpaces>41359</CharactersWithSpaces>
  <SharedDoc>false</SharedDoc>
  <HLinks>
    <vt:vector size="12" baseType="variant">
      <vt:variant>
        <vt:i4>5242933</vt:i4>
      </vt:variant>
      <vt:variant>
        <vt:i4>3</vt:i4>
      </vt:variant>
      <vt:variant>
        <vt:i4>0</vt:i4>
      </vt:variant>
      <vt:variant>
        <vt:i4>5</vt:i4>
      </vt:variant>
      <vt:variant>
        <vt:lpwstr>http://my.americanheart.org/professional/StatementsGuidelines/PreventionGuidelines/Prevention-Guidelines_UCM_457698_SubHomePage.jsp</vt:lpwstr>
      </vt:variant>
      <vt:variant>
        <vt:lpwstr/>
      </vt:variant>
      <vt:variant>
        <vt:i4>851991</vt:i4>
      </vt:variant>
      <vt:variant>
        <vt:i4>0</vt:i4>
      </vt:variant>
      <vt:variant>
        <vt:i4>0</vt:i4>
      </vt:variant>
      <vt:variant>
        <vt:i4>5</vt:i4>
      </vt:variant>
      <vt:variant>
        <vt:lpwstr>http://health.nytimes.com/health/guides/nutrition/cholesterol/overview.html?inline=nyt-classifier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Tom Newman</dc:creator>
  <cp:keywords/>
  <dc:description/>
  <cp:lastModifiedBy>Tom Newman</cp:lastModifiedBy>
  <cp:revision>10</cp:revision>
  <cp:lastPrinted>2014-11-24T20:45:00Z</cp:lastPrinted>
  <dcterms:created xsi:type="dcterms:W3CDTF">2016-11-18T21:42:00Z</dcterms:created>
  <dcterms:modified xsi:type="dcterms:W3CDTF">2016-11-19T05:57:00Z</dcterms:modified>
</cp:coreProperties>
</file>