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D7162" w14:textId="417A5ACA" w:rsidR="001B030C" w:rsidRDefault="008F56B0" w:rsidP="001B030C">
      <w:pPr>
        <w:pStyle w:val="HTMLPreformatted"/>
        <w:jc w:val="center"/>
        <w:rPr>
          <w:rFonts w:ascii="Arial" w:hAnsi="Arial" w:cs="Arial"/>
          <w:b/>
          <w:color w:val="000000"/>
          <w:sz w:val="22"/>
        </w:rPr>
      </w:pPr>
      <w:r>
        <w:rPr>
          <w:rFonts w:ascii="Arial" w:hAnsi="Arial" w:cs="Arial"/>
          <w:b/>
          <w:color w:val="000000"/>
          <w:sz w:val="22"/>
        </w:rPr>
        <w:t xml:space="preserve">Epi 204 Chapter </w:t>
      </w:r>
      <w:r w:rsidR="00F73FFC">
        <w:rPr>
          <w:rFonts w:ascii="Arial" w:hAnsi="Arial" w:cs="Arial"/>
          <w:b/>
          <w:color w:val="000000"/>
          <w:sz w:val="22"/>
        </w:rPr>
        <w:t>4</w:t>
      </w:r>
      <w:r w:rsidR="001B030C">
        <w:rPr>
          <w:rFonts w:ascii="Arial" w:hAnsi="Arial" w:cs="Arial"/>
          <w:b/>
          <w:color w:val="000000"/>
          <w:sz w:val="22"/>
        </w:rPr>
        <w:t xml:space="preserve"> Problem Set</w:t>
      </w:r>
    </w:p>
    <w:p w14:paraId="5CC07C56" w14:textId="2967A785" w:rsidR="00856EC1" w:rsidRDefault="00F73FFC" w:rsidP="001B030C">
      <w:pPr>
        <w:pStyle w:val="HTMLPreformatted"/>
        <w:jc w:val="center"/>
        <w:rPr>
          <w:rFonts w:ascii="Arial" w:hAnsi="Arial" w:cs="Arial"/>
          <w:b/>
          <w:color w:val="000000"/>
          <w:sz w:val="22"/>
        </w:rPr>
      </w:pPr>
      <w:r>
        <w:rPr>
          <w:rFonts w:ascii="Arial" w:hAnsi="Arial" w:cs="Arial"/>
          <w:b/>
          <w:color w:val="000000"/>
          <w:sz w:val="22"/>
        </w:rPr>
        <w:t>Bias in Studies of Test Accuracy</w:t>
      </w:r>
    </w:p>
    <w:p w14:paraId="1C09DC28" w14:textId="595487C2" w:rsidR="001B030C" w:rsidRDefault="001B030C" w:rsidP="001B030C">
      <w:pPr>
        <w:pStyle w:val="HTMLPreformatted"/>
        <w:jc w:val="center"/>
        <w:rPr>
          <w:rFonts w:ascii="Arial" w:hAnsi="Arial" w:cs="Arial"/>
          <w:b/>
          <w:color w:val="000000"/>
          <w:sz w:val="22"/>
        </w:rPr>
      </w:pPr>
      <w:r>
        <w:rPr>
          <w:rFonts w:ascii="Arial" w:hAnsi="Arial" w:cs="Arial"/>
          <w:b/>
          <w:color w:val="000000"/>
          <w:sz w:val="22"/>
        </w:rPr>
        <w:t xml:space="preserve">Due 1 pm </w:t>
      </w:r>
      <w:r w:rsidR="00F73FFC">
        <w:rPr>
          <w:rFonts w:ascii="Arial" w:hAnsi="Arial" w:cs="Arial"/>
          <w:b/>
          <w:color w:val="000000"/>
          <w:sz w:val="22"/>
        </w:rPr>
        <w:t>10/12</w:t>
      </w:r>
      <w:r w:rsidR="00590B0F">
        <w:rPr>
          <w:rFonts w:ascii="Arial" w:hAnsi="Arial" w:cs="Arial"/>
          <w:b/>
          <w:color w:val="000000"/>
          <w:sz w:val="22"/>
        </w:rPr>
        <w:t>/2017</w:t>
      </w:r>
    </w:p>
    <w:p w14:paraId="1AE909AD" w14:textId="2122D320" w:rsidR="00F73FFC" w:rsidRDefault="00CC6BE4" w:rsidP="001B030C">
      <w:pPr>
        <w:pStyle w:val="HTMLPreformatted"/>
        <w:jc w:val="center"/>
        <w:rPr>
          <w:rFonts w:ascii="Arial" w:hAnsi="Arial" w:cs="Arial"/>
          <w:b/>
          <w:color w:val="000000"/>
          <w:sz w:val="22"/>
        </w:rPr>
      </w:pPr>
      <w:r>
        <w:rPr>
          <w:rFonts w:ascii="Arial" w:hAnsi="Arial" w:cs="Arial"/>
          <w:b/>
          <w:color w:val="000000"/>
          <w:sz w:val="22"/>
        </w:rPr>
        <w:t>EBD-2 Ch04 Problems 12, 15, 18, 52</w:t>
      </w:r>
    </w:p>
    <w:p w14:paraId="414FA9FF" w14:textId="77777777" w:rsidR="001B030C" w:rsidRDefault="001B030C" w:rsidP="001B030C">
      <w:pPr>
        <w:pStyle w:val="HTMLPreformatted"/>
        <w:jc w:val="center"/>
        <w:rPr>
          <w:rFonts w:ascii="Arial" w:hAnsi="Arial" w:cs="Arial"/>
          <w:b/>
          <w:color w:val="000000"/>
          <w:sz w:val="22"/>
        </w:rPr>
      </w:pPr>
    </w:p>
    <w:p w14:paraId="195659ED" w14:textId="77777777" w:rsidR="00D13C62" w:rsidRPr="007F1FE4" w:rsidRDefault="00D13C62" w:rsidP="00D13C62">
      <w:pPr>
        <w:pStyle w:val="HTMLPreformatted"/>
        <w:rPr>
          <w:rFonts w:ascii="Times New Roman" w:hAnsi="Times New Roman" w:cs="Times New Roman"/>
          <w:color w:val="000000"/>
          <w:sz w:val="24"/>
          <w:szCs w:val="24"/>
        </w:rPr>
      </w:pPr>
    </w:p>
    <w:p w14:paraId="01C84384" w14:textId="77777777" w:rsidR="00F73FFC" w:rsidRPr="00E94E8D" w:rsidRDefault="00F73FFC" w:rsidP="00F73FFC">
      <w:pPr>
        <w:autoSpaceDE w:val="0"/>
        <w:autoSpaceDN w:val="0"/>
        <w:adjustRightInd w:val="0"/>
        <w:spacing w:after="60"/>
        <w:rPr>
          <w:b/>
          <w:bCs/>
        </w:rPr>
      </w:pPr>
      <w:r>
        <w:rPr>
          <w:b/>
          <w:bCs/>
        </w:rPr>
        <w:t>04.</w:t>
      </w:r>
      <w:r w:rsidRPr="00E94E8D">
        <w:rPr>
          <w:b/>
          <w:bCs/>
        </w:rPr>
        <w:t>12.</w:t>
      </w:r>
      <w:r>
        <w:rPr>
          <w:b/>
          <w:bCs/>
        </w:rPr>
        <w:t>Q</w:t>
      </w:r>
      <w:r w:rsidRPr="00E94E8D">
        <w:rPr>
          <w:b/>
          <w:bCs/>
        </w:rPr>
        <w:t xml:space="preserve"> Findings Suggestive of Meningitis in Children</w:t>
      </w:r>
    </w:p>
    <w:p w14:paraId="7AD2E289" w14:textId="365E5DC0" w:rsidR="00F73FFC" w:rsidRPr="00E94E8D" w:rsidRDefault="00F73FFC" w:rsidP="00F73FFC">
      <w:pPr>
        <w:autoSpaceDE w:val="0"/>
        <w:autoSpaceDN w:val="0"/>
        <w:adjustRightInd w:val="0"/>
        <w:spacing w:after="60"/>
        <w:rPr>
          <w:bCs/>
        </w:rPr>
      </w:pPr>
      <w:r w:rsidRPr="00E94E8D">
        <w:t>Although vaccination has significantly reduced its incidence, the possibility of meningitis (an infection of the area around the brain) remains scary for clinicians seeing young children with fevers.   Recently Israeli investigators reported on the d</w:t>
      </w:r>
      <w:r w:rsidRPr="00E94E8D">
        <w:rPr>
          <w:bCs/>
        </w:rPr>
        <w:t>iagnostic accuracy of clinical symptoms and signs of meningitis in children.</w:t>
      </w:r>
      <w:r>
        <w:fldChar w:fldCharType="begin"/>
      </w:r>
      <w:r>
        <w:instrText xml:space="preserve"> ADDIN EN.CITE &lt;EndNote&gt;&lt;Cite&gt;&lt;Author&gt;Amarilyo&lt;/Author&gt;&lt;Year&gt;2011&lt;/Year&gt;&lt;RecNum&gt;1150&lt;/RecNum&gt;&lt;DisplayText&gt;(Amarilyo, Alper et al. 2011)&lt;/DisplayText&gt;&lt;record&gt;&lt;rec-number&gt;1150&lt;/rec-number&gt;&lt;foreign-keys&gt;&lt;key app="EN" db-id="0ftvff9p80fp5few5s05f5fw9rd9fefrdzer" timestamp="0"&gt;1150&lt;/key&gt;&lt;/foreign-keys&gt;&lt;ref-type name="Journal Article"&gt;17&lt;/ref-type&gt;&lt;contributors&gt;&lt;authors&gt;&lt;author&gt;Amarilyo, G.&lt;/author&gt;&lt;author&gt;Alper, A.&lt;/author&gt;&lt;author&gt;Ben-Tov, A.&lt;/author&gt;&lt;author&gt;Grisaru-Soen, G.&lt;/author&gt;&lt;/authors&gt;&lt;/contributors&gt;&lt;auth-address&gt;Department of Pediatrics, Dana Children&amp;apos;s Hospital, Tel-Aviv Sourasky Medical Center, Sackler Faculty of Medicine, Tel-Aviv University, Tel Aviv, Israel.&lt;/auth-address&gt;&lt;titles&gt;&lt;title&gt;Diagnostic accuracy of clinical symptoms and signs in children with meningitis&lt;/title&gt;&lt;secondary-title&gt;Pediatr Emerg Care&lt;/secondary-title&gt;&lt;/titles&gt;&lt;periodical&gt;&lt;full-title&gt;Pediatr Emerg Care&lt;/full-title&gt;&lt;/periodical&gt;&lt;pages&gt;196-9&lt;/pages&gt;&lt;volume&gt;27&lt;/volume&gt;&lt;number&gt;3&lt;/number&gt;&lt;edition&gt;2011/02/25&lt;/edition&gt;&lt;keywords&gt;&lt;keyword&gt;Adolescent&lt;/keyword&gt;&lt;keyword&gt;Child&lt;/keyword&gt;&lt;keyword&gt;Child, Preschool&lt;/keyword&gt;&lt;keyword&gt;Diagnosis, Differential&lt;/keyword&gt;&lt;keyword&gt;Female&lt;/keyword&gt;&lt;keyword&gt;Humans&lt;/keyword&gt;&lt;keyword&gt;Infant&lt;/keyword&gt;&lt;keyword&gt;Intracranial Pressure&lt;/keyword&gt;&lt;keyword&gt;Leukocyte Count&lt;/keyword&gt;&lt;keyword&gt;Male&lt;/keyword&gt;&lt;keyword&gt;Meningitis/cerebrospinal fluid/*diagnosis/physiopathology&lt;/keyword&gt;&lt;keyword&gt;Physical Examination/*standards&lt;/keyword&gt;&lt;keyword&gt;Prospective Studies&lt;/keyword&gt;&lt;keyword&gt;Reproducibility of Results&lt;/keyword&gt;&lt;keyword&gt;Sensitivity and Specificity&lt;/keyword&gt;&lt;keyword&gt;Spinal Puncture/*standards&lt;/keyword&gt;&lt;/keywords&gt;&lt;dates&gt;&lt;year&gt;2011&lt;/year&gt;&lt;pub-dates&gt;&lt;date&gt;Mar&lt;/date&gt;&lt;/pub-dates&gt;&lt;/dates&gt;&lt;isbn&gt;1535-1815 (Electronic)&amp;#xD;0749-5161 (Linking)&lt;/isbn&gt;&lt;accession-num&gt;21346676&lt;/accession-num&gt;&lt;urls&gt;&lt;related-urls&gt;&lt;url&gt;http://www.ncbi.nlm.nih.gov/pubmed/21346676&lt;/url&gt;&lt;/related-urls&gt;&lt;/urls&gt;&lt;electronic-resource-num&gt;10.1097/PEC.0b013e31820d6543&lt;/electronic-resource-num&gt;&lt;language&gt;eng&lt;/language&gt;&lt;/record&gt;&lt;/Cite&gt;&lt;/EndNote&gt;</w:instrText>
      </w:r>
      <w:r>
        <w:fldChar w:fldCharType="separate"/>
      </w:r>
      <w:r>
        <w:rPr>
          <w:noProof/>
        </w:rPr>
        <w:t>(</w:t>
      </w:r>
      <w:hyperlink w:anchor="_ENREF_1" w:tooltip="Amarilyo, 2011 #1150" w:history="1">
        <w:r w:rsidR="00023F4E">
          <w:rPr>
            <w:noProof/>
          </w:rPr>
          <w:t>Amarilyo, Alper et al. 2011</w:t>
        </w:r>
      </w:hyperlink>
      <w:r>
        <w:rPr>
          <w:noProof/>
        </w:rPr>
        <w:t>)</w:t>
      </w:r>
      <w:r>
        <w:fldChar w:fldCharType="end"/>
      </w:r>
      <w:r>
        <w:t xml:space="preserve">  </w:t>
      </w:r>
      <w:r w:rsidRPr="00E94E8D">
        <w:rPr>
          <w:bCs/>
        </w:rPr>
        <w:t>They enrolled 108 patients 2 months to 16 years old who underwent lumbar puncture for suspected meningitis and correlated signs and symptoms with the diagnosis of meningitis, "defined as a white blood cell count of 6 or higher per microliter of cerebrospinal fluid (CSF)."</w:t>
      </w:r>
    </w:p>
    <w:p w14:paraId="07499BD5" w14:textId="77777777" w:rsidR="00F73FFC" w:rsidRPr="00E94E8D" w:rsidRDefault="00F73FFC" w:rsidP="00F73FFC">
      <w:pPr>
        <w:autoSpaceDE w:val="0"/>
        <w:autoSpaceDN w:val="0"/>
        <w:adjustRightInd w:val="0"/>
        <w:spacing w:after="60"/>
        <w:rPr>
          <w:bCs/>
        </w:rPr>
      </w:pPr>
    </w:p>
    <w:p w14:paraId="2DEC00BD" w14:textId="77777777" w:rsidR="00F73FFC" w:rsidRPr="00E94E8D" w:rsidRDefault="00F73FFC" w:rsidP="00F73FFC">
      <w:pPr>
        <w:autoSpaceDE w:val="0"/>
        <w:autoSpaceDN w:val="0"/>
        <w:adjustRightInd w:val="0"/>
        <w:spacing w:after="300"/>
        <w:rPr>
          <w:bCs/>
        </w:rPr>
      </w:pPr>
      <w:r w:rsidRPr="00E94E8D">
        <w:rPr>
          <w:bCs/>
        </w:rPr>
        <w:t xml:space="preserve">From the abstract: </w:t>
      </w:r>
    </w:p>
    <w:p w14:paraId="51E51BA4" w14:textId="77777777" w:rsidR="00F73FFC" w:rsidRPr="00E94E8D" w:rsidRDefault="00F73FFC" w:rsidP="00F73FFC">
      <w:pPr>
        <w:autoSpaceDE w:val="0"/>
        <w:autoSpaceDN w:val="0"/>
        <w:adjustRightInd w:val="0"/>
        <w:spacing w:after="300"/>
        <w:rPr>
          <w:bCs/>
        </w:rPr>
      </w:pPr>
      <w:r w:rsidRPr="00E94E8D">
        <w:t>RESULTS: Meningitis was diagnosed in 58 patients (53.7%; 6 bacterial and 52 aseptic). Sensitivity and specificity were 76% and 53% for headache (among the</w:t>
      </w:r>
      <w:r>
        <w:t xml:space="preserve"> verbal patients)… Photophobia (</w:t>
      </w:r>
      <w:r w:rsidRPr="00E94E8D">
        <w:t xml:space="preserve">pain </w:t>
      </w:r>
      <w:r>
        <w:t>or discomfort from bright light)</w:t>
      </w:r>
      <w:r w:rsidRPr="00E94E8D">
        <w:t xml:space="preserve"> was highly specific (88%) but had low sensitivity (28%). Clinical examin</w:t>
      </w:r>
      <w:r>
        <w:t>ation revealed nuchal rigidity (stiff neck)</w:t>
      </w:r>
      <w:r w:rsidRPr="00E94E8D">
        <w:t xml:space="preserve"> (in patients without open fontanel) in 32 (65%) of the patients with meningitis and in 10 (33%) of the patients without meningitis."</w:t>
      </w:r>
    </w:p>
    <w:p w14:paraId="5D623945" w14:textId="77777777" w:rsidR="00F73FFC" w:rsidRPr="00E94E8D" w:rsidRDefault="00F73FFC" w:rsidP="00F73FFC">
      <w:pPr>
        <w:autoSpaceDE w:val="0"/>
        <w:autoSpaceDN w:val="0"/>
        <w:adjustRightInd w:val="0"/>
        <w:spacing w:after="60"/>
        <w:rPr>
          <w:bCs/>
        </w:rPr>
      </w:pPr>
      <w:r w:rsidRPr="00E94E8D">
        <w:rPr>
          <w:bCs/>
        </w:rPr>
        <w:t>These are disappointing results for some of the main symptoms and signs we use to decide whether to do a lumbar puncture.  (For those without a medical background, bacterial meningitis is usually much more severe than aseptic (viral) meningitis, and CSF white blood cell counts with meningitis are typically much higher than 6 per microliter.) Which of the following could be explanations for the results?  Explain your answers.</w:t>
      </w:r>
    </w:p>
    <w:p w14:paraId="1C3BEBFA" w14:textId="77777777" w:rsidR="00F73FFC" w:rsidRPr="00E94E8D" w:rsidRDefault="00F73FFC" w:rsidP="00F73FFC">
      <w:pPr>
        <w:autoSpaceDE w:val="0"/>
        <w:autoSpaceDN w:val="0"/>
        <w:adjustRightInd w:val="0"/>
        <w:spacing w:after="60"/>
        <w:rPr>
          <w:bCs/>
        </w:rPr>
      </w:pPr>
    </w:p>
    <w:p w14:paraId="41D89C7A" w14:textId="77777777" w:rsidR="00F73FFC" w:rsidRDefault="00F73FFC" w:rsidP="00F73FFC">
      <w:pPr>
        <w:widowControl w:val="0"/>
        <w:numPr>
          <w:ilvl w:val="0"/>
          <w:numId w:val="24"/>
        </w:numPr>
        <w:autoSpaceDE w:val="0"/>
        <w:autoSpaceDN w:val="0"/>
        <w:adjustRightInd w:val="0"/>
        <w:spacing w:after="60"/>
        <w:rPr>
          <w:bCs/>
        </w:rPr>
      </w:pPr>
      <w:r w:rsidRPr="00E94E8D">
        <w:rPr>
          <w:bCs/>
        </w:rPr>
        <w:t xml:space="preserve">The low sensitivity of the findings could be due to </w:t>
      </w:r>
      <w:r w:rsidRPr="003B77A1">
        <w:rPr>
          <w:bCs/>
          <w:i/>
        </w:rPr>
        <w:t>partial</w:t>
      </w:r>
      <w:r>
        <w:rPr>
          <w:bCs/>
        </w:rPr>
        <w:t xml:space="preserve"> </w:t>
      </w:r>
      <w:r w:rsidRPr="00E94E8D">
        <w:rPr>
          <w:bCs/>
          <w:i/>
        </w:rPr>
        <w:t>verification bias</w:t>
      </w:r>
      <w:r w:rsidRPr="00E94E8D">
        <w:rPr>
          <w:bCs/>
        </w:rPr>
        <w:t>, because only subjects who received a lumbar puncture were included in the study.</w:t>
      </w:r>
    </w:p>
    <w:p w14:paraId="2DF7D92D" w14:textId="77777777" w:rsidR="00F73FFC" w:rsidRPr="00E94E8D" w:rsidRDefault="00F73FFC" w:rsidP="00F73FFC">
      <w:pPr>
        <w:autoSpaceDE w:val="0"/>
        <w:autoSpaceDN w:val="0"/>
        <w:adjustRightInd w:val="0"/>
        <w:spacing w:after="60"/>
        <w:ind w:left="720"/>
        <w:rPr>
          <w:bCs/>
        </w:rPr>
      </w:pPr>
    </w:p>
    <w:p w14:paraId="1853598F" w14:textId="77777777" w:rsidR="00F73FFC" w:rsidRPr="00BC365E" w:rsidRDefault="00F73FFC" w:rsidP="00F73FFC">
      <w:pPr>
        <w:widowControl w:val="0"/>
        <w:numPr>
          <w:ilvl w:val="0"/>
          <w:numId w:val="24"/>
        </w:numPr>
        <w:autoSpaceDE w:val="0"/>
        <w:autoSpaceDN w:val="0"/>
        <w:adjustRightInd w:val="0"/>
        <w:spacing w:after="60"/>
        <w:rPr>
          <w:bCs/>
        </w:rPr>
      </w:pPr>
      <w:r w:rsidRPr="00E94E8D">
        <w:rPr>
          <w:bCs/>
        </w:rPr>
        <w:t xml:space="preserve">The higher specificity of photophobia could be due to </w:t>
      </w:r>
      <w:r>
        <w:rPr>
          <w:bCs/>
          <w:i/>
        </w:rPr>
        <w:t xml:space="preserve">partial </w:t>
      </w:r>
      <w:r w:rsidRPr="003B77A1">
        <w:rPr>
          <w:bCs/>
          <w:i/>
        </w:rPr>
        <w:t>verification bias,</w:t>
      </w:r>
      <w:r w:rsidRPr="00E94E8D">
        <w:rPr>
          <w:bCs/>
        </w:rPr>
        <w:t xml:space="preserve"> if clinicians deciding to do a lumbar puncture were particularly influenced to do so if this finding was present.</w:t>
      </w:r>
      <w:r w:rsidRPr="00E94E8D">
        <w:rPr>
          <w:bCs/>
        </w:rPr>
        <w:br/>
      </w:r>
    </w:p>
    <w:p w14:paraId="509F7DFE" w14:textId="77777777" w:rsidR="00F73FFC" w:rsidRDefault="00F73FFC" w:rsidP="00F73FFC">
      <w:pPr>
        <w:widowControl w:val="0"/>
        <w:numPr>
          <w:ilvl w:val="0"/>
          <w:numId w:val="24"/>
        </w:numPr>
        <w:autoSpaceDE w:val="0"/>
        <w:autoSpaceDN w:val="0"/>
        <w:adjustRightInd w:val="0"/>
        <w:spacing w:after="60"/>
        <w:rPr>
          <w:bCs/>
        </w:rPr>
      </w:pPr>
      <w:r w:rsidRPr="00E94E8D">
        <w:rPr>
          <w:bCs/>
        </w:rPr>
        <w:t xml:space="preserve">The low sensitivity of these tests could be due to </w:t>
      </w:r>
      <w:r w:rsidRPr="00E94E8D">
        <w:rPr>
          <w:bCs/>
          <w:i/>
        </w:rPr>
        <w:t>spectrum bias</w:t>
      </w:r>
      <w:r w:rsidRPr="00E94E8D">
        <w:rPr>
          <w:bCs/>
        </w:rPr>
        <w:t>: sensitivity probably would have been higher if more of the meningitis group had bacterial meningitis.</w:t>
      </w:r>
    </w:p>
    <w:p w14:paraId="11B15836" w14:textId="77777777" w:rsidR="00F73FFC" w:rsidRPr="00E94E8D" w:rsidRDefault="00F73FFC" w:rsidP="00F73FFC">
      <w:pPr>
        <w:autoSpaceDE w:val="0"/>
        <w:autoSpaceDN w:val="0"/>
        <w:adjustRightInd w:val="0"/>
        <w:spacing w:after="60"/>
        <w:ind w:left="720"/>
        <w:rPr>
          <w:bCs/>
        </w:rPr>
      </w:pPr>
    </w:p>
    <w:p w14:paraId="5B91C869" w14:textId="77777777" w:rsidR="00F73FFC" w:rsidRPr="00E94E8D" w:rsidRDefault="00F73FFC" w:rsidP="00F73FFC">
      <w:pPr>
        <w:widowControl w:val="0"/>
        <w:numPr>
          <w:ilvl w:val="0"/>
          <w:numId w:val="24"/>
        </w:numPr>
        <w:autoSpaceDE w:val="0"/>
        <w:autoSpaceDN w:val="0"/>
        <w:adjustRightInd w:val="0"/>
        <w:spacing w:after="60"/>
        <w:rPr>
          <w:bCs/>
        </w:rPr>
      </w:pPr>
      <w:r w:rsidRPr="00E94E8D">
        <w:rPr>
          <w:bCs/>
        </w:rPr>
        <w:t xml:space="preserve">The low specificity of these tests could be due to </w:t>
      </w:r>
      <w:r w:rsidRPr="00E94E8D">
        <w:rPr>
          <w:bCs/>
          <w:i/>
        </w:rPr>
        <w:t>spectrum bias</w:t>
      </w:r>
      <w:r w:rsidRPr="00E94E8D">
        <w:rPr>
          <w:bCs/>
        </w:rPr>
        <w:t>: specificity probably would have been higher if more of the meningitis group had bacterial meningitis.</w:t>
      </w:r>
    </w:p>
    <w:p w14:paraId="02C25836" w14:textId="77777777" w:rsidR="00F73FFC" w:rsidRDefault="00F73FFC" w:rsidP="00F73FFC">
      <w:pPr>
        <w:autoSpaceDE w:val="0"/>
        <w:autoSpaceDN w:val="0"/>
        <w:adjustRightInd w:val="0"/>
        <w:spacing w:after="60"/>
        <w:rPr>
          <w:bCs/>
        </w:rPr>
      </w:pPr>
    </w:p>
    <w:p w14:paraId="74BED0F4" w14:textId="77777777" w:rsidR="00F73FFC" w:rsidRDefault="00F73FFC" w:rsidP="00F73FFC">
      <w:pPr>
        <w:autoSpaceDE w:val="0"/>
        <w:autoSpaceDN w:val="0"/>
        <w:adjustRightInd w:val="0"/>
        <w:spacing w:after="60"/>
        <w:rPr>
          <w:bCs/>
        </w:rPr>
      </w:pPr>
    </w:p>
    <w:p w14:paraId="57630977" w14:textId="77777777" w:rsidR="00F73FFC" w:rsidRDefault="00F73FFC" w:rsidP="00F73FFC">
      <w:pPr>
        <w:autoSpaceDE w:val="0"/>
        <w:autoSpaceDN w:val="0"/>
        <w:adjustRightInd w:val="0"/>
        <w:spacing w:after="60"/>
        <w:rPr>
          <w:bCs/>
        </w:rPr>
      </w:pPr>
    </w:p>
    <w:p w14:paraId="0D6F0F7F" w14:textId="77777777" w:rsidR="00F73FFC" w:rsidRDefault="00F73FFC" w:rsidP="00F73FFC">
      <w:pPr>
        <w:autoSpaceDE w:val="0"/>
        <w:autoSpaceDN w:val="0"/>
        <w:adjustRightInd w:val="0"/>
        <w:spacing w:after="60"/>
        <w:rPr>
          <w:bCs/>
        </w:rPr>
      </w:pPr>
      <w:r>
        <w:rPr>
          <w:bCs/>
        </w:rPr>
        <w:t>Assume that the photophobia and nuchal rigidity results were as in the following tables:</w:t>
      </w:r>
    </w:p>
    <w:p w14:paraId="78B238E0" w14:textId="77777777" w:rsidR="00F73FFC" w:rsidRDefault="00F73FFC" w:rsidP="00F73FFC">
      <w:pPr>
        <w:autoSpaceDE w:val="0"/>
        <w:autoSpaceDN w:val="0"/>
        <w:adjustRightInd w:val="0"/>
        <w:spacing w:after="60"/>
        <w:rPr>
          <w:bCs/>
        </w:rPr>
      </w:pPr>
    </w:p>
    <w:tbl>
      <w:tblPr>
        <w:tblW w:w="5060" w:type="dxa"/>
        <w:tblLook w:val="04A0" w:firstRow="1" w:lastRow="0" w:firstColumn="1" w:lastColumn="0" w:noHBand="0" w:noVBand="1"/>
      </w:tblPr>
      <w:tblGrid>
        <w:gridCol w:w="1400"/>
        <w:gridCol w:w="1524"/>
        <w:gridCol w:w="960"/>
        <w:gridCol w:w="960"/>
        <w:gridCol w:w="960"/>
      </w:tblGrid>
      <w:tr w:rsidR="00F73FFC" w:rsidRPr="002B3958" w14:paraId="76D84A67" w14:textId="77777777" w:rsidTr="00A42AFB">
        <w:trPr>
          <w:trHeight w:val="300"/>
        </w:trPr>
        <w:tc>
          <w:tcPr>
            <w:tcW w:w="1300" w:type="dxa"/>
            <w:tcBorders>
              <w:top w:val="nil"/>
              <w:left w:val="nil"/>
              <w:bottom w:val="nil"/>
              <w:right w:val="nil"/>
            </w:tcBorders>
            <w:shd w:val="clear" w:color="auto" w:fill="auto"/>
            <w:noWrap/>
            <w:vAlign w:val="bottom"/>
            <w:hideMark/>
          </w:tcPr>
          <w:p w14:paraId="683CDCFD" w14:textId="77777777" w:rsidR="00F73FFC" w:rsidRPr="002B3958" w:rsidRDefault="00F73FFC" w:rsidP="00A42AFB"/>
        </w:tc>
        <w:tc>
          <w:tcPr>
            <w:tcW w:w="880" w:type="dxa"/>
            <w:tcBorders>
              <w:top w:val="nil"/>
              <w:left w:val="nil"/>
              <w:bottom w:val="nil"/>
              <w:right w:val="nil"/>
            </w:tcBorders>
            <w:shd w:val="clear" w:color="auto" w:fill="auto"/>
            <w:noWrap/>
            <w:vAlign w:val="bottom"/>
            <w:hideMark/>
          </w:tcPr>
          <w:p w14:paraId="01F6BA3E" w14:textId="77777777" w:rsidR="00F73FFC" w:rsidRPr="002B3958" w:rsidRDefault="00F73FFC" w:rsidP="00A42AFB"/>
        </w:tc>
        <w:tc>
          <w:tcPr>
            <w:tcW w:w="960" w:type="dxa"/>
            <w:tcBorders>
              <w:top w:val="nil"/>
              <w:left w:val="nil"/>
              <w:bottom w:val="nil"/>
              <w:right w:val="nil"/>
            </w:tcBorders>
            <w:shd w:val="clear" w:color="auto" w:fill="auto"/>
            <w:noWrap/>
            <w:vAlign w:val="bottom"/>
            <w:hideMark/>
          </w:tcPr>
          <w:p w14:paraId="71539850" w14:textId="77777777" w:rsidR="00F73FFC" w:rsidRPr="002B3958" w:rsidRDefault="00F73FFC" w:rsidP="00A42AFB"/>
        </w:tc>
        <w:tc>
          <w:tcPr>
            <w:tcW w:w="960" w:type="dxa"/>
            <w:tcBorders>
              <w:top w:val="nil"/>
              <w:left w:val="nil"/>
              <w:bottom w:val="nil"/>
              <w:right w:val="nil"/>
            </w:tcBorders>
            <w:shd w:val="clear" w:color="auto" w:fill="auto"/>
            <w:noWrap/>
            <w:vAlign w:val="bottom"/>
            <w:hideMark/>
          </w:tcPr>
          <w:p w14:paraId="2F073352" w14:textId="77777777" w:rsidR="00F73FFC" w:rsidRPr="002B3958" w:rsidRDefault="00F73FFC" w:rsidP="00A42AFB"/>
        </w:tc>
        <w:tc>
          <w:tcPr>
            <w:tcW w:w="960" w:type="dxa"/>
            <w:tcBorders>
              <w:top w:val="nil"/>
              <w:left w:val="nil"/>
              <w:bottom w:val="nil"/>
              <w:right w:val="nil"/>
            </w:tcBorders>
            <w:shd w:val="clear" w:color="auto" w:fill="auto"/>
            <w:noWrap/>
            <w:vAlign w:val="bottom"/>
            <w:hideMark/>
          </w:tcPr>
          <w:p w14:paraId="42489DBE" w14:textId="77777777" w:rsidR="00F73FFC" w:rsidRPr="002B3958" w:rsidRDefault="00F73FFC" w:rsidP="00A42AFB"/>
        </w:tc>
      </w:tr>
      <w:tr w:rsidR="00F73FFC" w:rsidRPr="002B3958" w14:paraId="3BEF9E0A" w14:textId="77777777" w:rsidTr="00A42AFB">
        <w:trPr>
          <w:trHeight w:val="300"/>
        </w:trPr>
        <w:tc>
          <w:tcPr>
            <w:tcW w:w="1300" w:type="dxa"/>
            <w:tcBorders>
              <w:top w:val="nil"/>
              <w:left w:val="nil"/>
              <w:bottom w:val="nil"/>
              <w:right w:val="nil"/>
            </w:tcBorders>
            <w:shd w:val="clear" w:color="auto" w:fill="auto"/>
            <w:noWrap/>
            <w:vAlign w:val="bottom"/>
            <w:hideMark/>
          </w:tcPr>
          <w:p w14:paraId="62AB3D17" w14:textId="77777777" w:rsidR="00F73FFC" w:rsidRPr="002B3958" w:rsidRDefault="00F73FFC" w:rsidP="00A42AFB"/>
        </w:tc>
        <w:tc>
          <w:tcPr>
            <w:tcW w:w="880" w:type="dxa"/>
            <w:tcBorders>
              <w:top w:val="nil"/>
              <w:left w:val="nil"/>
              <w:bottom w:val="nil"/>
              <w:right w:val="nil"/>
            </w:tcBorders>
            <w:shd w:val="clear" w:color="auto" w:fill="auto"/>
            <w:noWrap/>
            <w:vAlign w:val="bottom"/>
            <w:hideMark/>
          </w:tcPr>
          <w:p w14:paraId="5E5375F1" w14:textId="77777777" w:rsidR="00F73FFC" w:rsidRPr="002B3958" w:rsidRDefault="00F73FFC" w:rsidP="00A42AFB"/>
        </w:tc>
        <w:tc>
          <w:tcPr>
            <w:tcW w:w="2880" w:type="dxa"/>
            <w:gridSpan w:val="3"/>
            <w:tcBorders>
              <w:top w:val="nil"/>
              <w:left w:val="nil"/>
              <w:bottom w:val="nil"/>
              <w:right w:val="nil"/>
            </w:tcBorders>
            <w:shd w:val="clear" w:color="auto" w:fill="auto"/>
            <w:noWrap/>
            <w:vAlign w:val="bottom"/>
            <w:hideMark/>
          </w:tcPr>
          <w:p w14:paraId="42E08F8B" w14:textId="77777777" w:rsidR="00F73FFC" w:rsidRPr="002B3958" w:rsidRDefault="00F73FFC" w:rsidP="00A42AFB">
            <w:pPr>
              <w:jc w:val="center"/>
              <w:rPr>
                <w:rFonts w:ascii="Calibri" w:hAnsi="Calibri"/>
                <w:b/>
                <w:bCs/>
                <w:color w:val="000000"/>
                <w:sz w:val="22"/>
                <w:szCs w:val="22"/>
              </w:rPr>
            </w:pPr>
            <w:r w:rsidRPr="002B3958">
              <w:rPr>
                <w:rFonts w:ascii="Calibri" w:hAnsi="Calibri"/>
                <w:b/>
                <w:bCs/>
                <w:color w:val="000000"/>
                <w:sz w:val="22"/>
                <w:szCs w:val="22"/>
              </w:rPr>
              <w:t>CSF WBC Count</w:t>
            </w:r>
          </w:p>
        </w:tc>
      </w:tr>
      <w:tr w:rsidR="00F73FFC" w:rsidRPr="002B3958" w14:paraId="6EB8F30C" w14:textId="77777777" w:rsidTr="00A42AFB">
        <w:trPr>
          <w:trHeight w:val="315"/>
        </w:trPr>
        <w:tc>
          <w:tcPr>
            <w:tcW w:w="1300" w:type="dxa"/>
            <w:tcBorders>
              <w:top w:val="nil"/>
              <w:left w:val="nil"/>
              <w:bottom w:val="nil"/>
              <w:right w:val="nil"/>
            </w:tcBorders>
            <w:shd w:val="clear" w:color="auto" w:fill="auto"/>
            <w:noWrap/>
            <w:vAlign w:val="bottom"/>
            <w:hideMark/>
          </w:tcPr>
          <w:p w14:paraId="728EB79A" w14:textId="77777777" w:rsidR="00F73FFC" w:rsidRPr="002B3958" w:rsidRDefault="00F73FFC" w:rsidP="00A42AFB">
            <w:pPr>
              <w:jc w:val="center"/>
              <w:rPr>
                <w:rFonts w:ascii="Calibri" w:hAnsi="Calibri"/>
                <w:b/>
                <w:bCs/>
                <w:color w:val="000000"/>
                <w:sz w:val="22"/>
                <w:szCs w:val="22"/>
              </w:rPr>
            </w:pPr>
          </w:p>
        </w:tc>
        <w:tc>
          <w:tcPr>
            <w:tcW w:w="880" w:type="dxa"/>
            <w:tcBorders>
              <w:top w:val="nil"/>
              <w:left w:val="nil"/>
              <w:bottom w:val="nil"/>
              <w:right w:val="nil"/>
            </w:tcBorders>
            <w:shd w:val="clear" w:color="auto" w:fill="auto"/>
            <w:noWrap/>
            <w:vAlign w:val="bottom"/>
            <w:hideMark/>
          </w:tcPr>
          <w:p w14:paraId="68268435" w14:textId="77777777" w:rsidR="00F73FFC" w:rsidRPr="002B3958" w:rsidRDefault="00F73FFC" w:rsidP="00A42AFB">
            <w:pPr>
              <w:rPr>
                <w:b/>
              </w:rPr>
            </w:pPr>
            <w:r w:rsidRPr="002B3958">
              <w:rPr>
                <w:b/>
              </w:rPr>
              <w:t>Photophobia</w:t>
            </w:r>
          </w:p>
        </w:tc>
        <w:tc>
          <w:tcPr>
            <w:tcW w:w="960" w:type="dxa"/>
            <w:tcBorders>
              <w:top w:val="nil"/>
              <w:left w:val="nil"/>
              <w:bottom w:val="nil"/>
              <w:right w:val="nil"/>
            </w:tcBorders>
            <w:shd w:val="clear" w:color="auto" w:fill="auto"/>
            <w:noWrap/>
            <w:vAlign w:val="bottom"/>
            <w:hideMark/>
          </w:tcPr>
          <w:p w14:paraId="28AAC96F" w14:textId="77777777" w:rsidR="00F73FFC" w:rsidRPr="002B3958" w:rsidRDefault="00F73FFC" w:rsidP="00A42AFB">
            <w:pPr>
              <w:jc w:val="center"/>
              <w:rPr>
                <w:rFonts w:ascii="Calibri" w:hAnsi="Calibri"/>
                <w:b/>
                <w:bCs/>
                <w:color w:val="000000"/>
                <w:sz w:val="22"/>
                <w:szCs w:val="22"/>
              </w:rPr>
            </w:pPr>
            <w:r w:rsidRPr="002B3958">
              <w:rPr>
                <w:rFonts w:ascii="Calibri" w:hAnsi="Calibri"/>
                <w:b/>
                <w:bCs/>
                <w:color w:val="000000"/>
                <w:sz w:val="22"/>
                <w:szCs w:val="22"/>
              </w:rPr>
              <w:t>&gt;30</w:t>
            </w:r>
          </w:p>
        </w:tc>
        <w:tc>
          <w:tcPr>
            <w:tcW w:w="960" w:type="dxa"/>
            <w:tcBorders>
              <w:top w:val="nil"/>
              <w:left w:val="nil"/>
              <w:bottom w:val="nil"/>
              <w:right w:val="nil"/>
            </w:tcBorders>
            <w:shd w:val="clear" w:color="auto" w:fill="auto"/>
            <w:noWrap/>
            <w:vAlign w:val="bottom"/>
            <w:hideMark/>
          </w:tcPr>
          <w:p w14:paraId="3AFE7B8B" w14:textId="77777777" w:rsidR="00F73FFC" w:rsidRPr="002B3958" w:rsidRDefault="00F73FFC" w:rsidP="00A42AFB">
            <w:pPr>
              <w:jc w:val="center"/>
              <w:rPr>
                <w:rFonts w:ascii="Calibri" w:hAnsi="Calibri"/>
                <w:b/>
                <w:bCs/>
                <w:color w:val="000000"/>
                <w:sz w:val="22"/>
                <w:szCs w:val="22"/>
              </w:rPr>
            </w:pPr>
            <w:r w:rsidRPr="002B3958">
              <w:rPr>
                <w:rFonts w:ascii="Calibri" w:hAnsi="Calibri"/>
                <w:b/>
                <w:bCs/>
                <w:color w:val="000000"/>
                <w:sz w:val="22"/>
                <w:szCs w:val="22"/>
              </w:rPr>
              <w:t xml:space="preserve"> 7-30</w:t>
            </w:r>
          </w:p>
        </w:tc>
        <w:tc>
          <w:tcPr>
            <w:tcW w:w="960" w:type="dxa"/>
            <w:tcBorders>
              <w:top w:val="nil"/>
              <w:left w:val="nil"/>
              <w:bottom w:val="nil"/>
              <w:right w:val="nil"/>
            </w:tcBorders>
            <w:shd w:val="clear" w:color="auto" w:fill="auto"/>
            <w:noWrap/>
            <w:vAlign w:val="bottom"/>
            <w:hideMark/>
          </w:tcPr>
          <w:p w14:paraId="4FD663A1" w14:textId="77777777" w:rsidR="00F73FFC" w:rsidRPr="002B3958" w:rsidRDefault="00F73FFC" w:rsidP="00A42AFB">
            <w:pPr>
              <w:jc w:val="center"/>
              <w:rPr>
                <w:rFonts w:ascii="Calibri" w:hAnsi="Calibri"/>
                <w:b/>
                <w:bCs/>
                <w:color w:val="000000"/>
                <w:sz w:val="22"/>
                <w:szCs w:val="22"/>
              </w:rPr>
            </w:pPr>
            <w:r w:rsidRPr="002B3958">
              <w:rPr>
                <w:rFonts w:ascii="Calibri" w:hAnsi="Calibri"/>
                <w:b/>
                <w:bCs/>
                <w:color w:val="000000"/>
                <w:sz w:val="22"/>
                <w:szCs w:val="22"/>
              </w:rPr>
              <w:t>≤6</w:t>
            </w:r>
          </w:p>
        </w:tc>
      </w:tr>
      <w:tr w:rsidR="00F73FFC" w:rsidRPr="002B3958" w14:paraId="2618F45F" w14:textId="77777777" w:rsidTr="00A42AFB">
        <w:trPr>
          <w:trHeight w:val="300"/>
        </w:trPr>
        <w:tc>
          <w:tcPr>
            <w:tcW w:w="1300" w:type="dxa"/>
            <w:vMerge w:val="restart"/>
            <w:tcBorders>
              <w:top w:val="nil"/>
              <w:left w:val="nil"/>
              <w:bottom w:val="nil"/>
              <w:right w:val="nil"/>
            </w:tcBorders>
            <w:shd w:val="clear" w:color="auto" w:fill="auto"/>
            <w:noWrap/>
            <w:vAlign w:val="center"/>
            <w:hideMark/>
          </w:tcPr>
          <w:p w14:paraId="48511236" w14:textId="77777777" w:rsidR="00F73FFC" w:rsidRPr="002B3958" w:rsidRDefault="00F73FFC" w:rsidP="00A42AFB">
            <w:pPr>
              <w:jc w:val="center"/>
              <w:rPr>
                <w:rFonts w:ascii="Calibri" w:hAnsi="Calibri"/>
                <w:b/>
                <w:bCs/>
                <w:color w:val="000000"/>
                <w:sz w:val="22"/>
                <w:szCs w:val="22"/>
              </w:rPr>
            </w:pPr>
            <w:r w:rsidRPr="002B3958">
              <w:rPr>
                <w:rFonts w:ascii="Calibri" w:hAnsi="Calibri"/>
                <w:b/>
                <w:bCs/>
                <w:color w:val="000000"/>
                <w:sz w:val="22"/>
                <w:szCs w:val="22"/>
              </w:rPr>
              <w:t>Photophobia</w:t>
            </w:r>
          </w:p>
        </w:tc>
        <w:tc>
          <w:tcPr>
            <w:tcW w:w="880" w:type="dxa"/>
            <w:tcBorders>
              <w:top w:val="nil"/>
              <w:left w:val="nil"/>
              <w:bottom w:val="nil"/>
              <w:right w:val="nil"/>
            </w:tcBorders>
            <w:shd w:val="clear" w:color="auto" w:fill="auto"/>
            <w:noWrap/>
            <w:vAlign w:val="bottom"/>
            <w:hideMark/>
          </w:tcPr>
          <w:p w14:paraId="69348F63" w14:textId="77777777" w:rsidR="00F73FFC" w:rsidRPr="002B3958" w:rsidRDefault="00F73FFC" w:rsidP="00A42AFB">
            <w:pPr>
              <w:jc w:val="center"/>
              <w:rPr>
                <w:rFonts w:ascii="Calibri" w:hAnsi="Calibri"/>
                <w:b/>
                <w:bCs/>
                <w:color w:val="000000"/>
                <w:sz w:val="22"/>
                <w:szCs w:val="22"/>
              </w:rPr>
            </w:pPr>
            <w:r w:rsidRPr="002B3958">
              <w:rPr>
                <w:rFonts w:ascii="Calibri" w:hAnsi="Calibri"/>
                <w:b/>
                <w:bCs/>
                <w:color w:val="000000"/>
                <w:sz w:val="22"/>
                <w:szCs w:val="22"/>
              </w:rPr>
              <w:t>Yes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DA6C7" w14:textId="77777777" w:rsidR="00F73FFC" w:rsidRPr="002B3958" w:rsidRDefault="00F73FFC" w:rsidP="00A42AFB">
            <w:pPr>
              <w:jc w:val="right"/>
              <w:rPr>
                <w:rFonts w:ascii="Calibri" w:hAnsi="Calibri"/>
                <w:color w:val="000000"/>
                <w:sz w:val="22"/>
                <w:szCs w:val="22"/>
              </w:rPr>
            </w:pPr>
            <w:r w:rsidRPr="002B3958">
              <w:rPr>
                <w:rFonts w:ascii="Calibri" w:hAnsi="Calibri"/>
                <w:color w:val="000000"/>
                <w:sz w:val="22"/>
                <w:szCs w:val="22"/>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A3E3A8" w14:textId="77777777" w:rsidR="00F73FFC" w:rsidRPr="002B3958" w:rsidRDefault="00F73FFC" w:rsidP="00A42AFB">
            <w:pPr>
              <w:jc w:val="right"/>
              <w:rPr>
                <w:rFonts w:ascii="Calibri" w:hAnsi="Calibri"/>
                <w:color w:val="000000"/>
                <w:sz w:val="22"/>
                <w:szCs w:val="22"/>
              </w:rPr>
            </w:pPr>
            <w:r w:rsidRPr="002B3958">
              <w:rPr>
                <w:rFonts w:ascii="Calibri" w:hAnsi="Calibri"/>
                <w:color w:val="000000"/>
                <w:sz w:val="22"/>
                <w:szCs w:val="22"/>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6162D3" w14:textId="77777777" w:rsidR="00F73FFC" w:rsidRPr="002B3958" w:rsidRDefault="00F73FFC" w:rsidP="00A42AFB">
            <w:pPr>
              <w:jc w:val="right"/>
              <w:rPr>
                <w:rFonts w:ascii="Calibri" w:hAnsi="Calibri"/>
                <w:color w:val="000000"/>
                <w:sz w:val="22"/>
                <w:szCs w:val="22"/>
              </w:rPr>
            </w:pPr>
            <w:r w:rsidRPr="002B3958">
              <w:rPr>
                <w:rFonts w:ascii="Calibri" w:hAnsi="Calibri"/>
                <w:color w:val="000000"/>
                <w:sz w:val="22"/>
                <w:szCs w:val="22"/>
              </w:rPr>
              <w:t>6</w:t>
            </w:r>
          </w:p>
        </w:tc>
      </w:tr>
      <w:tr w:rsidR="00F73FFC" w:rsidRPr="002B3958" w14:paraId="002C7876" w14:textId="77777777" w:rsidTr="00A42AFB">
        <w:trPr>
          <w:trHeight w:val="300"/>
        </w:trPr>
        <w:tc>
          <w:tcPr>
            <w:tcW w:w="1300" w:type="dxa"/>
            <w:vMerge/>
            <w:tcBorders>
              <w:top w:val="nil"/>
              <w:left w:val="nil"/>
              <w:bottom w:val="nil"/>
              <w:right w:val="nil"/>
            </w:tcBorders>
            <w:vAlign w:val="center"/>
            <w:hideMark/>
          </w:tcPr>
          <w:p w14:paraId="2663B170" w14:textId="77777777" w:rsidR="00F73FFC" w:rsidRPr="002B3958" w:rsidRDefault="00F73FFC" w:rsidP="00A42AFB">
            <w:pPr>
              <w:rPr>
                <w:rFonts w:ascii="Calibri" w:hAnsi="Calibri"/>
                <w:b/>
                <w:bCs/>
                <w:color w:val="000000"/>
                <w:sz w:val="22"/>
                <w:szCs w:val="22"/>
              </w:rPr>
            </w:pPr>
          </w:p>
        </w:tc>
        <w:tc>
          <w:tcPr>
            <w:tcW w:w="880" w:type="dxa"/>
            <w:tcBorders>
              <w:top w:val="nil"/>
              <w:left w:val="nil"/>
              <w:bottom w:val="nil"/>
              <w:right w:val="nil"/>
            </w:tcBorders>
            <w:shd w:val="clear" w:color="auto" w:fill="auto"/>
            <w:noWrap/>
            <w:vAlign w:val="bottom"/>
            <w:hideMark/>
          </w:tcPr>
          <w:p w14:paraId="599ACFC1" w14:textId="77777777" w:rsidR="00F73FFC" w:rsidRPr="002B3958" w:rsidRDefault="00F73FFC" w:rsidP="00A42AFB">
            <w:pPr>
              <w:jc w:val="center"/>
              <w:rPr>
                <w:rFonts w:ascii="Calibri" w:hAnsi="Calibri"/>
                <w:b/>
                <w:bCs/>
                <w:color w:val="000000"/>
                <w:sz w:val="22"/>
                <w:szCs w:val="22"/>
              </w:rPr>
            </w:pPr>
            <w:r w:rsidRPr="002B3958">
              <w:rPr>
                <w:rFonts w:ascii="Calibri" w:hAnsi="Calibri"/>
                <w:b/>
                <w:bCs/>
                <w:color w:val="000000"/>
                <w:sz w:val="22"/>
                <w:szCs w:val="22"/>
              </w:rPr>
              <w:t>No</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21168D" w14:textId="77777777" w:rsidR="00F73FFC" w:rsidRPr="002B3958" w:rsidRDefault="00F73FFC" w:rsidP="00A42AFB">
            <w:pPr>
              <w:jc w:val="right"/>
              <w:rPr>
                <w:rFonts w:ascii="Calibri" w:hAnsi="Calibri"/>
                <w:color w:val="000000"/>
                <w:sz w:val="22"/>
                <w:szCs w:val="22"/>
              </w:rPr>
            </w:pPr>
            <w:r w:rsidRPr="002B3958">
              <w:rPr>
                <w:rFonts w:ascii="Calibri" w:hAnsi="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14:paraId="476AE73B" w14:textId="77777777" w:rsidR="00F73FFC" w:rsidRPr="002B3958" w:rsidRDefault="00F73FFC" w:rsidP="00A42AFB">
            <w:pPr>
              <w:jc w:val="right"/>
              <w:rPr>
                <w:rFonts w:ascii="Calibri" w:hAnsi="Calibri"/>
                <w:color w:val="000000"/>
                <w:sz w:val="22"/>
                <w:szCs w:val="22"/>
              </w:rPr>
            </w:pPr>
            <w:r w:rsidRPr="002B3958">
              <w:rPr>
                <w:rFonts w:ascii="Calibri" w:hAnsi="Calibri"/>
                <w:color w:val="000000"/>
                <w:sz w:val="22"/>
                <w:szCs w:val="22"/>
              </w:rPr>
              <w:t>42</w:t>
            </w:r>
          </w:p>
        </w:tc>
        <w:tc>
          <w:tcPr>
            <w:tcW w:w="960" w:type="dxa"/>
            <w:tcBorders>
              <w:top w:val="nil"/>
              <w:left w:val="nil"/>
              <w:bottom w:val="single" w:sz="4" w:space="0" w:color="auto"/>
              <w:right w:val="single" w:sz="4" w:space="0" w:color="auto"/>
            </w:tcBorders>
            <w:shd w:val="clear" w:color="auto" w:fill="auto"/>
            <w:noWrap/>
            <w:vAlign w:val="bottom"/>
            <w:hideMark/>
          </w:tcPr>
          <w:p w14:paraId="6B358B43" w14:textId="77777777" w:rsidR="00F73FFC" w:rsidRPr="002B3958" w:rsidRDefault="00F73FFC" w:rsidP="00A42AFB">
            <w:pPr>
              <w:jc w:val="right"/>
              <w:rPr>
                <w:rFonts w:ascii="Calibri" w:hAnsi="Calibri"/>
                <w:color w:val="000000"/>
                <w:sz w:val="22"/>
                <w:szCs w:val="22"/>
              </w:rPr>
            </w:pPr>
            <w:r w:rsidRPr="002B3958">
              <w:rPr>
                <w:rFonts w:ascii="Calibri" w:hAnsi="Calibri"/>
                <w:color w:val="000000"/>
                <w:sz w:val="22"/>
                <w:szCs w:val="22"/>
              </w:rPr>
              <w:t>44</w:t>
            </w:r>
          </w:p>
        </w:tc>
      </w:tr>
      <w:tr w:rsidR="00F73FFC" w:rsidRPr="002B3958" w14:paraId="2A922E56" w14:textId="77777777" w:rsidTr="00A42AFB">
        <w:trPr>
          <w:trHeight w:val="300"/>
        </w:trPr>
        <w:tc>
          <w:tcPr>
            <w:tcW w:w="1300" w:type="dxa"/>
            <w:tcBorders>
              <w:top w:val="nil"/>
              <w:left w:val="nil"/>
              <w:bottom w:val="nil"/>
              <w:right w:val="nil"/>
            </w:tcBorders>
            <w:shd w:val="clear" w:color="auto" w:fill="auto"/>
            <w:noWrap/>
            <w:vAlign w:val="bottom"/>
            <w:hideMark/>
          </w:tcPr>
          <w:p w14:paraId="451608BB" w14:textId="77777777" w:rsidR="00F73FFC" w:rsidRPr="002B3958" w:rsidRDefault="00F73FFC" w:rsidP="00A42AFB">
            <w:pPr>
              <w:jc w:val="right"/>
              <w:rPr>
                <w:rFonts w:ascii="Calibri" w:hAnsi="Calibri"/>
                <w:color w:val="000000"/>
                <w:sz w:val="22"/>
                <w:szCs w:val="22"/>
              </w:rPr>
            </w:pPr>
          </w:p>
        </w:tc>
        <w:tc>
          <w:tcPr>
            <w:tcW w:w="880" w:type="dxa"/>
            <w:tcBorders>
              <w:top w:val="nil"/>
              <w:left w:val="nil"/>
              <w:bottom w:val="nil"/>
              <w:right w:val="nil"/>
            </w:tcBorders>
            <w:shd w:val="clear" w:color="auto" w:fill="auto"/>
            <w:noWrap/>
            <w:vAlign w:val="bottom"/>
            <w:hideMark/>
          </w:tcPr>
          <w:p w14:paraId="7959BACF" w14:textId="77777777" w:rsidR="00F73FFC" w:rsidRPr="002B3958" w:rsidRDefault="00F73FFC" w:rsidP="00A42AFB"/>
        </w:tc>
        <w:tc>
          <w:tcPr>
            <w:tcW w:w="960" w:type="dxa"/>
            <w:tcBorders>
              <w:top w:val="nil"/>
              <w:left w:val="nil"/>
              <w:bottom w:val="nil"/>
              <w:right w:val="nil"/>
            </w:tcBorders>
            <w:shd w:val="clear" w:color="auto" w:fill="auto"/>
            <w:noWrap/>
            <w:vAlign w:val="bottom"/>
            <w:hideMark/>
          </w:tcPr>
          <w:p w14:paraId="02608D5D" w14:textId="77777777" w:rsidR="00F73FFC" w:rsidRPr="002B3958" w:rsidRDefault="00F73FFC" w:rsidP="00A42AFB">
            <w:pPr>
              <w:jc w:val="right"/>
              <w:rPr>
                <w:rFonts w:ascii="Calibri" w:hAnsi="Calibri"/>
                <w:color w:val="000000"/>
                <w:sz w:val="22"/>
                <w:szCs w:val="22"/>
              </w:rPr>
            </w:pPr>
            <w:r w:rsidRPr="002B3958">
              <w:rPr>
                <w:rFonts w:ascii="Calibri" w:hAnsi="Calibri"/>
                <w:color w:val="000000"/>
                <w:sz w:val="22"/>
                <w:szCs w:val="22"/>
              </w:rPr>
              <w:t>6</w:t>
            </w:r>
          </w:p>
        </w:tc>
        <w:tc>
          <w:tcPr>
            <w:tcW w:w="960" w:type="dxa"/>
            <w:tcBorders>
              <w:top w:val="nil"/>
              <w:left w:val="nil"/>
              <w:bottom w:val="nil"/>
              <w:right w:val="nil"/>
            </w:tcBorders>
            <w:shd w:val="clear" w:color="auto" w:fill="auto"/>
            <w:noWrap/>
            <w:vAlign w:val="bottom"/>
            <w:hideMark/>
          </w:tcPr>
          <w:p w14:paraId="4D1BED7E" w14:textId="77777777" w:rsidR="00F73FFC" w:rsidRPr="002B3958" w:rsidRDefault="00F73FFC" w:rsidP="00A42AFB">
            <w:pPr>
              <w:jc w:val="right"/>
              <w:rPr>
                <w:rFonts w:ascii="Calibri" w:hAnsi="Calibri"/>
                <w:color w:val="000000"/>
                <w:sz w:val="22"/>
                <w:szCs w:val="22"/>
              </w:rPr>
            </w:pPr>
            <w:r w:rsidRPr="002B3958">
              <w:rPr>
                <w:rFonts w:ascii="Calibri" w:hAnsi="Calibri"/>
                <w:color w:val="000000"/>
                <w:sz w:val="22"/>
                <w:szCs w:val="22"/>
              </w:rPr>
              <w:t>52</w:t>
            </w:r>
          </w:p>
        </w:tc>
        <w:tc>
          <w:tcPr>
            <w:tcW w:w="960" w:type="dxa"/>
            <w:tcBorders>
              <w:top w:val="nil"/>
              <w:left w:val="nil"/>
              <w:bottom w:val="nil"/>
              <w:right w:val="nil"/>
            </w:tcBorders>
            <w:shd w:val="clear" w:color="auto" w:fill="auto"/>
            <w:noWrap/>
            <w:vAlign w:val="bottom"/>
            <w:hideMark/>
          </w:tcPr>
          <w:p w14:paraId="4372EA45" w14:textId="77777777" w:rsidR="00F73FFC" w:rsidRPr="002B3958" w:rsidRDefault="00F73FFC" w:rsidP="00A42AFB">
            <w:pPr>
              <w:jc w:val="right"/>
              <w:rPr>
                <w:rFonts w:ascii="Calibri" w:hAnsi="Calibri"/>
                <w:color w:val="000000"/>
                <w:sz w:val="22"/>
                <w:szCs w:val="22"/>
              </w:rPr>
            </w:pPr>
            <w:r w:rsidRPr="002B3958">
              <w:rPr>
                <w:rFonts w:ascii="Calibri" w:hAnsi="Calibri"/>
                <w:color w:val="000000"/>
                <w:sz w:val="22"/>
                <w:szCs w:val="22"/>
              </w:rPr>
              <w:t>50</w:t>
            </w:r>
          </w:p>
        </w:tc>
      </w:tr>
      <w:tr w:rsidR="00F73FFC" w:rsidRPr="002B3958" w14:paraId="0A56013F" w14:textId="77777777" w:rsidTr="00A42AFB">
        <w:trPr>
          <w:trHeight w:val="300"/>
        </w:trPr>
        <w:tc>
          <w:tcPr>
            <w:tcW w:w="1300" w:type="dxa"/>
            <w:tcBorders>
              <w:top w:val="nil"/>
              <w:left w:val="nil"/>
              <w:bottom w:val="nil"/>
              <w:right w:val="nil"/>
            </w:tcBorders>
            <w:shd w:val="clear" w:color="auto" w:fill="auto"/>
            <w:noWrap/>
            <w:vAlign w:val="bottom"/>
            <w:hideMark/>
          </w:tcPr>
          <w:p w14:paraId="450867D8" w14:textId="77777777" w:rsidR="00F73FFC" w:rsidRPr="002B3958" w:rsidRDefault="00F73FFC" w:rsidP="00A42AFB">
            <w:pPr>
              <w:jc w:val="right"/>
              <w:rPr>
                <w:rFonts w:ascii="Calibri" w:hAnsi="Calibri"/>
                <w:color w:val="000000"/>
                <w:sz w:val="22"/>
                <w:szCs w:val="22"/>
              </w:rPr>
            </w:pPr>
          </w:p>
        </w:tc>
        <w:tc>
          <w:tcPr>
            <w:tcW w:w="880" w:type="dxa"/>
            <w:tcBorders>
              <w:top w:val="nil"/>
              <w:left w:val="nil"/>
              <w:bottom w:val="nil"/>
              <w:right w:val="nil"/>
            </w:tcBorders>
            <w:shd w:val="clear" w:color="auto" w:fill="auto"/>
            <w:noWrap/>
            <w:vAlign w:val="bottom"/>
            <w:hideMark/>
          </w:tcPr>
          <w:p w14:paraId="6E8491B2" w14:textId="77777777" w:rsidR="00F73FFC" w:rsidRPr="002B3958" w:rsidRDefault="00F73FFC" w:rsidP="00A42AFB"/>
        </w:tc>
        <w:tc>
          <w:tcPr>
            <w:tcW w:w="960" w:type="dxa"/>
            <w:tcBorders>
              <w:top w:val="nil"/>
              <w:left w:val="nil"/>
              <w:bottom w:val="nil"/>
              <w:right w:val="nil"/>
            </w:tcBorders>
            <w:shd w:val="clear" w:color="auto" w:fill="auto"/>
            <w:noWrap/>
            <w:vAlign w:val="bottom"/>
            <w:hideMark/>
          </w:tcPr>
          <w:p w14:paraId="6ED65DC3" w14:textId="77777777" w:rsidR="00F73FFC" w:rsidRPr="002B3958" w:rsidRDefault="00F73FFC" w:rsidP="00A42AFB"/>
        </w:tc>
        <w:tc>
          <w:tcPr>
            <w:tcW w:w="960" w:type="dxa"/>
            <w:tcBorders>
              <w:top w:val="nil"/>
              <w:left w:val="nil"/>
              <w:bottom w:val="nil"/>
              <w:right w:val="nil"/>
            </w:tcBorders>
            <w:shd w:val="clear" w:color="auto" w:fill="auto"/>
            <w:noWrap/>
            <w:vAlign w:val="bottom"/>
            <w:hideMark/>
          </w:tcPr>
          <w:p w14:paraId="30D7E4AC" w14:textId="77777777" w:rsidR="00F73FFC" w:rsidRPr="002B3958" w:rsidRDefault="00F73FFC" w:rsidP="00A42AFB"/>
        </w:tc>
        <w:tc>
          <w:tcPr>
            <w:tcW w:w="960" w:type="dxa"/>
            <w:tcBorders>
              <w:top w:val="nil"/>
              <w:left w:val="nil"/>
              <w:bottom w:val="nil"/>
              <w:right w:val="nil"/>
            </w:tcBorders>
            <w:shd w:val="clear" w:color="auto" w:fill="auto"/>
            <w:noWrap/>
            <w:vAlign w:val="bottom"/>
            <w:hideMark/>
          </w:tcPr>
          <w:p w14:paraId="656C6470" w14:textId="77777777" w:rsidR="00F73FFC" w:rsidRPr="002B3958" w:rsidRDefault="00F73FFC" w:rsidP="00A42AFB"/>
        </w:tc>
      </w:tr>
    </w:tbl>
    <w:p w14:paraId="207A7839" w14:textId="77777777" w:rsidR="00F73FFC" w:rsidRDefault="00F73FFC" w:rsidP="00F73FFC">
      <w:pPr>
        <w:autoSpaceDE w:val="0"/>
        <w:autoSpaceDN w:val="0"/>
        <w:adjustRightInd w:val="0"/>
        <w:spacing w:after="60"/>
        <w:rPr>
          <w:bCs/>
        </w:rPr>
      </w:pPr>
    </w:p>
    <w:tbl>
      <w:tblPr>
        <w:tblW w:w="5260" w:type="dxa"/>
        <w:tblInd w:w="1308" w:type="dxa"/>
        <w:tblLook w:val="04A0" w:firstRow="1" w:lastRow="0" w:firstColumn="1" w:lastColumn="0" w:noHBand="0" w:noVBand="1"/>
      </w:tblPr>
      <w:tblGrid>
        <w:gridCol w:w="1420"/>
        <w:gridCol w:w="960"/>
        <w:gridCol w:w="960"/>
        <w:gridCol w:w="960"/>
        <w:gridCol w:w="960"/>
      </w:tblGrid>
      <w:tr w:rsidR="00F73FFC" w:rsidRPr="00AE059B" w14:paraId="0A52A77D" w14:textId="77777777" w:rsidTr="00A42AFB">
        <w:trPr>
          <w:trHeight w:val="315"/>
        </w:trPr>
        <w:tc>
          <w:tcPr>
            <w:tcW w:w="1420" w:type="dxa"/>
            <w:tcBorders>
              <w:top w:val="nil"/>
              <w:left w:val="nil"/>
              <w:bottom w:val="nil"/>
              <w:right w:val="nil"/>
            </w:tcBorders>
            <w:shd w:val="clear" w:color="auto" w:fill="auto"/>
            <w:noWrap/>
            <w:vAlign w:val="center"/>
            <w:hideMark/>
          </w:tcPr>
          <w:p w14:paraId="1562EE3D" w14:textId="77777777" w:rsidR="00F73FFC" w:rsidRPr="00AE059B" w:rsidRDefault="00F73FFC" w:rsidP="00A42AFB">
            <w:pPr>
              <w:rPr>
                <w:b/>
                <w:bCs/>
                <w:color w:val="000000"/>
              </w:rPr>
            </w:pPr>
            <w:r w:rsidRPr="00AE059B">
              <w:rPr>
                <w:b/>
                <w:bCs/>
                <w:color w:val="000000"/>
              </w:rPr>
              <w:t>Nuchal Rigidity</w:t>
            </w:r>
          </w:p>
        </w:tc>
        <w:tc>
          <w:tcPr>
            <w:tcW w:w="960" w:type="dxa"/>
            <w:tcBorders>
              <w:top w:val="nil"/>
              <w:left w:val="nil"/>
              <w:bottom w:val="nil"/>
              <w:right w:val="nil"/>
            </w:tcBorders>
            <w:shd w:val="clear" w:color="auto" w:fill="auto"/>
            <w:noWrap/>
            <w:vAlign w:val="center"/>
            <w:hideMark/>
          </w:tcPr>
          <w:p w14:paraId="0F5A513C" w14:textId="77777777" w:rsidR="00F73FFC" w:rsidRPr="00AE059B" w:rsidRDefault="00F73FFC" w:rsidP="00A42AFB">
            <w:pPr>
              <w:jc w:val="center"/>
              <w:rPr>
                <w:rFonts w:ascii="Calibri" w:hAnsi="Calibri"/>
                <w:b/>
                <w:bCs/>
                <w:color w:val="000000"/>
                <w:sz w:val="22"/>
                <w:szCs w:val="22"/>
              </w:rPr>
            </w:pPr>
            <w:r w:rsidRPr="00AE059B">
              <w:rPr>
                <w:rFonts w:ascii="Calibri" w:hAnsi="Calibri"/>
                <w:b/>
                <w:bCs/>
                <w:color w:val="000000"/>
                <w:sz w:val="22"/>
                <w:szCs w:val="22"/>
              </w:rPr>
              <w:t>&gt;30</w:t>
            </w:r>
          </w:p>
        </w:tc>
        <w:tc>
          <w:tcPr>
            <w:tcW w:w="960" w:type="dxa"/>
            <w:tcBorders>
              <w:top w:val="nil"/>
              <w:left w:val="nil"/>
              <w:bottom w:val="nil"/>
              <w:right w:val="nil"/>
            </w:tcBorders>
            <w:shd w:val="clear" w:color="auto" w:fill="auto"/>
            <w:noWrap/>
            <w:vAlign w:val="center"/>
            <w:hideMark/>
          </w:tcPr>
          <w:p w14:paraId="16EB31AF" w14:textId="77777777" w:rsidR="00F73FFC" w:rsidRPr="00AE059B" w:rsidRDefault="00F73FFC" w:rsidP="00A42AFB">
            <w:pPr>
              <w:jc w:val="center"/>
              <w:rPr>
                <w:rFonts w:ascii="Calibri" w:hAnsi="Calibri"/>
                <w:b/>
                <w:bCs/>
                <w:color w:val="000000"/>
                <w:sz w:val="22"/>
                <w:szCs w:val="22"/>
              </w:rPr>
            </w:pPr>
            <w:r w:rsidRPr="00AE059B">
              <w:rPr>
                <w:rFonts w:ascii="Calibri" w:hAnsi="Calibri"/>
                <w:b/>
                <w:bCs/>
                <w:color w:val="000000"/>
                <w:sz w:val="22"/>
                <w:szCs w:val="22"/>
              </w:rPr>
              <w:t xml:space="preserve"> 7-30</w:t>
            </w:r>
          </w:p>
        </w:tc>
        <w:tc>
          <w:tcPr>
            <w:tcW w:w="960" w:type="dxa"/>
            <w:tcBorders>
              <w:top w:val="nil"/>
              <w:left w:val="nil"/>
              <w:bottom w:val="nil"/>
              <w:right w:val="nil"/>
            </w:tcBorders>
            <w:shd w:val="clear" w:color="auto" w:fill="auto"/>
            <w:noWrap/>
            <w:vAlign w:val="center"/>
            <w:hideMark/>
          </w:tcPr>
          <w:p w14:paraId="57DDB39B" w14:textId="77777777" w:rsidR="00F73FFC" w:rsidRPr="00AE059B" w:rsidRDefault="00F73FFC" w:rsidP="00A42AFB">
            <w:pPr>
              <w:jc w:val="center"/>
              <w:rPr>
                <w:rFonts w:ascii="Calibri" w:hAnsi="Calibri"/>
                <w:b/>
                <w:bCs/>
                <w:color w:val="000000"/>
                <w:sz w:val="22"/>
                <w:szCs w:val="22"/>
              </w:rPr>
            </w:pPr>
            <w:r w:rsidRPr="00AE059B">
              <w:rPr>
                <w:rFonts w:ascii="Calibri" w:hAnsi="Calibri"/>
                <w:b/>
                <w:bCs/>
                <w:color w:val="000000"/>
                <w:sz w:val="22"/>
                <w:szCs w:val="22"/>
              </w:rPr>
              <w:t>≤6</w:t>
            </w:r>
          </w:p>
        </w:tc>
        <w:tc>
          <w:tcPr>
            <w:tcW w:w="960" w:type="dxa"/>
            <w:tcBorders>
              <w:top w:val="nil"/>
              <w:left w:val="nil"/>
              <w:bottom w:val="nil"/>
              <w:right w:val="nil"/>
            </w:tcBorders>
            <w:shd w:val="clear" w:color="auto" w:fill="auto"/>
            <w:noWrap/>
            <w:vAlign w:val="bottom"/>
            <w:hideMark/>
          </w:tcPr>
          <w:p w14:paraId="6F402184" w14:textId="77777777" w:rsidR="00F73FFC" w:rsidRPr="00AE059B" w:rsidRDefault="00F73FFC" w:rsidP="00A42AFB">
            <w:pPr>
              <w:jc w:val="center"/>
              <w:rPr>
                <w:rFonts w:ascii="Calibri" w:hAnsi="Calibri"/>
                <w:b/>
                <w:bCs/>
                <w:color w:val="000000"/>
                <w:sz w:val="22"/>
                <w:szCs w:val="22"/>
              </w:rPr>
            </w:pPr>
          </w:p>
        </w:tc>
      </w:tr>
      <w:tr w:rsidR="00F73FFC" w:rsidRPr="00AE059B" w14:paraId="202DCEE5" w14:textId="77777777" w:rsidTr="00A42AFB">
        <w:trPr>
          <w:trHeight w:val="315"/>
        </w:trPr>
        <w:tc>
          <w:tcPr>
            <w:tcW w:w="1420" w:type="dxa"/>
            <w:tcBorders>
              <w:top w:val="nil"/>
              <w:left w:val="nil"/>
              <w:bottom w:val="nil"/>
              <w:right w:val="nil"/>
            </w:tcBorders>
            <w:shd w:val="clear" w:color="auto" w:fill="auto"/>
            <w:noWrap/>
            <w:vAlign w:val="center"/>
            <w:hideMark/>
          </w:tcPr>
          <w:p w14:paraId="1FF0147E" w14:textId="77777777" w:rsidR="00F73FFC" w:rsidRPr="00AE059B" w:rsidRDefault="00F73FFC" w:rsidP="00A42AFB">
            <w:pPr>
              <w:jc w:val="center"/>
              <w:rPr>
                <w:rFonts w:ascii="Calibri" w:hAnsi="Calibri"/>
                <w:b/>
                <w:bCs/>
                <w:color w:val="000000"/>
                <w:sz w:val="22"/>
                <w:szCs w:val="22"/>
              </w:rPr>
            </w:pPr>
            <w:r w:rsidRPr="00AE059B">
              <w:rPr>
                <w:rFonts w:ascii="Calibri" w:hAnsi="Calibri"/>
                <w:b/>
                <w:bCs/>
                <w:color w:val="000000"/>
                <w:sz w:val="22"/>
                <w:szCs w:val="22"/>
              </w:rPr>
              <w:t>Yes</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4EF472"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804AEF9"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26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6B98670"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10</w:t>
            </w:r>
          </w:p>
        </w:tc>
        <w:tc>
          <w:tcPr>
            <w:tcW w:w="960" w:type="dxa"/>
            <w:tcBorders>
              <w:top w:val="nil"/>
              <w:left w:val="nil"/>
              <w:bottom w:val="nil"/>
              <w:right w:val="nil"/>
            </w:tcBorders>
            <w:shd w:val="clear" w:color="auto" w:fill="auto"/>
            <w:noWrap/>
            <w:vAlign w:val="bottom"/>
            <w:hideMark/>
          </w:tcPr>
          <w:p w14:paraId="66673374" w14:textId="77777777" w:rsidR="00F73FFC" w:rsidRPr="00AE059B" w:rsidRDefault="00F73FFC" w:rsidP="00A42AFB">
            <w:pPr>
              <w:jc w:val="right"/>
              <w:rPr>
                <w:rFonts w:ascii="Calibri" w:hAnsi="Calibri"/>
                <w:color w:val="000000"/>
                <w:sz w:val="22"/>
                <w:szCs w:val="22"/>
              </w:rPr>
            </w:pPr>
          </w:p>
        </w:tc>
      </w:tr>
      <w:tr w:rsidR="00F73FFC" w:rsidRPr="00AE059B" w14:paraId="41015B51" w14:textId="77777777" w:rsidTr="00A42AFB">
        <w:trPr>
          <w:trHeight w:val="315"/>
        </w:trPr>
        <w:tc>
          <w:tcPr>
            <w:tcW w:w="1420" w:type="dxa"/>
            <w:tcBorders>
              <w:top w:val="nil"/>
              <w:left w:val="nil"/>
              <w:bottom w:val="nil"/>
              <w:right w:val="nil"/>
            </w:tcBorders>
            <w:shd w:val="clear" w:color="auto" w:fill="auto"/>
            <w:noWrap/>
            <w:vAlign w:val="center"/>
            <w:hideMark/>
          </w:tcPr>
          <w:p w14:paraId="1866F44C" w14:textId="77777777" w:rsidR="00F73FFC" w:rsidRPr="00AE059B" w:rsidRDefault="00F73FFC" w:rsidP="00A42AFB">
            <w:pPr>
              <w:jc w:val="center"/>
              <w:rPr>
                <w:rFonts w:ascii="Calibri" w:hAnsi="Calibri"/>
                <w:b/>
                <w:bCs/>
                <w:color w:val="000000"/>
                <w:sz w:val="22"/>
                <w:szCs w:val="22"/>
              </w:rPr>
            </w:pPr>
            <w:r w:rsidRPr="00AE059B">
              <w:rPr>
                <w:rFonts w:ascii="Calibri" w:hAnsi="Calibri"/>
                <w:b/>
                <w:bCs/>
                <w:color w:val="000000"/>
                <w:sz w:val="22"/>
                <w:szCs w:val="22"/>
              </w:rPr>
              <w:t>No</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0B6B790"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0</w:t>
            </w:r>
          </w:p>
        </w:tc>
        <w:tc>
          <w:tcPr>
            <w:tcW w:w="960" w:type="dxa"/>
            <w:tcBorders>
              <w:top w:val="nil"/>
              <w:left w:val="nil"/>
              <w:bottom w:val="single" w:sz="8" w:space="0" w:color="auto"/>
              <w:right w:val="single" w:sz="8" w:space="0" w:color="auto"/>
            </w:tcBorders>
            <w:shd w:val="clear" w:color="auto" w:fill="auto"/>
            <w:noWrap/>
            <w:vAlign w:val="center"/>
            <w:hideMark/>
          </w:tcPr>
          <w:p w14:paraId="3CACF2BE"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17</w:t>
            </w:r>
          </w:p>
        </w:tc>
        <w:tc>
          <w:tcPr>
            <w:tcW w:w="960" w:type="dxa"/>
            <w:tcBorders>
              <w:top w:val="nil"/>
              <w:left w:val="nil"/>
              <w:bottom w:val="single" w:sz="8" w:space="0" w:color="auto"/>
              <w:right w:val="single" w:sz="8" w:space="0" w:color="auto"/>
            </w:tcBorders>
            <w:shd w:val="clear" w:color="auto" w:fill="auto"/>
            <w:noWrap/>
            <w:vAlign w:val="center"/>
            <w:hideMark/>
          </w:tcPr>
          <w:p w14:paraId="51E93E49"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20</w:t>
            </w:r>
          </w:p>
        </w:tc>
        <w:tc>
          <w:tcPr>
            <w:tcW w:w="960" w:type="dxa"/>
            <w:tcBorders>
              <w:top w:val="nil"/>
              <w:left w:val="nil"/>
              <w:bottom w:val="nil"/>
              <w:right w:val="nil"/>
            </w:tcBorders>
            <w:shd w:val="clear" w:color="auto" w:fill="auto"/>
            <w:noWrap/>
            <w:vAlign w:val="bottom"/>
            <w:hideMark/>
          </w:tcPr>
          <w:p w14:paraId="7C07597F" w14:textId="77777777" w:rsidR="00F73FFC" w:rsidRPr="00AE059B" w:rsidRDefault="00F73FFC" w:rsidP="00A42AFB">
            <w:pPr>
              <w:jc w:val="right"/>
              <w:rPr>
                <w:rFonts w:ascii="Calibri" w:hAnsi="Calibri"/>
                <w:color w:val="000000"/>
                <w:sz w:val="22"/>
                <w:szCs w:val="22"/>
              </w:rPr>
            </w:pPr>
          </w:p>
        </w:tc>
      </w:tr>
      <w:tr w:rsidR="00F73FFC" w:rsidRPr="00AE059B" w14:paraId="7E6731F9" w14:textId="77777777" w:rsidTr="00A42AFB">
        <w:trPr>
          <w:trHeight w:val="300"/>
        </w:trPr>
        <w:tc>
          <w:tcPr>
            <w:tcW w:w="1420" w:type="dxa"/>
            <w:tcBorders>
              <w:top w:val="nil"/>
              <w:left w:val="nil"/>
              <w:bottom w:val="nil"/>
              <w:right w:val="nil"/>
            </w:tcBorders>
            <w:shd w:val="clear" w:color="auto" w:fill="auto"/>
            <w:noWrap/>
            <w:vAlign w:val="bottom"/>
            <w:hideMark/>
          </w:tcPr>
          <w:p w14:paraId="6C1907C4" w14:textId="77777777" w:rsidR="00F73FFC" w:rsidRPr="00AE059B" w:rsidRDefault="00F73FFC" w:rsidP="00A42AFB"/>
        </w:tc>
        <w:tc>
          <w:tcPr>
            <w:tcW w:w="960" w:type="dxa"/>
            <w:tcBorders>
              <w:top w:val="nil"/>
              <w:left w:val="nil"/>
              <w:bottom w:val="nil"/>
              <w:right w:val="nil"/>
            </w:tcBorders>
            <w:shd w:val="clear" w:color="auto" w:fill="auto"/>
            <w:noWrap/>
            <w:vAlign w:val="center"/>
            <w:hideMark/>
          </w:tcPr>
          <w:p w14:paraId="174BE623"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6</w:t>
            </w:r>
          </w:p>
        </w:tc>
        <w:tc>
          <w:tcPr>
            <w:tcW w:w="960" w:type="dxa"/>
            <w:tcBorders>
              <w:top w:val="nil"/>
              <w:left w:val="nil"/>
              <w:bottom w:val="nil"/>
              <w:right w:val="nil"/>
            </w:tcBorders>
            <w:shd w:val="clear" w:color="auto" w:fill="auto"/>
            <w:noWrap/>
            <w:vAlign w:val="center"/>
            <w:hideMark/>
          </w:tcPr>
          <w:p w14:paraId="55C890F9"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43</w:t>
            </w:r>
          </w:p>
        </w:tc>
        <w:tc>
          <w:tcPr>
            <w:tcW w:w="960" w:type="dxa"/>
            <w:tcBorders>
              <w:top w:val="nil"/>
              <w:left w:val="nil"/>
              <w:bottom w:val="nil"/>
              <w:right w:val="nil"/>
            </w:tcBorders>
            <w:shd w:val="clear" w:color="auto" w:fill="auto"/>
            <w:noWrap/>
            <w:vAlign w:val="center"/>
            <w:hideMark/>
          </w:tcPr>
          <w:p w14:paraId="0A6E8C82"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30</w:t>
            </w:r>
          </w:p>
        </w:tc>
        <w:tc>
          <w:tcPr>
            <w:tcW w:w="960" w:type="dxa"/>
            <w:tcBorders>
              <w:top w:val="nil"/>
              <w:left w:val="nil"/>
              <w:bottom w:val="nil"/>
              <w:right w:val="nil"/>
            </w:tcBorders>
            <w:shd w:val="clear" w:color="auto" w:fill="auto"/>
            <w:noWrap/>
            <w:vAlign w:val="bottom"/>
            <w:hideMark/>
          </w:tcPr>
          <w:p w14:paraId="4E1107DB" w14:textId="77777777" w:rsidR="00F73FFC" w:rsidRPr="00AE059B" w:rsidRDefault="00F73FFC" w:rsidP="00A42AFB">
            <w:pPr>
              <w:jc w:val="right"/>
              <w:rPr>
                <w:rFonts w:ascii="Calibri" w:hAnsi="Calibri"/>
                <w:color w:val="000000"/>
                <w:sz w:val="22"/>
                <w:szCs w:val="22"/>
              </w:rPr>
            </w:pPr>
            <w:r w:rsidRPr="00AE059B">
              <w:rPr>
                <w:rFonts w:ascii="Calibri" w:hAnsi="Calibri"/>
                <w:color w:val="000000"/>
                <w:sz w:val="22"/>
                <w:szCs w:val="22"/>
              </w:rPr>
              <w:t>79</w:t>
            </w:r>
          </w:p>
        </w:tc>
      </w:tr>
    </w:tbl>
    <w:p w14:paraId="57F5205B" w14:textId="77777777" w:rsidR="00F73FFC" w:rsidRDefault="00F73FFC" w:rsidP="00F73FFC">
      <w:pPr>
        <w:autoSpaceDE w:val="0"/>
        <w:autoSpaceDN w:val="0"/>
        <w:adjustRightInd w:val="0"/>
        <w:spacing w:after="60"/>
        <w:ind w:left="720"/>
        <w:rPr>
          <w:bCs/>
        </w:rPr>
      </w:pPr>
    </w:p>
    <w:p w14:paraId="71E7297C" w14:textId="77777777" w:rsidR="00F73FFC" w:rsidRPr="00B74077" w:rsidRDefault="00F73FFC" w:rsidP="00F73FFC">
      <w:pPr>
        <w:widowControl w:val="0"/>
        <w:numPr>
          <w:ilvl w:val="0"/>
          <w:numId w:val="24"/>
        </w:numPr>
        <w:autoSpaceDE w:val="0"/>
        <w:autoSpaceDN w:val="0"/>
        <w:adjustRightInd w:val="0"/>
        <w:spacing w:after="60"/>
        <w:ind w:left="360"/>
        <w:rPr>
          <w:bCs/>
        </w:rPr>
      </w:pPr>
      <w:r w:rsidRPr="00B74077">
        <w:rPr>
          <w:bCs/>
        </w:rPr>
        <w:t>Both sensitivity and specificity may have been falsely lowered because</w:t>
      </w:r>
      <w:r>
        <w:rPr>
          <w:bCs/>
        </w:rPr>
        <w:t xml:space="preserve"> a WBC cut</w:t>
      </w:r>
      <w:r w:rsidRPr="00B74077">
        <w:rPr>
          <w:bCs/>
        </w:rPr>
        <w:t xml:space="preserve">off of only 6 is too low; it should have been 30.  </w:t>
      </w:r>
    </w:p>
    <w:p w14:paraId="4C2F5F80" w14:textId="21AA70FD" w:rsidR="00F73FFC" w:rsidRDefault="00F73FFC" w:rsidP="00F73FFC">
      <w:pPr>
        <w:autoSpaceDE w:val="0"/>
        <w:autoSpaceDN w:val="0"/>
        <w:adjustRightInd w:val="0"/>
        <w:spacing w:after="60"/>
        <w:rPr>
          <w:bCs/>
        </w:rPr>
      </w:pPr>
    </w:p>
    <w:p w14:paraId="65A17CBB" w14:textId="77777777" w:rsidR="00CC6BE4" w:rsidRDefault="00CC6BE4">
      <w:pPr>
        <w:rPr>
          <w:b/>
        </w:rPr>
      </w:pPr>
      <w:r>
        <w:rPr>
          <w:b/>
        </w:rPr>
        <w:br w:type="page"/>
      </w:r>
    </w:p>
    <w:p w14:paraId="1E19F06C" w14:textId="08E21DE5" w:rsidR="00CC6BE4" w:rsidRPr="00D7500F" w:rsidRDefault="00CC6BE4" w:rsidP="00CC6BE4">
      <w:pPr>
        <w:pStyle w:val="BodyText3"/>
        <w:rPr>
          <w:b/>
          <w:sz w:val="24"/>
          <w:szCs w:val="24"/>
        </w:rPr>
      </w:pPr>
      <w:r>
        <w:rPr>
          <w:b/>
          <w:sz w:val="24"/>
          <w:szCs w:val="24"/>
        </w:rPr>
        <w:lastRenderedPageBreak/>
        <w:t xml:space="preserve">Ch04.15.A </w:t>
      </w:r>
      <w:r w:rsidRPr="00D7500F">
        <w:rPr>
          <w:b/>
        </w:rPr>
        <w:t xml:space="preserve">   </w:t>
      </w:r>
      <w:r w:rsidRPr="00D7500F">
        <w:rPr>
          <w:b/>
          <w:sz w:val="24"/>
          <w:szCs w:val="24"/>
        </w:rPr>
        <w:t>Wall Motion Abnormalities as a Test for Myocardial Ischemia</w:t>
      </w:r>
    </w:p>
    <w:p w14:paraId="64290F90" w14:textId="77777777" w:rsidR="00CC6BE4" w:rsidRPr="00D7500F" w:rsidRDefault="00CC6BE4" w:rsidP="00CC6BE4">
      <w:pPr>
        <w:pStyle w:val="BodyText3"/>
        <w:rPr>
          <w:b/>
          <w:sz w:val="24"/>
          <w:szCs w:val="24"/>
        </w:rPr>
      </w:pPr>
    </w:p>
    <w:p w14:paraId="1646E739" w14:textId="3D644CF2" w:rsidR="00CC6BE4" w:rsidRPr="00D7500F" w:rsidRDefault="00CC6BE4" w:rsidP="00CC6BE4">
      <w:pPr>
        <w:pStyle w:val="BodyText3"/>
        <w:rPr>
          <w:sz w:val="24"/>
          <w:szCs w:val="24"/>
        </w:rPr>
      </w:pPr>
      <w:r w:rsidRPr="00D7500F">
        <w:rPr>
          <w:sz w:val="24"/>
          <w:szCs w:val="24"/>
        </w:rPr>
        <w:t>Consider a study of the accuracy of regional wall motion abnormalities on the ED echocardiogram as a test for acute cardiac ischemia</w:t>
      </w:r>
      <w:r>
        <w:rPr>
          <w:sz w:val="24"/>
          <w:szCs w:val="24"/>
        </w:rPr>
        <w:t xml:space="preserve"> (ACI)</w:t>
      </w:r>
      <w:r w:rsidRPr="00D7500F">
        <w:rPr>
          <w:sz w:val="24"/>
          <w:szCs w:val="24"/>
        </w:rPr>
        <w:t xml:space="preserve">.  The index test is a yes/no reading of regional wall motion abnormalities by the performing clinician.  The gold standard for acute cardiac ischemia is the final ED/hospital diagnosis, e.g., “unstable angina”. </w:t>
      </w:r>
      <w:r w:rsidRPr="00D7500F">
        <w:rPr>
          <w:sz w:val="24"/>
          <w:szCs w:val="24"/>
        </w:rPr>
        <w:fldChar w:fldCharType="begin">
          <w:fldData xml:space="preserve">PEVuZE5vdGU+PENpdGU+PEF1dGhvcj5MYXU8L0F1dGhvcj48WWVhcj4yMDAxPC9ZZWFyPjxSZWNO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</w:fldData>
        </w:fldChar>
      </w:r>
      <w:r>
        <w:rPr>
          <w:sz w:val="24"/>
          <w:szCs w:val="24"/>
        </w:rPr>
        <w:instrText xml:space="preserve"> ADDIN EN.CITE </w:instrText>
      </w:r>
      <w:r>
        <w:rPr>
          <w:sz w:val="24"/>
          <w:szCs w:val="24"/>
        </w:rPr>
        <w:fldChar w:fldCharType="begin">
          <w:fldData xml:space="preserve">PEVuZE5vdGU+PENpdGU+PEF1dGhvcj5MYXU8L0F1dGhvcj48WWVhcj4yMDAxPC9ZZWFyPjxSZWNO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</w:fldData>
        </w:fldChar>
      </w:r>
      <w:r>
        <w:rPr>
          <w:sz w:val="24"/>
          <w:szCs w:val="24"/>
        </w:rPr>
        <w:instrText xml:space="preserve"> ADDIN EN.CITE.DATA </w:instrText>
      </w:r>
      <w:r>
        <w:rPr>
          <w:sz w:val="24"/>
          <w:szCs w:val="24"/>
        </w:rPr>
      </w:r>
      <w:r>
        <w:rPr>
          <w:sz w:val="24"/>
          <w:szCs w:val="24"/>
        </w:rPr>
        <w:fldChar w:fldCharType="end"/>
      </w:r>
      <w:r w:rsidRPr="00D7500F">
        <w:rPr>
          <w:sz w:val="24"/>
          <w:szCs w:val="24"/>
        </w:rPr>
      </w:r>
      <w:r w:rsidRPr="00D7500F">
        <w:rPr>
          <w:sz w:val="24"/>
          <w:szCs w:val="24"/>
        </w:rPr>
        <w:fldChar w:fldCharType="separate"/>
      </w:r>
      <w:r>
        <w:rPr>
          <w:noProof/>
          <w:sz w:val="24"/>
          <w:szCs w:val="24"/>
        </w:rPr>
        <w:t>(</w:t>
      </w:r>
      <w:hyperlink w:anchor="_ENREF_2" w:tooltip="Lau, 2001 #137" w:history="1">
        <w:r w:rsidR="00023F4E">
          <w:rPr>
            <w:noProof/>
            <w:sz w:val="24"/>
            <w:szCs w:val="24"/>
          </w:rPr>
          <w:t>Lau, Ioannidis et al. 2001</w:t>
        </w:r>
      </w:hyperlink>
      <w:r>
        <w:rPr>
          <w:noProof/>
          <w:sz w:val="24"/>
          <w:szCs w:val="24"/>
        </w:rPr>
        <w:t xml:space="preserve">, </w:t>
      </w:r>
      <w:hyperlink w:anchor="_ENREF_3" w:tooltip="Lau, 2001 #138" w:history="1">
        <w:r w:rsidR="00023F4E">
          <w:rPr>
            <w:noProof/>
            <w:sz w:val="24"/>
            <w:szCs w:val="24"/>
          </w:rPr>
          <w:t>Lau, Ioannidis et al. 2001</w:t>
        </w:r>
      </w:hyperlink>
      <w:r>
        <w:rPr>
          <w:noProof/>
          <w:sz w:val="24"/>
          <w:szCs w:val="24"/>
        </w:rPr>
        <w:t>)</w:t>
      </w:r>
      <w:r w:rsidRPr="00D7500F">
        <w:rPr>
          <w:sz w:val="24"/>
          <w:szCs w:val="24"/>
        </w:rPr>
        <w:fldChar w:fldCharType="end"/>
      </w:r>
      <w:r w:rsidRPr="00D7500F">
        <w:rPr>
          <w:sz w:val="24"/>
          <w:szCs w:val="24"/>
        </w:rPr>
        <w:t xml:space="preserve">  The test result and the final hospital diagnosis were recorded as part of clinical care and abstracted for the study from the hospital chart by trained reviewers using explicit criteria.  All patients who received an ED echocardiogram were included in the study, regardless of whether they were hospitalized.  If the patient was discharged from the ED, the final diagnosis was the diagnosis assigned on the basis of the ED evaluation.</w:t>
      </w:r>
    </w:p>
    <w:p w14:paraId="39213C5D" w14:textId="77777777" w:rsidR="00CC6BE4" w:rsidRPr="00D7500F" w:rsidRDefault="00CC6BE4" w:rsidP="00CC6BE4">
      <w:pPr>
        <w:pStyle w:val="BodyText3"/>
        <w:rPr>
          <w:sz w:val="24"/>
          <w:szCs w:val="24"/>
        </w:rPr>
      </w:pPr>
    </w:p>
    <w:p w14:paraId="4B15A0A3" w14:textId="77777777" w:rsidR="00CC6BE4" w:rsidRPr="00D7500F" w:rsidRDefault="00CC6BE4" w:rsidP="00CC6BE4">
      <w:pPr>
        <w:pStyle w:val="BodyText3"/>
        <w:numPr>
          <w:ilvl w:val="0"/>
          <w:numId w:val="25"/>
        </w:numPr>
        <w:spacing w:after="0"/>
        <w:rPr>
          <w:sz w:val="24"/>
          <w:szCs w:val="24"/>
        </w:rPr>
      </w:pPr>
      <w:r w:rsidRPr="00D7500F">
        <w:rPr>
          <w:sz w:val="24"/>
          <w:szCs w:val="24"/>
        </w:rPr>
        <w:t xml:space="preserve">This study’s estimates of the sensitivity and specificity were probably biased because the final diagnosis of cardiac ischemia was based in part on the result of the echocardiogram.  What is the name of this bias? </w:t>
      </w:r>
    </w:p>
    <w:p w14:paraId="17C079CA" w14:textId="77777777" w:rsidR="00CC6BE4" w:rsidRPr="00D7500F" w:rsidRDefault="00CC6BE4" w:rsidP="00CC6BE4">
      <w:pPr>
        <w:pStyle w:val="BodyText3"/>
        <w:rPr>
          <w:sz w:val="24"/>
          <w:szCs w:val="24"/>
        </w:rPr>
      </w:pPr>
    </w:p>
    <w:p w14:paraId="4E0CF56D" w14:textId="77777777" w:rsidR="00CC6BE4" w:rsidRPr="00D7500F" w:rsidRDefault="00CC6BE4" w:rsidP="00CC6BE4">
      <w:pPr>
        <w:pStyle w:val="BodyText3"/>
        <w:ind w:left="360"/>
        <w:rPr>
          <w:i/>
          <w:sz w:val="24"/>
          <w:szCs w:val="24"/>
        </w:rPr>
      </w:pPr>
    </w:p>
    <w:p w14:paraId="62303588" w14:textId="77777777" w:rsidR="00CC6BE4" w:rsidRPr="00D7500F" w:rsidRDefault="00CC6BE4" w:rsidP="00CC6BE4">
      <w:pPr>
        <w:pStyle w:val="BodyText3"/>
        <w:numPr>
          <w:ilvl w:val="0"/>
          <w:numId w:val="25"/>
        </w:numPr>
        <w:spacing w:after="0"/>
        <w:rPr>
          <w:sz w:val="24"/>
          <w:szCs w:val="24"/>
        </w:rPr>
      </w:pPr>
      <w:r w:rsidRPr="00D7500F">
        <w:rPr>
          <w:sz w:val="24"/>
          <w:szCs w:val="24"/>
        </w:rPr>
        <w:t xml:space="preserve">How would this bias </w:t>
      </w:r>
      <w:r w:rsidRPr="00D7500F">
        <w:rPr>
          <w:b/>
          <w:sz w:val="24"/>
          <w:szCs w:val="24"/>
        </w:rPr>
        <w:t xml:space="preserve">sensitivity </w:t>
      </w:r>
      <w:r w:rsidRPr="00D7500F">
        <w:rPr>
          <w:sz w:val="24"/>
          <w:szCs w:val="24"/>
        </w:rPr>
        <w:t>(relative to a study in which the echocardiogram result was withheld from the clinicians)?</w:t>
      </w:r>
    </w:p>
    <w:p w14:paraId="6E828190" w14:textId="77777777" w:rsidR="00CC6BE4" w:rsidRPr="00D7500F" w:rsidRDefault="00CC6BE4" w:rsidP="00CC6BE4">
      <w:pPr>
        <w:pStyle w:val="BodyText3"/>
        <w:ind w:left="360"/>
        <w:rPr>
          <w:i/>
          <w:sz w:val="24"/>
          <w:szCs w:val="24"/>
        </w:rPr>
      </w:pPr>
    </w:p>
    <w:p w14:paraId="1FB16561" w14:textId="77777777" w:rsidR="00CC6BE4" w:rsidRPr="00D7500F" w:rsidRDefault="00CC6BE4" w:rsidP="00CC6BE4">
      <w:pPr>
        <w:pStyle w:val="BodyText3"/>
        <w:ind w:left="360"/>
        <w:rPr>
          <w:b/>
          <w:sz w:val="24"/>
          <w:szCs w:val="24"/>
        </w:rPr>
      </w:pPr>
    </w:p>
    <w:p w14:paraId="738AFBA6" w14:textId="77777777" w:rsidR="00CC6BE4" w:rsidRPr="00D7500F" w:rsidRDefault="00CC6BE4" w:rsidP="00CC6BE4">
      <w:pPr>
        <w:pStyle w:val="BodyText3"/>
        <w:numPr>
          <w:ilvl w:val="0"/>
          <w:numId w:val="25"/>
        </w:numPr>
        <w:spacing w:after="0"/>
        <w:rPr>
          <w:sz w:val="24"/>
          <w:szCs w:val="24"/>
        </w:rPr>
      </w:pPr>
      <w:r w:rsidRPr="00D7500F">
        <w:rPr>
          <w:sz w:val="24"/>
          <w:szCs w:val="24"/>
        </w:rPr>
        <w:t xml:space="preserve">How would this bias </w:t>
      </w:r>
      <w:r w:rsidRPr="00D7500F">
        <w:rPr>
          <w:b/>
          <w:sz w:val="24"/>
          <w:szCs w:val="24"/>
        </w:rPr>
        <w:t>specificity</w:t>
      </w:r>
      <w:r w:rsidRPr="00D7500F">
        <w:rPr>
          <w:sz w:val="24"/>
          <w:szCs w:val="24"/>
        </w:rPr>
        <w:t xml:space="preserve"> (relative to a study in which the echocardiogram result was withheld from the clinicians)?</w:t>
      </w:r>
    </w:p>
    <w:p w14:paraId="35E4FF19" w14:textId="77777777" w:rsidR="00CC6BE4" w:rsidRPr="00D7500F" w:rsidRDefault="00CC6BE4" w:rsidP="00CC6BE4">
      <w:pPr>
        <w:pStyle w:val="BodyText3"/>
        <w:ind w:left="360"/>
        <w:rPr>
          <w:sz w:val="24"/>
          <w:szCs w:val="24"/>
        </w:rPr>
      </w:pPr>
    </w:p>
    <w:p w14:paraId="2D1B3C39" w14:textId="77777777" w:rsidR="00CC6BE4" w:rsidRPr="00D7500F" w:rsidRDefault="00CC6BE4" w:rsidP="00CC6BE4">
      <w:pPr>
        <w:pStyle w:val="BodyText3"/>
        <w:ind w:left="360"/>
        <w:rPr>
          <w:b/>
          <w:sz w:val="24"/>
          <w:szCs w:val="24"/>
        </w:rPr>
      </w:pPr>
    </w:p>
    <w:p w14:paraId="22BD5196" w14:textId="53EF9965" w:rsidR="00CC6BE4" w:rsidRDefault="00CC6BE4" w:rsidP="00F73FFC">
      <w:pPr>
        <w:autoSpaceDE w:val="0"/>
        <w:autoSpaceDN w:val="0"/>
        <w:adjustRightInd w:val="0"/>
        <w:spacing w:after="60"/>
        <w:rPr>
          <w:bCs/>
        </w:rPr>
      </w:pPr>
    </w:p>
    <w:p w14:paraId="29DC907C" w14:textId="0D9FA1E4" w:rsidR="00CC6BE4" w:rsidRDefault="00CC6BE4" w:rsidP="00F73FFC">
      <w:pPr>
        <w:autoSpaceDE w:val="0"/>
        <w:autoSpaceDN w:val="0"/>
        <w:adjustRightInd w:val="0"/>
        <w:spacing w:after="60"/>
        <w:rPr>
          <w:bCs/>
        </w:rPr>
      </w:pPr>
    </w:p>
    <w:p w14:paraId="40126E30" w14:textId="77777777" w:rsidR="00CC6BE4" w:rsidRPr="00E94E8D" w:rsidRDefault="00CC6BE4" w:rsidP="00F73FFC">
      <w:pPr>
        <w:autoSpaceDE w:val="0"/>
        <w:autoSpaceDN w:val="0"/>
        <w:adjustRightInd w:val="0"/>
        <w:spacing w:after="60"/>
        <w:rPr>
          <w:bCs/>
        </w:rPr>
      </w:pPr>
    </w:p>
    <w:p w14:paraId="16AF8BD9" w14:textId="77777777" w:rsidR="00CC6BE4" w:rsidRDefault="00CC6BE4">
      <w:pPr>
        <w:rPr>
          <w:b/>
        </w:rPr>
      </w:pPr>
      <w:r>
        <w:rPr>
          <w:b/>
        </w:rPr>
        <w:br w:type="page"/>
      </w:r>
    </w:p>
    <w:p w14:paraId="71A4EB98" w14:textId="7F3B0804" w:rsidR="00F73FFC" w:rsidRDefault="00F73FFC" w:rsidP="00F73FFC">
      <w:pPr>
        <w:pStyle w:val="BodyText3"/>
        <w:rPr>
          <w:b/>
          <w:i/>
          <w:sz w:val="24"/>
          <w:szCs w:val="24"/>
        </w:rPr>
      </w:pPr>
      <w:r>
        <w:rPr>
          <w:b/>
          <w:sz w:val="24"/>
          <w:szCs w:val="24"/>
        </w:rPr>
        <w:lastRenderedPageBreak/>
        <w:t>Ch04.18.Q. Headache as a S</w:t>
      </w:r>
      <w:r w:rsidRPr="006001C0">
        <w:rPr>
          <w:b/>
          <w:sz w:val="24"/>
          <w:szCs w:val="24"/>
        </w:rPr>
        <w:t>ign</w:t>
      </w:r>
      <w:r>
        <w:rPr>
          <w:b/>
          <w:sz w:val="24"/>
          <w:szCs w:val="24"/>
        </w:rPr>
        <w:t xml:space="preserve"> of Hemorrhagic vs. Ischemic Stroke</w:t>
      </w:r>
    </w:p>
    <w:p w14:paraId="5EEF1F27" w14:textId="77777777" w:rsidR="00F73FFC" w:rsidRDefault="00F73FFC" w:rsidP="00F73FFC">
      <w:pPr>
        <w:pStyle w:val="BodyText3"/>
        <w:rPr>
          <w:b/>
          <w:i/>
          <w:sz w:val="24"/>
          <w:szCs w:val="24"/>
        </w:rPr>
      </w:pPr>
    </w:p>
    <w:p w14:paraId="168AFB9B" w14:textId="56865E35" w:rsidR="00F73FFC" w:rsidRPr="002C4F60" w:rsidRDefault="00F73FFC" w:rsidP="00F73FFC">
      <w:pPr>
        <w:pStyle w:val="BodyText3"/>
        <w:rPr>
          <w:i/>
          <w:sz w:val="24"/>
          <w:szCs w:val="24"/>
        </w:rPr>
      </w:pPr>
      <w:r>
        <w:rPr>
          <w:sz w:val="24"/>
          <w:szCs w:val="24"/>
        </w:rPr>
        <w:t xml:space="preserve">Based on </w:t>
      </w:r>
      <w:r>
        <w:rPr>
          <w:i/>
          <w:sz w:val="24"/>
          <w:szCs w:val="24"/>
        </w:rPr>
        <w:fldChar w:fldCharType="begin"/>
      </w:r>
      <w:r>
        <w:rPr>
          <w:sz w:val="24"/>
          <w:szCs w:val="24"/>
        </w:rPr>
        <w:instrText xml:space="preserve"> ADDIN EN.CITE &lt;EndNote&gt;&lt;Cite&gt;&lt;Author&gt;Panzer&lt;/Author&gt;&lt;Year&gt;1987&lt;/Year&gt;&lt;RecNum&gt;1170&lt;/RecNum&gt;&lt;DisplayText&gt;(Panzer, Suchman et al. 1987)&lt;/DisplayText&gt;&lt;record&gt;&lt;rec-number&gt;1170&lt;/rec-number&gt;&lt;foreign-keys&gt;&lt;key app="EN" db-id="0ftvff9p80fp5few5s05f5fw9rd9fefrdzer" timestamp="1323544630"&gt;1170&lt;/key&gt;&lt;/foreign-keys&gt;&lt;ref-type name="Journal Article"&gt;17&lt;/ref-type&gt;&lt;contributors&gt;&lt;authors&gt;&lt;author&gt;Panzer, R. J.&lt;/author&gt;&lt;author&gt;Suchman, A. L.&lt;/author&gt;&lt;author&gt;Griner, P. F.&lt;/author&gt;&lt;/authors&gt;&lt;/contributors&gt;&lt;titles&gt;&lt;title&gt;Workup bias in prediction research&lt;/title&gt;&lt;secondary-title&gt;Med Decis Making&lt;/secondary-title&gt;&lt;/titles&gt;&lt;periodical&gt;&lt;full-title&gt;Med Decis Making&lt;/full-title&gt;&lt;/periodical&gt;&lt;pages&gt;115-9&lt;/pages&gt;&lt;volume&gt;7&lt;/volume&gt;&lt;number&gt;2&lt;/number&gt;&lt;edition&gt;1987/04/01&lt;/edition&gt;&lt;keywords&gt;&lt;keyword&gt;Adult&lt;/keyword&gt;&lt;keyword&gt;Cerebral Hemorrhage/radiography&lt;/keyword&gt;&lt;keyword&gt;Cerebrovascular Disorders/*radiography&lt;/keyword&gt;&lt;keyword&gt;False Negative Reactions&lt;/keyword&gt;&lt;keyword&gt;False Positive Reactions&lt;/keyword&gt;&lt;keyword&gt;Humans&lt;/keyword&gt;&lt;keyword&gt;*Predictive Value of Tests&lt;/keyword&gt;&lt;keyword&gt;Sampling Studies&lt;/keyword&gt;&lt;keyword&gt;*Tomography, X-Ray Computed&lt;/keyword&gt;&lt;/keywords&gt;&lt;dates&gt;&lt;year&gt;1987&lt;/year&gt;&lt;pub-dates&gt;&lt;date&gt;Apr-Jun&lt;/date&gt;&lt;/pub-dates&gt;&lt;/dates&gt;&lt;isbn&gt;0272-989X (Print)&amp;#xD;0272-989X (Linking)&lt;/isbn&gt;&lt;accession-num&gt;3574021&lt;/accession-num&gt;&lt;urls&gt;&lt;related-urls&gt;&lt;url&gt;http://www.ncbi.nlm.nih.gov/pubmed/3574021&lt;/url&gt;&lt;/related-urls&gt;&lt;/urls&gt;&lt;language&gt;eng&lt;/language&gt;&lt;/record&gt;&lt;/Cite&gt;&lt;/EndNote&gt;</w:instrText>
      </w:r>
      <w:r>
        <w:rPr>
          <w:i/>
          <w:sz w:val="24"/>
          <w:szCs w:val="24"/>
        </w:rPr>
        <w:fldChar w:fldCharType="separate"/>
      </w:r>
      <w:r>
        <w:rPr>
          <w:noProof/>
          <w:sz w:val="24"/>
          <w:szCs w:val="24"/>
        </w:rPr>
        <w:t>(</w:t>
      </w:r>
      <w:hyperlink w:anchor="_ENREF_4" w:tooltip="Panzer, 1987 #1170" w:history="1">
        <w:r w:rsidR="00023F4E">
          <w:rPr>
            <w:noProof/>
            <w:sz w:val="24"/>
            <w:szCs w:val="24"/>
          </w:rPr>
          <w:t>Panzer, Suchman et al. 1987</w:t>
        </w:r>
      </w:hyperlink>
      <w:r>
        <w:rPr>
          <w:noProof/>
          <w:sz w:val="24"/>
          <w:szCs w:val="24"/>
        </w:rPr>
        <w:t>)</w:t>
      </w:r>
      <w:r>
        <w:rPr>
          <w:i/>
          <w:sz w:val="24"/>
          <w:szCs w:val="24"/>
        </w:rPr>
        <w:fldChar w:fldCharType="end"/>
      </w:r>
      <w:r>
        <w:rPr>
          <w:sz w:val="24"/>
          <w:szCs w:val="24"/>
        </w:rPr>
        <w:t>.</w:t>
      </w:r>
    </w:p>
    <w:p w14:paraId="6CE31404" w14:textId="77777777" w:rsidR="00F73FFC" w:rsidRDefault="00F73FFC" w:rsidP="00F73FFC">
      <w:pPr>
        <w:pStyle w:val="BodyText3"/>
        <w:rPr>
          <w:b/>
          <w:i/>
          <w:sz w:val="24"/>
          <w:szCs w:val="24"/>
        </w:rPr>
      </w:pPr>
    </w:p>
    <w:p w14:paraId="5E83CBD2" w14:textId="77777777" w:rsidR="00F73FFC" w:rsidRDefault="00F73FFC" w:rsidP="00F73FFC">
      <w:pPr>
        <w:pStyle w:val="BodyText3"/>
        <w:rPr>
          <w:i/>
          <w:sz w:val="24"/>
          <w:szCs w:val="24"/>
        </w:rPr>
      </w:pPr>
      <w:r>
        <w:rPr>
          <w:sz w:val="24"/>
          <w:szCs w:val="24"/>
        </w:rPr>
        <w:t>A hemorrhagic stroke means a brain artery has burst and bled into the brain.  An ischemic stroke means a brain artery was blocked by a blood clot and part of the brain has died due to lack of blood supply.  In both cases, the patient has an acute neurologic deficit, such as new facial droop, arm/leg weakness, difficulty speaking, or loss of a visual field, but headache is more common with hemorrhagic stroke than with ischemic stroke.</w:t>
      </w:r>
    </w:p>
    <w:p w14:paraId="012F2690" w14:textId="77777777" w:rsidR="00F73FFC" w:rsidRDefault="00F73FFC" w:rsidP="00F73FFC">
      <w:pPr>
        <w:pStyle w:val="BodyText3"/>
        <w:rPr>
          <w:i/>
          <w:sz w:val="24"/>
          <w:szCs w:val="24"/>
        </w:rPr>
      </w:pPr>
    </w:p>
    <w:p w14:paraId="08E70BAD" w14:textId="77777777" w:rsidR="00F73FFC" w:rsidRDefault="00F73FFC" w:rsidP="00F73FFC">
      <w:pPr>
        <w:pStyle w:val="BodyText3"/>
        <w:rPr>
          <w:i/>
          <w:sz w:val="24"/>
          <w:szCs w:val="24"/>
        </w:rPr>
      </w:pPr>
      <w:r>
        <w:rPr>
          <w:sz w:val="24"/>
          <w:szCs w:val="24"/>
        </w:rPr>
        <w:t>Consider a study of the accuracy of headache (current or recent complaint) in differentiating between hemorrhagic and ischemic stroke in 179 patients with an acute neurologic deficit.  The index test is current or recent headache (yes/no) and the gold standard is brain CT scan (hemorrhage – yes/no):</w:t>
      </w:r>
    </w:p>
    <w:p w14:paraId="22B7A984" w14:textId="77777777" w:rsidR="00F73FFC" w:rsidRDefault="00F73FFC" w:rsidP="00F73FFC">
      <w:pPr>
        <w:pStyle w:val="BodyText3"/>
        <w:rPr>
          <w:i/>
          <w:sz w:val="24"/>
          <w:szCs w:val="24"/>
        </w:rPr>
      </w:pPr>
    </w:p>
    <w:tbl>
      <w:tblPr>
        <w:tblW w:w="5200" w:type="dxa"/>
        <w:tblInd w:w="93" w:type="dxa"/>
        <w:tblLook w:val="04A0" w:firstRow="1" w:lastRow="0" w:firstColumn="1" w:lastColumn="0" w:noHBand="0" w:noVBand="1"/>
      </w:tblPr>
      <w:tblGrid>
        <w:gridCol w:w="1360"/>
        <w:gridCol w:w="960"/>
        <w:gridCol w:w="988"/>
        <w:gridCol w:w="932"/>
        <w:gridCol w:w="960"/>
      </w:tblGrid>
      <w:tr w:rsidR="00F73FFC" w:rsidRPr="00EC6653" w14:paraId="4CF3B619" w14:textId="77777777" w:rsidTr="00A42AFB">
        <w:trPr>
          <w:trHeight w:val="255"/>
        </w:trPr>
        <w:tc>
          <w:tcPr>
            <w:tcW w:w="1360" w:type="dxa"/>
            <w:tcBorders>
              <w:top w:val="nil"/>
              <w:left w:val="nil"/>
              <w:bottom w:val="nil"/>
              <w:right w:val="nil"/>
            </w:tcBorders>
            <w:shd w:val="clear" w:color="auto" w:fill="auto"/>
            <w:noWrap/>
            <w:vAlign w:val="bottom"/>
          </w:tcPr>
          <w:p w14:paraId="7AEEFEBC" w14:textId="77777777" w:rsidR="00F73FFC" w:rsidRPr="00EC6653" w:rsidRDefault="00F73FFC" w:rsidP="00A42AFB">
            <w:pPr>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tcPr>
          <w:p w14:paraId="3DAF6952" w14:textId="77777777" w:rsidR="00F73FFC" w:rsidRPr="00EC6653" w:rsidRDefault="00F73FFC" w:rsidP="00A42AFB">
            <w:pPr>
              <w:rPr>
                <w:rFonts w:ascii="Arial" w:eastAsia="Times New Roman" w:hAnsi="Arial" w:cs="Arial"/>
                <w:sz w:val="20"/>
                <w:szCs w:val="20"/>
              </w:rPr>
            </w:pPr>
          </w:p>
        </w:tc>
        <w:tc>
          <w:tcPr>
            <w:tcW w:w="1920" w:type="dxa"/>
            <w:gridSpan w:val="2"/>
            <w:tcBorders>
              <w:top w:val="nil"/>
              <w:left w:val="nil"/>
              <w:bottom w:val="nil"/>
              <w:right w:val="nil"/>
            </w:tcBorders>
            <w:shd w:val="clear" w:color="auto" w:fill="auto"/>
            <w:noWrap/>
            <w:vAlign w:val="bottom"/>
          </w:tcPr>
          <w:p w14:paraId="0D684A21" w14:textId="77777777" w:rsidR="00F73FFC" w:rsidRPr="00EC6653" w:rsidRDefault="00F73FFC" w:rsidP="00A42AFB">
            <w:pPr>
              <w:jc w:val="center"/>
              <w:rPr>
                <w:rFonts w:ascii="Arial" w:eastAsia="Times New Roman" w:hAnsi="Arial" w:cs="Arial"/>
                <w:b/>
                <w:bCs/>
                <w:sz w:val="20"/>
                <w:szCs w:val="20"/>
              </w:rPr>
            </w:pPr>
            <w:r w:rsidRPr="00EC6653">
              <w:rPr>
                <w:rFonts w:ascii="Arial" w:eastAsia="Times New Roman" w:hAnsi="Arial" w:cs="Arial"/>
                <w:b/>
                <w:bCs/>
                <w:sz w:val="20"/>
                <w:szCs w:val="20"/>
              </w:rPr>
              <w:t>Hemorrhage on CT</w:t>
            </w:r>
          </w:p>
        </w:tc>
        <w:tc>
          <w:tcPr>
            <w:tcW w:w="960" w:type="dxa"/>
            <w:tcBorders>
              <w:top w:val="nil"/>
              <w:left w:val="nil"/>
              <w:bottom w:val="nil"/>
              <w:right w:val="nil"/>
            </w:tcBorders>
            <w:shd w:val="clear" w:color="auto" w:fill="auto"/>
            <w:noWrap/>
            <w:vAlign w:val="bottom"/>
          </w:tcPr>
          <w:p w14:paraId="74F09792" w14:textId="77777777" w:rsidR="00F73FFC" w:rsidRPr="00EC6653" w:rsidRDefault="00F73FFC" w:rsidP="00A42AFB">
            <w:pPr>
              <w:rPr>
                <w:rFonts w:ascii="Arial" w:eastAsia="Times New Roman" w:hAnsi="Arial" w:cs="Arial"/>
                <w:sz w:val="20"/>
                <w:szCs w:val="20"/>
              </w:rPr>
            </w:pPr>
          </w:p>
        </w:tc>
      </w:tr>
      <w:tr w:rsidR="00F73FFC" w:rsidRPr="00EC6653" w14:paraId="4889808A" w14:textId="77777777" w:rsidTr="00A42AFB">
        <w:trPr>
          <w:trHeight w:val="255"/>
        </w:trPr>
        <w:tc>
          <w:tcPr>
            <w:tcW w:w="1360" w:type="dxa"/>
            <w:tcBorders>
              <w:top w:val="nil"/>
              <w:left w:val="nil"/>
              <w:bottom w:val="nil"/>
              <w:right w:val="nil"/>
            </w:tcBorders>
            <w:shd w:val="clear" w:color="auto" w:fill="auto"/>
            <w:noWrap/>
            <w:vAlign w:val="bottom"/>
          </w:tcPr>
          <w:p w14:paraId="3C9DB2E0" w14:textId="77777777" w:rsidR="00F73FFC" w:rsidRPr="00EC6653" w:rsidRDefault="00F73FFC" w:rsidP="00A42AFB">
            <w:pPr>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tcPr>
          <w:p w14:paraId="08E41465" w14:textId="77777777" w:rsidR="00F73FFC" w:rsidRPr="00EC6653" w:rsidRDefault="00F73FFC" w:rsidP="00A42AFB">
            <w:pPr>
              <w:rPr>
                <w:rFonts w:ascii="Arial" w:eastAsia="Times New Roman" w:hAnsi="Arial" w:cs="Arial"/>
                <w:sz w:val="20"/>
                <w:szCs w:val="20"/>
              </w:rPr>
            </w:pPr>
          </w:p>
        </w:tc>
        <w:tc>
          <w:tcPr>
            <w:tcW w:w="988" w:type="dxa"/>
            <w:tcBorders>
              <w:top w:val="nil"/>
              <w:left w:val="nil"/>
              <w:bottom w:val="nil"/>
              <w:right w:val="nil"/>
            </w:tcBorders>
            <w:shd w:val="clear" w:color="auto" w:fill="auto"/>
            <w:noWrap/>
            <w:vAlign w:val="bottom"/>
          </w:tcPr>
          <w:p w14:paraId="30EF1213" w14:textId="77777777" w:rsidR="00F73FFC" w:rsidRPr="00EC6653" w:rsidRDefault="00F73FFC" w:rsidP="00A42AFB">
            <w:pPr>
              <w:jc w:val="center"/>
              <w:rPr>
                <w:rFonts w:ascii="Arial" w:eastAsia="Times New Roman" w:hAnsi="Arial" w:cs="Arial"/>
                <w:b/>
                <w:bCs/>
                <w:sz w:val="20"/>
                <w:szCs w:val="20"/>
              </w:rPr>
            </w:pPr>
            <w:r w:rsidRPr="00EC6653">
              <w:rPr>
                <w:rFonts w:ascii="Arial" w:eastAsia="Times New Roman" w:hAnsi="Arial" w:cs="Arial"/>
                <w:b/>
                <w:bCs/>
                <w:sz w:val="20"/>
                <w:szCs w:val="20"/>
              </w:rPr>
              <w:t>Yes</w:t>
            </w:r>
          </w:p>
        </w:tc>
        <w:tc>
          <w:tcPr>
            <w:tcW w:w="932" w:type="dxa"/>
            <w:tcBorders>
              <w:top w:val="nil"/>
              <w:left w:val="nil"/>
              <w:bottom w:val="nil"/>
              <w:right w:val="nil"/>
            </w:tcBorders>
            <w:shd w:val="clear" w:color="auto" w:fill="auto"/>
            <w:noWrap/>
            <w:vAlign w:val="bottom"/>
          </w:tcPr>
          <w:p w14:paraId="5E954342" w14:textId="77777777" w:rsidR="00F73FFC" w:rsidRPr="00EC6653" w:rsidRDefault="00F73FFC" w:rsidP="00A42AFB">
            <w:pPr>
              <w:jc w:val="center"/>
              <w:rPr>
                <w:rFonts w:ascii="Arial" w:eastAsia="Times New Roman" w:hAnsi="Arial" w:cs="Arial"/>
                <w:b/>
                <w:bCs/>
                <w:sz w:val="20"/>
                <w:szCs w:val="20"/>
              </w:rPr>
            </w:pPr>
            <w:r w:rsidRPr="00EC6653">
              <w:rPr>
                <w:rFonts w:ascii="Arial" w:eastAsia="Times New Roman" w:hAnsi="Arial" w:cs="Arial"/>
                <w:b/>
                <w:bCs/>
                <w:sz w:val="20"/>
                <w:szCs w:val="20"/>
              </w:rPr>
              <w:t>No</w:t>
            </w:r>
          </w:p>
        </w:tc>
        <w:tc>
          <w:tcPr>
            <w:tcW w:w="960" w:type="dxa"/>
            <w:tcBorders>
              <w:top w:val="nil"/>
              <w:left w:val="nil"/>
              <w:bottom w:val="nil"/>
              <w:right w:val="nil"/>
            </w:tcBorders>
            <w:shd w:val="clear" w:color="auto" w:fill="auto"/>
            <w:noWrap/>
            <w:vAlign w:val="bottom"/>
          </w:tcPr>
          <w:p w14:paraId="1F422B72" w14:textId="77777777" w:rsidR="00F73FFC" w:rsidRPr="00EC6653" w:rsidRDefault="00F73FFC" w:rsidP="00A42AFB">
            <w:pPr>
              <w:rPr>
                <w:rFonts w:ascii="Arial" w:eastAsia="Times New Roman" w:hAnsi="Arial" w:cs="Arial"/>
                <w:sz w:val="20"/>
                <w:szCs w:val="20"/>
              </w:rPr>
            </w:pPr>
          </w:p>
        </w:tc>
      </w:tr>
      <w:tr w:rsidR="00F73FFC" w:rsidRPr="00EC6653" w14:paraId="2B0CCA38" w14:textId="77777777" w:rsidTr="00A42AFB">
        <w:trPr>
          <w:trHeight w:val="255"/>
        </w:trPr>
        <w:tc>
          <w:tcPr>
            <w:tcW w:w="1360" w:type="dxa"/>
            <w:vMerge w:val="restart"/>
            <w:tcBorders>
              <w:top w:val="nil"/>
              <w:left w:val="nil"/>
              <w:bottom w:val="nil"/>
              <w:right w:val="nil"/>
            </w:tcBorders>
            <w:shd w:val="clear" w:color="auto" w:fill="auto"/>
            <w:noWrap/>
            <w:vAlign w:val="center"/>
          </w:tcPr>
          <w:p w14:paraId="5E151CF3" w14:textId="77777777" w:rsidR="00F73FFC" w:rsidRPr="00EC6653" w:rsidRDefault="00F73FFC" w:rsidP="00A42AFB">
            <w:pPr>
              <w:jc w:val="center"/>
              <w:rPr>
                <w:rFonts w:ascii="Arial" w:eastAsia="Times New Roman" w:hAnsi="Arial" w:cs="Arial"/>
                <w:b/>
                <w:bCs/>
                <w:sz w:val="20"/>
                <w:szCs w:val="20"/>
              </w:rPr>
            </w:pPr>
            <w:r w:rsidRPr="00EC6653">
              <w:rPr>
                <w:rFonts w:ascii="Arial" w:eastAsia="Times New Roman" w:hAnsi="Arial" w:cs="Arial"/>
                <w:b/>
                <w:bCs/>
                <w:sz w:val="20"/>
                <w:szCs w:val="20"/>
              </w:rPr>
              <w:t>Headache</w:t>
            </w:r>
          </w:p>
        </w:tc>
        <w:tc>
          <w:tcPr>
            <w:tcW w:w="960" w:type="dxa"/>
            <w:tcBorders>
              <w:top w:val="nil"/>
              <w:left w:val="nil"/>
              <w:bottom w:val="nil"/>
              <w:right w:val="nil"/>
            </w:tcBorders>
            <w:shd w:val="clear" w:color="auto" w:fill="auto"/>
            <w:noWrap/>
            <w:vAlign w:val="bottom"/>
          </w:tcPr>
          <w:p w14:paraId="6B0488EA" w14:textId="77777777" w:rsidR="00F73FFC" w:rsidRPr="00EC6653" w:rsidRDefault="00F73FFC" w:rsidP="00A42AFB">
            <w:pPr>
              <w:jc w:val="center"/>
              <w:rPr>
                <w:rFonts w:ascii="Arial" w:eastAsia="Times New Roman" w:hAnsi="Arial" w:cs="Arial"/>
                <w:b/>
                <w:bCs/>
                <w:sz w:val="20"/>
                <w:szCs w:val="20"/>
              </w:rPr>
            </w:pPr>
            <w:r w:rsidRPr="00EC6653">
              <w:rPr>
                <w:rFonts w:ascii="Arial" w:eastAsia="Times New Roman" w:hAnsi="Arial" w:cs="Arial"/>
                <w:b/>
                <w:bCs/>
                <w:sz w:val="20"/>
                <w:szCs w:val="20"/>
              </w:rPr>
              <w:t>Yes</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575C4" w14:textId="77777777" w:rsidR="00F73FFC" w:rsidRPr="00EC6653" w:rsidRDefault="00F73FFC" w:rsidP="00A42AFB">
            <w:pPr>
              <w:jc w:val="center"/>
              <w:rPr>
                <w:rFonts w:ascii="Arial" w:eastAsia="Times New Roman" w:hAnsi="Arial" w:cs="Arial"/>
                <w:sz w:val="20"/>
                <w:szCs w:val="20"/>
              </w:rPr>
            </w:pPr>
            <w:r w:rsidRPr="00EC6653">
              <w:rPr>
                <w:rFonts w:ascii="Arial" w:eastAsia="Times New Roman" w:hAnsi="Arial" w:cs="Arial"/>
                <w:sz w:val="20"/>
                <w:szCs w:val="20"/>
              </w:rPr>
              <w:t>23</w:t>
            </w:r>
          </w:p>
        </w:tc>
        <w:tc>
          <w:tcPr>
            <w:tcW w:w="932" w:type="dxa"/>
            <w:tcBorders>
              <w:top w:val="single" w:sz="4" w:space="0" w:color="auto"/>
              <w:left w:val="nil"/>
              <w:bottom w:val="single" w:sz="4" w:space="0" w:color="auto"/>
              <w:right w:val="single" w:sz="4" w:space="0" w:color="auto"/>
            </w:tcBorders>
            <w:shd w:val="clear" w:color="auto" w:fill="auto"/>
            <w:noWrap/>
            <w:vAlign w:val="bottom"/>
          </w:tcPr>
          <w:p w14:paraId="7483A44F" w14:textId="77777777" w:rsidR="00F73FFC" w:rsidRPr="00EC6653" w:rsidRDefault="00F73FFC" w:rsidP="00A42AFB">
            <w:pPr>
              <w:jc w:val="center"/>
              <w:rPr>
                <w:rFonts w:ascii="Arial" w:eastAsia="Times New Roman" w:hAnsi="Arial" w:cs="Arial"/>
                <w:sz w:val="20"/>
                <w:szCs w:val="20"/>
              </w:rPr>
            </w:pPr>
            <w:r w:rsidRPr="00EC6653">
              <w:rPr>
                <w:rFonts w:ascii="Arial" w:eastAsia="Times New Roman" w:hAnsi="Arial" w:cs="Arial"/>
                <w:sz w:val="20"/>
                <w:szCs w:val="20"/>
              </w:rPr>
              <w:t>87</w:t>
            </w:r>
          </w:p>
        </w:tc>
        <w:tc>
          <w:tcPr>
            <w:tcW w:w="960" w:type="dxa"/>
            <w:tcBorders>
              <w:top w:val="nil"/>
              <w:left w:val="nil"/>
              <w:bottom w:val="nil"/>
              <w:right w:val="nil"/>
            </w:tcBorders>
            <w:shd w:val="clear" w:color="auto" w:fill="auto"/>
            <w:noWrap/>
            <w:vAlign w:val="bottom"/>
          </w:tcPr>
          <w:p w14:paraId="79436F2B" w14:textId="77777777" w:rsidR="00F73FFC" w:rsidRPr="00EC6653" w:rsidRDefault="00F73FFC" w:rsidP="00A42AFB">
            <w:pPr>
              <w:rPr>
                <w:rFonts w:ascii="Arial" w:eastAsia="Times New Roman" w:hAnsi="Arial" w:cs="Arial"/>
                <w:sz w:val="20"/>
                <w:szCs w:val="20"/>
              </w:rPr>
            </w:pPr>
          </w:p>
        </w:tc>
      </w:tr>
      <w:tr w:rsidR="00F73FFC" w:rsidRPr="00EC6653" w14:paraId="0BD8FEE2" w14:textId="77777777" w:rsidTr="00A42AFB">
        <w:trPr>
          <w:trHeight w:val="255"/>
        </w:trPr>
        <w:tc>
          <w:tcPr>
            <w:tcW w:w="1360" w:type="dxa"/>
            <w:vMerge/>
            <w:tcBorders>
              <w:top w:val="nil"/>
              <w:left w:val="nil"/>
              <w:bottom w:val="nil"/>
              <w:right w:val="nil"/>
            </w:tcBorders>
            <w:vAlign w:val="center"/>
          </w:tcPr>
          <w:p w14:paraId="24B69B17" w14:textId="77777777" w:rsidR="00F73FFC" w:rsidRPr="00EC6653" w:rsidRDefault="00F73FFC" w:rsidP="00A42AFB">
            <w:pPr>
              <w:rPr>
                <w:rFonts w:ascii="Arial" w:eastAsia="Times New Roman" w:hAnsi="Arial" w:cs="Arial"/>
                <w:b/>
                <w:bCs/>
                <w:sz w:val="20"/>
                <w:szCs w:val="20"/>
              </w:rPr>
            </w:pPr>
          </w:p>
        </w:tc>
        <w:tc>
          <w:tcPr>
            <w:tcW w:w="960" w:type="dxa"/>
            <w:tcBorders>
              <w:top w:val="nil"/>
              <w:left w:val="nil"/>
              <w:bottom w:val="nil"/>
              <w:right w:val="nil"/>
            </w:tcBorders>
            <w:shd w:val="clear" w:color="auto" w:fill="auto"/>
            <w:noWrap/>
            <w:vAlign w:val="bottom"/>
          </w:tcPr>
          <w:p w14:paraId="0C68858B" w14:textId="77777777" w:rsidR="00F73FFC" w:rsidRPr="00EC6653" w:rsidRDefault="00F73FFC" w:rsidP="00A42AFB">
            <w:pPr>
              <w:jc w:val="center"/>
              <w:rPr>
                <w:rFonts w:ascii="Arial" w:eastAsia="Times New Roman" w:hAnsi="Arial" w:cs="Arial"/>
                <w:b/>
                <w:bCs/>
                <w:sz w:val="20"/>
                <w:szCs w:val="20"/>
              </w:rPr>
            </w:pPr>
            <w:r w:rsidRPr="00EC6653">
              <w:rPr>
                <w:rFonts w:ascii="Arial" w:eastAsia="Times New Roman" w:hAnsi="Arial" w:cs="Arial"/>
                <w:b/>
                <w:bCs/>
                <w:sz w:val="20"/>
                <w:szCs w:val="20"/>
              </w:rPr>
              <w:t>No</w:t>
            </w:r>
          </w:p>
        </w:tc>
        <w:tc>
          <w:tcPr>
            <w:tcW w:w="988" w:type="dxa"/>
            <w:tcBorders>
              <w:top w:val="nil"/>
              <w:left w:val="single" w:sz="4" w:space="0" w:color="auto"/>
              <w:bottom w:val="single" w:sz="4" w:space="0" w:color="auto"/>
              <w:right w:val="single" w:sz="4" w:space="0" w:color="auto"/>
            </w:tcBorders>
            <w:shd w:val="clear" w:color="auto" w:fill="auto"/>
            <w:noWrap/>
            <w:vAlign w:val="bottom"/>
          </w:tcPr>
          <w:p w14:paraId="20D7E437" w14:textId="77777777" w:rsidR="00F73FFC" w:rsidRPr="00EC6653" w:rsidRDefault="00F73FFC" w:rsidP="00A42AFB">
            <w:pPr>
              <w:jc w:val="center"/>
              <w:rPr>
                <w:rFonts w:ascii="Arial" w:eastAsia="Times New Roman" w:hAnsi="Arial" w:cs="Arial"/>
                <w:sz w:val="20"/>
                <w:szCs w:val="20"/>
              </w:rPr>
            </w:pPr>
            <w:r w:rsidRPr="00EC6653">
              <w:rPr>
                <w:rFonts w:ascii="Arial" w:eastAsia="Times New Roman" w:hAnsi="Arial" w:cs="Arial"/>
                <w:sz w:val="20"/>
                <w:szCs w:val="20"/>
              </w:rPr>
              <w:t>14</w:t>
            </w:r>
          </w:p>
        </w:tc>
        <w:tc>
          <w:tcPr>
            <w:tcW w:w="932" w:type="dxa"/>
            <w:tcBorders>
              <w:top w:val="nil"/>
              <w:left w:val="nil"/>
              <w:bottom w:val="single" w:sz="4" w:space="0" w:color="auto"/>
              <w:right w:val="single" w:sz="4" w:space="0" w:color="auto"/>
            </w:tcBorders>
            <w:shd w:val="clear" w:color="auto" w:fill="auto"/>
            <w:noWrap/>
            <w:vAlign w:val="bottom"/>
          </w:tcPr>
          <w:p w14:paraId="155AC6BC" w14:textId="77777777" w:rsidR="00F73FFC" w:rsidRPr="00EC6653" w:rsidRDefault="00F73FFC" w:rsidP="00A42AFB">
            <w:pPr>
              <w:jc w:val="center"/>
              <w:rPr>
                <w:rFonts w:ascii="Arial" w:eastAsia="Times New Roman" w:hAnsi="Arial" w:cs="Arial"/>
                <w:sz w:val="20"/>
                <w:szCs w:val="20"/>
              </w:rPr>
            </w:pPr>
            <w:r w:rsidRPr="00EC6653">
              <w:rPr>
                <w:rFonts w:ascii="Arial" w:eastAsia="Times New Roman" w:hAnsi="Arial" w:cs="Arial"/>
                <w:sz w:val="20"/>
                <w:szCs w:val="20"/>
              </w:rPr>
              <w:t>55</w:t>
            </w:r>
          </w:p>
        </w:tc>
        <w:tc>
          <w:tcPr>
            <w:tcW w:w="960" w:type="dxa"/>
            <w:tcBorders>
              <w:top w:val="nil"/>
              <w:left w:val="nil"/>
              <w:bottom w:val="nil"/>
              <w:right w:val="nil"/>
            </w:tcBorders>
            <w:shd w:val="clear" w:color="auto" w:fill="auto"/>
            <w:noWrap/>
            <w:vAlign w:val="bottom"/>
          </w:tcPr>
          <w:p w14:paraId="5686C8FA" w14:textId="77777777" w:rsidR="00F73FFC" w:rsidRPr="00EC6653" w:rsidRDefault="00F73FFC" w:rsidP="00A42AFB">
            <w:pPr>
              <w:rPr>
                <w:rFonts w:ascii="Arial" w:eastAsia="Times New Roman" w:hAnsi="Arial" w:cs="Arial"/>
                <w:sz w:val="20"/>
                <w:szCs w:val="20"/>
              </w:rPr>
            </w:pPr>
          </w:p>
        </w:tc>
      </w:tr>
      <w:tr w:rsidR="00F73FFC" w:rsidRPr="00EC6653" w14:paraId="6193ED92" w14:textId="77777777" w:rsidTr="00A42AFB">
        <w:trPr>
          <w:trHeight w:val="255"/>
        </w:trPr>
        <w:tc>
          <w:tcPr>
            <w:tcW w:w="1360" w:type="dxa"/>
            <w:tcBorders>
              <w:top w:val="nil"/>
              <w:left w:val="nil"/>
              <w:bottom w:val="nil"/>
              <w:right w:val="nil"/>
            </w:tcBorders>
            <w:shd w:val="clear" w:color="auto" w:fill="auto"/>
            <w:noWrap/>
            <w:vAlign w:val="bottom"/>
          </w:tcPr>
          <w:p w14:paraId="1EB6D256" w14:textId="77777777" w:rsidR="00F73FFC" w:rsidRPr="00EC6653" w:rsidRDefault="00F73FFC" w:rsidP="00A42AFB">
            <w:pPr>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tcPr>
          <w:p w14:paraId="66AFE37D" w14:textId="77777777" w:rsidR="00F73FFC" w:rsidRPr="00EC6653" w:rsidRDefault="00F73FFC" w:rsidP="00A42AFB">
            <w:pPr>
              <w:rPr>
                <w:rFonts w:ascii="Arial" w:eastAsia="Times New Roman" w:hAnsi="Arial" w:cs="Arial"/>
                <w:sz w:val="20"/>
                <w:szCs w:val="20"/>
              </w:rPr>
            </w:pPr>
          </w:p>
        </w:tc>
        <w:tc>
          <w:tcPr>
            <w:tcW w:w="988" w:type="dxa"/>
            <w:tcBorders>
              <w:top w:val="nil"/>
              <w:left w:val="nil"/>
              <w:bottom w:val="nil"/>
              <w:right w:val="nil"/>
            </w:tcBorders>
            <w:shd w:val="clear" w:color="auto" w:fill="auto"/>
            <w:noWrap/>
            <w:vAlign w:val="bottom"/>
          </w:tcPr>
          <w:p w14:paraId="04B71FBC" w14:textId="77777777" w:rsidR="00F73FFC" w:rsidRPr="00EC6653" w:rsidRDefault="00F73FFC" w:rsidP="00A42AFB">
            <w:pPr>
              <w:jc w:val="center"/>
              <w:rPr>
                <w:rFonts w:ascii="Arial" w:eastAsia="Times New Roman" w:hAnsi="Arial" w:cs="Arial"/>
                <w:b/>
                <w:bCs/>
                <w:sz w:val="20"/>
                <w:szCs w:val="20"/>
              </w:rPr>
            </w:pPr>
            <w:r w:rsidRPr="00EC6653">
              <w:rPr>
                <w:rFonts w:ascii="Arial" w:eastAsia="Times New Roman" w:hAnsi="Arial" w:cs="Arial"/>
                <w:b/>
                <w:bCs/>
                <w:sz w:val="20"/>
                <w:szCs w:val="20"/>
              </w:rPr>
              <w:t>37</w:t>
            </w:r>
          </w:p>
        </w:tc>
        <w:tc>
          <w:tcPr>
            <w:tcW w:w="932" w:type="dxa"/>
            <w:tcBorders>
              <w:top w:val="nil"/>
              <w:left w:val="nil"/>
              <w:bottom w:val="nil"/>
              <w:right w:val="nil"/>
            </w:tcBorders>
            <w:shd w:val="clear" w:color="auto" w:fill="auto"/>
            <w:noWrap/>
            <w:vAlign w:val="bottom"/>
          </w:tcPr>
          <w:p w14:paraId="0049234D" w14:textId="77777777" w:rsidR="00F73FFC" w:rsidRPr="00EC6653" w:rsidRDefault="00F73FFC" w:rsidP="00A42AFB">
            <w:pPr>
              <w:jc w:val="center"/>
              <w:rPr>
                <w:rFonts w:ascii="Arial" w:eastAsia="Times New Roman" w:hAnsi="Arial" w:cs="Arial"/>
                <w:b/>
                <w:bCs/>
                <w:sz w:val="20"/>
                <w:szCs w:val="20"/>
              </w:rPr>
            </w:pPr>
            <w:r w:rsidRPr="00EC6653">
              <w:rPr>
                <w:rFonts w:ascii="Arial" w:eastAsia="Times New Roman" w:hAnsi="Arial" w:cs="Arial"/>
                <w:b/>
                <w:bCs/>
                <w:sz w:val="20"/>
                <w:szCs w:val="20"/>
              </w:rPr>
              <w:t>142</w:t>
            </w:r>
          </w:p>
        </w:tc>
        <w:tc>
          <w:tcPr>
            <w:tcW w:w="960" w:type="dxa"/>
            <w:tcBorders>
              <w:top w:val="nil"/>
              <w:left w:val="nil"/>
              <w:bottom w:val="nil"/>
              <w:right w:val="nil"/>
            </w:tcBorders>
            <w:shd w:val="clear" w:color="auto" w:fill="auto"/>
            <w:noWrap/>
            <w:vAlign w:val="bottom"/>
          </w:tcPr>
          <w:p w14:paraId="10DBF6B3" w14:textId="77777777" w:rsidR="00F73FFC" w:rsidRPr="00EC6653" w:rsidRDefault="00F73FFC" w:rsidP="00A42AFB">
            <w:pPr>
              <w:jc w:val="center"/>
              <w:rPr>
                <w:rFonts w:ascii="Arial" w:eastAsia="Times New Roman" w:hAnsi="Arial" w:cs="Arial"/>
                <w:b/>
                <w:bCs/>
                <w:sz w:val="20"/>
                <w:szCs w:val="20"/>
              </w:rPr>
            </w:pPr>
            <w:r w:rsidRPr="00EC6653">
              <w:rPr>
                <w:rFonts w:ascii="Arial" w:eastAsia="Times New Roman" w:hAnsi="Arial" w:cs="Arial"/>
                <w:b/>
                <w:bCs/>
                <w:sz w:val="20"/>
                <w:szCs w:val="20"/>
              </w:rPr>
              <w:t>179</w:t>
            </w:r>
          </w:p>
        </w:tc>
      </w:tr>
    </w:tbl>
    <w:p w14:paraId="030DD942" w14:textId="77777777" w:rsidR="00F73FFC" w:rsidRDefault="00F73FFC" w:rsidP="00F73FFC">
      <w:pPr>
        <w:pStyle w:val="BodyText3"/>
        <w:rPr>
          <w:b/>
          <w:i/>
          <w:sz w:val="24"/>
          <w:szCs w:val="24"/>
        </w:rPr>
      </w:pPr>
    </w:p>
    <w:p w14:paraId="45546F26" w14:textId="77777777" w:rsidR="00F73FFC" w:rsidRDefault="00F73FFC" w:rsidP="00F73FFC">
      <w:pPr>
        <w:pStyle w:val="BodyText3"/>
        <w:rPr>
          <w:i/>
          <w:sz w:val="24"/>
          <w:szCs w:val="24"/>
        </w:rPr>
      </w:pPr>
      <w:r w:rsidRPr="00EC6653">
        <w:rPr>
          <w:sz w:val="24"/>
          <w:szCs w:val="24"/>
        </w:rPr>
        <w:t>T</w:t>
      </w:r>
      <w:r>
        <w:rPr>
          <w:sz w:val="24"/>
          <w:szCs w:val="24"/>
        </w:rPr>
        <w:t>here were an additional 195 patients with acute neurologic deficits who would have been eligible for inclusion but did not receive a CT (the gold standard) and therefore could not be included in the table above.  None of these patients had a current or recent complaint of headache.  Assume that 13 of these 195 excluded patients had a hemorrhagic CVA:</w:t>
      </w:r>
    </w:p>
    <w:p w14:paraId="5338EB29" w14:textId="77777777" w:rsidR="00F73FFC" w:rsidRDefault="00F73FFC" w:rsidP="00F73FFC">
      <w:pPr>
        <w:pStyle w:val="BodyText3"/>
        <w:rPr>
          <w:i/>
          <w:sz w:val="24"/>
          <w:szCs w:val="24"/>
        </w:rPr>
      </w:pPr>
    </w:p>
    <w:tbl>
      <w:tblPr>
        <w:tblW w:w="5200" w:type="dxa"/>
        <w:tblInd w:w="93" w:type="dxa"/>
        <w:tblLook w:val="04A0" w:firstRow="1" w:lastRow="0" w:firstColumn="1" w:lastColumn="0" w:noHBand="0" w:noVBand="1"/>
      </w:tblPr>
      <w:tblGrid>
        <w:gridCol w:w="258"/>
        <w:gridCol w:w="258"/>
        <w:gridCol w:w="2764"/>
        <w:gridCol w:w="960"/>
        <w:gridCol w:w="960"/>
      </w:tblGrid>
      <w:tr w:rsidR="00F73FFC" w:rsidRPr="00A72238" w14:paraId="59E7236D" w14:textId="77777777" w:rsidTr="00A42AFB">
        <w:trPr>
          <w:trHeight w:val="255"/>
        </w:trPr>
        <w:tc>
          <w:tcPr>
            <w:tcW w:w="3280" w:type="dxa"/>
            <w:gridSpan w:val="3"/>
            <w:tcBorders>
              <w:top w:val="nil"/>
              <w:left w:val="nil"/>
              <w:bottom w:val="nil"/>
              <w:right w:val="nil"/>
            </w:tcBorders>
            <w:shd w:val="clear" w:color="auto" w:fill="auto"/>
            <w:noWrap/>
            <w:vAlign w:val="bottom"/>
          </w:tcPr>
          <w:p w14:paraId="49A25305" w14:textId="77777777" w:rsidR="00F73FFC" w:rsidRPr="00A72238" w:rsidRDefault="00F73FFC" w:rsidP="00A42AFB">
            <w:pPr>
              <w:rPr>
                <w:rFonts w:ascii="Arial" w:eastAsia="Times New Roman" w:hAnsi="Arial" w:cs="Arial"/>
                <w:b/>
                <w:bCs/>
                <w:sz w:val="20"/>
                <w:szCs w:val="20"/>
              </w:rPr>
            </w:pPr>
            <w:smartTag w:uri="urn:schemas-microsoft-com:office:smarttags" w:element="Street">
              <w:smartTag w:uri="urn:schemas-microsoft-com:office:smarttags" w:element="address">
                <w:r w:rsidRPr="00A72238">
                  <w:rPr>
                    <w:rFonts w:ascii="Arial" w:eastAsia="Times New Roman" w:hAnsi="Arial" w:cs="Arial"/>
                    <w:b/>
                    <w:bCs/>
                    <w:sz w:val="20"/>
                    <w:szCs w:val="20"/>
                  </w:rPr>
                  <w:t>No CT</w:t>
                </w:r>
              </w:smartTag>
            </w:smartTag>
            <w:r w:rsidRPr="00A72238">
              <w:rPr>
                <w:rFonts w:ascii="Arial" w:eastAsia="Times New Roman" w:hAnsi="Arial" w:cs="Arial"/>
                <w:b/>
                <w:bCs/>
                <w:sz w:val="20"/>
                <w:szCs w:val="20"/>
              </w:rPr>
              <w:t xml:space="preserve"> (and No Headache)</w:t>
            </w:r>
          </w:p>
        </w:tc>
        <w:tc>
          <w:tcPr>
            <w:tcW w:w="960" w:type="dxa"/>
            <w:tcBorders>
              <w:top w:val="nil"/>
              <w:left w:val="nil"/>
              <w:bottom w:val="nil"/>
              <w:right w:val="nil"/>
            </w:tcBorders>
            <w:shd w:val="clear" w:color="auto" w:fill="auto"/>
            <w:noWrap/>
            <w:vAlign w:val="bottom"/>
          </w:tcPr>
          <w:p w14:paraId="7357B976" w14:textId="77777777" w:rsidR="00F73FFC" w:rsidRPr="00A72238" w:rsidRDefault="00F73FFC" w:rsidP="00A42AFB">
            <w:pPr>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tcPr>
          <w:p w14:paraId="0772CB1F" w14:textId="77777777" w:rsidR="00F73FFC" w:rsidRPr="00A72238" w:rsidRDefault="00F73FFC" w:rsidP="00A42AFB">
            <w:pPr>
              <w:rPr>
                <w:rFonts w:ascii="Arial" w:eastAsia="Times New Roman" w:hAnsi="Arial" w:cs="Arial"/>
                <w:sz w:val="20"/>
                <w:szCs w:val="20"/>
              </w:rPr>
            </w:pPr>
          </w:p>
        </w:tc>
      </w:tr>
      <w:tr w:rsidR="00F73FFC" w:rsidRPr="00A72238" w14:paraId="0B828063" w14:textId="77777777" w:rsidTr="00A42AFB">
        <w:trPr>
          <w:trHeight w:val="255"/>
        </w:trPr>
        <w:tc>
          <w:tcPr>
            <w:tcW w:w="258" w:type="dxa"/>
            <w:tcBorders>
              <w:top w:val="nil"/>
              <w:left w:val="nil"/>
              <w:bottom w:val="nil"/>
              <w:right w:val="nil"/>
            </w:tcBorders>
            <w:shd w:val="clear" w:color="auto" w:fill="auto"/>
            <w:noWrap/>
            <w:vAlign w:val="bottom"/>
          </w:tcPr>
          <w:p w14:paraId="1346EB29" w14:textId="77777777" w:rsidR="00F73FFC" w:rsidRPr="00A72238" w:rsidRDefault="00F73FFC" w:rsidP="00A42AFB">
            <w:pPr>
              <w:rPr>
                <w:rFonts w:ascii="Arial" w:eastAsia="Times New Roman" w:hAnsi="Arial" w:cs="Arial"/>
                <w:sz w:val="20"/>
                <w:szCs w:val="20"/>
              </w:rPr>
            </w:pPr>
          </w:p>
        </w:tc>
        <w:tc>
          <w:tcPr>
            <w:tcW w:w="258" w:type="dxa"/>
            <w:tcBorders>
              <w:top w:val="nil"/>
              <w:left w:val="nil"/>
              <w:bottom w:val="nil"/>
              <w:right w:val="nil"/>
            </w:tcBorders>
            <w:shd w:val="clear" w:color="auto" w:fill="auto"/>
            <w:noWrap/>
            <w:vAlign w:val="bottom"/>
          </w:tcPr>
          <w:p w14:paraId="22B84037" w14:textId="77777777" w:rsidR="00F73FFC" w:rsidRPr="00A72238" w:rsidRDefault="00F73FFC" w:rsidP="00A42AFB">
            <w:pPr>
              <w:rPr>
                <w:rFonts w:ascii="Arial" w:eastAsia="Times New Roman" w:hAnsi="Arial" w:cs="Arial"/>
                <w:sz w:val="20"/>
                <w:szCs w:val="20"/>
              </w:rPr>
            </w:pPr>
          </w:p>
        </w:tc>
        <w:tc>
          <w:tcPr>
            <w:tcW w:w="3724" w:type="dxa"/>
            <w:gridSpan w:val="2"/>
            <w:tcBorders>
              <w:top w:val="nil"/>
              <w:left w:val="nil"/>
              <w:bottom w:val="nil"/>
              <w:right w:val="nil"/>
            </w:tcBorders>
            <w:shd w:val="clear" w:color="auto" w:fill="auto"/>
            <w:noWrap/>
            <w:vAlign w:val="bottom"/>
          </w:tcPr>
          <w:p w14:paraId="118439ED" w14:textId="77777777" w:rsidR="00F73FFC" w:rsidRPr="00A72238" w:rsidRDefault="00F73FFC" w:rsidP="00A42AFB">
            <w:pPr>
              <w:rPr>
                <w:rFonts w:ascii="Arial" w:eastAsia="Times New Roman" w:hAnsi="Arial" w:cs="Arial"/>
                <w:b/>
                <w:bCs/>
                <w:sz w:val="20"/>
                <w:szCs w:val="20"/>
              </w:rPr>
            </w:pPr>
            <w:r w:rsidRPr="00A72238">
              <w:rPr>
                <w:rFonts w:ascii="Arial" w:eastAsia="Times New Roman" w:hAnsi="Arial" w:cs="Arial"/>
                <w:b/>
                <w:bCs/>
                <w:sz w:val="20"/>
                <w:szCs w:val="20"/>
              </w:rPr>
              <w:t>Hemorrhagic CVA</w:t>
            </w:r>
          </w:p>
        </w:tc>
        <w:tc>
          <w:tcPr>
            <w:tcW w:w="960" w:type="dxa"/>
            <w:tcBorders>
              <w:top w:val="nil"/>
              <w:left w:val="nil"/>
              <w:bottom w:val="nil"/>
              <w:right w:val="nil"/>
            </w:tcBorders>
            <w:shd w:val="clear" w:color="auto" w:fill="auto"/>
            <w:noWrap/>
            <w:vAlign w:val="bottom"/>
          </w:tcPr>
          <w:p w14:paraId="18AEF891" w14:textId="77777777" w:rsidR="00F73FFC" w:rsidRPr="00A72238" w:rsidRDefault="00F73FFC" w:rsidP="00A42AFB">
            <w:pPr>
              <w:rPr>
                <w:rFonts w:ascii="Arial" w:eastAsia="Times New Roman" w:hAnsi="Arial" w:cs="Arial"/>
                <w:sz w:val="20"/>
                <w:szCs w:val="20"/>
              </w:rPr>
            </w:pPr>
          </w:p>
        </w:tc>
      </w:tr>
      <w:tr w:rsidR="00F73FFC" w:rsidRPr="00A72238" w14:paraId="07E04FED" w14:textId="77777777" w:rsidTr="00A42AFB">
        <w:trPr>
          <w:trHeight w:val="255"/>
        </w:trPr>
        <w:tc>
          <w:tcPr>
            <w:tcW w:w="258" w:type="dxa"/>
            <w:tcBorders>
              <w:top w:val="nil"/>
              <w:left w:val="nil"/>
              <w:bottom w:val="nil"/>
              <w:right w:val="nil"/>
            </w:tcBorders>
            <w:shd w:val="clear" w:color="auto" w:fill="auto"/>
            <w:noWrap/>
            <w:vAlign w:val="bottom"/>
          </w:tcPr>
          <w:p w14:paraId="288401CD" w14:textId="77777777" w:rsidR="00F73FFC" w:rsidRPr="00A72238" w:rsidRDefault="00F73FFC" w:rsidP="00A42AFB">
            <w:pPr>
              <w:rPr>
                <w:rFonts w:ascii="Arial" w:eastAsia="Times New Roman" w:hAnsi="Arial" w:cs="Arial"/>
                <w:sz w:val="20"/>
                <w:szCs w:val="20"/>
              </w:rPr>
            </w:pPr>
          </w:p>
        </w:tc>
        <w:tc>
          <w:tcPr>
            <w:tcW w:w="258" w:type="dxa"/>
            <w:tcBorders>
              <w:top w:val="nil"/>
              <w:left w:val="nil"/>
              <w:bottom w:val="nil"/>
              <w:right w:val="nil"/>
            </w:tcBorders>
            <w:shd w:val="clear" w:color="auto" w:fill="auto"/>
            <w:noWrap/>
            <w:vAlign w:val="bottom"/>
          </w:tcPr>
          <w:p w14:paraId="6B45D2E9" w14:textId="77777777" w:rsidR="00F73FFC" w:rsidRPr="00A72238" w:rsidRDefault="00F73FFC" w:rsidP="00A42AFB">
            <w:pPr>
              <w:rPr>
                <w:rFonts w:ascii="Arial" w:eastAsia="Times New Roman" w:hAnsi="Arial" w:cs="Arial"/>
                <w:sz w:val="20"/>
                <w:szCs w:val="20"/>
              </w:rPr>
            </w:pPr>
          </w:p>
        </w:tc>
        <w:tc>
          <w:tcPr>
            <w:tcW w:w="2764" w:type="dxa"/>
            <w:tcBorders>
              <w:top w:val="nil"/>
              <w:left w:val="nil"/>
              <w:bottom w:val="nil"/>
              <w:right w:val="nil"/>
            </w:tcBorders>
            <w:shd w:val="clear" w:color="auto" w:fill="auto"/>
            <w:noWrap/>
            <w:vAlign w:val="bottom"/>
          </w:tcPr>
          <w:p w14:paraId="70B932BF" w14:textId="77777777" w:rsidR="00F73FFC" w:rsidRPr="00A72238" w:rsidRDefault="00F73FFC" w:rsidP="00A42AFB">
            <w:pPr>
              <w:jc w:val="center"/>
              <w:rPr>
                <w:rFonts w:ascii="Arial" w:eastAsia="Times New Roman" w:hAnsi="Arial" w:cs="Arial"/>
                <w:b/>
                <w:bCs/>
                <w:sz w:val="20"/>
                <w:szCs w:val="20"/>
              </w:rPr>
            </w:pPr>
            <w:r w:rsidRPr="00A72238">
              <w:rPr>
                <w:rFonts w:ascii="Arial" w:eastAsia="Times New Roman" w:hAnsi="Arial" w:cs="Arial"/>
                <w:b/>
                <w:bCs/>
                <w:sz w:val="20"/>
                <w:szCs w:val="20"/>
              </w:rPr>
              <w:t>Yes</w:t>
            </w:r>
          </w:p>
        </w:tc>
        <w:tc>
          <w:tcPr>
            <w:tcW w:w="960" w:type="dxa"/>
            <w:tcBorders>
              <w:top w:val="nil"/>
              <w:left w:val="nil"/>
              <w:bottom w:val="nil"/>
              <w:right w:val="nil"/>
            </w:tcBorders>
            <w:shd w:val="clear" w:color="auto" w:fill="auto"/>
            <w:noWrap/>
            <w:vAlign w:val="bottom"/>
          </w:tcPr>
          <w:p w14:paraId="0BDCBE34" w14:textId="77777777" w:rsidR="00F73FFC" w:rsidRPr="00A72238" w:rsidRDefault="00F73FFC" w:rsidP="00A42AFB">
            <w:pPr>
              <w:jc w:val="center"/>
              <w:rPr>
                <w:rFonts w:ascii="Arial" w:eastAsia="Times New Roman" w:hAnsi="Arial" w:cs="Arial"/>
                <w:b/>
                <w:bCs/>
                <w:sz w:val="20"/>
                <w:szCs w:val="20"/>
              </w:rPr>
            </w:pPr>
            <w:r w:rsidRPr="00A72238">
              <w:rPr>
                <w:rFonts w:ascii="Arial" w:eastAsia="Times New Roman" w:hAnsi="Arial" w:cs="Arial"/>
                <w:b/>
                <w:bCs/>
                <w:sz w:val="20"/>
                <w:szCs w:val="20"/>
              </w:rPr>
              <w:t>No</w:t>
            </w:r>
          </w:p>
        </w:tc>
        <w:tc>
          <w:tcPr>
            <w:tcW w:w="960" w:type="dxa"/>
            <w:tcBorders>
              <w:top w:val="nil"/>
              <w:left w:val="nil"/>
              <w:bottom w:val="nil"/>
              <w:right w:val="nil"/>
            </w:tcBorders>
            <w:shd w:val="clear" w:color="auto" w:fill="auto"/>
            <w:noWrap/>
            <w:vAlign w:val="bottom"/>
          </w:tcPr>
          <w:p w14:paraId="2E798B43" w14:textId="77777777" w:rsidR="00F73FFC" w:rsidRPr="00A72238" w:rsidRDefault="00F73FFC" w:rsidP="00A42AFB">
            <w:pPr>
              <w:rPr>
                <w:rFonts w:ascii="Arial" w:eastAsia="Times New Roman" w:hAnsi="Arial" w:cs="Arial"/>
                <w:sz w:val="20"/>
                <w:szCs w:val="20"/>
              </w:rPr>
            </w:pPr>
          </w:p>
        </w:tc>
      </w:tr>
      <w:tr w:rsidR="00F73FFC" w:rsidRPr="00A72238" w14:paraId="6063301E" w14:textId="77777777" w:rsidTr="00A42AFB">
        <w:trPr>
          <w:trHeight w:val="255"/>
        </w:trPr>
        <w:tc>
          <w:tcPr>
            <w:tcW w:w="258" w:type="dxa"/>
            <w:tcBorders>
              <w:top w:val="nil"/>
              <w:left w:val="nil"/>
              <w:bottom w:val="nil"/>
              <w:right w:val="nil"/>
            </w:tcBorders>
            <w:shd w:val="clear" w:color="auto" w:fill="auto"/>
            <w:noWrap/>
            <w:vAlign w:val="bottom"/>
          </w:tcPr>
          <w:p w14:paraId="4366EE9F" w14:textId="77777777" w:rsidR="00F73FFC" w:rsidRPr="00A72238" w:rsidRDefault="00F73FFC" w:rsidP="00A42AFB">
            <w:pPr>
              <w:rPr>
                <w:rFonts w:ascii="Arial" w:eastAsia="Times New Roman" w:hAnsi="Arial" w:cs="Arial"/>
                <w:sz w:val="20"/>
                <w:szCs w:val="20"/>
              </w:rPr>
            </w:pPr>
          </w:p>
        </w:tc>
        <w:tc>
          <w:tcPr>
            <w:tcW w:w="258" w:type="dxa"/>
            <w:tcBorders>
              <w:top w:val="nil"/>
              <w:left w:val="nil"/>
              <w:bottom w:val="nil"/>
              <w:right w:val="nil"/>
            </w:tcBorders>
            <w:shd w:val="clear" w:color="auto" w:fill="auto"/>
            <w:noWrap/>
            <w:vAlign w:val="bottom"/>
          </w:tcPr>
          <w:p w14:paraId="5EDD1417" w14:textId="77777777" w:rsidR="00F73FFC" w:rsidRPr="00A72238" w:rsidRDefault="00F73FFC" w:rsidP="00A42AFB">
            <w:pPr>
              <w:rPr>
                <w:rFonts w:ascii="Arial" w:eastAsia="Times New Roman"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89763" w14:textId="77777777" w:rsidR="00F73FFC" w:rsidRPr="00A72238" w:rsidRDefault="00F73FFC" w:rsidP="00A42AFB">
            <w:pPr>
              <w:jc w:val="center"/>
              <w:rPr>
                <w:rFonts w:ascii="Arial" w:eastAsia="Times New Roman" w:hAnsi="Arial" w:cs="Arial"/>
                <w:sz w:val="20"/>
                <w:szCs w:val="20"/>
              </w:rPr>
            </w:pPr>
            <w:r w:rsidRPr="00A72238">
              <w:rPr>
                <w:rFonts w:ascii="Arial" w:eastAsia="Times New Roman" w:hAnsi="Arial" w:cs="Arial"/>
                <w:sz w:val="20"/>
                <w:szCs w:val="20"/>
              </w:rPr>
              <w:t>13</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BB4936B" w14:textId="77777777" w:rsidR="00F73FFC" w:rsidRPr="00A72238" w:rsidRDefault="00F73FFC" w:rsidP="00A42AFB">
            <w:pPr>
              <w:jc w:val="center"/>
              <w:rPr>
                <w:rFonts w:ascii="Arial" w:eastAsia="Times New Roman" w:hAnsi="Arial" w:cs="Arial"/>
                <w:sz w:val="20"/>
                <w:szCs w:val="20"/>
              </w:rPr>
            </w:pPr>
            <w:r w:rsidRPr="00A72238">
              <w:rPr>
                <w:rFonts w:ascii="Arial" w:eastAsia="Times New Roman" w:hAnsi="Arial" w:cs="Arial"/>
                <w:sz w:val="20"/>
                <w:szCs w:val="20"/>
              </w:rPr>
              <w:t>182</w:t>
            </w:r>
          </w:p>
        </w:tc>
        <w:tc>
          <w:tcPr>
            <w:tcW w:w="960" w:type="dxa"/>
            <w:tcBorders>
              <w:top w:val="nil"/>
              <w:left w:val="nil"/>
              <w:bottom w:val="nil"/>
              <w:right w:val="nil"/>
            </w:tcBorders>
            <w:shd w:val="clear" w:color="auto" w:fill="auto"/>
            <w:noWrap/>
            <w:vAlign w:val="bottom"/>
          </w:tcPr>
          <w:p w14:paraId="598863A2" w14:textId="77777777" w:rsidR="00F73FFC" w:rsidRPr="00A72238" w:rsidRDefault="00F73FFC" w:rsidP="00A42AFB">
            <w:pPr>
              <w:jc w:val="center"/>
              <w:rPr>
                <w:rFonts w:ascii="Arial" w:eastAsia="Times New Roman" w:hAnsi="Arial" w:cs="Arial"/>
                <w:b/>
                <w:bCs/>
                <w:sz w:val="20"/>
                <w:szCs w:val="20"/>
              </w:rPr>
            </w:pPr>
            <w:r w:rsidRPr="00A72238">
              <w:rPr>
                <w:rFonts w:ascii="Arial" w:eastAsia="Times New Roman" w:hAnsi="Arial" w:cs="Arial"/>
                <w:b/>
                <w:bCs/>
                <w:sz w:val="20"/>
                <w:szCs w:val="20"/>
              </w:rPr>
              <w:t>195</w:t>
            </w:r>
          </w:p>
        </w:tc>
      </w:tr>
    </w:tbl>
    <w:p w14:paraId="5839C8D0" w14:textId="77777777" w:rsidR="00F73FFC" w:rsidRDefault="00F73FFC" w:rsidP="00F73FFC">
      <w:pPr>
        <w:pStyle w:val="BodyText3"/>
        <w:rPr>
          <w:b/>
          <w:i/>
          <w:sz w:val="24"/>
          <w:szCs w:val="24"/>
        </w:rPr>
      </w:pPr>
    </w:p>
    <w:p w14:paraId="3BD9AC34" w14:textId="77777777" w:rsidR="00F73FFC" w:rsidRDefault="00F73FFC" w:rsidP="00F73FFC">
      <w:pPr>
        <w:pStyle w:val="BodyText3"/>
        <w:rPr>
          <w:b/>
          <w:i/>
          <w:sz w:val="24"/>
          <w:szCs w:val="24"/>
        </w:rPr>
      </w:pPr>
    </w:p>
    <w:p w14:paraId="28B01C29" w14:textId="77777777" w:rsidR="00F73FFC" w:rsidRDefault="00F73FFC" w:rsidP="00F73FFC">
      <w:pPr>
        <w:pStyle w:val="BodyText3"/>
        <w:rPr>
          <w:i/>
          <w:sz w:val="24"/>
          <w:szCs w:val="24"/>
        </w:rPr>
      </w:pPr>
      <w:r w:rsidRPr="00956C34">
        <w:rPr>
          <w:b/>
          <w:sz w:val="24"/>
          <w:szCs w:val="24"/>
        </w:rPr>
        <w:t>a)</w:t>
      </w:r>
      <w:r>
        <w:rPr>
          <w:sz w:val="24"/>
          <w:szCs w:val="24"/>
        </w:rPr>
        <w:t xml:space="preserve">  Based on all the information presented above, what is the best estimate of the </w:t>
      </w:r>
      <w:r w:rsidRPr="00CE099C">
        <w:rPr>
          <w:sz w:val="24"/>
          <w:szCs w:val="24"/>
          <w:u w:val="single"/>
        </w:rPr>
        <w:t>sensitivity</w:t>
      </w:r>
      <w:r>
        <w:rPr>
          <w:sz w:val="24"/>
          <w:szCs w:val="24"/>
        </w:rPr>
        <w:t xml:space="preserve"> of headache for hemorrhagic CVA?</w:t>
      </w:r>
    </w:p>
    <w:p w14:paraId="07351F80" w14:textId="77777777" w:rsidR="00F73FFC" w:rsidRDefault="00F73FFC" w:rsidP="00F73FFC">
      <w:pPr>
        <w:pStyle w:val="BodyText3"/>
        <w:rPr>
          <w:i/>
          <w:sz w:val="24"/>
          <w:szCs w:val="24"/>
        </w:rPr>
      </w:pPr>
    </w:p>
    <w:p w14:paraId="1C06135F" w14:textId="77777777" w:rsidR="00F73FFC" w:rsidRDefault="00F73FFC" w:rsidP="00F73FFC">
      <w:pPr>
        <w:pStyle w:val="BodyText3"/>
        <w:rPr>
          <w:b/>
          <w:sz w:val="24"/>
          <w:szCs w:val="24"/>
        </w:rPr>
      </w:pPr>
    </w:p>
    <w:p w14:paraId="3021DAE3" w14:textId="77777777" w:rsidR="00F73FFC" w:rsidRDefault="00F73FFC" w:rsidP="00F73FFC">
      <w:pPr>
        <w:pStyle w:val="BodyText3"/>
        <w:ind w:left="180"/>
        <w:rPr>
          <w:i/>
          <w:sz w:val="24"/>
          <w:szCs w:val="24"/>
        </w:rPr>
      </w:pPr>
      <w:r>
        <w:rPr>
          <w:b/>
          <w:sz w:val="24"/>
          <w:szCs w:val="24"/>
        </w:rPr>
        <w:t xml:space="preserve">b) </w:t>
      </w:r>
      <w:r>
        <w:rPr>
          <w:sz w:val="24"/>
          <w:szCs w:val="24"/>
        </w:rPr>
        <w:t>Exclusion of potential study subjects because they did not receive the gold standard as part of their clinical care has what effect on specificity?</w:t>
      </w:r>
    </w:p>
    <w:p w14:paraId="1DD6F2DC" w14:textId="77777777" w:rsidR="00F73FFC" w:rsidRDefault="00F73FFC" w:rsidP="00F73FFC">
      <w:pPr>
        <w:pStyle w:val="BodyText3"/>
        <w:ind w:left="720"/>
        <w:rPr>
          <w:i/>
          <w:sz w:val="24"/>
          <w:szCs w:val="24"/>
        </w:rPr>
      </w:pPr>
    </w:p>
    <w:p w14:paraId="5A2FA4D5" w14:textId="77777777" w:rsidR="00F73FFC" w:rsidRDefault="00F73FFC" w:rsidP="00F73FFC">
      <w:pPr>
        <w:rPr>
          <w:b/>
        </w:rPr>
      </w:pPr>
    </w:p>
    <w:p w14:paraId="70D36115" w14:textId="77777777" w:rsidR="00F73FFC" w:rsidRDefault="00F73FFC" w:rsidP="00F73FFC">
      <w:pPr>
        <w:rPr>
          <w:b/>
          <w:i/>
        </w:rPr>
      </w:pPr>
    </w:p>
    <w:p w14:paraId="78405D6F" w14:textId="77777777" w:rsidR="00F73FFC" w:rsidRDefault="00F73FFC" w:rsidP="00F73FFC">
      <w:pPr>
        <w:rPr>
          <w:b/>
          <w:i/>
        </w:rPr>
      </w:pPr>
    </w:p>
    <w:p w14:paraId="0678F731" w14:textId="77777777" w:rsidR="00F73FFC" w:rsidRDefault="00F73FFC" w:rsidP="00F73FFC">
      <w:r w:rsidRPr="00FD1E09">
        <w:rPr>
          <w:b/>
        </w:rPr>
        <w:t>Ch04.52.</w:t>
      </w:r>
      <w:r>
        <w:rPr>
          <w:b/>
        </w:rPr>
        <w:t>Q</w:t>
      </w:r>
      <w:r>
        <w:t xml:space="preserve">  Differential Verification of Pulmonary Embolism</w:t>
      </w:r>
    </w:p>
    <w:p w14:paraId="69AFC9B9" w14:textId="77777777" w:rsidR="00F73FFC" w:rsidRDefault="00F73FFC" w:rsidP="00F73FFC"/>
    <w:p w14:paraId="17DA9D85" w14:textId="3B5354CF" w:rsidR="00F73FFC" w:rsidRDefault="00F73FFC" w:rsidP="00F73FFC">
      <w:r>
        <w:t>Pulmonary embolism (PE) is a blood clot in the lung.  The ventilation/perfusion scan (V/Q scan) is a nuclear medicine test for PE.  The first PIOPED Study</w:t>
      </w:r>
      <w:r>
        <w:fldChar w:fldCharType="begin"/>
      </w:r>
      <w:r>
        <w:instrText xml:space="preserve"> ADDIN EN.CITE &lt;EndNote&gt;&lt;Cite&gt;&lt;Author&gt;PIOPED&lt;/Author&gt;&lt;Year&gt;1990&lt;/Year&gt;&lt;RecNum&gt;46&lt;/RecNum&gt;&lt;DisplayText&gt;(PIOPED 1990)&lt;/DisplayText&gt;&lt;record&gt;&lt;rec-number&gt;46&lt;/rec-number&gt;&lt;foreign-keys&gt;&lt;key app="EN" db-id="0ftvff9p80fp5few5s05f5fw9rd9fefrdzer" timestamp="0"&gt;46&lt;/key&gt;&lt;/foreign-keys&gt;&lt;ref-type name="Journal Article"&gt;17&lt;/ref-type&gt;&lt;contributors&gt;&lt;authors&gt;&lt;author&gt;PIOPED&lt;/author&gt;&lt;/authors&gt;&lt;/contributors&gt;&lt;titles&gt;&lt;title&gt;Value of the ventilation/perfusion scan in acute pulmonary embolism. Results of the prospective investigation of pulmonary embolism diagnosis (PIOPED). The PIOPED Investigators&lt;/title&gt;&lt;secondary-title&gt;Jama&lt;/secondary-title&gt;&lt;/titles&gt;&lt;periodical&gt;&lt;full-title&gt;JAMA&lt;/full-title&gt;&lt;/periodical&gt;&lt;pages&gt;2753-9&lt;/pages&gt;&lt;volume&gt;263&lt;/volume&gt;&lt;number&gt;20&lt;/number&gt;&lt;keywords&gt;&lt;keyword&gt;Acute Disease&lt;/keyword&gt;&lt;keyword&gt;Comparative Study&lt;/keyword&gt;&lt;keyword&gt;Female&lt;/keyword&gt;&lt;keyword&gt;Follow-Up Studies&lt;/keyword&gt;&lt;keyword&gt;Human&lt;/keyword&gt;&lt;keyword&gt;Lung/radionuclide imaging&lt;/keyword&gt;&lt;keyword&gt;Male&lt;/keyword&gt;&lt;keyword&gt;Methods&lt;/keyword&gt;&lt;keyword&gt;Middle Age&lt;/keyword&gt;&lt;keyword&gt;Observer Variation&lt;/keyword&gt;&lt;keyword&gt;Outcome and Process Assessment (Health Care)&lt;/keyword&gt;&lt;keyword&gt;Predictive Value of Tests&lt;/keyword&gt;&lt;keyword&gt;Probability&lt;/keyword&gt;&lt;keyword&gt;Prospective Studies&lt;/keyword&gt;&lt;keyword&gt;Pulmonary Artery/radiography/radionuclide imaging&lt;/keyword&gt;&lt;keyword&gt;Pulmonary Embolism/*radionuclide imaging&lt;/keyword&gt;&lt;keyword&gt;Random Allocation&lt;/keyword&gt;&lt;keyword&gt;Support, U.S. Gov&amp;apos;t, P.H.S.&lt;/keyword&gt;&lt;/keywords&gt;&lt;dates&gt;&lt;year&gt;1990&lt;/year&gt;&lt;/dates&gt;&lt;label&gt;90238161&lt;/label&gt;&lt;urls&gt;&lt;/urls&gt;&lt;/record&gt;&lt;/Cite&gt;&lt;/EndNote&gt;</w:instrText>
      </w:r>
      <w:r>
        <w:fldChar w:fldCharType="separate"/>
      </w:r>
      <w:r>
        <w:rPr>
          <w:noProof/>
        </w:rPr>
        <w:t>(</w:t>
      </w:r>
      <w:hyperlink w:anchor="_ENREF_5" w:tooltip="PIOPED, 1990 #46" w:history="1">
        <w:r w:rsidR="00023F4E">
          <w:rPr>
            <w:noProof/>
          </w:rPr>
          <w:t>PIOPED 1990</w:t>
        </w:r>
      </w:hyperlink>
      <w:r>
        <w:rPr>
          <w:noProof/>
        </w:rPr>
        <w:t>)</w:t>
      </w:r>
      <w:r>
        <w:fldChar w:fldCharType="end"/>
      </w:r>
      <w:r>
        <w:t xml:space="preserve"> investigated the accuracy of V/Q scans for PE.  The following table presents simplified results treating a high or intermediate probability scan as positive and a low probability or normal scan as negative.   The patients in this study were a random sample from the population of patients in whom V/Q scans were ordered. </w:t>
      </w:r>
    </w:p>
    <w:p w14:paraId="38D9AC97" w14:textId="77777777" w:rsidR="00F73FFC" w:rsidRDefault="00F73FFC" w:rsidP="00F73FFC"/>
    <w:tbl>
      <w:tblPr>
        <w:tblW w:w="5500" w:type="dxa"/>
        <w:tblInd w:w="93" w:type="dxa"/>
        <w:tblLook w:val="04A0" w:firstRow="1" w:lastRow="0" w:firstColumn="1" w:lastColumn="0" w:noHBand="0" w:noVBand="1"/>
      </w:tblPr>
      <w:tblGrid>
        <w:gridCol w:w="2100"/>
        <w:gridCol w:w="1230"/>
        <w:gridCol w:w="1230"/>
        <w:gridCol w:w="940"/>
      </w:tblGrid>
      <w:tr w:rsidR="00F73FFC" w:rsidRPr="00A077C8" w14:paraId="03B49C4A" w14:textId="77777777" w:rsidTr="00A42AFB">
        <w:trPr>
          <w:trHeight w:val="300"/>
        </w:trPr>
        <w:tc>
          <w:tcPr>
            <w:tcW w:w="2100" w:type="dxa"/>
            <w:tcBorders>
              <w:top w:val="nil"/>
              <w:left w:val="nil"/>
              <w:bottom w:val="nil"/>
              <w:right w:val="nil"/>
            </w:tcBorders>
            <w:shd w:val="clear" w:color="auto" w:fill="auto"/>
            <w:noWrap/>
            <w:vAlign w:val="bottom"/>
            <w:hideMark/>
          </w:tcPr>
          <w:p w14:paraId="11BEFC51" w14:textId="77777777" w:rsidR="00F73FFC" w:rsidRPr="00A077C8" w:rsidRDefault="00F73FFC" w:rsidP="00A42AFB">
            <w:pPr>
              <w:rPr>
                <w:rFonts w:ascii="Calibri" w:eastAsia="Times New Roman" w:hAnsi="Calibri"/>
                <w:color w:val="000000"/>
              </w:rPr>
            </w:pPr>
          </w:p>
        </w:tc>
        <w:tc>
          <w:tcPr>
            <w:tcW w:w="2460" w:type="dxa"/>
            <w:gridSpan w:val="2"/>
            <w:tcBorders>
              <w:top w:val="nil"/>
              <w:left w:val="nil"/>
              <w:bottom w:val="nil"/>
              <w:right w:val="nil"/>
            </w:tcBorders>
            <w:shd w:val="clear" w:color="auto" w:fill="auto"/>
            <w:noWrap/>
            <w:vAlign w:val="bottom"/>
            <w:hideMark/>
          </w:tcPr>
          <w:p w14:paraId="66E272A2" w14:textId="77777777" w:rsidR="00F73FFC" w:rsidRPr="00A077C8" w:rsidRDefault="00F73FFC" w:rsidP="00A42AFB">
            <w:pPr>
              <w:jc w:val="center"/>
              <w:rPr>
                <w:rFonts w:ascii="Calibri" w:eastAsia="Times New Roman" w:hAnsi="Calibri"/>
                <w:b/>
                <w:bCs/>
                <w:color w:val="000000"/>
              </w:rPr>
            </w:pPr>
            <w:r w:rsidRPr="00A077C8">
              <w:rPr>
                <w:rFonts w:ascii="Calibri" w:eastAsia="Times New Roman" w:hAnsi="Calibri"/>
                <w:b/>
                <w:bCs/>
                <w:color w:val="000000"/>
              </w:rPr>
              <w:t>PE</w:t>
            </w:r>
          </w:p>
        </w:tc>
        <w:tc>
          <w:tcPr>
            <w:tcW w:w="940" w:type="dxa"/>
            <w:tcBorders>
              <w:top w:val="nil"/>
              <w:left w:val="nil"/>
              <w:bottom w:val="nil"/>
              <w:right w:val="nil"/>
            </w:tcBorders>
            <w:shd w:val="clear" w:color="auto" w:fill="auto"/>
            <w:noWrap/>
            <w:vAlign w:val="bottom"/>
            <w:hideMark/>
          </w:tcPr>
          <w:p w14:paraId="1854AE6F" w14:textId="77777777" w:rsidR="00F73FFC" w:rsidRPr="00A077C8" w:rsidRDefault="00F73FFC" w:rsidP="00A42AFB">
            <w:pPr>
              <w:rPr>
                <w:rFonts w:ascii="Calibri" w:eastAsia="Times New Roman" w:hAnsi="Calibri"/>
                <w:color w:val="000000"/>
              </w:rPr>
            </w:pPr>
          </w:p>
        </w:tc>
      </w:tr>
      <w:tr w:rsidR="00F73FFC" w:rsidRPr="00A077C8" w14:paraId="2C636D35" w14:textId="77777777" w:rsidTr="00A42AFB">
        <w:trPr>
          <w:trHeight w:val="300"/>
        </w:trPr>
        <w:tc>
          <w:tcPr>
            <w:tcW w:w="2100" w:type="dxa"/>
            <w:tcBorders>
              <w:top w:val="nil"/>
              <w:left w:val="nil"/>
              <w:bottom w:val="nil"/>
              <w:right w:val="nil"/>
            </w:tcBorders>
            <w:shd w:val="clear" w:color="auto" w:fill="auto"/>
            <w:noWrap/>
            <w:vAlign w:val="bottom"/>
            <w:hideMark/>
          </w:tcPr>
          <w:p w14:paraId="42DC6CB1" w14:textId="77777777" w:rsidR="00F73FFC" w:rsidRPr="00A077C8" w:rsidRDefault="00F73FFC" w:rsidP="00A42AFB">
            <w:pPr>
              <w:rPr>
                <w:rFonts w:ascii="Calibri" w:eastAsia="Times New Roman" w:hAnsi="Calibri"/>
                <w:b/>
                <w:bCs/>
                <w:color w:val="000000"/>
              </w:rPr>
            </w:pPr>
            <w:r w:rsidRPr="00A077C8">
              <w:rPr>
                <w:rFonts w:ascii="Calibri" w:eastAsia="Times New Roman" w:hAnsi="Calibri"/>
                <w:b/>
                <w:bCs/>
                <w:color w:val="000000"/>
              </w:rPr>
              <w:t>V</w:t>
            </w:r>
            <w:r>
              <w:rPr>
                <w:rFonts w:ascii="Calibri" w:eastAsia="Times New Roman" w:hAnsi="Calibri"/>
                <w:b/>
                <w:bCs/>
                <w:color w:val="000000"/>
              </w:rPr>
              <w:t>/</w:t>
            </w:r>
            <w:r w:rsidRPr="00A077C8">
              <w:rPr>
                <w:rFonts w:ascii="Calibri" w:eastAsia="Times New Roman" w:hAnsi="Calibri"/>
                <w:b/>
                <w:bCs/>
                <w:color w:val="000000"/>
              </w:rPr>
              <w:t>Q Result</w:t>
            </w:r>
          </w:p>
        </w:tc>
        <w:tc>
          <w:tcPr>
            <w:tcW w:w="1230" w:type="dxa"/>
            <w:tcBorders>
              <w:top w:val="nil"/>
              <w:left w:val="nil"/>
              <w:bottom w:val="nil"/>
              <w:right w:val="nil"/>
            </w:tcBorders>
            <w:shd w:val="clear" w:color="auto" w:fill="auto"/>
            <w:noWrap/>
            <w:vAlign w:val="bottom"/>
            <w:hideMark/>
          </w:tcPr>
          <w:p w14:paraId="1D42A9C7" w14:textId="77777777" w:rsidR="00F73FFC" w:rsidRPr="00A077C8" w:rsidRDefault="00F73FFC" w:rsidP="00A42AFB">
            <w:pPr>
              <w:jc w:val="center"/>
              <w:rPr>
                <w:rFonts w:ascii="Calibri" w:eastAsia="Times New Roman" w:hAnsi="Calibri"/>
                <w:b/>
                <w:bCs/>
                <w:color w:val="000000"/>
              </w:rPr>
            </w:pPr>
            <w:r w:rsidRPr="00A077C8">
              <w:rPr>
                <w:rFonts w:ascii="Calibri" w:eastAsia="Times New Roman" w:hAnsi="Calibri"/>
                <w:b/>
                <w:bCs/>
                <w:color w:val="000000"/>
              </w:rPr>
              <w:t>D+</w:t>
            </w:r>
          </w:p>
        </w:tc>
        <w:tc>
          <w:tcPr>
            <w:tcW w:w="1230" w:type="dxa"/>
            <w:tcBorders>
              <w:top w:val="nil"/>
              <w:left w:val="nil"/>
              <w:bottom w:val="nil"/>
              <w:right w:val="nil"/>
            </w:tcBorders>
            <w:shd w:val="clear" w:color="auto" w:fill="auto"/>
            <w:noWrap/>
            <w:vAlign w:val="bottom"/>
            <w:hideMark/>
          </w:tcPr>
          <w:p w14:paraId="21780B37" w14:textId="77777777" w:rsidR="00F73FFC" w:rsidRPr="00A077C8" w:rsidRDefault="00F73FFC" w:rsidP="00A42AFB">
            <w:pPr>
              <w:jc w:val="center"/>
              <w:rPr>
                <w:rFonts w:ascii="Calibri" w:eastAsia="Times New Roman" w:hAnsi="Calibri"/>
                <w:b/>
                <w:bCs/>
                <w:color w:val="000000"/>
              </w:rPr>
            </w:pPr>
            <w:r w:rsidRPr="00A077C8">
              <w:rPr>
                <w:rFonts w:ascii="Calibri" w:eastAsia="Times New Roman" w:hAnsi="Calibri"/>
                <w:b/>
                <w:bCs/>
                <w:color w:val="000000"/>
              </w:rPr>
              <w:t>D-</w:t>
            </w:r>
          </w:p>
        </w:tc>
        <w:tc>
          <w:tcPr>
            <w:tcW w:w="940" w:type="dxa"/>
            <w:tcBorders>
              <w:top w:val="nil"/>
              <w:left w:val="nil"/>
              <w:bottom w:val="nil"/>
              <w:right w:val="nil"/>
            </w:tcBorders>
            <w:shd w:val="clear" w:color="auto" w:fill="auto"/>
            <w:noWrap/>
            <w:vAlign w:val="bottom"/>
            <w:hideMark/>
          </w:tcPr>
          <w:p w14:paraId="1553013E" w14:textId="77777777" w:rsidR="00F73FFC" w:rsidRPr="00A077C8" w:rsidRDefault="00F73FFC" w:rsidP="00A42AFB">
            <w:pPr>
              <w:rPr>
                <w:rFonts w:ascii="Calibri" w:eastAsia="Times New Roman" w:hAnsi="Calibri"/>
                <w:color w:val="000000"/>
              </w:rPr>
            </w:pPr>
          </w:p>
        </w:tc>
      </w:tr>
      <w:tr w:rsidR="00F73FFC" w:rsidRPr="00A077C8" w14:paraId="7F3CB66B" w14:textId="77777777" w:rsidTr="00A42AFB">
        <w:trPr>
          <w:trHeight w:val="300"/>
        </w:trPr>
        <w:tc>
          <w:tcPr>
            <w:tcW w:w="2100" w:type="dxa"/>
            <w:tcBorders>
              <w:top w:val="nil"/>
              <w:left w:val="nil"/>
              <w:bottom w:val="nil"/>
              <w:right w:val="nil"/>
            </w:tcBorders>
            <w:shd w:val="clear" w:color="auto" w:fill="auto"/>
            <w:noWrap/>
            <w:vAlign w:val="bottom"/>
            <w:hideMark/>
          </w:tcPr>
          <w:p w14:paraId="7D61613E" w14:textId="77777777" w:rsidR="00F73FFC" w:rsidRPr="00A077C8" w:rsidRDefault="00F73FFC" w:rsidP="00A42AFB">
            <w:pPr>
              <w:rPr>
                <w:rFonts w:ascii="Calibri" w:eastAsia="Times New Roman" w:hAnsi="Calibri"/>
                <w:b/>
                <w:bCs/>
                <w:color w:val="000000"/>
              </w:rPr>
            </w:pPr>
            <w:r w:rsidRPr="00A077C8">
              <w:rPr>
                <w:rFonts w:ascii="Calibri" w:eastAsia="Times New Roman" w:hAnsi="Calibri"/>
                <w:b/>
                <w:bCs/>
                <w:color w:val="000000"/>
              </w:rPr>
              <w:t>Positive</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C834F" w14:textId="77777777" w:rsidR="00F73FFC" w:rsidRPr="00A077C8" w:rsidRDefault="00F73FFC" w:rsidP="00A42AFB">
            <w:pPr>
              <w:jc w:val="right"/>
              <w:rPr>
                <w:rFonts w:ascii="Calibri" w:eastAsia="Times New Roman" w:hAnsi="Calibri"/>
                <w:color w:val="000000"/>
              </w:rPr>
            </w:pPr>
            <w:r w:rsidRPr="00A077C8">
              <w:rPr>
                <w:rFonts w:ascii="Calibri" w:eastAsia="Times New Roman" w:hAnsi="Calibri"/>
                <w:color w:val="000000"/>
              </w:rPr>
              <w:t>207</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75A623DF" w14:textId="77777777" w:rsidR="00F73FFC" w:rsidRPr="00A077C8" w:rsidRDefault="00F73FFC" w:rsidP="00A42AFB">
            <w:pPr>
              <w:jc w:val="right"/>
              <w:rPr>
                <w:rFonts w:ascii="Calibri" w:eastAsia="Times New Roman" w:hAnsi="Calibri"/>
                <w:color w:val="000000"/>
              </w:rPr>
            </w:pPr>
            <w:r w:rsidRPr="00A077C8">
              <w:rPr>
                <w:rFonts w:ascii="Calibri" w:eastAsia="Times New Roman" w:hAnsi="Calibri"/>
                <w:color w:val="000000"/>
              </w:rPr>
              <w:t>231</w:t>
            </w:r>
          </w:p>
        </w:tc>
        <w:tc>
          <w:tcPr>
            <w:tcW w:w="940" w:type="dxa"/>
            <w:tcBorders>
              <w:top w:val="nil"/>
              <w:left w:val="nil"/>
              <w:bottom w:val="nil"/>
              <w:right w:val="nil"/>
            </w:tcBorders>
            <w:shd w:val="clear" w:color="auto" w:fill="auto"/>
            <w:noWrap/>
            <w:vAlign w:val="bottom"/>
            <w:hideMark/>
          </w:tcPr>
          <w:p w14:paraId="01BB085E" w14:textId="77777777" w:rsidR="00F73FFC" w:rsidRPr="00A077C8" w:rsidRDefault="00F73FFC" w:rsidP="00A42AFB">
            <w:pPr>
              <w:jc w:val="right"/>
              <w:rPr>
                <w:rFonts w:ascii="Calibri" w:eastAsia="Times New Roman" w:hAnsi="Calibri"/>
                <w:b/>
                <w:bCs/>
                <w:color w:val="000000"/>
              </w:rPr>
            </w:pPr>
            <w:r w:rsidRPr="00A077C8">
              <w:rPr>
                <w:rFonts w:ascii="Calibri" w:eastAsia="Times New Roman" w:hAnsi="Calibri"/>
                <w:b/>
                <w:bCs/>
                <w:color w:val="000000"/>
              </w:rPr>
              <w:t>438</w:t>
            </w:r>
          </w:p>
        </w:tc>
      </w:tr>
      <w:tr w:rsidR="00F73FFC" w:rsidRPr="00A077C8" w14:paraId="271F1EAC" w14:textId="77777777" w:rsidTr="00A42AFB">
        <w:trPr>
          <w:trHeight w:val="300"/>
        </w:trPr>
        <w:tc>
          <w:tcPr>
            <w:tcW w:w="2100" w:type="dxa"/>
            <w:tcBorders>
              <w:top w:val="nil"/>
              <w:left w:val="nil"/>
              <w:bottom w:val="nil"/>
              <w:right w:val="nil"/>
            </w:tcBorders>
            <w:shd w:val="clear" w:color="auto" w:fill="auto"/>
            <w:noWrap/>
            <w:vAlign w:val="bottom"/>
            <w:hideMark/>
          </w:tcPr>
          <w:p w14:paraId="572F1085" w14:textId="77777777" w:rsidR="00F73FFC" w:rsidRPr="00A077C8" w:rsidRDefault="00F73FFC" w:rsidP="00A42AFB">
            <w:pPr>
              <w:rPr>
                <w:rFonts w:ascii="Calibri" w:eastAsia="Times New Roman" w:hAnsi="Calibri"/>
                <w:b/>
                <w:bCs/>
                <w:color w:val="000000"/>
              </w:rPr>
            </w:pPr>
            <w:r w:rsidRPr="00A077C8">
              <w:rPr>
                <w:rFonts w:ascii="Calibri" w:eastAsia="Times New Roman" w:hAnsi="Calibri"/>
                <w:b/>
                <w:bCs/>
                <w:color w:val="000000"/>
              </w:rPr>
              <w:t>Negative</w:t>
            </w:r>
          </w:p>
        </w:tc>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4399B394" w14:textId="77777777" w:rsidR="00F73FFC" w:rsidRPr="00A077C8" w:rsidRDefault="00F73FFC" w:rsidP="00A42AFB">
            <w:pPr>
              <w:jc w:val="right"/>
              <w:rPr>
                <w:rFonts w:ascii="Calibri" w:eastAsia="Times New Roman" w:hAnsi="Calibri"/>
                <w:color w:val="000000"/>
              </w:rPr>
            </w:pPr>
            <w:r w:rsidRPr="00A077C8">
              <w:rPr>
                <w:rFonts w:ascii="Calibri" w:eastAsia="Times New Roman" w:hAnsi="Calibri"/>
                <w:color w:val="000000"/>
              </w:rPr>
              <w:t>44</w:t>
            </w:r>
          </w:p>
        </w:tc>
        <w:tc>
          <w:tcPr>
            <w:tcW w:w="1230" w:type="dxa"/>
            <w:tcBorders>
              <w:top w:val="nil"/>
              <w:left w:val="nil"/>
              <w:bottom w:val="single" w:sz="4" w:space="0" w:color="auto"/>
              <w:right w:val="single" w:sz="4" w:space="0" w:color="auto"/>
            </w:tcBorders>
            <w:shd w:val="clear" w:color="auto" w:fill="auto"/>
            <w:noWrap/>
            <w:vAlign w:val="bottom"/>
            <w:hideMark/>
          </w:tcPr>
          <w:p w14:paraId="7A8B18DE" w14:textId="77777777" w:rsidR="00F73FFC" w:rsidRPr="00A077C8" w:rsidRDefault="00F73FFC" w:rsidP="00A42AFB">
            <w:pPr>
              <w:jc w:val="right"/>
              <w:rPr>
                <w:rFonts w:ascii="Calibri" w:eastAsia="Times New Roman" w:hAnsi="Calibri"/>
                <w:color w:val="000000"/>
              </w:rPr>
            </w:pPr>
            <w:r w:rsidRPr="00A077C8">
              <w:rPr>
                <w:rFonts w:ascii="Calibri" w:eastAsia="Times New Roman" w:hAnsi="Calibri"/>
                <w:color w:val="000000"/>
              </w:rPr>
              <w:t>399</w:t>
            </w:r>
          </w:p>
        </w:tc>
        <w:tc>
          <w:tcPr>
            <w:tcW w:w="940" w:type="dxa"/>
            <w:tcBorders>
              <w:top w:val="nil"/>
              <w:left w:val="nil"/>
              <w:bottom w:val="nil"/>
              <w:right w:val="nil"/>
            </w:tcBorders>
            <w:shd w:val="clear" w:color="auto" w:fill="auto"/>
            <w:noWrap/>
            <w:vAlign w:val="bottom"/>
            <w:hideMark/>
          </w:tcPr>
          <w:p w14:paraId="4545F043" w14:textId="77777777" w:rsidR="00F73FFC" w:rsidRPr="00A077C8" w:rsidRDefault="00F73FFC" w:rsidP="00A42AFB">
            <w:pPr>
              <w:jc w:val="right"/>
              <w:rPr>
                <w:rFonts w:ascii="Calibri" w:eastAsia="Times New Roman" w:hAnsi="Calibri"/>
                <w:b/>
                <w:bCs/>
                <w:color w:val="000000"/>
              </w:rPr>
            </w:pPr>
            <w:r w:rsidRPr="00A077C8">
              <w:rPr>
                <w:rFonts w:ascii="Calibri" w:eastAsia="Times New Roman" w:hAnsi="Calibri"/>
                <w:b/>
                <w:bCs/>
                <w:color w:val="000000"/>
              </w:rPr>
              <w:t>443</w:t>
            </w:r>
          </w:p>
        </w:tc>
      </w:tr>
      <w:tr w:rsidR="00F73FFC" w:rsidRPr="00A077C8" w14:paraId="536A6C62" w14:textId="77777777" w:rsidTr="00A42AFB">
        <w:trPr>
          <w:trHeight w:val="300"/>
        </w:trPr>
        <w:tc>
          <w:tcPr>
            <w:tcW w:w="2100" w:type="dxa"/>
            <w:tcBorders>
              <w:top w:val="nil"/>
              <w:left w:val="nil"/>
              <w:bottom w:val="nil"/>
              <w:right w:val="nil"/>
            </w:tcBorders>
            <w:shd w:val="clear" w:color="auto" w:fill="auto"/>
            <w:noWrap/>
            <w:vAlign w:val="bottom"/>
            <w:hideMark/>
          </w:tcPr>
          <w:p w14:paraId="6FE86846" w14:textId="77777777" w:rsidR="00F73FFC" w:rsidRPr="00A077C8" w:rsidRDefault="00F73FFC" w:rsidP="00A42AFB">
            <w:pPr>
              <w:rPr>
                <w:rFonts w:ascii="Calibri" w:eastAsia="Times New Roman" w:hAnsi="Calibri"/>
                <w:color w:val="000000"/>
              </w:rPr>
            </w:pPr>
          </w:p>
        </w:tc>
        <w:tc>
          <w:tcPr>
            <w:tcW w:w="1230" w:type="dxa"/>
            <w:tcBorders>
              <w:top w:val="nil"/>
              <w:left w:val="nil"/>
              <w:bottom w:val="nil"/>
              <w:right w:val="nil"/>
            </w:tcBorders>
            <w:shd w:val="clear" w:color="auto" w:fill="auto"/>
            <w:noWrap/>
            <w:vAlign w:val="bottom"/>
            <w:hideMark/>
          </w:tcPr>
          <w:p w14:paraId="41F543AF" w14:textId="77777777" w:rsidR="00F73FFC" w:rsidRPr="00A077C8" w:rsidRDefault="00F73FFC" w:rsidP="00A42AFB">
            <w:pPr>
              <w:jc w:val="right"/>
              <w:rPr>
                <w:rFonts w:ascii="Calibri" w:eastAsia="Times New Roman" w:hAnsi="Calibri"/>
                <w:b/>
                <w:bCs/>
                <w:color w:val="000000"/>
              </w:rPr>
            </w:pPr>
            <w:r w:rsidRPr="00A077C8">
              <w:rPr>
                <w:rFonts w:ascii="Calibri" w:eastAsia="Times New Roman" w:hAnsi="Calibri"/>
                <w:b/>
                <w:bCs/>
                <w:color w:val="000000"/>
              </w:rPr>
              <w:t>251</w:t>
            </w:r>
          </w:p>
        </w:tc>
        <w:tc>
          <w:tcPr>
            <w:tcW w:w="1230" w:type="dxa"/>
            <w:tcBorders>
              <w:top w:val="nil"/>
              <w:left w:val="nil"/>
              <w:bottom w:val="nil"/>
              <w:right w:val="nil"/>
            </w:tcBorders>
            <w:shd w:val="clear" w:color="auto" w:fill="auto"/>
            <w:noWrap/>
            <w:vAlign w:val="bottom"/>
            <w:hideMark/>
          </w:tcPr>
          <w:p w14:paraId="79326CF5" w14:textId="77777777" w:rsidR="00F73FFC" w:rsidRPr="00A077C8" w:rsidRDefault="00F73FFC" w:rsidP="00A42AFB">
            <w:pPr>
              <w:jc w:val="right"/>
              <w:rPr>
                <w:rFonts w:ascii="Calibri" w:eastAsia="Times New Roman" w:hAnsi="Calibri"/>
                <w:b/>
                <w:bCs/>
                <w:color w:val="000000"/>
              </w:rPr>
            </w:pPr>
            <w:r w:rsidRPr="00A077C8">
              <w:rPr>
                <w:rFonts w:ascii="Calibri" w:eastAsia="Times New Roman" w:hAnsi="Calibri"/>
                <w:b/>
                <w:bCs/>
                <w:color w:val="000000"/>
              </w:rPr>
              <w:t>630</w:t>
            </w:r>
          </w:p>
        </w:tc>
        <w:tc>
          <w:tcPr>
            <w:tcW w:w="940" w:type="dxa"/>
            <w:tcBorders>
              <w:top w:val="nil"/>
              <w:left w:val="nil"/>
              <w:bottom w:val="nil"/>
              <w:right w:val="nil"/>
            </w:tcBorders>
            <w:shd w:val="clear" w:color="auto" w:fill="auto"/>
            <w:noWrap/>
            <w:vAlign w:val="bottom"/>
            <w:hideMark/>
          </w:tcPr>
          <w:p w14:paraId="1E8AF1C9" w14:textId="77777777" w:rsidR="00F73FFC" w:rsidRPr="00A077C8" w:rsidRDefault="00F73FFC" w:rsidP="00A42AFB">
            <w:pPr>
              <w:jc w:val="right"/>
              <w:rPr>
                <w:rFonts w:ascii="Calibri" w:eastAsia="Times New Roman" w:hAnsi="Calibri"/>
                <w:b/>
                <w:bCs/>
                <w:color w:val="000000"/>
              </w:rPr>
            </w:pPr>
            <w:r w:rsidRPr="00A077C8">
              <w:rPr>
                <w:rFonts w:ascii="Calibri" w:eastAsia="Times New Roman" w:hAnsi="Calibri"/>
                <w:b/>
                <w:bCs/>
                <w:color w:val="000000"/>
              </w:rPr>
              <w:t>881</w:t>
            </w:r>
          </w:p>
        </w:tc>
      </w:tr>
    </w:tbl>
    <w:p w14:paraId="34CCC691" w14:textId="77777777" w:rsidR="00F73FFC" w:rsidRDefault="00F73FFC" w:rsidP="00F73FFC"/>
    <w:p w14:paraId="2EEA6FC9" w14:textId="77777777" w:rsidR="00F73FFC" w:rsidRDefault="00F73FFC" w:rsidP="00F73FFC">
      <w:r>
        <w:t>a) Calculate the Prevalence of PE in this sample, also calculate Sensitivity, Specificity, Positive Predictive Value, and Negative Predictive Value of the V/Q scan for PE.</w:t>
      </w:r>
    </w:p>
    <w:p w14:paraId="72CF33F4" w14:textId="77777777" w:rsidR="00F73FFC" w:rsidRDefault="00F73FFC" w:rsidP="00F73FFC"/>
    <w:p w14:paraId="120911DA" w14:textId="77777777" w:rsidR="00F73FFC" w:rsidRPr="00A077C8" w:rsidRDefault="00F73FFC" w:rsidP="00F73FFC">
      <w:pPr>
        <w:rPr>
          <w:b/>
          <w:i/>
        </w:rPr>
      </w:pPr>
      <w:bookmarkStart w:id="0" w:name="_GoBack"/>
      <w:bookmarkEnd w:id="0"/>
    </w:p>
    <w:p w14:paraId="00FE9591" w14:textId="77777777" w:rsidR="00F73FFC" w:rsidRDefault="00F73FFC" w:rsidP="00F73FFC"/>
    <w:p w14:paraId="41BC8616" w14:textId="77777777" w:rsidR="00F73FFC" w:rsidRDefault="00F73FFC" w:rsidP="00F73FFC">
      <w:r>
        <w:t>Two different gold standards were used to determine D+/D- status.  Pulmonary angiogram (PA-gram) and clinical follow-up.  All of the V/Q Positive patients had PA-grams, but of the 443 V/Q negative patients, 150 had clinical follow-up.  The authors state, “</w:t>
      </w:r>
      <w:r w:rsidRPr="00872D2D">
        <w:t xml:space="preserve">Since none of these </w:t>
      </w:r>
      <w:r>
        <w:t xml:space="preserve">[150] </w:t>
      </w:r>
      <w:r w:rsidRPr="00872D2D">
        <w:t>patients received anticoagulants and none developed clinically evident pulmonary embolism during follow-up, important pulmonary emboli did not occur in this group.”</w:t>
      </w:r>
      <w:r>
        <w:t xml:space="preserve">  So they categorized these 150 patients as PE negative (D-).</w:t>
      </w:r>
    </w:p>
    <w:p w14:paraId="7870CC7C" w14:textId="77777777" w:rsidR="00F73FFC" w:rsidRDefault="00F73FFC" w:rsidP="00F73FFC"/>
    <w:p w14:paraId="1A61BC31" w14:textId="77777777" w:rsidR="00F73FFC" w:rsidRDefault="00F73FFC" w:rsidP="00F73FFC">
      <w:r>
        <w:t>b)  Of the V/Q negative patients who had PA-grams , what proportion had PE?</w:t>
      </w:r>
    </w:p>
    <w:p w14:paraId="327D631E" w14:textId="77777777" w:rsidR="00F73FFC" w:rsidRDefault="00F73FFC" w:rsidP="00F73FFC"/>
    <w:p w14:paraId="0F503C09" w14:textId="77777777" w:rsidR="00F73FFC" w:rsidRDefault="00F73FFC" w:rsidP="00F73FFC">
      <w:pPr>
        <w:rPr>
          <w:b/>
          <w:i/>
        </w:rPr>
      </w:pPr>
    </w:p>
    <w:p w14:paraId="141BD959" w14:textId="77777777" w:rsidR="00F73FFC" w:rsidRPr="00872D2D" w:rsidRDefault="00F73FFC" w:rsidP="00F73FFC">
      <w:r>
        <w:t xml:space="preserve">Assume that, ideally, all of the patients would have had D+/D- status determined by a PA-gram.  To obtain a lower bound on the NPV of the V/Q scan, further assume that the proportion with positive PA-grams determined in (b) applies to the 150 patients who were negative on clinical follow-up.  </w:t>
      </w:r>
    </w:p>
    <w:p w14:paraId="0B6DE807" w14:textId="77777777" w:rsidR="00F73FFC" w:rsidRDefault="00F73FFC" w:rsidP="00F73FFC"/>
    <w:p w14:paraId="126B0CF8" w14:textId="77777777" w:rsidR="00F73FFC" w:rsidRDefault="00F73FFC" w:rsidP="00F73FFC">
      <w:r>
        <w:t>c) How many of the 150 patients would have had a positive PA-gram?</w:t>
      </w:r>
    </w:p>
    <w:p w14:paraId="2FDD30F4" w14:textId="77777777" w:rsidR="00F73FFC" w:rsidRDefault="00F73FFC" w:rsidP="00F73FFC"/>
    <w:p w14:paraId="53ABD695" w14:textId="77777777" w:rsidR="00F73FFC" w:rsidRDefault="00F73FFC" w:rsidP="00F73FFC">
      <w:pPr>
        <w:rPr>
          <w:b/>
          <w:i/>
        </w:rPr>
      </w:pPr>
    </w:p>
    <w:p w14:paraId="0253F916" w14:textId="77777777" w:rsidR="00F73FFC" w:rsidRDefault="00F73FFC" w:rsidP="00F73FFC">
      <w:pPr>
        <w:rPr>
          <w:b/>
          <w:i/>
        </w:rPr>
      </w:pPr>
    </w:p>
    <w:p w14:paraId="6A876422" w14:textId="77777777" w:rsidR="00F73FFC" w:rsidRDefault="00F73FFC" w:rsidP="00F73FFC">
      <w:r>
        <w:t>d) Re-create the 2x2 table above but assume that the number in (C) are false negatives instead of true negatives.</w:t>
      </w:r>
    </w:p>
    <w:p w14:paraId="67194D75" w14:textId="77777777" w:rsidR="00F73FFC" w:rsidRDefault="00F73FFC" w:rsidP="00F73FFC"/>
    <w:p w14:paraId="50BD81EE" w14:textId="77777777" w:rsidR="00F73FFC" w:rsidRDefault="00F73FFC" w:rsidP="00F73FFC"/>
    <w:p w14:paraId="112E6E0A" w14:textId="77777777" w:rsidR="00F73FFC" w:rsidRDefault="00F73FFC" w:rsidP="00F73FFC"/>
    <w:tbl>
      <w:tblPr>
        <w:tblW w:w="5500" w:type="dxa"/>
        <w:tblInd w:w="93" w:type="dxa"/>
        <w:tblLook w:val="04A0" w:firstRow="1" w:lastRow="0" w:firstColumn="1" w:lastColumn="0" w:noHBand="0" w:noVBand="1"/>
      </w:tblPr>
      <w:tblGrid>
        <w:gridCol w:w="2100"/>
        <w:gridCol w:w="1230"/>
        <w:gridCol w:w="1230"/>
        <w:gridCol w:w="940"/>
      </w:tblGrid>
      <w:tr w:rsidR="00F73FFC" w:rsidRPr="0004059E" w14:paraId="3F46BE4A" w14:textId="77777777" w:rsidTr="00A42AFB">
        <w:trPr>
          <w:trHeight w:val="300"/>
        </w:trPr>
        <w:tc>
          <w:tcPr>
            <w:tcW w:w="2100" w:type="dxa"/>
            <w:tcBorders>
              <w:top w:val="nil"/>
              <w:left w:val="nil"/>
              <w:bottom w:val="nil"/>
              <w:right w:val="nil"/>
            </w:tcBorders>
            <w:shd w:val="clear" w:color="auto" w:fill="auto"/>
            <w:noWrap/>
            <w:vAlign w:val="bottom"/>
            <w:hideMark/>
          </w:tcPr>
          <w:p w14:paraId="3D4042A9" w14:textId="77777777" w:rsidR="00F73FFC" w:rsidRPr="0004059E" w:rsidRDefault="00F73FFC" w:rsidP="00A42AFB">
            <w:pPr>
              <w:rPr>
                <w:rFonts w:ascii="Calibri" w:eastAsia="Times New Roman" w:hAnsi="Calibri"/>
                <w:color w:val="000000"/>
              </w:rPr>
            </w:pPr>
          </w:p>
        </w:tc>
        <w:tc>
          <w:tcPr>
            <w:tcW w:w="2460" w:type="dxa"/>
            <w:gridSpan w:val="2"/>
            <w:tcBorders>
              <w:top w:val="nil"/>
              <w:left w:val="nil"/>
              <w:bottom w:val="nil"/>
              <w:right w:val="nil"/>
            </w:tcBorders>
            <w:shd w:val="clear" w:color="auto" w:fill="auto"/>
            <w:noWrap/>
            <w:vAlign w:val="bottom"/>
            <w:hideMark/>
          </w:tcPr>
          <w:p w14:paraId="654A1CBE" w14:textId="77777777" w:rsidR="00F73FFC" w:rsidRPr="0004059E" w:rsidRDefault="00F73FFC" w:rsidP="00A42AFB">
            <w:pPr>
              <w:jc w:val="center"/>
              <w:rPr>
                <w:rFonts w:ascii="Calibri" w:eastAsia="Times New Roman" w:hAnsi="Calibri"/>
                <w:b/>
                <w:bCs/>
                <w:color w:val="000000"/>
              </w:rPr>
            </w:pPr>
            <w:r w:rsidRPr="0004059E">
              <w:rPr>
                <w:rFonts w:ascii="Calibri" w:eastAsia="Times New Roman" w:hAnsi="Calibri"/>
                <w:b/>
                <w:bCs/>
                <w:color w:val="000000"/>
              </w:rPr>
              <w:t>PE</w:t>
            </w:r>
          </w:p>
        </w:tc>
        <w:tc>
          <w:tcPr>
            <w:tcW w:w="940" w:type="dxa"/>
            <w:tcBorders>
              <w:top w:val="nil"/>
              <w:left w:val="nil"/>
              <w:bottom w:val="nil"/>
              <w:right w:val="nil"/>
            </w:tcBorders>
            <w:shd w:val="clear" w:color="auto" w:fill="auto"/>
            <w:noWrap/>
            <w:vAlign w:val="bottom"/>
            <w:hideMark/>
          </w:tcPr>
          <w:p w14:paraId="673D8C93" w14:textId="77777777" w:rsidR="00F73FFC" w:rsidRPr="0004059E" w:rsidRDefault="00F73FFC" w:rsidP="00A42AFB">
            <w:pPr>
              <w:rPr>
                <w:rFonts w:ascii="Calibri" w:eastAsia="Times New Roman" w:hAnsi="Calibri"/>
                <w:color w:val="000000"/>
              </w:rPr>
            </w:pPr>
          </w:p>
        </w:tc>
      </w:tr>
      <w:tr w:rsidR="00F73FFC" w:rsidRPr="0004059E" w14:paraId="388E5818" w14:textId="77777777" w:rsidTr="00A42AFB">
        <w:trPr>
          <w:trHeight w:val="300"/>
        </w:trPr>
        <w:tc>
          <w:tcPr>
            <w:tcW w:w="2100" w:type="dxa"/>
            <w:tcBorders>
              <w:top w:val="nil"/>
              <w:left w:val="nil"/>
              <w:bottom w:val="nil"/>
              <w:right w:val="nil"/>
            </w:tcBorders>
            <w:shd w:val="clear" w:color="auto" w:fill="auto"/>
            <w:noWrap/>
            <w:vAlign w:val="bottom"/>
            <w:hideMark/>
          </w:tcPr>
          <w:p w14:paraId="17FF0363" w14:textId="77777777" w:rsidR="00F73FFC" w:rsidRPr="0004059E" w:rsidRDefault="00F73FFC" w:rsidP="00A42AFB">
            <w:pPr>
              <w:rPr>
                <w:rFonts w:ascii="Calibri" w:eastAsia="Times New Roman" w:hAnsi="Calibri"/>
                <w:b/>
                <w:bCs/>
                <w:color w:val="000000"/>
              </w:rPr>
            </w:pPr>
            <w:r w:rsidRPr="0004059E">
              <w:rPr>
                <w:rFonts w:ascii="Calibri" w:eastAsia="Times New Roman" w:hAnsi="Calibri"/>
                <w:b/>
                <w:bCs/>
                <w:color w:val="000000"/>
              </w:rPr>
              <w:t>VQ Result</w:t>
            </w:r>
          </w:p>
        </w:tc>
        <w:tc>
          <w:tcPr>
            <w:tcW w:w="1230" w:type="dxa"/>
            <w:tcBorders>
              <w:top w:val="nil"/>
              <w:left w:val="nil"/>
              <w:bottom w:val="nil"/>
              <w:right w:val="nil"/>
            </w:tcBorders>
            <w:shd w:val="clear" w:color="auto" w:fill="auto"/>
            <w:noWrap/>
            <w:vAlign w:val="bottom"/>
            <w:hideMark/>
          </w:tcPr>
          <w:p w14:paraId="2D31B306" w14:textId="77777777" w:rsidR="00F73FFC" w:rsidRPr="0004059E" w:rsidRDefault="00F73FFC" w:rsidP="00A42AFB">
            <w:pPr>
              <w:jc w:val="center"/>
              <w:rPr>
                <w:rFonts w:ascii="Calibri" w:eastAsia="Times New Roman" w:hAnsi="Calibri"/>
                <w:b/>
                <w:bCs/>
                <w:color w:val="000000"/>
              </w:rPr>
            </w:pPr>
            <w:r w:rsidRPr="0004059E">
              <w:rPr>
                <w:rFonts w:ascii="Calibri" w:eastAsia="Times New Roman" w:hAnsi="Calibri"/>
                <w:b/>
                <w:bCs/>
                <w:color w:val="000000"/>
              </w:rPr>
              <w:t>D+</w:t>
            </w:r>
          </w:p>
        </w:tc>
        <w:tc>
          <w:tcPr>
            <w:tcW w:w="1230" w:type="dxa"/>
            <w:tcBorders>
              <w:top w:val="nil"/>
              <w:left w:val="nil"/>
              <w:bottom w:val="nil"/>
              <w:right w:val="nil"/>
            </w:tcBorders>
            <w:shd w:val="clear" w:color="auto" w:fill="auto"/>
            <w:noWrap/>
            <w:vAlign w:val="bottom"/>
            <w:hideMark/>
          </w:tcPr>
          <w:p w14:paraId="66ADC0A6" w14:textId="77777777" w:rsidR="00F73FFC" w:rsidRPr="0004059E" w:rsidRDefault="00F73FFC" w:rsidP="00A42AFB">
            <w:pPr>
              <w:jc w:val="center"/>
              <w:rPr>
                <w:rFonts w:ascii="Calibri" w:eastAsia="Times New Roman" w:hAnsi="Calibri"/>
                <w:b/>
                <w:bCs/>
                <w:color w:val="000000"/>
              </w:rPr>
            </w:pPr>
            <w:r w:rsidRPr="0004059E">
              <w:rPr>
                <w:rFonts w:ascii="Calibri" w:eastAsia="Times New Roman" w:hAnsi="Calibri"/>
                <w:b/>
                <w:bCs/>
                <w:color w:val="000000"/>
              </w:rPr>
              <w:t>D-</w:t>
            </w:r>
          </w:p>
        </w:tc>
        <w:tc>
          <w:tcPr>
            <w:tcW w:w="940" w:type="dxa"/>
            <w:tcBorders>
              <w:top w:val="nil"/>
              <w:left w:val="nil"/>
              <w:bottom w:val="nil"/>
              <w:right w:val="nil"/>
            </w:tcBorders>
            <w:shd w:val="clear" w:color="auto" w:fill="auto"/>
            <w:noWrap/>
            <w:vAlign w:val="bottom"/>
            <w:hideMark/>
          </w:tcPr>
          <w:p w14:paraId="32C4877B" w14:textId="77777777" w:rsidR="00F73FFC" w:rsidRPr="0004059E" w:rsidRDefault="00F73FFC" w:rsidP="00A42AFB">
            <w:pPr>
              <w:rPr>
                <w:rFonts w:ascii="Calibri" w:eastAsia="Times New Roman" w:hAnsi="Calibri"/>
                <w:color w:val="000000"/>
              </w:rPr>
            </w:pPr>
          </w:p>
        </w:tc>
      </w:tr>
      <w:tr w:rsidR="00F73FFC" w:rsidRPr="0004059E" w14:paraId="49E7A15A" w14:textId="77777777" w:rsidTr="00A42AFB">
        <w:trPr>
          <w:trHeight w:val="300"/>
        </w:trPr>
        <w:tc>
          <w:tcPr>
            <w:tcW w:w="2100" w:type="dxa"/>
            <w:tcBorders>
              <w:top w:val="nil"/>
              <w:left w:val="nil"/>
              <w:bottom w:val="nil"/>
              <w:right w:val="nil"/>
            </w:tcBorders>
            <w:shd w:val="clear" w:color="auto" w:fill="auto"/>
            <w:noWrap/>
            <w:vAlign w:val="bottom"/>
            <w:hideMark/>
          </w:tcPr>
          <w:p w14:paraId="47D66576" w14:textId="77777777" w:rsidR="00F73FFC" w:rsidRPr="0004059E" w:rsidRDefault="00F73FFC" w:rsidP="00A42AFB">
            <w:pPr>
              <w:rPr>
                <w:rFonts w:ascii="Calibri" w:eastAsia="Times New Roman" w:hAnsi="Calibri"/>
                <w:b/>
                <w:bCs/>
                <w:color w:val="000000"/>
              </w:rPr>
            </w:pPr>
            <w:r w:rsidRPr="0004059E">
              <w:rPr>
                <w:rFonts w:ascii="Calibri" w:eastAsia="Times New Roman" w:hAnsi="Calibri"/>
                <w:b/>
                <w:bCs/>
                <w:color w:val="000000"/>
              </w:rPr>
              <w:t>Positive</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F4A6B" w14:textId="77777777" w:rsidR="00F73FFC" w:rsidRPr="0004059E" w:rsidRDefault="00F73FFC" w:rsidP="00A42AFB">
            <w:pPr>
              <w:jc w:val="right"/>
              <w:rPr>
                <w:rFonts w:ascii="Calibri" w:eastAsia="Times New Roman" w:hAnsi="Calibri"/>
                <w:color w:val="000000"/>
              </w:rPr>
            </w:pP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0AD6A997" w14:textId="77777777" w:rsidR="00F73FFC" w:rsidRPr="0004059E" w:rsidRDefault="00F73FFC" w:rsidP="00A42AFB">
            <w:pPr>
              <w:jc w:val="right"/>
              <w:rPr>
                <w:rFonts w:ascii="Calibri" w:eastAsia="Times New Roman" w:hAnsi="Calibri"/>
                <w:color w:val="000000"/>
              </w:rPr>
            </w:pPr>
          </w:p>
        </w:tc>
        <w:tc>
          <w:tcPr>
            <w:tcW w:w="940" w:type="dxa"/>
            <w:tcBorders>
              <w:top w:val="nil"/>
              <w:left w:val="nil"/>
              <w:bottom w:val="nil"/>
              <w:right w:val="nil"/>
            </w:tcBorders>
            <w:shd w:val="clear" w:color="auto" w:fill="auto"/>
            <w:noWrap/>
            <w:vAlign w:val="bottom"/>
          </w:tcPr>
          <w:p w14:paraId="6834BA9A" w14:textId="77777777" w:rsidR="00F73FFC" w:rsidRPr="0004059E" w:rsidRDefault="00F73FFC" w:rsidP="00A42AFB">
            <w:pPr>
              <w:jc w:val="right"/>
              <w:rPr>
                <w:rFonts w:ascii="Calibri" w:eastAsia="Times New Roman" w:hAnsi="Calibri"/>
                <w:b/>
                <w:bCs/>
                <w:color w:val="000000"/>
              </w:rPr>
            </w:pPr>
          </w:p>
        </w:tc>
      </w:tr>
      <w:tr w:rsidR="00F73FFC" w:rsidRPr="0004059E" w14:paraId="6117F42C" w14:textId="77777777" w:rsidTr="00A42AFB">
        <w:trPr>
          <w:trHeight w:val="300"/>
        </w:trPr>
        <w:tc>
          <w:tcPr>
            <w:tcW w:w="2100" w:type="dxa"/>
            <w:tcBorders>
              <w:top w:val="nil"/>
              <w:left w:val="nil"/>
              <w:bottom w:val="nil"/>
              <w:right w:val="nil"/>
            </w:tcBorders>
            <w:shd w:val="clear" w:color="auto" w:fill="auto"/>
            <w:noWrap/>
            <w:vAlign w:val="bottom"/>
            <w:hideMark/>
          </w:tcPr>
          <w:p w14:paraId="5625D9C1" w14:textId="77777777" w:rsidR="00F73FFC" w:rsidRPr="0004059E" w:rsidRDefault="00F73FFC" w:rsidP="00A42AFB">
            <w:pPr>
              <w:rPr>
                <w:rFonts w:ascii="Calibri" w:eastAsia="Times New Roman" w:hAnsi="Calibri"/>
                <w:b/>
                <w:bCs/>
                <w:color w:val="000000"/>
              </w:rPr>
            </w:pPr>
            <w:r w:rsidRPr="0004059E">
              <w:rPr>
                <w:rFonts w:ascii="Calibri" w:eastAsia="Times New Roman" w:hAnsi="Calibri"/>
                <w:b/>
                <w:bCs/>
                <w:color w:val="000000"/>
              </w:rPr>
              <w:t>Negative</w:t>
            </w:r>
          </w:p>
        </w:tc>
        <w:tc>
          <w:tcPr>
            <w:tcW w:w="1230" w:type="dxa"/>
            <w:tcBorders>
              <w:top w:val="nil"/>
              <w:left w:val="single" w:sz="4" w:space="0" w:color="auto"/>
              <w:bottom w:val="single" w:sz="4" w:space="0" w:color="auto"/>
              <w:right w:val="single" w:sz="4" w:space="0" w:color="auto"/>
            </w:tcBorders>
            <w:shd w:val="clear" w:color="auto" w:fill="auto"/>
            <w:noWrap/>
            <w:vAlign w:val="bottom"/>
          </w:tcPr>
          <w:p w14:paraId="051F95B6" w14:textId="77777777" w:rsidR="00F73FFC" w:rsidRPr="0004059E" w:rsidRDefault="00F73FFC" w:rsidP="00A42AFB">
            <w:pPr>
              <w:jc w:val="right"/>
              <w:rPr>
                <w:rFonts w:ascii="Calibri" w:eastAsia="Times New Roman" w:hAnsi="Calibri"/>
                <w:color w:val="000000"/>
              </w:rPr>
            </w:pPr>
          </w:p>
        </w:tc>
        <w:tc>
          <w:tcPr>
            <w:tcW w:w="1230" w:type="dxa"/>
            <w:tcBorders>
              <w:top w:val="nil"/>
              <w:left w:val="nil"/>
              <w:bottom w:val="single" w:sz="4" w:space="0" w:color="auto"/>
              <w:right w:val="single" w:sz="4" w:space="0" w:color="auto"/>
            </w:tcBorders>
            <w:shd w:val="clear" w:color="auto" w:fill="auto"/>
            <w:noWrap/>
            <w:vAlign w:val="bottom"/>
          </w:tcPr>
          <w:p w14:paraId="27BF1D5E" w14:textId="77777777" w:rsidR="00F73FFC" w:rsidRPr="0004059E" w:rsidRDefault="00F73FFC" w:rsidP="00A42AFB">
            <w:pPr>
              <w:jc w:val="right"/>
              <w:rPr>
                <w:rFonts w:ascii="Calibri" w:eastAsia="Times New Roman" w:hAnsi="Calibri"/>
                <w:color w:val="000000"/>
              </w:rPr>
            </w:pPr>
          </w:p>
        </w:tc>
        <w:tc>
          <w:tcPr>
            <w:tcW w:w="940" w:type="dxa"/>
            <w:tcBorders>
              <w:top w:val="nil"/>
              <w:left w:val="nil"/>
              <w:bottom w:val="nil"/>
              <w:right w:val="nil"/>
            </w:tcBorders>
            <w:shd w:val="clear" w:color="auto" w:fill="auto"/>
            <w:noWrap/>
            <w:vAlign w:val="bottom"/>
          </w:tcPr>
          <w:p w14:paraId="69D6661A" w14:textId="77777777" w:rsidR="00F73FFC" w:rsidRPr="0004059E" w:rsidRDefault="00F73FFC" w:rsidP="00A42AFB">
            <w:pPr>
              <w:jc w:val="right"/>
              <w:rPr>
                <w:rFonts w:ascii="Calibri" w:eastAsia="Times New Roman" w:hAnsi="Calibri"/>
                <w:b/>
                <w:bCs/>
                <w:color w:val="000000"/>
              </w:rPr>
            </w:pPr>
          </w:p>
        </w:tc>
      </w:tr>
      <w:tr w:rsidR="00F73FFC" w:rsidRPr="0004059E" w14:paraId="13164208" w14:textId="77777777" w:rsidTr="00A42AFB">
        <w:trPr>
          <w:trHeight w:val="300"/>
        </w:trPr>
        <w:tc>
          <w:tcPr>
            <w:tcW w:w="2100" w:type="dxa"/>
            <w:tcBorders>
              <w:top w:val="nil"/>
              <w:left w:val="nil"/>
              <w:bottom w:val="nil"/>
              <w:right w:val="nil"/>
            </w:tcBorders>
            <w:shd w:val="clear" w:color="auto" w:fill="auto"/>
            <w:noWrap/>
            <w:vAlign w:val="bottom"/>
            <w:hideMark/>
          </w:tcPr>
          <w:p w14:paraId="6EFF1812" w14:textId="77777777" w:rsidR="00F73FFC" w:rsidRPr="0004059E" w:rsidRDefault="00F73FFC" w:rsidP="00A42AFB">
            <w:pPr>
              <w:rPr>
                <w:rFonts w:ascii="Calibri" w:eastAsia="Times New Roman" w:hAnsi="Calibri"/>
                <w:color w:val="000000"/>
              </w:rPr>
            </w:pPr>
          </w:p>
        </w:tc>
        <w:tc>
          <w:tcPr>
            <w:tcW w:w="1230" w:type="dxa"/>
            <w:tcBorders>
              <w:top w:val="nil"/>
              <w:left w:val="nil"/>
              <w:bottom w:val="nil"/>
              <w:right w:val="nil"/>
            </w:tcBorders>
            <w:shd w:val="clear" w:color="auto" w:fill="auto"/>
            <w:noWrap/>
            <w:vAlign w:val="bottom"/>
          </w:tcPr>
          <w:p w14:paraId="4B4B4D72" w14:textId="77777777" w:rsidR="00F73FFC" w:rsidRPr="0004059E" w:rsidRDefault="00F73FFC" w:rsidP="00A42AFB">
            <w:pPr>
              <w:jc w:val="right"/>
              <w:rPr>
                <w:rFonts w:ascii="Calibri" w:eastAsia="Times New Roman" w:hAnsi="Calibri"/>
                <w:b/>
                <w:bCs/>
                <w:color w:val="000000"/>
              </w:rPr>
            </w:pPr>
          </w:p>
        </w:tc>
        <w:tc>
          <w:tcPr>
            <w:tcW w:w="1230" w:type="dxa"/>
            <w:tcBorders>
              <w:top w:val="nil"/>
              <w:left w:val="nil"/>
              <w:bottom w:val="nil"/>
              <w:right w:val="nil"/>
            </w:tcBorders>
            <w:shd w:val="clear" w:color="auto" w:fill="auto"/>
            <w:noWrap/>
            <w:vAlign w:val="bottom"/>
          </w:tcPr>
          <w:p w14:paraId="22E6DF44" w14:textId="77777777" w:rsidR="00F73FFC" w:rsidRPr="0004059E" w:rsidRDefault="00F73FFC" w:rsidP="00A42AFB">
            <w:pPr>
              <w:jc w:val="right"/>
              <w:rPr>
                <w:rFonts w:ascii="Calibri" w:eastAsia="Times New Roman" w:hAnsi="Calibri"/>
                <w:b/>
                <w:bCs/>
                <w:color w:val="000000"/>
              </w:rPr>
            </w:pPr>
          </w:p>
        </w:tc>
        <w:tc>
          <w:tcPr>
            <w:tcW w:w="940" w:type="dxa"/>
            <w:tcBorders>
              <w:top w:val="nil"/>
              <w:left w:val="nil"/>
              <w:bottom w:val="nil"/>
              <w:right w:val="nil"/>
            </w:tcBorders>
            <w:shd w:val="clear" w:color="auto" w:fill="auto"/>
            <w:noWrap/>
            <w:vAlign w:val="bottom"/>
          </w:tcPr>
          <w:p w14:paraId="0E0FE6CF" w14:textId="77777777" w:rsidR="00F73FFC" w:rsidRPr="0004059E" w:rsidRDefault="00F73FFC" w:rsidP="00A42AFB">
            <w:pPr>
              <w:jc w:val="right"/>
              <w:rPr>
                <w:rFonts w:ascii="Calibri" w:eastAsia="Times New Roman" w:hAnsi="Calibri"/>
                <w:b/>
                <w:bCs/>
                <w:color w:val="000000"/>
              </w:rPr>
            </w:pPr>
          </w:p>
        </w:tc>
      </w:tr>
    </w:tbl>
    <w:p w14:paraId="57EFF489" w14:textId="77777777" w:rsidR="00F73FFC" w:rsidRDefault="00F73FFC" w:rsidP="00F73FFC"/>
    <w:p w14:paraId="2B851E7C" w14:textId="77777777" w:rsidR="00F73FFC" w:rsidRDefault="00F73FFC" w:rsidP="00F73FFC">
      <w:r>
        <w:t>e) Calculate the upper bound on the Prevalence of PE in this sample. Also calculate the lower bounds on Sensitivity, Specificity, Positive Predictive Value, and Negative Predictive Value of the V/Q scan for PE.  (Again, we are assuming that the PA-gram is the correct gold standard.)</w:t>
      </w:r>
    </w:p>
    <w:p w14:paraId="2CEF5869" w14:textId="77777777" w:rsidR="00F73FFC" w:rsidRDefault="00F73FFC" w:rsidP="00F73FFC"/>
    <w:p w14:paraId="751F740E" w14:textId="77777777" w:rsidR="00F73FFC" w:rsidRDefault="00F73FFC" w:rsidP="00F73FFC">
      <w:pPr>
        <w:rPr>
          <w:b/>
          <w:i/>
        </w:rPr>
      </w:pPr>
    </w:p>
    <w:p w14:paraId="52B43AF7" w14:textId="77777777" w:rsidR="00F73FFC" w:rsidRDefault="00F73FFC" w:rsidP="00F73FFC">
      <w:r>
        <w:t>f) Compared to a study in which everybody receives the single invasive gold standard (PA-gram in this example), what is the effect applying the invasive gold standard to all patients with positive index tests but using clinical follow-up for some patients who have negative index tests?  Assume that some patients who would have had a positive invasive gold standard, instead have negative clinical follow-up.  Specifically discuss the effect on the estimates of Prevalence, Sensitivity, Specificity, Positive Predictive Value, and Negative Predictive Value.</w:t>
      </w:r>
    </w:p>
    <w:p w14:paraId="6746F590" w14:textId="77777777" w:rsidR="00F73FFC" w:rsidRDefault="00F73FFC" w:rsidP="00F73FFC"/>
    <w:p w14:paraId="28477B5E" w14:textId="77777777" w:rsidR="00F73FFC" w:rsidRDefault="00F73FFC" w:rsidP="00F73FFC"/>
    <w:p w14:paraId="506F893E" w14:textId="6F074CEB" w:rsidR="00F73FFC" w:rsidRPr="00F46987" w:rsidRDefault="00F73FFC" w:rsidP="00F73FFC">
      <w:pPr>
        <w:autoSpaceDE w:val="0"/>
        <w:autoSpaceDN w:val="0"/>
        <w:adjustRightInd w:val="0"/>
        <w:spacing w:after="60"/>
      </w:pPr>
    </w:p>
    <w:p w14:paraId="61F0DDE6" w14:textId="77777777" w:rsidR="00F73FFC" w:rsidRDefault="00F73FFC" w:rsidP="00F73FFC">
      <w:pPr>
        <w:autoSpaceDE w:val="0"/>
        <w:autoSpaceDN w:val="0"/>
        <w:adjustRightInd w:val="0"/>
        <w:spacing w:after="60"/>
        <w:ind w:left="360"/>
        <w:rPr>
          <w:b/>
          <w:bCs/>
          <w:i/>
        </w:rPr>
      </w:pPr>
    </w:p>
    <w:p w14:paraId="2B04FE1C" w14:textId="77777777" w:rsidR="00B539D4" w:rsidRPr="00084E9F" w:rsidRDefault="00B539D4" w:rsidP="001F1EAF">
      <w:pPr>
        <w:pStyle w:val="HTMLPreformatted"/>
        <w:tabs>
          <w:tab w:val="clear" w:pos="916"/>
        </w:tabs>
        <w:rPr>
          <w:rFonts w:ascii="Times New Roman" w:hAnsi="Times New Roman" w:cs="Times New Roman"/>
          <w:color w:val="000000"/>
          <w:sz w:val="24"/>
          <w:szCs w:val="24"/>
          <w:lang w:val="it-IT"/>
        </w:rPr>
      </w:pPr>
    </w:p>
    <w:p w14:paraId="5C39FD0C" w14:textId="77777777" w:rsidR="004F0C9A" w:rsidRDefault="004F0C9A" w:rsidP="00CF0E23">
      <w:pPr>
        <w:pStyle w:val="HTMLPreformatted"/>
        <w:ind w:left="360"/>
        <w:rPr>
          <w:rFonts w:ascii="Times New Roman" w:hAnsi="Times New Roman" w:cs="Times New Roman"/>
          <w:b/>
          <w:sz w:val="24"/>
          <w:szCs w:val="24"/>
        </w:rPr>
      </w:pPr>
    </w:p>
    <w:p w14:paraId="24C90786" w14:textId="766B3EDF" w:rsidR="00F6426B" w:rsidRDefault="00F6426B" w:rsidP="00CF0E23">
      <w:pPr>
        <w:pStyle w:val="HTMLPreformatted"/>
        <w:ind w:left="360"/>
        <w:rPr>
          <w:rFonts w:ascii="Times New Roman" w:hAnsi="Times New Roman" w:cs="Times New Roman"/>
          <w:b/>
          <w:sz w:val="24"/>
          <w:szCs w:val="24"/>
        </w:rPr>
      </w:pPr>
      <w:r w:rsidRPr="00F6426B">
        <w:rPr>
          <w:rFonts w:ascii="Times New Roman" w:hAnsi="Times New Roman" w:cs="Times New Roman"/>
          <w:b/>
          <w:sz w:val="24"/>
          <w:szCs w:val="24"/>
        </w:rPr>
        <w:t>REFERENCES</w:t>
      </w:r>
    </w:p>
    <w:p w14:paraId="59CC6A45" w14:textId="77777777" w:rsidR="00F6426B" w:rsidRPr="00F6426B" w:rsidRDefault="00F6426B" w:rsidP="00CF0E23">
      <w:pPr>
        <w:pStyle w:val="HTMLPreformatted"/>
        <w:ind w:left="360"/>
        <w:rPr>
          <w:rFonts w:ascii="Times New Roman" w:hAnsi="Times New Roman" w:cs="Times New Roman"/>
          <w:color w:val="000000"/>
          <w:sz w:val="24"/>
          <w:szCs w:val="24"/>
        </w:rPr>
      </w:pPr>
    </w:p>
    <w:p w14:paraId="50D5B8D2" w14:textId="77777777" w:rsidR="00023F4E" w:rsidRPr="00023F4E" w:rsidRDefault="00B502FC" w:rsidP="00023F4E">
      <w:pPr>
        <w:pStyle w:val="EndNoteBibliography"/>
        <w:rPr>
          <w:noProof/>
        </w:rPr>
      </w:pPr>
      <w:r>
        <w:rPr>
          <w:b/>
        </w:rPr>
        <w:fldChar w:fldCharType="begin"/>
      </w:r>
      <w:r>
        <w:rPr>
          <w:b/>
        </w:rPr>
        <w:instrText xml:space="preserve"> ADDIN EN.REFLIST </w:instrText>
      </w:r>
      <w:r>
        <w:rPr>
          <w:b/>
        </w:rPr>
        <w:fldChar w:fldCharType="separate"/>
      </w:r>
      <w:bookmarkStart w:id="1" w:name="_ENREF_1"/>
      <w:r w:rsidR="00023F4E" w:rsidRPr="00023F4E">
        <w:rPr>
          <w:noProof/>
        </w:rPr>
        <w:t xml:space="preserve">Amarilyo, G., A. Alper, A. Ben-Tov and G. Grisaru-Soen (2011). "Diagnostic accuracy of clinical symptoms and signs in children with meningitis." </w:t>
      </w:r>
      <w:r w:rsidR="00023F4E" w:rsidRPr="00023F4E">
        <w:rPr>
          <w:noProof/>
          <w:u w:val="single"/>
        </w:rPr>
        <w:t>Pediatr Emerg Care</w:t>
      </w:r>
      <w:r w:rsidR="00023F4E" w:rsidRPr="00023F4E">
        <w:rPr>
          <w:noProof/>
        </w:rPr>
        <w:t xml:space="preserve"> </w:t>
      </w:r>
      <w:r w:rsidR="00023F4E" w:rsidRPr="00023F4E">
        <w:rPr>
          <w:b/>
          <w:noProof/>
        </w:rPr>
        <w:t>27</w:t>
      </w:r>
      <w:r w:rsidR="00023F4E" w:rsidRPr="00023F4E">
        <w:rPr>
          <w:noProof/>
        </w:rPr>
        <w:t>(3): 196-199.</w:t>
      </w:r>
      <w:bookmarkEnd w:id="1"/>
    </w:p>
    <w:p w14:paraId="4AD47354" w14:textId="77777777" w:rsidR="00023F4E" w:rsidRPr="00023F4E" w:rsidRDefault="00023F4E" w:rsidP="00023F4E">
      <w:pPr>
        <w:pStyle w:val="EndNoteBibliography"/>
        <w:rPr>
          <w:noProof/>
        </w:rPr>
      </w:pPr>
      <w:bookmarkStart w:id="2" w:name="_ENREF_2"/>
      <w:r w:rsidRPr="00023F4E">
        <w:rPr>
          <w:noProof/>
        </w:rPr>
        <w:t xml:space="preserve">Lau, J., J. P. Ioannidis, E. M. Balk, C. Milch, N. Terrin, P. W. Chew and D. Salem (2001). "Diagnosing acute cardiac ischemia in the emergency department: a systematic review of the accuracy and clinical effect of current technologies." </w:t>
      </w:r>
      <w:r w:rsidRPr="00023F4E">
        <w:rPr>
          <w:noProof/>
          <w:u w:val="single"/>
        </w:rPr>
        <w:t>Ann Emerg Med</w:t>
      </w:r>
      <w:r w:rsidRPr="00023F4E">
        <w:rPr>
          <w:noProof/>
        </w:rPr>
        <w:t xml:space="preserve"> </w:t>
      </w:r>
      <w:r w:rsidRPr="00023F4E">
        <w:rPr>
          <w:b/>
          <w:noProof/>
        </w:rPr>
        <w:t>37</w:t>
      </w:r>
      <w:r w:rsidRPr="00023F4E">
        <w:rPr>
          <w:noProof/>
        </w:rPr>
        <w:t>(5): 453-460.</w:t>
      </w:r>
      <w:bookmarkEnd w:id="2"/>
    </w:p>
    <w:p w14:paraId="63F12902" w14:textId="77777777" w:rsidR="00023F4E" w:rsidRPr="00023F4E" w:rsidRDefault="00023F4E" w:rsidP="00023F4E">
      <w:pPr>
        <w:pStyle w:val="EndNoteBibliography"/>
        <w:rPr>
          <w:noProof/>
        </w:rPr>
      </w:pPr>
      <w:bookmarkStart w:id="3" w:name="_ENREF_3"/>
      <w:r w:rsidRPr="00023F4E">
        <w:rPr>
          <w:noProof/>
        </w:rPr>
        <w:t xml:space="preserve">Lau, J., J. P. Ioannidis, United States. Agency for Healthcare Research and Quality. and New England Medical Center Hospital. Evidence-based Practice Center. (2001). </w:t>
      </w:r>
      <w:r w:rsidRPr="00023F4E">
        <w:rPr>
          <w:noProof/>
          <w:u w:val="single"/>
        </w:rPr>
        <w:t>Evaluation of technologies for identifying acute cardiac ischemia in emergency departments</w:t>
      </w:r>
      <w:r w:rsidRPr="00023F4E">
        <w:rPr>
          <w:noProof/>
        </w:rPr>
        <w:t>. Rockville, MD, The Agency.</w:t>
      </w:r>
      <w:bookmarkEnd w:id="3"/>
    </w:p>
    <w:p w14:paraId="2B402B21" w14:textId="77777777" w:rsidR="00023F4E" w:rsidRPr="00023F4E" w:rsidRDefault="00023F4E" w:rsidP="00023F4E">
      <w:pPr>
        <w:pStyle w:val="EndNoteBibliography"/>
        <w:rPr>
          <w:noProof/>
        </w:rPr>
      </w:pPr>
      <w:bookmarkStart w:id="4" w:name="_ENREF_4"/>
      <w:r w:rsidRPr="00023F4E">
        <w:rPr>
          <w:noProof/>
        </w:rPr>
        <w:t xml:space="preserve">Panzer, R. J., A. L. Suchman and P. F. Griner (1987). "Workup bias in prediction research." </w:t>
      </w:r>
      <w:r w:rsidRPr="00023F4E">
        <w:rPr>
          <w:noProof/>
          <w:u w:val="single"/>
        </w:rPr>
        <w:t>Med Decis Making</w:t>
      </w:r>
      <w:r w:rsidRPr="00023F4E">
        <w:rPr>
          <w:noProof/>
        </w:rPr>
        <w:t xml:space="preserve"> </w:t>
      </w:r>
      <w:r w:rsidRPr="00023F4E">
        <w:rPr>
          <w:b/>
          <w:noProof/>
        </w:rPr>
        <w:t>7</w:t>
      </w:r>
      <w:r w:rsidRPr="00023F4E">
        <w:rPr>
          <w:noProof/>
        </w:rPr>
        <w:t>(2): 115-119.</w:t>
      </w:r>
      <w:bookmarkEnd w:id="4"/>
    </w:p>
    <w:p w14:paraId="0B4B9A87" w14:textId="77777777" w:rsidR="00023F4E" w:rsidRPr="00023F4E" w:rsidRDefault="00023F4E" w:rsidP="00023F4E">
      <w:pPr>
        <w:pStyle w:val="EndNoteBibliography"/>
        <w:rPr>
          <w:noProof/>
        </w:rPr>
      </w:pPr>
      <w:bookmarkStart w:id="5" w:name="_ENREF_5"/>
      <w:r w:rsidRPr="00023F4E">
        <w:rPr>
          <w:noProof/>
        </w:rPr>
        <w:t xml:space="preserve">PIOPED (1990). "Value of the ventilation/perfusion scan in acute pulmonary embolism. Results of the prospective investigation of pulmonary embolism diagnosis (PIOPED). The PIOPED Investigators." </w:t>
      </w:r>
      <w:r w:rsidRPr="00023F4E">
        <w:rPr>
          <w:noProof/>
          <w:u w:val="single"/>
        </w:rPr>
        <w:t>Jama</w:t>
      </w:r>
      <w:r w:rsidRPr="00023F4E">
        <w:rPr>
          <w:noProof/>
        </w:rPr>
        <w:t xml:space="preserve"> </w:t>
      </w:r>
      <w:r w:rsidRPr="00023F4E">
        <w:rPr>
          <w:b/>
          <w:noProof/>
        </w:rPr>
        <w:t>263</w:t>
      </w:r>
      <w:r w:rsidRPr="00023F4E">
        <w:rPr>
          <w:noProof/>
        </w:rPr>
        <w:t>(20): 2753-2759.</w:t>
      </w:r>
      <w:bookmarkEnd w:id="5"/>
    </w:p>
    <w:p w14:paraId="47FDB91C" w14:textId="7D92FEF3" w:rsidR="009F672F" w:rsidRDefault="00B502FC" w:rsidP="00A96CEF">
      <w:pPr>
        <w:rPr>
          <w:b/>
        </w:rPr>
      </w:pPr>
      <w:r>
        <w:rPr>
          <w:b/>
        </w:rPr>
        <w:fldChar w:fldCharType="end"/>
      </w:r>
    </w:p>
    <w:sectPr w:rsidR="009F672F" w:rsidSect="005A64C2">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8F4A8" w14:textId="77777777" w:rsidR="00326402" w:rsidRDefault="00326402">
      <w:r>
        <w:separator/>
      </w:r>
    </w:p>
  </w:endnote>
  <w:endnote w:type="continuationSeparator" w:id="0">
    <w:p w14:paraId="1B13ADE0" w14:textId="77777777" w:rsidR="00326402" w:rsidRDefault="0032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145E1" w14:textId="77777777" w:rsidR="00326402" w:rsidRDefault="00326402">
      <w:r>
        <w:separator/>
      </w:r>
    </w:p>
  </w:footnote>
  <w:footnote w:type="continuationSeparator" w:id="0">
    <w:p w14:paraId="5425EA29" w14:textId="77777777" w:rsidR="00326402" w:rsidRDefault="00326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5EC60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407026"/>
    <w:multiLevelType w:val="hybridMultilevel"/>
    <w:tmpl w:val="3EA0F7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5D6E9B"/>
    <w:multiLevelType w:val="hybridMultilevel"/>
    <w:tmpl w:val="9FFAE868"/>
    <w:lvl w:ilvl="0" w:tplc="04090017">
      <w:start w:val="1"/>
      <w:numFmt w:val="lowerLetter"/>
      <w:lvlText w:val="%1)"/>
      <w:lvlJc w:val="left"/>
      <w:pPr>
        <w:tabs>
          <w:tab w:val="num" w:pos="720"/>
        </w:tabs>
        <w:ind w:left="720" w:hanging="360"/>
      </w:pPr>
      <w:rPr>
        <w:rFonts w:hint="default"/>
      </w:rPr>
    </w:lvl>
    <w:lvl w:ilvl="1" w:tplc="5A48F3C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99524C"/>
    <w:multiLevelType w:val="hybridMultilevel"/>
    <w:tmpl w:val="F46EBB04"/>
    <w:lvl w:ilvl="0" w:tplc="36CA31C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B2BC4"/>
    <w:multiLevelType w:val="hybridMultilevel"/>
    <w:tmpl w:val="249826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6B2589"/>
    <w:multiLevelType w:val="hybridMultilevel"/>
    <w:tmpl w:val="DDCEBCDE"/>
    <w:lvl w:ilvl="0" w:tplc="953A7C6C">
      <w:start w:val="2"/>
      <w:numFmt w:val="lowerRoman"/>
      <w:lvlText w:val="%1."/>
      <w:lvlJc w:val="left"/>
      <w:pPr>
        <w:tabs>
          <w:tab w:val="num" w:pos="2940"/>
        </w:tabs>
        <w:ind w:left="2940" w:hanging="15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A40494"/>
    <w:multiLevelType w:val="hybridMultilevel"/>
    <w:tmpl w:val="530A12F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AE270D"/>
    <w:multiLevelType w:val="hybridMultilevel"/>
    <w:tmpl w:val="A39C4000"/>
    <w:lvl w:ilvl="0" w:tplc="A580A3C6">
      <w:start w:val="1"/>
      <w:numFmt w:val="lowerLetter"/>
      <w:lvlText w:val="%1."/>
      <w:lvlJc w:val="left"/>
      <w:pPr>
        <w:ind w:left="720" w:hanging="360"/>
      </w:pPr>
      <w:rPr>
        <w:rFonts w:ascii="Verdana" w:eastAsia="Cambria" w:hAnsi="Verdana" w:cs="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8587C"/>
    <w:multiLevelType w:val="hybridMultilevel"/>
    <w:tmpl w:val="6DEC6B5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9E526C"/>
    <w:multiLevelType w:val="hybridMultilevel"/>
    <w:tmpl w:val="54FCB3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84096D"/>
    <w:multiLevelType w:val="hybridMultilevel"/>
    <w:tmpl w:val="00365584"/>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90174F"/>
    <w:multiLevelType w:val="hybridMultilevel"/>
    <w:tmpl w:val="A3C0AD80"/>
    <w:lvl w:ilvl="0" w:tplc="9EF0E2A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DB2FB7"/>
    <w:multiLevelType w:val="hybridMultilevel"/>
    <w:tmpl w:val="6D082F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EDB4D51"/>
    <w:multiLevelType w:val="hybridMultilevel"/>
    <w:tmpl w:val="13424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B53FF"/>
    <w:multiLevelType w:val="hybridMultilevel"/>
    <w:tmpl w:val="BB02CEE2"/>
    <w:lvl w:ilvl="0" w:tplc="69B4ADD2">
      <w:start w:val="7"/>
      <w:numFmt w:val="decimal"/>
      <w:lvlText w:val="%1."/>
      <w:lvlJc w:val="left"/>
      <w:pPr>
        <w:tabs>
          <w:tab w:val="num" w:pos="360"/>
        </w:tabs>
        <w:ind w:left="360" w:hanging="360"/>
      </w:pPr>
      <w:rPr>
        <w:rFonts w:ascii="Times New Roman" w:hAnsi="Times New Roman" w:cs="Times New Roman" w:hint="default"/>
        <w:b/>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AA0A4D"/>
    <w:multiLevelType w:val="hybridMultilevel"/>
    <w:tmpl w:val="CD40B016"/>
    <w:lvl w:ilvl="0" w:tplc="F13AFC3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AE2238"/>
    <w:multiLevelType w:val="hybridMultilevel"/>
    <w:tmpl w:val="5F1E98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D454F4"/>
    <w:multiLevelType w:val="hybridMultilevel"/>
    <w:tmpl w:val="EB28EA14"/>
    <w:lvl w:ilvl="0" w:tplc="E306F0C2">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7A6573"/>
    <w:multiLevelType w:val="hybridMultilevel"/>
    <w:tmpl w:val="9A6C938C"/>
    <w:lvl w:ilvl="0" w:tplc="F9F2555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F540D8"/>
    <w:multiLevelType w:val="hybridMultilevel"/>
    <w:tmpl w:val="6C741224"/>
    <w:lvl w:ilvl="0" w:tplc="34BEAC32">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7E2B39"/>
    <w:multiLevelType w:val="hybridMultilevel"/>
    <w:tmpl w:val="CCFC9F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112873"/>
    <w:multiLevelType w:val="hybridMultilevel"/>
    <w:tmpl w:val="B1047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6"/>
  </w:num>
  <w:num w:numId="5">
    <w:abstractNumId w:val="7"/>
  </w:num>
  <w:num w:numId="6">
    <w:abstractNumId w:val="4"/>
  </w:num>
  <w:num w:numId="7">
    <w:abstractNumId w:val="19"/>
  </w:num>
  <w:num w:numId="8">
    <w:abstractNumId w:val="2"/>
  </w:num>
  <w:num w:numId="9">
    <w:abstractNumId w:val="14"/>
  </w:num>
  <w:num w:numId="10">
    <w:abstractNumId w:val="18"/>
  </w:num>
  <w:num w:numId="11">
    <w:abstractNumId w:val="17"/>
  </w:num>
  <w:num w:numId="12">
    <w:abstractNumId w:val="20"/>
  </w:num>
  <w:num w:numId="13">
    <w:abstractNumId w:val="23"/>
  </w:num>
  <w:num w:numId="14">
    <w:abstractNumId w:val="5"/>
  </w:num>
  <w:num w:numId="15">
    <w:abstractNumId w:val="15"/>
  </w:num>
  <w:num w:numId="16">
    <w:abstractNumId w:val="8"/>
  </w:num>
  <w:num w:numId="17">
    <w:abstractNumId w:val="11"/>
  </w:num>
  <w:num w:numId="18">
    <w:abstractNumId w:val="22"/>
  </w:num>
  <w:num w:numId="19">
    <w:abstractNumId w:val="0"/>
  </w:num>
  <w:num w:numId="20">
    <w:abstractNumId w:val="16"/>
  </w:num>
  <w:num w:numId="21">
    <w:abstractNumId w:val="24"/>
  </w:num>
  <w:num w:numId="22">
    <w:abstractNumId w:val="13"/>
  </w:num>
  <w:num w:numId="23">
    <w:abstractNumId w:val="1"/>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ftvff9p80fp5few5s05f5fw9rd9fefrdzer&quot;&gt;EBD-MAK&lt;record-ids&gt;&lt;item&gt;46&lt;/item&gt;&lt;item&gt;137&lt;/item&gt;&lt;item&gt;138&lt;/item&gt;&lt;item&gt;1150&lt;/item&gt;&lt;item&gt;1170&lt;/item&gt;&lt;/record-ids&gt;&lt;/item&gt;&lt;/Libraries&gt;"/>
  </w:docVars>
  <w:rsids>
    <w:rsidRoot w:val="005032C0"/>
    <w:rsid w:val="00013531"/>
    <w:rsid w:val="0001530A"/>
    <w:rsid w:val="00022246"/>
    <w:rsid w:val="00023F4E"/>
    <w:rsid w:val="00040F3B"/>
    <w:rsid w:val="000465F4"/>
    <w:rsid w:val="000603C3"/>
    <w:rsid w:val="00063272"/>
    <w:rsid w:val="000844F1"/>
    <w:rsid w:val="00084E9F"/>
    <w:rsid w:val="000A1648"/>
    <w:rsid w:val="000A5083"/>
    <w:rsid w:val="000A725C"/>
    <w:rsid w:val="000B3672"/>
    <w:rsid w:val="000B71EF"/>
    <w:rsid w:val="000B794C"/>
    <w:rsid w:val="001028AB"/>
    <w:rsid w:val="0011171E"/>
    <w:rsid w:val="00166AD7"/>
    <w:rsid w:val="001860A5"/>
    <w:rsid w:val="00187511"/>
    <w:rsid w:val="001B030C"/>
    <w:rsid w:val="001C40B2"/>
    <w:rsid w:val="001E5576"/>
    <w:rsid w:val="001F1EAF"/>
    <w:rsid w:val="0020398E"/>
    <w:rsid w:val="0023737E"/>
    <w:rsid w:val="00243A48"/>
    <w:rsid w:val="00244660"/>
    <w:rsid w:val="002540B8"/>
    <w:rsid w:val="00260749"/>
    <w:rsid w:val="002612E0"/>
    <w:rsid w:val="00294D60"/>
    <w:rsid w:val="002A3562"/>
    <w:rsid w:val="002A470C"/>
    <w:rsid w:val="002B6195"/>
    <w:rsid w:val="002F7263"/>
    <w:rsid w:val="003005FA"/>
    <w:rsid w:val="00306A90"/>
    <w:rsid w:val="00313676"/>
    <w:rsid w:val="00326402"/>
    <w:rsid w:val="00326D92"/>
    <w:rsid w:val="003310C0"/>
    <w:rsid w:val="00347977"/>
    <w:rsid w:val="00390006"/>
    <w:rsid w:val="003A1534"/>
    <w:rsid w:val="003B4A90"/>
    <w:rsid w:val="003E124A"/>
    <w:rsid w:val="003F457B"/>
    <w:rsid w:val="00403CCF"/>
    <w:rsid w:val="00406937"/>
    <w:rsid w:val="004125BA"/>
    <w:rsid w:val="004344EA"/>
    <w:rsid w:val="00446149"/>
    <w:rsid w:val="00496D27"/>
    <w:rsid w:val="004971C2"/>
    <w:rsid w:val="004A7F88"/>
    <w:rsid w:val="004E7086"/>
    <w:rsid w:val="004F0C9A"/>
    <w:rsid w:val="005032C0"/>
    <w:rsid w:val="0050686B"/>
    <w:rsid w:val="00520298"/>
    <w:rsid w:val="00540895"/>
    <w:rsid w:val="00543690"/>
    <w:rsid w:val="0055455B"/>
    <w:rsid w:val="00572FC2"/>
    <w:rsid w:val="005847BE"/>
    <w:rsid w:val="00590B0F"/>
    <w:rsid w:val="005935F6"/>
    <w:rsid w:val="005A2053"/>
    <w:rsid w:val="005A5A28"/>
    <w:rsid w:val="005A64C2"/>
    <w:rsid w:val="005B24A1"/>
    <w:rsid w:val="005F24A9"/>
    <w:rsid w:val="005F5631"/>
    <w:rsid w:val="005F6C15"/>
    <w:rsid w:val="00604258"/>
    <w:rsid w:val="00605019"/>
    <w:rsid w:val="00611D6D"/>
    <w:rsid w:val="00616A9C"/>
    <w:rsid w:val="00616E64"/>
    <w:rsid w:val="00640C23"/>
    <w:rsid w:val="0066798B"/>
    <w:rsid w:val="006908D1"/>
    <w:rsid w:val="0069608C"/>
    <w:rsid w:val="006F0D3C"/>
    <w:rsid w:val="006F29D1"/>
    <w:rsid w:val="00702D13"/>
    <w:rsid w:val="00706C19"/>
    <w:rsid w:val="007145F1"/>
    <w:rsid w:val="007414EE"/>
    <w:rsid w:val="00756A3A"/>
    <w:rsid w:val="00766B21"/>
    <w:rsid w:val="007934CD"/>
    <w:rsid w:val="007A7388"/>
    <w:rsid w:val="007F1FE4"/>
    <w:rsid w:val="00803F56"/>
    <w:rsid w:val="00817C19"/>
    <w:rsid w:val="008308B2"/>
    <w:rsid w:val="00834ABB"/>
    <w:rsid w:val="0084543A"/>
    <w:rsid w:val="0085499F"/>
    <w:rsid w:val="00855CB5"/>
    <w:rsid w:val="00856EC1"/>
    <w:rsid w:val="00864ECB"/>
    <w:rsid w:val="008A3404"/>
    <w:rsid w:val="008A38F8"/>
    <w:rsid w:val="008B7DAE"/>
    <w:rsid w:val="008F0256"/>
    <w:rsid w:val="008F56B0"/>
    <w:rsid w:val="009033CA"/>
    <w:rsid w:val="009146E0"/>
    <w:rsid w:val="00934C1D"/>
    <w:rsid w:val="009438B7"/>
    <w:rsid w:val="00946EFE"/>
    <w:rsid w:val="009645AF"/>
    <w:rsid w:val="00983C8D"/>
    <w:rsid w:val="009A1D5F"/>
    <w:rsid w:val="009B5CB8"/>
    <w:rsid w:val="009C38C3"/>
    <w:rsid w:val="009C657B"/>
    <w:rsid w:val="009F672F"/>
    <w:rsid w:val="00A0530B"/>
    <w:rsid w:val="00A22DBB"/>
    <w:rsid w:val="00A3017A"/>
    <w:rsid w:val="00A54F09"/>
    <w:rsid w:val="00A96CEF"/>
    <w:rsid w:val="00AB3AE2"/>
    <w:rsid w:val="00AB5791"/>
    <w:rsid w:val="00AC11AA"/>
    <w:rsid w:val="00AC781A"/>
    <w:rsid w:val="00AD54D1"/>
    <w:rsid w:val="00AE0EB2"/>
    <w:rsid w:val="00AE5D3C"/>
    <w:rsid w:val="00AF217C"/>
    <w:rsid w:val="00AF6420"/>
    <w:rsid w:val="00B0262F"/>
    <w:rsid w:val="00B215F8"/>
    <w:rsid w:val="00B35237"/>
    <w:rsid w:val="00B43DF4"/>
    <w:rsid w:val="00B502FC"/>
    <w:rsid w:val="00B539D4"/>
    <w:rsid w:val="00B76238"/>
    <w:rsid w:val="00BB70CF"/>
    <w:rsid w:val="00C57F83"/>
    <w:rsid w:val="00C62A98"/>
    <w:rsid w:val="00C66259"/>
    <w:rsid w:val="00C93DB2"/>
    <w:rsid w:val="00CA6D29"/>
    <w:rsid w:val="00CC6BE4"/>
    <w:rsid w:val="00CD697C"/>
    <w:rsid w:val="00CF0E23"/>
    <w:rsid w:val="00D06704"/>
    <w:rsid w:val="00D13C62"/>
    <w:rsid w:val="00D37B79"/>
    <w:rsid w:val="00D46651"/>
    <w:rsid w:val="00D50E1D"/>
    <w:rsid w:val="00D65D2C"/>
    <w:rsid w:val="00D80287"/>
    <w:rsid w:val="00DA1B7D"/>
    <w:rsid w:val="00DB24EB"/>
    <w:rsid w:val="00DC1DD7"/>
    <w:rsid w:val="00DF315C"/>
    <w:rsid w:val="00E00A6F"/>
    <w:rsid w:val="00E353D5"/>
    <w:rsid w:val="00E35A9A"/>
    <w:rsid w:val="00E637E5"/>
    <w:rsid w:val="00EA21B3"/>
    <w:rsid w:val="00ED7D96"/>
    <w:rsid w:val="00EE1CFC"/>
    <w:rsid w:val="00EE61B2"/>
    <w:rsid w:val="00F05930"/>
    <w:rsid w:val="00F14821"/>
    <w:rsid w:val="00F230FF"/>
    <w:rsid w:val="00F35374"/>
    <w:rsid w:val="00F50868"/>
    <w:rsid w:val="00F62DB1"/>
    <w:rsid w:val="00F6426B"/>
    <w:rsid w:val="00F73FFC"/>
    <w:rsid w:val="00F76FAB"/>
    <w:rsid w:val="00F92954"/>
    <w:rsid w:val="00FB6A3B"/>
    <w:rsid w:val="00FD1418"/>
    <w:rsid w:val="00FD5EB8"/>
    <w:rsid w:val="00FF3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03F3895E"/>
  <w15:docId w15:val="{60321066-5CB4-4FDB-A103-441CCA01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C0"/>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03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5032C0"/>
    <w:rPr>
      <w:rFonts w:ascii="Courier New" w:hAnsi="Courier New" w:cs="Courier New"/>
      <w:sz w:val="20"/>
      <w:szCs w:val="20"/>
    </w:rPr>
  </w:style>
  <w:style w:type="paragraph" w:styleId="EndnoteText">
    <w:name w:val="endnote text"/>
    <w:basedOn w:val="Normal"/>
    <w:link w:val="EndnoteTextChar"/>
    <w:semiHidden/>
    <w:rsid w:val="005032C0"/>
    <w:pPr>
      <w:widowControl w:val="0"/>
    </w:pPr>
    <w:rPr>
      <w:rFonts w:ascii="Courier New" w:hAnsi="Courier New" w:cs="Courier New"/>
    </w:rPr>
  </w:style>
  <w:style w:type="character" w:customStyle="1" w:styleId="EndnoteTextChar">
    <w:name w:val="Endnote Text Char"/>
    <w:link w:val="EndnoteText"/>
    <w:semiHidden/>
    <w:locked/>
    <w:rsid w:val="005032C0"/>
    <w:rPr>
      <w:rFonts w:ascii="Courier New" w:hAnsi="Courier New" w:cs="Courier New"/>
      <w:snapToGrid w:val="0"/>
      <w:sz w:val="24"/>
      <w:szCs w:val="24"/>
    </w:rPr>
  </w:style>
  <w:style w:type="paragraph" w:styleId="BalloonText">
    <w:name w:val="Balloon Text"/>
    <w:basedOn w:val="Normal"/>
    <w:link w:val="BalloonTextChar"/>
    <w:semiHidden/>
    <w:rsid w:val="005032C0"/>
    <w:rPr>
      <w:rFonts w:ascii="Tahoma" w:hAnsi="Tahoma" w:cs="Tahoma"/>
      <w:sz w:val="16"/>
      <w:szCs w:val="16"/>
    </w:rPr>
  </w:style>
  <w:style w:type="character" w:customStyle="1" w:styleId="BalloonTextChar">
    <w:name w:val="Balloon Text Char"/>
    <w:link w:val="BalloonText"/>
    <w:semiHidden/>
    <w:locked/>
    <w:rsid w:val="005032C0"/>
    <w:rPr>
      <w:rFonts w:ascii="Tahoma" w:hAnsi="Tahoma" w:cs="Tahoma"/>
      <w:sz w:val="16"/>
      <w:szCs w:val="16"/>
    </w:rPr>
  </w:style>
  <w:style w:type="character" w:styleId="Hyperlink">
    <w:name w:val="Hyperlink"/>
    <w:rsid w:val="007145F1"/>
    <w:rPr>
      <w:color w:val="0000FF"/>
      <w:u w:val="single"/>
    </w:rPr>
  </w:style>
  <w:style w:type="paragraph" w:styleId="FootnoteText">
    <w:name w:val="footnote text"/>
    <w:basedOn w:val="Normal"/>
    <w:semiHidden/>
    <w:rsid w:val="007145F1"/>
    <w:rPr>
      <w:rFonts w:eastAsia="Times New Roman"/>
      <w:sz w:val="20"/>
      <w:szCs w:val="20"/>
    </w:rPr>
  </w:style>
  <w:style w:type="character" w:styleId="FootnoteReference">
    <w:name w:val="footnote reference"/>
    <w:semiHidden/>
    <w:rsid w:val="007145F1"/>
    <w:rPr>
      <w:vertAlign w:val="superscript"/>
    </w:rPr>
  </w:style>
  <w:style w:type="paragraph" w:styleId="CommentText">
    <w:name w:val="annotation text"/>
    <w:basedOn w:val="Normal"/>
    <w:link w:val="CommentTextChar"/>
    <w:rsid w:val="008A3404"/>
  </w:style>
  <w:style w:type="character" w:customStyle="1" w:styleId="CommentTextChar">
    <w:name w:val="Comment Text Char"/>
    <w:link w:val="CommentText"/>
    <w:rsid w:val="008A3404"/>
    <w:rPr>
      <w:rFonts w:eastAsia="Calibri"/>
      <w:sz w:val="24"/>
      <w:szCs w:val="24"/>
      <w:lang w:val="en-US" w:eastAsia="en-US" w:bidi="ar-SA"/>
    </w:rPr>
  </w:style>
  <w:style w:type="character" w:styleId="Strong">
    <w:name w:val="Strong"/>
    <w:qFormat/>
    <w:locked/>
    <w:rsid w:val="00166AD7"/>
    <w:rPr>
      <w:b/>
      <w:bCs/>
    </w:rPr>
  </w:style>
  <w:style w:type="paragraph" w:styleId="ListParagraph">
    <w:name w:val="List Paragraph"/>
    <w:basedOn w:val="Normal"/>
    <w:uiPriority w:val="34"/>
    <w:qFormat/>
    <w:rsid w:val="00084E9F"/>
    <w:pPr>
      <w:ind w:left="720"/>
      <w:contextualSpacing/>
    </w:pPr>
    <w:rPr>
      <w:rFonts w:eastAsia="Times New Roman"/>
    </w:rPr>
  </w:style>
  <w:style w:type="paragraph" w:styleId="Header">
    <w:name w:val="header"/>
    <w:basedOn w:val="Normal"/>
    <w:link w:val="HeaderChar"/>
    <w:rsid w:val="00CF0E23"/>
    <w:pPr>
      <w:tabs>
        <w:tab w:val="center" w:pos="4320"/>
        <w:tab w:val="right" w:pos="8640"/>
      </w:tabs>
    </w:pPr>
  </w:style>
  <w:style w:type="character" w:customStyle="1" w:styleId="HeaderChar">
    <w:name w:val="Header Char"/>
    <w:basedOn w:val="DefaultParagraphFont"/>
    <w:link w:val="Header"/>
    <w:rsid w:val="00CF0E23"/>
    <w:rPr>
      <w:rFonts w:ascii="Times New Roman" w:hAnsi="Times New Roman"/>
      <w:sz w:val="24"/>
      <w:szCs w:val="24"/>
    </w:rPr>
  </w:style>
  <w:style w:type="paragraph" w:styleId="Footer">
    <w:name w:val="footer"/>
    <w:basedOn w:val="Normal"/>
    <w:link w:val="FooterChar"/>
    <w:rsid w:val="00CF0E23"/>
    <w:pPr>
      <w:tabs>
        <w:tab w:val="center" w:pos="4320"/>
        <w:tab w:val="right" w:pos="8640"/>
      </w:tabs>
    </w:pPr>
  </w:style>
  <w:style w:type="character" w:customStyle="1" w:styleId="FooterChar">
    <w:name w:val="Footer Char"/>
    <w:basedOn w:val="DefaultParagraphFont"/>
    <w:link w:val="Footer"/>
    <w:rsid w:val="00CF0E23"/>
    <w:rPr>
      <w:rFonts w:ascii="Times New Roman" w:hAnsi="Times New Roman"/>
      <w:sz w:val="24"/>
      <w:szCs w:val="24"/>
    </w:rPr>
  </w:style>
  <w:style w:type="paragraph" w:customStyle="1" w:styleId="EndNoteBibliographyTitle">
    <w:name w:val="EndNote Bibliography Title"/>
    <w:basedOn w:val="Normal"/>
    <w:rsid w:val="00022246"/>
    <w:pPr>
      <w:jc w:val="center"/>
    </w:pPr>
  </w:style>
  <w:style w:type="paragraph" w:customStyle="1" w:styleId="EndNoteBibliography">
    <w:name w:val="EndNote Bibliography"/>
    <w:basedOn w:val="Normal"/>
    <w:rsid w:val="00022246"/>
  </w:style>
  <w:style w:type="paragraph" w:customStyle="1" w:styleId="EndnoteText1">
    <w:name w:val="Endnote Text1"/>
    <w:basedOn w:val="Normal"/>
    <w:rsid w:val="00616E64"/>
    <w:rPr>
      <w:rFonts w:ascii="Courier" w:eastAsia="Times New Roman" w:hAnsi="Courier"/>
      <w:szCs w:val="20"/>
    </w:rPr>
  </w:style>
  <w:style w:type="paragraph" w:styleId="BodyTextIndent2">
    <w:name w:val="Body Text Indent 2"/>
    <w:basedOn w:val="Normal"/>
    <w:link w:val="BodyTextIndent2Char"/>
    <w:rsid w:val="00616E64"/>
    <w:pPr>
      <w:tabs>
        <w:tab w:val="left" w:pos="-1440"/>
        <w:tab w:val="left" w:pos="-720"/>
      </w:tabs>
      <w:ind w:left="720"/>
    </w:pPr>
    <w:rPr>
      <w:rFonts w:ascii="Times" w:eastAsia="Times New Roman" w:hAnsi="Times"/>
      <w:szCs w:val="20"/>
    </w:rPr>
  </w:style>
  <w:style w:type="character" w:customStyle="1" w:styleId="BodyTextIndent2Char">
    <w:name w:val="Body Text Indent 2 Char"/>
    <w:basedOn w:val="DefaultParagraphFont"/>
    <w:link w:val="BodyTextIndent2"/>
    <w:rsid w:val="00616E64"/>
    <w:rPr>
      <w:rFonts w:ascii="Times" w:eastAsia="Times New Roman" w:hAnsi="Times"/>
      <w:sz w:val="24"/>
    </w:rPr>
  </w:style>
  <w:style w:type="paragraph" w:styleId="BodyText3">
    <w:name w:val="Body Text 3"/>
    <w:basedOn w:val="Normal"/>
    <w:link w:val="BodyText3Char"/>
    <w:rsid w:val="00F73FFC"/>
    <w:pPr>
      <w:spacing w:after="120"/>
    </w:pPr>
    <w:rPr>
      <w:sz w:val="16"/>
      <w:szCs w:val="16"/>
    </w:rPr>
  </w:style>
  <w:style w:type="character" w:customStyle="1" w:styleId="BodyText3Char">
    <w:name w:val="Body Text 3 Char"/>
    <w:basedOn w:val="DefaultParagraphFont"/>
    <w:link w:val="BodyText3"/>
    <w:rsid w:val="00F73FFC"/>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6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6A7EE-4571-4088-905E-719D6B74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1538</Words>
  <Characters>13581</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Epi 204 HW 3 Answer Key</vt:lpstr>
    </vt:vector>
  </TitlesOfParts>
  <Company>Department of Veterans Affairs</Company>
  <LinksUpToDate>false</LinksUpToDate>
  <CharactersWithSpaces>15089</CharactersWithSpaces>
  <SharedDoc>false</SharedDoc>
  <HLinks>
    <vt:vector size="12" baseType="variant">
      <vt:variant>
        <vt:i4>4587531</vt:i4>
      </vt:variant>
      <vt:variant>
        <vt:i4>10</vt:i4>
      </vt:variant>
      <vt:variant>
        <vt:i4>0</vt:i4>
      </vt:variant>
      <vt:variant>
        <vt:i4>5</vt:i4>
      </vt:variant>
      <vt:variant>
        <vt:lpwstr/>
      </vt:variant>
      <vt:variant>
        <vt:lpwstr>_ENREF_7</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204 HW 3 Answer Key</dc:title>
  <dc:subject/>
  <dc:creator>Department of Veterans Affairs</dc:creator>
  <cp:keywords/>
  <dc:description/>
  <cp:lastModifiedBy>Michael Kohn</cp:lastModifiedBy>
  <cp:revision>4</cp:revision>
  <dcterms:created xsi:type="dcterms:W3CDTF">2017-10-05T20:18:00Z</dcterms:created>
  <dcterms:modified xsi:type="dcterms:W3CDTF">2017-10-05T21:55:00Z</dcterms:modified>
</cp:coreProperties>
</file>