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D7162" w14:textId="417A5ACA" w:rsidR="001B030C" w:rsidRDefault="008F56B0" w:rsidP="001B030C">
      <w:pPr>
        <w:pStyle w:val="HTMLPreformatted"/>
        <w:jc w:val="center"/>
        <w:rPr>
          <w:rFonts w:ascii="Arial" w:hAnsi="Arial" w:cs="Arial"/>
          <w:b/>
          <w:color w:val="000000"/>
          <w:sz w:val="22"/>
        </w:rPr>
      </w:pPr>
      <w:bookmarkStart w:id="0" w:name="_GoBack"/>
      <w:bookmarkEnd w:id="0"/>
      <w:r>
        <w:rPr>
          <w:rFonts w:ascii="Arial" w:hAnsi="Arial" w:cs="Arial"/>
          <w:b/>
          <w:color w:val="000000"/>
          <w:sz w:val="22"/>
        </w:rPr>
        <w:t xml:space="preserve">Epi 204 Chapter </w:t>
      </w:r>
      <w:r w:rsidR="00F73FFC">
        <w:rPr>
          <w:rFonts w:ascii="Arial" w:hAnsi="Arial" w:cs="Arial"/>
          <w:b/>
          <w:color w:val="000000"/>
          <w:sz w:val="22"/>
        </w:rPr>
        <w:t>4</w:t>
      </w:r>
      <w:r w:rsidR="001B030C">
        <w:rPr>
          <w:rFonts w:ascii="Arial" w:hAnsi="Arial" w:cs="Arial"/>
          <w:b/>
          <w:color w:val="000000"/>
          <w:sz w:val="22"/>
        </w:rPr>
        <w:t xml:space="preserve"> Problem Set</w:t>
      </w:r>
    </w:p>
    <w:p w14:paraId="5CC07C56" w14:textId="2967A785" w:rsidR="00856EC1" w:rsidRDefault="00F73FFC" w:rsidP="001B030C">
      <w:pPr>
        <w:pStyle w:val="HTMLPreformatted"/>
        <w:jc w:val="center"/>
        <w:rPr>
          <w:rFonts w:ascii="Arial" w:hAnsi="Arial" w:cs="Arial"/>
          <w:b/>
          <w:color w:val="000000"/>
          <w:sz w:val="22"/>
        </w:rPr>
      </w:pPr>
      <w:r>
        <w:rPr>
          <w:rFonts w:ascii="Arial" w:hAnsi="Arial" w:cs="Arial"/>
          <w:b/>
          <w:color w:val="000000"/>
          <w:sz w:val="22"/>
        </w:rPr>
        <w:t>Bias in Studies of Test Accuracy</w:t>
      </w:r>
    </w:p>
    <w:p w14:paraId="1C09DC28" w14:textId="17D3FF04" w:rsidR="001B030C" w:rsidRDefault="001B030C" w:rsidP="001B030C">
      <w:pPr>
        <w:pStyle w:val="HTMLPreformatted"/>
        <w:jc w:val="center"/>
        <w:rPr>
          <w:rFonts w:ascii="Arial" w:hAnsi="Arial" w:cs="Arial"/>
          <w:b/>
          <w:color w:val="000000"/>
          <w:sz w:val="22"/>
        </w:rPr>
      </w:pPr>
      <w:r>
        <w:rPr>
          <w:rFonts w:ascii="Arial" w:hAnsi="Arial" w:cs="Arial"/>
          <w:b/>
          <w:color w:val="000000"/>
          <w:sz w:val="22"/>
        </w:rPr>
        <w:t xml:space="preserve">Due 1 pm </w:t>
      </w:r>
      <w:r w:rsidR="003C3D6C">
        <w:rPr>
          <w:rFonts w:ascii="Arial" w:hAnsi="Arial" w:cs="Arial"/>
          <w:b/>
          <w:color w:val="000000"/>
          <w:sz w:val="22"/>
        </w:rPr>
        <w:t>10/19</w:t>
      </w:r>
      <w:r w:rsidR="00590B0F">
        <w:rPr>
          <w:rFonts w:ascii="Arial" w:hAnsi="Arial" w:cs="Arial"/>
          <w:b/>
          <w:color w:val="000000"/>
          <w:sz w:val="22"/>
        </w:rPr>
        <w:t>/2017</w:t>
      </w:r>
    </w:p>
    <w:p w14:paraId="1AE909AD" w14:textId="2CA5EAC5" w:rsidR="00F73FFC" w:rsidRDefault="00CC6BE4" w:rsidP="001B030C">
      <w:pPr>
        <w:pStyle w:val="HTMLPreformatted"/>
        <w:jc w:val="center"/>
        <w:rPr>
          <w:rFonts w:ascii="Arial" w:hAnsi="Arial" w:cs="Arial"/>
          <w:b/>
          <w:color w:val="000000"/>
          <w:sz w:val="22"/>
        </w:rPr>
      </w:pPr>
      <w:r>
        <w:rPr>
          <w:rFonts w:ascii="Arial" w:hAnsi="Arial" w:cs="Arial"/>
          <w:b/>
          <w:color w:val="000000"/>
          <w:sz w:val="22"/>
        </w:rPr>
        <w:t>EBD-2 Ch0</w:t>
      </w:r>
      <w:r w:rsidR="003C3D6C">
        <w:rPr>
          <w:rFonts w:ascii="Arial" w:hAnsi="Arial" w:cs="Arial"/>
          <w:b/>
          <w:color w:val="000000"/>
          <w:sz w:val="22"/>
        </w:rPr>
        <w:t xml:space="preserve">6 </w:t>
      </w:r>
      <w:r>
        <w:rPr>
          <w:rFonts w:ascii="Arial" w:hAnsi="Arial" w:cs="Arial"/>
          <w:b/>
          <w:color w:val="000000"/>
          <w:sz w:val="22"/>
        </w:rPr>
        <w:t xml:space="preserve">Problems </w:t>
      </w:r>
      <w:r w:rsidR="004F16DA">
        <w:rPr>
          <w:rFonts w:ascii="Arial" w:hAnsi="Arial" w:cs="Arial"/>
          <w:b/>
          <w:color w:val="000000"/>
          <w:sz w:val="22"/>
        </w:rPr>
        <w:t>8, 9, 12, 52</w:t>
      </w:r>
    </w:p>
    <w:p w14:paraId="414FA9FF" w14:textId="77777777" w:rsidR="001B030C" w:rsidRDefault="001B030C" w:rsidP="001B030C">
      <w:pPr>
        <w:pStyle w:val="HTMLPreformatted"/>
        <w:jc w:val="center"/>
        <w:rPr>
          <w:rFonts w:ascii="Arial" w:hAnsi="Arial" w:cs="Arial"/>
          <w:b/>
          <w:color w:val="000000"/>
          <w:sz w:val="22"/>
        </w:rPr>
      </w:pPr>
    </w:p>
    <w:p w14:paraId="5CB038FD" w14:textId="77777777" w:rsidR="003C3D6C" w:rsidRDefault="003C3D6C" w:rsidP="003C3D6C">
      <w:pPr>
        <w:rPr>
          <w:b/>
        </w:rPr>
      </w:pPr>
      <w:r>
        <w:rPr>
          <w:b/>
        </w:rPr>
        <w:t>Ch06.0</w:t>
      </w:r>
      <w:r w:rsidRPr="00321F2B">
        <w:rPr>
          <w:b/>
        </w:rPr>
        <w:t>8.</w:t>
      </w:r>
      <w:r>
        <w:rPr>
          <w:b/>
        </w:rPr>
        <w:t>Q  Weatherman</w:t>
      </w:r>
    </w:p>
    <w:p w14:paraId="6F87227D" w14:textId="77777777" w:rsidR="003C3D6C" w:rsidRDefault="003C3D6C" w:rsidP="003C3D6C">
      <w:r>
        <w:t xml:space="preserve">During a rainy month, you watch the weather report and decide whether to carry an umbrella.  Your decision is irrevocable in that, if you decide not to carry an umbrella and head off to work and it rains, you can’t change your mind.  </w:t>
      </w:r>
    </w:p>
    <w:p w14:paraId="2E431AC9" w14:textId="77777777" w:rsidR="003C3D6C" w:rsidRDefault="003C3D6C" w:rsidP="003C3D6C"/>
    <w:p w14:paraId="5F6750C8" w14:textId="77777777" w:rsidR="003C3D6C" w:rsidRDefault="003C3D6C" w:rsidP="003C3D6C">
      <w:r>
        <w:t>You are willing to carry an umbrella and not use it 3 times for every time you carry an umbrella and use it.  In other words, being in the rain without an umbrella is exactly 3 times as bad as carrying an umbrella unnecessarily.</w:t>
      </w:r>
    </w:p>
    <w:p w14:paraId="1992F89A" w14:textId="77777777" w:rsidR="003C3D6C" w:rsidRDefault="003C3D6C" w:rsidP="003C3D6C"/>
    <w:p w14:paraId="3657EDA9" w14:textId="77777777" w:rsidR="003C3D6C" w:rsidRDefault="003C3D6C" w:rsidP="003C3D6C">
      <w:r>
        <w:t>The Channel 2 weather man predicts a 33% chance of rain on every single day of the month.  The Channel 3 weather man predicts a 50% chance of rain on two-thirds of the days and a 100% chance of rain on one third of the days.  At the end of the month it turns out that it rained on 10 out of 30 days.  It also turns out that every time the Channel 3 weather man predicted a 50% chance of rain, it didn’t rain; and every time he predicted a 100% chance of rain, it did.</w:t>
      </w:r>
    </w:p>
    <w:p w14:paraId="66452B55" w14:textId="77777777" w:rsidR="003C3D6C" w:rsidRDefault="003C3D6C" w:rsidP="003C3D6C"/>
    <w:p w14:paraId="069C4BE7" w14:textId="77777777" w:rsidR="003C3D6C" w:rsidRDefault="003C3D6C" w:rsidP="003C3D6C">
      <w:pPr>
        <w:numPr>
          <w:ilvl w:val="0"/>
          <w:numId w:val="26"/>
        </w:numPr>
      </w:pPr>
      <w:r>
        <w:t>What is your threshold probability of rain for carrying an umbrella?</w:t>
      </w:r>
    </w:p>
    <w:p w14:paraId="35187F3C" w14:textId="77777777" w:rsidR="003C3D6C" w:rsidRDefault="003C3D6C" w:rsidP="003C3D6C">
      <w:pPr>
        <w:ind w:left="360"/>
      </w:pPr>
    </w:p>
    <w:p w14:paraId="07D601FC" w14:textId="77777777" w:rsidR="003C3D6C" w:rsidRDefault="003C3D6C" w:rsidP="003C3D6C">
      <w:pPr>
        <w:ind w:left="360"/>
      </w:pPr>
    </w:p>
    <w:p w14:paraId="3816C437" w14:textId="77777777" w:rsidR="003C3D6C" w:rsidRDefault="003C3D6C" w:rsidP="003C3D6C">
      <w:pPr>
        <w:numPr>
          <w:ilvl w:val="0"/>
          <w:numId w:val="26"/>
        </w:numPr>
      </w:pPr>
      <w:r>
        <w:t>If you watched and believed Channel 2, how many days of the month did you carry an umbrella?</w:t>
      </w:r>
    </w:p>
    <w:p w14:paraId="5C723723" w14:textId="77777777" w:rsidR="003C3D6C" w:rsidRDefault="003C3D6C" w:rsidP="003C3D6C">
      <w:pPr>
        <w:ind w:left="360"/>
      </w:pPr>
    </w:p>
    <w:p w14:paraId="24BA2CA8" w14:textId="77777777" w:rsidR="003C3D6C" w:rsidRDefault="003C3D6C" w:rsidP="003C3D6C">
      <w:pPr>
        <w:ind w:left="360"/>
      </w:pPr>
    </w:p>
    <w:p w14:paraId="154FF4F0" w14:textId="77777777" w:rsidR="003C3D6C" w:rsidRDefault="003C3D6C" w:rsidP="003C3D6C">
      <w:pPr>
        <w:ind w:left="360"/>
        <w:rPr>
          <w:b/>
          <w:i/>
        </w:rPr>
      </w:pPr>
    </w:p>
    <w:p w14:paraId="37744EBD" w14:textId="77777777" w:rsidR="003C3D6C" w:rsidRDefault="003C3D6C" w:rsidP="003C3D6C">
      <w:pPr>
        <w:numPr>
          <w:ilvl w:val="0"/>
          <w:numId w:val="26"/>
        </w:numPr>
      </w:pPr>
      <w:r>
        <w:t>If you watched and believed Channel 3, how many days of the month did you carry an umbrella?</w:t>
      </w:r>
    </w:p>
    <w:p w14:paraId="03FD814E" w14:textId="77777777" w:rsidR="003C3D6C" w:rsidRDefault="003C3D6C" w:rsidP="003C3D6C">
      <w:pPr>
        <w:ind w:left="360"/>
        <w:rPr>
          <w:b/>
          <w:i/>
        </w:rPr>
      </w:pPr>
    </w:p>
    <w:p w14:paraId="2F563C3E" w14:textId="77777777" w:rsidR="003C3D6C" w:rsidRDefault="003C3D6C" w:rsidP="003C3D6C">
      <w:pPr>
        <w:ind w:left="360"/>
        <w:rPr>
          <w:b/>
          <w:i/>
        </w:rPr>
      </w:pPr>
    </w:p>
    <w:p w14:paraId="1A51E520" w14:textId="77777777" w:rsidR="003C3D6C" w:rsidRDefault="003C3D6C" w:rsidP="003C3D6C">
      <w:pPr>
        <w:ind w:left="360"/>
      </w:pPr>
    </w:p>
    <w:p w14:paraId="52CFC4DB" w14:textId="77777777" w:rsidR="003C3D6C" w:rsidRDefault="003C3D6C" w:rsidP="003C3D6C">
      <w:pPr>
        <w:numPr>
          <w:ilvl w:val="0"/>
          <w:numId w:val="26"/>
        </w:numPr>
      </w:pPr>
      <w:r>
        <w:t xml:space="preserve">What is the average predicted chance of rain for Channel 2?  What is it for Channel 3? </w:t>
      </w:r>
    </w:p>
    <w:p w14:paraId="07BFE34C" w14:textId="77777777" w:rsidR="003C3D6C" w:rsidRDefault="003C3D6C" w:rsidP="003C3D6C">
      <w:pPr>
        <w:ind w:left="360"/>
      </w:pPr>
    </w:p>
    <w:p w14:paraId="677F9700" w14:textId="77777777" w:rsidR="003C3D6C" w:rsidRDefault="003C3D6C" w:rsidP="003C3D6C">
      <w:pPr>
        <w:ind w:left="360"/>
        <w:rPr>
          <w:b/>
          <w:i/>
        </w:rPr>
      </w:pPr>
    </w:p>
    <w:p w14:paraId="24D0C447" w14:textId="77777777" w:rsidR="003C3D6C" w:rsidRDefault="003C3D6C" w:rsidP="003C3D6C">
      <w:pPr>
        <w:ind w:left="360"/>
      </w:pPr>
    </w:p>
    <w:p w14:paraId="78069322" w14:textId="77777777" w:rsidR="003C3D6C" w:rsidRDefault="003C3D6C" w:rsidP="003C3D6C">
      <w:pPr>
        <w:numPr>
          <w:ilvl w:val="0"/>
          <w:numId w:val="26"/>
        </w:numPr>
      </w:pPr>
      <w:r>
        <w:t>Which weather man was better calibrated?</w:t>
      </w:r>
    </w:p>
    <w:p w14:paraId="2F477A29" w14:textId="77777777" w:rsidR="003C3D6C" w:rsidRDefault="003C3D6C" w:rsidP="003C3D6C">
      <w:pPr>
        <w:ind w:left="360"/>
      </w:pPr>
    </w:p>
    <w:p w14:paraId="642645A4" w14:textId="77777777" w:rsidR="003C3D6C" w:rsidRDefault="003C3D6C" w:rsidP="003C3D6C">
      <w:pPr>
        <w:ind w:left="360"/>
        <w:rPr>
          <w:b/>
          <w:i/>
        </w:rPr>
      </w:pPr>
    </w:p>
    <w:p w14:paraId="2B4AA11C" w14:textId="77777777" w:rsidR="003C3D6C" w:rsidRDefault="003C3D6C" w:rsidP="003C3D6C">
      <w:pPr>
        <w:numPr>
          <w:ilvl w:val="0"/>
          <w:numId w:val="26"/>
        </w:numPr>
      </w:pPr>
      <w:r>
        <w:t>Which channel should you watch next month?</w:t>
      </w:r>
    </w:p>
    <w:p w14:paraId="691384AA" w14:textId="77777777" w:rsidR="003C3D6C" w:rsidRDefault="003C3D6C" w:rsidP="003C3D6C">
      <w:pPr>
        <w:ind w:left="360"/>
      </w:pPr>
    </w:p>
    <w:p w14:paraId="195659ED" w14:textId="2CD55144" w:rsidR="003C3D6C" w:rsidRDefault="003C3D6C">
      <w:pPr>
        <w:rPr>
          <w:color w:val="000000"/>
        </w:rPr>
      </w:pPr>
      <w:r>
        <w:rPr>
          <w:color w:val="000000"/>
        </w:rPr>
        <w:br w:type="page"/>
      </w:r>
    </w:p>
    <w:p w14:paraId="6D9D258A" w14:textId="77777777" w:rsidR="003C3D6C" w:rsidRDefault="003C3D6C" w:rsidP="003C3D6C">
      <w:pPr>
        <w:tabs>
          <w:tab w:val="left" w:pos="-720"/>
        </w:tabs>
        <w:suppressAutoHyphens/>
        <w:rPr>
          <w:b/>
        </w:rPr>
      </w:pPr>
      <w:r>
        <w:rPr>
          <w:b/>
        </w:rPr>
        <w:lastRenderedPageBreak/>
        <w:t>Ch06.09.A ABCD2 Score</w:t>
      </w:r>
    </w:p>
    <w:p w14:paraId="40B605A3" w14:textId="77777777" w:rsidR="003C3D6C" w:rsidRDefault="003C3D6C" w:rsidP="003C3D6C">
      <w:pPr>
        <w:tabs>
          <w:tab w:val="left" w:pos="-720"/>
        </w:tabs>
        <w:suppressAutoHyphens/>
      </w:pPr>
      <w:r>
        <w:t xml:space="preserve">The ABCD2 Score was developed to stratify risk of stroke in patients after a transient ischemic attack (TIA). </w:t>
      </w:r>
    </w:p>
    <w:p w14:paraId="22030446" w14:textId="77777777" w:rsidR="003C3D6C" w:rsidRDefault="003C3D6C" w:rsidP="003C3D6C">
      <w:pPr>
        <w:tabs>
          <w:tab w:val="left" w:pos="-720"/>
        </w:tabs>
        <w:suppressAutoHyphens/>
      </w:pPr>
    </w:p>
    <w:p w14:paraId="68C7C4E6" w14:textId="77777777" w:rsidR="003C3D6C" w:rsidRDefault="003C3D6C" w:rsidP="003C3D6C">
      <w:pPr>
        <w:tabs>
          <w:tab w:val="left" w:pos="-720"/>
        </w:tabs>
        <w:suppressAutoHyphens/>
      </w:pPr>
      <w:r>
        <w:t>For your information, here is how the ABCD2 score is calculated.</w:t>
      </w:r>
    </w:p>
    <w:tbl>
      <w:tblPr>
        <w:tblW w:w="5550" w:type="dxa"/>
        <w:tblCellSpacing w:w="0" w:type="dxa"/>
        <w:tblCellMar>
          <w:left w:w="0" w:type="dxa"/>
          <w:right w:w="0" w:type="dxa"/>
        </w:tblCellMar>
        <w:tblLook w:val="0000" w:firstRow="0" w:lastRow="0" w:firstColumn="0" w:lastColumn="0" w:noHBand="0" w:noVBand="0"/>
      </w:tblPr>
      <w:tblGrid>
        <w:gridCol w:w="179"/>
        <w:gridCol w:w="164"/>
        <w:gridCol w:w="4458"/>
        <w:gridCol w:w="749"/>
      </w:tblGrid>
      <w:tr w:rsidR="003C3D6C" w:rsidRPr="00D6026A" w14:paraId="266A7AB7" w14:textId="77777777" w:rsidTr="00BF7A4D">
        <w:trPr>
          <w:trHeight w:val="315"/>
          <w:tblCellSpacing w:w="0" w:type="dxa"/>
        </w:trPr>
        <w:tc>
          <w:tcPr>
            <w:tcW w:w="4815" w:type="dxa"/>
            <w:gridSpan w:val="3"/>
            <w:tcBorders>
              <w:top w:val="single" w:sz="12" w:space="0" w:color="000000"/>
              <w:left w:val="single" w:sz="12" w:space="0" w:color="000000"/>
              <w:bottom w:val="single" w:sz="6" w:space="0" w:color="000000"/>
            </w:tcBorders>
            <w:vAlign w:val="bottom"/>
          </w:tcPr>
          <w:p w14:paraId="52D992BB" w14:textId="77777777" w:rsidR="003C3D6C" w:rsidRPr="00D6026A" w:rsidRDefault="003C3D6C" w:rsidP="00BF7A4D">
            <w:pPr>
              <w:tabs>
                <w:tab w:val="left" w:pos="-720"/>
              </w:tabs>
              <w:suppressAutoHyphens/>
            </w:pPr>
            <w:r w:rsidRPr="00D6026A">
              <w:rPr>
                <w:b/>
                <w:bCs/>
              </w:rPr>
              <w:t>Risk Factor</w:t>
            </w:r>
          </w:p>
        </w:tc>
        <w:tc>
          <w:tcPr>
            <w:tcW w:w="750" w:type="dxa"/>
            <w:tcBorders>
              <w:top w:val="single" w:sz="12" w:space="0" w:color="000000"/>
              <w:left w:val="single" w:sz="6" w:space="0" w:color="000000"/>
              <w:bottom w:val="single" w:sz="6" w:space="0" w:color="000000"/>
              <w:right w:val="single" w:sz="12" w:space="0" w:color="000000"/>
            </w:tcBorders>
            <w:vAlign w:val="bottom"/>
          </w:tcPr>
          <w:p w14:paraId="7FDEEE57" w14:textId="77777777" w:rsidR="003C3D6C" w:rsidRPr="00D6026A" w:rsidRDefault="003C3D6C" w:rsidP="00BF7A4D">
            <w:pPr>
              <w:tabs>
                <w:tab w:val="left" w:pos="-720"/>
              </w:tabs>
              <w:suppressAutoHyphens/>
            </w:pPr>
            <w:r w:rsidRPr="00D6026A">
              <w:rPr>
                <w:b/>
                <w:bCs/>
              </w:rPr>
              <w:t>Points</w:t>
            </w:r>
          </w:p>
        </w:tc>
      </w:tr>
      <w:tr w:rsidR="003C3D6C" w:rsidRPr="00D6026A" w14:paraId="63B98EBE" w14:textId="77777777" w:rsidTr="00BF7A4D">
        <w:trPr>
          <w:trHeight w:val="315"/>
          <w:tblCellSpacing w:w="0" w:type="dxa"/>
        </w:trPr>
        <w:tc>
          <w:tcPr>
            <w:tcW w:w="4815" w:type="dxa"/>
            <w:gridSpan w:val="3"/>
            <w:tcBorders>
              <w:top w:val="single" w:sz="6" w:space="0" w:color="000000"/>
              <w:left w:val="single" w:sz="12" w:space="0" w:color="000000"/>
              <w:bottom w:val="single" w:sz="6" w:space="0" w:color="000000"/>
            </w:tcBorders>
            <w:vAlign w:val="bottom"/>
          </w:tcPr>
          <w:p w14:paraId="5DF282BD" w14:textId="77777777" w:rsidR="003C3D6C" w:rsidRPr="00D6026A" w:rsidRDefault="003C3D6C" w:rsidP="00BF7A4D">
            <w:pPr>
              <w:tabs>
                <w:tab w:val="left" w:pos="-720"/>
              </w:tabs>
              <w:suppressAutoHyphens/>
            </w:pPr>
            <w:r w:rsidRPr="00D6026A">
              <w:rPr>
                <w:b/>
                <w:bCs/>
              </w:rPr>
              <w:t>A</w:t>
            </w:r>
            <w:r w:rsidRPr="00D6026A">
              <w:t>ge</w:t>
            </w:r>
          </w:p>
        </w:tc>
        <w:tc>
          <w:tcPr>
            <w:tcW w:w="750" w:type="dxa"/>
            <w:tcBorders>
              <w:top w:val="single" w:sz="6" w:space="0" w:color="000000"/>
              <w:left w:val="single" w:sz="6" w:space="0" w:color="000000"/>
              <w:bottom w:val="single" w:sz="6" w:space="0" w:color="000000"/>
              <w:right w:val="single" w:sz="12" w:space="0" w:color="000000"/>
            </w:tcBorders>
            <w:vAlign w:val="bottom"/>
          </w:tcPr>
          <w:p w14:paraId="3B8E78B5" w14:textId="77777777" w:rsidR="003C3D6C" w:rsidRPr="00D6026A" w:rsidRDefault="003C3D6C" w:rsidP="00BF7A4D">
            <w:pPr>
              <w:tabs>
                <w:tab w:val="left" w:pos="-720"/>
              </w:tabs>
              <w:suppressAutoHyphens/>
            </w:pPr>
            <w:r w:rsidRPr="00D6026A">
              <w:t> </w:t>
            </w:r>
          </w:p>
        </w:tc>
      </w:tr>
      <w:tr w:rsidR="003C3D6C" w:rsidRPr="00D6026A" w14:paraId="77885BC4" w14:textId="77777777" w:rsidTr="00BF7A4D">
        <w:trPr>
          <w:trHeight w:val="315"/>
          <w:tblCellSpacing w:w="0" w:type="dxa"/>
        </w:trPr>
        <w:tc>
          <w:tcPr>
            <w:tcW w:w="345" w:type="dxa"/>
            <w:gridSpan w:val="2"/>
            <w:tcBorders>
              <w:top w:val="single" w:sz="6" w:space="0" w:color="000000"/>
              <w:left w:val="single" w:sz="12" w:space="0" w:color="000000"/>
              <w:bottom w:val="single" w:sz="6" w:space="0" w:color="000000"/>
            </w:tcBorders>
            <w:vAlign w:val="bottom"/>
          </w:tcPr>
          <w:p w14:paraId="60A60ACE" w14:textId="77777777" w:rsidR="003C3D6C" w:rsidRPr="00D6026A" w:rsidRDefault="003C3D6C" w:rsidP="00BF7A4D">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5CF95D5F" w14:textId="77777777" w:rsidR="003C3D6C" w:rsidRPr="00D6026A" w:rsidRDefault="003C3D6C" w:rsidP="00BF7A4D">
            <w:pPr>
              <w:tabs>
                <w:tab w:val="left" w:pos="-720"/>
              </w:tabs>
              <w:suppressAutoHyphens/>
            </w:pPr>
            <w:r w:rsidRPr="00D6026A">
              <w:t>≥ 60 years</w:t>
            </w:r>
          </w:p>
        </w:tc>
        <w:tc>
          <w:tcPr>
            <w:tcW w:w="750" w:type="dxa"/>
            <w:tcBorders>
              <w:top w:val="single" w:sz="6" w:space="0" w:color="000000"/>
              <w:left w:val="single" w:sz="6" w:space="0" w:color="000000"/>
              <w:bottom w:val="single" w:sz="6" w:space="0" w:color="000000"/>
              <w:right w:val="single" w:sz="12" w:space="0" w:color="000000"/>
            </w:tcBorders>
            <w:vAlign w:val="bottom"/>
          </w:tcPr>
          <w:p w14:paraId="657FEBDD" w14:textId="77777777" w:rsidR="003C3D6C" w:rsidRPr="00D6026A" w:rsidRDefault="003C3D6C" w:rsidP="00BF7A4D">
            <w:pPr>
              <w:tabs>
                <w:tab w:val="left" w:pos="-720"/>
              </w:tabs>
              <w:suppressAutoHyphens/>
            </w:pPr>
            <w:r w:rsidRPr="00D6026A">
              <w:rPr>
                <w:b/>
                <w:bCs/>
              </w:rPr>
              <w:t>1</w:t>
            </w:r>
          </w:p>
        </w:tc>
      </w:tr>
      <w:tr w:rsidR="003C3D6C" w:rsidRPr="00D6026A" w14:paraId="4BC35BCC" w14:textId="77777777" w:rsidTr="00BF7A4D">
        <w:trPr>
          <w:trHeight w:val="315"/>
          <w:tblCellSpacing w:w="0" w:type="dxa"/>
        </w:trPr>
        <w:tc>
          <w:tcPr>
            <w:tcW w:w="4815" w:type="dxa"/>
            <w:gridSpan w:val="3"/>
            <w:tcBorders>
              <w:top w:val="single" w:sz="6" w:space="0" w:color="000000"/>
              <w:left w:val="single" w:sz="12" w:space="0" w:color="000000"/>
              <w:bottom w:val="single" w:sz="6" w:space="0" w:color="000000"/>
            </w:tcBorders>
            <w:vAlign w:val="bottom"/>
          </w:tcPr>
          <w:p w14:paraId="45357047" w14:textId="77777777" w:rsidR="003C3D6C" w:rsidRPr="00D6026A" w:rsidRDefault="003C3D6C" w:rsidP="00BF7A4D">
            <w:pPr>
              <w:tabs>
                <w:tab w:val="left" w:pos="-720"/>
              </w:tabs>
              <w:suppressAutoHyphens/>
            </w:pPr>
            <w:r w:rsidRPr="00D6026A">
              <w:rPr>
                <w:b/>
                <w:bCs/>
              </w:rPr>
              <w:t>B</w:t>
            </w:r>
            <w:r w:rsidRPr="00D6026A">
              <w:t>lood Pressure</w:t>
            </w:r>
          </w:p>
        </w:tc>
        <w:tc>
          <w:tcPr>
            <w:tcW w:w="750" w:type="dxa"/>
            <w:tcBorders>
              <w:top w:val="single" w:sz="6" w:space="0" w:color="000000"/>
              <w:left w:val="single" w:sz="6" w:space="0" w:color="000000"/>
              <w:bottom w:val="single" w:sz="6" w:space="0" w:color="000000"/>
              <w:right w:val="single" w:sz="12" w:space="0" w:color="000000"/>
            </w:tcBorders>
            <w:vAlign w:val="bottom"/>
          </w:tcPr>
          <w:p w14:paraId="2E213A39" w14:textId="77777777" w:rsidR="003C3D6C" w:rsidRPr="00D6026A" w:rsidRDefault="003C3D6C" w:rsidP="00BF7A4D">
            <w:pPr>
              <w:tabs>
                <w:tab w:val="left" w:pos="-720"/>
              </w:tabs>
              <w:suppressAutoHyphens/>
            </w:pPr>
            <w:r w:rsidRPr="00D6026A">
              <w:t> </w:t>
            </w:r>
          </w:p>
        </w:tc>
      </w:tr>
      <w:tr w:rsidR="003C3D6C" w:rsidRPr="00D6026A" w14:paraId="18CE1444" w14:textId="77777777" w:rsidTr="00BF7A4D">
        <w:trPr>
          <w:trHeight w:val="315"/>
          <w:tblCellSpacing w:w="0" w:type="dxa"/>
        </w:trPr>
        <w:tc>
          <w:tcPr>
            <w:tcW w:w="345" w:type="dxa"/>
            <w:gridSpan w:val="2"/>
            <w:tcBorders>
              <w:top w:val="single" w:sz="6" w:space="0" w:color="000000"/>
              <w:left w:val="single" w:sz="12" w:space="0" w:color="000000"/>
              <w:bottom w:val="single" w:sz="6" w:space="0" w:color="000000"/>
            </w:tcBorders>
            <w:vAlign w:val="bottom"/>
          </w:tcPr>
          <w:p w14:paraId="20A578B4" w14:textId="77777777" w:rsidR="003C3D6C" w:rsidRPr="00D6026A" w:rsidRDefault="003C3D6C" w:rsidP="00BF7A4D">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071451D5" w14:textId="77777777" w:rsidR="003C3D6C" w:rsidRPr="00D6026A" w:rsidRDefault="003C3D6C" w:rsidP="00BF7A4D">
            <w:pPr>
              <w:tabs>
                <w:tab w:val="left" w:pos="-720"/>
              </w:tabs>
              <w:suppressAutoHyphens/>
            </w:pPr>
            <w:r w:rsidRPr="00D6026A">
              <w:t>SBP ≥ 140 or DBP ≥ 90</w:t>
            </w:r>
          </w:p>
        </w:tc>
        <w:tc>
          <w:tcPr>
            <w:tcW w:w="750" w:type="dxa"/>
            <w:tcBorders>
              <w:top w:val="single" w:sz="6" w:space="0" w:color="000000"/>
              <w:left w:val="single" w:sz="6" w:space="0" w:color="000000"/>
              <w:bottom w:val="single" w:sz="6" w:space="0" w:color="000000"/>
              <w:right w:val="single" w:sz="12" w:space="0" w:color="000000"/>
            </w:tcBorders>
            <w:vAlign w:val="bottom"/>
          </w:tcPr>
          <w:p w14:paraId="319413F3" w14:textId="77777777" w:rsidR="003C3D6C" w:rsidRPr="00D6026A" w:rsidRDefault="003C3D6C" w:rsidP="00BF7A4D">
            <w:pPr>
              <w:tabs>
                <w:tab w:val="left" w:pos="-720"/>
              </w:tabs>
              <w:suppressAutoHyphens/>
            </w:pPr>
            <w:r w:rsidRPr="00D6026A">
              <w:rPr>
                <w:b/>
                <w:bCs/>
              </w:rPr>
              <w:t>1</w:t>
            </w:r>
          </w:p>
        </w:tc>
      </w:tr>
      <w:tr w:rsidR="003C3D6C" w:rsidRPr="00D6026A" w14:paraId="67B1F557" w14:textId="77777777" w:rsidTr="00BF7A4D">
        <w:trPr>
          <w:trHeight w:val="315"/>
          <w:tblCellSpacing w:w="0" w:type="dxa"/>
        </w:trPr>
        <w:tc>
          <w:tcPr>
            <w:tcW w:w="4815" w:type="dxa"/>
            <w:gridSpan w:val="3"/>
            <w:tcBorders>
              <w:top w:val="single" w:sz="6" w:space="0" w:color="000000"/>
              <w:left w:val="single" w:sz="12" w:space="0" w:color="000000"/>
              <w:bottom w:val="single" w:sz="6" w:space="0" w:color="000000"/>
            </w:tcBorders>
            <w:vAlign w:val="bottom"/>
          </w:tcPr>
          <w:p w14:paraId="34EC3704" w14:textId="77777777" w:rsidR="003C3D6C" w:rsidRPr="00D6026A" w:rsidRDefault="003C3D6C" w:rsidP="00BF7A4D">
            <w:pPr>
              <w:tabs>
                <w:tab w:val="left" w:pos="-720"/>
              </w:tabs>
              <w:suppressAutoHyphens/>
            </w:pPr>
            <w:r w:rsidRPr="00D6026A">
              <w:rPr>
                <w:b/>
                <w:bCs/>
              </w:rPr>
              <w:t>C</w:t>
            </w:r>
            <w:r w:rsidRPr="00D6026A">
              <w:t>lincal features of TIA</w:t>
            </w:r>
          </w:p>
        </w:tc>
        <w:tc>
          <w:tcPr>
            <w:tcW w:w="750" w:type="dxa"/>
            <w:tcBorders>
              <w:top w:val="single" w:sz="6" w:space="0" w:color="000000"/>
              <w:left w:val="single" w:sz="6" w:space="0" w:color="000000"/>
              <w:bottom w:val="single" w:sz="6" w:space="0" w:color="000000"/>
              <w:right w:val="single" w:sz="12" w:space="0" w:color="000000"/>
            </w:tcBorders>
            <w:vAlign w:val="bottom"/>
          </w:tcPr>
          <w:p w14:paraId="650764C6" w14:textId="77777777" w:rsidR="003C3D6C" w:rsidRPr="00D6026A" w:rsidRDefault="003C3D6C" w:rsidP="00BF7A4D">
            <w:pPr>
              <w:tabs>
                <w:tab w:val="left" w:pos="-720"/>
              </w:tabs>
              <w:suppressAutoHyphens/>
            </w:pPr>
            <w:r w:rsidRPr="00D6026A">
              <w:t> </w:t>
            </w:r>
          </w:p>
        </w:tc>
      </w:tr>
      <w:tr w:rsidR="003C3D6C" w:rsidRPr="00D6026A" w14:paraId="717AF351" w14:textId="77777777" w:rsidTr="00BF7A4D">
        <w:trPr>
          <w:trHeight w:val="540"/>
          <w:tblCellSpacing w:w="0" w:type="dxa"/>
        </w:trPr>
        <w:tc>
          <w:tcPr>
            <w:tcW w:w="345" w:type="dxa"/>
            <w:gridSpan w:val="2"/>
            <w:tcBorders>
              <w:top w:val="single" w:sz="6" w:space="0" w:color="000000"/>
              <w:left w:val="single" w:sz="12" w:space="0" w:color="000000"/>
              <w:bottom w:val="single" w:sz="6" w:space="0" w:color="000000"/>
            </w:tcBorders>
            <w:vAlign w:val="bottom"/>
          </w:tcPr>
          <w:p w14:paraId="311DFCA6" w14:textId="77777777" w:rsidR="003C3D6C" w:rsidRPr="00D6026A" w:rsidRDefault="003C3D6C" w:rsidP="00BF7A4D">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66723150" w14:textId="77777777" w:rsidR="003C3D6C" w:rsidRPr="00D6026A" w:rsidRDefault="003C3D6C" w:rsidP="00BF7A4D">
            <w:pPr>
              <w:tabs>
                <w:tab w:val="left" w:pos="-720"/>
              </w:tabs>
              <w:suppressAutoHyphens/>
            </w:pPr>
            <w:r w:rsidRPr="00D6026A">
              <w:t>Unilateral weakness (with or without speech impairment)</w:t>
            </w:r>
          </w:p>
        </w:tc>
        <w:tc>
          <w:tcPr>
            <w:tcW w:w="750" w:type="dxa"/>
            <w:tcBorders>
              <w:top w:val="single" w:sz="6" w:space="0" w:color="000000"/>
              <w:left w:val="single" w:sz="6" w:space="0" w:color="000000"/>
              <w:bottom w:val="single" w:sz="6" w:space="0" w:color="000000"/>
              <w:right w:val="single" w:sz="12" w:space="0" w:color="000000"/>
            </w:tcBorders>
            <w:vAlign w:val="bottom"/>
          </w:tcPr>
          <w:p w14:paraId="45DAAF11" w14:textId="77777777" w:rsidR="003C3D6C" w:rsidRPr="00D6026A" w:rsidRDefault="003C3D6C" w:rsidP="00BF7A4D">
            <w:pPr>
              <w:tabs>
                <w:tab w:val="left" w:pos="-720"/>
              </w:tabs>
              <w:suppressAutoHyphens/>
            </w:pPr>
            <w:r w:rsidRPr="00D6026A">
              <w:rPr>
                <w:b/>
                <w:bCs/>
              </w:rPr>
              <w:t>2</w:t>
            </w:r>
          </w:p>
        </w:tc>
      </w:tr>
      <w:tr w:rsidR="003C3D6C" w:rsidRPr="00D6026A" w14:paraId="27371AB4" w14:textId="77777777" w:rsidTr="00BF7A4D">
        <w:trPr>
          <w:trHeight w:val="315"/>
          <w:tblCellSpacing w:w="0" w:type="dxa"/>
        </w:trPr>
        <w:tc>
          <w:tcPr>
            <w:tcW w:w="345" w:type="dxa"/>
            <w:gridSpan w:val="2"/>
            <w:tcBorders>
              <w:top w:val="single" w:sz="6" w:space="0" w:color="000000"/>
              <w:left w:val="single" w:sz="12" w:space="0" w:color="000000"/>
              <w:bottom w:val="single" w:sz="6" w:space="0" w:color="000000"/>
            </w:tcBorders>
            <w:vAlign w:val="bottom"/>
          </w:tcPr>
          <w:p w14:paraId="14D569F5" w14:textId="77777777" w:rsidR="003C3D6C" w:rsidRPr="00D6026A" w:rsidRDefault="003C3D6C" w:rsidP="00BF7A4D">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5A4E9579" w14:textId="77777777" w:rsidR="003C3D6C" w:rsidRPr="00D6026A" w:rsidRDefault="003C3D6C" w:rsidP="00BF7A4D">
            <w:pPr>
              <w:tabs>
                <w:tab w:val="left" w:pos="-720"/>
              </w:tabs>
              <w:suppressAutoHyphens/>
            </w:pPr>
            <w:r w:rsidRPr="00D6026A">
              <w:t>Speech impairment without unilateral weakness</w:t>
            </w:r>
          </w:p>
        </w:tc>
        <w:tc>
          <w:tcPr>
            <w:tcW w:w="750" w:type="dxa"/>
            <w:tcBorders>
              <w:top w:val="single" w:sz="6" w:space="0" w:color="000000"/>
              <w:left w:val="single" w:sz="6" w:space="0" w:color="000000"/>
              <w:bottom w:val="single" w:sz="6" w:space="0" w:color="000000"/>
              <w:right w:val="single" w:sz="12" w:space="0" w:color="000000"/>
            </w:tcBorders>
            <w:vAlign w:val="bottom"/>
          </w:tcPr>
          <w:p w14:paraId="13C92903" w14:textId="77777777" w:rsidR="003C3D6C" w:rsidRPr="00D6026A" w:rsidRDefault="003C3D6C" w:rsidP="00BF7A4D">
            <w:pPr>
              <w:tabs>
                <w:tab w:val="left" w:pos="-720"/>
              </w:tabs>
              <w:suppressAutoHyphens/>
            </w:pPr>
            <w:r w:rsidRPr="00D6026A">
              <w:rPr>
                <w:b/>
                <w:bCs/>
              </w:rPr>
              <w:t>1</w:t>
            </w:r>
          </w:p>
        </w:tc>
      </w:tr>
      <w:tr w:rsidR="003C3D6C" w:rsidRPr="00D6026A" w14:paraId="0A040665" w14:textId="77777777" w:rsidTr="00BF7A4D">
        <w:trPr>
          <w:trHeight w:val="315"/>
          <w:tblCellSpacing w:w="0" w:type="dxa"/>
        </w:trPr>
        <w:tc>
          <w:tcPr>
            <w:tcW w:w="4815" w:type="dxa"/>
            <w:gridSpan w:val="3"/>
            <w:tcBorders>
              <w:top w:val="single" w:sz="6" w:space="0" w:color="000000"/>
              <w:left w:val="single" w:sz="12" w:space="0" w:color="000000"/>
              <w:bottom w:val="single" w:sz="6" w:space="0" w:color="000000"/>
            </w:tcBorders>
            <w:vAlign w:val="bottom"/>
          </w:tcPr>
          <w:p w14:paraId="0808313A" w14:textId="77777777" w:rsidR="003C3D6C" w:rsidRPr="00D6026A" w:rsidRDefault="003C3D6C" w:rsidP="00BF7A4D">
            <w:pPr>
              <w:tabs>
                <w:tab w:val="left" w:pos="-720"/>
              </w:tabs>
              <w:suppressAutoHyphens/>
            </w:pPr>
            <w:r w:rsidRPr="00D6026A">
              <w:rPr>
                <w:b/>
                <w:bCs/>
              </w:rPr>
              <w:t>D</w:t>
            </w:r>
            <w:r w:rsidRPr="00D6026A">
              <w:t>uration</w:t>
            </w:r>
          </w:p>
        </w:tc>
        <w:tc>
          <w:tcPr>
            <w:tcW w:w="750" w:type="dxa"/>
            <w:tcBorders>
              <w:top w:val="single" w:sz="6" w:space="0" w:color="000000"/>
              <w:left w:val="single" w:sz="6" w:space="0" w:color="000000"/>
              <w:bottom w:val="single" w:sz="6" w:space="0" w:color="000000"/>
              <w:right w:val="single" w:sz="12" w:space="0" w:color="000000"/>
            </w:tcBorders>
            <w:vAlign w:val="bottom"/>
          </w:tcPr>
          <w:p w14:paraId="3D553CA3" w14:textId="77777777" w:rsidR="003C3D6C" w:rsidRPr="00D6026A" w:rsidRDefault="003C3D6C" w:rsidP="00BF7A4D">
            <w:pPr>
              <w:tabs>
                <w:tab w:val="left" w:pos="-720"/>
              </w:tabs>
              <w:suppressAutoHyphens/>
            </w:pPr>
            <w:r w:rsidRPr="00D6026A">
              <w:t> </w:t>
            </w:r>
          </w:p>
        </w:tc>
      </w:tr>
      <w:tr w:rsidR="003C3D6C" w:rsidRPr="00D6026A" w14:paraId="49E451C4" w14:textId="77777777" w:rsidTr="00BF7A4D">
        <w:trPr>
          <w:trHeight w:val="315"/>
          <w:tblCellSpacing w:w="0" w:type="dxa"/>
        </w:trPr>
        <w:tc>
          <w:tcPr>
            <w:tcW w:w="345" w:type="dxa"/>
            <w:gridSpan w:val="2"/>
            <w:tcBorders>
              <w:top w:val="single" w:sz="6" w:space="0" w:color="000000"/>
              <w:left w:val="single" w:sz="12" w:space="0" w:color="000000"/>
              <w:bottom w:val="single" w:sz="6" w:space="0" w:color="000000"/>
            </w:tcBorders>
            <w:vAlign w:val="bottom"/>
          </w:tcPr>
          <w:p w14:paraId="5776079D" w14:textId="77777777" w:rsidR="003C3D6C" w:rsidRPr="00D6026A" w:rsidRDefault="003C3D6C" w:rsidP="00BF7A4D">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660EF158" w14:textId="77777777" w:rsidR="003C3D6C" w:rsidRPr="00D6026A" w:rsidRDefault="003C3D6C" w:rsidP="00BF7A4D">
            <w:pPr>
              <w:tabs>
                <w:tab w:val="left" w:pos="-720"/>
              </w:tabs>
              <w:suppressAutoHyphens/>
            </w:pPr>
            <w:r w:rsidRPr="00D6026A">
              <w:t>TIA duration ≥ 60 minutes</w:t>
            </w:r>
          </w:p>
        </w:tc>
        <w:tc>
          <w:tcPr>
            <w:tcW w:w="750" w:type="dxa"/>
            <w:tcBorders>
              <w:top w:val="single" w:sz="6" w:space="0" w:color="000000"/>
              <w:left w:val="single" w:sz="6" w:space="0" w:color="000000"/>
              <w:bottom w:val="single" w:sz="6" w:space="0" w:color="000000"/>
              <w:right w:val="single" w:sz="12" w:space="0" w:color="000000"/>
            </w:tcBorders>
            <w:vAlign w:val="bottom"/>
          </w:tcPr>
          <w:p w14:paraId="664D989B" w14:textId="77777777" w:rsidR="003C3D6C" w:rsidRPr="00D6026A" w:rsidRDefault="003C3D6C" w:rsidP="00BF7A4D">
            <w:pPr>
              <w:tabs>
                <w:tab w:val="left" w:pos="-720"/>
              </w:tabs>
              <w:suppressAutoHyphens/>
            </w:pPr>
            <w:r w:rsidRPr="00D6026A">
              <w:rPr>
                <w:b/>
                <w:bCs/>
              </w:rPr>
              <w:t>2</w:t>
            </w:r>
          </w:p>
        </w:tc>
      </w:tr>
      <w:tr w:rsidR="003C3D6C" w:rsidRPr="00D6026A" w14:paraId="6738DC65" w14:textId="77777777" w:rsidTr="00BF7A4D">
        <w:trPr>
          <w:trHeight w:val="315"/>
          <w:tblCellSpacing w:w="0" w:type="dxa"/>
        </w:trPr>
        <w:tc>
          <w:tcPr>
            <w:tcW w:w="345" w:type="dxa"/>
            <w:gridSpan w:val="2"/>
            <w:tcBorders>
              <w:top w:val="single" w:sz="6" w:space="0" w:color="000000"/>
              <w:left w:val="single" w:sz="12" w:space="0" w:color="000000"/>
              <w:bottom w:val="single" w:sz="6" w:space="0" w:color="000000"/>
            </w:tcBorders>
            <w:vAlign w:val="bottom"/>
          </w:tcPr>
          <w:p w14:paraId="5721B5C7" w14:textId="77777777" w:rsidR="003C3D6C" w:rsidRPr="00D6026A" w:rsidRDefault="003C3D6C" w:rsidP="00BF7A4D">
            <w:pPr>
              <w:tabs>
                <w:tab w:val="left" w:pos="-720"/>
              </w:tabs>
              <w:suppressAutoHyphens/>
            </w:pPr>
            <w:r w:rsidRPr="00D6026A">
              <w:t> </w:t>
            </w:r>
          </w:p>
        </w:tc>
        <w:tc>
          <w:tcPr>
            <w:tcW w:w="4485" w:type="dxa"/>
            <w:tcBorders>
              <w:top w:val="single" w:sz="6" w:space="0" w:color="000000"/>
              <w:left w:val="single" w:sz="6" w:space="0" w:color="000000"/>
              <w:bottom w:val="single" w:sz="6" w:space="0" w:color="000000"/>
              <w:right w:val="single" w:sz="6" w:space="0" w:color="000000"/>
            </w:tcBorders>
            <w:vAlign w:val="bottom"/>
          </w:tcPr>
          <w:p w14:paraId="43476A82" w14:textId="77777777" w:rsidR="003C3D6C" w:rsidRPr="00D6026A" w:rsidRDefault="003C3D6C" w:rsidP="00BF7A4D">
            <w:pPr>
              <w:tabs>
                <w:tab w:val="left" w:pos="-720"/>
              </w:tabs>
              <w:suppressAutoHyphens/>
            </w:pPr>
            <w:r w:rsidRPr="00D6026A">
              <w:t>TIA duration 10-59 minutes</w:t>
            </w:r>
          </w:p>
        </w:tc>
        <w:tc>
          <w:tcPr>
            <w:tcW w:w="750" w:type="dxa"/>
            <w:tcBorders>
              <w:top w:val="single" w:sz="6" w:space="0" w:color="000000"/>
              <w:left w:val="single" w:sz="6" w:space="0" w:color="000000"/>
              <w:bottom w:val="single" w:sz="6" w:space="0" w:color="000000"/>
              <w:right w:val="single" w:sz="12" w:space="0" w:color="000000"/>
            </w:tcBorders>
            <w:vAlign w:val="bottom"/>
          </w:tcPr>
          <w:p w14:paraId="25CDE78D" w14:textId="77777777" w:rsidR="003C3D6C" w:rsidRPr="00D6026A" w:rsidRDefault="003C3D6C" w:rsidP="00BF7A4D">
            <w:pPr>
              <w:tabs>
                <w:tab w:val="left" w:pos="-720"/>
              </w:tabs>
              <w:suppressAutoHyphens/>
            </w:pPr>
            <w:r w:rsidRPr="00D6026A">
              <w:rPr>
                <w:b/>
                <w:bCs/>
              </w:rPr>
              <w:t>1</w:t>
            </w:r>
          </w:p>
        </w:tc>
      </w:tr>
      <w:tr w:rsidR="003C3D6C" w:rsidRPr="00D6026A" w14:paraId="03C1CFC3" w14:textId="77777777" w:rsidTr="00BF7A4D">
        <w:trPr>
          <w:trHeight w:val="315"/>
          <w:tblCellSpacing w:w="0" w:type="dxa"/>
        </w:trPr>
        <w:tc>
          <w:tcPr>
            <w:tcW w:w="4815" w:type="dxa"/>
            <w:gridSpan w:val="3"/>
            <w:tcBorders>
              <w:top w:val="single" w:sz="6" w:space="0" w:color="000000"/>
              <w:left w:val="single" w:sz="12" w:space="0" w:color="000000"/>
              <w:bottom w:val="single" w:sz="6" w:space="0" w:color="000000"/>
            </w:tcBorders>
            <w:vAlign w:val="bottom"/>
          </w:tcPr>
          <w:p w14:paraId="0B6BF62C" w14:textId="77777777" w:rsidR="003C3D6C" w:rsidRPr="00D6026A" w:rsidRDefault="003C3D6C" w:rsidP="00BF7A4D">
            <w:pPr>
              <w:tabs>
                <w:tab w:val="left" w:pos="-720"/>
              </w:tabs>
              <w:suppressAutoHyphens/>
            </w:pPr>
            <w:r w:rsidRPr="00D6026A">
              <w:rPr>
                <w:b/>
                <w:bCs/>
              </w:rPr>
              <w:t>D</w:t>
            </w:r>
            <w:r w:rsidRPr="00D6026A">
              <w:t>iabetes</w:t>
            </w:r>
          </w:p>
        </w:tc>
        <w:tc>
          <w:tcPr>
            <w:tcW w:w="750" w:type="dxa"/>
            <w:tcBorders>
              <w:top w:val="single" w:sz="6" w:space="0" w:color="000000"/>
              <w:left w:val="single" w:sz="6" w:space="0" w:color="000000"/>
              <w:bottom w:val="single" w:sz="6" w:space="0" w:color="000000"/>
              <w:right w:val="single" w:sz="12" w:space="0" w:color="000000"/>
            </w:tcBorders>
            <w:vAlign w:val="bottom"/>
          </w:tcPr>
          <w:p w14:paraId="47CFA38A" w14:textId="77777777" w:rsidR="003C3D6C" w:rsidRPr="00D6026A" w:rsidRDefault="003C3D6C" w:rsidP="00BF7A4D">
            <w:pPr>
              <w:tabs>
                <w:tab w:val="left" w:pos="-720"/>
              </w:tabs>
              <w:suppressAutoHyphens/>
            </w:pPr>
            <w:r w:rsidRPr="00D6026A">
              <w:t> </w:t>
            </w:r>
          </w:p>
        </w:tc>
      </w:tr>
      <w:tr w:rsidR="003C3D6C" w:rsidRPr="00D6026A" w14:paraId="25B3D9A4" w14:textId="77777777" w:rsidTr="00BF7A4D">
        <w:trPr>
          <w:trHeight w:val="315"/>
          <w:tblCellSpacing w:w="0" w:type="dxa"/>
        </w:trPr>
        <w:tc>
          <w:tcPr>
            <w:tcW w:w="180" w:type="dxa"/>
            <w:tcBorders>
              <w:top w:val="single" w:sz="6" w:space="0" w:color="000000"/>
              <w:left w:val="single" w:sz="12" w:space="0" w:color="000000"/>
              <w:bottom w:val="single" w:sz="6" w:space="0" w:color="000000"/>
              <w:right w:val="single" w:sz="6" w:space="0" w:color="000000"/>
            </w:tcBorders>
            <w:vAlign w:val="bottom"/>
          </w:tcPr>
          <w:p w14:paraId="3D4C0B29" w14:textId="77777777" w:rsidR="003C3D6C" w:rsidRPr="00D6026A" w:rsidRDefault="003C3D6C" w:rsidP="00BF7A4D">
            <w:pPr>
              <w:tabs>
                <w:tab w:val="left" w:pos="-720"/>
              </w:tabs>
              <w:suppressAutoHyphens/>
            </w:pPr>
            <w:r w:rsidRPr="00D6026A">
              <w:t> </w:t>
            </w:r>
          </w:p>
        </w:tc>
        <w:tc>
          <w:tcPr>
            <w:tcW w:w="4650" w:type="dxa"/>
            <w:gridSpan w:val="2"/>
            <w:tcBorders>
              <w:top w:val="single" w:sz="6" w:space="0" w:color="000000"/>
              <w:left w:val="single" w:sz="6" w:space="0" w:color="000000"/>
              <w:bottom w:val="single" w:sz="6" w:space="0" w:color="000000"/>
            </w:tcBorders>
            <w:vAlign w:val="bottom"/>
          </w:tcPr>
          <w:p w14:paraId="2954FAE3" w14:textId="77777777" w:rsidR="003C3D6C" w:rsidRPr="00D6026A" w:rsidRDefault="003C3D6C" w:rsidP="00BF7A4D">
            <w:pPr>
              <w:tabs>
                <w:tab w:val="left" w:pos="-720"/>
              </w:tabs>
              <w:suppressAutoHyphens/>
            </w:pPr>
            <w:r w:rsidRPr="00D6026A">
              <w:t>Diabetes diagnosed by a physician</w:t>
            </w:r>
          </w:p>
        </w:tc>
        <w:tc>
          <w:tcPr>
            <w:tcW w:w="750" w:type="dxa"/>
            <w:tcBorders>
              <w:top w:val="single" w:sz="6" w:space="0" w:color="000000"/>
              <w:left w:val="single" w:sz="6" w:space="0" w:color="000000"/>
              <w:bottom w:val="single" w:sz="6" w:space="0" w:color="000000"/>
              <w:right w:val="single" w:sz="12" w:space="0" w:color="000000"/>
            </w:tcBorders>
            <w:vAlign w:val="bottom"/>
          </w:tcPr>
          <w:p w14:paraId="3C29ABE2" w14:textId="77777777" w:rsidR="003C3D6C" w:rsidRPr="00D6026A" w:rsidRDefault="003C3D6C" w:rsidP="00BF7A4D">
            <w:pPr>
              <w:tabs>
                <w:tab w:val="left" w:pos="-720"/>
              </w:tabs>
              <w:suppressAutoHyphens/>
            </w:pPr>
            <w:r w:rsidRPr="00D6026A">
              <w:rPr>
                <w:b/>
                <w:bCs/>
              </w:rPr>
              <w:t>1</w:t>
            </w:r>
          </w:p>
        </w:tc>
      </w:tr>
      <w:tr w:rsidR="003C3D6C" w:rsidRPr="00D6026A" w14:paraId="20E2E99C" w14:textId="77777777" w:rsidTr="00BF7A4D">
        <w:trPr>
          <w:trHeight w:val="315"/>
          <w:tblCellSpacing w:w="0" w:type="dxa"/>
        </w:trPr>
        <w:tc>
          <w:tcPr>
            <w:tcW w:w="180" w:type="dxa"/>
            <w:tcBorders>
              <w:top w:val="single" w:sz="6" w:space="0" w:color="000000"/>
              <w:left w:val="single" w:sz="12" w:space="0" w:color="000000"/>
              <w:bottom w:val="single" w:sz="12" w:space="0" w:color="000000"/>
              <w:right w:val="single" w:sz="6" w:space="0" w:color="000000"/>
            </w:tcBorders>
            <w:vAlign w:val="bottom"/>
          </w:tcPr>
          <w:p w14:paraId="7FB12890" w14:textId="77777777" w:rsidR="003C3D6C" w:rsidRPr="00D6026A" w:rsidRDefault="003C3D6C" w:rsidP="00BF7A4D">
            <w:pPr>
              <w:tabs>
                <w:tab w:val="left" w:pos="-720"/>
              </w:tabs>
              <w:suppressAutoHyphens/>
            </w:pPr>
            <w:r w:rsidRPr="00D6026A">
              <w:t> </w:t>
            </w:r>
          </w:p>
        </w:tc>
        <w:tc>
          <w:tcPr>
            <w:tcW w:w="4650" w:type="dxa"/>
            <w:gridSpan w:val="2"/>
            <w:tcBorders>
              <w:top w:val="single" w:sz="6" w:space="0" w:color="000000"/>
              <w:left w:val="single" w:sz="6" w:space="0" w:color="000000"/>
              <w:bottom w:val="single" w:sz="12" w:space="0" w:color="000000"/>
            </w:tcBorders>
            <w:vAlign w:val="bottom"/>
          </w:tcPr>
          <w:p w14:paraId="4A6E2129" w14:textId="77777777" w:rsidR="003C3D6C" w:rsidRPr="00D6026A" w:rsidRDefault="003C3D6C" w:rsidP="00BF7A4D">
            <w:pPr>
              <w:tabs>
                <w:tab w:val="left" w:pos="-720"/>
              </w:tabs>
              <w:suppressAutoHyphens/>
            </w:pPr>
            <w:r w:rsidRPr="00D6026A">
              <w:rPr>
                <w:b/>
                <w:bCs/>
              </w:rPr>
              <w:t>Total ABCD2 Score</w:t>
            </w:r>
          </w:p>
        </w:tc>
        <w:tc>
          <w:tcPr>
            <w:tcW w:w="750" w:type="dxa"/>
            <w:tcBorders>
              <w:top w:val="single" w:sz="6" w:space="0" w:color="000000"/>
              <w:left w:val="single" w:sz="6" w:space="0" w:color="000000"/>
              <w:bottom w:val="single" w:sz="12" w:space="0" w:color="000000"/>
              <w:right w:val="single" w:sz="12" w:space="0" w:color="000000"/>
            </w:tcBorders>
            <w:vAlign w:val="bottom"/>
          </w:tcPr>
          <w:p w14:paraId="7DFAFDAE" w14:textId="77777777" w:rsidR="003C3D6C" w:rsidRPr="00D6026A" w:rsidRDefault="003C3D6C" w:rsidP="00BF7A4D">
            <w:pPr>
              <w:tabs>
                <w:tab w:val="left" w:pos="-720"/>
              </w:tabs>
              <w:suppressAutoHyphens/>
            </w:pPr>
            <w:r w:rsidRPr="00D6026A">
              <w:rPr>
                <w:b/>
                <w:bCs/>
              </w:rPr>
              <w:t xml:space="preserve">0 – 7 </w:t>
            </w:r>
          </w:p>
        </w:tc>
      </w:tr>
    </w:tbl>
    <w:p w14:paraId="3C28C0A4" w14:textId="77777777" w:rsidR="003C3D6C" w:rsidRDefault="003C3D6C" w:rsidP="003C3D6C">
      <w:pPr>
        <w:tabs>
          <w:tab w:val="left" w:pos="-720"/>
        </w:tabs>
        <w:suppressAutoHyphens/>
      </w:pPr>
    </w:p>
    <w:p w14:paraId="175A56C7" w14:textId="6C57172A" w:rsidR="003C3D6C" w:rsidRDefault="003C3D6C" w:rsidP="003C3D6C">
      <w:pPr>
        <w:tabs>
          <w:tab w:val="left" w:pos="-720"/>
        </w:tabs>
        <w:suppressAutoHyphens/>
      </w:pPr>
      <w:r>
        <w:t>Here are the risks of stroke associated with different ranges of ABCD2 score.  We will focus on 2-day stroke risk.</w:t>
      </w:r>
    </w:p>
    <w:p w14:paraId="04DC7032" w14:textId="77777777" w:rsidR="003C3D6C" w:rsidRDefault="003C3D6C" w:rsidP="003C3D6C">
      <w:pPr>
        <w:tabs>
          <w:tab w:val="left" w:pos="-720"/>
        </w:tabs>
        <w:suppressAutoHyphens/>
      </w:pPr>
    </w:p>
    <w:tbl>
      <w:tblPr>
        <w:tblW w:w="7635" w:type="dxa"/>
        <w:jc w:val="center"/>
        <w:tblCellSpacing w:w="0" w:type="dxa"/>
        <w:tblCellMar>
          <w:left w:w="0" w:type="dxa"/>
          <w:right w:w="0" w:type="dxa"/>
        </w:tblCellMar>
        <w:tblLook w:val="0000" w:firstRow="0" w:lastRow="0" w:firstColumn="0" w:lastColumn="0" w:noHBand="0" w:noVBand="0"/>
      </w:tblPr>
      <w:tblGrid>
        <w:gridCol w:w="1344"/>
        <w:gridCol w:w="1969"/>
        <w:gridCol w:w="1834"/>
        <w:gridCol w:w="2488"/>
      </w:tblGrid>
      <w:tr w:rsidR="003C3D6C" w:rsidRPr="00295FD7" w14:paraId="269D85BD" w14:textId="77777777" w:rsidTr="00BF7A4D">
        <w:trPr>
          <w:trHeight w:val="573"/>
          <w:tblCellSpacing w:w="0" w:type="dxa"/>
          <w:jc w:val="center"/>
        </w:trPr>
        <w:tc>
          <w:tcPr>
            <w:tcW w:w="1350" w:type="dxa"/>
            <w:tcBorders>
              <w:top w:val="single" w:sz="12" w:space="0" w:color="000000"/>
              <w:left w:val="single" w:sz="12" w:space="0" w:color="000000"/>
              <w:bottom w:val="single" w:sz="6" w:space="0" w:color="000000"/>
              <w:right w:val="single" w:sz="6" w:space="0" w:color="000000"/>
            </w:tcBorders>
            <w:vAlign w:val="center"/>
          </w:tcPr>
          <w:p w14:paraId="7FBFDD9E" w14:textId="77777777" w:rsidR="003C3D6C" w:rsidRPr="00295FD7" w:rsidRDefault="003C3D6C" w:rsidP="00BF7A4D">
            <w:pPr>
              <w:tabs>
                <w:tab w:val="left" w:pos="-720"/>
              </w:tabs>
              <w:suppressAutoHyphens/>
              <w:jc w:val="center"/>
            </w:pPr>
            <w:r w:rsidRPr="00295FD7">
              <w:rPr>
                <w:b/>
                <w:bCs/>
              </w:rPr>
              <w:t>Score</w:t>
            </w:r>
          </w:p>
        </w:tc>
        <w:tc>
          <w:tcPr>
            <w:tcW w:w="1980" w:type="dxa"/>
            <w:tcBorders>
              <w:top w:val="single" w:sz="12" w:space="0" w:color="000000"/>
              <w:left w:val="single" w:sz="6" w:space="0" w:color="000000"/>
              <w:bottom w:val="single" w:sz="6" w:space="0" w:color="000000"/>
              <w:right w:val="single" w:sz="6" w:space="0" w:color="000000"/>
            </w:tcBorders>
            <w:vAlign w:val="center"/>
          </w:tcPr>
          <w:p w14:paraId="7EA5F89F" w14:textId="77777777" w:rsidR="003C3D6C" w:rsidRPr="00295FD7" w:rsidRDefault="003C3D6C" w:rsidP="00BF7A4D">
            <w:pPr>
              <w:tabs>
                <w:tab w:val="left" w:pos="-720"/>
              </w:tabs>
              <w:suppressAutoHyphens/>
              <w:jc w:val="center"/>
            </w:pPr>
            <w:r w:rsidRPr="00295FD7">
              <w:rPr>
                <w:b/>
                <w:bCs/>
              </w:rPr>
              <w:t>% of TIA Patients</w:t>
            </w:r>
          </w:p>
        </w:tc>
        <w:tc>
          <w:tcPr>
            <w:tcW w:w="1845" w:type="dxa"/>
            <w:tcBorders>
              <w:top w:val="single" w:sz="12" w:space="0" w:color="000000"/>
              <w:left w:val="single" w:sz="6" w:space="0" w:color="000000"/>
              <w:bottom w:val="single" w:sz="6" w:space="0" w:color="000000"/>
              <w:right w:val="single" w:sz="6" w:space="0" w:color="000000"/>
            </w:tcBorders>
            <w:vAlign w:val="center"/>
          </w:tcPr>
          <w:p w14:paraId="403FE047" w14:textId="77777777" w:rsidR="003C3D6C" w:rsidRPr="00295FD7" w:rsidRDefault="003C3D6C" w:rsidP="00BF7A4D">
            <w:pPr>
              <w:tabs>
                <w:tab w:val="left" w:pos="-720"/>
              </w:tabs>
              <w:suppressAutoHyphens/>
              <w:jc w:val="center"/>
            </w:pPr>
            <w:r w:rsidRPr="00295FD7">
              <w:rPr>
                <w:b/>
                <w:bCs/>
              </w:rPr>
              <w:t xml:space="preserve">2-day </w:t>
            </w:r>
            <w:r>
              <w:rPr>
                <w:b/>
                <w:bCs/>
              </w:rPr>
              <w:t xml:space="preserve">Stroke </w:t>
            </w:r>
            <w:r w:rsidRPr="00295FD7">
              <w:rPr>
                <w:b/>
                <w:bCs/>
              </w:rPr>
              <w:t>Risk</w:t>
            </w:r>
          </w:p>
        </w:tc>
        <w:tc>
          <w:tcPr>
            <w:tcW w:w="2505" w:type="dxa"/>
            <w:tcBorders>
              <w:top w:val="single" w:sz="12" w:space="0" w:color="000000"/>
              <w:left w:val="single" w:sz="6" w:space="0" w:color="000000"/>
              <w:bottom w:val="single" w:sz="6" w:space="0" w:color="000000"/>
              <w:right w:val="single" w:sz="12" w:space="0" w:color="000000"/>
            </w:tcBorders>
            <w:vAlign w:val="center"/>
          </w:tcPr>
          <w:p w14:paraId="6D8BC8A6" w14:textId="77777777" w:rsidR="003C3D6C" w:rsidRPr="00295FD7" w:rsidRDefault="003C3D6C" w:rsidP="00BF7A4D">
            <w:pPr>
              <w:tabs>
                <w:tab w:val="left" w:pos="-720"/>
              </w:tabs>
              <w:suppressAutoHyphens/>
              <w:jc w:val="center"/>
            </w:pPr>
            <w:r w:rsidRPr="00295FD7">
              <w:rPr>
                <w:b/>
                <w:bCs/>
              </w:rPr>
              <w:t>90-Day Stroke Risk</w:t>
            </w:r>
          </w:p>
        </w:tc>
      </w:tr>
      <w:tr w:rsidR="003C3D6C" w:rsidRPr="00295FD7" w14:paraId="2E48D08F" w14:textId="77777777" w:rsidTr="00BF7A4D">
        <w:trPr>
          <w:trHeight w:val="165"/>
          <w:tblCellSpacing w:w="0" w:type="dxa"/>
          <w:jc w:val="center"/>
        </w:trPr>
        <w:tc>
          <w:tcPr>
            <w:tcW w:w="1350" w:type="dxa"/>
            <w:tcBorders>
              <w:top w:val="single" w:sz="6" w:space="0" w:color="000000"/>
              <w:left w:val="single" w:sz="12" w:space="0" w:color="000000"/>
              <w:bottom w:val="single" w:sz="6" w:space="0" w:color="000000"/>
              <w:right w:val="single" w:sz="6" w:space="0" w:color="000000"/>
            </w:tcBorders>
            <w:vAlign w:val="bottom"/>
          </w:tcPr>
          <w:p w14:paraId="042059D6" w14:textId="77777777" w:rsidR="003C3D6C" w:rsidRPr="00295FD7" w:rsidRDefault="003C3D6C" w:rsidP="00BF7A4D">
            <w:pPr>
              <w:tabs>
                <w:tab w:val="left" w:pos="-720"/>
              </w:tabs>
              <w:suppressAutoHyphens/>
              <w:jc w:val="center"/>
            </w:pPr>
            <w:r w:rsidRPr="00295FD7">
              <w:t>0-3</w:t>
            </w:r>
          </w:p>
        </w:tc>
        <w:tc>
          <w:tcPr>
            <w:tcW w:w="1980" w:type="dxa"/>
            <w:tcBorders>
              <w:top w:val="single" w:sz="6" w:space="0" w:color="000000"/>
              <w:left w:val="single" w:sz="6" w:space="0" w:color="000000"/>
              <w:bottom w:val="single" w:sz="6" w:space="0" w:color="000000"/>
              <w:right w:val="single" w:sz="6" w:space="0" w:color="000000"/>
            </w:tcBorders>
            <w:vAlign w:val="bottom"/>
          </w:tcPr>
          <w:p w14:paraId="682326BB" w14:textId="77777777" w:rsidR="003C3D6C" w:rsidRPr="00295FD7" w:rsidRDefault="003C3D6C" w:rsidP="00BF7A4D">
            <w:pPr>
              <w:tabs>
                <w:tab w:val="left" w:pos="-720"/>
              </w:tabs>
              <w:suppressAutoHyphens/>
              <w:jc w:val="center"/>
            </w:pPr>
            <w:r w:rsidRPr="00295FD7">
              <w:t>34%</w:t>
            </w:r>
          </w:p>
        </w:tc>
        <w:tc>
          <w:tcPr>
            <w:tcW w:w="1845" w:type="dxa"/>
            <w:tcBorders>
              <w:top w:val="single" w:sz="6" w:space="0" w:color="000000"/>
              <w:left w:val="single" w:sz="6" w:space="0" w:color="000000"/>
              <w:bottom w:val="single" w:sz="6" w:space="0" w:color="000000"/>
              <w:right w:val="single" w:sz="6" w:space="0" w:color="000000"/>
            </w:tcBorders>
            <w:vAlign w:val="bottom"/>
          </w:tcPr>
          <w:p w14:paraId="2791B26C" w14:textId="77777777" w:rsidR="003C3D6C" w:rsidRPr="00295FD7" w:rsidRDefault="003C3D6C" w:rsidP="00BF7A4D">
            <w:pPr>
              <w:tabs>
                <w:tab w:val="left" w:pos="-720"/>
              </w:tabs>
              <w:suppressAutoHyphens/>
              <w:jc w:val="center"/>
            </w:pPr>
            <w:r w:rsidRPr="00295FD7">
              <w:t>1.0%</w:t>
            </w:r>
          </w:p>
        </w:tc>
        <w:tc>
          <w:tcPr>
            <w:tcW w:w="2505" w:type="dxa"/>
            <w:tcBorders>
              <w:top w:val="single" w:sz="6" w:space="0" w:color="000000"/>
              <w:left w:val="single" w:sz="6" w:space="0" w:color="000000"/>
              <w:bottom w:val="single" w:sz="6" w:space="0" w:color="000000"/>
              <w:right w:val="single" w:sz="12" w:space="0" w:color="000000"/>
            </w:tcBorders>
            <w:vAlign w:val="bottom"/>
          </w:tcPr>
          <w:p w14:paraId="1B768E96" w14:textId="77777777" w:rsidR="003C3D6C" w:rsidRPr="00295FD7" w:rsidRDefault="003C3D6C" w:rsidP="00BF7A4D">
            <w:pPr>
              <w:tabs>
                <w:tab w:val="left" w:pos="-720"/>
              </w:tabs>
              <w:suppressAutoHyphens/>
              <w:jc w:val="center"/>
            </w:pPr>
            <w:r w:rsidRPr="00295FD7">
              <w:t>3.1%</w:t>
            </w:r>
          </w:p>
        </w:tc>
      </w:tr>
      <w:tr w:rsidR="003C3D6C" w:rsidRPr="00295FD7" w14:paraId="544F69E1" w14:textId="77777777" w:rsidTr="00BF7A4D">
        <w:trPr>
          <w:trHeight w:val="345"/>
          <w:tblCellSpacing w:w="0" w:type="dxa"/>
          <w:jc w:val="center"/>
        </w:trPr>
        <w:tc>
          <w:tcPr>
            <w:tcW w:w="1350" w:type="dxa"/>
            <w:tcBorders>
              <w:top w:val="single" w:sz="6" w:space="0" w:color="000000"/>
              <w:left w:val="single" w:sz="12" w:space="0" w:color="000000"/>
              <w:bottom w:val="single" w:sz="6" w:space="0" w:color="000000"/>
              <w:right w:val="single" w:sz="6" w:space="0" w:color="000000"/>
            </w:tcBorders>
            <w:vAlign w:val="bottom"/>
          </w:tcPr>
          <w:p w14:paraId="3A75BD0A" w14:textId="77777777" w:rsidR="003C3D6C" w:rsidRPr="00295FD7" w:rsidRDefault="003C3D6C" w:rsidP="00BF7A4D">
            <w:pPr>
              <w:tabs>
                <w:tab w:val="left" w:pos="-720"/>
              </w:tabs>
              <w:suppressAutoHyphens/>
              <w:jc w:val="center"/>
            </w:pPr>
            <w:r w:rsidRPr="00295FD7">
              <w:t>4-5</w:t>
            </w:r>
          </w:p>
        </w:tc>
        <w:tc>
          <w:tcPr>
            <w:tcW w:w="1980" w:type="dxa"/>
            <w:tcBorders>
              <w:top w:val="single" w:sz="6" w:space="0" w:color="000000"/>
              <w:left w:val="single" w:sz="6" w:space="0" w:color="000000"/>
              <w:bottom w:val="single" w:sz="6" w:space="0" w:color="000000"/>
              <w:right w:val="single" w:sz="6" w:space="0" w:color="000000"/>
            </w:tcBorders>
            <w:vAlign w:val="bottom"/>
          </w:tcPr>
          <w:p w14:paraId="51E20039" w14:textId="77777777" w:rsidR="003C3D6C" w:rsidRPr="00295FD7" w:rsidRDefault="003C3D6C" w:rsidP="00BF7A4D">
            <w:pPr>
              <w:tabs>
                <w:tab w:val="left" w:pos="-720"/>
              </w:tabs>
              <w:suppressAutoHyphens/>
              <w:jc w:val="center"/>
            </w:pPr>
            <w:r w:rsidRPr="00295FD7">
              <w:t>45%</w:t>
            </w:r>
          </w:p>
        </w:tc>
        <w:tc>
          <w:tcPr>
            <w:tcW w:w="1845" w:type="dxa"/>
            <w:tcBorders>
              <w:top w:val="single" w:sz="6" w:space="0" w:color="000000"/>
              <w:left w:val="single" w:sz="6" w:space="0" w:color="000000"/>
              <w:bottom w:val="single" w:sz="6" w:space="0" w:color="000000"/>
              <w:right w:val="single" w:sz="6" w:space="0" w:color="000000"/>
            </w:tcBorders>
            <w:vAlign w:val="bottom"/>
          </w:tcPr>
          <w:p w14:paraId="662F7182" w14:textId="77777777" w:rsidR="003C3D6C" w:rsidRPr="00295FD7" w:rsidRDefault="003C3D6C" w:rsidP="00BF7A4D">
            <w:pPr>
              <w:tabs>
                <w:tab w:val="left" w:pos="-720"/>
              </w:tabs>
              <w:suppressAutoHyphens/>
              <w:jc w:val="center"/>
            </w:pPr>
            <w:r w:rsidRPr="00295FD7">
              <w:t>4.1%</w:t>
            </w:r>
          </w:p>
        </w:tc>
        <w:tc>
          <w:tcPr>
            <w:tcW w:w="2505" w:type="dxa"/>
            <w:tcBorders>
              <w:top w:val="single" w:sz="6" w:space="0" w:color="000000"/>
              <w:left w:val="single" w:sz="6" w:space="0" w:color="000000"/>
              <w:bottom w:val="single" w:sz="6" w:space="0" w:color="000000"/>
              <w:right w:val="single" w:sz="12" w:space="0" w:color="000000"/>
            </w:tcBorders>
            <w:vAlign w:val="bottom"/>
          </w:tcPr>
          <w:p w14:paraId="45226A28" w14:textId="77777777" w:rsidR="003C3D6C" w:rsidRPr="00295FD7" w:rsidRDefault="003C3D6C" w:rsidP="00BF7A4D">
            <w:pPr>
              <w:tabs>
                <w:tab w:val="left" w:pos="-720"/>
              </w:tabs>
              <w:suppressAutoHyphens/>
              <w:jc w:val="center"/>
            </w:pPr>
            <w:r w:rsidRPr="00295FD7">
              <w:t>9.8%</w:t>
            </w:r>
          </w:p>
        </w:tc>
      </w:tr>
      <w:tr w:rsidR="003C3D6C" w:rsidRPr="00295FD7" w14:paraId="47727C96" w14:textId="77777777" w:rsidTr="00BF7A4D">
        <w:trPr>
          <w:trHeight w:val="345"/>
          <w:tblCellSpacing w:w="0" w:type="dxa"/>
          <w:jc w:val="center"/>
        </w:trPr>
        <w:tc>
          <w:tcPr>
            <w:tcW w:w="1350" w:type="dxa"/>
            <w:tcBorders>
              <w:top w:val="single" w:sz="6" w:space="0" w:color="000000"/>
              <w:left w:val="single" w:sz="12" w:space="0" w:color="000000"/>
              <w:bottom w:val="single" w:sz="6" w:space="0" w:color="000000"/>
              <w:right w:val="single" w:sz="6" w:space="0" w:color="000000"/>
            </w:tcBorders>
            <w:vAlign w:val="bottom"/>
          </w:tcPr>
          <w:p w14:paraId="059DC56B" w14:textId="77777777" w:rsidR="003C3D6C" w:rsidRPr="00295FD7" w:rsidRDefault="003C3D6C" w:rsidP="00BF7A4D">
            <w:pPr>
              <w:tabs>
                <w:tab w:val="left" w:pos="-720"/>
              </w:tabs>
              <w:suppressAutoHyphens/>
              <w:jc w:val="center"/>
            </w:pPr>
            <w:r w:rsidRPr="00295FD7">
              <w:t>6-7</w:t>
            </w:r>
          </w:p>
        </w:tc>
        <w:tc>
          <w:tcPr>
            <w:tcW w:w="1980" w:type="dxa"/>
            <w:tcBorders>
              <w:top w:val="single" w:sz="6" w:space="0" w:color="000000"/>
              <w:left w:val="single" w:sz="6" w:space="0" w:color="000000"/>
              <w:bottom w:val="single" w:sz="6" w:space="0" w:color="000000"/>
              <w:right w:val="single" w:sz="6" w:space="0" w:color="000000"/>
            </w:tcBorders>
            <w:vAlign w:val="bottom"/>
          </w:tcPr>
          <w:p w14:paraId="10AB43D6" w14:textId="77777777" w:rsidR="003C3D6C" w:rsidRPr="00295FD7" w:rsidRDefault="003C3D6C" w:rsidP="00BF7A4D">
            <w:pPr>
              <w:tabs>
                <w:tab w:val="left" w:pos="-720"/>
              </w:tabs>
              <w:suppressAutoHyphens/>
              <w:jc w:val="center"/>
            </w:pPr>
            <w:r w:rsidRPr="00295FD7">
              <w:t>21%</w:t>
            </w:r>
          </w:p>
        </w:tc>
        <w:tc>
          <w:tcPr>
            <w:tcW w:w="1845" w:type="dxa"/>
            <w:tcBorders>
              <w:top w:val="single" w:sz="6" w:space="0" w:color="000000"/>
              <w:left w:val="single" w:sz="6" w:space="0" w:color="000000"/>
              <w:bottom w:val="single" w:sz="6" w:space="0" w:color="000000"/>
              <w:right w:val="single" w:sz="6" w:space="0" w:color="000000"/>
            </w:tcBorders>
            <w:vAlign w:val="bottom"/>
          </w:tcPr>
          <w:p w14:paraId="1556116E" w14:textId="77777777" w:rsidR="003C3D6C" w:rsidRPr="00295FD7" w:rsidRDefault="003C3D6C" w:rsidP="00BF7A4D">
            <w:pPr>
              <w:tabs>
                <w:tab w:val="left" w:pos="-720"/>
              </w:tabs>
              <w:suppressAutoHyphens/>
              <w:jc w:val="center"/>
            </w:pPr>
            <w:r w:rsidRPr="00295FD7">
              <w:t>8.1%</w:t>
            </w:r>
          </w:p>
        </w:tc>
        <w:tc>
          <w:tcPr>
            <w:tcW w:w="2505" w:type="dxa"/>
            <w:tcBorders>
              <w:top w:val="single" w:sz="6" w:space="0" w:color="000000"/>
              <w:left w:val="single" w:sz="6" w:space="0" w:color="000000"/>
              <w:bottom w:val="single" w:sz="6" w:space="0" w:color="000000"/>
              <w:right w:val="single" w:sz="12" w:space="0" w:color="000000"/>
            </w:tcBorders>
            <w:vAlign w:val="bottom"/>
          </w:tcPr>
          <w:p w14:paraId="21E774A4" w14:textId="77777777" w:rsidR="003C3D6C" w:rsidRPr="00295FD7" w:rsidRDefault="003C3D6C" w:rsidP="00BF7A4D">
            <w:pPr>
              <w:tabs>
                <w:tab w:val="left" w:pos="-720"/>
              </w:tabs>
              <w:suppressAutoHyphens/>
              <w:jc w:val="center"/>
            </w:pPr>
            <w:r w:rsidRPr="00295FD7">
              <w:t>17.8%</w:t>
            </w:r>
          </w:p>
        </w:tc>
      </w:tr>
    </w:tbl>
    <w:p w14:paraId="0E226B80" w14:textId="77777777" w:rsidR="003C3D6C" w:rsidRDefault="003C3D6C" w:rsidP="003C3D6C">
      <w:pPr>
        <w:tabs>
          <w:tab w:val="left" w:pos="-720"/>
        </w:tabs>
        <w:suppressAutoHyphens/>
      </w:pPr>
    </w:p>
    <w:p w14:paraId="5982BB48" w14:textId="77777777" w:rsidR="003C3D6C" w:rsidRDefault="003C3D6C" w:rsidP="003C3D6C">
      <w:pPr>
        <w:tabs>
          <w:tab w:val="left" w:pos="-720"/>
        </w:tabs>
        <w:suppressAutoHyphens/>
      </w:pPr>
      <w:r>
        <w:t>One of the main reasons for hospitalizing a patient after TIA is to enable treatment with thrombolytics if the patient has a subsequent stroke in the next 2 days.</w:t>
      </w:r>
    </w:p>
    <w:p w14:paraId="07579253" w14:textId="77777777" w:rsidR="003C3D6C" w:rsidRDefault="003C3D6C" w:rsidP="003C3D6C">
      <w:pPr>
        <w:tabs>
          <w:tab w:val="left" w:pos="-720"/>
        </w:tabs>
        <w:suppressAutoHyphens/>
      </w:pPr>
    </w:p>
    <w:p w14:paraId="45953379" w14:textId="77777777" w:rsidR="003C3D6C" w:rsidRDefault="003C3D6C" w:rsidP="003C3D6C">
      <w:pPr>
        <w:widowControl w:val="0"/>
        <w:numPr>
          <w:ilvl w:val="0"/>
          <w:numId w:val="27"/>
        </w:numPr>
        <w:tabs>
          <w:tab w:val="left" w:pos="-720"/>
        </w:tabs>
        <w:suppressAutoHyphens/>
      </w:pPr>
      <w:r>
        <w:t>Assume you are willing to admit an additional 25 patients to the hospital for 2 days in order to avoid discharging one from the emergency department who goes home to have a stroke in the next 2 days.  What is your ABCD2 score cutoff for hospitalization?</w:t>
      </w:r>
    </w:p>
    <w:p w14:paraId="07E48114" w14:textId="77777777" w:rsidR="003C3D6C" w:rsidRDefault="003C3D6C" w:rsidP="003C3D6C">
      <w:pPr>
        <w:tabs>
          <w:tab w:val="left" w:pos="-720"/>
        </w:tabs>
        <w:suppressAutoHyphens/>
        <w:rPr>
          <w:b/>
        </w:rPr>
      </w:pPr>
    </w:p>
    <w:p w14:paraId="643880C1" w14:textId="64208CC2" w:rsidR="003C3D6C" w:rsidRDefault="003C3D6C">
      <w:pPr>
        <w:rPr>
          <w:b/>
        </w:rPr>
      </w:pPr>
      <w:r>
        <w:rPr>
          <w:b/>
        </w:rPr>
        <w:br w:type="page"/>
      </w:r>
    </w:p>
    <w:p w14:paraId="4FC4DAE6" w14:textId="77777777" w:rsidR="003C3D6C" w:rsidRDefault="003C3D6C" w:rsidP="003C3D6C">
      <w:pPr>
        <w:tabs>
          <w:tab w:val="left" w:pos="-720"/>
        </w:tabs>
        <w:suppressAutoHyphens/>
        <w:rPr>
          <w:b/>
        </w:rPr>
      </w:pPr>
    </w:p>
    <w:p w14:paraId="66B0578F" w14:textId="77777777" w:rsidR="003C3D6C" w:rsidRDefault="003C3D6C" w:rsidP="003C3D6C">
      <w:pPr>
        <w:tabs>
          <w:tab w:val="left" w:pos="-720"/>
        </w:tabs>
        <w:suppressAutoHyphens/>
      </w:pPr>
    </w:p>
    <w:p w14:paraId="161BF4EC" w14:textId="77777777" w:rsidR="003C3D6C" w:rsidRDefault="003C3D6C" w:rsidP="003C3D6C">
      <w:pPr>
        <w:widowControl w:val="0"/>
        <w:numPr>
          <w:ilvl w:val="0"/>
          <w:numId w:val="27"/>
        </w:numPr>
        <w:tabs>
          <w:tab w:val="left" w:pos="-720"/>
        </w:tabs>
        <w:suppressAutoHyphens/>
      </w:pPr>
      <w:r>
        <w:t>The above table of 2-day stroke risks can be converted into an ROC table and an ROC curve.  Without doing any calculations, what do you expect the AUROC to be?</w:t>
      </w:r>
    </w:p>
    <w:p w14:paraId="498FD1C2" w14:textId="77777777" w:rsidR="003C3D6C" w:rsidRDefault="003C3D6C" w:rsidP="003C3D6C">
      <w:pPr>
        <w:tabs>
          <w:tab w:val="left" w:pos="-720"/>
        </w:tabs>
        <w:suppressAutoHyphens/>
      </w:pPr>
    </w:p>
    <w:p w14:paraId="2D6ED904" w14:textId="77777777" w:rsidR="003C3D6C" w:rsidRDefault="003C3D6C" w:rsidP="003C3D6C">
      <w:pPr>
        <w:widowControl w:val="0"/>
        <w:numPr>
          <w:ilvl w:val="0"/>
          <w:numId w:val="28"/>
        </w:numPr>
        <w:tabs>
          <w:tab w:val="left" w:pos="-720"/>
        </w:tabs>
        <w:suppressAutoHyphens/>
      </w:pPr>
      <w:r>
        <w:t>&lt; 0.5</w:t>
      </w:r>
    </w:p>
    <w:p w14:paraId="10884A9E" w14:textId="77777777" w:rsidR="003C3D6C" w:rsidRDefault="003C3D6C" w:rsidP="003C3D6C">
      <w:pPr>
        <w:widowControl w:val="0"/>
        <w:numPr>
          <w:ilvl w:val="0"/>
          <w:numId w:val="28"/>
        </w:numPr>
        <w:tabs>
          <w:tab w:val="left" w:pos="-720"/>
        </w:tabs>
        <w:suppressAutoHyphens/>
      </w:pPr>
      <w:r>
        <w:t>0.5 – 0.75</w:t>
      </w:r>
    </w:p>
    <w:p w14:paraId="57A352E8" w14:textId="77777777" w:rsidR="003C3D6C" w:rsidRDefault="003C3D6C" w:rsidP="003C3D6C">
      <w:pPr>
        <w:widowControl w:val="0"/>
        <w:numPr>
          <w:ilvl w:val="0"/>
          <w:numId w:val="28"/>
        </w:numPr>
        <w:tabs>
          <w:tab w:val="left" w:pos="-720"/>
        </w:tabs>
        <w:suppressAutoHyphens/>
      </w:pPr>
      <w:r>
        <w:t>0.75- 0.9</w:t>
      </w:r>
    </w:p>
    <w:p w14:paraId="2FB0815F" w14:textId="4E0E7D06" w:rsidR="003C3D6C" w:rsidRDefault="003C3D6C" w:rsidP="003C3D6C">
      <w:pPr>
        <w:widowControl w:val="0"/>
        <w:numPr>
          <w:ilvl w:val="0"/>
          <w:numId w:val="28"/>
        </w:numPr>
        <w:tabs>
          <w:tab w:val="left" w:pos="-720"/>
        </w:tabs>
        <w:suppressAutoHyphens/>
      </w:pPr>
      <w:r>
        <w:t>0.9-1</w:t>
      </w:r>
    </w:p>
    <w:p w14:paraId="1CDF365C" w14:textId="3A351F78" w:rsidR="003C3D6C" w:rsidRDefault="003C3D6C" w:rsidP="003C3D6C">
      <w:pPr>
        <w:widowControl w:val="0"/>
        <w:tabs>
          <w:tab w:val="left" w:pos="-720"/>
        </w:tabs>
        <w:suppressAutoHyphens/>
      </w:pPr>
    </w:p>
    <w:p w14:paraId="32FA108A" w14:textId="77951FFA" w:rsidR="003C3D6C" w:rsidRDefault="003C3D6C" w:rsidP="003C3D6C">
      <w:pPr>
        <w:tabs>
          <w:tab w:val="left" w:pos="-720"/>
        </w:tabs>
        <w:suppressAutoHyphens/>
        <w:ind w:left="360"/>
      </w:pPr>
      <w:r>
        <w:t>We will convert the table of 2-day risks above into an ROC table and calculate the area under it.</w:t>
      </w:r>
    </w:p>
    <w:p w14:paraId="3E594C6F" w14:textId="77777777" w:rsidR="003C3D6C" w:rsidRDefault="003C3D6C" w:rsidP="003C3D6C">
      <w:pPr>
        <w:tabs>
          <w:tab w:val="left" w:pos="-720"/>
        </w:tabs>
        <w:suppressAutoHyphens/>
        <w:ind w:left="360"/>
      </w:pPr>
    </w:p>
    <w:p w14:paraId="02D6110D" w14:textId="77777777" w:rsidR="003C3D6C" w:rsidRDefault="003C3D6C" w:rsidP="003C3D6C">
      <w:pPr>
        <w:tabs>
          <w:tab w:val="left" w:pos="-720"/>
        </w:tabs>
        <w:suppressAutoHyphens/>
        <w:ind w:left="360"/>
      </w:pPr>
      <w:r>
        <w:t>First, order the results from most to least abnormal:</w:t>
      </w:r>
    </w:p>
    <w:p w14:paraId="6958C137" w14:textId="77777777" w:rsidR="003C3D6C" w:rsidRDefault="003C3D6C" w:rsidP="003C3D6C">
      <w:pPr>
        <w:tabs>
          <w:tab w:val="left" w:pos="-720"/>
        </w:tabs>
        <w:suppressAutoHyphens/>
        <w:ind w:left="360"/>
      </w:pPr>
    </w:p>
    <w:tbl>
      <w:tblPr>
        <w:tblW w:w="2900" w:type="dxa"/>
        <w:tblInd w:w="93" w:type="dxa"/>
        <w:tblLook w:val="0000" w:firstRow="0" w:lastRow="0" w:firstColumn="0" w:lastColumn="0" w:noHBand="0" w:noVBand="0"/>
      </w:tblPr>
      <w:tblGrid>
        <w:gridCol w:w="914"/>
        <w:gridCol w:w="1043"/>
        <w:gridCol w:w="943"/>
      </w:tblGrid>
      <w:tr w:rsidR="003C3D6C" w:rsidRPr="007219C5" w14:paraId="2E595436" w14:textId="77777777" w:rsidTr="00BF7A4D">
        <w:trPr>
          <w:trHeight w:val="975"/>
        </w:trPr>
        <w:tc>
          <w:tcPr>
            <w:tcW w:w="960" w:type="dxa"/>
            <w:tcBorders>
              <w:top w:val="single" w:sz="12" w:space="0" w:color="000000"/>
              <w:left w:val="single" w:sz="12" w:space="0" w:color="000000"/>
              <w:bottom w:val="single" w:sz="8" w:space="0" w:color="000000"/>
              <w:right w:val="single" w:sz="8" w:space="0" w:color="000000"/>
            </w:tcBorders>
            <w:shd w:val="clear" w:color="auto" w:fill="auto"/>
            <w:vAlign w:val="bottom"/>
          </w:tcPr>
          <w:p w14:paraId="0CF93C3E" w14:textId="77777777" w:rsidR="003C3D6C" w:rsidRPr="007219C5" w:rsidRDefault="003C3D6C" w:rsidP="00BF7A4D">
            <w:pPr>
              <w:jc w:val="center"/>
              <w:rPr>
                <w:b/>
                <w:bCs/>
              </w:rPr>
            </w:pPr>
            <w:r w:rsidRPr="007219C5">
              <w:rPr>
                <w:b/>
                <w:bCs/>
              </w:rPr>
              <w:t>Score</w:t>
            </w:r>
          </w:p>
        </w:tc>
        <w:tc>
          <w:tcPr>
            <w:tcW w:w="980" w:type="dxa"/>
            <w:tcBorders>
              <w:top w:val="single" w:sz="12" w:space="0" w:color="000000"/>
              <w:left w:val="nil"/>
              <w:bottom w:val="single" w:sz="8" w:space="0" w:color="000000"/>
              <w:right w:val="single" w:sz="8" w:space="0" w:color="000000"/>
            </w:tcBorders>
            <w:shd w:val="clear" w:color="auto" w:fill="auto"/>
            <w:vAlign w:val="bottom"/>
          </w:tcPr>
          <w:p w14:paraId="5088D829" w14:textId="77777777" w:rsidR="003C3D6C" w:rsidRPr="007219C5" w:rsidRDefault="003C3D6C" w:rsidP="00BF7A4D">
            <w:pPr>
              <w:jc w:val="center"/>
              <w:rPr>
                <w:b/>
                <w:bCs/>
              </w:rPr>
            </w:pPr>
            <w:r w:rsidRPr="007219C5">
              <w:rPr>
                <w:b/>
                <w:bCs/>
              </w:rPr>
              <w:t>% of TIA Patients</w:t>
            </w:r>
          </w:p>
        </w:tc>
        <w:tc>
          <w:tcPr>
            <w:tcW w:w="960" w:type="dxa"/>
            <w:tcBorders>
              <w:top w:val="single" w:sz="12" w:space="0" w:color="000000"/>
              <w:left w:val="nil"/>
              <w:bottom w:val="single" w:sz="8" w:space="0" w:color="000000"/>
              <w:right w:val="single" w:sz="8" w:space="0" w:color="000000"/>
            </w:tcBorders>
            <w:shd w:val="clear" w:color="auto" w:fill="auto"/>
            <w:vAlign w:val="bottom"/>
          </w:tcPr>
          <w:p w14:paraId="2CD97B3B" w14:textId="77777777" w:rsidR="003C3D6C" w:rsidRPr="007219C5" w:rsidRDefault="003C3D6C" w:rsidP="00BF7A4D">
            <w:pPr>
              <w:jc w:val="center"/>
              <w:rPr>
                <w:b/>
                <w:bCs/>
              </w:rPr>
            </w:pPr>
            <w:r w:rsidRPr="007219C5">
              <w:rPr>
                <w:b/>
                <w:bCs/>
              </w:rPr>
              <w:t>2-day Stroke Risk</w:t>
            </w:r>
          </w:p>
        </w:tc>
      </w:tr>
      <w:tr w:rsidR="003C3D6C" w:rsidRPr="007219C5" w14:paraId="7DA09F6F" w14:textId="77777777" w:rsidTr="00BF7A4D">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340063ED" w14:textId="77777777" w:rsidR="003C3D6C" w:rsidRPr="007219C5" w:rsidRDefault="003C3D6C" w:rsidP="00BF7A4D">
            <w:pPr>
              <w:jc w:val="center"/>
            </w:pPr>
            <w:r w:rsidRPr="007219C5">
              <w:t>6-7</w:t>
            </w:r>
          </w:p>
        </w:tc>
        <w:tc>
          <w:tcPr>
            <w:tcW w:w="980" w:type="dxa"/>
            <w:tcBorders>
              <w:top w:val="nil"/>
              <w:left w:val="nil"/>
              <w:bottom w:val="single" w:sz="8" w:space="0" w:color="000000"/>
              <w:right w:val="single" w:sz="8" w:space="0" w:color="000000"/>
            </w:tcBorders>
            <w:shd w:val="clear" w:color="auto" w:fill="auto"/>
            <w:vAlign w:val="bottom"/>
          </w:tcPr>
          <w:p w14:paraId="0E063971" w14:textId="77777777" w:rsidR="003C3D6C" w:rsidRPr="007219C5" w:rsidRDefault="003C3D6C" w:rsidP="00BF7A4D">
            <w:pPr>
              <w:jc w:val="center"/>
            </w:pPr>
            <w:r w:rsidRPr="007219C5">
              <w:t>21%</w:t>
            </w:r>
          </w:p>
        </w:tc>
        <w:tc>
          <w:tcPr>
            <w:tcW w:w="960" w:type="dxa"/>
            <w:tcBorders>
              <w:top w:val="nil"/>
              <w:left w:val="nil"/>
              <w:bottom w:val="single" w:sz="8" w:space="0" w:color="000000"/>
              <w:right w:val="single" w:sz="8" w:space="0" w:color="000000"/>
            </w:tcBorders>
            <w:shd w:val="clear" w:color="auto" w:fill="auto"/>
            <w:vAlign w:val="bottom"/>
          </w:tcPr>
          <w:p w14:paraId="1FD65C53" w14:textId="77777777" w:rsidR="003C3D6C" w:rsidRPr="007219C5" w:rsidRDefault="003C3D6C" w:rsidP="00BF7A4D">
            <w:pPr>
              <w:jc w:val="center"/>
            </w:pPr>
            <w:r w:rsidRPr="007219C5">
              <w:t>8.10%</w:t>
            </w:r>
          </w:p>
        </w:tc>
      </w:tr>
      <w:tr w:rsidR="003C3D6C" w:rsidRPr="007219C5" w14:paraId="0BAB44E4" w14:textId="77777777" w:rsidTr="00BF7A4D">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161169E0" w14:textId="77777777" w:rsidR="003C3D6C" w:rsidRPr="007219C5" w:rsidRDefault="003C3D6C" w:rsidP="00BF7A4D">
            <w:pPr>
              <w:jc w:val="center"/>
            </w:pPr>
            <w:r w:rsidRPr="007219C5">
              <w:t>4-5</w:t>
            </w:r>
          </w:p>
        </w:tc>
        <w:tc>
          <w:tcPr>
            <w:tcW w:w="980" w:type="dxa"/>
            <w:tcBorders>
              <w:top w:val="nil"/>
              <w:left w:val="nil"/>
              <w:bottom w:val="single" w:sz="8" w:space="0" w:color="000000"/>
              <w:right w:val="single" w:sz="8" w:space="0" w:color="000000"/>
            </w:tcBorders>
            <w:shd w:val="clear" w:color="auto" w:fill="auto"/>
            <w:vAlign w:val="bottom"/>
          </w:tcPr>
          <w:p w14:paraId="3517764A" w14:textId="77777777" w:rsidR="003C3D6C" w:rsidRPr="007219C5" w:rsidRDefault="003C3D6C" w:rsidP="00BF7A4D">
            <w:pPr>
              <w:jc w:val="center"/>
            </w:pPr>
            <w:r w:rsidRPr="007219C5">
              <w:t>45%</w:t>
            </w:r>
          </w:p>
        </w:tc>
        <w:tc>
          <w:tcPr>
            <w:tcW w:w="960" w:type="dxa"/>
            <w:tcBorders>
              <w:top w:val="nil"/>
              <w:left w:val="nil"/>
              <w:bottom w:val="single" w:sz="8" w:space="0" w:color="000000"/>
              <w:right w:val="single" w:sz="8" w:space="0" w:color="000000"/>
            </w:tcBorders>
            <w:shd w:val="clear" w:color="auto" w:fill="auto"/>
            <w:vAlign w:val="bottom"/>
          </w:tcPr>
          <w:p w14:paraId="6021CC66" w14:textId="77777777" w:rsidR="003C3D6C" w:rsidRPr="007219C5" w:rsidRDefault="003C3D6C" w:rsidP="00BF7A4D">
            <w:pPr>
              <w:jc w:val="center"/>
            </w:pPr>
            <w:r w:rsidRPr="007219C5">
              <w:t>4.10%</w:t>
            </w:r>
          </w:p>
        </w:tc>
      </w:tr>
      <w:tr w:rsidR="003C3D6C" w:rsidRPr="007219C5" w14:paraId="66D4182C" w14:textId="77777777" w:rsidTr="00BF7A4D">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447E9E84" w14:textId="77777777" w:rsidR="003C3D6C" w:rsidRPr="007219C5" w:rsidRDefault="003C3D6C" w:rsidP="00BF7A4D">
            <w:pPr>
              <w:jc w:val="center"/>
            </w:pPr>
            <w:r w:rsidRPr="007219C5">
              <w:t>0-3</w:t>
            </w:r>
          </w:p>
        </w:tc>
        <w:tc>
          <w:tcPr>
            <w:tcW w:w="980" w:type="dxa"/>
            <w:tcBorders>
              <w:top w:val="nil"/>
              <w:left w:val="nil"/>
              <w:bottom w:val="single" w:sz="8" w:space="0" w:color="000000"/>
              <w:right w:val="single" w:sz="8" w:space="0" w:color="000000"/>
            </w:tcBorders>
            <w:shd w:val="clear" w:color="auto" w:fill="auto"/>
            <w:vAlign w:val="bottom"/>
          </w:tcPr>
          <w:p w14:paraId="489416ED" w14:textId="77777777" w:rsidR="003C3D6C" w:rsidRPr="007219C5" w:rsidRDefault="003C3D6C" w:rsidP="00BF7A4D">
            <w:pPr>
              <w:jc w:val="center"/>
            </w:pPr>
            <w:r w:rsidRPr="007219C5">
              <w:t>34%</w:t>
            </w:r>
          </w:p>
        </w:tc>
        <w:tc>
          <w:tcPr>
            <w:tcW w:w="960" w:type="dxa"/>
            <w:tcBorders>
              <w:top w:val="nil"/>
              <w:left w:val="nil"/>
              <w:bottom w:val="single" w:sz="8" w:space="0" w:color="000000"/>
              <w:right w:val="single" w:sz="8" w:space="0" w:color="000000"/>
            </w:tcBorders>
            <w:shd w:val="clear" w:color="auto" w:fill="auto"/>
            <w:vAlign w:val="bottom"/>
          </w:tcPr>
          <w:p w14:paraId="74406E4B" w14:textId="77777777" w:rsidR="003C3D6C" w:rsidRPr="007219C5" w:rsidRDefault="003C3D6C" w:rsidP="00BF7A4D">
            <w:pPr>
              <w:jc w:val="center"/>
            </w:pPr>
            <w:r w:rsidRPr="007219C5">
              <w:t>1.00%</w:t>
            </w:r>
          </w:p>
        </w:tc>
      </w:tr>
    </w:tbl>
    <w:p w14:paraId="71B04399" w14:textId="77777777" w:rsidR="003C3D6C" w:rsidRDefault="003C3D6C" w:rsidP="003C3D6C">
      <w:pPr>
        <w:tabs>
          <w:tab w:val="left" w:pos="-720"/>
        </w:tabs>
        <w:suppressAutoHyphens/>
        <w:ind w:left="360"/>
      </w:pPr>
    </w:p>
    <w:p w14:paraId="121E28D7" w14:textId="77777777" w:rsidR="003C3D6C" w:rsidRDefault="003C3D6C" w:rsidP="003C3D6C">
      <w:pPr>
        <w:tabs>
          <w:tab w:val="left" w:pos="-720"/>
        </w:tabs>
        <w:suppressAutoHyphens/>
        <w:ind w:left="360"/>
      </w:pPr>
      <w:r>
        <w:t>Next, calculate the individual cell percentages.</w:t>
      </w:r>
    </w:p>
    <w:p w14:paraId="2A117515" w14:textId="77777777" w:rsidR="003C3D6C" w:rsidRDefault="003C3D6C" w:rsidP="003C3D6C">
      <w:pPr>
        <w:tabs>
          <w:tab w:val="left" w:pos="-720"/>
        </w:tabs>
        <w:suppressAutoHyphens/>
      </w:pPr>
    </w:p>
    <w:tbl>
      <w:tblPr>
        <w:tblW w:w="3860" w:type="dxa"/>
        <w:tblInd w:w="93" w:type="dxa"/>
        <w:tblLook w:val="0000" w:firstRow="0" w:lastRow="0" w:firstColumn="0" w:lastColumn="0" w:noHBand="0" w:noVBand="0"/>
      </w:tblPr>
      <w:tblGrid>
        <w:gridCol w:w="960"/>
        <w:gridCol w:w="980"/>
        <w:gridCol w:w="1030"/>
        <w:gridCol w:w="1164"/>
      </w:tblGrid>
      <w:tr w:rsidR="003C3D6C" w:rsidRPr="007219C5" w14:paraId="1AEF1CF9" w14:textId="77777777" w:rsidTr="00BF7A4D">
        <w:trPr>
          <w:trHeight w:val="975"/>
        </w:trPr>
        <w:tc>
          <w:tcPr>
            <w:tcW w:w="960" w:type="dxa"/>
            <w:tcBorders>
              <w:top w:val="single" w:sz="12" w:space="0" w:color="000000"/>
              <w:left w:val="single" w:sz="12" w:space="0" w:color="000000"/>
              <w:bottom w:val="single" w:sz="8" w:space="0" w:color="000000"/>
              <w:right w:val="nil"/>
            </w:tcBorders>
            <w:shd w:val="clear" w:color="auto" w:fill="auto"/>
            <w:vAlign w:val="bottom"/>
          </w:tcPr>
          <w:p w14:paraId="7AC56A36" w14:textId="77777777" w:rsidR="003C3D6C" w:rsidRPr="007219C5" w:rsidRDefault="003C3D6C" w:rsidP="00BF7A4D">
            <w:pPr>
              <w:jc w:val="center"/>
              <w:rPr>
                <w:b/>
                <w:bCs/>
              </w:rPr>
            </w:pPr>
            <w:r w:rsidRPr="007219C5">
              <w:rPr>
                <w:b/>
                <w:bCs/>
              </w:rPr>
              <w:t>Score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028893AE" w14:textId="77777777" w:rsidR="003C3D6C" w:rsidRPr="007219C5" w:rsidRDefault="003C3D6C" w:rsidP="00BF7A4D">
            <w:pPr>
              <w:jc w:val="center"/>
              <w:rPr>
                <w:b/>
                <w:bCs/>
              </w:rPr>
            </w:pPr>
            <w:r w:rsidRPr="007219C5">
              <w:rPr>
                <w:b/>
                <w:bCs/>
              </w:rPr>
              <w:t>D+</w:t>
            </w:r>
          </w:p>
        </w:tc>
        <w:tc>
          <w:tcPr>
            <w:tcW w:w="960" w:type="dxa"/>
            <w:tcBorders>
              <w:top w:val="single" w:sz="4" w:space="0" w:color="auto"/>
              <w:left w:val="nil"/>
              <w:bottom w:val="single" w:sz="4" w:space="0" w:color="auto"/>
              <w:right w:val="single" w:sz="4" w:space="0" w:color="auto"/>
            </w:tcBorders>
            <w:shd w:val="clear" w:color="auto" w:fill="auto"/>
            <w:vAlign w:val="bottom"/>
          </w:tcPr>
          <w:p w14:paraId="4C9629A4" w14:textId="77777777" w:rsidR="003C3D6C" w:rsidRPr="007219C5" w:rsidRDefault="003C3D6C" w:rsidP="00BF7A4D">
            <w:pPr>
              <w:jc w:val="center"/>
              <w:rPr>
                <w:b/>
                <w:bCs/>
              </w:rPr>
            </w:pPr>
            <w:r w:rsidRPr="007219C5">
              <w:rPr>
                <w:b/>
                <w:bCs/>
              </w:rPr>
              <w:t>D-</w:t>
            </w:r>
          </w:p>
        </w:tc>
        <w:tc>
          <w:tcPr>
            <w:tcW w:w="960" w:type="dxa"/>
            <w:tcBorders>
              <w:top w:val="single" w:sz="12" w:space="0" w:color="000000"/>
              <w:left w:val="nil"/>
              <w:bottom w:val="single" w:sz="8" w:space="0" w:color="000000"/>
              <w:right w:val="single" w:sz="8" w:space="0" w:color="000000"/>
            </w:tcBorders>
            <w:shd w:val="clear" w:color="auto" w:fill="auto"/>
            <w:vAlign w:val="bottom"/>
          </w:tcPr>
          <w:p w14:paraId="37C85199" w14:textId="77777777" w:rsidR="003C3D6C" w:rsidRPr="007219C5" w:rsidRDefault="003C3D6C" w:rsidP="00BF7A4D">
            <w:pPr>
              <w:jc w:val="center"/>
              <w:rPr>
                <w:b/>
                <w:bCs/>
              </w:rPr>
            </w:pPr>
            <w:r w:rsidRPr="007219C5">
              <w:rPr>
                <w:b/>
                <w:bCs/>
              </w:rPr>
              <w:t>% of TIA Patients</w:t>
            </w:r>
          </w:p>
        </w:tc>
      </w:tr>
      <w:tr w:rsidR="003C3D6C" w:rsidRPr="007219C5" w14:paraId="7FB1DF37" w14:textId="77777777" w:rsidTr="00BF7A4D">
        <w:trPr>
          <w:trHeight w:val="330"/>
        </w:trPr>
        <w:tc>
          <w:tcPr>
            <w:tcW w:w="960" w:type="dxa"/>
            <w:tcBorders>
              <w:top w:val="nil"/>
              <w:left w:val="single" w:sz="12" w:space="0" w:color="000000"/>
              <w:bottom w:val="single" w:sz="8" w:space="0" w:color="000000"/>
              <w:right w:val="nil"/>
            </w:tcBorders>
            <w:shd w:val="clear" w:color="auto" w:fill="auto"/>
            <w:vAlign w:val="bottom"/>
          </w:tcPr>
          <w:p w14:paraId="62372D62" w14:textId="77777777" w:rsidR="003C3D6C" w:rsidRPr="007219C5" w:rsidRDefault="003C3D6C" w:rsidP="00BF7A4D">
            <w:pPr>
              <w:jc w:val="center"/>
            </w:pPr>
            <w:r w:rsidRPr="007219C5">
              <w:t>6-7</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79D4F9E4" w14:textId="77777777" w:rsidR="003C3D6C" w:rsidRPr="007219C5" w:rsidRDefault="003C3D6C" w:rsidP="00BF7A4D">
            <w:pPr>
              <w:jc w:val="right"/>
              <w:rPr>
                <w:rFonts w:ascii="Arial" w:hAnsi="Arial" w:cs="Arial"/>
              </w:rPr>
            </w:pPr>
            <w:r w:rsidRPr="007219C5">
              <w:rPr>
                <w:rFonts w:ascii="Arial" w:hAnsi="Arial" w:cs="Arial"/>
              </w:rPr>
              <w:t>1.70%</w:t>
            </w:r>
          </w:p>
        </w:tc>
        <w:tc>
          <w:tcPr>
            <w:tcW w:w="960" w:type="dxa"/>
            <w:tcBorders>
              <w:top w:val="nil"/>
              <w:left w:val="nil"/>
              <w:bottom w:val="single" w:sz="4" w:space="0" w:color="auto"/>
              <w:right w:val="single" w:sz="4" w:space="0" w:color="auto"/>
            </w:tcBorders>
            <w:shd w:val="clear" w:color="auto" w:fill="auto"/>
            <w:noWrap/>
            <w:vAlign w:val="bottom"/>
          </w:tcPr>
          <w:p w14:paraId="7A83923E" w14:textId="77777777" w:rsidR="003C3D6C" w:rsidRPr="007219C5" w:rsidRDefault="003C3D6C" w:rsidP="00BF7A4D">
            <w:pPr>
              <w:jc w:val="right"/>
              <w:rPr>
                <w:rFonts w:ascii="Arial" w:hAnsi="Arial" w:cs="Arial"/>
              </w:rPr>
            </w:pPr>
            <w:r w:rsidRPr="007219C5">
              <w:rPr>
                <w:rFonts w:ascii="Arial" w:hAnsi="Arial" w:cs="Arial"/>
              </w:rPr>
              <w:t>19.30%</w:t>
            </w:r>
          </w:p>
        </w:tc>
        <w:tc>
          <w:tcPr>
            <w:tcW w:w="960" w:type="dxa"/>
            <w:tcBorders>
              <w:top w:val="nil"/>
              <w:left w:val="nil"/>
              <w:bottom w:val="single" w:sz="8" w:space="0" w:color="000000"/>
              <w:right w:val="single" w:sz="8" w:space="0" w:color="000000"/>
            </w:tcBorders>
            <w:shd w:val="clear" w:color="auto" w:fill="auto"/>
            <w:vAlign w:val="bottom"/>
          </w:tcPr>
          <w:p w14:paraId="248E3C73" w14:textId="77777777" w:rsidR="003C3D6C" w:rsidRPr="007219C5" w:rsidRDefault="003C3D6C" w:rsidP="00BF7A4D">
            <w:pPr>
              <w:jc w:val="center"/>
            </w:pPr>
            <w:r w:rsidRPr="007219C5">
              <w:t>21%</w:t>
            </w:r>
          </w:p>
        </w:tc>
      </w:tr>
      <w:tr w:rsidR="003C3D6C" w:rsidRPr="007219C5" w14:paraId="27EE1FAE" w14:textId="77777777" w:rsidTr="00BF7A4D">
        <w:trPr>
          <w:trHeight w:val="330"/>
        </w:trPr>
        <w:tc>
          <w:tcPr>
            <w:tcW w:w="960" w:type="dxa"/>
            <w:tcBorders>
              <w:top w:val="nil"/>
              <w:left w:val="single" w:sz="12" w:space="0" w:color="000000"/>
              <w:bottom w:val="single" w:sz="8" w:space="0" w:color="000000"/>
              <w:right w:val="nil"/>
            </w:tcBorders>
            <w:shd w:val="clear" w:color="auto" w:fill="auto"/>
            <w:vAlign w:val="bottom"/>
          </w:tcPr>
          <w:p w14:paraId="65CD4035" w14:textId="77777777" w:rsidR="003C3D6C" w:rsidRPr="007219C5" w:rsidRDefault="003C3D6C" w:rsidP="00BF7A4D">
            <w:pPr>
              <w:jc w:val="center"/>
            </w:pPr>
            <w:r w:rsidRPr="007219C5">
              <w:t>4-5</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0E251B95" w14:textId="77777777" w:rsidR="003C3D6C" w:rsidRPr="007219C5" w:rsidRDefault="003C3D6C" w:rsidP="00BF7A4D">
            <w:pPr>
              <w:jc w:val="right"/>
              <w:rPr>
                <w:rFonts w:ascii="Arial" w:hAnsi="Arial" w:cs="Arial"/>
              </w:rPr>
            </w:pPr>
            <w:r w:rsidRPr="007219C5">
              <w:rPr>
                <w:rFonts w:ascii="Arial" w:hAnsi="Arial" w:cs="Arial"/>
              </w:rPr>
              <w:t>1.85%</w:t>
            </w:r>
          </w:p>
        </w:tc>
        <w:tc>
          <w:tcPr>
            <w:tcW w:w="960" w:type="dxa"/>
            <w:tcBorders>
              <w:top w:val="nil"/>
              <w:left w:val="nil"/>
              <w:bottom w:val="single" w:sz="4" w:space="0" w:color="auto"/>
              <w:right w:val="single" w:sz="4" w:space="0" w:color="auto"/>
            </w:tcBorders>
            <w:shd w:val="clear" w:color="auto" w:fill="auto"/>
            <w:noWrap/>
            <w:vAlign w:val="bottom"/>
          </w:tcPr>
          <w:p w14:paraId="409FCCF0" w14:textId="77777777" w:rsidR="003C3D6C" w:rsidRPr="007219C5" w:rsidRDefault="003C3D6C" w:rsidP="00BF7A4D">
            <w:pPr>
              <w:jc w:val="right"/>
              <w:rPr>
                <w:rFonts w:ascii="Arial" w:hAnsi="Arial" w:cs="Arial"/>
              </w:rPr>
            </w:pPr>
            <w:r w:rsidRPr="007219C5">
              <w:rPr>
                <w:rFonts w:ascii="Arial" w:hAnsi="Arial" w:cs="Arial"/>
              </w:rPr>
              <w:t>43.16%</w:t>
            </w:r>
          </w:p>
        </w:tc>
        <w:tc>
          <w:tcPr>
            <w:tcW w:w="960" w:type="dxa"/>
            <w:tcBorders>
              <w:top w:val="nil"/>
              <w:left w:val="nil"/>
              <w:bottom w:val="single" w:sz="8" w:space="0" w:color="000000"/>
              <w:right w:val="single" w:sz="8" w:space="0" w:color="000000"/>
            </w:tcBorders>
            <w:shd w:val="clear" w:color="auto" w:fill="auto"/>
            <w:vAlign w:val="bottom"/>
          </w:tcPr>
          <w:p w14:paraId="4D85FAAA" w14:textId="77777777" w:rsidR="003C3D6C" w:rsidRPr="007219C5" w:rsidRDefault="003C3D6C" w:rsidP="00BF7A4D">
            <w:pPr>
              <w:jc w:val="center"/>
            </w:pPr>
            <w:r w:rsidRPr="007219C5">
              <w:t>45%</w:t>
            </w:r>
          </w:p>
        </w:tc>
      </w:tr>
      <w:tr w:rsidR="003C3D6C" w:rsidRPr="007219C5" w14:paraId="246D4DD3" w14:textId="77777777" w:rsidTr="00BF7A4D">
        <w:trPr>
          <w:trHeight w:val="330"/>
        </w:trPr>
        <w:tc>
          <w:tcPr>
            <w:tcW w:w="960" w:type="dxa"/>
            <w:tcBorders>
              <w:top w:val="nil"/>
              <w:left w:val="single" w:sz="12" w:space="0" w:color="000000"/>
              <w:bottom w:val="single" w:sz="8" w:space="0" w:color="000000"/>
              <w:right w:val="nil"/>
            </w:tcBorders>
            <w:shd w:val="clear" w:color="auto" w:fill="auto"/>
            <w:vAlign w:val="bottom"/>
          </w:tcPr>
          <w:p w14:paraId="75421A78" w14:textId="77777777" w:rsidR="003C3D6C" w:rsidRPr="007219C5" w:rsidRDefault="003C3D6C" w:rsidP="00BF7A4D">
            <w:pPr>
              <w:jc w:val="center"/>
            </w:pPr>
            <w:r w:rsidRPr="007219C5">
              <w:t>0-3</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03FE59A5" w14:textId="77777777" w:rsidR="003C3D6C" w:rsidRPr="007219C5" w:rsidRDefault="003C3D6C" w:rsidP="00BF7A4D">
            <w:pPr>
              <w:jc w:val="right"/>
              <w:rPr>
                <w:rFonts w:ascii="Arial" w:hAnsi="Arial" w:cs="Arial"/>
              </w:rPr>
            </w:pPr>
            <w:r w:rsidRPr="007219C5">
              <w:rPr>
                <w:rFonts w:ascii="Arial" w:hAnsi="Arial" w:cs="Arial"/>
              </w:rPr>
              <w:t>0.34%</w:t>
            </w:r>
          </w:p>
        </w:tc>
        <w:tc>
          <w:tcPr>
            <w:tcW w:w="960" w:type="dxa"/>
            <w:tcBorders>
              <w:top w:val="nil"/>
              <w:left w:val="nil"/>
              <w:bottom w:val="single" w:sz="4" w:space="0" w:color="auto"/>
              <w:right w:val="single" w:sz="4" w:space="0" w:color="auto"/>
            </w:tcBorders>
            <w:shd w:val="clear" w:color="auto" w:fill="auto"/>
            <w:noWrap/>
            <w:vAlign w:val="bottom"/>
          </w:tcPr>
          <w:p w14:paraId="4FC1BFB8" w14:textId="77777777" w:rsidR="003C3D6C" w:rsidRPr="007219C5" w:rsidRDefault="003C3D6C" w:rsidP="00BF7A4D">
            <w:pPr>
              <w:jc w:val="right"/>
              <w:rPr>
                <w:rFonts w:ascii="Arial" w:hAnsi="Arial" w:cs="Arial"/>
              </w:rPr>
            </w:pPr>
            <w:r w:rsidRPr="007219C5">
              <w:rPr>
                <w:rFonts w:ascii="Arial" w:hAnsi="Arial" w:cs="Arial"/>
              </w:rPr>
              <w:t>33.66%</w:t>
            </w:r>
          </w:p>
        </w:tc>
        <w:tc>
          <w:tcPr>
            <w:tcW w:w="960" w:type="dxa"/>
            <w:tcBorders>
              <w:top w:val="nil"/>
              <w:left w:val="nil"/>
              <w:bottom w:val="single" w:sz="8" w:space="0" w:color="000000"/>
              <w:right w:val="single" w:sz="8" w:space="0" w:color="000000"/>
            </w:tcBorders>
            <w:shd w:val="clear" w:color="auto" w:fill="auto"/>
            <w:vAlign w:val="bottom"/>
          </w:tcPr>
          <w:p w14:paraId="56E4D933" w14:textId="77777777" w:rsidR="003C3D6C" w:rsidRPr="007219C5" w:rsidRDefault="003C3D6C" w:rsidP="00BF7A4D">
            <w:pPr>
              <w:jc w:val="center"/>
            </w:pPr>
            <w:r w:rsidRPr="007219C5">
              <w:t>34%</w:t>
            </w:r>
          </w:p>
        </w:tc>
      </w:tr>
      <w:tr w:rsidR="003C3D6C" w:rsidRPr="007219C5" w14:paraId="7A1FD3F3" w14:textId="77777777" w:rsidTr="00BF7A4D">
        <w:trPr>
          <w:trHeight w:val="255"/>
        </w:trPr>
        <w:tc>
          <w:tcPr>
            <w:tcW w:w="960" w:type="dxa"/>
            <w:tcBorders>
              <w:top w:val="nil"/>
              <w:left w:val="nil"/>
              <w:bottom w:val="nil"/>
              <w:right w:val="nil"/>
            </w:tcBorders>
            <w:shd w:val="clear" w:color="auto" w:fill="auto"/>
            <w:noWrap/>
            <w:vAlign w:val="bottom"/>
          </w:tcPr>
          <w:p w14:paraId="104F5865" w14:textId="77777777" w:rsidR="003C3D6C" w:rsidRPr="007219C5" w:rsidRDefault="003C3D6C" w:rsidP="00BF7A4D">
            <w:pPr>
              <w:rPr>
                <w:rFonts w:ascii="Arial" w:hAnsi="Arial" w:cs="Arial"/>
              </w:rPr>
            </w:pPr>
          </w:p>
        </w:tc>
        <w:tc>
          <w:tcPr>
            <w:tcW w:w="980" w:type="dxa"/>
            <w:tcBorders>
              <w:top w:val="nil"/>
              <w:left w:val="nil"/>
              <w:bottom w:val="nil"/>
              <w:right w:val="nil"/>
            </w:tcBorders>
            <w:shd w:val="clear" w:color="auto" w:fill="auto"/>
            <w:noWrap/>
            <w:vAlign w:val="bottom"/>
          </w:tcPr>
          <w:p w14:paraId="4EFECBC5" w14:textId="77777777" w:rsidR="003C3D6C" w:rsidRPr="007219C5" w:rsidRDefault="003C3D6C" w:rsidP="00BF7A4D">
            <w:pPr>
              <w:jc w:val="right"/>
              <w:rPr>
                <w:rFonts w:ascii="Arial" w:hAnsi="Arial" w:cs="Arial"/>
              </w:rPr>
            </w:pPr>
            <w:r w:rsidRPr="007219C5">
              <w:rPr>
                <w:rFonts w:ascii="Arial" w:hAnsi="Arial" w:cs="Arial"/>
              </w:rPr>
              <w:t>3.89%</w:t>
            </w:r>
          </w:p>
        </w:tc>
        <w:tc>
          <w:tcPr>
            <w:tcW w:w="960" w:type="dxa"/>
            <w:tcBorders>
              <w:top w:val="nil"/>
              <w:left w:val="nil"/>
              <w:bottom w:val="nil"/>
              <w:right w:val="nil"/>
            </w:tcBorders>
            <w:shd w:val="clear" w:color="auto" w:fill="auto"/>
            <w:noWrap/>
            <w:vAlign w:val="bottom"/>
          </w:tcPr>
          <w:p w14:paraId="1FDC1D6F" w14:textId="77777777" w:rsidR="003C3D6C" w:rsidRPr="007219C5" w:rsidRDefault="003C3D6C" w:rsidP="00BF7A4D">
            <w:pPr>
              <w:jc w:val="right"/>
              <w:rPr>
                <w:rFonts w:ascii="Arial" w:hAnsi="Arial" w:cs="Arial"/>
              </w:rPr>
            </w:pPr>
            <w:r w:rsidRPr="007219C5">
              <w:rPr>
                <w:rFonts w:ascii="Arial" w:hAnsi="Arial" w:cs="Arial"/>
              </w:rPr>
              <w:t>96.11%</w:t>
            </w:r>
          </w:p>
        </w:tc>
        <w:tc>
          <w:tcPr>
            <w:tcW w:w="960" w:type="dxa"/>
            <w:tcBorders>
              <w:top w:val="nil"/>
              <w:left w:val="nil"/>
              <w:bottom w:val="nil"/>
              <w:right w:val="nil"/>
            </w:tcBorders>
            <w:shd w:val="clear" w:color="auto" w:fill="auto"/>
            <w:noWrap/>
            <w:vAlign w:val="bottom"/>
          </w:tcPr>
          <w:p w14:paraId="5A61EF22" w14:textId="77777777" w:rsidR="003C3D6C" w:rsidRPr="007219C5" w:rsidRDefault="003C3D6C" w:rsidP="00BF7A4D">
            <w:pPr>
              <w:jc w:val="right"/>
              <w:rPr>
                <w:rFonts w:ascii="Arial" w:hAnsi="Arial" w:cs="Arial"/>
              </w:rPr>
            </w:pPr>
            <w:r w:rsidRPr="007219C5">
              <w:rPr>
                <w:rFonts w:ascii="Arial" w:hAnsi="Arial" w:cs="Arial"/>
              </w:rPr>
              <w:t>100.00%</w:t>
            </w:r>
          </w:p>
        </w:tc>
      </w:tr>
    </w:tbl>
    <w:p w14:paraId="321300FF" w14:textId="77777777" w:rsidR="003C3D6C" w:rsidRDefault="003C3D6C" w:rsidP="003C3D6C">
      <w:pPr>
        <w:tabs>
          <w:tab w:val="left" w:pos="-720"/>
        </w:tabs>
        <w:suppressAutoHyphens/>
      </w:pPr>
    </w:p>
    <w:p w14:paraId="1E1A09E2" w14:textId="77777777" w:rsidR="003C3D6C" w:rsidRDefault="003C3D6C" w:rsidP="003C3D6C">
      <w:pPr>
        <w:tabs>
          <w:tab w:val="left" w:pos="-720"/>
        </w:tabs>
        <w:suppressAutoHyphens/>
      </w:pPr>
      <w:r>
        <w:t>Then, calculate the column percentages.</w:t>
      </w:r>
    </w:p>
    <w:p w14:paraId="67F9F55F" w14:textId="77777777" w:rsidR="003C3D6C" w:rsidRDefault="003C3D6C" w:rsidP="003C3D6C">
      <w:pPr>
        <w:tabs>
          <w:tab w:val="left" w:pos="-720"/>
        </w:tabs>
        <w:suppressAutoHyphens/>
      </w:pPr>
    </w:p>
    <w:tbl>
      <w:tblPr>
        <w:tblW w:w="2900" w:type="dxa"/>
        <w:tblInd w:w="93" w:type="dxa"/>
        <w:tblLook w:val="0000" w:firstRow="0" w:lastRow="0" w:firstColumn="0" w:lastColumn="0" w:noHBand="0" w:noVBand="0"/>
      </w:tblPr>
      <w:tblGrid>
        <w:gridCol w:w="960"/>
        <w:gridCol w:w="1164"/>
        <w:gridCol w:w="1164"/>
      </w:tblGrid>
      <w:tr w:rsidR="003C3D6C" w:rsidRPr="009C148D" w14:paraId="295BCE43" w14:textId="77777777" w:rsidTr="00BF7A4D">
        <w:trPr>
          <w:trHeight w:val="345"/>
        </w:trPr>
        <w:tc>
          <w:tcPr>
            <w:tcW w:w="960" w:type="dxa"/>
            <w:tcBorders>
              <w:top w:val="single" w:sz="12" w:space="0" w:color="000000"/>
              <w:left w:val="single" w:sz="12" w:space="0" w:color="000000"/>
              <w:bottom w:val="single" w:sz="8" w:space="0" w:color="000000"/>
              <w:right w:val="nil"/>
            </w:tcBorders>
            <w:shd w:val="clear" w:color="auto" w:fill="auto"/>
            <w:vAlign w:val="bottom"/>
          </w:tcPr>
          <w:p w14:paraId="7B472848" w14:textId="77777777" w:rsidR="003C3D6C" w:rsidRPr="009C148D" w:rsidRDefault="003C3D6C" w:rsidP="00BF7A4D">
            <w:pPr>
              <w:jc w:val="center"/>
              <w:rPr>
                <w:b/>
                <w:bCs/>
              </w:rPr>
            </w:pPr>
            <w:r w:rsidRPr="009C148D">
              <w:rPr>
                <w:b/>
                <w:bCs/>
              </w:rPr>
              <w:t>Score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73E14C23" w14:textId="77777777" w:rsidR="003C3D6C" w:rsidRPr="009C148D" w:rsidRDefault="003C3D6C" w:rsidP="00BF7A4D">
            <w:pPr>
              <w:jc w:val="center"/>
              <w:rPr>
                <w:b/>
                <w:bCs/>
              </w:rPr>
            </w:pPr>
            <w:r w:rsidRPr="009C148D">
              <w:rPr>
                <w:b/>
                <w:bCs/>
              </w:rPr>
              <w:t>D+</w:t>
            </w:r>
          </w:p>
        </w:tc>
        <w:tc>
          <w:tcPr>
            <w:tcW w:w="960" w:type="dxa"/>
            <w:tcBorders>
              <w:top w:val="single" w:sz="4" w:space="0" w:color="auto"/>
              <w:left w:val="nil"/>
              <w:bottom w:val="single" w:sz="4" w:space="0" w:color="auto"/>
              <w:right w:val="single" w:sz="4" w:space="0" w:color="auto"/>
            </w:tcBorders>
            <w:shd w:val="clear" w:color="auto" w:fill="auto"/>
            <w:vAlign w:val="bottom"/>
          </w:tcPr>
          <w:p w14:paraId="2532CFD4" w14:textId="77777777" w:rsidR="003C3D6C" w:rsidRPr="009C148D" w:rsidRDefault="003C3D6C" w:rsidP="00BF7A4D">
            <w:pPr>
              <w:jc w:val="center"/>
              <w:rPr>
                <w:b/>
                <w:bCs/>
              </w:rPr>
            </w:pPr>
            <w:r w:rsidRPr="009C148D">
              <w:rPr>
                <w:b/>
                <w:bCs/>
              </w:rPr>
              <w:t>D-</w:t>
            </w:r>
          </w:p>
        </w:tc>
      </w:tr>
      <w:tr w:rsidR="003C3D6C" w:rsidRPr="009C148D" w14:paraId="48715DC7" w14:textId="77777777" w:rsidTr="00BF7A4D">
        <w:trPr>
          <w:trHeight w:val="330"/>
        </w:trPr>
        <w:tc>
          <w:tcPr>
            <w:tcW w:w="960" w:type="dxa"/>
            <w:tcBorders>
              <w:top w:val="nil"/>
              <w:left w:val="single" w:sz="12" w:space="0" w:color="000000"/>
              <w:bottom w:val="single" w:sz="8" w:space="0" w:color="000000"/>
              <w:right w:val="nil"/>
            </w:tcBorders>
            <w:shd w:val="clear" w:color="auto" w:fill="auto"/>
            <w:vAlign w:val="bottom"/>
          </w:tcPr>
          <w:p w14:paraId="42049670" w14:textId="77777777" w:rsidR="003C3D6C" w:rsidRPr="009C148D" w:rsidRDefault="003C3D6C" w:rsidP="00BF7A4D">
            <w:pPr>
              <w:jc w:val="center"/>
            </w:pPr>
            <w:r w:rsidRPr="009C148D">
              <w:t>6-7</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450C2612" w14:textId="77777777" w:rsidR="003C3D6C" w:rsidRPr="009C148D" w:rsidRDefault="003C3D6C" w:rsidP="00BF7A4D">
            <w:pPr>
              <w:jc w:val="right"/>
              <w:rPr>
                <w:rFonts w:ascii="Arial" w:hAnsi="Arial" w:cs="Arial"/>
              </w:rPr>
            </w:pPr>
            <w:r w:rsidRPr="009C148D">
              <w:rPr>
                <w:rFonts w:ascii="Arial" w:hAnsi="Arial" w:cs="Arial"/>
              </w:rPr>
              <w:t>43.77%</w:t>
            </w:r>
          </w:p>
        </w:tc>
        <w:tc>
          <w:tcPr>
            <w:tcW w:w="960" w:type="dxa"/>
            <w:tcBorders>
              <w:top w:val="nil"/>
              <w:left w:val="nil"/>
              <w:bottom w:val="single" w:sz="4" w:space="0" w:color="auto"/>
              <w:right w:val="single" w:sz="4" w:space="0" w:color="auto"/>
            </w:tcBorders>
            <w:shd w:val="clear" w:color="auto" w:fill="auto"/>
            <w:noWrap/>
            <w:vAlign w:val="bottom"/>
          </w:tcPr>
          <w:p w14:paraId="7E1D6324" w14:textId="77777777" w:rsidR="003C3D6C" w:rsidRPr="009C148D" w:rsidRDefault="003C3D6C" w:rsidP="00BF7A4D">
            <w:pPr>
              <w:jc w:val="right"/>
              <w:rPr>
                <w:rFonts w:ascii="Arial" w:hAnsi="Arial" w:cs="Arial"/>
              </w:rPr>
            </w:pPr>
            <w:r w:rsidRPr="009C148D">
              <w:rPr>
                <w:rFonts w:ascii="Arial" w:hAnsi="Arial" w:cs="Arial"/>
              </w:rPr>
              <w:t>20.08%</w:t>
            </w:r>
          </w:p>
        </w:tc>
      </w:tr>
      <w:tr w:rsidR="003C3D6C" w:rsidRPr="009C148D" w14:paraId="55DEC110" w14:textId="77777777" w:rsidTr="00BF7A4D">
        <w:trPr>
          <w:trHeight w:val="330"/>
        </w:trPr>
        <w:tc>
          <w:tcPr>
            <w:tcW w:w="960" w:type="dxa"/>
            <w:tcBorders>
              <w:top w:val="nil"/>
              <w:left w:val="single" w:sz="12" w:space="0" w:color="000000"/>
              <w:bottom w:val="single" w:sz="8" w:space="0" w:color="000000"/>
              <w:right w:val="nil"/>
            </w:tcBorders>
            <w:shd w:val="clear" w:color="auto" w:fill="auto"/>
            <w:vAlign w:val="bottom"/>
          </w:tcPr>
          <w:p w14:paraId="40278551" w14:textId="77777777" w:rsidR="003C3D6C" w:rsidRPr="009C148D" w:rsidRDefault="003C3D6C" w:rsidP="00BF7A4D">
            <w:pPr>
              <w:jc w:val="center"/>
            </w:pPr>
            <w:r w:rsidRPr="009C148D">
              <w:t>4-5</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47324F17" w14:textId="77777777" w:rsidR="003C3D6C" w:rsidRPr="009C148D" w:rsidRDefault="003C3D6C" w:rsidP="00BF7A4D">
            <w:pPr>
              <w:jc w:val="right"/>
              <w:rPr>
                <w:rFonts w:ascii="Arial" w:hAnsi="Arial" w:cs="Arial"/>
              </w:rPr>
            </w:pPr>
            <w:r w:rsidRPr="009C148D">
              <w:rPr>
                <w:rFonts w:ascii="Arial" w:hAnsi="Arial" w:cs="Arial"/>
              </w:rPr>
              <w:t>47.48%</w:t>
            </w:r>
          </w:p>
        </w:tc>
        <w:tc>
          <w:tcPr>
            <w:tcW w:w="960" w:type="dxa"/>
            <w:tcBorders>
              <w:top w:val="nil"/>
              <w:left w:val="nil"/>
              <w:bottom w:val="single" w:sz="4" w:space="0" w:color="auto"/>
              <w:right w:val="single" w:sz="4" w:space="0" w:color="auto"/>
            </w:tcBorders>
            <w:shd w:val="clear" w:color="auto" w:fill="auto"/>
            <w:noWrap/>
            <w:vAlign w:val="bottom"/>
          </w:tcPr>
          <w:p w14:paraId="7010F6F3" w14:textId="77777777" w:rsidR="003C3D6C" w:rsidRPr="009C148D" w:rsidRDefault="003C3D6C" w:rsidP="00BF7A4D">
            <w:pPr>
              <w:jc w:val="right"/>
              <w:rPr>
                <w:rFonts w:ascii="Arial" w:hAnsi="Arial" w:cs="Arial"/>
              </w:rPr>
            </w:pPr>
            <w:r w:rsidRPr="009C148D">
              <w:rPr>
                <w:rFonts w:ascii="Arial" w:hAnsi="Arial" w:cs="Arial"/>
              </w:rPr>
              <w:t>44.90%</w:t>
            </w:r>
          </w:p>
        </w:tc>
      </w:tr>
      <w:tr w:rsidR="003C3D6C" w:rsidRPr="009C148D" w14:paraId="228C2E96" w14:textId="77777777" w:rsidTr="00BF7A4D">
        <w:trPr>
          <w:trHeight w:val="330"/>
        </w:trPr>
        <w:tc>
          <w:tcPr>
            <w:tcW w:w="960" w:type="dxa"/>
            <w:tcBorders>
              <w:top w:val="nil"/>
              <w:left w:val="single" w:sz="12" w:space="0" w:color="000000"/>
              <w:bottom w:val="single" w:sz="8" w:space="0" w:color="000000"/>
              <w:right w:val="nil"/>
            </w:tcBorders>
            <w:shd w:val="clear" w:color="auto" w:fill="auto"/>
            <w:vAlign w:val="bottom"/>
          </w:tcPr>
          <w:p w14:paraId="5DA15528" w14:textId="77777777" w:rsidR="003C3D6C" w:rsidRPr="009C148D" w:rsidRDefault="003C3D6C" w:rsidP="00BF7A4D">
            <w:pPr>
              <w:jc w:val="center"/>
            </w:pPr>
            <w:r w:rsidRPr="009C148D">
              <w:t>0-3</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114CD147" w14:textId="77777777" w:rsidR="003C3D6C" w:rsidRPr="009C148D" w:rsidRDefault="003C3D6C" w:rsidP="00BF7A4D">
            <w:pPr>
              <w:jc w:val="right"/>
              <w:rPr>
                <w:rFonts w:ascii="Arial" w:hAnsi="Arial" w:cs="Arial"/>
              </w:rPr>
            </w:pPr>
            <w:r w:rsidRPr="009C148D">
              <w:rPr>
                <w:rFonts w:ascii="Arial" w:hAnsi="Arial" w:cs="Arial"/>
              </w:rPr>
              <w:t>8.75%</w:t>
            </w:r>
          </w:p>
        </w:tc>
        <w:tc>
          <w:tcPr>
            <w:tcW w:w="960" w:type="dxa"/>
            <w:tcBorders>
              <w:top w:val="nil"/>
              <w:left w:val="nil"/>
              <w:bottom w:val="single" w:sz="4" w:space="0" w:color="auto"/>
              <w:right w:val="single" w:sz="4" w:space="0" w:color="auto"/>
            </w:tcBorders>
            <w:shd w:val="clear" w:color="auto" w:fill="auto"/>
            <w:noWrap/>
            <w:vAlign w:val="bottom"/>
          </w:tcPr>
          <w:p w14:paraId="4B0539EE" w14:textId="77777777" w:rsidR="003C3D6C" w:rsidRPr="009C148D" w:rsidRDefault="003C3D6C" w:rsidP="00BF7A4D">
            <w:pPr>
              <w:jc w:val="right"/>
              <w:rPr>
                <w:rFonts w:ascii="Arial" w:hAnsi="Arial" w:cs="Arial"/>
              </w:rPr>
            </w:pPr>
            <w:r w:rsidRPr="009C148D">
              <w:rPr>
                <w:rFonts w:ascii="Arial" w:hAnsi="Arial" w:cs="Arial"/>
              </w:rPr>
              <w:t>35.02%</w:t>
            </w:r>
          </w:p>
        </w:tc>
      </w:tr>
      <w:tr w:rsidR="003C3D6C" w:rsidRPr="009C148D" w14:paraId="142A838A" w14:textId="77777777" w:rsidTr="00BF7A4D">
        <w:trPr>
          <w:trHeight w:val="255"/>
        </w:trPr>
        <w:tc>
          <w:tcPr>
            <w:tcW w:w="960" w:type="dxa"/>
            <w:tcBorders>
              <w:top w:val="nil"/>
              <w:left w:val="nil"/>
              <w:bottom w:val="nil"/>
              <w:right w:val="nil"/>
            </w:tcBorders>
            <w:shd w:val="clear" w:color="auto" w:fill="auto"/>
            <w:noWrap/>
            <w:vAlign w:val="bottom"/>
          </w:tcPr>
          <w:p w14:paraId="76E40323" w14:textId="77777777" w:rsidR="003C3D6C" w:rsidRPr="009C148D" w:rsidRDefault="003C3D6C" w:rsidP="00BF7A4D">
            <w:pPr>
              <w:rPr>
                <w:rFonts w:ascii="Arial" w:hAnsi="Arial" w:cs="Arial"/>
              </w:rPr>
            </w:pP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24593CF8" w14:textId="77777777" w:rsidR="003C3D6C" w:rsidRPr="009C148D" w:rsidRDefault="003C3D6C" w:rsidP="00BF7A4D">
            <w:pPr>
              <w:jc w:val="right"/>
              <w:rPr>
                <w:rFonts w:ascii="Arial" w:hAnsi="Arial" w:cs="Arial"/>
              </w:rPr>
            </w:pPr>
            <w:r w:rsidRPr="009C148D">
              <w:rPr>
                <w:rFonts w:ascii="Arial" w:hAnsi="Arial" w:cs="Arial"/>
              </w:rPr>
              <w:t>100.00%</w:t>
            </w:r>
          </w:p>
        </w:tc>
        <w:tc>
          <w:tcPr>
            <w:tcW w:w="960" w:type="dxa"/>
            <w:tcBorders>
              <w:top w:val="nil"/>
              <w:left w:val="nil"/>
              <w:bottom w:val="single" w:sz="4" w:space="0" w:color="auto"/>
              <w:right w:val="single" w:sz="4" w:space="0" w:color="auto"/>
            </w:tcBorders>
            <w:shd w:val="clear" w:color="auto" w:fill="auto"/>
            <w:noWrap/>
            <w:vAlign w:val="bottom"/>
          </w:tcPr>
          <w:p w14:paraId="0E84B543" w14:textId="77777777" w:rsidR="003C3D6C" w:rsidRPr="009C148D" w:rsidRDefault="003C3D6C" w:rsidP="00BF7A4D">
            <w:pPr>
              <w:jc w:val="right"/>
              <w:rPr>
                <w:rFonts w:ascii="Arial" w:hAnsi="Arial" w:cs="Arial"/>
              </w:rPr>
            </w:pPr>
            <w:r w:rsidRPr="009C148D">
              <w:rPr>
                <w:rFonts w:ascii="Arial" w:hAnsi="Arial" w:cs="Arial"/>
              </w:rPr>
              <w:t>100.00%</w:t>
            </w:r>
          </w:p>
        </w:tc>
      </w:tr>
    </w:tbl>
    <w:p w14:paraId="3E050173" w14:textId="77777777" w:rsidR="003C3D6C" w:rsidRDefault="003C3D6C" w:rsidP="003C3D6C">
      <w:pPr>
        <w:tabs>
          <w:tab w:val="left" w:pos="-720"/>
        </w:tabs>
        <w:suppressAutoHyphens/>
      </w:pPr>
    </w:p>
    <w:p w14:paraId="61157B15" w14:textId="77777777" w:rsidR="003C3D6C" w:rsidRDefault="003C3D6C" w:rsidP="003C3D6C">
      <w:pPr>
        <w:tabs>
          <w:tab w:val="left" w:pos="-720"/>
        </w:tabs>
        <w:suppressAutoHyphens/>
      </w:pPr>
      <w:r>
        <w:t>Finally, change them to cumulative percentages.</w:t>
      </w:r>
    </w:p>
    <w:p w14:paraId="101FBA76" w14:textId="77777777" w:rsidR="003C3D6C" w:rsidRDefault="003C3D6C" w:rsidP="003C3D6C">
      <w:pPr>
        <w:tabs>
          <w:tab w:val="left" w:pos="-720"/>
        </w:tabs>
        <w:suppressAutoHyphens/>
      </w:pPr>
    </w:p>
    <w:p w14:paraId="2C40EE93" w14:textId="77777777" w:rsidR="003C3D6C" w:rsidRPr="007679DA" w:rsidRDefault="003C3D6C" w:rsidP="003C3D6C">
      <w:pPr>
        <w:tabs>
          <w:tab w:val="left" w:pos="-720"/>
        </w:tabs>
        <w:suppressAutoHyphens/>
      </w:pPr>
      <w:r>
        <w:lastRenderedPageBreak/>
        <w:t xml:space="preserve"> </w:t>
      </w:r>
    </w:p>
    <w:tbl>
      <w:tblPr>
        <w:tblW w:w="2900" w:type="dxa"/>
        <w:tblInd w:w="93" w:type="dxa"/>
        <w:tblLook w:val="0000" w:firstRow="0" w:lastRow="0" w:firstColumn="0" w:lastColumn="0" w:noHBand="0" w:noVBand="0"/>
      </w:tblPr>
      <w:tblGrid>
        <w:gridCol w:w="790"/>
        <w:gridCol w:w="1164"/>
        <w:gridCol w:w="1164"/>
      </w:tblGrid>
      <w:tr w:rsidR="003C3D6C" w:rsidRPr="00A50256" w14:paraId="5C4A6B21" w14:textId="77777777" w:rsidTr="00BF7A4D">
        <w:trPr>
          <w:trHeight w:val="345"/>
        </w:trPr>
        <w:tc>
          <w:tcPr>
            <w:tcW w:w="960" w:type="dxa"/>
            <w:tcBorders>
              <w:top w:val="single" w:sz="12" w:space="0" w:color="000000"/>
              <w:left w:val="single" w:sz="12" w:space="0" w:color="000000"/>
              <w:bottom w:val="single" w:sz="8" w:space="0" w:color="000000"/>
              <w:right w:val="nil"/>
            </w:tcBorders>
            <w:shd w:val="clear" w:color="auto" w:fill="auto"/>
            <w:vAlign w:val="bottom"/>
          </w:tcPr>
          <w:p w14:paraId="520D4F99" w14:textId="77777777" w:rsidR="003C3D6C" w:rsidRPr="00A50256" w:rsidRDefault="003C3D6C" w:rsidP="00BF7A4D">
            <w:pPr>
              <w:jc w:val="center"/>
              <w:rPr>
                <w:b/>
                <w:bCs/>
              </w:rPr>
            </w:pPr>
            <w:r w:rsidRPr="00A50256">
              <w:rPr>
                <w:b/>
                <w:bCs/>
              </w:rPr>
              <w:t>Score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63B38462" w14:textId="77777777" w:rsidR="003C3D6C" w:rsidRPr="00A50256" w:rsidRDefault="003C3D6C" w:rsidP="00BF7A4D">
            <w:pPr>
              <w:jc w:val="center"/>
              <w:rPr>
                <w:b/>
                <w:bCs/>
              </w:rPr>
            </w:pPr>
            <w:r w:rsidRPr="00A50256">
              <w:rPr>
                <w:b/>
                <w:bCs/>
              </w:rPr>
              <w:t>D+</w:t>
            </w:r>
          </w:p>
        </w:tc>
        <w:tc>
          <w:tcPr>
            <w:tcW w:w="960" w:type="dxa"/>
            <w:tcBorders>
              <w:top w:val="single" w:sz="4" w:space="0" w:color="auto"/>
              <w:left w:val="nil"/>
              <w:bottom w:val="single" w:sz="4" w:space="0" w:color="auto"/>
              <w:right w:val="single" w:sz="4" w:space="0" w:color="auto"/>
            </w:tcBorders>
            <w:shd w:val="clear" w:color="auto" w:fill="auto"/>
            <w:vAlign w:val="bottom"/>
          </w:tcPr>
          <w:p w14:paraId="78EAA1B4" w14:textId="77777777" w:rsidR="003C3D6C" w:rsidRPr="00A50256" w:rsidRDefault="003C3D6C" w:rsidP="00BF7A4D">
            <w:pPr>
              <w:jc w:val="center"/>
              <w:rPr>
                <w:b/>
                <w:bCs/>
              </w:rPr>
            </w:pPr>
            <w:r w:rsidRPr="00A50256">
              <w:rPr>
                <w:b/>
                <w:bCs/>
              </w:rPr>
              <w:t>D-</w:t>
            </w:r>
          </w:p>
        </w:tc>
      </w:tr>
      <w:tr w:rsidR="003C3D6C" w:rsidRPr="00A50256" w14:paraId="5E4E31BD" w14:textId="77777777" w:rsidTr="00BF7A4D">
        <w:trPr>
          <w:trHeight w:val="330"/>
        </w:trPr>
        <w:tc>
          <w:tcPr>
            <w:tcW w:w="960" w:type="dxa"/>
            <w:tcBorders>
              <w:top w:val="nil"/>
              <w:left w:val="single" w:sz="12" w:space="0" w:color="000000"/>
              <w:bottom w:val="single" w:sz="8" w:space="0" w:color="000000"/>
              <w:right w:val="nil"/>
            </w:tcBorders>
            <w:shd w:val="clear" w:color="auto" w:fill="auto"/>
            <w:vAlign w:val="bottom"/>
          </w:tcPr>
          <w:p w14:paraId="2DFCAAD4" w14:textId="77777777" w:rsidR="003C3D6C" w:rsidRPr="00A50256" w:rsidRDefault="003C3D6C" w:rsidP="00BF7A4D">
            <w:pPr>
              <w:jc w:val="center"/>
              <w:rPr>
                <w:b/>
                <w:bCs/>
              </w:rPr>
            </w:pPr>
            <w:r w:rsidRPr="00A50256">
              <w:rPr>
                <w:b/>
                <w:bCs/>
              </w:rPr>
              <w:t> </w:t>
            </w:r>
          </w:p>
        </w:tc>
        <w:tc>
          <w:tcPr>
            <w:tcW w:w="980" w:type="dxa"/>
            <w:tcBorders>
              <w:top w:val="nil"/>
              <w:left w:val="single" w:sz="4" w:space="0" w:color="auto"/>
              <w:bottom w:val="single" w:sz="4" w:space="0" w:color="auto"/>
              <w:right w:val="single" w:sz="4" w:space="0" w:color="auto"/>
            </w:tcBorders>
            <w:shd w:val="clear" w:color="auto" w:fill="auto"/>
            <w:vAlign w:val="bottom"/>
          </w:tcPr>
          <w:p w14:paraId="513258B0" w14:textId="77777777" w:rsidR="003C3D6C" w:rsidRPr="00A50256" w:rsidRDefault="003C3D6C" w:rsidP="00BF7A4D">
            <w:pPr>
              <w:jc w:val="center"/>
              <w:rPr>
                <w:b/>
                <w:bCs/>
              </w:rPr>
            </w:pPr>
            <w:r w:rsidRPr="00A50256">
              <w:rPr>
                <w:b/>
                <w:bCs/>
              </w:rPr>
              <w:t> </w:t>
            </w:r>
          </w:p>
        </w:tc>
        <w:tc>
          <w:tcPr>
            <w:tcW w:w="960" w:type="dxa"/>
            <w:tcBorders>
              <w:top w:val="nil"/>
              <w:left w:val="nil"/>
              <w:bottom w:val="single" w:sz="4" w:space="0" w:color="auto"/>
              <w:right w:val="single" w:sz="4" w:space="0" w:color="auto"/>
            </w:tcBorders>
            <w:shd w:val="clear" w:color="auto" w:fill="auto"/>
            <w:vAlign w:val="bottom"/>
          </w:tcPr>
          <w:p w14:paraId="13813154" w14:textId="77777777" w:rsidR="003C3D6C" w:rsidRPr="00A50256" w:rsidRDefault="003C3D6C" w:rsidP="00BF7A4D">
            <w:pPr>
              <w:jc w:val="center"/>
              <w:rPr>
                <w:b/>
                <w:bCs/>
              </w:rPr>
            </w:pPr>
            <w:r w:rsidRPr="00A50256">
              <w:rPr>
                <w:b/>
                <w:bCs/>
              </w:rPr>
              <w:t> </w:t>
            </w:r>
          </w:p>
        </w:tc>
      </w:tr>
      <w:tr w:rsidR="003C3D6C" w:rsidRPr="00A50256" w14:paraId="76675C9C" w14:textId="77777777" w:rsidTr="00BF7A4D">
        <w:trPr>
          <w:trHeight w:val="330"/>
        </w:trPr>
        <w:tc>
          <w:tcPr>
            <w:tcW w:w="960" w:type="dxa"/>
            <w:tcBorders>
              <w:top w:val="nil"/>
              <w:left w:val="single" w:sz="12" w:space="0" w:color="000000"/>
              <w:bottom w:val="single" w:sz="8" w:space="0" w:color="000000"/>
              <w:right w:val="nil"/>
            </w:tcBorders>
            <w:shd w:val="clear" w:color="auto" w:fill="auto"/>
            <w:vAlign w:val="bottom"/>
          </w:tcPr>
          <w:p w14:paraId="78D711C6" w14:textId="77777777" w:rsidR="003C3D6C" w:rsidRPr="00A50256" w:rsidRDefault="003C3D6C" w:rsidP="00BF7A4D">
            <w:pPr>
              <w:jc w:val="center"/>
            </w:pPr>
            <w:r>
              <w:t>≥ 6</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6DD1CB45" w14:textId="77777777" w:rsidR="003C3D6C" w:rsidRPr="00A50256" w:rsidRDefault="003C3D6C" w:rsidP="00BF7A4D">
            <w:pPr>
              <w:jc w:val="right"/>
              <w:rPr>
                <w:rFonts w:ascii="Arial" w:hAnsi="Arial" w:cs="Arial"/>
              </w:rPr>
            </w:pPr>
            <w:r w:rsidRPr="00A50256">
              <w:rPr>
                <w:rFonts w:ascii="Arial" w:hAnsi="Arial" w:cs="Arial"/>
              </w:rPr>
              <w:t>43.77%</w:t>
            </w:r>
          </w:p>
        </w:tc>
        <w:tc>
          <w:tcPr>
            <w:tcW w:w="960" w:type="dxa"/>
            <w:tcBorders>
              <w:top w:val="nil"/>
              <w:left w:val="nil"/>
              <w:bottom w:val="single" w:sz="4" w:space="0" w:color="auto"/>
              <w:right w:val="single" w:sz="4" w:space="0" w:color="auto"/>
            </w:tcBorders>
            <w:shd w:val="clear" w:color="auto" w:fill="auto"/>
            <w:noWrap/>
            <w:vAlign w:val="bottom"/>
          </w:tcPr>
          <w:p w14:paraId="246FF71A" w14:textId="77777777" w:rsidR="003C3D6C" w:rsidRPr="00A50256" w:rsidRDefault="003C3D6C" w:rsidP="00BF7A4D">
            <w:pPr>
              <w:jc w:val="right"/>
              <w:rPr>
                <w:rFonts w:ascii="Arial" w:hAnsi="Arial" w:cs="Arial"/>
              </w:rPr>
            </w:pPr>
            <w:r w:rsidRPr="00A50256">
              <w:rPr>
                <w:rFonts w:ascii="Arial" w:hAnsi="Arial" w:cs="Arial"/>
              </w:rPr>
              <w:t>20.08%</w:t>
            </w:r>
          </w:p>
        </w:tc>
      </w:tr>
      <w:tr w:rsidR="003C3D6C" w:rsidRPr="00A50256" w14:paraId="4E6510D3" w14:textId="77777777" w:rsidTr="00BF7A4D">
        <w:trPr>
          <w:trHeight w:val="330"/>
        </w:trPr>
        <w:tc>
          <w:tcPr>
            <w:tcW w:w="960" w:type="dxa"/>
            <w:tcBorders>
              <w:top w:val="nil"/>
              <w:left w:val="single" w:sz="12" w:space="0" w:color="000000"/>
              <w:bottom w:val="single" w:sz="8" w:space="0" w:color="000000"/>
              <w:right w:val="nil"/>
            </w:tcBorders>
            <w:shd w:val="clear" w:color="auto" w:fill="auto"/>
            <w:vAlign w:val="bottom"/>
          </w:tcPr>
          <w:p w14:paraId="7658C767" w14:textId="77777777" w:rsidR="003C3D6C" w:rsidRPr="00A50256" w:rsidRDefault="003C3D6C" w:rsidP="00BF7A4D">
            <w:pPr>
              <w:jc w:val="center"/>
            </w:pPr>
            <w:r>
              <w:t>≥ 4</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46E6A8A3" w14:textId="77777777" w:rsidR="003C3D6C" w:rsidRPr="00A50256" w:rsidRDefault="003C3D6C" w:rsidP="00BF7A4D">
            <w:pPr>
              <w:jc w:val="right"/>
              <w:rPr>
                <w:rFonts w:ascii="Arial" w:hAnsi="Arial" w:cs="Arial"/>
              </w:rPr>
            </w:pPr>
            <w:r w:rsidRPr="00A50256">
              <w:rPr>
                <w:rFonts w:ascii="Arial" w:hAnsi="Arial" w:cs="Arial"/>
              </w:rPr>
              <w:t>91.25%</w:t>
            </w:r>
          </w:p>
        </w:tc>
        <w:tc>
          <w:tcPr>
            <w:tcW w:w="960" w:type="dxa"/>
            <w:tcBorders>
              <w:top w:val="nil"/>
              <w:left w:val="nil"/>
              <w:bottom w:val="single" w:sz="4" w:space="0" w:color="auto"/>
              <w:right w:val="single" w:sz="4" w:space="0" w:color="auto"/>
            </w:tcBorders>
            <w:shd w:val="clear" w:color="auto" w:fill="auto"/>
            <w:noWrap/>
            <w:vAlign w:val="bottom"/>
          </w:tcPr>
          <w:p w14:paraId="19E0568D" w14:textId="77777777" w:rsidR="003C3D6C" w:rsidRPr="00A50256" w:rsidRDefault="003C3D6C" w:rsidP="00BF7A4D">
            <w:pPr>
              <w:jc w:val="right"/>
              <w:rPr>
                <w:rFonts w:ascii="Arial" w:hAnsi="Arial" w:cs="Arial"/>
              </w:rPr>
            </w:pPr>
            <w:r w:rsidRPr="00A50256">
              <w:rPr>
                <w:rFonts w:ascii="Arial" w:hAnsi="Arial" w:cs="Arial"/>
              </w:rPr>
              <w:t>64.98%</w:t>
            </w:r>
          </w:p>
        </w:tc>
      </w:tr>
      <w:tr w:rsidR="003C3D6C" w:rsidRPr="00A50256" w14:paraId="1D898F9D" w14:textId="77777777" w:rsidTr="00BF7A4D">
        <w:trPr>
          <w:trHeight w:val="330"/>
        </w:trPr>
        <w:tc>
          <w:tcPr>
            <w:tcW w:w="960" w:type="dxa"/>
            <w:tcBorders>
              <w:top w:val="nil"/>
              <w:left w:val="single" w:sz="12" w:space="0" w:color="000000"/>
              <w:bottom w:val="single" w:sz="8" w:space="0" w:color="000000"/>
              <w:right w:val="nil"/>
            </w:tcBorders>
            <w:shd w:val="clear" w:color="auto" w:fill="auto"/>
            <w:vAlign w:val="bottom"/>
          </w:tcPr>
          <w:p w14:paraId="164351EF" w14:textId="77777777" w:rsidR="003C3D6C" w:rsidRPr="00A50256" w:rsidRDefault="003C3D6C" w:rsidP="00BF7A4D">
            <w:pPr>
              <w:jc w:val="center"/>
            </w:pP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2FAB0B27" w14:textId="77777777" w:rsidR="003C3D6C" w:rsidRPr="00A50256" w:rsidRDefault="003C3D6C" w:rsidP="00BF7A4D">
            <w:pPr>
              <w:jc w:val="right"/>
              <w:rPr>
                <w:rFonts w:ascii="Arial" w:hAnsi="Arial" w:cs="Arial"/>
              </w:rPr>
            </w:pPr>
            <w:r w:rsidRPr="00A50256">
              <w:rPr>
                <w:rFonts w:ascii="Arial" w:hAnsi="Arial" w:cs="Arial"/>
              </w:rPr>
              <w:t>100.00%</w:t>
            </w:r>
          </w:p>
        </w:tc>
        <w:tc>
          <w:tcPr>
            <w:tcW w:w="960" w:type="dxa"/>
            <w:tcBorders>
              <w:top w:val="nil"/>
              <w:left w:val="nil"/>
              <w:bottom w:val="single" w:sz="4" w:space="0" w:color="auto"/>
              <w:right w:val="single" w:sz="4" w:space="0" w:color="auto"/>
            </w:tcBorders>
            <w:shd w:val="clear" w:color="auto" w:fill="auto"/>
            <w:noWrap/>
            <w:vAlign w:val="bottom"/>
          </w:tcPr>
          <w:p w14:paraId="4FD79C07" w14:textId="77777777" w:rsidR="003C3D6C" w:rsidRPr="00A50256" w:rsidRDefault="003C3D6C" w:rsidP="00BF7A4D">
            <w:pPr>
              <w:jc w:val="right"/>
              <w:rPr>
                <w:rFonts w:ascii="Arial" w:hAnsi="Arial" w:cs="Arial"/>
              </w:rPr>
            </w:pPr>
            <w:r w:rsidRPr="00A50256">
              <w:rPr>
                <w:rFonts w:ascii="Arial" w:hAnsi="Arial" w:cs="Arial"/>
              </w:rPr>
              <w:t>100.00%</w:t>
            </w:r>
          </w:p>
        </w:tc>
      </w:tr>
    </w:tbl>
    <w:p w14:paraId="4157300F" w14:textId="77777777" w:rsidR="003C3D6C" w:rsidRDefault="003C3D6C" w:rsidP="003C3D6C">
      <w:pPr>
        <w:tabs>
          <w:tab w:val="left" w:pos="-720"/>
        </w:tabs>
        <w:suppressAutoHyphens/>
        <w:rPr>
          <w:b/>
        </w:rPr>
      </w:pPr>
    </w:p>
    <w:p w14:paraId="48DB87DD" w14:textId="2EF8B53B" w:rsidR="003C3D6C" w:rsidRPr="00342DA4" w:rsidRDefault="003C3D6C" w:rsidP="003C3D6C">
      <w:pPr>
        <w:tabs>
          <w:tab w:val="left" w:pos="-720"/>
        </w:tabs>
        <w:suppressAutoHyphens/>
        <w:rPr>
          <w:b/>
        </w:rPr>
      </w:pPr>
    </w:p>
    <w:p w14:paraId="28F81003" w14:textId="77777777" w:rsidR="003C3D6C" w:rsidRDefault="003C3D6C" w:rsidP="003C3D6C">
      <w:pPr>
        <w:tabs>
          <w:tab w:val="left" w:pos="-720"/>
        </w:tabs>
        <w:suppressAutoHyphens/>
      </w:pPr>
    </w:p>
    <w:p w14:paraId="4F8B1E0D" w14:textId="77777777" w:rsidR="003C3D6C" w:rsidRDefault="003C3D6C" w:rsidP="003C3D6C">
      <w:pPr>
        <w:widowControl w:val="0"/>
        <w:numPr>
          <w:ilvl w:val="0"/>
          <w:numId w:val="27"/>
        </w:numPr>
        <w:tabs>
          <w:tab w:val="left" w:pos="-720"/>
        </w:tabs>
        <w:suppressAutoHyphens/>
      </w:pPr>
      <w:r>
        <w:t>Use the above ROC Table to plot the ROC curve on the grid below.</w:t>
      </w:r>
    </w:p>
    <w:p w14:paraId="270CC632" w14:textId="77777777" w:rsidR="003C3D6C" w:rsidRDefault="003C3D6C" w:rsidP="003C3D6C">
      <w:pPr>
        <w:tabs>
          <w:tab w:val="left" w:pos="-720"/>
        </w:tabs>
        <w:suppressAutoHyphens/>
      </w:pPr>
    </w:p>
    <w:p w14:paraId="301C2E1A" w14:textId="77777777" w:rsidR="003C3D6C" w:rsidRDefault="003C3D6C" w:rsidP="003C3D6C">
      <w:pPr>
        <w:tabs>
          <w:tab w:val="left" w:pos="-720"/>
        </w:tabs>
        <w:suppressAutoHyphens/>
      </w:pPr>
      <w:r w:rsidRPr="00B36456">
        <w:rPr>
          <w:noProof/>
        </w:rPr>
        <w:drawing>
          <wp:inline distT="0" distB="0" distL="0" distR="0" wp14:anchorId="2B9A7895" wp14:editId="6010C285">
            <wp:extent cx="5318760" cy="3611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8760" cy="3611880"/>
                    </a:xfrm>
                    <a:prstGeom prst="rect">
                      <a:avLst/>
                    </a:prstGeom>
                    <a:noFill/>
                    <a:ln>
                      <a:noFill/>
                    </a:ln>
                  </pic:spPr>
                </pic:pic>
              </a:graphicData>
            </a:graphic>
          </wp:inline>
        </w:drawing>
      </w:r>
    </w:p>
    <w:p w14:paraId="44216F4A" w14:textId="77777777" w:rsidR="003C3D6C" w:rsidRDefault="003C3D6C" w:rsidP="003C3D6C">
      <w:pPr>
        <w:tabs>
          <w:tab w:val="left" w:pos="-720"/>
        </w:tabs>
        <w:suppressAutoHyphens/>
        <w:rPr>
          <w:b/>
        </w:rPr>
      </w:pPr>
    </w:p>
    <w:p w14:paraId="51B74D89" w14:textId="77777777" w:rsidR="003C3D6C" w:rsidRPr="00B36456" w:rsidRDefault="003C3D6C" w:rsidP="003C3D6C">
      <w:pPr>
        <w:tabs>
          <w:tab w:val="left" w:pos="-720"/>
        </w:tabs>
        <w:suppressAutoHyphens/>
        <w:rPr>
          <w:b/>
        </w:rPr>
      </w:pPr>
    </w:p>
    <w:p w14:paraId="002670F1" w14:textId="77777777" w:rsidR="003C3D6C" w:rsidRDefault="003C3D6C" w:rsidP="003C3D6C">
      <w:pPr>
        <w:tabs>
          <w:tab w:val="left" w:pos="-720"/>
        </w:tabs>
        <w:suppressAutoHyphens/>
      </w:pPr>
    </w:p>
    <w:p w14:paraId="5DC77DCE" w14:textId="77777777" w:rsidR="003C3D6C" w:rsidRDefault="003C3D6C" w:rsidP="003C3D6C">
      <w:pPr>
        <w:tabs>
          <w:tab w:val="left" w:pos="-720"/>
        </w:tabs>
        <w:suppressAutoHyphens/>
      </w:pPr>
    </w:p>
    <w:p w14:paraId="493220C7" w14:textId="77777777" w:rsidR="003C3D6C" w:rsidRDefault="003C3D6C" w:rsidP="003C3D6C">
      <w:pPr>
        <w:pStyle w:val="ListParagraph"/>
        <w:numPr>
          <w:ilvl w:val="0"/>
          <w:numId w:val="27"/>
        </w:numPr>
        <w:tabs>
          <w:tab w:val="left" w:pos="-720"/>
        </w:tabs>
        <w:suppressAutoHyphens/>
      </w:pPr>
      <w:r>
        <w:t xml:space="preserve">If you didn’t admit any TIA patients (“No Treat”), what proportion would have a stroke within 2 days? </w:t>
      </w:r>
    </w:p>
    <w:p w14:paraId="23204B76" w14:textId="77777777" w:rsidR="003C3D6C" w:rsidRDefault="003C3D6C" w:rsidP="003C3D6C">
      <w:pPr>
        <w:pStyle w:val="ListParagraph"/>
        <w:tabs>
          <w:tab w:val="left" w:pos="-720"/>
        </w:tabs>
        <w:suppressAutoHyphens/>
      </w:pPr>
    </w:p>
    <w:p w14:paraId="28FBA730" w14:textId="77777777" w:rsidR="003C3D6C" w:rsidRDefault="003C3D6C" w:rsidP="003C3D6C">
      <w:pPr>
        <w:pStyle w:val="ListParagraph"/>
        <w:tabs>
          <w:tab w:val="left" w:pos="-720"/>
        </w:tabs>
        <w:suppressAutoHyphens/>
        <w:rPr>
          <w:b/>
          <w:i/>
        </w:rPr>
      </w:pPr>
    </w:p>
    <w:p w14:paraId="5949B48D" w14:textId="77777777" w:rsidR="003C3D6C" w:rsidRDefault="003C3D6C" w:rsidP="003C3D6C">
      <w:pPr>
        <w:pStyle w:val="ListParagraph"/>
        <w:tabs>
          <w:tab w:val="left" w:pos="-720"/>
        </w:tabs>
        <w:suppressAutoHyphens/>
        <w:rPr>
          <w:b/>
          <w:i/>
        </w:rPr>
      </w:pPr>
    </w:p>
    <w:p w14:paraId="7BA07670" w14:textId="77777777" w:rsidR="003C3D6C" w:rsidRPr="00FA4743" w:rsidRDefault="003C3D6C" w:rsidP="003C3D6C">
      <w:pPr>
        <w:pStyle w:val="ListParagraph"/>
        <w:numPr>
          <w:ilvl w:val="0"/>
          <w:numId w:val="27"/>
        </w:numPr>
        <w:tabs>
          <w:tab w:val="left" w:pos="-720"/>
        </w:tabs>
        <w:suppressAutoHyphens/>
      </w:pPr>
      <w:r>
        <w:t>If you admitted all TIA patients (“Treat All”), what proportion would you admit unnecessarily</w:t>
      </w:r>
      <w:r>
        <w:rPr>
          <w:b/>
          <w:i/>
        </w:rPr>
        <w:t>?</w:t>
      </w:r>
    </w:p>
    <w:p w14:paraId="55EC9222" w14:textId="77777777" w:rsidR="003C3D6C" w:rsidRDefault="003C3D6C" w:rsidP="003C3D6C">
      <w:pPr>
        <w:pStyle w:val="ListParagraph"/>
        <w:tabs>
          <w:tab w:val="left" w:pos="-720"/>
        </w:tabs>
        <w:suppressAutoHyphens/>
      </w:pPr>
    </w:p>
    <w:p w14:paraId="6FAF0E78" w14:textId="77777777" w:rsidR="003C3D6C" w:rsidRPr="009F5CDB" w:rsidRDefault="003C3D6C" w:rsidP="003C3D6C">
      <w:pPr>
        <w:tabs>
          <w:tab w:val="left" w:pos="-720"/>
        </w:tabs>
        <w:suppressAutoHyphens/>
      </w:pPr>
      <w:r>
        <w:lastRenderedPageBreak/>
        <w:t xml:space="preserve">Remember that an unnecessary admission of a TIA patient who doesn’t have a stroke in the next 2 days is 1/25 as bad as failing to admit someone who has a stroke in the next 2 days.    </w:t>
      </w:r>
    </w:p>
    <w:p w14:paraId="29CB15EB" w14:textId="77777777" w:rsidR="003C3D6C" w:rsidRDefault="003C3D6C" w:rsidP="003C3D6C">
      <w:pPr>
        <w:pStyle w:val="ListParagraph"/>
        <w:tabs>
          <w:tab w:val="left" w:pos="-720"/>
        </w:tabs>
        <w:suppressAutoHyphens/>
      </w:pPr>
    </w:p>
    <w:p w14:paraId="6F14A9D1" w14:textId="77777777" w:rsidR="003C3D6C" w:rsidRDefault="003C3D6C" w:rsidP="003C3D6C">
      <w:pPr>
        <w:pStyle w:val="ListParagraph"/>
        <w:numPr>
          <w:ilvl w:val="0"/>
          <w:numId w:val="27"/>
        </w:numPr>
        <w:tabs>
          <w:tab w:val="left" w:pos="-720"/>
        </w:tabs>
        <w:suppressAutoHyphens/>
      </w:pPr>
      <w:r>
        <w:t>Calculate the Net Benefit of the Treat All strategy relative to the treat none.  Net Benefit = (Patients Treated Appropriately – C/B × Patients Treated Unnecessarily)/(All Patients).</w:t>
      </w:r>
    </w:p>
    <w:p w14:paraId="06C3A1C7" w14:textId="77777777" w:rsidR="003C3D6C" w:rsidRDefault="003C3D6C" w:rsidP="003C3D6C">
      <w:pPr>
        <w:pStyle w:val="ListParagraph"/>
        <w:tabs>
          <w:tab w:val="left" w:pos="-720"/>
        </w:tabs>
        <w:suppressAutoHyphens/>
      </w:pPr>
    </w:p>
    <w:p w14:paraId="1A2203AC" w14:textId="77777777" w:rsidR="003C3D6C" w:rsidRDefault="003C3D6C" w:rsidP="003C3D6C">
      <w:pPr>
        <w:pStyle w:val="ListParagraph"/>
        <w:tabs>
          <w:tab w:val="left" w:pos="-720"/>
        </w:tabs>
        <w:suppressAutoHyphens/>
        <w:rPr>
          <w:b/>
          <w:i/>
        </w:rPr>
      </w:pPr>
    </w:p>
    <w:p w14:paraId="25F38FB0" w14:textId="77777777" w:rsidR="003C3D6C" w:rsidRDefault="003C3D6C" w:rsidP="003C3D6C">
      <w:pPr>
        <w:pStyle w:val="ListParagraph"/>
        <w:tabs>
          <w:tab w:val="left" w:pos="-720"/>
        </w:tabs>
        <w:suppressAutoHyphens/>
        <w:rPr>
          <w:b/>
          <w:i/>
        </w:rPr>
      </w:pPr>
    </w:p>
    <w:p w14:paraId="0BDC213E" w14:textId="77777777" w:rsidR="003C3D6C" w:rsidRDefault="003C3D6C" w:rsidP="003C3D6C">
      <w:pPr>
        <w:pStyle w:val="ListParagraph"/>
        <w:numPr>
          <w:ilvl w:val="0"/>
          <w:numId w:val="27"/>
        </w:numPr>
        <w:tabs>
          <w:tab w:val="left" w:pos="-720"/>
        </w:tabs>
        <w:suppressAutoHyphens/>
      </w:pPr>
      <w:r>
        <w:t>Calculate the Net Benefit of a hospitalization strategy using the ABCD2 cutoff in (a).  Is it higher or lower than the NB of the “Treat All” strategy?</w:t>
      </w:r>
    </w:p>
    <w:p w14:paraId="16F3F3E2" w14:textId="77777777" w:rsidR="003C3D6C" w:rsidRDefault="003C3D6C" w:rsidP="003C3D6C">
      <w:pPr>
        <w:pStyle w:val="ListParagraph"/>
        <w:tabs>
          <w:tab w:val="left" w:pos="-720"/>
        </w:tabs>
        <w:suppressAutoHyphens/>
        <w:ind w:left="0"/>
      </w:pPr>
    </w:p>
    <w:p w14:paraId="27DFECF6" w14:textId="77777777" w:rsidR="003C3D6C" w:rsidRDefault="003C3D6C" w:rsidP="003C3D6C">
      <w:pPr>
        <w:pStyle w:val="ListParagraph"/>
        <w:tabs>
          <w:tab w:val="left" w:pos="-720"/>
        </w:tabs>
        <w:suppressAutoHyphens/>
        <w:ind w:left="0"/>
        <w:rPr>
          <w:b/>
          <w:i/>
        </w:rPr>
      </w:pPr>
      <w:r>
        <w:tab/>
      </w:r>
    </w:p>
    <w:p w14:paraId="54925443" w14:textId="77777777" w:rsidR="003C3D6C" w:rsidRDefault="003C3D6C" w:rsidP="003C3D6C">
      <w:pPr>
        <w:pStyle w:val="ListParagraph"/>
        <w:tabs>
          <w:tab w:val="left" w:pos="-720"/>
        </w:tabs>
        <w:suppressAutoHyphens/>
        <w:ind w:left="0"/>
        <w:rPr>
          <w:b/>
          <w:i/>
        </w:rPr>
      </w:pPr>
    </w:p>
    <w:p w14:paraId="0CB75F57" w14:textId="77777777" w:rsidR="003C3D6C" w:rsidRDefault="003C3D6C" w:rsidP="003C3D6C">
      <w:pPr>
        <w:pStyle w:val="ListParagraph"/>
        <w:numPr>
          <w:ilvl w:val="0"/>
          <w:numId w:val="27"/>
        </w:numPr>
        <w:tabs>
          <w:tab w:val="left" w:pos="-720"/>
        </w:tabs>
        <w:suppressAutoHyphens/>
      </w:pPr>
      <w:r>
        <w:t>Finally, calculate the standardized NB (NB/Prevalence) of your strategy.  Interpret this in words.</w:t>
      </w:r>
    </w:p>
    <w:p w14:paraId="71D14DA4" w14:textId="77777777" w:rsidR="003C3D6C" w:rsidRDefault="003C3D6C" w:rsidP="003C3D6C">
      <w:pPr>
        <w:tabs>
          <w:tab w:val="left" w:pos="-720"/>
        </w:tabs>
        <w:suppressAutoHyphens/>
      </w:pPr>
    </w:p>
    <w:p w14:paraId="059C7FE6" w14:textId="77777777" w:rsidR="003C3D6C" w:rsidRDefault="003C3D6C" w:rsidP="003C3D6C">
      <w:pPr>
        <w:tabs>
          <w:tab w:val="left" w:pos="-720"/>
        </w:tabs>
        <w:suppressAutoHyphens/>
      </w:pPr>
    </w:p>
    <w:p w14:paraId="5FE33CA5" w14:textId="77777777" w:rsidR="003C3D6C" w:rsidRDefault="003C3D6C" w:rsidP="003C3D6C">
      <w:pPr>
        <w:tabs>
          <w:tab w:val="left" w:pos="-720"/>
        </w:tabs>
        <w:suppressAutoHyphens/>
      </w:pPr>
    </w:p>
    <w:p w14:paraId="60D3C62D" w14:textId="77777777" w:rsidR="000C0E27" w:rsidRPr="00D35307" w:rsidRDefault="000C0E27" w:rsidP="000C0E27">
      <w:pPr>
        <w:pStyle w:val="FootnoteText"/>
        <w:rPr>
          <w:b/>
        </w:rPr>
      </w:pPr>
      <w:r>
        <w:rPr>
          <w:b/>
        </w:rPr>
        <w:t>Ch06.12</w:t>
      </w:r>
      <w:r w:rsidRPr="00D35307">
        <w:rPr>
          <w:b/>
        </w:rPr>
        <w:t>.</w:t>
      </w:r>
      <w:r>
        <w:rPr>
          <w:b/>
        </w:rPr>
        <w:t>Q</w:t>
      </w:r>
      <w:r w:rsidRPr="00D35307">
        <w:rPr>
          <w:b/>
        </w:rPr>
        <w:t xml:space="preserve"> Penumonia Mortality</w:t>
      </w:r>
    </w:p>
    <w:p w14:paraId="37669F23" w14:textId="139A06C1" w:rsidR="000C0E27" w:rsidRDefault="000C0E27" w:rsidP="000C0E27">
      <w:pPr>
        <w:pStyle w:val="FootnoteText"/>
      </w:pPr>
      <w:r>
        <w:t xml:space="preserve">Schuetz et al </w:t>
      </w:r>
      <w:r>
        <w:fldChar w:fldCharType="begin">
          <w:fldData xml:space="preserve">PEVuZE5vdGU+PENpdGU+PEF1dGhvcj5TY2h1ZXR6PC9BdXRob3I+PFllYXI+MjAwODwvWWVhcj48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</w:fldData>
        </w:fldChar>
      </w:r>
      <w:r>
        <w:instrText xml:space="preserve"> ADDIN EN.CITE </w:instrText>
      </w:r>
      <w:r>
        <w:fldChar w:fldCharType="begin">
          <w:fldData xml:space="preserve">PEVuZE5vdGU+PENpdGU+PEF1dGhvcj5TY2h1ZXR6PC9BdXRob3I+PFllYXI+MjAwODwvWWVhcj48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</w:fldData>
        </w:fldChar>
      </w:r>
      <w:r>
        <w:instrText xml:space="preserve"> ADDIN EN.CITE.DATA </w:instrText>
      </w:r>
      <w:r>
        <w:fldChar w:fldCharType="end"/>
      </w:r>
      <w:r>
        <w:fldChar w:fldCharType="separate"/>
      </w:r>
      <w:r>
        <w:rPr>
          <w:noProof/>
        </w:rPr>
        <w:t>(</w:t>
      </w:r>
      <w:hyperlink w:anchor="_ENREF_2" w:tooltip="Schuetz, 2008 #1427" w:history="1">
        <w:r w:rsidR="00484A01">
          <w:rPr>
            <w:noProof/>
          </w:rPr>
          <w:t>Schuetz, Koller et al. 2008</w:t>
        </w:r>
      </w:hyperlink>
      <w:r>
        <w:rPr>
          <w:noProof/>
        </w:rPr>
        <w:t>)</w:t>
      </w:r>
      <w:r>
        <w:fldChar w:fldCharType="end"/>
      </w:r>
      <w:r w:rsidR="00C30DA3">
        <w:t xml:space="preserve"> </w:t>
      </w:r>
      <w:r>
        <w:t xml:space="preserve">compared 3 rules for predicting mortality in patients with community acquired pneumonia.  The 3 rules were the Pneumonia Severity Index (PSI), the CURB65, and the CRB65 (which is CURB65 without the “U”).  They used each of these 3 rules to predict risk of death in </w:t>
      </w:r>
    </w:p>
    <w:p w14:paraId="76F3E60A" w14:textId="77777777" w:rsidR="000C0E27" w:rsidRDefault="000C0E27" w:rsidP="000C0E27">
      <w:pPr>
        <w:pStyle w:val="FootnoteText"/>
      </w:pPr>
      <w:r>
        <w:t xml:space="preserve">373 patients with community–acquired pneumonia who were seen in the emergency department of a Swiss university hospital.  41 patients died within 30 days.  Their calibration plots are shown on the next page.  </w:t>
      </w:r>
    </w:p>
    <w:p w14:paraId="05CD1628" w14:textId="77777777" w:rsidR="000C0E27" w:rsidRDefault="000C0E27" w:rsidP="000C0E27">
      <w:pPr>
        <w:pStyle w:val="FootnoteText"/>
      </w:pPr>
    </w:p>
    <w:p w14:paraId="27D7AE36" w14:textId="77777777" w:rsidR="000C0E27" w:rsidRDefault="000C0E27" w:rsidP="000C0E27">
      <w:pPr>
        <w:pStyle w:val="FootnoteText"/>
      </w:pPr>
      <w:r>
        <w:t xml:space="preserve">All 3 rules divided the patients into 5 risk groups and, for all 3 rules, the predicted risks differed substantially from the actual mortality rate, so the authors re-calibrated the risk models.   </w:t>
      </w:r>
    </w:p>
    <w:p w14:paraId="18431181" w14:textId="77777777" w:rsidR="000C0E27" w:rsidRDefault="000C0E27" w:rsidP="000C0E27">
      <w:pPr>
        <w:pStyle w:val="FootnoteText"/>
      </w:pPr>
    </w:p>
    <w:p w14:paraId="60034B11" w14:textId="77777777" w:rsidR="000C0E27" w:rsidRDefault="000C0E27" w:rsidP="000C0E27">
      <w:pPr>
        <w:pStyle w:val="FootnoteText"/>
      </w:pPr>
      <w:r>
        <w:t xml:space="preserve">a) Figure (c) is the calibration plot for the CRB65 rule.  The open diamonds </w:t>
      </w:r>
      <w:r w:rsidRPr="0048106D">
        <w:rPr>
          <w:color w:val="000000"/>
          <w:shd w:val="clear" w:color="auto" w:fill="FFFFFF"/>
        </w:rPr>
        <w:t>(◊)</w:t>
      </w:r>
      <w:r>
        <w:rPr>
          <w:color w:val="000000"/>
          <w:shd w:val="clear" w:color="auto" w:fill="FFFFFF"/>
        </w:rPr>
        <w:t xml:space="preserve"> </w:t>
      </w:r>
      <w:r>
        <w:t>represent the original risk predictions prior to recalibration.  Prior to recalibration, did the CRB65 rule overestimate or underestimate mortality risk? Explain briefly.</w:t>
      </w:r>
    </w:p>
    <w:p w14:paraId="7963B6C5" w14:textId="77777777" w:rsidR="000C0E27" w:rsidRDefault="000C0E27" w:rsidP="000C0E27">
      <w:pPr>
        <w:pStyle w:val="FootnoteText"/>
      </w:pPr>
    </w:p>
    <w:p w14:paraId="01679D7B" w14:textId="77777777" w:rsidR="000C0E27" w:rsidRDefault="000C0E27" w:rsidP="000C0E27">
      <w:pPr>
        <w:pStyle w:val="FootnoteText"/>
      </w:pPr>
    </w:p>
    <w:p w14:paraId="7F11192C" w14:textId="77777777" w:rsidR="000C0E27" w:rsidRDefault="000C0E27" w:rsidP="000C0E27">
      <w:pPr>
        <w:pStyle w:val="FootnoteText"/>
      </w:pPr>
      <w:r>
        <w:t>b) Figure (b) is the calibration plot for C</w:t>
      </w:r>
      <w:r w:rsidRPr="008226A6">
        <w:rPr>
          <w:u w:val="single"/>
        </w:rPr>
        <w:t>U</w:t>
      </w:r>
      <w:r>
        <w:t>RB65 (note the letter “U”).  CURB 65 assigned only 3 patients to its highest risk group.  How many of them died?</w:t>
      </w:r>
    </w:p>
    <w:p w14:paraId="4DFFB49B" w14:textId="77777777" w:rsidR="000C0E27" w:rsidRDefault="000C0E27" w:rsidP="000C0E27">
      <w:pPr>
        <w:pStyle w:val="FootnoteText"/>
      </w:pPr>
    </w:p>
    <w:p w14:paraId="65C07AD8" w14:textId="77777777" w:rsidR="000C0E27" w:rsidRDefault="000C0E27" w:rsidP="000C0E27">
      <w:pPr>
        <w:pStyle w:val="FootnoteText"/>
      </w:pPr>
    </w:p>
    <w:p w14:paraId="243596D3" w14:textId="77777777" w:rsidR="000C0E27" w:rsidRDefault="000C0E27" w:rsidP="000C0E27">
      <w:pPr>
        <w:pStyle w:val="FootnoteText"/>
      </w:pPr>
    </w:p>
    <w:p w14:paraId="36E7D4C6" w14:textId="77777777" w:rsidR="000C0E27" w:rsidRDefault="000C0E27" w:rsidP="000C0E27">
      <w:pPr>
        <w:pStyle w:val="FootnoteText"/>
      </w:pPr>
    </w:p>
    <w:p w14:paraId="76DA8BA4" w14:textId="77777777" w:rsidR="000C0E27" w:rsidRDefault="000C0E27" w:rsidP="000C0E27">
      <w:pPr>
        <w:pStyle w:val="FootnoteText"/>
      </w:pPr>
    </w:p>
    <w:p w14:paraId="392BF901" w14:textId="77777777" w:rsidR="000C0E27" w:rsidRDefault="000C0E27" w:rsidP="000C0E27">
      <w:pPr>
        <w:pStyle w:val="FootnoteText"/>
      </w:pPr>
    </w:p>
    <w:p w14:paraId="66FC80E4" w14:textId="77777777" w:rsidR="000C0E27" w:rsidRDefault="000C0E27" w:rsidP="000C0E27">
      <w:pPr>
        <w:pStyle w:val="FootnoteText"/>
      </w:pPr>
    </w:p>
    <w:p w14:paraId="7FE98962" w14:textId="77777777" w:rsidR="000C0E27" w:rsidRDefault="000C0E27" w:rsidP="000C0E27">
      <w:pPr>
        <w:pStyle w:val="FootnoteText"/>
      </w:pPr>
      <w:r>
        <w:t>note: The PSI is the same as the PORT Score described in Chapter 8 of Evidence-Based Diagnosis, Edition 1, Table 8.3, page 176.)</w:t>
      </w:r>
    </w:p>
    <w:p w14:paraId="3D487DA5" w14:textId="77777777" w:rsidR="000C0E27" w:rsidRDefault="000C0E27" w:rsidP="000C0E27">
      <w:pPr>
        <w:pStyle w:val="FootnoteText"/>
      </w:pPr>
      <w:r>
        <w:t>note: the CRB65 is just the CURB65 without a lab test called the BUN.</w:t>
      </w:r>
    </w:p>
    <w:p w14:paraId="21090553" w14:textId="77777777" w:rsidR="000C0E27" w:rsidRDefault="000C0E27" w:rsidP="000C0E27"/>
    <w:p w14:paraId="721E0795" w14:textId="77777777" w:rsidR="000C0E27" w:rsidRDefault="000C0E27" w:rsidP="000C0E27">
      <w:pPr>
        <w:rPr>
          <w:rFonts w:eastAsia="Times New Roman"/>
          <w:color w:val="000000"/>
          <w:shd w:val="clear" w:color="auto" w:fill="FFFFFF"/>
        </w:rPr>
      </w:pPr>
      <w:r>
        <w:rPr>
          <w:noProof/>
        </w:rPr>
        <w:lastRenderedPageBreak/>
        <w:drawing>
          <wp:anchor distT="0" distB="0" distL="114300" distR="114300" simplePos="0" relativeHeight="251659264" behindDoc="0" locked="0" layoutInCell="1" allowOverlap="1" wp14:anchorId="0D17241E" wp14:editId="4BD15B94">
            <wp:simplePos x="0" y="0"/>
            <wp:positionH relativeFrom="column">
              <wp:align>left</wp:align>
            </wp:positionH>
            <wp:positionV relativeFrom="paragraph">
              <wp:posOffset>-228600</wp:posOffset>
            </wp:positionV>
            <wp:extent cx="2956560" cy="822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eumoniaCalibrationProblem.jpg"/>
                    <pic:cNvPicPr/>
                  </pic:nvPicPr>
                  <pic:blipFill>
                    <a:blip r:embed="rId9">
                      <a:extLst>
                        <a:ext uri="{28A0092B-C50C-407E-A947-70E740481C1C}">
                          <a14:useLocalDpi xmlns:a14="http://schemas.microsoft.com/office/drawing/2010/main" val="0"/>
                        </a:ext>
                      </a:extLst>
                    </a:blip>
                    <a:stretch>
                      <a:fillRect/>
                    </a:stretch>
                  </pic:blipFill>
                  <pic:spPr>
                    <a:xfrm>
                      <a:off x="0" y="0"/>
                      <a:ext cx="2956560" cy="8229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p w14:paraId="0515D572" w14:textId="77777777" w:rsidR="000C0E27" w:rsidRDefault="000C0E27" w:rsidP="000C0E27">
      <w:pPr>
        <w:rPr>
          <w:rFonts w:eastAsia="Times New Roman"/>
          <w:color w:val="000000"/>
          <w:shd w:val="clear" w:color="auto" w:fill="FFFFFF"/>
        </w:rPr>
      </w:pPr>
    </w:p>
    <w:p w14:paraId="31AA22B3" w14:textId="77777777" w:rsidR="000C0E27" w:rsidRDefault="000C0E27" w:rsidP="000C0E27">
      <w:pPr>
        <w:rPr>
          <w:rFonts w:eastAsia="Times New Roman"/>
          <w:color w:val="000000"/>
          <w:shd w:val="clear" w:color="auto" w:fill="FFFFFF"/>
        </w:rPr>
      </w:pPr>
    </w:p>
    <w:p w14:paraId="6701EDEA" w14:textId="77777777" w:rsidR="000C0E27" w:rsidRDefault="000C0E27" w:rsidP="000C0E27">
      <w:pPr>
        <w:rPr>
          <w:rFonts w:eastAsia="Times New Roman"/>
          <w:color w:val="000000"/>
          <w:shd w:val="clear" w:color="auto" w:fill="FFFFFF"/>
        </w:rPr>
      </w:pPr>
    </w:p>
    <w:p w14:paraId="50110F63" w14:textId="77777777" w:rsidR="000C0E27" w:rsidRDefault="000C0E27" w:rsidP="000C0E27">
      <w:pPr>
        <w:rPr>
          <w:rFonts w:eastAsia="Times New Roman"/>
          <w:color w:val="000000"/>
          <w:shd w:val="clear" w:color="auto" w:fill="FFFFFF"/>
        </w:rPr>
      </w:pPr>
    </w:p>
    <w:p w14:paraId="39881997" w14:textId="77777777" w:rsidR="000C0E27" w:rsidRDefault="000C0E27" w:rsidP="000C0E27">
      <w:pPr>
        <w:rPr>
          <w:rFonts w:eastAsia="Times New Roman"/>
          <w:color w:val="000000"/>
          <w:shd w:val="clear" w:color="auto" w:fill="FFFFFF"/>
        </w:rPr>
      </w:pPr>
    </w:p>
    <w:p w14:paraId="354A7A6A" w14:textId="77777777" w:rsidR="000C0E27" w:rsidRDefault="000C0E27" w:rsidP="000C0E27">
      <w:pPr>
        <w:rPr>
          <w:rFonts w:eastAsia="Times New Roman"/>
          <w:color w:val="000000"/>
          <w:shd w:val="clear" w:color="auto" w:fill="FFFFFF"/>
        </w:rPr>
      </w:pPr>
    </w:p>
    <w:p w14:paraId="05471611" w14:textId="77777777" w:rsidR="000C0E27" w:rsidRDefault="000C0E27" w:rsidP="000C0E27">
      <w:pPr>
        <w:rPr>
          <w:rFonts w:eastAsia="Times New Roman"/>
          <w:color w:val="000000"/>
          <w:shd w:val="clear" w:color="auto" w:fill="FFFFFF"/>
        </w:rPr>
      </w:pPr>
    </w:p>
    <w:p w14:paraId="132650B0" w14:textId="77777777" w:rsidR="000C0E27" w:rsidRDefault="000C0E27" w:rsidP="000C0E27">
      <w:pPr>
        <w:rPr>
          <w:rFonts w:eastAsia="Times New Roman"/>
          <w:color w:val="000000"/>
          <w:shd w:val="clear" w:color="auto" w:fill="FFFFFF"/>
        </w:rPr>
      </w:pPr>
    </w:p>
    <w:p w14:paraId="3FF2207E" w14:textId="77777777" w:rsidR="000C0E27" w:rsidRDefault="000C0E27" w:rsidP="000C0E27">
      <w:pPr>
        <w:rPr>
          <w:rFonts w:eastAsia="Times New Roman"/>
          <w:color w:val="000000"/>
          <w:shd w:val="clear" w:color="auto" w:fill="FFFFFF"/>
        </w:rPr>
      </w:pPr>
    </w:p>
    <w:p w14:paraId="46D55039" w14:textId="77777777" w:rsidR="000C0E27" w:rsidRDefault="000C0E27" w:rsidP="000C0E27">
      <w:pPr>
        <w:rPr>
          <w:rFonts w:eastAsia="Times New Roman"/>
          <w:color w:val="000000"/>
          <w:shd w:val="clear" w:color="auto" w:fill="FFFFFF"/>
        </w:rPr>
      </w:pPr>
    </w:p>
    <w:p w14:paraId="00737B5E" w14:textId="77777777" w:rsidR="000C0E27" w:rsidRDefault="000C0E27" w:rsidP="000C0E27">
      <w:pPr>
        <w:rPr>
          <w:rFonts w:eastAsia="Times New Roman"/>
          <w:color w:val="000000"/>
          <w:shd w:val="clear" w:color="auto" w:fill="FFFFFF"/>
        </w:rPr>
      </w:pPr>
    </w:p>
    <w:p w14:paraId="695084C3" w14:textId="77777777" w:rsidR="000C0E27" w:rsidRDefault="000C0E27" w:rsidP="000C0E27">
      <w:pPr>
        <w:rPr>
          <w:rFonts w:eastAsia="Times New Roman"/>
          <w:color w:val="000000"/>
          <w:shd w:val="clear" w:color="auto" w:fill="FFFFFF"/>
        </w:rPr>
      </w:pPr>
    </w:p>
    <w:p w14:paraId="51020ED9" w14:textId="77777777" w:rsidR="000C0E27" w:rsidRDefault="000C0E27" w:rsidP="000C0E27">
      <w:pPr>
        <w:rPr>
          <w:rFonts w:eastAsia="Times New Roman"/>
          <w:color w:val="000000"/>
          <w:shd w:val="clear" w:color="auto" w:fill="FFFFFF"/>
        </w:rPr>
      </w:pPr>
    </w:p>
    <w:p w14:paraId="57007040" w14:textId="77777777" w:rsidR="000C0E27" w:rsidRDefault="000C0E27" w:rsidP="000C0E27">
      <w:pPr>
        <w:rPr>
          <w:rFonts w:eastAsia="Times New Roman"/>
          <w:color w:val="000000"/>
          <w:shd w:val="clear" w:color="auto" w:fill="FFFFFF"/>
        </w:rPr>
      </w:pPr>
    </w:p>
    <w:p w14:paraId="46DF23C9" w14:textId="77777777" w:rsidR="000C0E27" w:rsidRDefault="000C0E27" w:rsidP="000C0E27">
      <w:pPr>
        <w:rPr>
          <w:rFonts w:eastAsia="Times New Roman"/>
          <w:color w:val="000000"/>
          <w:shd w:val="clear" w:color="auto" w:fill="FFFFFF"/>
        </w:rPr>
      </w:pPr>
    </w:p>
    <w:p w14:paraId="796CBC5E" w14:textId="77777777" w:rsidR="000C0E27" w:rsidRPr="003F05D0" w:rsidRDefault="000C0E27" w:rsidP="000C0E27">
      <w:pPr>
        <w:ind w:left="2160"/>
        <w:rPr>
          <w:rFonts w:ascii="Times" w:eastAsia="Times New Roman" w:hAnsi="Times"/>
          <w:sz w:val="20"/>
          <w:szCs w:val="20"/>
        </w:rPr>
      </w:pPr>
      <w:r w:rsidRPr="003F05D0">
        <w:rPr>
          <w:rFonts w:eastAsia="Times New Roman"/>
          <w:color w:val="000000"/>
          <w:shd w:val="clear" w:color="auto" w:fill="FFFFFF"/>
        </w:rPr>
        <w:t>Agreement between predicted and observed 30-day mortality (calibration) for three pneumonia severity prediction rules (</w:t>
      </w:r>
      <w:r w:rsidRPr="003F05D0">
        <w:rPr>
          <w:rFonts w:eastAsia="Times New Roman"/>
          <w:i/>
          <w:iCs/>
          <w:color w:val="000000"/>
          <w:shd w:val="clear" w:color="auto" w:fill="FFFFFF"/>
        </w:rPr>
        <w:t>a</w:t>
      </w:r>
      <w:r w:rsidRPr="003F05D0">
        <w:rPr>
          <w:rFonts w:eastAsia="Times New Roman"/>
          <w:color w:val="000000"/>
          <w:shd w:val="clear" w:color="auto" w:fill="FFFFFF"/>
        </w:rPr>
        <w:t>) PSI, (</w:t>
      </w:r>
      <w:r w:rsidRPr="003F05D0">
        <w:rPr>
          <w:rFonts w:eastAsia="Times New Roman"/>
          <w:i/>
          <w:iCs/>
          <w:color w:val="000000"/>
          <w:shd w:val="clear" w:color="auto" w:fill="FFFFFF"/>
        </w:rPr>
        <w:t>b</w:t>
      </w:r>
      <w:r w:rsidRPr="003F05D0">
        <w:rPr>
          <w:rFonts w:eastAsia="Times New Roman"/>
          <w:color w:val="000000"/>
          <w:shd w:val="clear" w:color="auto" w:fill="FFFFFF"/>
        </w:rPr>
        <w:t>) CURB65 and (</w:t>
      </w:r>
      <w:r w:rsidRPr="003F05D0">
        <w:rPr>
          <w:rFonts w:eastAsia="Times New Roman"/>
          <w:i/>
          <w:iCs/>
          <w:color w:val="000000"/>
          <w:shd w:val="clear" w:color="auto" w:fill="FFFFFF"/>
        </w:rPr>
        <w:t>c</w:t>
      </w:r>
      <w:r w:rsidRPr="003F05D0">
        <w:rPr>
          <w:rFonts w:eastAsia="Times New Roman"/>
          <w:color w:val="000000"/>
          <w:shd w:val="clear" w:color="auto" w:fill="FFFFFF"/>
        </w:rPr>
        <w:t>) CRB65. Observed mortality is plotted according to classes of predicted risk for each prediction rule separately. The solid line of identity represents perfect calibration of predicted risk within new patients. Correction of miscalibration (</w:t>
      </w:r>
      <w:r>
        <w:rPr>
          <w:rFonts w:ascii="Wingdings" w:eastAsia="Times New Roman" w:hAnsi="Wingdings"/>
          <w:color w:val="000000"/>
          <w:shd w:val="clear" w:color="auto" w:fill="FFFFFF"/>
        </w:rPr>
        <w:t></w:t>
      </w:r>
      <w:r w:rsidRPr="003F05D0">
        <w:rPr>
          <w:rFonts w:eastAsia="Times New Roman"/>
          <w:color w:val="000000"/>
          <w:shd w:val="clear" w:color="auto" w:fill="FFFFFF"/>
        </w:rPr>
        <w:t>) after recalibration (◊).</w:t>
      </w:r>
    </w:p>
    <w:p w14:paraId="5B8366FF" w14:textId="77777777" w:rsidR="000C0E27" w:rsidRDefault="000C0E27" w:rsidP="000C0E27">
      <w:r>
        <w:br w:type="page"/>
      </w:r>
    </w:p>
    <w:p w14:paraId="5B13206C" w14:textId="77777777" w:rsidR="000C0E27" w:rsidRDefault="000C0E27" w:rsidP="000C0E27">
      <w:pPr>
        <w:pStyle w:val="FootnoteText"/>
      </w:pPr>
      <w:r>
        <w:lastRenderedPageBreak/>
        <w:t>The ROC curves are shown below:</w:t>
      </w:r>
    </w:p>
    <w:p w14:paraId="07CFBCA2" w14:textId="77777777" w:rsidR="000C0E27" w:rsidRDefault="000C0E27" w:rsidP="000C0E27">
      <w:pPr>
        <w:pStyle w:val="FootnoteText"/>
      </w:pPr>
    </w:p>
    <w:p w14:paraId="47844DD2" w14:textId="77777777" w:rsidR="000C0E27" w:rsidRDefault="000C0E27" w:rsidP="000C0E27">
      <w:pPr>
        <w:pStyle w:val="FootnoteText"/>
      </w:pPr>
      <w:r>
        <w:rPr>
          <w:noProof/>
        </w:rPr>
        <w:drawing>
          <wp:inline distT="0" distB="0" distL="0" distR="0" wp14:anchorId="39B31DF3" wp14:editId="2790BD4F">
            <wp:extent cx="4800600" cy="327120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 Curve.jpg"/>
                    <pic:cNvPicPr/>
                  </pic:nvPicPr>
                  <pic:blipFill>
                    <a:blip r:embed="rId10">
                      <a:extLst>
                        <a:ext uri="{28A0092B-C50C-407E-A947-70E740481C1C}">
                          <a14:useLocalDpi xmlns:a14="http://schemas.microsoft.com/office/drawing/2010/main" val="0"/>
                        </a:ext>
                      </a:extLst>
                    </a:blip>
                    <a:stretch>
                      <a:fillRect/>
                    </a:stretch>
                  </pic:blipFill>
                  <pic:spPr>
                    <a:xfrm>
                      <a:off x="0" y="0"/>
                      <a:ext cx="4804987" cy="3274195"/>
                    </a:xfrm>
                    <a:prstGeom prst="rect">
                      <a:avLst/>
                    </a:prstGeom>
                  </pic:spPr>
                </pic:pic>
              </a:graphicData>
            </a:graphic>
          </wp:inline>
        </w:drawing>
      </w:r>
    </w:p>
    <w:p w14:paraId="39AA4941" w14:textId="77777777" w:rsidR="000C0E27" w:rsidRDefault="000C0E27" w:rsidP="000C0E27">
      <w:pPr>
        <w:pStyle w:val="FootnoteText"/>
      </w:pPr>
    </w:p>
    <w:p w14:paraId="54C925E4" w14:textId="77777777" w:rsidR="000C0E27" w:rsidRPr="00FD45CB" w:rsidRDefault="000C0E27" w:rsidP="000C0E27">
      <w:pPr>
        <w:rPr>
          <w:rFonts w:ascii="Times" w:eastAsia="Times New Roman" w:hAnsi="Times"/>
          <w:sz w:val="20"/>
          <w:szCs w:val="20"/>
        </w:rPr>
      </w:pPr>
      <w:r w:rsidRPr="00FD45CB">
        <w:rPr>
          <w:rFonts w:eastAsia="Times New Roman"/>
          <w:color w:val="000000"/>
          <w:shd w:val="clear" w:color="auto" w:fill="FFFFFF"/>
        </w:rPr>
        <w:t xml:space="preserve">Receiver-operating characteristics analysis for 30-day mortality prediction with three pneumonia severity prediction rules (PSI, CURB65 and CRB65) in 373 patients with </w:t>
      </w:r>
      <w:r>
        <w:rPr>
          <w:rFonts w:eastAsia="Times New Roman"/>
          <w:color w:val="000000"/>
          <w:shd w:val="clear" w:color="auto" w:fill="FFFFFF"/>
        </w:rPr>
        <w:t>community acquired pneumonia</w:t>
      </w:r>
      <w:r w:rsidRPr="00FD45CB">
        <w:rPr>
          <w:rFonts w:eastAsia="Times New Roman"/>
          <w:color w:val="000000"/>
          <w:shd w:val="clear" w:color="auto" w:fill="FFFFFF"/>
        </w:rPr>
        <w:t>.</w:t>
      </w:r>
    </w:p>
    <w:p w14:paraId="43BF8F84" w14:textId="77777777" w:rsidR="000C0E27" w:rsidRDefault="000C0E27" w:rsidP="000C0E27">
      <w:pPr>
        <w:pStyle w:val="FootnoteText"/>
      </w:pPr>
    </w:p>
    <w:p w14:paraId="26F1A62D" w14:textId="77777777" w:rsidR="000C0E27" w:rsidRDefault="000C0E27" w:rsidP="000C0E27">
      <w:pPr>
        <w:pStyle w:val="FootnoteText"/>
      </w:pPr>
    </w:p>
    <w:p w14:paraId="1F80E36B" w14:textId="77777777" w:rsidR="000C0E27" w:rsidRDefault="000C0E27" w:rsidP="000C0E27">
      <w:pPr>
        <w:pStyle w:val="FootnoteText"/>
      </w:pPr>
      <w:r>
        <w:t>c) Do you think the above ROC curves were based on the pre-recalibration or post-recalibration risk predictions? Explain your answer.</w:t>
      </w:r>
    </w:p>
    <w:p w14:paraId="2EA135E5" w14:textId="77777777" w:rsidR="000C0E27" w:rsidRDefault="000C0E27" w:rsidP="000C0E27">
      <w:pPr>
        <w:pStyle w:val="FootnoteText"/>
      </w:pPr>
    </w:p>
    <w:p w14:paraId="799D6A9B" w14:textId="77777777" w:rsidR="000C0E27" w:rsidRDefault="000C0E27" w:rsidP="000C0E27">
      <w:pPr>
        <w:pStyle w:val="FootnoteText"/>
      </w:pPr>
    </w:p>
    <w:p w14:paraId="270FA30A" w14:textId="77777777" w:rsidR="000C0E27" w:rsidRDefault="000C0E27" w:rsidP="000C0E27">
      <w:pPr>
        <w:pStyle w:val="FootnoteText"/>
      </w:pPr>
    </w:p>
    <w:p w14:paraId="1DEE6B4F" w14:textId="77777777" w:rsidR="000C0E27" w:rsidRDefault="000C0E27" w:rsidP="000C0E27">
      <w:pPr>
        <w:pStyle w:val="FootnoteText"/>
      </w:pPr>
      <w:r>
        <w:t>d) The AUROC for the PSI was greater than the AUROC for CURB65, but the points on the CURB65 calibration curve are more spread out.  How can this be?</w:t>
      </w:r>
    </w:p>
    <w:p w14:paraId="5E9783C6" w14:textId="77777777" w:rsidR="000C0E27" w:rsidRDefault="000C0E27" w:rsidP="000C0E27">
      <w:pPr>
        <w:pStyle w:val="FootnoteText"/>
      </w:pPr>
    </w:p>
    <w:p w14:paraId="75A7271B" w14:textId="77777777" w:rsidR="000C0E27" w:rsidRDefault="000C0E27" w:rsidP="000C0E27">
      <w:pPr>
        <w:pStyle w:val="FootnoteText"/>
        <w:rPr>
          <w:b/>
        </w:rPr>
      </w:pPr>
    </w:p>
    <w:p w14:paraId="28943165" w14:textId="77777777" w:rsidR="000C0E27" w:rsidRDefault="000C0E27" w:rsidP="000C0E27">
      <w:pPr>
        <w:pStyle w:val="FootnoteText"/>
        <w:rPr>
          <w:b/>
        </w:rPr>
      </w:pPr>
    </w:p>
    <w:p w14:paraId="5837A976" w14:textId="77777777" w:rsidR="000C0E27" w:rsidRDefault="000C0E27" w:rsidP="000C0E27">
      <w:pPr>
        <w:pStyle w:val="FootnoteText"/>
      </w:pPr>
    </w:p>
    <w:p w14:paraId="6A6CEF6D" w14:textId="77777777" w:rsidR="000C0E27" w:rsidRDefault="000C0E27" w:rsidP="000C0E27">
      <w:r>
        <w:br w:type="page"/>
      </w:r>
    </w:p>
    <w:p w14:paraId="702A2773" w14:textId="77777777" w:rsidR="000C0E27" w:rsidRDefault="000C0E27" w:rsidP="000C0E27">
      <w:pPr>
        <w:pStyle w:val="FootnoteText"/>
      </w:pPr>
    </w:p>
    <w:p w14:paraId="1C38547A" w14:textId="77777777" w:rsidR="000C0E27" w:rsidRDefault="000C0E27" w:rsidP="000C0E27"/>
    <w:p w14:paraId="380D7CCD" w14:textId="77777777" w:rsidR="000C0E27" w:rsidRDefault="000C0E27" w:rsidP="000C0E27">
      <w:pPr>
        <w:pStyle w:val="FootnoteText"/>
      </w:pPr>
      <w:r>
        <w:t>e)   Below is an enlarged version of the calibration plot for the PSI with 3 risk classes circled.  Draw a circle around the part of the ROC curve that corresponds to these 3 risk classes.</w:t>
      </w:r>
    </w:p>
    <w:p w14:paraId="78798BF3" w14:textId="77777777" w:rsidR="000C0E27" w:rsidRDefault="000C0E27" w:rsidP="000C0E27">
      <w:pPr>
        <w:pStyle w:val="FootnoteText"/>
      </w:pPr>
      <w:r>
        <w:rPr>
          <w:noProof/>
        </w:rPr>
        <mc:AlternateContent>
          <mc:Choice Requires="wps">
            <w:drawing>
              <wp:anchor distT="0" distB="0" distL="114300" distR="114300" simplePos="0" relativeHeight="251660288" behindDoc="0" locked="0" layoutInCell="1" allowOverlap="1" wp14:anchorId="76BB44DB" wp14:editId="094D7881">
                <wp:simplePos x="0" y="0"/>
                <wp:positionH relativeFrom="column">
                  <wp:posOffset>457200</wp:posOffset>
                </wp:positionH>
                <wp:positionV relativeFrom="paragraph">
                  <wp:posOffset>2078355</wp:posOffset>
                </wp:positionV>
                <wp:extent cx="685800" cy="457200"/>
                <wp:effectExtent l="50800" t="25400" r="50800" b="101600"/>
                <wp:wrapNone/>
                <wp:docPr id="8" name="Oval 8"/>
                <wp:cNvGraphicFramePr/>
                <a:graphic xmlns:a="http://schemas.openxmlformats.org/drawingml/2006/main">
                  <a:graphicData uri="http://schemas.microsoft.com/office/word/2010/wordprocessingShape">
                    <wps:wsp>
                      <wps:cNvSpPr/>
                      <wps:spPr>
                        <a:xfrm>
                          <a:off x="0" y="0"/>
                          <a:ext cx="685800" cy="457200"/>
                        </a:xfrm>
                        <a:prstGeom prst="ellipse">
                          <a:avLst/>
                        </a:prstGeom>
                        <a:noFill/>
                        <a:ln w="12700">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70DAB43" id="Oval 8" o:spid="_x0000_s1026" style="position:absolute;margin-left:36pt;margin-top:163.65pt;width: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" filled="f" strokecolor="black [3213]" strokeweight="1pt">
                <v:shadow on="t" color="black" opacity="22937f" origin=",.5" offset="0,.63889mm"/>
              </v:oval>
            </w:pict>
          </mc:Fallback>
        </mc:AlternateContent>
      </w:r>
      <w:r>
        <w:rPr>
          <w:noProof/>
        </w:rPr>
        <w:drawing>
          <wp:inline distT="0" distB="0" distL="0" distR="0" wp14:anchorId="7C14928D" wp14:editId="3C471313">
            <wp:extent cx="3657600" cy="347675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eumoniaCalibrationProblem.jpg"/>
                    <pic:cNvPicPr/>
                  </pic:nvPicPr>
                  <pic:blipFill rotWithShape="1">
                    <a:blip r:embed="rId9">
                      <a:extLst>
                        <a:ext uri="{28A0092B-C50C-407E-A947-70E740481C1C}">
                          <a14:useLocalDpi xmlns:a14="http://schemas.microsoft.com/office/drawing/2010/main" val="0"/>
                        </a:ext>
                      </a:extLst>
                    </a:blip>
                    <a:srcRect b="65844"/>
                    <a:stretch/>
                  </pic:blipFill>
                  <pic:spPr bwMode="auto">
                    <a:xfrm>
                      <a:off x="0" y="0"/>
                      <a:ext cx="3658061" cy="347719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69FAF46B" w14:textId="77777777" w:rsidR="000C0E27" w:rsidRDefault="000C0E27" w:rsidP="000C0E27">
      <w:pPr>
        <w:pStyle w:val="FootnoteText"/>
      </w:pPr>
    </w:p>
    <w:p w14:paraId="5B7F928C" w14:textId="77777777" w:rsidR="000C0E27" w:rsidRDefault="000C0E27" w:rsidP="000C0E27">
      <w:pPr>
        <w:pStyle w:val="FootnoteText"/>
        <w:rPr>
          <w:b/>
        </w:rPr>
      </w:pPr>
      <w:r>
        <w:rPr>
          <w:noProof/>
        </w:rPr>
        <w:drawing>
          <wp:inline distT="0" distB="0" distL="0" distR="0" wp14:anchorId="0DB39074" wp14:editId="3CB96FBB">
            <wp:extent cx="4361212" cy="29718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 Curve.jpg"/>
                    <pic:cNvPicPr/>
                  </pic:nvPicPr>
                  <pic:blipFill>
                    <a:blip r:embed="rId10">
                      <a:extLst>
                        <a:ext uri="{28A0092B-C50C-407E-A947-70E740481C1C}">
                          <a14:useLocalDpi xmlns:a14="http://schemas.microsoft.com/office/drawing/2010/main" val="0"/>
                        </a:ext>
                      </a:extLst>
                    </a:blip>
                    <a:stretch>
                      <a:fillRect/>
                    </a:stretch>
                  </pic:blipFill>
                  <pic:spPr>
                    <a:xfrm>
                      <a:off x="0" y="0"/>
                      <a:ext cx="4365625" cy="2974807"/>
                    </a:xfrm>
                    <a:prstGeom prst="rect">
                      <a:avLst/>
                    </a:prstGeom>
                  </pic:spPr>
                </pic:pic>
              </a:graphicData>
            </a:graphic>
          </wp:inline>
        </w:drawing>
      </w:r>
    </w:p>
    <w:p w14:paraId="4825F15B" w14:textId="77777777" w:rsidR="000C0E27" w:rsidRDefault="000C0E27" w:rsidP="000C0E27">
      <w:pPr>
        <w:pStyle w:val="FootnoteText"/>
        <w:rPr>
          <w:b/>
        </w:rPr>
      </w:pPr>
    </w:p>
    <w:p w14:paraId="72A90A7F" w14:textId="77777777" w:rsidR="000C0E27" w:rsidRDefault="000C0E27" w:rsidP="000C0E27">
      <w:pPr>
        <w:rPr>
          <w:b/>
        </w:rPr>
      </w:pPr>
      <w:r>
        <w:rPr>
          <w:b/>
        </w:rPr>
        <w:br w:type="page"/>
      </w:r>
    </w:p>
    <w:p w14:paraId="5A048D31" w14:textId="77777777" w:rsidR="000C0E27" w:rsidRDefault="000C0E27" w:rsidP="000C0E27">
      <w:pPr>
        <w:pStyle w:val="FootnoteText"/>
      </w:pPr>
    </w:p>
    <w:p w14:paraId="7BA96FBB" w14:textId="77777777" w:rsidR="000C0E27" w:rsidRDefault="000C0E27" w:rsidP="000C0E27">
      <w:pPr>
        <w:pStyle w:val="FootnoteText"/>
      </w:pPr>
    </w:p>
    <w:p w14:paraId="2E305E75" w14:textId="77777777" w:rsidR="000C0E27" w:rsidRDefault="000C0E27" w:rsidP="000C0E27"/>
    <w:p w14:paraId="10A47C5C" w14:textId="77777777" w:rsidR="000C0E27" w:rsidRDefault="000C0E27" w:rsidP="000C0E27"/>
    <w:p w14:paraId="11437E56" w14:textId="77777777" w:rsidR="000C0E27" w:rsidRDefault="000C0E27" w:rsidP="000C0E27"/>
    <w:p w14:paraId="65526376" w14:textId="77777777" w:rsidR="000C0E27" w:rsidRDefault="000C0E27" w:rsidP="000C0E27">
      <w:r>
        <w:t>f) The authors were interested in a rule that could identify pneumonia patients at such low risk of death that they could be discharged from the emergency department.  Even after re-calibration, only one of the 3 rules could identify patients at low enough risk to send home.  Which of the 3 rules was it?  Explain how you know.</w:t>
      </w:r>
    </w:p>
    <w:p w14:paraId="24BE84E1" w14:textId="77777777" w:rsidR="000C0E27" w:rsidRDefault="000C0E27" w:rsidP="000C0E27"/>
    <w:p w14:paraId="3BFC6B81" w14:textId="77777777" w:rsidR="000C0E27" w:rsidRDefault="000C0E27" w:rsidP="000C0E27"/>
    <w:p w14:paraId="5DB4FD71" w14:textId="77777777" w:rsidR="000C0E27" w:rsidRDefault="000C0E27" w:rsidP="000C0E27">
      <w:pPr>
        <w:rPr>
          <w:b/>
        </w:rPr>
      </w:pPr>
    </w:p>
    <w:p w14:paraId="334DB481" w14:textId="77777777" w:rsidR="00D232FA" w:rsidRDefault="00D232FA" w:rsidP="00D232FA">
      <w:r>
        <w:rPr>
          <w:b/>
        </w:rPr>
        <w:t>Ch06.52.Q</w:t>
      </w:r>
      <w:r w:rsidRPr="004F1778">
        <w:rPr>
          <w:b/>
        </w:rPr>
        <w:t>.</w:t>
      </w:r>
      <w:r>
        <w:t xml:space="preserve"> QRISK2 vs. NICE Framingham Risk model</w:t>
      </w:r>
    </w:p>
    <w:p w14:paraId="47128D02" w14:textId="77777777" w:rsidR="00D232FA" w:rsidRDefault="00D232FA" w:rsidP="00D232FA"/>
    <w:p w14:paraId="2DB85EE5" w14:textId="77777777" w:rsidR="00D232FA" w:rsidRDefault="00D232FA" w:rsidP="00D232FA"/>
    <w:p w14:paraId="151D3084" w14:textId="6962587B" w:rsidR="00D232FA" w:rsidRDefault="00D232FA" w:rsidP="00D232FA">
      <w:r>
        <w:t xml:space="preserve">Collins and Altman </w:t>
      </w:r>
      <w:r>
        <w:fldChar w:fldCharType="begin"/>
      </w:r>
      <w:r>
        <w:instrText xml:space="preserve"> ADDIN EN.CITE &lt;EndNote&gt;&lt;Cite&gt;&lt;Author&gt;Collins&lt;/Author&gt;&lt;Year&gt;2012&lt;/Year&gt;&lt;RecNum&gt;1452&lt;/RecNum&gt;&lt;DisplayText&gt;(Collins and Altman 2012)&lt;/DisplayText&gt;&lt;record&gt;&lt;rec-number&gt;1452&lt;/rec-number&gt;&lt;foreign-keys&gt;&lt;key app="EN" db-id="0ftvff9p80fp5few5s05f5fw9rd9fefrdzer" timestamp="1507767010"&gt;1452&lt;/key&gt;&lt;/foreign-keys&gt;&lt;ref-type name="Journal Article"&gt;17&lt;/ref-type&gt;&lt;contributors&gt;&lt;authors&gt;&lt;author&gt;Collins, G. S.&lt;/author&gt;&lt;author&gt;Altman, D. G.&lt;/author&gt;&lt;/authors&gt;&lt;/contributors&gt;&lt;auth-address&gt;Centre for Statistics in Medicine, Wolfson College Annexe, University of Oxford, Oxford OX2 6UD, UK. gary.collins@csm.ox.ac.uk&lt;/auth-address&gt;&lt;titles&gt;&lt;title&gt;Predicting the 10 year risk of cardiovascular disease in the United Kingdom: independent and external validation of an updated version of QRISK2&lt;/title&gt;&lt;secondary-title&gt;BMJ&lt;/secondary-title&gt;&lt;/titles&gt;&lt;periodical&gt;&lt;full-title&gt;BMJ&lt;/full-title&gt;&lt;/periodical&gt;&lt;pages&gt;e4181&lt;/pages&gt;&lt;volume&gt;344&lt;/volume&gt;&lt;keywords&gt;&lt;keyword&gt;Adult&lt;/keyword&gt;&lt;keyword&gt;Aged&lt;/keyword&gt;&lt;keyword&gt;Aged, 80 and over&lt;/keyword&gt;&lt;keyword&gt;Cardiovascular Diseases/*epidemiology&lt;/keyword&gt;&lt;keyword&gt;Female&lt;/keyword&gt;&lt;keyword&gt;Forecasting/methods&lt;/keyword&gt;&lt;keyword&gt;Humans&lt;/keyword&gt;&lt;keyword&gt;Male&lt;/keyword&gt;&lt;keyword&gt;Middle Aged&lt;/keyword&gt;&lt;keyword&gt;Prospective Studies&lt;/keyword&gt;&lt;keyword&gt;*Risk Assessment/standards&lt;/keyword&gt;&lt;keyword&gt;Risk Factors&lt;/keyword&gt;&lt;keyword&gt;United Kingdom/epidemiology&lt;/keyword&gt;&lt;/keywords&gt;&lt;dates&gt;&lt;year&gt;2012&lt;/year&gt;&lt;pub-dates&gt;&lt;date&gt;Jun 21&lt;/date&gt;&lt;/pub-dates&gt;&lt;/dates&gt;&lt;isbn&gt;1756-1833 (Electronic)&amp;#xD;0959-535X (Linking)&lt;/isbn&gt;&lt;accession-num&gt;22723603&lt;/accession-num&gt;&lt;urls&gt;&lt;related-urls&gt;&lt;url&gt;https://www.ncbi.nlm.nih.gov/pubmed/22723603&lt;/url&gt;&lt;/related-urls&gt;&lt;/urls&gt;&lt;custom2&gt;PMC3380799&lt;/custom2&gt;&lt;electronic-resource-num&gt;10.1136/bmj.e4181&lt;/electronic-resource-num&gt;&lt;/record&gt;&lt;/Cite&gt;&lt;/EndNote&gt;</w:instrText>
      </w:r>
      <w:r>
        <w:fldChar w:fldCharType="separate"/>
      </w:r>
      <w:r>
        <w:rPr>
          <w:noProof/>
        </w:rPr>
        <w:t>(</w:t>
      </w:r>
      <w:hyperlink w:anchor="_ENREF_1" w:tooltip="Collins, 2012 #1452" w:history="1">
        <w:r w:rsidR="00484A01">
          <w:rPr>
            <w:noProof/>
          </w:rPr>
          <w:t>Collins and Altman 2012</w:t>
        </w:r>
      </w:hyperlink>
      <w:r>
        <w:rPr>
          <w:noProof/>
        </w:rPr>
        <w:t>)</w:t>
      </w:r>
      <w:r>
        <w:fldChar w:fldCharType="end"/>
      </w:r>
      <w:r>
        <w:t xml:space="preserve"> compared </w:t>
      </w:r>
      <w:r w:rsidRPr="004532BE">
        <w:t>the performance of the QRISK2-2</w:t>
      </w:r>
      <w:r>
        <w:t>011 score for predicting the 10-</w:t>
      </w:r>
      <w:r w:rsidRPr="004532BE">
        <w:t xml:space="preserve">year risk of cardiovascular </w:t>
      </w:r>
      <w:r>
        <w:t>events</w:t>
      </w:r>
      <w:r w:rsidRPr="004532BE">
        <w:t xml:space="preserve"> with </w:t>
      </w:r>
      <w:r>
        <w:t>the NICE (</w:t>
      </w:r>
      <w:r w:rsidRPr="004532BE">
        <w:t>National Institute for Health and Clinical Excellence</w:t>
      </w:r>
      <w:r>
        <w:t>)</w:t>
      </w:r>
      <w:r w:rsidRPr="004532BE">
        <w:t xml:space="preserve"> version of the Framingham equation</w:t>
      </w:r>
      <w:r>
        <w:t xml:space="preserve">.  They applied both models </w:t>
      </w:r>
      <w:r w:rsidRPr="004532BE">
        <w:t>in an independent UK cohort of</w:t>
      </w:r>
      <w:r>
        <w:t xml:space="preserve"> patients from general practice that included more than 2 million patients (11.8 million person-years) with more than 90,000 cardiovascular events.</w:t>
      </w:r>
    </w:p>
    <w:p w14:paraId="1BDAE9B5" w14:textId="77777777" w:rsidR="00D232FA" w:rsidRDefault="00D232FA" w:rsidP="00D232FA"/>
    <w:p w14:paraId="38448F9C" w14:textId="77777777" w:rsidR="00D232FA" w:rsidRDefault="00D232FA" w:rsidP="00D232FA">
      <w:r>
        <w:t>The models were applied separately to men and women.  The calibration plots showing deciles of risk are below.</w:t>
      </w:r>
    </w:p>
    <w:p w14:paraId="394618C2" w14:textId="77777777" w:rsidR="00D232FA" w:rsidRDefault="00D232FA" w:rsidP="00D232FA"/>
    <w:p w14:paraId="51309016" w14:textId="77777777" w:rsidR="00D232FA" w:rsidRDefault="00D232FA" w:rsidP="00D232FA">
      <w:r w:rsidRPr="001F0FF3">
        <w:rPr>
          <w:noProof/>
        </w:rPr>
        <w:drawing>
          <wp:inline distT="0" distB="0" distL="0" distR="0" wp14:anchorId="13F15B2E" wp14:editId="2D43BF17">
            <wp:extent cx="5715000" cy="1730115"/>
            <wp:effectExtent l="0" t="0" r="0"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74787"/>
                    <a:stretch/>
                  </pic:blipFill>
                  <pic:spPr bwMode="auto">
                    <a:xfrm>
                      <a:off x="0" y="0"/>
                      <a:ext cx="5718567" cy="1731195"/>
                    </a:xfrm>
                    <a:prstGeom prst="rect">
                      <a:avLst/>
                    </a:prstGeom>
                    <a:noFill/>
                    <a:ln>
                      <a:noFill/>
                    </a:ln>
                    <a:effectLst/>
                    <a:extLst/>
                  </pic:spPr>
                </pic:pic>
              </a:graphicData>
            </a:graphic>
          </wp:inline>
        </w:drawing>
      </w:r>
    </w:p>
    <w:p w14:paraId="4F146C04" w14:textId="77777777" w:rsidR="00D232FA" w:rsidRDefault="00D232FA" w:rsidP="00D232FA"/>
    <w:p w14:paraId="5D80AEFE" w14:textId="77777777" w:rsidR="00D232FA" w:rsidRDefault="00D232FA" w:rsidP="00D232FA">
      <w:r w:rsidRPr="001F0FF3">
        <w:rPr>
          <w:noProof/>
        </w:rPr>
        <w:drawing>
          <wp:inline distT="0" distB="0" distL="0" distR="0" wp14:anchorId="1B06A4DB" wp14:editId="68EF34AE">
            <wp:extent cx="5715000" cy="1877494"/>
            <wp:effectExtent l="0" t="0" r="0" b="254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72640"/>
                    <a:stretch/>
                  </pic:blipFill>
                  <pic:spPr bwMode="auto">
                    <a:xfrm>
                      <a:off x="0" y="0"/>
                      <a:ext cx="5716986" cy="1878146"/>
                    </a:xfrm>
                    <a:prstGeom prst="rect">
                      <a:avLst/>
                    </a:prstGeom>
                    <a:noFill/>
                    <a:ln>
                      <a:noFill/>
                    </a:ln>
                    <a:effectLst/>
                    <a:extLst/>
                  </pic:spPr>
                </pic:pic>
              </a:graphicData>
            </a:graphic>
          </wp:inline>
        </w:drawing>
      </w:r>
    </w:p>
    <w:p w14:paraId="2CC62270" w14:textId="77777777" w:rsidR="00D232FA" w:rsidRDefault="00D232FA" w:rsidP="00D232FA"/>
    <w:p w14:paraId="4823E633" w14:textId="77777777" w:rsidR="00D232FA" w:rsidRDefault="00D232FA" w:rsidP="00D232FA"/>
    <w:p w14:paraId="2442FF42" w14:textId="77777777" w:rsidR="00D232FA" w:rsidRDefault="00D232FA" w:rsidP="00D232FA">
      <w:pPr>
        <w:pStyle w:val="ListParagraph"/>
        <w:numPr>
          <w:ilvl w:val="0"/>
          <w:numId w:val="29"/>
        </w:numPr>
      </w:pPr>
      <w:r>
        <w:t>Which risk prediction model, QRISK2-2011 or NICE Framingham, was better calibrated?  Explain your answer.</w:t>
      </w:r>
    </w:p>
    <w:p w14:paraId="39473A74" w14:textId="77777777" w:rsidR="00D232FA" w:rsidRDefault="00D232FA" w:rsidP="00D232FA"/>
    <w:p w14:paraId="7C9A45CF" w14:textId="77777777" w:rsidR="00D232FA" w:rsidRDefault="00D232FA" w:rsidP="00D232FA">
      <w:pPr>
        <w:rPr>
          <w:b/>
          <w:i/>
        </w:rPr>
      </w:pPr>
    </w:p>
    <w:p w14:paraId="457515F4" w14:textId="77777777" w:rsidR="00D232FA" w:rsidRDefault="00D232FA" w:rsidP="00D232FA">
      <w:pPr>
        <w:rPr>
          <w:b/>
          <w:i/>
        </w:rPr>
      </w:pPr>
    </w:p>
    <w:p w14:paraId="37D7FFF1" w14:textId="77777777" w:rsidR="00D232FA" w:rsidRDefault="00D232FA" w:rsidP="00D232FA">
      <w:pPr>
        <w:pStyle w:val="ListParagraph"/>
        <w:numPr>
          <w:ilvl w:val="0"/>
          <w:numId w:val="29"/>
        </w:numPr>
      </w:pPr>
      <w:r>
        <w:t>For men, were the NICE Framingham equation’s risk estimates too high or too low?  Explain.</w:t>
      </w:r>
    </w:p>
    <w:p w14:paraId="74829345" w14:textId="77777777" w:rsidR="00D232FA" w:rsidRDefault="00D232FA" w:rsidP="00D232FA"/>
    <w:p w14:paraId="5058AC49" w14:textId="77777777" w:rsidR="00D232FA" w:rsidRDefault="00D232FA" w:rsidP="00D232FA">
      <w:r>
        <w:t xml:space="preserve">For men aged 35-74, the AUROCs were </w:t>
      </w:r>
      <w:r w:rsidRPr="00A90858">
        <w:t>0.771 (0.769 to 0.773)</w:t>
      </w:r>
      <w:r>
        <w:t xml:space="preserve"> for QRISK2-2011 and </w:t>
      </w:r>
      <w:r w:rsidRPr="00A90858">
        <w:rPr>
          <w:rFonts w:ascii="Helvetica Neue" w:eastAsia="Times New Roman" w:hAnsi="Helvetica Neue"/>
          <w:color w:val="333333"/>
          <w:shd w:val="clear" w:color="auto" w:fill="FFFFFF"/>
        </w:rPr>
        <w:t>0.750 (0.747 to 0.752)</w:t>
      </w:r>
      <w:r>
        <w:rPr>
          <w:rFonts w:ascii="Helvetica Neue" w:eastAsia="Times New Roman" w:hAnsi="Helvetica Neue"/>
          <w:color w:val="333333"/>
          <w:shd w:val="clear" w:color="auto" w:fill="FFFFFF"/>
        </w:rPr>
        <w:t xml:space="preserve"> for NICE Framingham.  </w:t>
      </w:r>
      <w:r>
        <w:t>You randomly select two men aged 35-74, one from among those who had cardiovascular events (D+), and one from among those who didn’t (D-).</w:t>
      </w:r>
    </w:p>
    <w:p w14:paraId="74D64DD9" w14:textId="77777777" w:rsidR="00D232FA" w:rsidRDefault="00D232FA" w:rsidP="00D232FA"/>
    <w:p w14:paraId="5C757C29" w14:textId="77777777" w:rsidR="00D232FA" w:rsidRDefault="00D232FA" w:rsidP="00D232FA">
      <w:pPr>
        <w:pStyle w:val="ListParagraph"/>
        <w:numPr>
          <w:ilvl w:val="0"/>
          <w:numId w:val="29"/>
        </w:numPr>
      </w:pPr>
      <w:r>
        <w:t>What is the probability that the D+ individual would have a higher QRISK2 score than the D- individual?</w:t>
      </w:r>
    </w:p>
    <w:p w14:paraId="22291454" w14:textId="77777777" w:rsidR="00D232FA" w:rsidRDefault="00D232FA" w:rsidP="00D232FA"/>
    <w:p w14:paraId="1CFD8F6B" w14:textId="77777777" w:rsidR="00D232FA" w:rsidRDefault="00D232FA" w:rsidP="00D232FA">
      <w:pPr>
        <w:rPr>
          <w:b/>
          <w:i/>
        </w:rPr>
      </w:pPr>
    </w:p>
    <w:p w14:paraId="4673B87D" w14:textId="77777777" w:rsidR="00D232FA" w:rsidRDefault="00D232FA" w:rsidP="00D232FA">
      <w:pPr>
        <w:pStyle w:val="ListParagraph"/>
        <w:numPr>
          <w:ilvl w:val="0"/>
          <w:numId w:val="29"/>
        </w:numPr>
      </w:pPr>
      <w:r>
        <w:t>What is the probability that the D+ individual would have a higher NICE Framingham score than the D- individual?</w:t>
      </w:r>
    </w:p>
    <w:p w14:paraId="60796B39" w14:textId="77777777" w:rsidR="00D232FA" w:rsidRDefault="00D232FA" w:rsidP="00D232FA">
      <w:pPr>
        <w:rPr>
          <w:b/>
          <w:i/>
        </w:rPr>
      </w:pPr>
    </w:p>
    <w:p w14:paraId="2D13656A" w14:textId="77777777" w:rsidR="00D232FA" w:rsidRDefault="00D232FA" w:rsidP="00D232FA">
      <w:pPr>
        <w:rPr>
          <w:b/>
          <w:i/>
        </w:rPr>
      </w:pPr>
    </w:p>
    <w:p w14:paraId="5C266913" w14:textId="77777777" w:rsidR="00D232FA" w:rsidRDefault="00D232FA" w:rsidP="00D232FA">
      <w:pPr>
        <w:pStyle w:val="ListParagraph"/>
        <w:numPr>
          <w:ilvl w:val="0"/>
          <w:numId w:val="29"/>
        </w:numPr>
      </w:pPr>
      <w:r>
        <w:t>Which had better discrimination, QRISK-2 or NICE Framingham?</w:t>
      </w:r>
    </w:p>
    <w:p w14:paraId="4899E860" w14:textId="77777777" w:rsidR="00D232FA" w:rsidRDefault="00D232FA" w:rsidP="00D232FA"/>
    <w:p w14:paraId="537488FC" w14:textId="77777777" w:rsidR="00D232FA" w:rsidRDefault="00D232FA" w:rsidP="00D232FA">
      <w:pPr>
        <w:rPr>
          <w:b/>
          <w:i/>
        </w:rPr>
      </w:pPr>
    </w:p>
    <w:p w14:paraId="38B80AC8" w14:textId="77777777" w:rsidR="00D232FA" w:rsidRDefault="00D232FA" w:rsidP="00D232FA">
      <w:pPr>
        <w:rPr>
          <w:b/>
          <w:i/>
        </w:rPr>
      </w:pPr>
    </w:p>
    <w:p w14:paraId="07826F54" w14:textId="77777777" w:rsidR="00D232FA" w:rsidRDefault="00D232FA" w:rsidP="00D232FA">
      <w:r>
        <w:br w:type="page"/>
      </w:r>
    </w:p>
    <w:p w14:paraId="31F5A6BC" w14:textId="77777777" w:rsidR="00D232FA" w:rsidRDefault="00D232FA" w:rsidP="00D232FA">
      <w:r>
        <w:lastRenderedPageBreak/>
        <w:t>Below are the decision curves for women and men aged 34 – 75 years.</w:t>
      </w:r>
    </w:p>
    <w:p w14:paraId="380A3D22" w14:textId="77777777" w:rsidR="00D232FA" w:rsidRPr="008C5FC3" w:rsidRDefault="00D232FA" w:rsidP="00D232FA"/>
    <w:p w14:paraId="7BD81C16" w14:textId="77777777" w:rsidR="00D232FA" w:rsidRPr="00D10BF1" w:rsidRDefault="00D232FA" w:rsidP="00D232FA">
      <w:r w:rsidRPr="008C5FC3">
        <w:rPr>
          <w:noProof/>
        </w:rPr>
        <w:drawing>
          <wp:inline distT="0" distB="0" distL="0" distR="0" wp14:anchorId="3BC4F039" wp14:editId="0D407B99">
            <wp:extent cx="4375150" cy="539432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5150" cy="539432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blipFill dpi="0" rotWithShape="0">
                            <a:blip/>
                            <a:srcRect/>
                            <a:stretch>
                              <a:fillRect/>
                            </a:stretch>
                          </a:blip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FFFFFF"/>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blurRad="63500" dist="38099" dir="2700000" algn="ctr" rotWithShape="0">
                              <a:srgbClr val="000000">
                                <a:alpha val="74998"/>
                              </a:srgbClr>
                            </a:outerShdw>
                          </a:effectLst>
                        </a14:hiddenEffects>
                      </a:ext>
                    </a:extLst>
                  </pic:spPr>
                </pic:pic>
              </a:graphicData>
            </a:graphic>
          </wp:inline>
        </w:drawing>
      </w:r>
    </w:p>
    <w:p w14:paraId="2CBA76EC" w14:textId="77777777" w:rsidR="00D232FA" w:rsidRDefault="00D232FA" w:rsidP="00D232FA">
      <w:pPr>
        <w:rPr>
          <w:b/>
          <w:i/>
        </w:rPr>
      </w:pPr>
    </w:p>
    <w:p w14:paraId="08710A30" w14:textId="77777777" w:rsidR="00D232FA" w:rsidRPr="00D10BF1" w:rsidRDefault="00D232FA" w:rsidP="00D232FA">
      <w:pPr>
        <w:rPr>
          <w:b/>
          <w:i/>
        </w:rPr>
      </w:pPr>
    </w:p>
    <w:p w14:paraId="73A08DBB" w14:textId="77777777" w:rsidR="00D232FA" w:rsidRDefault="00D232FA" w:rsidP="00D232FA">
      <w:r>
        <w:t xml:space="preserve">Recall that the “Strategy with all at high risk” (Treat All) calculates net benefit as </w:t>
      </w:r>
    </w:p>
    <w:p w14:paraId="716A24E9" w14:textId="77777777" w:rsidR="00D232FA" w:rsidRDefault="00D232FA" w:rsidP="00D232FA"/>
    <w:p w14:paraId="1016E0BB" w14:textId="7CAB3B1B" w:rsidR="00D232FA" w:rsidRDefault="00D232FA" w:rsidP="00D232FA">
      <w:r>
        <w:t xml:space="preserve">Net Benefit:  </w:t>
      </w:r>
      <w:r w:rsidR="00B13170">
        <w:t>P</w:t>
      </w:r>
      <w:r>
        <w:t xml:space="preserve"> – C/B</w:t>
      </w:r>
      <w:r>
        <w:rPr>
          <w:rFonts w:ascii="Cambria" w:hAnsi="Cambria"/>
        </w:rPr>
        <w:t>×</w:t>
      </w:r>
      <w:r>
        <w:t>(1-</w:t>
      </w:r>
      <w:r w:rsidR="00B13170">
        <w:t>P</w:t>
      </w:r>
      <w:r>
        <w:t>)</w:t>
      </w:r>
    </w:p>
    <w:p w14:paraId="6603600E" w14:textId="50076475" w:rsidR="004F16DA" w:rsidRDefault="004F16DA" w:rsidP="00D232FA"/>
    <w:p w14:paraId="46A5BAD7" w14:textId="76EF0261" w:rsidR="00B13170" w:rsidRDefault="00B13170" w:rsidP="00D232FA">
      <w:r>
        <w:t>where P is the overall proportion of the population who end up having the outcome.  It may also be referred to as the cumulative incidence or observed overall risk.</w:t>
      </w:r>
    </w:p>
    <w:p w14:paraId="5FFF0986" w14:textId="77777777" w:rsidR="004F16DA" w:rsidRDefault="004F16DA" w:rsidP="00D232FA"/>
    <w:p w14:paraId="58B81091" w14:textId="77777777" w:rsidR="00D232FA" w:rsidRDefault="00D232FA" w:rsidP="00D232FA"/>
    <w:p w14:paraId="28607214" w14:textId="6F583E71" w:rsidR="00D232FA" w:rsidRDefault="00D232FA" w:rsidP="00D232FA">
      <w:r>
        <w:t xml:space="preserve">f) Assuming the Treat All curve crosses the horizontal axis at Threshold = 9%, what is the overall observed 10-year </w:t>
      </w:r>
      <w:r w:rsidR="00B13170">
        <w:t>risk</w:t>
      </w:r>
      <w:r>
        <w:t xml:space="preserve"> </w:t>
      </w:r>
      <w:r w:rsidR="00B13170">
        <w:t xml:space="preserve">P </w:t>
      </w:r>
      <w:r>
        <w:t>of CV events for men in this population?</w:t>
      </w:r>
      <w:r>
        <w:br/>
      </w:r>
    </w:p>
    <w:p w14:paraId="3DFDCABA" w14:textId="77777777" w:rsidR="00D232FA" w:rsidRPr="00220777" w:rsidRDefault="00D232FA" w:rsidP="00D232FA">
      <w:pPr>
        <w:rPr>
          <w:b/>
          <w:i/>
        </w:rPr>
      </w:pPr>
    </w:p>
    <w:p w14:paraId="4C5706E1" w14:textId="77777777" w:rsidR="00D232FA" w:rsidRDefault="00D232FA" w:rsidP="00D232FA"/>
    <w:p w14:paraId="41AFC040" w14:textId="77777777" w:rsidR="00D232FA" w:rsidRPr="00A90858" w:rsidRDefault="00D232FA" w:rsidP="00D232FA"/>
    <w:p w14:paraId="0E6F4147" w14:textId="77777777" w:rsidR="00D232FA" w:rsidRDefault="00D232FA" w:rsidP="00D232FA">
      <w:pPr>
        <w:pStyle w:val="ListParagraph"/>
        <w:numPr>
          <w:ilvl w:val="0"/>
          <w:numId w:val="30"/>
        </w:numPr>
      </w:pPr>
      <w:r>
        <w:t>Why is the net benefit associated with the NICE Framingham model lower than the net benefit associated with the QRISK-2 model?  Is the problem primarily with calibration or discrimination?</w:t>
      </w:r>
    </w:p>
    <w:p w14:paraId="5D27F517" w14:textId="77777777" w:rsidR="00D232FA" w:rsidRDefault="00D232FA" w:rsidP="00D232FA"/>
    <w:p w14:paraId="60F26B50" w14:textId="77777777" w:rsidR="00D232FA" w:rsidRDefault="00D232FA" w:rsidP="00D232FA"/>
    <w:p w14:paraId="4F0BD4D9" w14:textId="77777777" w:rsidR="00D232FA" w:rsidRPr="004532BE" w:rsidRDefault="00D232FA" w:rsidP="00D232FA"/>
    <w:p w14:paraId="4E3378A4" w14:textId="77777777" w:rsidR="00484A01" w:rsidRDefault="00484A01" w:rsidP="00D13C62">
      <w:pPr>
        <w:pStyle w:val="HTMLPreformatted"/>
        <w:rPr>
          <w:rFonts w:ascii="Times New Roman" w:hAnsi="Times New Roman" w:cs="Times New Roman"/>
          <w:color w:val="000000"/>
          <w:sz w:val="24"/>
          <w:szCs w:val="24"/>
        </w:rPr>
      </w:pPr>
    </w:p>
    <w:p w14:paraId="76BECAB1" w14:textId="77777777" w:rsidR="00484A01" w:rsidRDefault="00484A01" w:rsidP="00D13C62">
      <w:pPr>
        <w:pStyle w:val="HTMLPreformatted"/>
        <w:rPr>
          <w:rFonts w:ascii="Times New Roman" w:hAnsi="Times New Roman" w:cs="Times New Roman"/>
          <w:color w:val="000000"/>
          <w:sz w:val="24"/>
          <w:szCs w:val="24"/>
        </w:rPr>
      </w:pPr>
    </w:p>
    <w:p w14:paraId="64FE6924" w14:textId="77777777" w:rsidR="00484A01" w:rsidRPr="00484A01" w:rsidRDefault="00484A01" w:rsidP="00484A01">
      <w:pPr>
        <w:pStyle w:val="EndNoteBibliography"/>
        <w:rPr>
          <w:noProof/>
        </w:rPr>
      </w:pPr>
      <w:r>
        <w:rPr>
          <w:color w:val="000000"/>
        </w:rPr>
        <w:fldChar w:fldCharType="begin"/>
      </w:r>
      <w:r>
        <w:rPr>
          <w:color w:val="000000"/>
        </w:rPr>
        <w:instrText xml:space="preserve"> ADDIN EN.REFLIST </w:instrText>
      </w:r>
      <w:r>
        <w:rPr>
          <w:color w:val="000000"/>
        </w:rPr>
        <w:fldChar w:fldCharType="separate"/>
      </w:r>
      <w:bookmarkStart w:id="1" w:name="_ENREF_1"/>
      <w:r w:rsidRPr="00484A01">
        <w:rPr>
          <w:noProof/>
        </w:rPr>
        <w:t xml:space="preserve">Collins, G. S. and D. G. Altman (2012). "Predicting the 10 year risk of cardiovascular disease in the United Kingdom: independent and external validation of an updated version of QRISK2." </w:t>
      </w:r>
      <w:r w:rsidRPr="00484A01">
        <w:rPr>
          <w:noProof/>
          <w:u w:val="single"/>
        </w:rPr>
        <w:t>BMJ</w:t>
      </w:r>
      <w:r w:rsidRPr="00484A01">
        <w:rPr>
          <w:noProof/>
        </w:rPr>
        <w:t xml:space="preserve"> </w:t>
      </w:r>
      <w:r w:rsidRPr="00484A01">
        <w:rPr>
          <w:b/>
          <w:noProof/>
        </w:rPr>
        <w:t>344</w:t>
      </w:r>
      <w:r w:rsidRPr="00484A01">
        <w:rPr>
          <w:noProof/>
        </w:rPr>
        <w:t>: e4181.</w:t>
      </w:r>
      <w:bookmarkEnd w:id="1"/>
    </w:p>
    <w:p w14:paraId="55F797CF" w14:textId="77777777" w:rsidR="00484A01" w:rsidRPr="00484A01" w:rsidRDefault="00484A01" w:rsidP="00484A01">
      <w:pPr>
        <w:pStyle w:val="EndNoteBibliography"/>
        <w:rPr>
          <w:noProof/>
        </w:rPr>
      </w:pPr>
      <w:bookmarkStart w:id="2" w:name="_ENREF_2"/>
      <w:r w:rsidRPr="00484A01">
        <w:rPr>
          <w:noProof/>
        </w:rPr>
        <w:t xml:space="preserve">Schuetz, P., M. Koller, M. Christ-Crain, E. Steyerberg, D. Stolz, C. Muller, H. C. Bucher, R. Bingisser, M. Tamm and B. Muller (2008). "Predicting mortality with pneumonia severity scores: importance of model recalibration to local settings." </w:t>
      </w:r>
      <w:r w:rsidRPr="00484A01">
        <w:rPr>
          <w:noProof/>
          <w:u w:val="single"/>
        </w:rPr>
        <w:t>Epidemiol Infect</w:t>
      </w:r>
      <w:r w:rsidRPr="00484A01">
        <w:rPr>
          <w:noProof/>
        </w:rPr>
        <w:t xml:space="preserve"> </w:t>
      </w:r>
      <w:r w:rsidRPr="00484A01">
        <w:rPr>
          <w:b/>
          <w:noProof/>
        </w:rPr>
        <w:t>136</w:t>
      </w:r>
      <w:r w:rsidRPr="00484A01">
        <w:rPr>
          <w:noProof/>
        </w:rPr>
        <w:t>(12): 1628-1637.</w:t>
      </w:r>
      <w:bookmarkEnd w:id="2"/>
    </w:p>
    <w:p w14:paraId="0E9B5993" w14:textId="1CDC9973" w:rsidR="00D13C62" w:rsidRPr="007F1FE4" w:rsidRDefault="00484A01" w:rsidP="00D13C62">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fldChar w:fldCharType="end"/>
      </w:r>
    </w:p>
    <w:sectPr w:rsidR="00D13C62" w:rsidRPr="007F1FE4" w:rsidSect="005A64C2">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590D9" w14:textId="77777777" w:rsidR="00170F64" w:rsidRDefault="00170F64">
      <w:r>
        <w:separator/>
      </w:r>
    </w:p>
  </w:endnote>
  <w:endnote w:type="continuationSeparator" w:id="0">
    <w:p w14:paraId="1E442F95" w14:textId="77777777" w:rsidR="00170F64" w:rsidRDefault="0017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5CFDE" w14:textId="77777777" w:rsidR="00170F64" w:rsidRDefault="00170F64">
      <w:r>
        <w:separator/>
      </w:r>
    </w:p>
  </w:footnote>
  <w:footnote w:type="continuationSeparator" w:id="0">
    <w:p w14:paraId="4D3DFF33" w14:textId="77777777" w:rsidR="00170F64" w:rsidRDefault="00170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5EC60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14D3E"/>
    <w:multiLevelType w:val="hybridMultilevel"/>
    <w:tmpl w:val="F8767B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C517E4"/>
    <w:multiLevelType w:val="hybridMultilevel"/>
    <w:tmpl w:val="D23014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407026"/>
    <w:multiLevelType w:val="hybridMultilevel"/>
    <w:tmpl w:val="3EA0F7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8C5EFB"/>
    <w:multiLevelType w:val="hybridMultilevel"/>
    <w:tmpl w:val="1E3AD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5D6E9B"/>
    <w:multiLevelType w:val="hybridMultilevel"/>
    <w:tmpl w:val="9FFAE868"/>
    <w:lvl w:ilvl="0" w:tplc="04090017">
      <w:start w:val="1"/>
      <w:numFmt w:val="lowerLetter"/>
      <w:lvlText w:val="%1)"/>
      <w:lvlJc w:val="left"/>
      <w:pPr>
        <w:tabs>
          <w:tab w:val="num" w:pos="720"/>
        </w:tabs>
        <w:ind w:left="720" w:hanging="360"/>
      </w:pPr>
      <w:rPr>
        <w:rFonts w:hint="default"/>
      </w:rPr>
    </w:lvl>
    <w:lvl w:ilvl="1" w:tplc="5A48F3C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99524C"/>
    <w:multiLevelType w:val="hybridMultilevel"/>
    <w:tmpl w:val="F46EBB04"/>
    <w:lvl w:ilvl="0" w:tplc="36CA31C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B2BC4"/>
    <w:multiLevelType w:val="hybridMultilevel"/>
    <w:tmpl w:val="249826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6B2589"/>
    <w:multiLevelType w:val="hybridMultilevel"/>
    <w:tmpl w:val="DDCEBCDE"/>
    <w:lvl w:ilvl="0" w:tplc="953A7C6C">
      <w:start w:val="2"/>
      <w:numFmt w:val="lowerRoman"/>
      <w:lvlText w:val="%1."/>
      <w:lvlJc w:val="left"/>
      <w:pPr>
        <w:tabs>
          <w:tab w:val="num" w:pos="2940"/>
        </w:tabs>
        <w:ind w:left="2940" w:hanging="15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FA40494"/>
    <w:multiLevelType w:val="hybridMultilevel"/>
    <w:tmpl w:val="530A12FA"/>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8450EE"/>
    <w:multiLevelType w:val="hybridMultilevel"/>
    <w:tmpl w:val="DFFC8012"/>
    <w:lvl w:ilvl="0" w:tplc="70D63F9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5697093"/>
    <w:multiLevelType w:val="hybridMultilevel"/>
    <w:tmpl w:val="DCE6F9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E270D"/>
    <w:multiLevelType w:val="hybridMultilevel"/>
    <w:tmpl w:val="A39C4000"/>
    <w:lvl w:ilvl="0" w:tplc="A580A3C6">
      <w:start w:val="1"/>
      <w:numFmt w:val="lowerLetter"/>
      <w:lvlText w:val="%1."/>
      <w:lvlJc w:val="left"/>
      <w:pPr>
        <w:ind w:left="720" w:hanging="360"/>
      </w:pPr>
      <w:rPr>
        <w:rFonts w:ascii="Verdana" w:eastAsia="Cambria" w:hAnsi="Verdana" w:cs="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8587C"/>
    <w:multiLevelType w:val="hybridMultilevel"/>
    <w:tmpl w:val="6DEC6B5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9E526C"/>
    <w:multiLevelType w:val="hybridMultilevel"/>
    <w:tmpl w:val="54FCB3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CE6F43"/>
    <w:multiLevelType w:val="hybridMultilevel"/>
    <w:tmpl w:val="0492C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4096D"/>
    <w:multiLevelType w:val="hybridMultilevel"/>
    <w:tmpl w:val="00365584"/>
    <w:lvl w:ilvl="0" w:tplc="04090019">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C7A4769"/>
    <w:multiLevelType w:val="hybridMultilevel"/>
    <w:tmpl w:val="D466DA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A37772"/>
    <w:multiLevelType w:val="hybridMultilevel"/>
    <w:tmpl w:val="38B87624"/>
    <w:lvl w:ilvl="0" w:tplc="BC44260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0174F"/>
    <w:multiLevelType w:val="hybridMultilevel"/>
    <w:tmpl w:val="A3C0AD80"/>
    <w:lvl w:ilvl="0" w:tplc="9EF0E2A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DB2FB7"/>
    <w:multiLevelType w:val="hybridMultilevel"/>
    <w:tmpl w:val="6D082F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EDB4D51"/>
    <w:multiLevelType w:val="hybridMultilevel"/>
    <w:tmpl w:val="13424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B53FF"/>
    <w:multiLevelType w:val="hybridMultilevel"/>
    <w:tmpl w:val="BB02CEE2"/>
    <w:lvl w:ilvl="0" w:tplc="69B4ADD2">
      <w:start w:val="7"/>
      <w:numFmt w:val="decimal"/>
      <w:lvlText w:val="%1."/>
      <w:lvlJc w:val="left"/>
      <w:pPr>
        <w:tabs>
          <w:tab w:val="num" w:pos="360"/>
        </w:tabs>
        <w:ind w:left="360" w:hanging="360"/>
      </w:pPr>
      <w:rPr>
        <w:rFonts w:ascii="Times New Roman" w:hAnsi="Times New Roman" w:cs="Times New Roman" w:hint="default"/>
        <w:b/>
        <w:color w:val="auto"/>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1AA0A4D"/>
    <w:multiLevelType w:val="hybridMultilevel"/>
    <w:tmpl w:val="CD40B016"/>
    <w:lvl w:ilvl="0" w:tplc="F13AFC3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AE2238"/>
    <w:multiLevelType w:val="hybridMultilevel"/>
    <w:tmpl w:val="5F1E98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D454F4"/>
    <w:multiLevelType w:val="hybridMultilevel"/>
    <w:tmpl w:val="EB28EA14"/>
    <w:lvl w:ilvl="0" w:tplc="E306F0C2">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7A6573"/>
    <w:multiLevelType w:val="hybridMultilevel"/>
    <w:tmpl w:val="9A6C938C"/>
    <w:lvl w:ilvl="0" w:tplc="F9F2555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F540D8"/>
    <w:multiLevelType w:val="hybridMultilevel"/>
    <w:tmpl w:val="6C741224"/>
    <w:lvl w:ilvl="0" w:tplc="34BEAC32">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7E2B39"/>
    <w:multiLevelType w:val="hybridMultilevel"/>
    <w:tmpl w:val="CCFC9F2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112873"/>
    <w:multiLevelType w:val="hybridMultilevel"/>
    <w:tmpl w:val="B1047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4"/>
  </w:num>
  <w:num w:numId="4">
    <w:abstractNumId w:val="7"/>
  </w:num>
  <w:num w:numId="5">
    <w:abstractNumId w:val="8"/>
  </w:num>
  <w:num w:numId="6">
    <w:abstractNumId w:val="5"/>
  </w:num>
  <w:num w:numId="7">
    <w:abstractNumId w:val="24"/>
  </w:num>
  <w:num w:numId="8">
    <w:abstractNumId w:val="3"/>
  </w:num>
  <w:num w:numId="9">
    <w:abstractNumId w:val="19"/>
  </w:num>
  <w:num w:numId="10">
    <w:abstractNumId w:val="23"/>
  </w:num>
  <w:num w:numId="11">
    <w:abstractNumId w:val="22"/>
  </w:num>
  <w:num w:numId="12">
    <w:abstractNumId w:val="25"/>
  </w:num>
  <w:num w:numId="13">
    <w:abstractNumId w:val="28"/>
  </w:num>
  <w:num w:numId="14">
    <w:abstractNumId w:val="6"/>
  </w:num>
  <w:num w:numId="15">
    <w:abstractNumId w:val="20"/>
  </w:num>
  <w:num w:numId="16">
    <w:abstractNumId w:val="9"/>
  </w:num>
  <w:num w:numId="17">
    <w:abstractNumId w:val="14"/>
  </w:num>
  <w:num w:numId="18">
    <w:abstractNumId w:val="27"/>
  </w:num>
  <w:num w:numId="19">
    <w:abstractNumId w:val="0"/>
  </w:num>
  <w:num w:numId="20">
    <w:abstractNumId w:val="21"/>
  </w:num>
  <w:num w:numId="21">
    <w:abstractNumId w:val="29"/>
  </w:num>
  <w:num w:numId="22">
    <w:abstractNumId w:val="17"/>
  </w:num>
  <w:num w:numId="23">
    <w:abstractNumId w:val="2"/>
  </w:num>
  <w:num w:numId="24">
    <w:abstractNumId w:val="12"/>
  </w:num>
  <w:num w:numId="25">
    <w:abstractNumId w:val="26"/>
  </w:num>
  <w:num w:numId="26">
    <w:abstractNumId w:val="11"/>
  </w:num>
  <w:num w:numId="27">
    <w:abstractNumId w:val="1"/>
  </w:num>
  <w:num w:numId="28">
    <w:abstractNumId w:val="10"/>
  </w:num>
  <w:num w:numId="29">
    <w:abstractNumId w:val="1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ftvff9p80fp5few5s05f5fw9rd9fefrdzer&quot;&gt;EBD-MAK&lt;record-ids&gt;&lt;item&gt;1427&lt;/item&gt;&lt;/record-ids&gt;&lt;/item&gt;&lt;/Libraries&gt;"/>
  </w:docVars>
  <w:rsids>
    <w:rsidRoot w:val="005032C0"/>
    <w:rsid w:val="00013531"/>
    <w:rsid w:val="0001530A"/>
    <w:rsid w:val="00022246"/>
    <w:rsid w:val="00023F4E"/>
    <w:rsid w:val="00040F3B"/>
    <w:rsid w:val="000465F4"/>
    <w:rsid w:val="000603C3"/>
    <w:rsid w:val="00063272"/>
    <w:rsid w:val="000844F1"/>
    <w:rsid w:val="00084E9F"/>
    <w:rsid w:val="000A1648"/>
    <w:rsid w:val="000A5083"/>
    <w:rsid w:val="000A725C"/>
    <w:rsid w:val="000B3672"/>
    <w:rsid w:val="000B71EF"/>
    <w:rsid w:val="000B794C"/>
    <w:rsid w:val="000C0E27"/>
    <w:rsid w:val="001028AB"/>
    <w:rsid w:val="0011171E"/>
    <w:rsid w:val="00166AD7"/>
    <w:rsid w:val="00170F64"/>
    <w:rsid w:val="001860A5"/>
    <w:rsid w:val="00187511"/>
    <w:rsid w:val="001B030C"/>
    <w:rsid w:val="001C40B2"/>
    <w:rsid w:val="001E5576"/>
    <w:rsid w:val="001F1EAF"/>
    <w:rsid w:val="0020398E"/>
    <w:rsid w:val="0023737E"/>
    <w:rsid w:val="00243A48"/>
    <w:rsid w:val="00244660"/>
    <w:rsid w:val="002540B8"/>
    <w:rsid w:val="00260749"/>
    <w:rsid w:val="002612E0"/>
    <w:rsid w:val="00294D60"/>
    <w:rsid w:val="002A3562"/>
    <w:rsid w:val="002A470C"/>
    <w:rsid w:val="002B6195"/>
    <w:rsid w:val="002F7263"/>
    <w:rsid w:val="003005FA"/>
    <w:rsid w:val="00306A90"/>
    <w:rsid w:val="00313676"/>
    <w:rsid w:val="00326402"/>
    <w:rsid w:val="00326D92"/>
    <w:rsid w:val="003310C0"/>
    <w:rsid w:val="00347977"/>
    <w:rsid w:val="00390006"/>
    <w:rsid w:val="003A1534"/>
    <w:rsid w:val="003B4A90"/>
    <w:rsid w:val="003C3D6C"/>
    <w:rsid w:val="003E124A"/>
    <w:rsid w:val="003F457B"/>
    <w:rsid w:val="00403CCF"/>
    <w:rsid w:val="00406937"/>
    <w:rsid w:val="004125BA"/>
    <w:rsid w:val="004344EA"/>
    <w:rsid w:val="00446149"/>
    <w:rsid w:val="00484A01"/>
    <w:rsid w:val="00496D27"/>
    <w:rsid w:val="004971C2"/>
    <w:rsid w:val="004A7F88"/>
    <w:rsid w:val="004E7086"/>
    <w:rsid w:val="004F0C9A"/>
    <w:rsid w:val="004F16DA"/>
    <w:rsid w:val="005032C0"/>
    <w:rsid w:val="0050686B"/>
    <w:rsid w:val="00520298"/>
    <w:rsid w:val="00540895"/>
    <w:rsid w:val="00543690"/>
    <w:rsid w:val="0055455B"/>
    <w:rsid w:val="00572FC2"/>
    <w:rsid w:val="005847BE"/>
    <w:rsid w:val="00590B0F"/>
    <w:rsid w:val="005935F6"/>
    <w:rsid w:val="005A2053"/>
    <w:rsid w:val="005A5A28"/>
    <w:rsid w:val="005A64C2"/>
    <w:rsid w:val="005B24A1"/>
    <w:rsid w:val="005E1291"/>
    <w:rsid w:val="005F24A9"/>
    <w:rsid w:val="005F5631"/>
    <w:rsid w:val="005F6C15"/>
    <w:rsid w:val="00604258"/>
    <w:rsid w:val="00605019"/>
    <w:rsid w:val="00611D6D"/>
    <w:rsid w:val="00616A9C"/>
    <w:rsid w:val="00616E64"/>
    <w:rsid w:val="00640C23"/>
    <w:rsid w:val="0066798B"/>
    <w:rsid w:val="006908D1"/>
    <w:rsid w:val="0069608C"/>
    <w:rsid w:val="006F0D3C"/>
    <w:rsid w:val="006F29D1"/>
    <w:rsid w:val="00702D13"/>
    <w:rsid w:val="00706C19"/>
    <w:rsid w:val="007145F1"/>
    <w:rsid w:val="007414EE"/>
    <w:rsid w:val="00756A3A"/>
    <w:rsid w:val="00766B21"/>
    <w:rsid w:val="007934CD"/>
    <w:rsid w:val="007A7388"/>
    <w:rsid w:val="007F1FE4"/>
    <w:rsid w:val="00803F56"/>
    <w:rsid w:val="00817C19"/>
    <w:rsid w:val="008308B2"/>
    <w:rsid w:val="00834ABB"/>
    <w:rsid w:val="0084543A"/>
    <w:rsid w:val="0085499F"/>
    <w:rsid w:val="00855CB5"/>
    <w:rsid w:val="00856EC1"/>
    <w:rsid w:val="00864ECB"/>
    <w:rsid w:val="008A3404"/>
    <w:rsid w:val="008A38F8"/>
    <w:rsid w:val="008B7DAE"/>
    <w:rsid w:val="008F0256"/>
    <w:rsid w:val="008F56B0"/>
    <w:rsid w:val="009033CA"/>
    <w:rsid w:val="009146E0"/>
    <w:rsid w:val="00934C1D"/>
    <w:rsid w:val="009438B7"/>
    <w:rsid w:val="00946EFE"/>
    <w:rsid w:val="009645AF"/>
    <w:rsid w:val="00983C8D"/>
    <w:rsid w:val="009A1D5F"/>
    <w:rsid w:val="009B5CB8"/>
    <w:rsid w:val="009C38C3"/>
    <w:rsid w:val="009C657B"/>
    <w:rsid w:val="009F672F"/>
    <w:rsid w:val="00A0530B"/>
    <w:rsid w:val="00A22DBB"/>
    <w:rsid w:val="00A3017A"/>
    <w:rsid w:val="00A54F09"/>
    <w:rsid w:val="00A96CEF"/>
    <w:rsid w:val="00AA1D3B"/>
    <w:rsid w:val="00AB3AE2"/>
    <w:rsid w:val="00AB5791"/>
    <w:rsid w:val="00AC11AA"/>
    <w:rsid w:val="00AC781A"/>
    <w:rsid w:val="00AD54D1"/>
    <w:rsid w:val="00AE0EB2"/>
    <w:rsid w:val="00AE5D3C"/>
    <w:rsid w:val="00AF217C"/>
    <w:rsid w:val="00AF6420"/>
    <w:rsid w:val="00B0262F"/>
    <w:rsid w:val="00B13170"/>
    <w:rsid w:val="00B215F8"/>
    <w:rsid w:val="00B35237"/>
    <w:rsid w:val="00B43DF4"/>
    <w:rsid w:val="00B502FC"/>
    <w:rsid w:val="00B539D4"/>
    <w:rsid w:val="00B76238"/>
    <w:rsid w:val="00BB70CF"/>
    <w:rsid w:val="00C30DA3"/>
    <w:rsid w:val="00C57F83"/>
    <w:rsid w:val="00C62A98"/>
    <w:rsid w:val="00C66259"/>
    <w:rsid w:val="00C93DB2"/>
    <w:rsid w:val="00CA6D29"/>
    <w:rsid w:val="00CC6BE4"/>
    <w:rsid w:val="00CD697C"/>
    <w:rsid w:val="00CF0E23"/>
    <w:rsid w:val="00D06704"/>
    <w:rsid w:val="00D13C62"/>
    <w:rsid w:val="00D232FA"/>
    <w:rsid w:val="00D37B79"/>
    <w:rsid w:val="00D46651"/>
    <w:rsid w:val="00D50E1D"/>
    <w:rsid w:val="00D65D2C"/>
    <w:rsid w:val="00D80287"/>
    <w:rsid w:val="00DA1B7D"/>
    <w:rsid w:val="00DB24EB"/>
    <w:rsid w:val="00DC1DD7"/>
    <w:rsid w:val="00DF315C"/>
    <w:rsid w:val="00E00A6F"/>
    <w:rsid w:val="00E353D5"/>
    <w:rsid w:val="00E35A9A"/>
    <w:rsid w:val="00E637E5"/>
    <w:rsid w:val="00EA21B3"/>
    <w:rsid w:val="00ED7D96"/>
    <w:rsid w:val="00EE1CFC"/>
    <w:rsid w:val="00EE61B2"/>
    <w:rsid w:val="00F05930"/>
    <w:rsid w:val="00F14821"/>
    <w:rsid w:val="00F230FF"/>
    <w:rsid w:val="00F35374"/>
    <w:rsid w:val="00F50868"/>
    <w:rsid w:val="00F62DB1"/>
    <w:rsid w:val="00F6426B"/>
    <w:rsid w:val="00F73FFC"/>
    <w:rsid w:val="00F76FAB"/>
    <w:rsid w:val="00F92954"/>
    <w:rsid w:val="00FB6A3B"/>
    <w:rsid w:val="00FD1418"/>
    <w:rsid w:val="00FD5EB8"/>
    <w:rsid w:val="00FF3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F3895E"/>
  <w15:docId w15:val="{60321066-5CB4-4FDB-A103-441CCA01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2C0"/>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03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5032C0"/>
    <w:rPr>
      <w:rFonts w:ascii="Courier New" w:hAnsi="Courier New" w:cs="Courier New"/>
      <w:sz w:val="20"/>
      <w:szCs w:val="20"/>
    </w:rPr>
  </w:style>
  <w:style w:type="paragraph" w:styleId="EndnoteText">
    <w:name w:val="endnote text"/>
    <w:basedOn w:val="Normal"/>
    <w:link w:val="EndnoteTextChar"/>
    <w:semiHidden/>
    <w:rsid w:val="005032C0"/>
    <w:pPr>
      <w:widowControl w:val="0"/>
    </w:pPr>
    <w:rPr>
      <w:rFonts w:ascii="Courier New" w:hAnsi="Courier New" w:cs="Courier New"/>
    </w:rPr>
  </w:style>
  <w:style w:type="character" w:customStyle="1" w:styleId="EndnoteTextChar">
    <w:name w:val="Endnote Text Char"/>
    <w:link w:val="EndnoteText"/>
    <w:semiHidden/>
    <w:locked/>
    <w:rsid w:val="005032C0"/>
    <w:rPr>
      <w:rFonts w:ascii="Courier New" w:hAnsi="Courier New" w:cs="Courier New"/>
      <w:snapToGrid w:val="0"/>
      <w:sz w:val="24"/>
      <w:szCs w:val="24"/>
    </w:rPr>
  </w:style>
  <w:style w:type="paragraph" w:styleId="BalloonText">
    <w:name w:val="Balloon Text"/>
    <w:basedOn w:val="Normal"/>
    <w:link w:val="BalloonTextChar"/>
    <w:semiHidden/>
    <w:rsid w:val="005032C0"/>
    <w:rPr>
      <w:rFonts w:ascii="Tahoma" w:hAnsi="Tahoma" w:cs="Tahoma"/>
      <w:sz w:val="16"/>
      <w:szCs w:val="16"/>
    </w:rPr>
  </w:style>
  <w:style w:type="character" w:customStyle="1" w:styleId="BalloonTextChar">
    <w:name w:val="Balloon Text Char"/>
    <w:link w:val="BalloonText"/>
    <w:semiHidden/>
    <w:locked/>
    <w:rsid w:val="005032C0"/>
    <w:rPr>
      <w:rFonts w:ascii="Tahoma" w:hAnsi="Tahoma" w:cs="Tahoma"/>
      <w:sz w:val="16"/>
      <w:szCs w:val="16"/>
    </w:rPr>
  </w:style>
  <w:style w:type="character" w:styleId="Hyperlink">
    <w:name w:val="Hyperlink"/>
    <w:rsid w:val="007145F1"/>
    <w:rPr>
      <w:color w:val="0000FF"/>
      <w:u w:val="single"/>
    </w:rPr>
  </w:style>
  <w:style w:type="paragraph" w:styleId="FootnoteText">
    <w:name w:val="footnote text"/>
    <w:basedOn w:val="Normal"/>
    <w:link w:val="FootnoteTextChar"/>
    <w:uiPriority w:val="99"/>
    <w:rsid w:val="007145F1"/>
    <w:rPr>
      <w:rFonts w:eastAsia="Times New Roman"/>
      <w:sz w:val="20"/>
      <w:szCs w:val="20"/>
    </w:rPr>
  </w:style>
  <w:style w:type="character" w:styleId="FootnoteReference">
    <w:name w:val="footnote reference"/>
    <w:semiHidden/>
    <w:rsid w:val="007145F1"/>
    <w:rPr>
      <w:vertAlign w:val="superscript"/>
    </w:rPr>
  </w:style>
  <w:style w:type="paragraph" w:styleId="CommentText">
    <w:name w:val="annotation text"/>
    <w:basedOn w:val="Normal"/>
    <w:link w:val="CommentTextChar"/>
    <w:rsid w:val="008A3404"/>
  </w:style>
  <w:style w:type="character" w:customStyle="1" w:styleId="CommentTextChar">
    <w:name w:val="Comment Text Char"/>
    <w:link w:val="CommentText"/>
    <w:rsid w:val="008A3404"/>
    <w:rPr>
      <w:rFonts w:eastAsia="Calibri"/>
      <w:sz w:val="24"/>
      <w:szCs w:val="24"/>
      <w:lang w:val="en-US" w:eastAsia="en-US" w:bidi="ar-SA"/>
    </w:rPr>
  </w:style>
  <w:style w:type="character" w:styleId="Strong">
    <w:name w:val="Strong"/>
    <w:qFormat/>
    <w:locked/>
    <w:rsid w:val="00166AD7"/>
    <w:rPr>
      <w:b/>
      <w:bCs/>
    </w:rPr>
  </w:style>
  <w:style w:type="paragraph" w:styleId="ListParagraph">
    <w:name w:val="List Paragraph"/>
    <w:basedOn w:val="Normal"/>
    <w:uiPriority w:val="34"/>
    <w:qFormat/>
    <w:rsid w:val="00084E9F"/>
    <w:pPr>
      <w:ind w:left="720"/>
      <w:contextualSpacing/>
    </w:pPr>
    <w:rPr>
      <w:rFonts w:eastAsia="Times New Roman"/>
    </w:rPr>
  </w:style>
  <w:style w:type="paragraph" w:styleId="Header">
    <w:name w:val="header"/>
    <w:basedOn w:val="Normal"/>
    <w:link w:val="HeaderChar"/>
    <w:rsid w:val="00CF0E23"/>
    <w:pPr>
      <w:tabs>
        <w:tab w:val="center" w:pos="4320"/>
        <w:tab w:val="right" w:pos="8640"/>
      </w:tabs>
    </w:pPr>
  </w:style>
  <w:style w:type="character" w:customStyle="1" w:styleId="HeaderChar">
    <w:name w:val="Header Char"/>
    <w:basedOn w:val="DefaultParagraphFont"/>
    <w:link w:val="Header"/>
    <w:rsid w:val="00CF0E23"/>
    <w:rPr>
      <w:rFonts w:ascii="Times New Roman" w:hAnsi="Times New Roman"/>
      <w:sz w:val="24"/>
      <w:szCs w:val="24"/>
    </w:rPr>
  </w:style>
  <w:style w:type="paragraph" w:styleId="Footer">
    <w:name w:val="footer"/>
    <w:basedOn w:val="Normal"/>
    <w:link w:val="FooterChar"/>
    <w:rsid w:val="00CF0E23"/>
    <w:pPr>
      <w:tabs>
        <w:tab w:val="center" w:pos="4320"/>
        <w:tab w:val="right" w:pos="8640"/>
      </w:tabs>
    </w:pPr>
  </w:style>
  <w:style w:type="character" w:customStyle="1" w:styleId="FooterChar">
    <w:name w:val="Footer Char"/>
    <w:basedOn w:val="DefaultParagraphFont"/>
    <w:link w:val="Footer"/>
    <w:rsid w:val="00CF0E23"/>
    <w:rPr>
      <w:rFonts w:ascii="Times New Roman" w:hAnsi="Times New Roman"/>
      <w:sz w:val="24"/>
      <w:szCs w:val="24"/>
    </w:rPr>
  </w:style>
  <w:style w:type="paragraph" w:customStyle="1" w:styleId="EndNoteBibliographyTitle">
    <w:name w:val="EndNote Bibliography Title"/>
    <w:basedOn w:val="Normal"/>
    <w:rsid w:val="00022246"/>
    <w:pPr>
      <w:jc w:val="center"/>
    </w:pPr>
  </w:style>
  <w:style w:type="paragraph" w:customStyle="1" w:styleId="EndNoteBibliography">
    <w:name w:val="EndNote Bibliography"/>
    <w:basedOn w:val="Normal"/>
    <w:link w:val="EndNoteBibliographyChar"/>
    <w:rsid w:val="00022246"/>
  </w:style>
  <w:style w:type="paragraph" w:customStyle="1" w:styleId="EndnoteText1">
    <w:name w:val="Endnote Text1"/>
    <w:basedOn w:val="Normal"/>
    <w:rsid w:val="00616E64"/>
    <w:rPr>
      <w:rFonts w:ascii="Courier" w:eastAsia="Times New Roman" w:hAnsi="Courier"/>
      <w:szCs w:val="20"/>
    </w:rPr>
  </w:style>
  <w:style w:type="paragraph" w:styleId="BodyTextIndent2">
    <w:name w:val="Body Text Indent 2"/>
    <w:basedOn w:val="Normal"/>
    <w:link w:val="BodyTextIndent2Char"/>
    <w:rsid w:val="00616E64"/>
    <w:pPr>
      <w:tabs>
        <w:tab w:val="left" w:pos="-1440"/>
        <w:tab w:val="left" w:pos="-720"/>
      </w:tabs>
      <w:ind w:left="720"/>
    </w:pPr>
    <w:rPr>
      <w:rFonts w:ascii="Times" w:eastAsia="Times New Roman" w:hAnsi="Times"/>
      <w:szCs w:val="20"/>
    </w:rPr>
  </w:style>
  <w:style w:type="character" w:customStyle="1" w:styleId="BodyTextIndent2Char">
    <w:name w:val="Body Text Indent 2 Char"/>
    <w:basedOn w:val="DefaultParagraphFont"/>
    <w:link w:val="BodyTextIndent2"/>
    <w:rsid w:val="00616E64"/>
    <w:rPr>
      <w:rFonts w:ascii="Times" w:eastAsia="Times New Roman" w:hAnsi="Times"/>
      <w:sz w:val="24"/>
    </w:rPr>
  </w:style>
  <w:style w:type="paragraph" w:styleId="BodyText3">
    <w:name w:val="Body Text 3"/>
    <w:basedOn w:val="Normal"/>
    <w:link w:val="BodyText3Char"/>
    <w:rsid w:val="00F73FFC"/>
    <w:pPr>
      <w:spacing w:after="120"/>
    </w:pPr>
    <w:rPr>
      <w:sz w:val="16"/>
      <w:szCs w:val="16"/>
    </w:rPr>
  </w:style>
  <w:style w:type="character" w:customStyle="1" w:styleId="BodyText3Char">
    <w:name w:val="Body Text 3 Char"/>
    <w:basedOn w:val="DefaultParagraphFont"/>
    <w:link w:val="BodyText3"/>
    <w:rsid w:val="00F73FFC"/>
    <w:rPr>
      <w:rFonts w:ascii="Times New Roman" w:hAnsi="Times New Roman"/>
      <w:sz w:val="16"/>
      <w:szCs w:val="16"/>
    </w:rPr>
  </w:style>
  <w:style w:type="character" w:customStyle="1" w:styleId="FootnoteTextChar">
    <w:name w:val="Footnote Text Char"/>
    <w:basedOn w:val="DefaultParagraphFont"/>
    <w:link w:val="FootnoteText"/>
    <w:uiPriority w:val="99"/>
    <w:rsid w:val="000C0E27"/>
    <w:rPr>
      <w:rFonts w:ascii="Times New Roman" w:eastAsia="Times New Roman" w:hAnsi="Times New Roman"/>
    </w:rPr>
  </w:style>
  <w:style w:type="character" w:customStyle="1" w:styleId="EndNoteBibliographyChar">
    <w:name w:val="EndNote Bibliography Char"/>
    <w:basedOn w:val="FootnoteTextChar"/>
    <w:link w:val="EndNoteBibliography"/>
    <w:rsid w:val="000C0E2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6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D8979-D7EB-455C-B0C2-C2AFFFEB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1674</Words>
  <Characters>10258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Epi 204 HW 3 Answer Key</vt:lpstr>
    </vt:vector>
  </TitlesOfParts>
  <Company>Department of Veterans Affairs</Company>
  <LinksUpToDate>false</LinksUpToDate>
  <CharactersWithSpaces>11909</CharactersWithSpaces>
  <SharedDoc>false</SharedDoc>
  <HLinks>
    <vt:vector size="12" baseType="variant">
      <vt:variant>
        <vt:i4>4587531</vt:i4>
      </vt:variant>
      <vt:variant>
        <vt:i4>10</vt:i4>
      </vt:variant>
      <vt:variant>
        <vt:i4>0</vt:i4>
      </vt:variant>
      <vt:variant>
        <vt:i4>5</vt:i4>
      </vt:variant>
      <vt:variant>
        <vt:lpwstr/>
      </vt:variant>
      <vt:variant>
        <vt:lpwstr>_ENREF_7</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204 HW 3 Answer Key</dc:title>
  <dc:subject/>
  <dc:creator>Department of Veterans Affairs</dc:creator>
  <cp:keywords/>
  <dc:description/>
  <cp:lastModifiedBy>Michael Kohn</cp:lastModifiedBy>
  <cp:revision>6</cp:revision>
  <dcterms:created xsi:type="dcterms:W3CDTF">2017-10-12T22:00:00Z</dcterms:created>
  <dcterms:modified xsi:type="dcterms:W3CDTF">2017-10-12T23:01:00Z</dcterms:modified>
</cp:coreProperties>
</file>