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07C56" w14:textId="23493A6C" w:rsidR="00856EC1" w:rsidRDefault="00655E0D" w:rsidP="00655E0D">
      <w:pPr>
        <w:pStyle w:val="HTMLPreformatted"/>
        <w:jc w:val="center"/>
        <w:rPr>
          <w:rFonts w:ascii="Arial" w:hAnsi="Arial" w:cs="Arial"/>
          <w:b/>
          <w:color w:val="000000"/>
          <w:sz w:val="22"/>
        </w:rPr>
      </w:pPr>
      <w:bookmarkStart w:id="0" w:name="_GoBack"/>
      <w:bookmarkEnd w:id="0"/>
      <w:r>
        <w:rPr>
          <w:rFonts w:ascii="Arial" w:hAnsi="Arial" w:cs="Arial"/>
          <w:b/>
          <w:color w:val="000000"/>
          <w:sz w:val="22"/>
        </w:rPr>
        <w:t xml:space="preserve">Epi 204 </w:t>
      </w:r>
      <w:r w:rsidR="001B030C">
        <w:rPr>
          <w:rFonts w:ascii="Arial" w:hAnsi="Arial" w:cs="Arial"/>
          <w:b/>
          <w:color w:val="000000"/>
          <w:sz w:val="22"/>
        </w:rPr>
        <w:t>Problem Set</w:t>
      </w:r>
      <w:r>
        <w:rPr>
          <w:rFonts w:ascii="Arial" w:hAnsi="Arial" w:cs="Arial"/>
          <w:b/>
          <w:color w:val="000000"/>
          <w:sz w:val="22"/>
        </w:rPr>
        <w:t xml:space="preserve"> 6</w:t>
      </w:r>
    </w:p>
    <w:p w14:paraId="1C09DC28" w14:textId="14E1E15D" w:rsidR="001B030C" w:rsidRDefault="001B030C" w:rsidP="001B030C">
      <w:pPr>
        <w:pStyle w:val="HTMLPreformatted"/>
        <w:jc w:val="center"/>
        <w:rPr>
          <w:rFonts w:ascii="Arial" w:hAnsi="Arial" w:cs="Arial"/>
          <w:b/>
          <w:color w:val="000000"/>
          <w:sz w:val="22"/>
        </w:rPr>
      </w:pPr>
      <w:r>
        <w:rPr>
          <w:rFonts w:ascii="Arial" w:hAnsi="Arial" w:cs="Arial"/>
          <w:b/>
          <w:color w:val="000000"/>
          <w:sz w:val="22"/>
        </w:rPr>
        <w:t xml:space="preserve">Due 1 pm </w:t>
      </w:r>
      <w:r w:rsidR="00655E0D">
        <w:rPr>
          <w:rFonts w:ascii="Arial" w:hAnsi="Arial" w:cs="Arial"/>
          <w:b/>
          <w:color w:val="000000"/>
          <w:sz w:val="22"/>
        </w:rPr>
        <w:t>10/26</w:t>
      </w:r>
      <w:r w:rsidR="00590B0F">
        <w:rPr>
          <w:rFonts w:ascii="Arial" w:hAnsi="Arial" w:cs="Arial"/>
          <w:b/>
          <w:color w:val="000000"/>
          <w:sz w:val="22"/>
        </w:rPr>
        <w:t>/2017</w:t>
      </w:r>
    </w:p>
    <w:p w14:paraId="1AE909AD" w14:textId="1D251153" w:rsidR="00F73FFC" w:rsidRDefault="00655E0D" w:rsidP="001B030C">
      <w:pPr>
        <w:pStyle w:val="HTMLPreformatted"/>
        <w:jc w:val="center"/>
        <w:rPr>
          <w:rFonts w:ascii="Arial" w:hAnsi="Arial" w:cs="Arial"/>
          <w:b/>
          <w:color w:val="000000"/>
          <w:sz w:val="22"/>
        </w:rPr>
      </w:pPr>
      <w:r>
        <w:rPr>
          <w:rFonts w:ascii="Arial" w:hAnsi="Arial" w:cs="Arial"/>
          <w:b/>
          <w:color w:val="000000"/>
          <w:sz w:val="22"/>
        </w:rPr>
        <w:t xml:space="preserve">EBD-2 Ch </w:t>
      </w:r>
      <w:r w:rsidR="003C3D6C">
        <w:rPr>
          <w:rFonts w:ascii="Arial" w:hAnsi="Arial" w:cs="Arial"/>
          <w:b/>
          <w:color w:val="000000"/>
          <w:sz w:val="22"/>
        </w:rPr>
        <w:t>6</w:t>
      </w:r>
      <w:r>
        <w:rPr>
          <w:rFonts w:ascii="Arial" w:hAnsi="Arial" w:cs="Arial"/>
          <w:b/>
          <w:color w:val="000000"/>
          <w:sz w:val="22"/>
        </w:rPr>
        <w:t xml:space="preserve"> and 7</w:t>
      </w:r>
    </w:p>
    <w:p w14:paraId="3216586C" w14:textId="7F36006C" w:rsidR="00655E0D" w:rsidRDefault="00655E0D" w:rsidP="001B030C">
      <w:pPr>
        <w:pStyle w:val="HTMLPreformatted"/>
        <w:jc w:val="center"/>
        <w:rPr>
          <w:rFonts w:ascii="Arial" w:hAnsi="Arial" w:cs="Arial"/>
          <w:b/>
          <w:color w:val="000000"/>
          <w:sz w:val="22"/>
        </w:rPr>
      </w:pPr>
      <w:r>
        <w:rPr>
          <w:rFonts w:ascii="Arial" w:hAnsi="Arial" w:cs="Arial"/>
          <w:b/>
          <w:color w:val="000000"/>
          <w:sz w:val="22"/>
        </w:rPr>
        <w:t>06.53, 07.02, 07.06, 07.09</w:t>
      </w:r>
    </w:p>
    <w:p w14:paraId="5EA742FB" w14:textId="77777777" w:rsidR="00655E0D" w:rsidRPr="00655E0D" w:rsidRDefault="00655E0D" w:rsidP="00655E0D">
      <w:pPr>
        <w:rPr>
          <w:rFonts w:eastAsia="Times New Roman"/>
        </w:rPr>
      </w:pPr>
    </w:p>
    <w:p w14:paraId="2828F9D9" w14:textId="70EF738A" w:rsidR="00655E0D" w:rsidRDefault="00655E0D" w:rsidP="001B030C">
      <w:pPr>
        <w:pStyle w:val="HTMLPreformatted"/>
        <w:jc w:val="center"/>
        <w:rPr>
          <w:rFonts w:ascii="Arial" w:hAnsi="Arial" w:cs="Arial"/>
          <w:b/>
          <w:color w:val="000000"/>
          <w:sz w:val="22"/>
        </w:rPr>
      </w:pPr>
    </w:p>
    <w:p w14:paraId="1B622BD6" w14:textId="77777777" w:rsidR="00380429" w:rsidRPr="00B84BBB" w:rsidRDefault="00380429" w:rsidP="00380429">
      <w:pPr>
        <w:pStyle w:val="Heading1"/>
        <w:rPr>
          <w:rFonts w:asciiTheme="minorHAnsi" w:hAnsiTheme="minorHAnsi" w:cs="Times New Roman"/>
          <w:b w:val="0"/>
          <w:bCs w:val="0"/>
          <w:kern w:val="0"/>
          <w:sz w:val="22"/>
          <w:szCs w:val="22"/>
        </w:rPr>
      </w:pPr>
      <w:r>
        <w:rPr>
          <w:rFonts w:asciiTheme="minorHAnsi" w:hAnsiTheme="minorHAnsi" w:cs="Times New Roman"/>
          <w:bCs w:val="0"/>
          <w:kern w:val="0"/>
          <w:sz w:val="22"/>
          <w:szCs w:val="22"/>
        </w:rPr>
        <w:t>Ch06</w:t>
      </w:r>
      <w:r w:rsidRPr="00B84BBB">
        <w:rPr>
          <w:rFonts w:asciiTheme="minorHAnsi" w:hAnsiTheme="minorHAnsi" w:cs="Times New Roman"/>
          <w:bCs w:val="0"/>
          <w:kern w:val="0"/>
          <w:sz w:val="22"/>
          <w:szCs w:val="22"/>
        </w:rPr>
        <w:t>.</w:t>
      </w:r>
      <w:r>
        <w:rPr>
          <w:rFonts w:asciiTheme="minorHAnsi" w:hAnsiTheme="minorHAnsi" w:cs="Times New Roman"/>
          <w:bCs w:val="0"/>
          <w:kern w:val="0"/>
          <w:sz w:val="22"/>
          <w:szCs w:val="22"/>
        </w:rPr>
        <w:t>53</w:t>
      </w:r>
      <w:r w:rsidRPr="00B84BBB">
        <w:rPr>
          <w:rFonts w:asciiTheme="minorHAnsi" w:hAnsiTheme="minorHAnsi" w:cs="Times New Roman"/>
          <w:bCs w:val="0"/>
          <w:kern w:val="0"/>
          <w:sz w:val="22"/>
          <w:szCs w:val="22"/>
        </w:rPr>
        <w:t>.</w:t>
      </w:r>
      <w:r>
        <w:rPr>
          <w:rFonts w:asciiTheme="minorHAnsi" w:hAnsiTheme="minorHAnsi" w:cs="Times New Roman"/>
          <w:bCs w:val="0"/>
          <w:kern w:val="0"/>
          <w:sz w:val="22"/>
          <w:szCs w:val="22"/>
        </w:rPr>
        <w:t>Q</w:t>
      </w:r>
      <w:r w:rsidRPr="00B84BBB">
        <w:rPr>
          <w:rFonts w:asciiTheme="minorHAnsi" w:hAnsiTheme="minorHAnsi" w:cs="Times New Roman"/>
          <w:bCs w:val="0"/>
          <w:kern w:val="0"/>
          <w:sz w:val="22"/>
          <w:szCs w:val="22"/>
        </w:rPr>
        <w:t xml:space="preserve"> </w:t>
      </w:r>
      <w:r>
        <w:rPr>
          <w:rFonts w:asciiTheme="minorHAnsi" w:hAnsiTheme="minorHAnsi" w:cs="Times New Roman"/>
          <w:b w:val="0"/>
          <w:bCs w:val="0"/>
          <w:kern w:val="0"/>
          <w:sz w:val="22"/>
          <w:szCs w:val="22"/>
        </w:rPr>
        <w:t>A 2013</w:t>
      </w:r>
      <w:r w:rsidRPr="00B84BBB">
        <w:rPr>
          <w:rFonts w:asciiTheme="minorHAnsi" w:hAnsiTheme="minorHAnsi" w:cs="Times New Roman"/>
          <w:b w:val="0"/>
          <w:bCs w:val="0"/>
          <w:kern w:val="0"/>
          <w:sz w:val="22"/>
          <w:szCs w:val="22"/>
        </w:rPr>
        <w:t xml:space="preserve"> New York Times story, “Risk Calculator for Cholesterol Appears Flawed”</w:t>
      </w:r>
      <w:r w:rsidRPr="00B84BBB">
        <w:rPr>
          <w:rStyle w:val="FootnoteReference"/>
          <w:rFonts w:asciiTheme="minorHAnsi" w:hAnsiTheme="minorHAnsi" w:cs="Times New Roman"/>
          <w:b w:val="0"/>
          <w:bCs w:val="0"/>
          <w:kern w:val="0"/>
          <w:sz w:val="22"/>
          <w:szCs w:val="22"/>
        </w:rPr>
        <w:footnoteReference w:id="1"/>
      </w:r>
      <w:r>
        <w:rPr>
          <w:rFonts w:asciiTheme="minorHAnsi" w:hAnsiTheme="minorHAnsi" w:cs="Times New Roman"/>
          <w:b w:val="0"/>
          <w:bCs w:val="0"/>
          <w:kern w:val="0"/>
          <w:sz w:val="22"/>
          <w:szCs w:val="22"/>
        </w:rPr>
        <w:t xml:space="preserve"> included</w:t>
      </w:r>
      <w:r w:rsidRPr="00B84BBB">
        <w:rPr>
          <w:rFonts w:asciiTheme="minorHAnsi" w:hAnsiTheme="minorHAnsi" w:cs="Times New Roman"/>
          <w:b w:val="0"/>
          <w:bCs w:val="0"/>
          <w:kern w:val="0"/>
          <w:sz w:val="22"/>
          <w:szCs w:val="22"/>
        </w:rPr>
        <w:t xml:space="preserve"> the following: </w:t>
      </w:r>
    </w:p>
    <w:p w14:paraId="20386DF6" w14:textId="77777777" w:rsidR="00380429" w:rsidRPr="00B84BBB" w:rsidRDefault="00380429" w:rsidP="00380429">
      <w:pPr>
        <w:pStyle w:val="Heading1"/>
        <w:rPr>
          <w:rFonts w:asciiTheme="minorHAnsi" w:hAnsiTheme="minorHAnsi"/>
          <w:b w:val="0"/>
          <w:i/>
          <w:sz w:val="22"/>
          <w:szCs w:val="22"/>
        </w:rPr>
      </w:pPr>
      <w:r w:rsidRPr="00B84BBB">
        <w:rPr>
          <w:rFonts w:asciiTheme="minorHAnsi" w:hAnsiTheme="minorHAnsi" w:cs="Times New Roman"/>
          <w:b w:val="0"/>
          <w:i/>
          <w:sz w:val="22"/>
          <w:szCs w:val="22"/>
        </w:rPr>
        <w:t xml:space="preserve">“Last week, the nation’s leading heart organizations released </w:t>
      </w:r>
      <w:r w:rsidRPr="00B84BBB">
        <w:rPr>
          <w:rFonts w:asciiTheme="minorHAnsi" w:hAnsiTheme="minorHAnsi"/>
          <w:b w:val="0"/>
          <w:i/>
          <w:sz w:val="22"/>
          <w:szCs w:val="22"/>
        </w:rPr>
        <w:t xml:space="preserve">a sweeping new set of guidelines for lowering </w:t>
      </w:r>
      <w:hyperlink r:id="rId8" w:tooltip="In-depth reference and news articles about Cholesterol." w:history="1">
        <w:r w:rsidRPr="00B84BBB">
          <w:rPr>
            <w:rFonts w:asciiTheme="minorHAnsi" w:hAnsiTheme="minorHAnsi"/>
            <w:b w:val="0"/>
            <w:i/>
            <w:sz w:val="22"/>
            <w:szCs w:val="22"/>
          </w:rPr>
          <w:t>cholesterol</w:t>
        </w:r>
      </w:hyperlink>
      <w:r w:rsidRPr="00B84BBB">
        <w:rPr>
          <w:rFonts w:asciiTheme="minorHAnsi" w:hAnsiTheme="minorHAnsi"/>
          <w:b w:val="0"/>
          <w:i/>
          <w:sz w:val="22"/>
          <w:szCs w:val="22"/>
        </w:rPr>
        <w:t xml:space="preserve">, along with an </w:t>
      </w:r>
      <w:hyperlink r:id="rId9" w:tooltip="Risk calculator" w:history="1">
        <w:r w:rsidRPr="00B84BBB">
          <w:rPr>
            <w:rFonts w:asciiTheme="minorHAnsi" w:hAnsiTheme="minorHAnsi"/>
            <w:b w:val="0"/>
            <w:i/>
            <w:sz w:val="22"/>
            <w:szCs w:val="22"/>
          </w:rPr>
          <w:t>online calculator</w:t>
        </w:r>
      </w:hyperlink>
      <w:r w:rsidRPr="00B84BBB">
        <w:rPr>
          <w:rFonts w:asciiTheme="minorHAnsi" w:hAnsiTheme="minorHAnsi"/>
          <w:b w:val="0"/>
          <w:i/>
          <w:sz w:val="22"/>
          <w:szCs w:val="22"/>
        </w:rPr>
        <w:t xml:space="preserve"> meant to help doctors assess risks and treatment options. But, in a major embarrassment to the health groups, the calculator appears to greatly overestimate risk...” </w:t>
      </w:r>
    </w:p>
    <w:p w14:paraId="2FDF3934" w14:textId="77777777" w:rsidR="00380429" w:rsidRPr="00B84BBB" w:rsidRDefault="00380429" w:rsidP="00380429">
      <w:pPr>
        <w:pStyle w:val="NormalWeb"/>
        <w:rPr>
          <w:rFonts w:asciiTheme="minorHAnsi" w:hAnsiTheme="minorHAnsi"/>
          <w:i/>
          <w:sz w:val="22"/>
          <w:szCs w:val="22"/>
        </w:rPr>
      </w:pPr>
      <w:r w:rsidRPr="00B84BBB">
        <w:rPr>
          <w:rFonts w:asciiTheme="minorHAnsi" w:hAnsiTheme="minorHAnsi"/>
          <w:i/>
          <w:sz w:val="22"/>
          <w:szCs w:val="22"/>
        </w:rPr>
        <w:t xml:space="preserve">“After they saw the guidelines and the calculator, Dr. </w:t>
      </w:r>
      <w:proofErr w:type="spellStart"/>
      <w:r w:rsidRPr="00B84BBB">
        <w:rPr>
          <w:rFonts w:asciiTheme="minorHAnsi" w:hAnsiTheme="minorHAnsi"/>
          <w:i/>
          <w:sz w:val="22"/>
          <w:szCs w:val="22"/>
        </w:rPr>
        <w:t>Ridker</w:t>
      </w:r>
      <w:proofErr w:type="spellEnd"/>
      <w:r w:rsidRPr="00B84BBB">
        <w:rPr>
          <w:rFonts w:asciiTheme="minorHAnsi" w:hAnsiTheme="minorHAnsi"/>
          <w:i/>
          <w:sz w:val="22"/>
          <w:szCs w:val="22"/>
        </w:rPr>
        <w:t xml:space="preserve"> and Dr. Cook evaluated it using three large studies... They knew the subjects’ characteristics at the start... Then they asked how many had heart attacks or strokes in the next 10 years and how many would the risk calculator predict. </w:t>
      </w:r>
    </w:p>
    <w:p w14:paraId="21A25AA2" w14:textId="77777777" w:rsidR="00380429" w:rsidRPr="00B84BBB" w:rsidRDefault="00380429" w:rsidP="00380429">
      <w:pPr>
        <w:pStyle w:val="NormalWeb"/>
        <w:rPr>
          <w:rFonts w:asciiTheme="minorHAnsi" w:hAnsiTheme="minorHAnsi"/>
          <w:i/>
          <w:sz w:val="22"/>
          <w:szCs w:val="22"/>
        </w:rPr>
      </w:pPr>
      <w:r w:rsidRPr="00B84BBB">
        <w:rPr>
          <w:rFonts w:asciiTheme="minorHAnsi" w:hAnsiTheme="minorHAnsi"/>
          <w:i/>
          <w:sz w:val="22"/>
          <w:szCs w:val="22"/>
        </w:rPr>
        <w:t>“The answer was that the calculator overpredicted risk by 75 to 150 percent, depending on the population. A man whose risk was 4 percent, for example, might show up as having an 8 percent risk. With a 4 percent risk, he would not warrant treatment — the guidelines that say treatment is advised for those with at least a 7.5 percent risk and that treatment can be considered for those whose risk is 5 percent.”</w:t>
      </w:r>
    </w:p>
    <w:p w14:paraId="6C7BAB0D" w14:textId="77777777" w:rsidR="00380429" w:rsidRPr="00B84BBB" w:rsidRDefault="00380429" w:rsidP="00380429">
      <w:pPr>
        <w:numPr>
          <w:ilvl w:val="1"/>
          <w:numId w:val="31"/>
        </w:numPr>
        <w:spacing w:before="100" w:beforeAutospacing="1" w:after="100" w:afterAutospacing="1"/>
        <w:ind w:left="90" w:firstLine="0"/>
        <w:contextualSpacing/>
        <w:rPr>
          <w:rFonts w:asciiTheme="minorHAnsi" w:hAnsiTheme="minorHAnsi"/>
          <w:sz w:val="22"/>
          <w:szCs w:val="22"/>
        </w:rPr>
      </w:pPr>
      <w:r w:rsidRPr="00B84BBB">
        <w:rPr>
          <w:rFonts w:asciiTheme="minorHAnsi" w:hAnsiTheme="minorHAnsi"/>
          <w:sz w:val="22"/>
          <w:szCs w:val="22"/>
        </w:rPr>
        <w:t xml:space="preserve">Is this a problem with discrimination or calibration?  Explain. </w:t>
      </w:r>
    </w:p>
    <w:p w14:paraId="5F5E0662" w14:textId="77777777" w:rsidR="00380429" w:rsidRPr="00B84BBB" w:rsidRDefault="00380429" w:rsidP="00380429">
      <w:pPr>
        <w:spacing w:before="100" w:beforeAutospacing="1" w:after="100" w:afterAutospacing="1"/>
        <w:rPr>
          <w:rFonts w:asciiTheme="minorHAnsi" w:hAnsiTheme="minorHAnsi" w:cs="Arial"/>
          <w:sz w:val="22"/>
          <w:szCs w:val="22"/>
        </w:rPr>
      </w:pPr>
      <w:r w:rsidRPr="00B84BBB">
        <w:rPr>
          <w:rFonts w:asciiTheme="minorHAnsi" w:hAnsiTheme="minorHAnsi" w:cs="Arial"/>
          <w:sz w:val="22"/>
          <w:szCs w:val="22"/>
        </w:rPr>
        <w:br/>
      </w:r>
      <w:r w:rsidRPr="00B84BBB">
        <w:rPr>
          <w:rFonts w:asciiTheme="minorHAnsi" w:hAnsiTheme="minorHAnsi" w:cs="Arial"/>
          <w:noProof/>
          <w:sz w:val="22"/>
          <w:szCs w:val="22"/>
        </w:rPr>
        <w:drawing>
          <wp:inline distT="0" distB="0" distL="0" distR="0" wp14:anchorId="1BC4B223" wp14:editId="63F29D50">
            <wp:extent cx="5401945" cy="1693545"/>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945" cy="1693545"/>
                    </a:xfrm>
                    <a:prstGeom prst="rect">
                      <a:avLst/>
                    </a:prstGeom>
                    <a:noFill/>
                    <a:ln>
                      <a:noFill/>
                    </a:ln>
                  </pic:spPr>
                </pic:pic>
              </a:graphicData>
            </a:graphic>
          </wp:inline>
        </w:drawing>
      </w:r>
    </w:p>
    <w:p w14:paraId="3527D6C3" w14:textId="77777777" w:rsidR="00380429" w:rsidRPr="00B84BBB" w:rsidRDefault="00380429" w:rsidP="00380429">
      <w:pPr>
        <w:numPr>
          <w:ilvl w:val="1"/>
          <w:numId w:val="31"/>
        </w:numPr>
        <w:spacing w:before="100" w:beforeAutospacing="1" w:after="100" w:afterAutospacing="1"/>
        <w:ind w:left="270" w:hanging="270"/>
        <w:contextualSpacing/>
        <w:rPr>
          <w:rFonts w:asciiTheme="minorHAnsi" w:hAnsiTheme="minorHAnsi"/>
          <w:sz w:val="22"/>
          <w:szCs w:val="22"/>
        </w:rPr>
      </w:pPr>
      <w:r w:rsidRPr="00B84BBB">
        <w:rPr>
          <w:rFonts w:asciiTheme="minorHAnsi" w:hAnsiTheme="minorHAnsi"/>
          <w:sz w:val="22"/>
          <w:szCs w:val="22"/>
        </w:rPr>
        <w:t xml:space="preserve">The guidelines recommend estimating each subject’s risk using a cardiovascular risk calculator, then managing based on whether the predicted 10-year risk is &lt;5%, 5-7.4%, 7.5-9.9%, or ≥ 10%.  The NYT article included a graph of the overestimation, above, which many of your instructors found confusing.  Josh </w:t>
      </w:r>
      <w:proofErr w:type="spellStart"/>
      <w:r w:rsidRPr="00B84BBB">
        <w:rPr>
          <w:rFonts w:asciiTheme="minorHAnsi" w:hAnsiTheme="minorHAnsi"/>
          <w:sz w:val="22"/>
          <w:szCs w:val="22"/>
        </w:rPr>
        <w:t>Galanter</w:t>
      </w:r>
      <w:proofErr w:type="spellEnd"/>
      <w:r w:rsidRPr="00B84BBB">
        <w:rPr>
          <w:rFonts w:asciiTheme="minorHAnsi" w:hAnsiTheme="minorHAnsi"/>
          <w:sz w:val="22"/>
          <w:szCs w:val="22"/>
        </w:rPr>
        <w:t xml:space="preserve"> (faculty member for 2013 course) gallantly created a calibration plot from these data (below), which should look more familiar.  Explain briefly, step by step, how the data to produce figures like these would be obtained. (Hint: the X-axis in each case groups patients with predicted risks in the categories above.) </w:t>
      </w:r>
      <w:r w:rsidRPr="00B84BBB">
        <w:rPr>
          <w:rFonts w:asciiTheme="minorHAnsi" w:hAnsiTheme="minorHAnsi"/>
          <w:sz w:val="22"/>
          <w:szCs w:val="22"/>
        </w:rPr>
        <w:br/>
      </w:r>
    </w:p>
    <w:p w14:paraId="5466C5AA" w14:textId="77777777" w:rsidR="00380429" w:rsidRPr="00B84BBB" w:rsidRDefault="00380429" w:rsidP="00380429">
      <w:pPr>
        <w:spacing w:before="100" w:beforeAutospacing="1" w:after="100" w:afterAutospacing="1"/>
        <w:ind w:left="-180"/>
        <w:rPr>
          <w:rFonts w:asciiTheme="minorHAnsi" w:hAnsiTheme="minorHAnsi" w:cs="Arial"/>
          <w:noProof/>
          <w:sz w:val="22"/>
          <w:szCs w:val="22"/>
        </w:rPr>
      </w:pPr>
      <w:r w:rsidRPr="00B84BBB">
        <w:rPr>
          <w:rFonts w:asciiTheme="minorHAnsi" w:hAnsiTheme="minorHAnsi" w:cs="Arial"/>
          <w:noProof/>
          <w:sz w:val="22"/>
          <w:szCs w:val="22"/>
        </w:rPr>
        <w:lastRenderedPageBreak/>
        <w:drawing>
          <wp:inline distT="0" distB="0" distL="0" distR="0" wp14:anchorId="6D89F388" wp14:editId="605090B4">
            <wp:extent cx="5393055" cy="209105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3055" cy="2091055"/>
                    </a:xfrm>
                    <a:prstGeom prst="rect">
                      <a:avLst/>
                    </a:prstGeom>
                    <a:noFill/>
                    <a:ln>
                      <a:noFill/>
                    </a:ln>
                  </pic:spPr>
                </pic:pic>
              </a:graphicData>
            </a:graphic>
          </wp:inline>
        </w:drawing>
      </w:r>
    </w:p>
    <w:p w14:paraId="05B9E7E6" w14:textId="77777777" w:rsidR="00380429" w:rsidRPr="00B84BBB" w:rsidRDefault="00380429" w:rsidP="00380429">
      <w:pPr>
        <w:spacing w:before="100" w:beforeAutospacing="1" w:after="100" w:afterAutospacing="1"/>
        <w:ind w:left="360"/>
        <w:contextualSpacing/>
        <w:rPr>
          <w:rFonts w:asciiTheme="minorHAnsi" w:hAnsiTheme="minorHAnsi" w:cs="Arial"/>
          <w:b/>
          <w:sz w:val="22"/>
          <w:szCs w:val="22"/>
        </w:rPr>
      </w:pPr>
    </w:p>
    <w:p w14:paraId="48020D90" w14:textId="77777777" w:rsidR="00380429" w:rsidRPr="00B84BBB" w:rsidRDefault="00380429" w:rsidP="00380429">
      <w:pPr>
        <w:spacing w:before="100" w:beforeAutospacing="1" w:after="100" w:afterAutospacing="1"/>
        <w:contextualSpacing/>
        <w:rPr>
          <w:rStyle w:val="paragraph"/>
          <w:rFonts w:asciiTheme="minorHAnsi" w:hAnsiTheme="minorHAnsi"/>
          <w:b/>
          <w:sz w:val="22"/>
          <w:szCs w:val="22"/>
        </w:rPr>
      </w:pPr>
    </w:p>
    <w:p w14:paraId="11CF3132" w14:textId="77777777" w:rsidR="00380429" w:rsidRDefault="00380429" w:rsidP="00380429">
      <w:pPr>
        <w:numPr>
          <w:ilvl w:val="1"/>
          <w:numId w:val="31"/>
        </w:numPr>
        <w:spacing w:before="100" w:beforeAutospacing="1" w:after="100" w:afterAutospacing="1"/>
        <w:ind w:left="270" w:hanging="270"/>
        <w:contextualSpacing/>
        <w:rPr>
          <w:rStyle w:val="paragraph"/>
          <w:rFonts w:asciiTheme="minorHAnsi" w:hAnsiTheme="minorHAnsi"/>
          <w:sz w:val="22"/>
          <w:szCs w:val="22"/>
        </w:rPr>
      </w:pPr>
      <w:r w:rsidRPr="00B84BBB">
        <w:rPr>
          <w:rStyle w:val="paragraph"/>
          <w:rFonts w:asciiTheme="minorHAnsi" w:hAnsiTheme="minorHAnsi"/>
          <w:sz w:val="22"/>
          <w:szCs w:val="22"/>
        </w:rPr>
        <w:t xml:space="preserve">If we assume that, in fact, the risk calculator is overestimating risk, what more do you need to know to conclude that using these overestimated risks with the treatment thresholds in the guidelines will lead to excessive treatment?  Explain. </w:t>
      </w:r>
    </w:p>
    <w:p w14:paraId="549F0382" w14:textId="77777777" w:rsidR="00380429" w:rsidRPr="00626691" w:rsidRDefault="00380429" w:rsidP="00380429">
      <w:pPr>
        <w:spacing w:before="100" w:beforeAutospacing="1" w:after="100" w:afterAutospacing="1"/>
        <w:contextualSpacing/>
        <w:rPr>
          <w:rStyle w:val="paragraph"/>
          <w:rFonts w:asciiTheme="minorHAnsi" w:hAnsiTheme="minorHAnsi"/>
          <w:sz w:val="22"/>
          <w:szCs w:val="22"/>
        </w:rPr>
      </w:pPr>
    </w:p>
    <w:p w14:paraId="735682D7" w14:textId="77777777" w:rsidR="00380429" w:rsidRPr="00B84BBB" w:rsidRDefault="00380429" w:rsidP="00380429">
      <w:pPr>
        <w:spacing w:before="100" w:beforeAutospacing="1" w:after="100" w:afterAutospacing="1"/>
        <w:ind w:left="360"/>
        <w:contextualSpacing/>
        <w:rPr>
          <w:rStyle w:val="paragraph"/>
          <w:rFonts w:asciiTheme="minorHAnsi" w:hAnsiTheme="minorHAnsi"/>
          <w:sz w:val="22"/>
          <w:szCs w:val="22"/>
        </w:rPr>
      </w:pPr>
    </w:p>
    <w:p w14:paraId="58E67288" w14:textId="77777777" w:rsidR="00380429" w:rsidRDefault="00380429" w:rsidP="00380429"/>
    <w:p w14:paraId="2D307A6F" w14:textId="2ED01D86" w:rsidR="00451173" w:rsidRDefault="00451173">
      <w:pPr>
        <w:rPr>
          <w:rFonts w:ascii="Arial" w:hAnsi="Arial" w:cs="Arial"/>
          <w:b/>
          <w:color w:val="000000"/>
          <w:sz w:val="22"/>
          <w:szCs w:val="20"/>
        </w:rPr>
      </w:pPr>
      <w:r>
        <w:rPr>
          <w:rFonts w:ascii="Arial" w:hAnsi="Arial" w:cs="Arial"/>
          <w:b/>
          <w:color w:val="000000"/>
          <w:sz w:val="22"/>
        </w:rPr>
        <w:br w:type="page"/>
      </w:r>
    </w:p>
    <w:p w14:paraId="6288C301" w14:textId="77777777" w:rsidR="00451173" w:rsidRPr="00232E62" w:rsidRDefault="00451173" w:rsidP="00451173">
      <w:pPr>
        <w:tabs>
          <w:tab w:val="left" w:pos="-720"/>
        </w:tabs>
        <w:suppressAutoHyphens/>
        <w:ind w:left="180"/>
        <w:rPr>
          <w:b/>
        </w:rPr>
      </w:pPr>
      <w:r>
        <w:rPr>
          <w:b/>
        </w:rPr>
        <w:lastRenderedPageBreak/>
        <w:t>Ch07.02.Q</w:t>
      </w:r>
      <w:r w:rsidRPr="00232E62">
        <w:rPr>
          <w:b/>
        </w:rPr>
        <w:t xml:space="preserve"> Kawasaki Disease</w:t>
      </w:r>
    </w:p>
    <w:p w14:paraId="33ADF015" w14:textId="77777777" w:rsidR="00451173" w:rsidRDefault="00451173" w:rsidP="00451173">
      <w:pPr>
        <w:tabs>
          <w:tab w:val="left" w:pos="-720"/>
        </w:tabs>
        <w:suppressAutoHyphens/>
        <w:ind w:left="180"/>
      </w:pPr>
    </w:p>
    <w:p w14:paraId="32E01817" w14:textId="1E4A86E0" w:rsidR="00451173" w:rsidRDefault="00451173" w:rsidP="00451173">
      <w:pPr>
        <w:tabs>
          <w:tab w:val="left" w:pos="-720"/>
        </w:tabs>
        <w:suppressAutoHyphens/>
        <w:ind w:left="180"/>
      </w:pPr>
      <w:r>
        <w:t xml:space="preserve">Kawasaki disease is an acute febrile illness in children of unknown cause that includes a rash, conjunctivitis, inflammation of mucous membranes, adenopathy and swelling of hands and feet.  Affected children are treated with intravenous gamma globulin (IVGG) to prevent coronary artery aneurysms, the most serious complication of the disease.  Using data from the </w:t>
      </w:r>
      <w:r w:rsidRPr="00CA54A5">
        <w:rPr>
          <w:b/>
          <w:u w:val="single"/>
        </w:rPr>
        <w:t>intervention groups</w:t>
      </w:r>
      <w:r>
        <w:t xml:space="preserve"> of two randomized controlled trials of IVGG, </w:t>
      </w:r>
      <w:proofErr w:type="spellStart"/>
      <w:r>
        <w:t>Beiser</w:t>
      </w:r>
      <w:proofErr w:type="spellEnd"/>
      <w:r>
        <w:t xml:space="preserve"> et al</w:t>
      </w:r>
      <w:r>
        <w:fldChar w:fldCharType="begin"/>
      </w:r>
      <w:r w:rsidR="00E14E7D">
        <w:instrText xml:space="preserve"> ADDIN EN.CITE &lt;EndNote&gt;&lt;Cite&gt;&lt;Author&gt;Beiser&lt;/Author&gt;&lt;Year&gt;1998&lt;/Year&gt;&lt;RecNum&gt;942&lt;/RecNum&gt;&lt;DisplayText&gt;(Beiser, Takahashi et al. 1998)&lt;/DisplayText&gt;&lt;record&gt;&lt;rec-number&gt;942&lt;/rec-number&gt;&lt;foreign-keys&gt;&lt;key app="EN" db-id="0ftvff9p80fp5few5s05f5fw9rd9fefrdzer" timestamp="0"&gt;942&lt;/key&gt;&lt;/foreign-keys&gt;&lt;ref-type name="Journal Article"&gt;17&lt;/ref-type&gt;&lt;contributors&gt;&lt;authors&gt;&lt;author&gt;Beiser, A. S.&lt;/author&gt;&lt;author&gt;Takahashi, M.&lt;/author&gt;&lt;author&gt;Baker, A. L.&lt;/author&gt;&lt;author&gt;Sundel, R. P.&lt;/author&gt;&lt;author&gt;Newburger, J. W.&lt;/author&gt;&lt;/authors&gt;&lt;/contributors&gt;&lt;auth-address&gt;Department of Epidemiology and Biostatistics, Boston University School of Public Health, Massachusetts, USA.&lt;/auth-address&gt;&lt;titles&gt;&lt;title&gt;A predictive instrument for coronary artery aneurysms in Kawasaki disease. US Multicenter Kawasaki Disease Study Group&lt;/title&gt;&lt;secondary-title&gt;Am J Cardiol&lt;/secondary-title&gt;&lt;/titles&gt;&lt;pages&gt;1116-20&lt;/pages&gt;&lt;volume&gt;81&lt;/volume&gt;&lt;number&gt;9&lt;/number&gt;&lt;keywords&gt;&lt;keyword&gt;Coronary Aneurysm/*etiology/prevention &amp;amp; control&lt;/keyword&gt;&lt;keyword&gt;Female&lt;/keyword&gt;&lt;keyword&gt;Humans&lt;/keyword&gt;&lt;keyword&gt;Immunoglobulins, Intravenous/therapeutic use&lt;/keyword&gt;&lt;keyword&gt;Male&lt;/keyword&gt;&lt;keyword&gt;Mucocutaneous Lymph Node Syndrome/*complications/drug therapy&lt;/keyword&gt;&lt;keyword&gt;Predictive Value of Tests&lt;/keyword&gt;&lt;keyword&gt;Prognosis&lt;/keyword&gt;&lt;keyword&gt;Randomized Controlled Trials&lt;/keyword&gt;&lt;keyword&gt;Risk Assessment&lt;/keyword&gt;&lt;/keywords&gt;&lt;dates&gt;&lt;year&gt;1998&lt;/year&gt;&lt;pub-dates&gt;&lt;date&gt;May 1&lt;/date&gt;&lt;/pub-dates&gt;&lt;/dates&gt;&lt;accession-num&gt;9605052&lt;/accession-num&gt;&lt;urls&gt;&lt;related-urls&gt;&lt;url&gt;http://www.ncbi.nlm.nih.gov/entrez/query.fcgi?cmd=Retrieve&amp;amp;db=PubMed&amp;amp;dopt=Citation&amp;amp;list_uids=9605052 &lt;/url&gt;&lt;/related-urls&gt;&lt;/urls&gt;&lt;/record&gt;&lt;/Cite&gt;&lt;/EndNote&gt;</w:instrText>
      </w:r>
      <w:r>
        <w:fldChar w:fldCharType="separate"/>
      </w:r>
      <w:r w:rsidR="00E14E7D">
        <w:rPr>
          <w:noProof/>
        </w:rPr>
        <w:t>(</w:t>
      </w:r>
      <w:hyperlink w:anchor="_ENREF_1" w:tooltip="Beiser, 1998 #942" w:history="1">
        <w:r w:rsidR="00E14E7D">
          <w:rPr>
            <w:noProof/>
          </w:rPr>
          <w:t>Beiser, Takahashi et al. 1998</w:t>
        </w:r>
      </w:hyperlink>
      <w:r w:rsidR="00E14E7D">
        <w:rPr>
          <w:noProof/>
        </w:rPr>
        <w:t>)</w:t>
      </w:r>
      <w:r>
        <w:fldChar w:fldCharType="end"/>
      </w:r>
      <w:r>
        <w:t xml:space="preserve"> developed an instrument to predict which children with Kawasaki disease would develop coronary artery aneurysms. The predictive instrument they developed is shown below:</w:t>
      </w:r>
    </w:p>
    <w:p w14:paraId="5A09089D" w14:textId="77777777" w:rsidR="00451173" w:rsidRDefault="00451173" w:rsidP="00451173">
      <w:pPr>
        <w:tabs>
          <w:tab w:val="left" w:pos="-720"/>
        </w:tabs>
        <w:suppressAutoHyphens/>
        <w:ind w:left="180"/>
      </w:pPr>
      <w:r>
        <w:rPr>
          <w:noProof/>
        </w:rPr>
        <w:drawing>
          <wp:anchor distT="0" distB="0" distL="114300" distR="114300" simplePos="0" relativeHeight="251659264" behindDoc="1" locked="0" layoutInCell="1" allowOverlap="1" wp14:anchorId="1F36CFF2" wp14:editId="14D441B2">
            <wp:simplePos x="0" y="0"/>
            <wp:positionH relativeFrom="column">
              <wp:posOffset>228600</wp:posOffset>
            </wp:positionH>
            <wp:positionV relativeFrom="paragraph">
              <wp:posOffset>115570</wp:posOffset>
            </wp:positionV>
            <wp:extent cx="3306445" cy="4986655"/>
            <wp:effectExtent l="0" t="0" r="8255" b="4445"/>
            <wp:wrapTight wrapText="bothSides">
              <wp:wrapPolygon edited="0">
                <wp:start x="0" y="0"/>
                <wp:lineTo x="0" y="21537"/>
                <wp:lineTo x="21529" y="21537"/>
                <wp:lineTo x="21529" y="0"/>
                <wp:lineTo x="0" y="0"/>
              </wp:wrapPolygon>
            </wp:wrapTight>
            <wp:docPr id="1" name="Picture 1" descr="Kawasali Disease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wasali Disease C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6445" cy="498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C5C35" w14:textId="77777777" w:rsidR="00451173" w:rsidRDefault="00451173" w:rsidP="00451173">
      <w:pPr>
        <w:tabs>
          <w:tab w:val="left" w:pos="-720"/>
        </w:tabs>
        <w:suppressAutoHyphens/>
        <w:ind w:left="180"/>
      </w:pPr>
    </w:p>
    <w:p w14:paraId="348A29AF" w14:textId="77777777" w:rsidR="00451173" w:rsidRDefault="00451173" w:rsidP="00451173">
      <w:pPr>
        <w:tabs>
          <w:tab w:val="left" w:pos="-720"/>
        </w:tabs>
        <w:suppressAutoHyphens/>
        <w:ind w:left="180"/>
      </w:pPr>
    </w:p>
    <w:p w14:paraId="336DDC8A" w14:textId="77777777" w:rsidR="00451173" w:rsidRDefault="00451173" w:rsidP="00451173">
      <w:pPr>
        <w:tabs>
          <w:tab w:val="left" w:pos="-720"/>
        </w:tabs>
        <w:suppressAutoHyphens/>
        <w:ind w:left="180"/>
      </w:pPr>
    </w:p>
    <w:p w14:paraId="18B27C4B" w14:textId="77777777" w:rsidR="00451173" w:rsidRDefault="00451173" w:rsidP="00451173">
      <w:pPr>
        <w:tabs>
          <w:tab w:val="left" w:pos="-720"/>
        </w:tabs>
        <w:suppressAutoHyphens/>
        <w:ind w:left="180"/>
      </w:pPr>
    </w:p>
    <w:p w14:paraId="1256FAC7" w14:textId="77777777" w:rsidR="00451173" w:rsidRDefault="00451173" w:rsidP="00451173">
      <w:pPr>
        <w:tabs>
          <w:tab w:val="left" w:pos="-720"/>
        </w:tabs>
        <w:suppressAutoHyphens/>
        <w:ind w:left="180"/>
      </w:pPr>
    </w:p>
    <w:p w14:paraId="2DDF5A3E" w14:textId="77777777" w:rsidR="00451173" w:rsidRDefault="00451173" w:rsidP="00451173">
      <w:pPr>
        <w:tabs>
          <w:tab w:val="left" w:pos="-720"/>
        </w:tabs>
        <w:suppressAutoHyphens/>
        <w:ind w:left="180"/>
      </w:pPr>
    </w:p>
    <w:p w14:paraId="6C95CDF8" w14:textId="77777777" w:rsidR="00451173" w:rsidRDefault="00451173" w:rsidP="00451173">
      <w:pPr>
        <w:tabs>
          <w:tab w:val="left" w:pos="-720"/>
        </w:tabs>
        <w:suppressAutoHyphens/>
        <w:ind w:left="180"/>
      </w:pPr>
    </w:p>
    <w:p w14:paraId="4A0B8DF1" w14:textId="77777777" w:rsidR="00451173" w:rsidRDefault="00451173" w:rsidP="00451173">
      <w:pPr>
        <w:tabs>
          <w:tab w:val="left" w:pos="-720"/>
        </w:tabs>
        <w:suppressAutoHyphens/>
        <w:ind w:left="180"/>
      </w:pPr>
    </w:p>
    <w:p w14:paraId="3851314A" w14:textId="77777777" w:rsidR="00451173" w:rsidRDefault="00451173" w:rsidP="00451173">
      <w:pPr>
        <w:tabs>
          <w:tab w:val="left" w:pos="-720"/>
        </w:tabs>
        <w:suppressAutoHyphens/>
        <w:ind w:left="180"/>
      </w:pPr>
    </w:p>
    <w:p w14:paraId="1DDCBC73" w14:textId="77777777" w:rsidR="00451173" w:rsidRDefault="00451173" w:rsidP="00451173">
      <w:pPr>
        <w:tabs>
          <w:tab w:val="left" w:pos="-720"/>
        </w:tabs>
        <w:suppressAutoHyphens/>
        <w:ind w:left="180"/>
      </w:pPr>
    </w:p>
    <w:p w14:paraId="38365614" w14:textId="77777777" w:rsidR="00451173" w:rsidRDefault="00451173" w:rsidP="00451173">
      <w:pPr>
        <w:tabs>
          <w:tab w:val="left" w:pos="-720"/>
        </w:tabs>
        <w:suppressAutoHyphens/>
        <w:ind w:left="180"/>
      </w:pPr>
    </w:p>
    <w:p w14:paraId="17910FFD" w14:textId="77777777" w:rsidR="00451173" w:rsidRDefault="00451173" w:rsidP="00451173">
      <w:pPr>
        <w:tabs>
          <w:tab w:val="left" w:pos="-720"/>
        </w:tabs>
        <w:suppressAutoHyphens/>
        <w:ind w:left="180"/>
      </w:pPr>
    </w:p>
    <w:p w14:paraId="331F24C4" w14:textId="77777777" w:rsidR="00451173" w:rsidRDefault="00451173" w:rsidP="00451173">
      <w:pPr>
        <w:tabs>
          <w:tab w:val="left" w:pos="-720"/>
        </w:tabs>
        <w:suppressAutoHyphens/>
        <w:ind w:left="180"/>
      </w:pPr>
    </w:p>
    <w:p w14:paraId="4CD25476" w14:textId="77777777" w:rsidR="00451173" w:rsidRDefault="00451173" w:rsidP="00451173">
      <w:pPr>
        <w:tabs>
          <w:tab w:val="left" w:pos="-720"/>
        </w:tabs>
        <w:suppressAutoHyphens/>
        <w:ind w:left="180"/>
      </w:pPr>
    </w:p>
    <w:p w14:paraId="3BFF03DE" w14:textId="77777777" w:rsidR="00451173" w:rsidRDefault="00451173" w:rsidP="00451173">
      <w:pPr>
        <w:tabs>
          <w:tab w:val="left" w:pos="-720"/>
        </w:tabs>
        <w:suppressAutoHyphens/>
        <w:ind w:left="180"/>
      </w:pPr>
    </w:p>
    <w:p w14:paraId="41441CB0" w14:textId="77777777" w:rsidR="00451173" w:rsidRDefault="00451173" w:rsidP="00451173">
      <w:pPr>
        <w:tabs>
          <w:tab w:val="left" w:pos="-720"/>
        </w:tabs>
        <w:suppressAutoHyphens/>
        <w:ind w:left="180"/>
      </w:pPr>
    </w:p>
    <w:p w14:paraId="6D0D58E3" w14:textId="77777777" w:rsidR="00451173" w:rsidRDefault="00451173" w:rsidP="00451173">
      <w:pPr>
        <w:tabs>
          <w:tab w:val="left" w:pos="-720"/>
        </w:tabs>
        <w:suppressAutoHyphens/>
        <w:ind w:left="180"/>
      </w:pPr>
    </w:p>
    <w:p w14:paraId="3417EB36" w14:textId="77777777" w:rsidR="00451173" w:rsidRDefault="00451173" w:rsidP="00451173">
      <w:pPr>
        <w:tabs>
          <w:tab w:val="left" w:pos="-720"/>
        </w:tabs>
        <w:suppressAutoHyphens/>
        <w:ind w:left="180"/>
      </w:pPr>
    </w:p>
    <w:p w14:paraId="14A73C14" w14:textId="77777777" w:rsidR="00451173" w:rsidRDefault="00451173" w:rsidP="00451173">
      <w:pPr>
        <w:tabs>
          <w:tab w:val="left" w:pos="-720"/>
        </w:tabs>
        <w:suppressAutoHyphens/>
        <w:ind w:left="180"/>
      </w:pPr>
    </w:p>
    <w:p w14:paraId="6EB88D5A" w14:textId="77777777" w:rsidR="00451173" w:rsidRDefault="00451173" w:rsidP="00451173">
      <w:pPr>
        <w:tabs>
          <w:tab w:val="left" w:pos="-720"/>
        </w:tabs>
        <w:suppressAutoHyphens/>
        <w:ind w:left="180"/>
      </w:pPr>
    </w:p>
    <w:p w14:paraId="3913977A" w14:textId="77777777" w:rsidR="00451173" w:rsidRDefault="00451173" w:rsidP="00451173">
      <w:pPr>
        <w:tabs>
          <w:tab w:val="left" w:pos="-720"/>
        </w:tabs>
        <w:suppressAutoHyphens/>
        <w:ind w:left="180"/>
      </w:pPr>
    </w:p>
    <w:p w14:paraId="3FA6FECF" w14:textId="77777777" w:rsidR="00451173" w:rsidRDefault="00451173" w:rsidP="00451173">
      <w:pPr>
        <w:tabs>
          <w:tab w:val="left" w:pos="-720"/>
        </w:tabs>
        <w:suppressAutoHyphens/>
        <w:ind w:left="180"/>
      </w:pPr>
    </w:p>
    <w:p w14:paraId="048A1CBA" w14:textId="77777777" w:rsidR="00451173" w:rsidRDefault="00451173" w:rsidP="00451173">
      <w:pPr>
        <w:tabs>
          <w:tab w:val="left" w:pos="-720"/>
        </w:tabs>
        <w:suppressAutoHyphens/>
        <w:ind w:left="180"/>
      </w:pPr>
    </w:p>
    <w:p w14:paraId="417CB0A9" w14:textId="77777777" w:rsidR="00451173" w:rsidRDefault="00451173" w:rsidP="00451173">
      <w:pPr>
        <w:tabs>
          <w:tab w:val="left" w:pos="-720"/>
        </w:tabs>
        <w:suppressAutoHyphens/>
        <w:ind w:left="180"/>
      </w:pPr>
    </w:p>
    <w:p w14:paraId="679219DC" w14:textId="77777777" w:rsidR="00451173" w:rsidRDefault="00451173" w:rsidP="00451173">
      <w:pPr>
        <w:tabs>
          <w:tab w:val="left" w:pos="-720"/>
        </w:tabs>
        <w:suppressAutoHyphens/>
        <w:ind w:left="180"/>
      </w:pPr>
    </w:p>
    <w:p w14:paraId="6AF6FE49" w14:textId="77777777" w:rsidR="00451173" w:rsidRDefault="00451173" w:rsidP="00451173">
      <w:pPr>
        <w:tabs>
          <w:tab w:val="left" w:pos="-720"/>
        </w:tabs>
        <w:suppressAutoHyphens/>
        <w:ind w:left="180"/>
      </w:pPr>
    </w:p>
    <w:p w14:paraId="20862FE8" w14:textId="77777777" w:rsidR="00451173" w:rsidRDefault="00451173" w:rsidP="00451173">
      <w:pPr>
        <w:tabs>
          <w:tab w:val="left" w:pos="-720"/>
        </w:tabs>
        <w:suppressAutoHyphens/>
        <w:ind w:left="180"/>
      </w:pPr>
    </w:p>
    <w:p w14:paraId="56E894A5" w14:textId="77777777" w:rsidR="00451173" w:rsidRDefault="00451173" w:rsidP="00451173">
      <w:pPr>
        <w:tabs>
          <w:tab w:val="left" w:pos="-720"/>
        </w:tabs>
        <w:suppressAutoHyphens/>
        <w:ind w:left="180"/>
      </w:pPr>
    </w:p>
    <w:p w14:paraId="339B7514" w14:textId="77777777" w:rsidR="00451173" w:rsidRDefault="00451173" w:rsidP="00451173">
      <w:pPr>
        <w:tabs>
          <w:tab w:val="left" w:pos="-720"/>
        </w:tabs>
        <w:suppressAutoHyphens/>
        <w:ind w:left="180"/>
      </w:pPr>
    </w:p>
    <w:p w14:paraId="6DE752C2" w14:textId="77777777" w:rsidR="00451173" w:rsidRPr="009E3043" w:rsidRDefault="00451173" w:rsidP="00451173">
      <w:pPr>
        <w:autoSpaceDE w:val="0"/>
        <w:autoSpaceDN w:val="0"/>
        <w:adjustRightInd w:val="0"/>
        <w:rPr>
          <w:rFonts w:ascii="Arial" w:hAnsi="Arial" w:cs="Arial"/>
        </w:rPr>
      </w:pPr>
      <w:r>
        <w:t xml:space="preserve">From Figure 1. </w:t>
      </w:r>
      <w:proofErr w:type="spellStart"/>
      <w:smartTag w:uri="urn:schemas-microsoft-com:office:smarttags" w:element="place">
        <w:smartTag w:uri="urn:schemas-microsoft-com:office:smarttags" w:element="City">
          <w:r>
            <w:rPr>
              <w:rFonts w:ascii="Arial" w:hAnsi="Arial" w:cs="Arial"/>
            </w:rPr>
            <w:t>Beiser</w:t>
          </w:r>
        </w:smartTag>
        <w:proofErr w:type="spellEnd"/>
        <w:r>
          <w:rPr>
            <w:rFonts w:ascii="Arial" w:hAnsi="Arial" w:cs="Arial"/>
          </w:rPr>
          <w:t xml:space="preserve"> </w:t>
        </w:r>
        <w:smartTag w:uri="urn:schemas-microsoft-com:office:smarttags" w:element="State">
          <w:r>
            <w:rPr>
              <w:rFonts w:ascii="Arial" w:hAnsi="Arial" w:cs="Arial"/>
            </w:rPr>
            <w:t>AS</w:t>
          </w:r>
        </w:smartTag>
      </w:smartTag>
      <w:r>
        <w:rPr>
          <w:rFonts w:ascii="Arial" w:hAnsi="Arial" w:cs="Arial"/>
        </w:rPr>
        <w:t xml:space="preserve">, et al.  Am J </w:t>
      </w:r>
      <w:proofErr w:type="spellStart"/>
      <w:r>
        <w:rPr>
          <w:rFonts w:ascii="Arial" w:hAnsi="Arial" w:cs="Arial"/>
        </w:rPr>
        <w:t>Cardiol</w:t>
      </w:r>
      <w:proofErr w:type="spellEnd"/>
      <w:r>
        <w:rPr>
          <w:rFonts w:ascii="Arial" w:hAnsi="Arial" w:cs="Arial"/>
        </w:rPr>
        <w:t xml:space="preserve">. 1998 May 1;81(9):1116-20. </w:t>
      </w:r>
      <w:r w:rsidRPr="002A4FD1">
        <w:rPr>
          <w:rFonts w:ascii="Arial" w:hAnsi="Arial" w:cs="Arial"/>
          <w:b/>
          <w:i/>
        </w:rPr>
        <w:t>Need Permission</w:t>
      </w:r>
      <w:r>
        <w:rPr>
          <w:rFonts w:ascii="Arial" w:hAnsi="Arial" w:cs="Arial"/>
        </w:rPr>
        <w:t>.  Neutrophils (also known as polymorphonuclear leukocytes) are one kind of white blood cell.  Bands are immature neutrophils.  “Neutrophils &lt; 0.5” means that, based on the white blood cell count differential, less than 50% of the white cells are neutrophils.  “Bands/neutrophils &lt; .5” means that, of all the neutrophils, fewer than 50% are bands.</w:t>
      </w:r>
    </w:p>
    <w:p w14:paraId="5E5EDC27" w14:textId="77777777" w:rsidR="00451173" w:rsidRDefault="00451173" w:rsidP="00451173">
      <w:pPr>
        <w:tabs>
          <w:tab w:val="left" w:pos="-720"/>
        </w:tabs>
        <w:suppressAutoHyphens/>
        <w:ind w:left="180"/>
      </w:pPr>
    </w:p>
    <w:p w14:paraId="7830B1C9" w14:textId="77777777" w:rsidR="00451173" w:rsidRDefault="00451173" w:rsidP="00451173">
      <w:pPr>
        <w:tabs>
          <w:tab w:val="left" w:pos="-720"/>
        </w:tabs>
        <w:suppressAutoHyphens/>
        <w:ind w:left="180"/>
      </w:pPr>
    </w:p>
    <w:p w14:paraId="7F216241" w14:textId="77777777" w:rsidR="00451173" w:rsidRDefault="00451173" w:rsidP="00451173">
      <w:pPr>
        <w:tabs>
          <w:tab w:val="left" w:pos="-720"/>
        </w:tabs>
        <w:suppressAutoHyphens/>
      </w:pPr>
      <w:r>
        <w:t>a.)  What type of analysis do you think the investigators did to come up with this figure?</w:t>
      </w:r>
    </w:p>
    <w:p w14:paraId="3EC349BB" w14:textId="77777777" w:rsidR="00451173" w:rsidRDefault="00451173" w:rsidP="00451173">
      <w:pPr>
        <w:tabs>
          <w:tab w:val="left" w:pos="-720"/>
        </w:tabs>
        <w:suppressAutoHyphens/>
      </w:pPr>
      <w:r>
        <w:br/>
      </w:r>
    </w:p>
    <w:p w14:paraId="64F056FC" w14:textId="77777777" w:rsidR="00451173" w:rsidRDefault="00451173" w:rsidP="00451173">
      <w:pPr>
        <w:tabs>
          <w:tab w:val="left" w:pos="-720"/>
        </w:tabs>
        <w:suppressAutoHyphens/>
      </w:pPr>
      <w:r>
        <w:t>b.)  Assume you are treating a child like those included in the study.  His initial CBC shows a hemoglobin of 11.2 g/</w:t>
      </w:r>
      <w:proofErr w:type="spellStart"/>
      <w:r>
        <w:t>dL</w:t>
      </w:r>
      <w:proofErr w:type="spellEnd"/>
      <w:r>
        <w:t>, 600,000 platelets and 13,000 white blood cells/mm</w:t>
      </w:r>
      <w:r w:rsidRPr="00F2573D">
        <w:rPr>
          <w:vertAlign w:val="superscript"/>
        </w:rPr>
        <w:t>3</w:t>
      </w:r>
      <w:r>
        <w:t>, with 8,000 (61.5%) neutrophils of which 1,000 (1000/8000 = 12.5%) are bands.  On day 2 of the illness his temperature is 38.1</w:t>
      </w:r>
      <w:r>
        <w:sym w:font="Symbol" w:char="F0B0"/>
      </w:r>
      <w:r>
        <w:t xml:space="preserve"> C.  Would you classify him as high- or low- risk ?</w:t>
      </w:r>
      <w:r>
        <w:br/>
      </w:r>
      <w:r>
        <w:tab/>
      </w:r>
      <w:r>
        <w:br/>
      </w:r>
    </w:p>
    <w:p w14:paraId="7345E965" w14:textId="77777777" w:rsidR="00451173" w:rsidRDefault="00451173" w:rsidP="00451173">
      <w:pPr>
        <w:tabs>
          <w:tab w:val="left" w:pos="-720"/>
        </w:tabs>
        <w:suppressAutoHyphens/>
      </w:pPr>
      <w:r>
        <w:t>c.) Now imagine the same patient, only this time he only has 5,000 neutrophils/mm</w:t>
      </w:r>
      <w:r w:rsidRPr="00F2573D">
        <w:rPr>
          <w:vertAlign w:val="superscript"/>
        </w:rPr>
        <w:t>3</w:t>
      </w:r>
      <w:r>
        <w:t>.  He therefore is at low risk regardless of his temperature on day 2.  How does this help you manage your patient?  For example, does this mean you don't need to treat him with IVGG?</w:t>
      </w:r>
      <w:r>
        <w:br/>
      </w:r>
    </w:p>
    <w:p w14:paraId="5C17BE74" w14:textId="77777777" w:rsidR="00451173" w:rsidRDefault="00451173" w:rsidP="00451173">
      <w:pPr>
        <w:tabs>
          <w:tab w:val="left" w:pos="-720"/>
        </w:tabs>
        <w:suppressAutoHyphens/>
      </w:pPr>
      <w:r>
        <w:t>d)</w:t>
      </w:r>
      <w:r>
        <w:tab/>
        <w:t>In a study such as this, it is important that the clinical prediction rule be validated on a group of patients separate from the group used to derive it.  The abstract of the study states:</w:t>
      </w:r>
    </w:p>
    <w:p w14:paraId="15F23E3C" w14:textId="77777777" w:rsidR="00451173" w:rsidRDefault="00451173" w:rsidP="00451173">
      <w:pPr>
        <w:tabs>
          <w:tab w:val="left" w:pos="-720"/>
        </w:tabs>
        <w:suppressAutoHyphens/>
      </w:pPr>
    </w:p>
    <w:p w14:paraId="094A5253" w14:textId="77777777" w:rsidR="00451173" w:rsidRDefault="00451173" w:rsidP="00451173">
      <w:pPr>
        <w:tabs>
          <w:tab w:val="left" w:pos="-720"/>
        </w:tabs>
        <w:suppressAutoHyphens/>
      </w:pPr>
      <w:r>
        <w:t xml:space="preserve"> "</w:t>
      </w:r>
      <w:r>
        <w:rPr>
          <w:rFonts w:ascii="Arial" w:hAnsi="Arial"/>
        </w:rPr>
        <w:t>The instrument was validated in 3 test data sets…[it] performed similarly in the 3 test data sets; no patient in any data set classified as low risk developed coronary artery abnormalities."</w:t>
      </w:r>
      <w:r>
        <w:br/>
      </w:r>
      <w:r>
        <w:br/>
        <w:t>However, the methods section states:</w:t>
      </w:r>
    </w:p>
    <w:p w14:paraId="0344FB6B" w14:textId="77777777" w:rsidR="00451173" w:rsidRDefault="00451173" w:rsidP="00451173">
      <w:pPr>
        <w:tabs>
          <w:tab w:val="left" w:pos="-720"/>
        </w:tabs>
        <w:suppressAutoHyphens/>
      </w:pPr>
    </w:p>
    <w:p w14:paraId="086DF35E" w14:textId="77777777" w:rsidR="00451173" w:rsidRDefault="00451173" w:rsidP="00451173">
      <w:pPr>
        <w:tabs>
          <w:tab w:val="left" w:pos="-720"/>
        </w:tabs>
        <w:suppressAutoHyphens/>
      </w:pPr>
      <w:r>
        <w:rPr>
          <w:rFonts w:ascii="Arial" w:hAnsi="Arial"/>
        </w:rPr>
        <w:t>"We developed many such [sequential classification] processes, each using a different</w:t>
      </w:r>
      <w:r>
        <w:t xml:space="preserve"> </w:t>
      </w:r>
      <w:r>
        <w:rPr>
          <w:rFonts w:ascii="Arial" w:hAnsi="Arial"/>
        </w:rPr>
        <w:t>combination of risk factors…Instruments that performed well on the development data set were validated using each of the 3 test data sets."</w:t>
      </w:r>
    </w:p>
    <w:p w14:paraId="7D1E192A" w14:textId="77777777" w:rsidR="00451173" w:rsidRDefault="00451173" w:rsidP="00451173">
      <w:pPr>
        <w:tabs>
          <w:tab w:val="left" w:pos="-720"/>
        </w:tabs>
        <w:suppressAutoHyphens/>
      </w:pPr>
    </w:p>
    <w:p w14:paraId="06B8640D" w14:textId="77777777" w:rsidR="00451173" w:rsidRDefault="00451173" w:rsidP="00451173">
      <w:pPr>
        <w:tabs>
          <w:tab w:val="left" w:pos="-720"/>
        </w:tabs>
        <w:suppressAutoHyphens/>
      </w:pPr>
      <w:r>
        <w:t>Is there a problem here?  If so, what is it and how would it affect the results?</w:t>
      </w:r>
    </w:p>
    <w:p w14:paraId="6AE2FE64" w14:textId="77777777" w:rsidR="00451173" w:rsidRDefault="00451173" w:rsidP="00451173">
      <w:pPr>
        <w:tabs>
          <w:tab w:val="left" w:pos="-720"/>
        </w:tabs>
        <w:suppressAutoHyphens/>
      </w:pPr>
    </w:p>
    <w:p w14:paraId="214640F6" w14:textId="77777777" w:rsidR="00451173" w:rsidRDefault="00451173" w:rsidP="00451173"/>
    <w:p w14:paraId="010972E1" w14:textId="212FD703" w:rsidR="00EF62C3" w:rsidRDefault="00EF62C3">
      <w:pPr>
        <w:rPr>
          <w:rFonts w:ascii="Arial" w:hAnsi="Arial" w:cs="Arial"/>
          <w:b/>
          <w:color w:val="000000"/>
          <w:sz w:val="22"/>
          <w:szCs w:val="20"/>
        </w:rPr>
      </w:pPr>
      <w:r>
        <w:rPr>
          <w:rFonts w:ascii="Arial" w:hAnsi="Arial" w:cs="Arial"/>
          <w:b/>
          <w:color w:val="000000"/>
          <w:sz w:val="22"/>
        </w:rPr>
        <w:br w:type="page"/>
      </w:r>
    </w:p>
    <w:p w14:paraId="35320906" w14:textId="77777777" w:rsidR="00FA2A06" w:rsidRPr="00270AD9" w:rsidRDefault="00FA2A06" w:rsidP="00FA2A06">
      <w:pPr>
        <w:ind w:left="360"/>
        <w:rPr>
          <w:b/>
        </w:rPr>
      </w:pPr>
      <w:r>
        <w:rPr>
          <w:b/>
        </w:rPr>
        <w:lastRenderedPageBreak/>
        <w:t xml:space="preserve">Ch07.06.Q  </w:t>
      </w:r>
      <w:proofErr w:type="spellStart"/>
      <w:r w:rsidRPr="00270AD9">
        <w:rPr>
          <w:b/>
        </w:rPr>
        <w:t>McIsaac</w:t>
      </w:r>
      <w:proofErr w:type="spellEnd"/>
      <w:r w:rsidRPr="00270AD9">
        <w:rPr>
          <w:b/>
        </w:rPr>
        <w:t xml:space="preserve"> Score and Rapid Antigen Detection Test</w:t>
      </w:r>
    </w:p>
    <w:p w14:paraId="5B910398" w14:textId="77777777" w:rsidR="00FA2A06" w:rsidRDefault="00FA2A06" w:rsidP="00FA2A06">
      <w:pPr>
        <w:ind w:left="360"/>
      </w:pPr>
    </w:p>
    <w:p w14:paraId="6543C4F2" w14:textId="5C399E48" w:rsidR="00FA2A06" w:rsidRDefault="00FA2A06" w:rsidP="00FA2A06">
      <w:pPr>
        <w:ind w:left="360"/>
      </w:pPr>
      <w:proofErr w:type="spellStart"/>
      <w:r>
        <w:t>Tanz</w:t>
      </w:r>
      <w:proofErr w:type="spellEnd"/>
      <w:r>
        <w:t xml:space="preserve"> et al.,</w:t>
      </w:r>
      <w:r>
        <w:fldChar w:fldCharType="begin">
          <w:fldData xml:space="preserve">PEVuZE5vdGU+PENpdGU+PEF1dGhvcj5UYW56PC9BdXRob3I+PFllYXI+MjAwOTwvWWVhcj48UmVj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</w:fldData>
        </w:fldChar>
      </w:r>
      <w:r w:rsidR="00E14E7D">
        <w:instrText xml:space="preserve"> ADDIN EN.CITE </w:instrText>
      </w:r>
      <w:r w:rsidR="00E14E7D">
        <w:fldChar w:fldCharType="begin">
          <w:fldData xml:space="preserve">PEVuZE5vdGU+PENpdGU+PEF1dGhvcj5UYW56PC9BdXRob3I+PFllYXI+MjAwOTwvWWVhcj48UmVj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</w:fldData>
        </w:fldChar>
      </w:r>
      <w:r w:rsidR="00E14E7D">
        <w:instrText xml:space="preserve"> ADDIN EN.CITE.DATA </w:instrText>
      </w:r>
      <w:r w:rsidR="00E14E7D">
        <w:fldChar w:fldCharType="end"/>
      </w:r>
      <w:r>
        <w:fldChar w:fldCharType="separate"/>
      </w:r>
      <w:r w:rsidR="00E14E7D">
        <w:rPr>
          <w:noProof/>
        </w:rPr>
        <w:t>(</w:t>
      </w:r>
      <w:hyperlink w:anchor="_ENREF_3" w:tooltip="Tanz, 2009 #1051" w:history="1">
        <w:r w:rsidR="00E14E7D">
          <w:rPr>
            <w:noProof/>
          </w:rPr>
          <w:t>Tanz, Gerber et al. 2009</w:t>
        </w:r>
      </w:hyperlink>
      <w:r w:rsidR="00E14E7D">
        <w:rPr>
          <w:noProof/>
        </w:rPr>
        <w:t>)</w:t>
      </w:r>
      <w:r>
        <w:fldChar w:fldCharType="end"/>
      </w:r>
      <w:r>
        <w:t xml:space="preserve"> studied the sensitivity and specificity of the rapid antigen detection test for group A strep in </w:t>
      </w:r>
      <w:r w:rsidRPr="006E5BFD">
        <w:t xml:space="preserve">1848 children 3 to 18 years of age who were evaluated for acute pharyngitis; a laboratory throat culture was the "gold standard." </w:t>
      </w:r>
      <w:r>
        <w:t>They found that the sensitivity of the rapid antigen test</w:t>
      </w:r>
      <w:r w:rsidRPr="006E5BFD">
        <w:t xml:space="preserve"> </w:t>
      </w:r>
      <w:r>
        <w:t xml:space="preserve">depended on the prior probability of strep throat, which was estimated using the Mc Isaac Score.  The </w:t>
      </w:r>
      <w:proofErr w:type="spellStart"/>
      <w:r>
        <w:t>McIssac</w:t>
      </w:r>
      <w:proofErr w:type="spellEnd"/>
      <w:r>
        <w:t xml:space="preserve"> Score gives 1 point for each of the following items (range of scores 0 to 5):</w:t>
      </w:r>
    </w:p>
    <w:p w14:paraId="73E752E0" w14:textId="77777777" w:rsidR="00FA2A06" w:rsidRDefault="00FA2A06" w:rsidP="00FA2A06">
      <w:pPr>
        <w:ind w:left="360"/>
      </w:pPr>
    </w:p>
    <w:p w14:paraId="0C6348D9" w14:textId="77777777" w:rsidR="00FA2A06" w:rsidRDefault="00FA2A06" w:rsidP="00FA2A06">
      <w:pPr>
        <w:numPr>
          <w:ilvl w:val="0"/>
          <w:numId w:val="34"/>
        </w:numPr>
      </w:pPr>
      <w:r>
        <w:t>history of temperature of &gt;38°C</w:t>
      </w:r>
    </w:p>
    <w:p w14:paraId="57EE6ED8" w14:textId="77777777" w:rsidR="00FA2A06" w:rsidRDefault="00FA2A06" w:rsidP="00FA2A06">
      <w:pPr>
        <w:numPr>
          <w:ilvl w:val="0"/>
          <w:numId w:val="34"/>
        </w:numPr>
      </w:pPr>
      <w:r>
        <w:t>absence of cough</w:t>
      </w:r>
    </w:p>
    <w:p w14:paraId="711F2F47" w14:textId="77777777" w:rsidR="00FA2A06" w:rsidRDefault="00FA2A06" w:rsidP="00FA2A06">
      <w:pPr>
        <w:numPr>
          <w:ilvl w:val="0"/>
          <w:numId w:val="34"/>
        </w:numPr>
      </w:pPr>
      <w:r>
        <w:t>tender anterior cervical lymph nodes</w:t>
      </w:r>
    </w:p>
    <w:p w14:paraId="5465BCB0" w14:textId="77777777" w:rsidR="00FA2A06" w:rsidRDefault="00FA2A06" w:rsidP="00FA2A06">
      <w:pPr>
        <w:numPr>
          <w:ilvl w:val="0"/>
          <w:numId w:val="34"/>
        </w:numPr>
      </w:pPr>
      <w:r>
        <w:t>tonsillar</w:t>
      </w:r>
      <w:r>
        <w:rPr>
          <w:vertAlign w:val="superscript"/>
        </w:rPr>
        <w:t xml:space="preserve"> </w:t>
      </w:r>
      <w:r>
        <w:t>swelling or exudates</w:t>
      </w:r>
    </w:p>
    <w:p w14:paraId="5E049C8E" w14:textId="77777777" w:rsidR="00FA2A06" w:rsidRDefault="00FA2A06" w:rsidP="00FA2A06">
      <w:pPr>
        <w:numPr>
          <w:ilvl w:val="0"/>
          <w:numId w:val="34"/>
        </w:numPr>
      </w:pPr>
      <w:r>
        <w:t>age of &lt;15 years</w:t>
      </w:r>
      <w:r>
        <w:br/>
      </w:r>
    </w:p>
    <w:p w14:paraId="71F6CDA6" w14:textId="77777777" w:rsidR="00FA2A06" w:rsidRDefault="00FA2A06" w:rsidP="00FA2A06">
      <w:pPr>
        <w:numPr>
          <w:ilvl w:val="0"/>
          <w:numId w:val="33"/>
        </w:numPr>
        <w:ind w:left="360"/>
      </w:pPr>
      <w:r>
        <w:t xml:space="preserve">For this part, ignore the rapid antigen test and consider the </w:t>
      </w:r>
      <w:proofErr w:type="spellStart"/>
      <w:r>
        <w:t>McIssac</w:t>
      </w:r>
      <w:proofErr w:type="spellEnd"/>
      <w:r>
        <w:t xml:space="preserve"> Score as a single test for strep (as determined by the gold standard throat culture).  </w:t>
      </w:r>
      <w:r w:rsidRPr="006E5BFD">
        <w:t xml:space="preserve">If clinicians used some of the same items </w:t>
      </w:r>
      <w:r>
        <w:t xml:space="preserve">listed above </w:t>
      </w:r>
      <w:r w:rsidRPr="006E5BFD">
        <w:t xml:space="preserve">to decide which children to enroll in the study, what bias would this cause, and how would it affect the apparent sensitivity and specificity of a </w:t>
      </w:r>
      <w:proofErr w:type="spellStart"/>
      <w:r w:rsidRPr="006E5BFD">
        <w:t>McIsaac</w:t>
      </w:r>
      <w:proofErr w:type="spellEnd"/>
      <w:r w:rsidRPr="006E5BFD">
        <w:t xml:space="preserve"> score ≥ 3 as a test for strep throat?</w:t>
      </w:r>
      <w:r>
        <w:t xml:space="preserve"> </w:t>
      </w:r>
    </w:p>
    <w:p w14:paraId="243C3FE2" w14:textId="77777777" w:rsidR="00FA2A06" w:rsidRPr="0060093B" w:rsidRDefault="00FA2A06" w:rsidP="00FA2A06">
      <w:pPr>
        <w:ind w:left="360"/>
      </w:pPr>
      <w:r>
        <w:br/>
      </w:r>
    </w:p>
    <w:p w14:paraId="366B8E34" w14:textId="77777777" w:rsidR="00FA2A06" w:rsidRDefault="00FA2A06" w:rsidP="00FA2A06">
      <w:pPr>
        <w:ind w:left="720"/>
        <w:rPr>
          <w:b/>
          <w:i/>
        </w:rPr>
      </w:pPr>
    </w:p>
    <w:p w14:paraId="573B3735" w14:textId="77777777" w:rsidR="00FA2A06" w:rsidRDefault="00FA2A06" w:rsidP="00FA2A06">
      <w:pPr>
        <w:ind w:left="360"/>
      </w:pPr>
      <w:r>
        <w:t xml:space="preserve">Recall that the study showed that the sensitivity and specificity of the rapid antigen detection test varied with the prior probability of strep.  In other words, the sensitivity and specificity were different depending on the </w:t>
      </w:r>
      <w:proofErr w:type="spellStart"/>
      <w:r>
        <w:t>McIsaac</w:t>
      </w:r>
      <w:proofErr w:type="spellEnd"/>
      <w:r>
        <w:t xml:space="preserve"> clinical symptom score.  </w:t>
      </w:r>
    </w:p>
    <w:p w14:paraId="15C1CFB0" w14:textId="77777777" w:rsidR="00FA2A06" w:rsidRDefault="00FA2A06" w:rsidP="00FA2A06">
      <w:pPr>
        <w:ind w:left="360"/>
      </w:pPr>
    </w:p>
    <w:p w14:paraId="474947D6" w14:textId="77777777" w:rsidR="00FA2A06" w:rsidRDefault="00FA2A06" w:rsidP="00FA2A06">
      <w:pPr>
        <w:numPr>
          <w:ilvl w:val="0"/>
          <w:numId w:val="33"/>
        </w:numPr>
        <w:tabs>
          <w:tab w:val="clear" w:pos="720"/>
          <w:tab w:val="num" w:pos="360"/>
        </w:tabs>
        <w:ind w:left="360"/>
      </w:pPr>
      <w:r>
        <w:t xml:space="preserve">Using terminology from EBD-2 Chapter 7 on combining tests, how can we describe the relationship between the </w:t>
      </w:r>
      <w:proofErr w:type="spellStart"/>
      <w:r>
        <w:t>McIsaac</w:t>
      </w:r>
      <w:proofErr w:type="spellEnd"/>
      <w:r>
        <w:t xml:space="preserve"> Score and the rapid antigen detection test?</w:t>
      </w:r>
    </w:p>
    <w:p w14:paraId="6155BFB9" w14:textId="77777777" w:rsidR="00FA2A06" w:rsidRDefault="00FA2A06" w:rsidP="00FA2A06">
      <w:pPr>
        <w:ind w:left="360"/>
      </w:pPr>
      <w:r>
        <w:br/>
      </w:r>
    </w:p>
    <w:p w14:paraId="31A8F406" w14:textId="77777777" w:rsidR="00FA2A06" w:rsidRDefault="00FA2A06" w:rsidP="00FA2A06">
      <w:pPr>
        <w:numPr>
          <w:ilvl w:val="0"/>
          <w:numId w:val="33"/>
        </w:numPr>
        <w:ind w:left="360"/>
      </w:pPr>
      <w:r>
        <w:t xml:space="preserve">Table 5 from that paper is reprinted below.  The text says: "Table 5 shows that </w:t>
      </w:r>
      <w:proofErr w:type="spellStart"/>
      <w:r>
        <w:t>McIsaac</w:t>
      </w:r>
      <w:proofErr w:type="spellEnd"/>
      <w:r>
        <w:t xml:space="preserve"> scores &gt;2 were significantly associated with positive results for each diagnostic test.  No other information about the odds ratios in Table 5 is included.  </w:t>
      </w:r>
    </w:p>
    <w:tbl>
      <w:tblPr>
        <w:tblpPr w:leftFromText="180" w:rightFromText="180" w:vertAnchor="text" w:horzAnchor="margin" w:tblpY="74"/>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44"/>
      </w:tblGrid>
      <w:tr w:rsidR="00FA2A06" w:rsidRPr="002B47C9" w14:paraId="3EAB6D40" w14:textId="77777777" w:rsidTr="002C12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A65F86" w14:textId="77777777" w:rsidR="00FA2A06" w:rsidRPr="002B47C9" w:rsidRDefault="00FA2A06" w:rsidP="002C12C5">
            <w:pPr>
              <w:rPr>
                <w:rFonts w:ascii="Arial" w:hAnsi="Arial" w:cs="Arial"/>
              </w:rPr>
            </w:pPr>
          </w:p>
        </w:tc>
      </w:tr>
    </w:tbl>
    <w:p w14:paraId="518AF45C" w14:textId="77777777" w:rsidR="00FA2A06" w:rsidRPr="002B47C9" w:rsidRDefault="00FA2A06" w:rsidP="00FA2A06">
      <w:pPr>
        <w:rPr>
          <w:rFonts w:ascii="Arial" w:hAnsi="Arial" w:cs="Arial"/>
        </w:rPr>
      </w:pPr>
      <w:r w:rsidRPr="002B47C9">
        <w:rPr>
          <w:rFonts w:ascii="Arial" w:hAnsi="Arial" w:cs="Arial"/>
          <w:b/>
          <w:bCs/>
        </w:rPr>
        <w:t>TABLE 5</w:t>
      </w:r>
      <w:r w:rsidRPr="002B47C9">
        <w:rPr>
          <w:rFonts w:ascii="Arial" w:hAnsi="Arial" w:cs="Arial"/>
        </w:rPr>
        <w:t xml:space="preserve"> Odds Ratios for Positive Diagnostic Test Results With </w:t>
      </w:r>
      <w:proofErr w:type="spellStart"/>
      <w:r w:rsidRPr="002B47C9">
        <w:rPr>
          <w:rFonts w:ascii="Arial" w:hAnsi="Arial" w:cs="Arial"/>
        </w:rPr>
        <w:t>McIsaac</w:t>
      </w:r>
      <w:proofErr w:type="spellEnd"/>
      <w:r w:rsidRPr="002B47C9">
        <w:rPr>
          <w:rFonts w:ascii="Arial" w:hAnsi="Arial" w:cs="Arial"/>
        </w:rPr>
        <w:t xml:space="preserve"> Scores of &gt;2</w:t>
      </w:r>
    </w:p>
    <w:tbl>
      <w:tblPr>
        <w:tblpPr w:leftFromText="180" w:rightFromText="180" w:vertAnchor="text" w:horzAnchor="margin" w:tblpY="459"/>
        <w:tblOverlap w:val="never"/>
        <w:tblW w:w="4832" w:type="pct"/>
        <w:tblCellSpacing w:w="75" w:type="dxa"/>
        <w:tblCellMar>
          <w:left w:w="0" w:type="dxa"/>
          <w:right w:w="0" w:type="dxa"/>
        </w:tblCellMar>
        <w:tblLook w:val="0000" w:firstRow="0" w:lastRow="0" w:firstColumn="0" w:lastColumn="0" w:noHBand="0" w:noVBand="0"/>
      </w:tblPr>
      <w:tblGrid>
        <w:gridCol w:w="3783"/>
        <w:gridCol w:w="3985"/>
        <w:gridCol w:w="1278"/>
      </w:tblGrid>
      <w:tr w:rsidR="00FA2A06" w:rsidRPr="002B47C9" w14:paraId="1812D378" w14:textId="77777777" w:rsidTr="002C12C5">
        <w:trPr>
          <w:tblCellSpacing w:w="75" w:type="dxa"/>
        </w:trPr>
        <w:tc>
          <w:tcPr>
            <w:tcW w:w="0" w:type="auto"/>
            <w:vAlign w:val="bottom"/>
          </w:tcPr>
          <w:p w14:paraId="5ACD4B88" w14:textId="77777777" w:rsidR="00FA2A06" w:rsidRPr="002B47C9" w:rsidRDefault="00FA2A06" w:rsidP="002C12C5">
            <w:pPr>
              <w:jc w:val="center"/>
              <w:rPr>
                <w:rFonts w:ascii="Arial" w:hAnsi="Arial" w:cs="Arial"/>
              </w:rPr>
            </w:pPr>
            <w:r w:rsidRPr="002B47C9">
              <w:rPr>
                <w:rFonts w:ascii="Arial" w:hAnsi="Arial" w:cs="Arial"/>
              </w:rPr>
              <w:t>Test</w:t>
            </w:r>
          </w:p>
        </w:tc>
        <w:tc>
          <w:tcPr>
            <w:tcW w:w="0" w:type="auto"/>
            <w:vAlign w:val="bottom"/>
          </w:tcPr>
          <w:p w14:paraId="10D77FA5" w14:textId="77777777" w:rsidR="00FA2A06" w:rsidRPr="002B47C9" w:rsidRDefault="00FA2A06" w:rsidP="002C12C5">
            <w:pPr>
              <w:jc w:val="center"/>
              <w:rPr>
                <w:rFonts w:ascii="Arial" w:hAnsi="Arial" w:cs="Arial"/>
              </w:rPr>
            </w:pPr>
            <w:r w:rsidRPr="002B47C9">
              <w:rPr>
                <w:rFonts w:ascii="Arial" w:hAnsi="Arial" w:cs="Arial"/>
              </w:rPr>
              <w:t>Odds Ratio (95% CI)</w:t>
            </w:r>
          </w:p>
        </w:tc>
        <w:tc>
          <w:tcPr>
            <w:tcW w:w="0" w:type="auto"/>
            <w:vAlign w:val="bottom"/>
          </w:tcPr>
          <w:p w14:paraId="36488B3F" w14:textId="77777777" w:rsidR="00FA2A06" w:rsidRPr="002B47C9" w:rsidRDefault="00FA2A06" w:rsidP="002C12C5">
            <w:pPr>
              <w:jc w:val="center"/>
              <w:rPr>
                <w:rFonts w:ascii="Arial" w:hAnsi="Arial" w:cs="Arial"/>
              </w:rPr>
            </w:pPr>
            <w:r w:rsidRPr="002B47C9">
              <w:rPr>
                <w:rFonts w:ascii="Arial" w:hAnsi="Arial" w:cs="Arial"/>
              </w:rPr>
              <w:t>P</w:t>
            </w:r>
          </w:p>
        </w:tc>
      </w:tr>
      <w:tr w:rsidR="00FA2A06" w:rsidRPr="002B47C9" w14:paraId="3F0B07B3" w14:textId="77777777" w:rsidTr="002C12C5">
        <w:trPr>
          <w:tblCellSpacing w:w="75" w:type="dxa"/>
        </w:trPr>
        <w:tc>
          <w:tcPr>
            <w:tcW w:w="0" w:type="auto"/>
            <w:gridSpan w:val="3"/>
            <w:vAlign w:val="center"/>
          </w:tcPr>
          <w:p w14:paraId="2547656F" w14:textId="77777777" w:rsidR="00FA2A06" w:rsidRPr="002B47C9" w:rsidRDefault="00E14E7D" w:rsidP="002C12C5">
            <w:pPr>
              <w:rPr>
                <w:rFonts w:ascii="Arial" w:hAnsi="Arial" w:cs="Arial"/>
              </w:rPr>
            </w:pPr>
            <w:r>
              <w:rPr>
                <w:rFonts w:ascii="Arial" w:hAnsi="Arial" w:cs="Arial"/>
              </w:rPr>
              <w:pict w14:anchorId="315F6EFF">
                <v:rect id="_x0000_i1025" style="width:0;height:1.5pt" o:hralign="center" o:hrstd="t" o:hr="t" fillcolor="#aca899" stroked="f"/>
              </w:pict>
            </w:r>
          </w:p>
        </w:tc>
      </w:tr>
      <w:tr w:rsidR="00FA2A06" w:rsidRPr="002B47C9" w14:paraId="4FBB6F7D" w14:textId="77777777" w:rsidTr="002C12C5">
        <w:trPr>
          <w:tblCellSpacing w:w="75" w:type="dxa"/>
        </w:trPr>
        <w:tc>
          <w:tcPr>
            <w:tcW w:w="0" w:type="auto"/>
          </w:tcPr>
          <w:p w14:paraId="25333698" w14:textId="77777777" w:rsidR="00FA2A06" w:rsidRPr="002B47C9" w:rsidRDefault="00FA2A06" w:rsidP="002C12C5">
            <w:pPr>
              <w:rPr>
                <w:rFonts w:ascii="Arial" w:hAnsi="Arial" w:cs="Arial"/>
              </w:rPr>
            </w:pPr>
            <w:r>
              <w:rPr>
                <w:rFonts w:ascii="Arial" w:hAnsi="Arial" w:cs="Arial"/>
              </w:rPr>
              <w:t>Rapid Antigen Teat</w:t>
            </w:r>
          </w:p>
        </w:tc>
        <w:tc>
          <w:tcPr>
            <w:tcW w:w="0" w:type="auto"/>
          </w:tcPr>
          <w:p w14:paraId="38C23385" w14:textId="77777777" w:rsidR="00FA2A06" w:rsidRPr="002B47C9" w:rsidRDefault="00FA2A06" w:rsidP="002C12C5">
            <w:pPr>
              <w:jc w:val="center"/>
              <w:rPr>
                <w:rFonts w:ascii="Arial" w:hAnsi="Arial" w:cs="Arial"/>
              </w:rPr>
            </w:pPr>
            <w:r w:rsidRPr="002B47C9">
              <w:rPr>
                <w:rFonts w:ascii="Arial" w:hAnsi="Arial" w:cs="Arial"/>
              </w:rPr>
              <w:t>3.44 (2.66–4.44)</w:t>
            </w:r>
          </w:p>
        </w:tc>
        <w:tc>
          <w:tcPr>
            <w:tcW w:w="0" w:type="auto"/>
          </w:tcPr>
          <w:p w14:paraId="0D3F480A" w14:textId="77777777" w:rsidR="00FA2A06" w:rsidRPr="002B47C9" w:rsidRDefault="00FA2A06" w:rsidP="002C12C5">
            <w:pPr>
              <w:jc w:val="center"/>
              <w:rPr>
                <w:rFonts w:ascii="Arial" w:hAnsi="Arial" w:cs="Arial"/>
              </w:rPr>
            </w:pPr>
            <w:r w:rsidRPr="002B47C9">
              <w:rPr>
                <w:rFonts w:ascii="Arial" w:hAnsi="Arial" w:cs="Arial"/>
              </w:rPr>
              <w:t>&lt;.001</w:t>
            </w:r>
          </w:p>
        </w:tc>
      </w:tr>
      <w:tr w:rsidR="00FA2A06" w:rsidRPr="002B47C9" w14:paraId="3656C8ED" w14:textId="77777777" w:rsidTr="002C12C5">
        <w:trPr>
          <w:tblCellSpacing w:w="75" w:type="dxa"/>
        </w:trPr>
        <w:tc>
          <w:tcPr>
            <w:tcW w:w="0" w:type="auto"/>
          </w:tcPr>
          <w:p w14:paraId="64B0EFAA" w14:textId="77777777" w:rsidR="00FA2A06" w:rsidRPr="002B47C9" w:rsidRDefault="00FA2A06" w:rsidP="002C12C5">
            <w:pPr>
              <w:rPr>
                <w:rFonts w:ascii="Arial" w:hAnsi="Arial" w:cs="Arial"/>
              </w:rPr>
            </w:pPr>
            <w:r>
              <w:rPr>
                <w:rFonts w:ascii="Arial" w:hAnsi="Arial" w:cs="Arial"/>
              </w:rPr>
              <w:t>Throat Culture</w:t>
            </w:r>
          </w:p>
        </w:tc>
        <w:tc>
          <w:tcPr>
            <w:tcW w:w="0" w:type="auto"/>
          </w:tcPr>
          <w:p w14:paraId="72E7441E" w14:textId="77777777" w:rsidR="00FA2A06" w:rsidRPr="002B47C9" w:rsidRDefault="00FA2A06" w:rsidP="002C12C5">
            <w:pPr>
              <w:jc w:val="center"/>
              <w:rPr>
                <w:rFonts w:ascii="Arial" w:hAnsi="Arial" w:cs="Arial"/>
              </w:rPr>
            </w:pPr>
            <w:r w:rsidRPr="002B47C9">
              <w:rPr>
                <w:rFonts w:ascii="Arial" w:hAnsi="Arial" w:cs="Arial"/>
              </w:rPr>
              <w:t>2.81 (3.20–3.60)</w:t>
            </w:r>
          </w:p>
        </w:tc>
        <w:tc>
          <w:tcPr>
            <w:tcW w:w="0" w:type="auto"/>
          </w:tcPr>
          <w:p w14:paraId="2D2D1A4D" w14:textId="77777777" w:rsidR="00FA2A06" w:rsidRPr="002B47C9" w:rsidRDefault="00FA2A06" w:rsidP="002C12C5">
            <w:pPr>
              <w:jc w:val="center"/>
              <w:rPr>
                <w:rFonts w:ascii="Arial" w:hAnsi="Arial" w:cs="Arial"/>
              </w:rPr>
            </w:pPr>
            <w:r w:rsidRPr="002B47C9">
              <w:rPr>
                <w:rFonts w:ascii="Arial" w:hAnsi="Arial" w:cs="Arial"/>
              </w:rPr>
              <w:t>&lt;.001</w:t>
            </w:r>
          </w:p>
        </w:tc>
      </w:tr>
    </w:tbl>
    <w:p w14:paraId="3A66F47B" w14:textId="77777777" w:rsidR="00FA2A06" w:rsidRDefault="00FA2A06" w:rsidP="00FA2A06">
      <w:pPr>
        <w:ind w:left="1800"/>
      </w:pPr>
    </w:p>
    <w:p w14:paraId="1ABDD7FF" w14:textId="77777777" w:rsidR="00FA2A06" w:rsidRPr="002B47C9" w:rsidRDefault="00FA2A06" w:rsidP="00FA2A06">
      <w:pPr>
        <w:pStyle w:val="NormalWeb"/>
        <w:rPr>
          <w:rFonts w:ascii="Arial" w:hAnsi="Arial" w:cs="Arial"/>
        </w:rPr>
      </w:pPr>
      <w:r w:rsidRPr="002B47C9">
        <w:rPr>
          <w:rFonts w:ascii="Arial" w:hAnsi="Arial" w:cs="Arial"/>
        </w:rPr>
        <w:t>The baseline score level was 0 to 2.</w:t>
      </w:r>
    </w:p>
    <w:p w14:paraId="001405CB" w14:textId="77777777" w:rsidR="00FA2A06" w:rsidRDefault="00FA2A06" w:rsidP="00FA2A06"/>
    <w:p w14:paraId="1B2EDA0C" w14:textId="77777777" w:rsidR="00FA2A06" w:rsidRDefault="00FA2A06" w:rsidP="00FA2A06">
      <w:pPr>
        <w:numPr>
          <w:ilvl w:val="1"/>
          <w:numId w:val="32"/>
        </w:numPr>
      </w:pPr>
      <w:r>
        <w:t>What is being compared in this table?</w:t>
      </w:r>
    </w:p>
    <w:p w14:paraId="6F6FB2A8" w14:textId="77777777" w:rsidR="00FA2A06" w:rsidRDefault="00FA2A06" w:rsidP="00FA2A06">
      <w:pPr>
        <w:ind w:left="1080"/>
      </w:pPr>
    </w:p>
    <w:p w14:paraId="2B25DCA1" w14:textId="77777777" w:rsidR="00FA2A06" w:rsidRDefault="00FA2A06" w:rsidP="00FA2A06">
      <w:pPr>
        <w:ind w:left="1080"/>
      </w:pPr>
    </w:p>
    <w:p w14:paraId="668DE13B" w14:textId="77777777" w:rsidR="00FA2A06" w:rsidRPr="003C0D42" w:rsidRDefault="00FA2A06" w:rsidP="00FA2A06">
      <w:pPr>
        <w:numPr>
          <w:ilvl w:val="1"/>
          <w:numId w:val="32"/>
        </w:numPr>
        <w:rPr>
          <w:i/>
        </w:rPr>
      </w:pPr>
      <w:r>
        <w:t>Look at the point estimates and confidence intervals in the table.  What is the obvious error?</w:t>
      </w:r>
    </w:p>
    <w:p w14:paraId="6C067EFB" w14:textId="77777777" w:rsidR="00FA2A06" w:rsidRPr="003C0D42" w:rsidRDefault="00FA2A06" w:rsidP="00FA2A06">
      <w:pPr>
        <w:ind w:left="1800"/>
        <w:rPr>
          <w:i/>
        </w:rPr>
      </w:pPr>
    </w:p>
    <w:p w14:paraId="50424843" w14:textId="77777777" w:rsidR="00FA2A06" w:rsidRDefault="00FA2A06" w:rsidP="00FA2A06"/>
    <w:p w14:paraId="19DB0D88" w14:textId="77777777" w:rsidR="00FA2A06" w:rsidRDefault="00FA2A06" w:rsidP="00FA2A06">
      <w:pPr>
        <w:numPr>
          <w:ilvl w:val="1"/>
          <w:numId w:val="32"/>
        </w:numPr>
        <w:ind w:left="1080"/>
      </w:pPr>
      <w:r>
        <w:t>T</w:t>
      </w:r>
      <w:r w:rsidRPr="006E5BFD">
        <w:t xml:space="preserve">he term "spectrum bias" is sometimes used to describe non-independence (conditional on disease status) between two tests, where one test is a clinical assessment like the </w:t>
      </w:r>
      <w:proofErr w:type="spellStart"/>
      <w:r w:rsidRPr="006E5BFD">
        <w:t>McIsaac</w:t>
      </w:r>
      <w:proofErr w:type="spellEnd"/>
      <w:r w:rsidRPr="006E5BFD">
        <w:t xml:space="preserve"> score and the other test is a laboratory test like the rapid antigen </w:t>
      </w:r>
      <w:r>
        <w:t>test</w:t>
      </w:r>
      <w:r w:rsidRPr="006E5BFD">
        <w:t>.  Do</w:t>
      </w:r>
      <w:r>
        <w:t xml:space="preserve">es the odds ratio of 3.44 </w:t>
      </w:r>
      <w:r w:rsidRPr="006E5BFD">
        <w:t>provide evide</w:t>
      </w:r>
      <w:r>
        <w:t xml:space="preserve">nce of </w:t>
      </w:r>
      <w:r w:rsidRPr="006E5BFD">
        <w:t>non</w:t>
      </w:r>
      <w:r>
        <w:t>-</w:t>
      </w:r>
      <w:r w:rsidRPr="006E5BFD">
        <w:t>independence</w:t>
      </w:r>
      <w:r>
        <w:t xml:space="preserve"> between the </w:t>
      </w:r>
      <w:proofErr w:type="spellStart"/>
      <w:r>
        <w:t>McIsaac</w:t>
      </w:r>
      <w:proofErr w:type="spellEnd"/>
      <w:r>
        <w:t xml:space="preserve"> Score and the rapid antigen test</w:t>
      </w:r>
      <w:r w:rsidRPr="006E5BFD">
        <w:t xml:space="preserve">? </w:t>
      </w:r>
      <w:r>
        <w:t>(Assume that the odds ratio of 3.44 for the rapid antigen test and the odds ratio of 2.81 for the throat culture are the same, i.e., that the difference is due to chance.)  Explain your answer..</w:t>
      </w:r>
    </w:p>
    <w:p w14:paraId="03A2D00F" w14:textId="77777777" w:rsidR="00FA2A06" w:rsidRDefault="00FA2A06" w:rsidP="00FA2A06">
      <w:pPr>
        <w:ind w:left="1080"/>
      </w:pPr>
    </w:p>
    <w:p w14:paraId="18148507" w14:textId="77777777" w:rsidR="00FA2A06" w:rsidRPr="00575931" w:rsidRDefault="00FA2A06" w:rsidP="00FA2A06">
      <w:pPr>
        <w:rPr>
          <w:b/>
        </w:rPr>
      </w:pPr>
    </w:p>
    <w:p w14:paraId="66400C25" w14:textId="77777777" w:rsidR="00FA2A06" w:rsidRPr="00580900" w:rsidRDefault="00FA2A06" w:rsidP="00FA2A06"/>
    <w:p w14:paraId="421EE6E5" w14:textId="77777777" w:rsidR="00FA2A06" w:rsidRDefault="00FA2A06" w:rsidP="00FA2A06"/>
    <w:p w14:paraId="27E3704E" w14:textId="77777777" w:rsidR="00EF62C3" w:rsidRDefault="00EF62C3" w:rsidP="00EF62C3">
      <w:pPr>
        <w:pStyle w:val="HTMLPreformatted"/>
        <w:jc w:val="center"/>
        <w:rPr>
          <w:rFonts w:ascii="Arial" w:hAnsi="Arial" w:cs="Arial"/>
          <w:b/>
          <w:color w:val="000000"/>
          <w:sz w:val="22"/>
        </w:rPr>
      </w:pPr>
    </w:p>
    <w:p w14:paraId="5C61DCC6" w14:textId="77777777" w:rsidR="00FA2A06" w:rsidRDefault="00FA2A06">
      <w:pPr>
        <w:rPr>
          <w:b/>
        </w:rPr>
      </w:pPr>
      <w:r>
        <w:rPr>
          <w:b/>
        </w:rPr>
        <w:br w:type="page"/>
      </w:r>
    </w:p>
    <w:p w14:paraId="38654554" w14:textId="5EBEE4F1" w:rsidR="00EF62C3" w:rsidRDefault="00EF62C3" w:rsidP="00EF62C3">
      <w:r w:rsidRPr="005638AE">
        <w:rPr>
          <w:b/>
        </w:rPr>
        <w:lastRenderedPageBreak/>
        <w:t>Ch07.09.</w:t>
      </w:r>
      <w:r>
        <w:rPr>
          <w:b/>
        </w:rPr>
        <w:t>Q</w:t>
      </w:r>
      <w:r w:rsidRPr="00EC4255">
        <w:t xml:space="preserve"> </w:t>
      </w:r>
      <w:r>
        <w:t xml:space="preserve"> </w:t>
      </w:r>
      <w:r w:rsidRPr="001125B6">
        <w:rPr>
          <w:b/>
        </w:rPr>
        <w:t>Predicting perineal lacerations</w:t>
      </w:r>
    </w:p>
    <w:p w14:paraId="20217E49" w14:textId="14BDF237" w:rsidR="00EF62C3" w:rsidRPr="00EC4255" w:rsidRDefault="00EF62C3" w:rsidP="00EF62C3">
      <w:r w:rsidRPr="00EC4255">
        <w:t xml:space="preserve">Hamilton et al. </w:t>
      </w:r>
      <w:r>
        <w:fldChar w:fldCharType="begin">
          <w:fldData xml:space="preserve">PEVuZE5vdGU+PENpdGU+PEF1dGhvcj5IYW1pbHRvbjwvQXV0aG9yPjxZZWFyPjIwMTE8L1llYXI+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</w:fldData>
        </w:fldChar>
      </w:r>
      <w:r>
        <w:instrText xml:space="preserve"> ADDIN EN.CITE </w:instrText>
      </w:r>
      <w:r>
        <w:fldChar w:fldCharType="begin">
          <w:fldData xml:space="preserve">PEVuZE5vdGU+PENpdGU+PEF1dGhvcj5IYW1pbHRvbjwvQXV0aG9yPjxZZWFyPjIwMTE8L1llYXI+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</w:fldData>
        </w:fldChar>
      </w:r>
      <w:r>
        <w:instrText xml:space="preserve"> ADDIN EN.CITE.DATA </w:instrText>
      </w:r>
      <w:r>
        <w:fldChar w:fldCharType="end"/>
      </w:r>
      <w:r>
        <w:fldChar w:fldCharType="separate"/>
      </w:r>
      <w:r>
        <w:rPr>
          <w:noProof/>
        </w:rPr>
        <w:t>(</w:t>
      </w:r>
      <w:hyperlink w:anchor="_ENREF_2" w:tooltip="Hamilton, 2011 #1428" w:history="1">
        <w:r w:rsidR="00E14E7D">
          <w:rPr>
            <w:noProof/>
          </w:rPr>
          <w:t>Hamilton, Smith et al. 2011</w:t>
        </w:r>
      </w:hyperlink>
      <w:r>
        <w:rPr>
          <w:noProof/>
        </w:rPr>
        <w:t>)</w:t>
      </w:r>
      <w:r>
        <w:fldChar w:fldCharType="end"/>
      </w:r>
      <w:r>
        <w:t xml:space="preserve"> </w:t>
      </w:r>
      <w:r w:rsidRPr="00EC4255">
        <w:t>studied predictors of third and fourth degr</w:t>
      </w:r>
      <w:r>
        <w:t xml:space="preserve">ee perineal lacerations (TFPL) </w:t>
      </w:r>
      <w:r w:rsidRPr="00EC4255">
        <w:t>among 25,150 women who vaginally delivered term (</w:t>
      </w:r>
      <w:r w:rsidRPr="00EC4255">
        <w:sym w:font="Symbol" w:char="F0B3"/>
      </w:r>
      <w:r w:rsidRPr="00EC4255">
        <w:t xml:space="preserve"> 37 weeks) cephalic presenting singleton births at 4 hospitals in the Baltimore- Washington DC area.   They used 16 possible predictor variables and came up with the chart reprinted below.  The large numbers in each box are estimated probabilities.  Thus, the 3.5% in position A reflects the overall prevalence of TFPL </w:t>
      </w:r>
      <w:r>
        <w:t>just after delivery</w:t>
      </w:r>
      <w:r w:rsidRPr="00EC4255">
        <w:t>.</w:t>
      </w:r>
      <w:r>
        <w:t xml:space="preserve"> </w:t>
      </w:r>
    </w:p>
    <w:p w14:paraId="3FF67708" w14:textId="77777777" w:rsidR="00EF62C3" w:rsidRPr="00EC4255" w:rsidRDefault="00EF62C3" w:rsidP="00EF62C3"/>
    <w:p w14:paraId="6D4156CE" w14:textId="77777777" w:rsidR="00EF62C3" w:rsidRPr="00EC4255" w:rsidRDefault="00EF62C3" w:rsidP="00EF62C3">
      <w:r w:rsidRPr="00EC4255">
        <w:rPr>
          <w:noProof/>
        </w:rPr>
        <w:drawing>
          <wp:inline distT="0" distB="0" distL="0" distR="0" wp14:anchorId="1DBAF43D" wp14:editId="283898F9">
            <wp:extent cx="6290945" cy="2987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0945" cy="2987040"/>
                    </a:xfrm>
                    <a:prstGeom prst="rect">
                      <a:avLst/>
                    </a:prstGeom>
                    <a:noFill/>
                    <a:ln>
                      <a:noFill/>
                    </a:ln>
                  </pic:spPr>
                </pic:pic>
              </a:graphicData>
            </a:graphic>
          </wp:inline>
        </w:drawing>
      </w:r>
    </w:p>
    <w:p w14:paraId="7EAC0210" w14:textId="77777777" w:rsidR="00EF62C3" w:rsidRPr="00EC4255" w:rsidRDefault="00EF62C3" w:rsidP="00EF62C3">
      <w:r>
        <w:t>a.</w:t>
      </w:r>
      <w:r w:rsidRPr="00EC4255">
        <w:t>)</w:t>
      </w:r>
      <w:r w:rsidRPr="00EC4255">
        <w:tab/>
        <w:t>What analytic technique is used</w:t>
      </w:r>
      <w:r>
        <w:t xml:space="preserve"> to generate figures like this?</w:t>
      </w:r>
      <w:r w:rsidRPr="00EC4255">
        <w:br/>
      </w:r>
      <w:r>
        <w:br/>
      </w:r>
      <w:r>
        <w:br/>
        <w:t>b.)</w:t>
      </w:r>
      <w:r w:rsidRPr="00EC4255">
        <w:tab/>
        <w:t xml:space="preserve">What would be your estimate of the risk of a TFPL for a woman similar to those in this study with no episiotomy, no vacuum delivery, no forceps, a BMI of 30 and a 115-minute second stage? </w:t>
      </w:r>
      <w:r w:rsidRPr="00EC4255">
        <w:br/>
      </w:r>
      <w:r>
        <w:rPr>
          <w:b/>
        </w:rPr>
        <w:br/>
      </w:r>
      <w:r>
        <w:br/>
        <w:t xml:space="preserve">c.) </w:t>
      </w:r>
      <w:r w:rsidRPr="00EC4255">
        <w:t xml:space="preserve"> The cutoffs in the figure above (e.g., birth weight </w:t>
      </w:r>
      <w:r w:rsidRPr="00EC4255">
        <w:sym w:font="Symbol" w:char="F0B3"/>
      </w:r>
      <w:r w:rsidRPr="00EC4255">
        <w:t xml:space="preserve"> 3634 g) are no</w:t>
      </w:r>
      <w:r>
        <w:t xml:space="preserve">t round numbers.  Why is this? </w:t>
      </w:r>
      <w:r w:rsidRPr="00EC4255">
        <w:br/>
      </w:r>
    </w:p>
    <w:p w14:paraId="27D808F0" w14:textId="77777777" w:rsidR="00EF62C3" w:rsidRDefault="00EF62C3" w:rsidP="00EF62C3">
      <w:r w:rsidRPr="00EC4255">
        <w:br/>
      </w:r>
    </w:p>
    <w:p w14:paraId="25DBB309" w14:textId="77777777" w:rsidR="00EF62C3" w:rsidRPr="00EC4255" w:rsidRDefault="00EF62C3" w:rsidP="00EF62C3">
      <w:pPr>
        <w:ind w:left="-90"/>
      </w:pPr>
      <w:r w:rsidRPr="00EC4255">
        <w:t>d.)</w:t>
      </w:r>
      <w:r w:rsidRPr="00EC4255">
        <w:tab/>
        <w:t xml:space="preserve">The figure above was developed on the entire dataset of 25,150 births, i.e., there was no separate validation dataset.  If the figure above were applied to a new population of births, how would you expect its performance to differ? </w:t>
      </w:r>
      <w:r>
        <w:br/>
      </w:r>
      <w:r>
        <w:br/>
      </w:r>
      <w:r>
        <w:br/>
      </w:r>
    </w:p>
    <w:p w14:paraId="78701D8F" w14:textId="77777777" w:rsidR="00EF62C3" w:rsidRDefault="00EF62C3" w:rsidP="00EF62C3">
      <w:pPr>
        <w:ind w:left="-90"/>
      </w:pPr>
      <w:r w:rsidRPr="00EC4255">
        <w:lastRenderedPageBreak/>
        <w:t xml:space="preserve">e.) </w:t>
      </w:r>
      <w:r w:rsidRPr="00EC4255">
        <w:tab/>
        <w:t>One possible use of this type of research is to help clinicians who are managing labor to estimate the risk that a woman in labor will develop a TFPL</w:t>
      </w:r>
      <w:r>
        <w:t>, to aid in delivery decisions</w:t>
      </w:r>
      <w:r w:rsidRPr="00EC4255">
        <w:t>.   Why is inclusion of birth weight in several branch points problematic for this?</w:t>
      </w:r>
      <w:r w:rsidRPr="00EC4255">
        <w:tab/>
      </w:r>
    </w:p>
    <w:p w14:paraId="002AE71F" w14:textId="77777777" w:rsidR="00EF62C3" w:rsidRDefault="00EF62C3" w:rsidP="00EF62C3">
      <w:pPr>
        <w:ind w:left="-90"/>
      </w:pPr>
    </w:p>
    <w:p w14:paraId="08F14098" w14:textId="77777777" w:rsidR="00EF62C3" w:rsidRPr="00580900" w:rsidRDefault="00EF62C3" w:rsidP="00EF62C3">
      <w:pPr>
        <w:rPr>
          <w:b/>
        </w:rPr>
      </w:pPr>
    </w:p>
    <w:p w14:paraId="2A47C0C4" w14:textId="77777777" w:rsidR="00EF62C3" w:rsidRPr="00580900" w:rsidRDefault="00EF62C3" w:rsidP="00EF62C3">
      <w:pPr>
        <w:ind w:left="720" w:hanging="720"/>
      </w:pPr>
    </w:p>
    <w:p w14:paraId="454B49D2" w14:textId="77777777" w:rsidR="00E14E7D" w:rsidRDefault="00E14E7D" w:rsidP="001C0915">
      <w:pPr>
        <w:rPr>
          <w:rFonts w:ascii="Arial" w:hAnsi="Arial" w:cs="Arial"/>
          <w:b/>
          <w:color w:val="000000"/>
          <w:sz w:val="22"/>
          <w:szCs w:val="20"/>
        </w:rPr>
      </w:pPr>
    </w:p>
    <w:p w14:paraId="00E60F59" w14:textId="77777777" w:rsidR="00E14E7D" w:rsidRDefault="00E14E7D" w:rsidP="001C0915">
      <w:pPr>
        <w:rPr>
          <w:rFonts w:ascii="Arial" w:hAnsi="Arial" w:cs="Arial"/>
          <w:b/>
          <w:color w:val="000000"/>
          <w:sz w:val="22"/>
          <w:szCs w:val="20"/>
        </w:rPr>
      </w:pPr>
    </w:p>
    <w:p w14:paraId="51327888" w14:textId="77777777" w:rsidR="00E14E7D" w:rsidRPr="00E14E7D" w:rsidRDefault="00E14E7D" w:rsidP="00E14E7D">
      <w:pPr>
        <w:pStyle w:val="EndNoteBibliography"/>
        <w:rPr>
          <w:noProof/>
        </w:rPr>
      </w:pPr>
      <w:r>
        <w:rPr>
          <w:rFonts w:ascii="Arial" w:hAnsi="Arial" w:cs="Arial"/>
          <w:b/>
          <w:color w:val="000000"/>
          <w:sz w:val="22"/>
          <w:szCs w:val="20"/>
        </w:rPr>
        <w:fldChar w:fldCharType="begin"/>
      </w:r>
      <w:r>
        <w:rPr>
          <w:rFonts w:ascii="Arial" w:hAnsi="Arial" w:cs="Arial"/>
          <w:b/>
          <w:color w:val="000000"/>
          <w:sz w:val="22"/>
          <w:szCs w:val="20"/>
        </w:rPr>
        <w:instrText xml:space="preserve"> ADDIN EN.REFLIST </w:instrText>
      </w:r>
      <w:r>
        <w:rPr>
          <w:rFonts w:ascii="Arial" w:hAnsi="Arial" w:cs="Arial"/>
          <w:b/>
          <w:color w:val="000000"/>
          <w:sz w:val="22"/>
          <w:szCs w:val="20"/>
        </w:rPr>
        <w:fldChar w:fldCharType="separate"/>
      </w:r>
      <w:bookmarkStart w:id="1" w:name="_ENREF_1"/>
      <w:r w:rsidRPr="00E14E7D">
        <w:rPr>
          <w:noProof/>
        </w:rPr>
        <w:t xml:space="preserve">Beiser, A. S., M. Takahashi, A. L. Baker, R. P. Sundel and J. W. Newburger (1998). "A predictive instrument for coronary artery aneurysms in Kawasaki disease. US Multicenter Kawasaki Disease Study Group." </w:t>
      </w:r>
      <w:r w:rsidRPr="00E14E7D">
        <w:rPr>
          <w:noProof/>
          <w:u w:val="single"/>
        </w:rPr>
        <w:t>Am J Cardiol</w:t>
      </w:r>
      <w:r w:rsidRPr="00E14E7D">
        <w:rPr>
          <w:noProof/>
        </w:rPr>
        <w:t xml:space="preserve"> </w:t>
      </w:r>
      <w:r w:rsidRPr="00E14E7D">
        <w:rPr>
          <w:b/>
          <w:noProof/>
        </w:rPr>
        <w:t>81</w:t>
      </w:r>
      <w:r w:rsidRPr="00E14E7D">
        <w:rPr>
          <w:noProof/>
        </w:rPr>
        <w:t>(9): 1116-1120.</w:t>
      </w:r>
      <w:bookmarkEnd w:id="1"/>
    </w:p>
    <w:p w14:paraId="0FE960A9" w14:textId="77777777" w:rsidR="00E14E7D" w:rsidRPr="00E14E7D" w:rsidRDefault="00E14E7D" w:rsidP="00E14E7D">
      <w:pPr>
        <w:pStyle w:val="EndNoteBibliography"/>
        <w:rPr>
          <w:noProof/>
        </w:rPr>
      </w:pPr>
      <w:bookmarkStart w:id="2" w:name="_ENREF_2"/>
      <w:r w:rsidRPr="00E14E7D">
        <w:rPr>
          <w:noProof/>
        </w:rPr>
        <w:t xml:space="preserve">Hamilton, E. F., S. Smith, L. Yang, P. Warrick and A. Ciampi (2011). "Third- and fourth-degree perineal lacerations: defining high-risk clinical clusters." </w:t>
      </w:r>
      <w:r w:rsidRPr="00E14E7D">
        <w:rPr>
          <w:noProof/>
          <w:u w:val="single"/>
        </w:rPr>
        <w:t>Am J Obstet Gynecol</w:t>
      </w:r>
      <w:r w:rsidRPr="00E14E7D">
        <w:rPr>
          <w:noProof/>
        </w:rPr>
        <w:t xml:space="preserve"> </w:t>
      </w:r>
      <w:r w:rsidRPr="00E14E7D">
        <w:rPr>
          <w:b/>
          <w:noProof/>
        </w:rPr>
        <w:t>204</w:t>
      </w:r>
      <w:r w:rsidRPr="00E14E7D">
        <w:rPr>
          <w:noProof/>
        </w:rPr>
        <w:t>(4): 309 e301-306.</w:t>
      </w:r>
      <w:bookmarkEnd w:id="2"/>
    </w:p>
    <w:p w14:paraId="440F3F61" w14:textId="77777777" w:rsidR="00E14E7D" w:rsidRPr="00E14E7D" w:rsidRDefault="00E14E7D" w:rsidP="00E14E7D">
      <w:pPr>
        <w:pStyle w:val="EndNoteBibliography"/>
        <w:rPr>
          <w:noProof/>
        </w:rPr>
      </w:pPr>
      <w:bookmarkStart w:id="3" w:name="_ENREF_3"/>
      <w:r w:rsidRPr="00E14E7D">
        <w:rPr>
          <w:noProof/>
        </w:rPr>
        <w:t xml:space="preserve">Tanz, R. R., M. A. Gerber, W. Kabat, J. Rippe, R. Seshadri and S. T. Shulman (2009). "Performance of a rapid antigen-detection test and throat culture in community pediatric offices: implications for management of pharyngitis." </w:t>
      </w:r>
      <w:r w:rsidRPr="00E14E7D">
        <w:rPr>
          <w:noProof/>
          <w:u w:val="single"/>
        </w:rPr>
        <w:t>Pediatrics</w:t>
      </w:r>
      <w:r w:rsidRPr="00E14E7D">
        <w:rPr>
          <w:noProof/>
        </w:rPr>
        <w:t xml:space="preserve"> </w:t>
      </w:r>
      <w:r w:rsidRPr="00E14E7D">
        <w:rPr>
          <w:b/>
          <w:noProof/>
        </w:rPr>
        <w:t>123</w:t>
      </w:r>
      <w:r w:rsidRPr="00E14E7D">
        <w:rPr>
          <w:noProof/>
        </w:rPr>
        <w:t>(2): 437-444.</w:t>
      </w:r>
      <w:bookmarkEnd w:id="3"/>
    </w:p>
    <w:p w14:paraId="72B60AB6" w14:textId="099F6C6D" w:rsidR="00380429" w:rsidRPr="001C0915" w:rsidRDefault="00E14E7D" w:rsidP="001C0915">
      <w:pPr>
        <w:rPr>
          <w:rFonts w:ascii="Arial" w:hAnsi="Arial" w:cs="Arial"/>
          <w:b/>
          <w:color w:val="000000"/>
          <w:sz w:val="22"/>
          <w:szCs w:val="20"/>
        </w:rPr>
      </w:pPr>
      <w:r>
        <w:rPr>
          <w:rFonts w:ascii="Arial" w:hAnsi="Arial" w:cs="Arial"/>
          <w:b/>
          <w:color w:val="000000"/>
          <w:sz w:val="22"/>
          <w:szCs w:val="20"/>
        </w:rPr>
        <w:fldChar w:fldCharType="end"/>
      </w:r>
    </w:p>
    <w:sectPr w:rsidR="00380429" w:rsidRPr="001C0915" w:rsidSect="005A64C2">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609CD" w14:textId="77777777" w:rsidR="005355D7" w:rsidRDefault="005355D7">
      <w:r>
        <w:separator/>
      </w:r>
    </w:p>
  </w:endnote>
  <w:endnote w:type="continuationSeparator" w:id="0">
    <w:p w14:paraId="6EA978EC" w14:textId="77777777" w:rsidR="005355D7" w:rsidRDefault="0053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32FC1" w14:textId="77777777" w:rsidR="005355D7" w:rsidRDefault="005355D7">
      <w:r>
        <w:separator/>
      </w:r>
    </w:p>
  </w:footnote>
  <w:footnote w:type="continuationSeparator" w:id="0">
    <w:p w14:paraId="10560F32" w14:textId="77777777" w:rsidR="005355D7" w:rsidRDefault="005355D7">
      <w:r>
        <w:continuationSeparator/>
      </w:r>
    </w:p>
  </w:footnote>
  <w:footnote w:id="1">
    <w:p w14:paraId="0DCC439A" w14:textId="77777777" w:rsidR="00380429" w:rsidRDefault="00380429" w:rsidP="00380429">
      <w:pPr>
        <w:pStyle w:val="FootnoteText"/>
      </w:pPr>
      <w:r w:rsidRPr="00917184">
        <w:rPr>
          <w:rStyle w:val="FootnoteReference"/>
        </w:rPr>
        <w:footnoteRef/>
      </w:r>
      <w:r w:rsidRPr="00917184">
        <w:t xml:space="preserve"> </w:t>
      </w:r>
      <w:proofErr w:type="spellStart"/>
      <w:r w:rsidRPr="00917184">
        <w:t>Kolata</w:t>
      </w:r>
      <w:proofErr w:type="spellEnd"/>
      <w:r w:rsidRPr="00917184">
        <w:t xml:space="preserve"> G, available at: http://www.nytimes.com/2013/11/18/health/risk-calculator-for-cholesterol-appears-flawed.html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5EC6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14D3E"/>
    <w:multiLevelType w:val="hybridMultilevel"/>
    <w:tmpl w:val="F8767B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407026"/>
    <w:multiLevelType w:val="hybridMultilevel"/>
    <w:tmpl w:val="3EA0F7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5D6E9B"/>
    <w:multiLevelType w:val="hybridMultilevel"/>
    <w:tmpl w:val="9FFAE868"/>
    <w:lvl w:ilvl="0" w:tplc="04090017">
      <w:start w:val="1"/>
      <w:numFmt w:val="lowerLetter"/>
      <w:lvlText w:val="%1)"/>
      <w:lvlJc w:val="left"/>
      <w:pPr>
        <w:tabs>
          <w:tab w:val="num" w:pos="720"/>
        </w:tabs>
        <w:ind w:left="720" w:hanging="360"/>
      </w:pPr>
      <w:rPr>
        <w:rFonts w:hint="default"/>
      </w:rPr>
    </w:lvl>
    <w:lvl w:ilvl="1" w:tplc="5A48F3C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9524C"/>
    <w:multiLevelType w:val="hybridMultilevel"/>
    <w:tmpl w:val="F46EBB04"/>
    <w:lvl w:ilvl="0" w:tplc="36CA31C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B2BC4"/>
    <w:multiLevelType w:val="hybridMultilevel"/>
    <w:tmpl w:val="249826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6B2589"/>
    <w:multiLevelType w:val="hybridMultilevel"/>
    <w:tmpl w:val="DDCEBCDE"/>
    <w:lvl w:ilvl="0" w:tplc="953A7C6C">
      <w:start w:val="2"/>
      <w:numFmt w:val="lowerRoman"/>
      <w:lvlText w:val="%1."/>
      <w:lvlJc w:val="left"/>
      <w:pPr>
        <w:tabs>
          <w:tab w:val="num" w:pos="2940"/>
        </w:tabs>
        <w:ind w:left="2940" w:hanging="15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FA40494"/>
    <w:multiLevelType w:val="hybridMultilevel"/>
    <w:tmpl w:val="530A12F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8450EE"/>
    <w:multiLevelType w:val="hybridMultilevel"/>
    <w:tmpl w:val="DFFC8012"/>
    <w:lvl w:ilvl="0" w:tplc="70D63F9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5697093"/>
    <w:multiLevelType w:val="hybridMultilevel"/>
    <w:tmpl w:val="DCE6F9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E270D"/>
    <w:multiLevelType w:val="hybridMultilevel"/>
    <w:tmpl w:val="A39C4000"/>
    <w:lvl w:ilvl="0" w:tplc="A580A3C6">
      <w:start w:val="1"/>
      <w:numFmt w:val="lowerLetter"/>
      <w:lvlText w:val="%1."/>
      <w:lvlJc w:val="left"/>
      <w:pPr>
        <w:ind w:left="720" w:hanging="360"/>
      </w:pPr>
      <w:rPr>
        <w:rFonts w:ascii="Verdana" w:eastAsia="Cambria" w:hAnsi="Verdana" w:cs="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8587C"/>
    <w:multiLevelType w:val="hybridMultilevel"/>
    <w:tmpl w:val="6DEC6B5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8F6792"/>
    <w:multiLevelType w:val="hybridMultilevel"/>
    <w:tmpl w:val="D8FCE7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7D21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9E526C"/>
    <w:multiLevelType w:val="hybridMultilevel"/>
    <w:tmpl w:val="54FCB3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CE6F43"/>
    <w:multiLevelType w:val="hybridMultilevel"/>
    <w:tmpl w:val="0492C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4096D"/>
    <w:multiLevelType w:val="hybridMultilevel"/>
    <w:tmpl w:val="00365584"/>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E7565D"/>
    <w:multiLevelType w:val="hybridMultilevel"/>
    <w:tmpl w:val="D548A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A37772"/>
    <w:multiLevelType w:val="hybridMultilevel"/>
    <w:tmpl w:val="38B87624"/>
    <w:lvl w:ilvl="0" w:tplc="BC44260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0174F"/>
    <w:multiLevelType w:val="hybridMultilevel"/>
    <w:tmpl w:val="A3C0AD80"/>
    <w:lvl w:ilvl="0" w:tplc="9EF0E2A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DB2FB7"/>
    <w:multiLevelType w:val="hybridMultilevel"/>
    <w:tmpl w:val="6D082F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EDB4D51"/>
    <w:multiLevelType w:val="hybridMultilevel"/>
    <w:tmpl w:val="13424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B53FF"/>
    <w:multiLevelType w:val="hybridMultilevel"/>
    <w:tmpl w:val="BB02CEE2"/>
    <w:lvl w:ilvl="0" w:tplc="69B4ADD2">
      <w:start w:val="7"/>
      <w:numFmt w:val="decimal"/>
      <w:lvlText w:val="%1."/>
      <w:lvlJc w:val="left"/>
      <w:pPr>
        <w:tabs>
          <w:tab w:val="num" w:pos="360"/>
        </w:tabs>
        <w:ind w:left="360" w:hanging="360"/>
      </w:pPr>
      <w:rPr>
        <w:rFonts w:ascii="Times New Roman" w:hAnsi="Times New Roman" w:cs="Times New Roman" w:hint="default"/>
        <w:b/>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61AA0A4D"/>
    <w:multiLevelType w:val="hybridMultilevel"/>
    <w:tmpl w:val="CD40B016"/>
    <w:lvl w:ilvl="0" w:tplc="F13AFC3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AE2238"/>
    <w:multiLevelType w:val="hybridMultilevel"/>
    <w:tmpl w:val="5F1E9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D454F4"/>
    <w:multiLevelType w:val="hybridMultilevel"/>
    <w:tmpl w:val="EB28EA14"/>
    <w:lvl w:ilvl="0" w:tplc="E306F0C2">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7A6573"/>
    <w:multiLevelType w:val="hybridMultilevel"/>
    <w:tmpl w:val="9A6C938C"/>
    <w:lvl w:ilvl="0" w:tplc="F9F2555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F540D8"/>
    <w:multiLevelType w:val="hybridMultilevel"/>
    <w:tmpl w:val="6C741224"/>
    <w:lvl w:ilvl="0" w:tplc="34BEAC32">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210676"/>
    <w:multiLevelType w:val="hybridMultilevel"/>
    <w:tmpl w:val="540CA02C"/>
    <w:lvl w:ilvl="0" w:tplc="0409000F">
      <w:start w:val="1"/>
      <w:numFmt w:val="decimal"/>
      <w:lvlText w:val="%1."/>
      <w:lvlJc w:val="left"/>
      <w:pPr>
        <w:tabs>
          <w:tab w:val="num" w:pos="720"/>
        </w:tabs>
        <w:ind w:left="720" w:hanging="360"/>
      </w:pPr>
      <w:rPr>
        <w:rFonts w:hint="default"/>
      </w:rPr>
    </w:lvl>
    <w:lvl w:ilvl="1" w:tplc="320EB9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7E2B39"/>
    <w:multiLevelType w:val="hybridMultilevel"/>
    <w:tmpl w:val="CCFC9F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112873"/>
    <w:multiLevelType w:val="hybridMultilevel"/>
    <w:tmpl w:val="B1047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4"/>
  </w:num>
  <w:num w:numId="4">
    <w:abstractNumId w:val="7"/>
  </w:num>
  <w:num w:numId="5">
    <w:abstractNumId w:val="8"/>
  </w:num>
  <w:num w:numId="6">
    <w:abstractNumId w:val="5"/>
  </w:num>
  <w:num w:numId="7">
    <w:abstractNumId w:val="27"/>
  </w:num>
  <w:num w:numId="8">
    <w:abstractNumId w:val="3"/>
  </w:num>
  <w:num w:numId="9">
    <w:abstractNumId w:val="21"/>
  </w:num>
  <w:num w:numId="10">
    <w:abstractNumId w:val="26"/>
  </w:num>
  <w:num w:numId="11">
    <w:abstractNumId w:val="24"/>
  </w:num>
  <w:num w:numId="12">
    <w:abstractNumId w:val="28"/>
  </w:num>
  <w:num w:numId="13">
    <w:abstractNumId w:val="32"/>
  </w:num>
  <w:num w:numId="14">
    <w:abstractNumId w:val="6"/>
  </w:num>
  <w:num w:numId="15">
    <w:abstractNumId w:val="22"/>
  </w:num>
  <w:num w:numId="16">
    <w:abstractNumId w:val="9"/>
  </w:num>
  <w:num w:numId="17">
    <w:abstractNumId w:val="15"/>
  </w:num>
  <w:num w:numId="18">
    <w:abstractNumId w:val="30"/>
  </w:num>
  <w:num w:numId="19">
    <w:abstractNumId w:val="0"/>
  </w:num>
  <w:num w:numId="20">
    <w:abstractNumId w:val="23"/>
  </w:num>
  <w:num w:numId="21">
    <w:abstractNumId w:val="33"/>
  </w:num>
  <w:num w:numId="22">
    <w:abstractNumId w:val="18"/>
  </w:num>
  <w:num w:numId="23">
    <w:abstractNumId w:val="2"/>
  </w:num>
  <w:num w:numId="24">
    <w:abstractNumId w:val="12"/>
  </w:num>
  <w:num w:numId="25">
    <w:abstractNumId w:val="29"/>
  </w:num>
  <w:num w:numId="26">
    <w:abstractNumId w:val="11"/>
  </w:num>
  <w:num w:numId="27">
    <w:abstractNumId w:val="1"/>
  </w:num>
  <w:num w:numId="28">
    <w:abstractNumId w:val="10"/>
  </w:num>
  <w:num w:numId="29">
    <w:abstractNumId w:val="16"/>
  </w:num>
  <w:num w:numId="30">
    <w:abstractNumId w:val="20"/>
  </w:num>
  <w:num w:numId="31">
    <w:abstractNumId w:val="25"/>
  </w:num>
  <w:num w:numId="32">
    <w:abstractNumId w:val="31"/>
  </w:num>
  <w:num w:numId="33">
    <w:abstractNumId w:val="1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tvff9p80fp5few5s05f5fw9rd9fefrdzer&quot;&gt;EBD-MAK&lt;record-ids&gt;&lt;item&gt;942&lt;/item&gt;&lt;item&gt;1051&lt;/item&gt;&lt;item&gt;1428&lt;/item&gt;&lt;/record-ids&gt;&lt;/item&gt;&lt;/Libraries&gt;"/>
  </w:docVars>
  <w:rsids>
    <w:rsidRoot w:val="005032C0"/>
    <w:rsid w:val="00013531"/>
    <w:rsid w:val="0001530A"/>
    <w:rsid w:val="00022246"/>
    <w:rsid w:val="00023F4E"/>
    <w:rsid w:val="00040F3B"/>
    <w:rsid w:val="000465F4"/>
    <w:rsid w:val="000603C3"/>
    <w:rsid w:val="00063272"/>
    <w:rsid w:val="000844F1"/>
    <w:rsid w:val="00084E9F"/>
    <w:rsid w:val="000A1648"/>
    <w:rsid w:val="000A5083"/>
    <w:rsid w:val="000A725C"/>
    <w:rsid w:val="000B3672"/>
    <w:rsid w:val="000B71EF"/>
    <w:rsid w:val="000B794C"/>
    <w:rsid w:val="000C0E27"/>
    <w:rsid w:val="001028AB"/>
    <w:rsid w:val="0011171E"/>
    <w:rsid w:val="00166AD7"/>
    <w:rsid w:val="00170F64"/>
    <w:rsid w:val="001860A5"/>
    <w:rsid w:val="00187511"/>
    <w:rsid w:val="001B030C"/>
    <w:rsid w:val="001C0915"/>
    <w:rsid w:val="001C40B2"/>
    <w:rsid w:val="001E5576"/>
    <w:rsid w:val="001F1EAF"/>
    <w:rsid w:val="0020398E"/>
    <w:rsid w:val="0023737E"/>
    <w:rsid w:val="00243A48"/>
    <w:rsid w:val="00244660"/>
    <w:rsid w:val="002540B8"/>
    <w:rsid w:val="00260749"/>
    <w:rsid w:val="002612E0"/>
    <w:rsid w:val="00294D60"/>
    <w:rsid w:val="002A3562"/>
    <w:rsid w:val="002A470C"/>
    <w:rsid w:val="002B6195"/>
    <w:rsid w:val="002F7263"/>
    <w:rsid w:val="003005FA"/>
    <w:rsid w:val="00306A90"/>
    <w:rsid w:val="00313676"/>
    <w:rsid w:val="00326402"/>
    <w:rsid w:val="00326D92"/>
    <w:rsid w:val="003310C0"/>
    <w:rsid w:val="00347977"/>
    <w:rsid w:val="00380429"/>
    <w:rsid w:val="00390006"/>
    <w:rsid w:val="003A1534"/>
    <w:rsid w:val="003B4A90"/>
    <w:rsid w:val="003C3D6C"/>
    <w:rsid w:val="003E124A"/>
    <w:rsid w:val="003F457B"/>
    <w:rsid w:val="00403CCF"/>
    <w:rsid w:val="00406937"/>
    <w:rsid w:val="004125BA"/>
    <w:rsid w:val="004344EA"/>
    <w:rsid w:val="00446149"/>
    <w:rsid w:val="00451173"/>
    <w:rsid w:val="00484A01"/>
    <w:rsid w:val="00496D27"/>
    <w:rsid w:val="004971C2"/>
    <w:rsid w:val="004A7F88"/>
    <w:rsid w:val="004E7086"/>
    <w:rsid w:val="004F0C9A"/>
    <w:rsid w:val="004F16DA"/>
    <w:rsid w:val="005032C0"/>
    <w:rsid w:val="0050686B"/>
    <w:rsid w:val="00520298"/>
    <w:rsid w:val="005355D7"/>
    <w:rsid w:val="00540895"/>
    <w:rsid w:val="00543690"/>
    <w:rsid w:val="0055455B"/>
    <w:rsid w:val="00572FC2"/>
    <w:rsid w:val="005847BE"/>
    <w:rsid w:val="00590B0F"/>
    <w:rsid w:val="005935F6"/>
    <w:rsid w:val="005A2053"/>
    <w:rsid w:val="005A5A28"/>
    <w:rsid w:val="005A64C2"/>
    <w:rsid w:val="005B24A1"/>
    <w:rsid w:val="005E1291"/>
    <w:rsid w:val="005F24A9"/>
    <w:rsid w:val="005F5631"/>
    <w:rsid w:val="005F6C15"/>
    <w:rsid w:val="00604258"/>
    <w:rsid w:val="00605019"/>
    <w:rsid w:val="00611D6D"/>
    <w:rsid w:val="00616A9C"/>
    <w:rsid w:val="00616E64"/>
    <w:rsid w:val="00640C23"/>
    <w:rsid w:val="00655E0D"/>
    <w:rsid w:val="0066798B"/>
    <w:rsid w:val="006908D1"/>
    <w:rsid w:val="0069608C"/>
    <w:rsid w:val="006F0D3C"/>
    <w:rsid w:val="006F29D1"/>
    <w:rsid w:val="00702D13"/>
    <w:rsid w:val="00706C19"/>
    <w:rsid w:val="007145F1"/>
    <w:rsid w:val="007414EE"/>
    <w:rsid w:val="00756A3A"/>
    <w:rsid w:val="00766B21"/>
    <w:rsid w:val="007934CD"/>
    <w:rsid w:val="007A7388"/>
    <w:rsid w:val="007F1FE4"/>
    <w:rsid w:val="00803F56"/>
    <w:rsid w:val="00817C19"/>
    <w:rsid w:val="008308B2"/>
    <w:rsid w:val="00834ABB"/>
    <w:rsid w:val="0084543A"/>
    <w:rsid w:val="0085499F"/>
    <w:rsid w:val="00855CB5"/>
    <w:rsid w:val="00856EC1"/>
    <w:rsid w:val="00864ECB"/>
    <w:rsid w:val="008A3404"/>
    <w:rsid w:val="008A38F8"/>
    <w:rsid w:val="008B7DAE"/>
    <w:rsid w:val="008F0256"/>
    <w:rsid w:val="008F56B0"/>
    <w:rsid w:val="009033CA"/>
    <w:rsid w:val="009146E0"/>
    <w:rsid w:val="00934C1D"/>
    <w:rsid w:val="009438B7"/>
    <w:rsid w:val="00946EFE"/>
    <w:rsid w:val="009645AF"/>
    <w:rsid w:val="00983C8D"/>
    <w:rsid w:val="009A1D5F"/>
    <w:rsid w:val="009B5CB8"/>
    <w:rsid w:val="009C38C3"/>
    <w:rsid w:val="009C657B"/>
    <w:rsid w:val="009F672F"/>
    <w:rsid w:val="00A0530B"/>
    <w:rsid w:val="00A21E34"/>
    <w:rsid w:val="00A22DBB"/>
    <w:rsid w:val="00A3017A"/>
    <w:rsid w:val="00A54F09"/>
    <w:rsid w:val="00A96CEF"/>
    <w:rsid w:val="00AA1D3B"/>
    <w:rsid w:val="00AB3AE2"/>
    <w:rsid w:val="00AB5791"/>
    <w:rsid w:val="00AC11AA"/>
    <w:rsid w:val="00AC781A"/>
    <w:rsid w:val="00AD54D1"/>
    <w:rsid w:val="00AE0EB2"/>
    <w:rsid w:val="00AE5D3C"/>
    <w:rsid w:val="00AF217C"/>
    <w:rsid w:val="00AF6420"/>
    <w:rsid w:val="00B0262F"/>
    <w:rsid w:val="00B13170"/>
    <w:rsid w:val="00B215F8"/>
    <w:rsid w:val="00B35237"/>
    <w:rsid w:val="00B43DF4"/>
    <w:rsid w:val="00B502FC"/>
    <w:rsid w:val="00B539D4"/>
    <w:rsid w:val="00B76238"/>
    <w:rsid w:val="00BB70CF"/>
    <w:rsid w:val="00C30DA3"/>
    <w:rsid w:val="00C57F83"/>
    <w:rsid w:val="00C62A98"/>
    <w:rsid w:val="00C66259"/>
    <w:rsid w:val="00C93DB2"/>
    <w:rsid w:val="00CA6D29"/>
    <w:rsid w:val="00CC6BE4"/>
    <w:rsid w:val="00CD697C"/>
    <w:rsid w:val="00CF0E23"/>
    <w:rsid w:val="00D06704"/>
    <w:rsid w:val="00D13C62"/>
    <w:rsid w:val="00D232FA"/>
    <w:rsid w:val="00D37B79"/>
    <w:rsid w:val="00D46651"/>
    <w:rsid w:val="00D50E1D"/>
    <w:rsid w:val="00D65D2C"/>
    <w:rsid w:val="00D80287"/>
    <w:rsid w:val="00DA1B7D"/>
    <w:rsid w:val="00DB24EB"/>
    <w:rsid w:val="00DC1DD7"/>
    <w:rsid w:val="00DF315C"/>
    <w:rsid w:val="00E00A6F"/>
    <w:rsid w:val="00E14E7D"/>
    <w:rsid w:val="00E353D5"/>
    <w:rsid w:val="00E35A9A"/>
    <w:rsid w:val="00E637E5"/>
    <w:rsid w:val="00EA21B3"/>
    <w:rsid w:val="00ED7D96"/>
    <w:rsid w:val="00EE1CFC"/>
    <w:rsid w:val="00EE61B2"/>
    <w:rsid w:val="00EF62C3"/>
    <w:rsid w:val="00F05930"/>
    <w:rsid w:val="00F14821"/>
    <w:rsid w:val="00F230FF"/>
    <w:rsid w:val="00F35374"/>
    <w:rsid w:val="00F50868"/>
    <w:rsid w:val="00F62DB1"/>
    <w:rsid w:val="00F6426B"/>
    <w:rsid w:val="00F73FFC"/>
    <w:rsid w:val="00F76FAB"/>
    <w:rsid w:val="00F92954"/>
    <w:rsid w:val="00FA2A06"/>
    <w:rsid w:val="00FB6A3B"/>
    <w:rsid w:val="00FD1418"/>
    <w:rsid w:val="00FD5EB8"/>
    <w:rsid w:val="00FF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03F3895E"/>
  <w15:docId w15:val="{60321066-5CB4-4FDB-A103-441CCA01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C0"/>
    <w:rPr>
      <w:rFonts w:ascii="Times New Roman" w:hAnsi="Times New Roman"/>
      <w:sz w:val="24"/>
      <w:szCs w:val="24"/>
    </w:rPr>
  </w:style>
  <w:style w:type="paragraph" w:styleId="Heading1">
    <w:name w:val="heading 1"/>
    <w:basedOn w:val="Normal"/>
    <w:next w:val="Normal"/>
    <w:link w:val="Heading1Char"/>
    <w:qFormat/>
    <w:locked/>
    <w:rsid w:val="00380429"/>
    <w:pPr>
      <w:keepNext/>
      <w:overflowPunct w:val="0"/>
      <w:autoSpaceDE w:val="0"/>
      <w:autoSpaceDN w:val="0"/>
      <w:adjustRightInd w:val="0"/>
      <w:spacing w:before="240" w:after="60"/>
      <w:textAlignment w:val="baseline"/>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0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5032C0"/>
    <w:rPr>
      <w:rFonts w:ascii="Courier New" w:hAnsi="Courier New" w:cs="Courier New"/>
      <w:sz w:val="20"/>
      <w:szCs w:val="20"/>
    </w:rPr>
  </w:style>
  <w:style w:type="paragraph" w:styleId="EndnoteText">
    <w:name w:val="endnote text"/>
    <w:basedOn w:val="Normal"/>
    <w:link w:val="EndnoteTextChar"/>
    <w:semiHidden/>
    <w:rsid w:val="005032C0"/>
    <w:pPr>
      <w:widowControl w:val="0"/>
    </w:pPr>
    <w:rPr>
      <w:rFonts w:ascii="Courier New" w:hAnsi="Courier New" w:cs="Courier New"/>
    </w:rPr>
  </w:style>
  <w:style w:type="character" w:customStyle="1" w:styleId="EndnoteTextChar">
    <w:name w:val="Endnote Text Char"/>
    <w:link w:val="EndnoteText"/>
    <w:semiHidden/>
    <w:locked/>
    <w:rsid w:val="005032C0"/>
    <w:rPr>
      <w:rFonts w:ascii="Courier New" w:hAnsi="Courier New" w:cs="Courier New"/>
      <w:snapToGrid w:val="0"/>
      <w:sz w:val="24"/>
      <w:szCs w:val="24"/>
    </w:rPr>
  </w:style>
  <w:style w:type="paragraph" w:styleId="BalloonText">
    <w:name w:val="Balloon Text"/>
    <w:basedOn w:val="Normal"/>
    <w:link w:val="BalloonTextChar"/>
    <w:semiHidden/>
    <w:rsid w:val="005032C0"/>
    <w:rPr>
      <w:rFonts w:ascii="Tahoma" w:hAnsi="Tahoma" w:cs="Tahoma"/>
      <w:sz w:val="16"/>
      <w:szCs w:val="16"/>
    </w:rPr>
  </w:style>
  <w:style w:type="character" w:customStyle="1" w:styleId="BalloonTextChar">
    <w:name w:val="Balloon Text Char"/>
    <w:link w:val="BalloonText"/>
    <w:semiHidden/>
    <w:locked/>
    <w:rsid w:val="005032C0"/>
    <w:rPr>
      <w:rFonts w:ascii="Tahoma" w:hAnsi="Tahoma" w:cs="Tahoma"/>
      <w:sz w:val="16"/>
      <w:szCs w:val="16"/>
    </w:rPr>
  </w:style>
  <w:style w:type="character" w:styleId="Hyperlink">
    <w:name w:val="Hyperlink"/>
    <w:rsid w:val="007145F1"/>
    <w:rPr>
      <w:color w:val="0000FF"/>
      <w:u w:val="single"/>
    </w:rPr>
  </w:style>
  <w:style w:type="paragraph" w:styleId="FootnoteText">
    <w:name w:val="footnote text"/>
    <w:basedOn w:val="Normal"/>
    <w:link w:val="FootnoteTextChar"/>
    <w:uiPriority w:val="99"/>
    <w:rsid w:val="007145F1"/>
    <w:rPr>
      <w:rFonts w:eastAsia="Times New Roman"/>
      <w:sz w:val="20"/>
      <w:szCs w:val="20"/>
    </w:rPr>
  </w:style>
  <w:style w:type="character" w:styleId="FootnoteReference">
    <w:name w:val="footnote reference"/>
    <w:uiPriority w:val="99"/>
    <w:rsid w:val="007145F1"/>
    <w:rPr>
      <w:vertAlign w:val="superscript"/>
    </w:rPr>
  </w:style>
  <w:style w:type="paragraph" w:styleId="CommentText">
    <w:name w:val="annotation text"/>
    <w:basedOn w:val="Normal"/>
    <w:link w:val="CommentTextChar"/>
    <w:rsid w:val="008A3404"/>
  </w:style>
  <w:style w:type="character" w:customStyle="1" w:styleId="CommentTextChar">
    <w:name w:val="Comment Text Char"/>
    <w:link w:val="CommentText"/>
    <w:rsid w:val="008A3404"/>
    <w:rPr>
      <w:rFonts w:eastAsia="Calibri"/>
      <w:sz w:val="24"/>
      <w:szCs w:val="24"/>
      <w:lang w:val="en-US" w:eastAsia="en-US" w:bidi="ar-SA"/>
    </w:rPr>
  </w:style>
  <w:style w:type="character" w:styleId="Strong">
    <w:name w:val="Strong"/>
    <w:qFormat/>
    <w:locked/>
    <w:rsid w:val="00166AD7"/>
    <w:rPr>
      <w:b/>
      <w:bCs/>
    </w:rPr>
  </w:style>
  <w:style w:type="paragraph" w:styleId="ListParagraph">
    <w:name w:val="List Paragraph"/>
    <w:basedOn w:val="Normal"/>
    <w:uiPriority w:val="34"/>
    <w:qFormat/>
    <w:rsid w:val="00084E9F"/>
    <w:pPr>
      <w:ind w:left="720"/>
      <w:contextualSpacing/>
    </w:pPr>
    <w:rPr>
      <w:rFonts w:eastAsia="Times New Roman"/>
    </w:rPr>
  </w:style>
  <w:style w:type="paragraph" w:styleId="Header">
    <w:name w:val="header"/>
    <w:basedOn w:val="Normal"/>
    <w:link w:val="HeaderChar"/>
    <w:rsid w:val="00CF0E23"/>
    <w:pPr>
      <w:tabs>
        <w:tab w:val="center" w:pos="4320"/>
        <w:tab w:val="right" w:pos="8640"/>
      </w:tabs>
    </w:pPr>
  </w:style>
  <w:style w:type="character" w:customStyle="1" w:styleId="HeaderChar">
    <w:name w:val="Header Char"/>
    <w:basedOn w:val="DefaultParagraphFont"/>
    <w:link w:val="Header"/>
    <w:rsid w:val="00CF0E23"/>
    <w:rPr>
      <w:rFonts w:ascii="Times New Roman" w:hAnsi="Times New Roman"/>
      <w:sz w:val="24"/>
      <w:szCs w:val="24"/>
    </w:rPr>
  </w:style>
  <w:style w:type="paragraph" w:styleId="Footer">
    <w:name w:val="footer"/>
    <w:basedOn w:val="Normal"/>
    <w:link w:val="FooterChar"/>
    <w:rsid w:val="00CF0E23"/>
    <w:pPr>
      <w:tabs>
        <w:tab w:val="center" w:pos="4320"/>
        <w:tab w:val="right" w:pos="8640"/>
      </w:tabs>
    </w:pPr>
  </w:style>
  <w:style w:type="character" w:customStyle="1" w:styleId="FooterChar">
    <w:name w:val="Footer Char"/>
    <w:basedOn w:val="DefaultParagraphFont"/>
    <w:link w:val="Footer"/>
    <w:rsid w:val="00CF0E23"/>
    <w:rPr>
      <w:rFonts w:ascii="Times New Roman" w:hAnsi="Times New Roman"/>
      <w:sz w:val="24"/>
      <w:szCs w:val="24"/>
    </w:rPr>
  </w:style>
  <w:style w:type="paragraph" w:customStyle="1" w:styleId="EndNoteBibliographyTitle">
    <w:name w:val="EndNote Bibliography Title"/>
    <w:basedOn w:val="Normal"/>
    <w:rsid w:val="00022246"/>
    <w:pPr>
      <w:jc w:val="center"/>
    </w:pPr>
  </w:style>
  <w:style w:type="paragraph" w:customStyle="1" w:styleId="EndNoteBibliography">
    <w:name w:val="EndNote Bibliography"/>
    <w:basedOn w:val="Normal"/>
    <w:link w:val="EndNoteBibliographyChar"/>
    <w:rsid w:val="00022246"/>
  </w:style>
  <w:style w:type="paragraph" w:customStyle="1" w:styleId="EndnoteText1">
    <w:name w:val="Endnote Text1"/>
    <w:basedOn w:val="Normal"/>
    <w:rsid w:val="00616E64"/>
    <w:rPr>
      <w:rFonts w:ascii="Courier" w:eastAsia="Times New Roman" w:hAnsi="Courier"/>
      <w:szCs w:val="20"/>
    </w:rPr>
  </w:style>
  <w:style w:type="paragraph" w:styleId="BodyTextIndent2">
    <w:name w:val="Body Text Indent 2"/>
    <w:basedOn w:val="Normal"/>
    <w:link w:val="BodyTextIndent2Char"/>
    <w:rsid w:val="00616E64"/>
    <w:pPr>
      <w:tabs>
        <w:tab w:val="left" w:pos="-1440"/>
        <w:tab w:val="left" w:pos="-720"/>
      </w:tabs>
      <w:ind w:left="720"/>
    </w:pPr>
    <w:rPr>
      <w:rFonts w:ascii="Times" w:eastAsia="Times New Roman" w:hAnsi="Times"/>
      <w:szCs w:val="20"/>
    </w:rPr>
  </w:style>
  <w:style w:type="character" w:customStyle="1" w:styleId="BodyTextIndent2Char">
    <w:name w:val="Body Text Indent 2 Char"/>
    <w:basedOn w:val="DefaultParagraphFont"/>
    <w:link w:val="BodyTextIndent2"/>
    <w:rsid w:val="00616E64"/>
    <w:rPr>
      <w:rFonts w:ascii="Times" w:eastAsia="Times New Roman" w:hAnsi="Times"/>
      <w:sz w:val="24"/>
    </w:rPr>
  </w:style>
  <w:style w:type="paragraph" w:styleId="BodyText3">
    <w:name w:val="Body Text 3"/>
    <w:basedOn w:val="Normal"/>
    <w:link w:val="BodyText3Char"/>
    <w:rsid w:val="00F73FFC"/>
    <w:pPr>
      <w:spacing w:after="120"/>
    </w:pPr>
    <w:rPr>
      <w:sz w:val="16"/>
      <w:szCs w:val="16"/>
    </w:rPr>
  </w:style>
  <w:style w:type="character" w:customStyle="1" w:styleId="BodyText3Char">
    <w:name w:val="Body Text 3 Char"/>
    <w:basedOn w:val="DefaultParagraphFont"/>
    <w:link w:val="BodyText3"/>
    <w:rsid w:val="00F73FFC"/>
    <w:rPr>
      <w:rFonts w:ascii="Times New Roman" w:hAnsi="Times New Roman"/>
      <w:sz w:val="16"/>
      <w:szCs w:val="16"/>
    </w:rPr>
  </w:style>
  <w:style w:type="character" w:customStyle="1" w:styleId="FootnoteTextChar">
    <w:name w:val="Footnote Text Char"/>
    <w:basedOn w:val="DefaultParagraphFont"/>
    <w:link w:val="FootnoteText"/>
    <w:uiPriority w:val="99"/>
    <w:rsid w:val="000C0E27"/>
    <w:rPr>
      <w:rFonts w:ascii="Times New Roman" w:eastAsia="Times New Roman" w:hAnsi="Times New Roman"/>
    </w:rPr>
  </w:style>
  <w:style w:type="character" w:customStyle="1" w:styleId="EndNoteBibliographyChar">
    <w:name w:val="EndNote Bibliography Char"/>
    <w:basedOn w:val="FootnoteTextChar"/>
    <w:link w:val="EndNoteBibliography"/>
    <w:rsid w:val="000C0E27"/>
    <w:rPr>
      <w:rFonts w:ascii="Times New Roman" w:eastAsia="Times New Roman" w:hAnsi="Times New Roman"/>
      <w:sz w:val="24"/>
      <w:szCs w:val="24"/>
    </w:rPr>
  </w:style>
  <w:style w:type="paragraph" w:styleId="NormalWeb">
    <w:name w:val="Normal (Web)"/>
    <w:basedOn w:val="Normal"/>
    <w:unhideWhenUsed/>
    <w:rsid w:val="00655E0D"/>
    <w:rPr>
      <w:rFonts w:eastAsia="Times New Roman"/>
    </w:rPr>
  </w:style>
  <w:style w:type="character" w:customStyle="1" w:styleId="Heading1Char">
    <w:name w:val="Heading 1 Char"/>
    <w:basedOn w:val="DefaultParagraphFont"/>
    <w:link w:val="Heading1"/>
    <w:rsid w:val="00380429"/>
    <w:rPr>
      <w:rFonts w:asciiTheme="majorHAnsi" w:eastAsiaTheme="majorEastAsia" w:hAnsiTheme="majorHAnsi" w:cstheme="majorBidi"/>
      <w:b/>
      <w:bCs/>
      <w:kern w:val="32"/>
      <w:sz w:val="32"/>
      <w:szCs w:val="32"/>
    </w:rPr>
  </w:style>
  <w:style w:type="character" w:customStyle="1" w:styleId="paragraph">
    <w:name w:val="paragraph"/>
    <w:uiPriority w:val="99"/>
    <w:rsid w:val="0038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ealth.nytimes.com/health/guides/nutrition/cholesterol/overview.html?inline=nyt-classifier"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my.americanheart.org/professional/StatementsGuidelines/PreventionGuidelines/Prevention-Guidelines_UCM_457698_SubHomePage.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97805-A29F-43DA-9E22-F9CE2E6B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1570</Words>
  <Characters>10386</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Epi 204 HW 3 Answer Key</vt:lpstr>
    </vt:vector>
  </TitlesOfParts>
  <Company>Department of Veterans Affairs</Company>
  <LinksUpToDate>false</LinksUpToDate>
  <CharactersWithSpaces>11933</CharactersWithSpaces>
  <SharedDoc>false</SharedDoc>
  <HLinks>
    <vt:vector size="12" baseType="variant">
      <vt:variant>
        <vt:i4>4587531</vt:i4>
      </vt:variant>
      <vt:variant>
        <vt:i4>10</vt:i4>
      </vt:variant>
      <vt:variant>
        <vt:i4>0</vt:i4>
      </vt:variant>
      <vt:variant>
        <vt:i4>5</vt:i4>
      </vt:variant>
      <vt:variant>
        <vt:lpwstr/>
      </vt:variant>
      <vt:variant>
        <vt:lpwstr>_ENREF_7</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204 HW 3 Answer Key</dc:title>
  <dc:subject/>
  <dc:creator>Department of Veterans Affairs</dc:creator>
  <cp:keywords/>
  <dc:description/>
  <cp:lastModifiedBy>Michael Kohn</cp:lastModifiedBy>
  <cp:revision>8</cp:revision>
  <dcterms:created xsi:type="dcterms:W3CDTF">2017-10-20T04:20:00Z</dcterms:created>
  <dcterms:modified xsi:type="dcterms:W3CDTF">2017-10-20T04:37:00Z</dcterms:modified>
</cp:coreProperties>
</file>