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87E" w:rsidRDefault="002D487E" w:rsidP="00937E37">
      <w:pPr>
        <w:ind w:right="-180"/>
        <w:rPr>
          <w:rFonts w:ascii="Arial" w:hAnsi="Arial" w:cs="Arial"/>
          <w:b/>
          <w:sz w:val="22"/>
          <w:szCs w:val="22"/>
          <w:lang w:eastAsia="ja-JP"/>
        </w:rPr>
      </w:pPr>
    </w:p>
    <w:p w:rsidR="002D487E" w:rsidRDefault="002D487E" w:rsidP="00937E37">
      <w:pPr>
        <w:ind w:right="-180"/>
        <w:rPr>
          <w:rFonts w:ascii="Arial" w:hAnsi="Arial" w:cs="Arial"/>
          <w:b/>
          <w:sz w:val="22"/>
          <w:szCs w:val="22"/>
          <w:lang w:eastAsia="ja-JP"/>
        </w:rPr>
      </w:pPr>
    </w:p>
    <w:p w:rsidR="00AE3A39" w:rsidRDefault="00AE3A39" w:rsidP="002D487E">
      <w:pPr>
        <w:ind w:right="-180"/>
        <w:jc w:val="center"/>
        <w:rPr>
          <w:rFonts w:ascii="Arial" w:hAnsi="Arial" w:cs="Arial"/>
          <w:b/>
          <w:sz w:val="22"/>
          <w:szCs w:val="22"/>
          <w:lang w:eastAsia="ja-JP"/>
        </w:rPr>
      </w:pPr>
      <w:r>
        <w:rPr>
          <w:rFonts w:ascii="Arial" w:hAnsi="Arial" w:cs="Arial"/>
          <w:b/>
          <w:sz w:val="22"/>
          <w:szCs w:val="22"/>
          <w:lang w:eastAsia="ja-JP"/>
        </w:rPr>
        <w:t>Epi 204</w:t>
      </w:r>
    </w:p>
    <w:p w:rsidR="002D487E" w:rsidRDefault="002D487E" w:rsidP="002D487E">
      <w:pPr>
        <w:ind w:right="-180"/>
        <w:jc w:val="center"/>
        <w:rPr>
          <w:rFonts w:ascii="Arial" w:hAnsi="Arial" w:cs="Arial"/>
          <w:b/>
          <w:sz w:val="22"/>
          <w:szCs w:val="22"/>
          <w:lang w:eastAsia="ja-JP"/>
        </w:rPr>
      </w:pPr>
      <w:r>
        <w:rPr>
          <w:rFonts w:ascii="Arial" w:hAnsi="Arial" w:cs="Arial"/>
          <w:b/>
          <w:sz w:val="22"/>
          <w:szCs w:val="22"/>
          <w:lang w:eastAsia="ja-JP"/>
        </w:rPr>
        <w:t>Problem Set 7</w:t>
      </w:r>
    </w:p>
    <w:p w:rsidR="002D487E" w:rsidRDefault="002D487E" w:rsidP="002D487E">
      <w:pPr>
        <w:ind w:right="-180"/>
        <w:jc w:val="center"/>
        <w:rPr>
          <w:rFonts w:ascii="Arial" w:hAnsi="Arial" w:cs="Arial"/>
          <w:b/>
          <w:sz w:val="22"/>
          <w:szCs w:val="22"/>
          <w:lang w:eastAsia="ja-JP"/>
        </w:rPr>
      </w:pPr>
      <w:r>
        <w:rPr>
          <w:rFonts w:ascii="Arial" w:hAnsi="Arial" w:cs="Arial"/>
          <w:b/>
          <w:sz w:val="22"/>
          <w:szCs w:val="22"/>
          <w:lang w:eastAsia="ja-JP"/>
        </w:rPr>
        <w:t>Randomized Controlled Trials</w:t>
      </w:r>
    </w:p>
    <w:p w:rsidR="002D487E" w:rsidRDefault="002D487E" w:rsidP="002D487E">
      <w:pPr>
        <w:ind w:right="-180"/>
        <w:jc w:val="center"/>
        <w:rPr>
          <w:rFonts w:ascii="Arial" w:hAnsi="Arial" w:cs="Arial"/>
          <w:b/>
          <w:sz w:val="22"/>
          <w:szCs w:val="22"/>
          <w:lang w:eastAsia="ja-JP"/>
        </w:rPr>
      </w:pPr>
      <w:r>
        <w:rPr>
          <w:rFonts w:ascii="Arial" w:hAnsi="Arial" w:cs="Arial"/>
          <w:b/>
          <w:sz w:val="22"/>
          <w:szCs w:val="22"/>
          <w:lang w:eastAsia="ja-JP"/>
        </w:rPr>
        <w:t>Due 11/2/2017 at 1 pm</w:t>
      </w:r>
    </w:p>
    <w:p w:rsidR="002D487E" w:rsidRDefault="002D487E" w:rsidP="002D487E">
      <w:pPr>
        <w:ind w:right="-180"/>
        <w:jc w:val="center"/>
        <w:rPr>
          <w:rFonts w:ascii="Arial" w:hAnsi="Arial" w:cs="Arial"/>
          <w:b/>
          <w:sz w:val="22"/>
          <w:szCs w:val="22"/>
          <w:lang w:eastAsia="ja-JP"/>
        </w:rPr>
      </w:pPr>
      <w:r>
        <w:rPr>
          <w:rFonts w:ascii="Arial" w:hAnsi="Arial" w:cs="Arial"/>
          <w:b/>
          <w:sz w:val="22"/>
          <w:szCs w:val="22"/>
          <w:lang w:eastAsia="ja-JP"/>
        </w:rPr>
        <w:t xml:space="preserve">Chapter 8 Problems 14, 16, 17, 19, 20, </w:t>
      </w:r>
    </w:p>
    <w:p w:rsidR="002D487E" w:rsidRDefault="002D487E" w:rsidP="00937E37">
      <w:pPr>
        <w:ind w:right="-180"/>
        <w:rPr>
          <w:rFonts w:ascii="Arial" w:hAnsi="Arial" w:cs="Arial"/>
          <w:b/>
          <w:sz w:val="22"/>
          <w:szCs w:val="22"/>
          <w:lang w:eastAsia="ja-JP"/>
        </w:rPr>
      </w:pPr>
    </w:p>
    <w:p w:rsidR="002D487E" w:rsidRPr="006E5BFD" w:rsidRDefault="002D487E" w:rsidP="002D487E">
      <w:pPr>
        <w:rPr>
          <w:b/>
        </w:rPr>
      </w:pPr>
      <w:r>
        <w:rPr>
          <w:b/>
        </w:rPr>
        <w:t>Ch08.14.Q.</w:t>
      </w:r>
      <w:r w:rsidRPr="006E5BFD">
        <w:rPr>
          <w:b/>
        </w:rPr>
        <w:t xml:space="preserve"> </w:t>
      </w:r>
      <w:proofErr w:type="spellStart"/>
      <w:r w:rsidRPr="006E5BFD">
        <w:rPr>
          <w:b/>
        </w:rPr>
        <w:t>Clopidogrel</w:t>
      </w:r>
      <w:proofErr w:type="spellEnd"/>
      <w:r w:rsidRPr="006E5BFD">
        <w:rPr>
          <w:b/>
        </w:rPr>
        <w:t xml:space="preserve"> (Plavix) for TIA</w:t>
      </w:r>
    </w:p>
    <w:p w:rsidR="002D487E" w:rsidRPr="006E5BFD" w:rsidRDefault="002D487E" w:rsidP="002D487E">
      <w:r w:rsidRPr="006E5BFD">
        <w:t xml:space="preserve">The Fast Assessment of Stroke and TIA to prevent Early Recurrence (FASTER) Trial was a randomized controlled trial of </w:t>
      </w:r>
      <w:proofErr w:type="spellStart"/>
      <w:r w:rsidRPr="006E5BFD">
        <w:t>clopidogrel</w:t>
      </w:r>
      <w:proofErr w:type="spellEnd"/>
      <w:r w:rsidRPr="006E5BFD">
        <w:t xml:space="preserve"> (Plavix®) vs. placebo to prevent stroke at 90 days in patients within 24 hours of a Transient Ischemic Attack (TIA; a temporary neurologic deficit that can be a sign of an impending stroke).</w:t>
      </w:r>
      <w:r w:rsidRPr="006E5BFD">
        <w:fldChar w:fldCharType="begin">
          <w:fldData xml:space="preserve">PEVuZE5vdGU+PENpdGU+PEF1dGhvcj5LZW5uZWR5PC9BdXRob3I+PFllYXI+MjAwNzwvWWVhcj48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</w:fldData>
        </w:fldChar>
      </w:r>
      <w:r w:rsidR="00965215">
        <w:instrText xml:space="preserve"> ADDIN EN.CITE </w:instrText>
      </w:r>
      <w:r w:rsidR="00965215">
        <w:fldChar w:fldCharType="begin">
          <w:fldData xml:space="preserve">PEVuZE5vdGU+PENpdGU+PEF1dGhvcj5LZW5uZWR5PC9BdXRob3I+PFllYXI+MjAwNzwvWWVhcj48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</w:fldData>
        </w:fldChar>
      </w:r>
      <w:r w:rsidR="00965215">
        <w:instrText xml:space="preserve"> ADDIN EN.CITE.DATA </w:instrText>
      </w:r>
      <w:r w:rsidR="00965215">
        <w:fldChar w:fldCharType="end"/>
      </w:r>
      <w:r w:rsidRPr="006E5BFD">
        <w:fldChar w:fldCharType="separate"/>
      </w:r>
      <w:r w:rsidR="00965215">
        <w:rPr>
          <w:noProof/>
        </w:rPr>
        <w:t>(Kennedy, Hill et al. 2007)</w:t>
      </w:r>
      <w:r w:rsidRPr="006E5BFD">
        <w:fldChar w:fldCharType="end"/>
      </w:r>
      <w:r w:rsidRPr="006E5BFD">
        <w:t xml:space="preserve">  All patients in the trial received aspirin.  Here are the results: </w:t>
      </w:r>
    </w:p>
    <w:p w:rsidR="002D487E" w:rsidRPr="006E5BFD" w:rsidRDefault="002D487E" w:rsidP="002D487E"/>
    <w:tbl>
      <w:tblPr>
        <w:tblW w:w="5440" w:type="dxa"/>
        <w:tblInd w:w="93" w:type="dxa"/>
        <w:tblLook w:val="04A0" w:firstRow="1" w:lastRow="0" w:firstColumn="1" w:lastColumn="0" w:noHBand="0" w:noVBand="1"/>
      </w:tblPr>
      <w:tblGrid>
        <w:gridCol w:w="1540"/>
        <w:gridCol w:w="1300"/>
        <w:gridCol w:w="1300"/>
        <w:gridCol w:w="1300"/>
      </w:tblGrid>
      <w:tr w:rsidR="002D487E" w:rsidRPr="006E5BFD" w:rsidTr="00494D06">
        <w:trPr>
          <w:trHeight w:val="320"/>
        </w:trPr>
        <w:tc>
          <w:tcPr>
            <w:tcW w:w="154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2D487E" w:rsidRPr="006E5BFD" w:rsidRDefault="002D487E" w:rsidP="00494D06">
            <w:pPr>
              <w:jc w:val="center"/>
              <w:rPr>
                <w:color w:val="000000"/>
              </w:rPr>
            </w:pPr>
            <w:r w:rsidRPr="006E5BFD">
              <w:rPr>
                <w:color w:val="000000"/>
              </w:rPr>
              <w:t> </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rsidR="002D487E" w:rsidRPr="006E5BFD" w:rsidRDefault="002D487E" w:rsidP="00494D06">
            <w:pPr>
              <w:jc w:val="center"/>
              <w:rPr>
                <w:b/>
                <w:bCs/>
                <w:color w:val="000000"/>
              </w:rPr>
            </w:pPr>
            <w:r w:rsidRPr="006E5BFD">
              <w:rPr>
                <w:b/>
                <w:bCs/>
                <w:color w:val="000000"/>
              </w:rPr>
              <w:t>Stroke</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rsidR="002D487E" w:rsidRPr="006E5BFD" w:rsidRDefault="002D487E" w:rsidP="00494D06">
            <w:pPr>
              <w:jc w:val="center"/>
              <w:rPr>
                <w:b/>
                <w:bCs/>
                <w:color w:val="000000"/>
              </w:rPr>
            </w:pPr>
            <w:r w:rsidRPr="006E5BFD">
              <w:rPr>
                <w:b/>
                <w:bCs/>
                <w:color w:val="000000"/>
              </w:rPr>
              <w:t>No Stroke</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rsidR="002D487E" w:rsidRPr="006E5BFD" w:rsidRDefault="002D487E" w:rsidP="00494D06">
            <w:pPr>
              <w:jc w:val="center"/>
              <w:rPr>
                <w:color w:val="000000"/>
              </w:rPr>
            </w:pPr>
            <w:r w:rsidRPr="006E5BFD">
              <w:rPr>
                <w:color w:val="000000"/>
              </w:rPr>
              <w:t>TOTAL</w:t>
            </w:r>
          </w:p>
        </w:tc>
      </w:tr>
      <w:tr w:rsidR="002D487E" w:rsidRPr="006E5BFD" w:rsidTr="00494D06">
        <w:trPr>
          <w:trHeight w:val="320"/>
        </w:trPr>
        <w:tc>
          <w:tcPr>
            <w:tcW w:w="1540" w:type="dxa"/>
            <w:tcBorders>
              <w:top w:val="nil"/>
              <w:left w:val="single" w:sz="4" w:space="0" w:color="000000"/>
              <w:bottom w:val="single" w:sz="4" w:space="0" w:color="000000"/>
              <w:right w:val="single" w:sz="4" w:space="0" w:color="auto"/>
            </w:tcBorders>
            <w:shd w:val="clear" w:color="auto" w:fill="auto"/>
            <w:vAlign w:val="center"/>
            <w:hideMark/>
          </w:tcPr>
          <w:p w:rsidR="002D487E" w:rsidRPr="006E5BFD" w:rsidRDefault="002D487E" w:rsidP="00494D06">
            <w:pPr>
              <w:jc w:val="center"/>
              <w:rPr>
                <w:b/>
                <w:bCs/>
                <w:color w:val="000000"/>
              </w:rPr>
            </w:pPr>
            <w:proofErr w:type="spellStart"/>
            <w:r w:rsidRPr="006E5BFD">
              <w:rPr>
                <w:b/>
                <w:bCs/>
                <w:color w:val="000000"/>
              </w:rPr>
              <w:t>Clopidogrel</w:t>
            </w:r>
            <w:proofErr w:type="spellEnd"/>
          </w:p>
        </w:tc>
        <w:tc>
          <w:tcPr>
            <w:tcW w:w="1300" w:type="dxa"/>
            <w:tcBorders>
              <w:top w:val="nil"/>
              <w:left w:val="nil"/>
              <w:bottom w:val="single" w:sz="4" w:space="0" w:color="000000"/>
              <w:right w:val="single" w:sz="4" w:space="0" w:color="auto"/>
            </w:tcBorders>
            <w:shd w:val="clear" w:color="auto" w:fill="auto"/>
            <w:vAlign w:val="center"/>
            <w:hideMark/>
          </w:tcPr>
          <w:p w:rsidR="002D487E" w:rsidRPr="006E5BFD" w:rsidRDefault="002D487E" w:rsidP="00494D06">
            <w:pPr>
              <w:jc w:val="center"/>
              <w:rPr>
                <w:color w:val="000000"/>
              </w:rPr>
            </w:pPr>
            <w:r w:rsidRPr="006E5BFD">
              <w:rPr>
                <w:color w:val="000000"/>
              </w:rPr>
              <w:t>14</w:t>
            </w:r>
          </w:p>
        </w:tc>
        <w:tc>
          <w:tcPr>
            <w:tcW w:w="1300" w:type="dxa"/>
            <w:tcBorders>
              <w:top w:val="nil"/>
              <w:left w:val="nil"/>
              <w:bottom w:val="single" w:sz="4" w:space="0" w:color="000000"/>
              <w:right w:val="single" w:sz="4" w:space="0" w:color="auto"/>
            </w:tcBorders>
            <w:shd w:val="clear" w:color="auto" w:fill="auto"/>
            <w:vAlign w:val="center"/>
            <w:hideMark/>
          </w:tcPr>
          <w:p w:rsidR="002D487E" w:rsidRPr="006E5BFD" w:rsidRDefault="002D487E" w:rsidP="00494D06">
            <w:pPr>
              <w:jc w:val="center"/>
              <w:rPr>
                <w:color w:val="000000"/>
              </w:rPr>
            </w:pPr>
            <w:r w:rsidRPr="006E5BFD">
              <w:rPr>
                <w:color w:val="000000"/>
              </w:rPr>
              <w:t>184</w:t>
            </w:r>
          </w:p>
        </w:tc>
        <w:tc>
          <w:tcPr>
            <w:tcW w:w="1300" w:type="dxa"/>
            <w:tcBorders>
              <w:top w:val="nil"/>
              <w:left w:val="nil"/>
              <w:bottom w:val="single" w:sz="4" w:space="0" w:color="000000"/>
              <w:right w:val="single" w:sz="4" w:space="0" w:color="auto"/>
            </w:tcBorders>
            <w:shd w:val="clear" w:color="auto" w:fill="auto"/>
            <w:vAlign w:val="center"/>
            <w:hideMark/>
          </w:tcPr>
          <w:p w:rsidR="002D487E" w:rsidRPr="006E5BFD" w:rsidRDefault="002D487E" w:rsidP="00494D06">
            <w:pPr>
              <w:jc w:val="center"/>
              <w:rPr>
                <w:color w:val="000000"/>
              </w:rPr>
            </w:pPr>
            <w:r w:rsidRPr="006E5BFD">
              <w:rPr>
                <w:color w:val="000000"/>
              </w:rPr>
              <w:t>198</w:t>
            </w:r>
          </w:p>
        </w:tc>
      </w:tr>
      <w:tr w:rsidR="002D487E" w:rsidRPr="006E5BFD" w:rsidTr="00494D06">
        <w:trPr>
          <w:trHeight w:val="320"/>
        </w:trPr>
        <w:tc>
          <w:tcPr>
            <w:tcW w:w="1540" w:type="dxa"/>
            <w:tcBorders>
              <w:top w:val="nil"/>
              <w:left w:val="single" w:sz="4" w:space="0" w:color="000000"/>
              <w:bottom w:val="single" w:sz="4" w:space="0" w:color="auto"/>
              <w:right w:val="single" w:sz="4" w:space="0" w:color="auto"/>
            </w:tcBorders>
            <w:shd w:val="clear" w:color="auto" w:fill="auto"/>
            <w:vAlign w:val="center"/>
            <w:hideMark/>
          </w:tcPr>
          <w:p w:rsidR="002D487E" w:rsidRPr="006E5BFD" w:rsidRDefault="002D487E" w:rsidP="00494D06">
            <w:pPr>
              <w:jc w:val="center"/>
              <w:rPr>
                <w:b/>
                <w:bCs/>
                <w:color w:val="000000"/>
              </w:rPr>
            </w:pPr>
            <w:r w:rsidRPr="006E5BFD">
              <w:rPr>
                <w:b/>
                <w:bCs/>
                <w:color w:val="000000"/>
              </w:rPr>
              <w:t>Placebo</w:t>
            </w:r>
          </w:p>
        </w:tc>
        <w:tc>
          <w:tcPr>
            <w:tcW w:w="1300" w:type="dxa"/>
            <w:tcBorders>
              <w:top w:val="nil"/>
              <w:left w:val="nil"/>
              <w:bottom w:val="single" w:sz="4" w:space="0" w:color="auto"/>
              <w:right w:val="single" w:sz="4" w:space="0" w:color="auto"/>
            </w:tcBorders>
            <w:shd w:val="clear" w:color="auto" w:fill="auto"/>
            <w:vAlign w:val="center"/>
            <w:hideMark/>
          </w:tcPr>
          <w:p w:rsidR="002D487E" w:rsidRPr="006E5BFD" w:rsidRDefault="002D487E" w:rsidP="00494D06">
            <w:pPr>
              <w:jc w:val="center"/>
              <w:rPr>
                <w:color w:val="000000"/>
              </w:rPr>
            </w:pPr>
            <w:r w:rsidRPr="006E5BFD">
              <w:rPr>
                <w:color w:val="000000"/>
              </w:rPr>
              <w:t>21</w:t>
            </w:r>
          </w:p>
        </w:tc>
        <w:tc>
          <w:tcPr>
            <w:tcW w:w="1300" w:type="dxa"/>
            <w:tcBorders>
              <w:top w:val="nil"/>
              <w:left w:val="nil"/>
              <w:bottom w:val="single" w:sz="4" w:space="0" w:color="auto"/>
              <w:right w:val="single" w:sz="4" w:space="0" w:color="auto"/>
            </w:tcBorders>
            <w:shd w:val="clear" w:color="auto" w:fill="auto"/>
            <w:vAlign w:val="center"/>
            <w:hideMark/>
          </w:tcPr>
          <w:p w:rsidR="002D487E" w:rsidRPr="006E5BFD" w:rsidRDefault="002D487E" w:rsidP="00494D06">
            <w:pPr>
              <w:jc w:val="center"/>
              <w:rPr>
                <w:color w:val="000000"/>
              </w:rPr>
            </w:pPr>
            <w:r w:rsidRPr="006E5BFD">
              <w:rPr>
                <w:color w:val="000000"/>
              </w:rPr>
              <w:t>173</w:t>
            </w:r>
          </w:p>
        </w:tc>
        <w:tc>
          <w:tcPr>
            <w:tcW w:w="1300" w:type="dxa"/>
            <w:tcBorders>
              <w:top w:val="nil"/>
              <w:left w:val="nil"/>
              <w:bottom w:val="single" w:sz="4" w:space="0" w:color="auto"/>
              <w:right w:val="single" w:sz="4" w:space="0" w:color="auto"/>
            </w:tcBorders>
            <w:shd w:val="clear" w:color="auto" w:fill="auto"/>
            <w:vAlign w:val="center"/>
            <w:hideMark/>
          </w:tcPr>
          <w:p w:rsidR="002D487E" w:rsidRPr="006E5BFD" w:rsidRDefault="002D487E" w:rsidP="00494D06">
            <w:pPr>
              <w:jc w:val="center"/>
              <w:rPr>
                <w:color w:val="000000"/>
              </w:rPr>
            </w:pPr>
            <w:r w:rsidRPr="006E5BFD">
              <w:rPr>
                <w:color w:val="000000"/>
              </w:rPr>
              <w:t>194</w:t>
            </w:r>
          </w:p>
        </w:tc>
      </w:tr>
    </w:tbl>
    <w:p w:rsidR="002D487E" w:rsidRPr="006E5BFD" w:rsidRDefault="002D487E" w:rsidP="002D487E"/>
    <w:p w:rsidR="002D487E" w:rsidRPr="006E5BFD" w:rsidRDefault="002D487E" w:rsidP="002D487E">
      <w:r w:rsidRPr="006E5BFD">
        <w:t xml:space="preserve">A report referring to this study stated </w:t>
      </w:r>
    </w:p>
    <w:p w:rsidR="002D487E" w:rsidRPr="006E5BFD" w:rsidRDefault="002D487E" w:rsidP="002D487E"/>
    <w:p w:rsidR="002D487E" w:rsidRPr="006E5BFD" w:rsidRDefault="002D487E" w:rsidP="002D487E">
      <w:r w:rsidRPr="006E5BFD">
        <w:t xml:space="preserve">“… </w:t>
      </w:r>
      <w:proofErr w:type="spellStart"/>
      <w:r w:rsidRPr="006E5BFD">
        <w:t>clopidogrel</w:t>
      </w:r>
      <w:proofErr w:type="spellEnd"/>
      <w:r w:rsidRPr="006E5BFD">
        <w:t xml:space="preserve"> combined with aspirin reduced the 90-day risk of stroke by 36% compared to aspirin alone in a pilot trial of 392 patients treated acutely after minor stroke or TIA, and it was well tolerated.”</w:t>
      </w:r>
    </w:p>
    <w:p w:rsidR="002D487E" w:rsidRPr="006E5BFD" w:rsidRDefault="002D487E" w:rsidP="002D487E"/>
    <w:p w:rsidR="002D487E" w:rsidRPr="006E5BFD" w:rsidRDefault="002D487E" w:rsidP="002D487E">
      <w:r w:rsidRPr="006E5BFD">
        <w:t>a)  To what measure of treatment effect (e.g. RR, OR, RRR, ARR, etc.) does the 36% refer?</w:t>
      </w:r>
    </w:p>
    <w:p w:rsidR="002D487E" w:rsidRDefault="002D487E" w:rsidP="002D487E"/>
    <w:p w:rsidR="002D487E" w:rsidRPr="006E5BFD" w:rsidRDefault="002D487E" w:rsidP="002D487E">
      <w:r w:rsidRPr="006E5BFD">
        <w:t xml:space="preserve">b)  Based on this study result, how many TIA patients do we have to treat with </w:t>
      </w:r>
      <w:proofErr w:type="spellStart"/>
      <w:r w:rsidRPr="006E5BFD">
        <w:t>clopidogrel</w:t>
      </w:r>
      <w:proofErr w:type="spellEnd"/>
      <w:r w:rsidRPr="006E5BFD">
        <w:t xml:space="preserve"> plus aspirin instead of aspirin alone to prevent 1 from having a stroke in the subsequent 90 days?</w:t>
      </w:r>
    </w:p>
    <w:p w:rsidR="002D487E" w:rsidRPr="00E66475" w:rsidRDefault="002D487E" w:rsidP="002D487E">
      <w:pPr>
        <w:rPr>
          <w:b/>
          <w:i/>
        </w:rPr>
      </w:pPr>
    </w:p>
    <w:p w:rsidR="002D487E" w:rsidRPr="006E5BFD" w:rsidRDefault="002D487E" w:rsidP="002D487E">
      <w:r w:rsidRPr="006E5BFD">
        <w:t xml:space="preserve">c. </w:t>
      </w:r>
      <w:r>
        <w:t xml:space="preserve">You can get 90 Plavix® tablets at InternationalPharmacy.com for about $1000, or at Costco for the bargain price of $613.65.  </w:t>
      </w:r>
      <w:r w:rsidRPr="006E5BFD">
        <w:t xml:space="preserve">Based on this study, what is the approximate medication cost to prevent one stroke at 90 days in TIA patients treated </w:t>
      </w:r>
      <w:r>
        <w:t>if you use brand name Plavix® from Costco</w:t>
      </w:r>
      <w:r w:rsidRPr="006E5BFD">
        <w:t>?</w:t>
      </w:r>
      <w:r>
        <w:t xml:space="preserve">   (The </w:t>
      </w:r>
      <w:r w:rsidRPr="006E5BFD">
        <w:t>full 90-day course actually requires 97 pills</w:t>
      </w:r>
      <w:r>
        <w:t>, but you can ignore that for this problem</w:t>
      </w:r>
      <w:r w:rsidRPr="006E5BFD">
        <w:t>.</w:t>
      </w:r>
      <w:r>
        <w:t>)</w:t>
      </w:r>
      <w:r w:rsidRPr="006E5BFD">
        <w:t xml:space="preserve">  </w:t>
      </w:r>
      <w:r>
        <w:t xml:space="preserve">Is Plavix® cost effective?   </w:t>
      </w:r>
    </w:p>
    <w:p w:rsidR="002D487E" w:rsidRDefault="002D487E" w:rsidP="002D487E">
      <w:pPr>
        <w:rPr>
          <w:b/>
          <w:i/>
        </w:rPr>
      </w:pPr>
    </w:p>
    <w:p w:rsidR="002D487E" w:rsidRDefault="002D487E" w:rsidP="002D487E">
      <w:pPr>
        <w:rPr>
          <w:b/>
          <w:i/>
        </w:rPr>
      </w:pPr>
    </w:p>
    <w:p w:rsidR="002D487E" w:rsidRPr="006E5BFD" w:rsidRDefault="002D487E" w:rsidP="002D487E">
      <w:pPr>
        <w:rPr>
          <w:b/>
          <w:i/>
        </w:rPr>
      </w:pPr>
      <w:r>
        <w:t xml:space="preserve">d.  Now go to the website GoodRx.com, enter "Plavix" in the search box and put "97" for the quantity along the left margin.  How much would the full course of 97 generic </w:t>
      </w:r>
      <w:proofErr w:type="spellStart"/>
      <w:r>
        <w:t>clopidogrel</w:t>
      </w:r>
      <w:proofErr w:type="spellEnd"/>
      <w:r>
        <w:t xml:space="preserve"> pills cost at Safeway (or whatever place is cheapest? It was Safeway on 10/29/15.</w:t>
      </w:r>
      <w:r>
        <w:rPr>
          <w:rStyle w:val="FootnoteReference"/>
        </w:rPr>
        <w:footnoteReference w:id="1"/>
      </w:r>
      <w:r>
        <w:t>)  Do you want to change your answer to the last part of part c?</w:t>
      </w:r>
      <w:r>
        <w:br/>
      </w:r>
      <w:r>
        <w:lastRenderedPageBreak/>
        <w:br/>
      </w:r>
    </w:p>
    <w:p w:rsidR="003C6F37" w:rsidRDefault="003C6F37" w:rsidP="003C6F37">
      <w:pPr>
        <w:rPr>
          <w:b/>
        </w:rPr>
      </w:pPr>
      <w:r>
        <w:rPr>
          <w:b/>
        </w:rPr>
        <w:t>Ch08.16.Q  Meconium Aspiration</w:t>
      </w:r>
    </w:p>
    <w:p w:rsidR="003C6F37" w:rsidRPr="00EB2C49" w:rsidRDefault="003C6F37" w:rsidP="003C6F37">
      <w:pPr>
        <w:rPr>
          <w:bCs/>
        </w:rPr>
      </w:pPr>
      <w:r w:rsidRPr="00EB2C49">
        <w:rPr>
          <w:bCs/>
        </w:rPr>
        <w:t xml:space="preserve">Occasionally, due to fetal stress during labor, the fetus passes meconium stools, staining the normally clear amniotic fluid.  </w:t>
      </w:r>
      <w:r>
        <w:rPr>
          <w:bCs/>
        </w:rPr>
        <w:t>It is thought (though no</w:t>
      </w:r>
      <w:r w:rsidRPr="00AD0220">
        <w:rPr>
          <w:bCs/>
        </w:rPr>
        <w:t xml:space="preserve"> longer universally accepted) that</w:t>
      </w:r>
      <w:r w:rsidRPr="00EB2C49">
        <w:rPr>
          <w:bCs/>
        </w:rPr>
        <w:t xml:space="preserve"> </w:t>
      </w:r>
      <w:r>
        <w:rPr>
          <w:bCs/>
        </w:rPr>
        <w:t>i</w:t>
      </w:r>
      <w:r w:rsidRPr="00EB2C49">
        <w:rPr>
          <w:bCs/>
        </w:rPr>
        <w:t>f newborns inhale this meconium with their first breaths it can injure their lungs, causing meconium aspiration syndrome (MAS), a potentially life-threatening disorder.  For this reason, when babies are born through meconium-stained amniotic fluid, the delivering clinician often tries to suction any meconium out of the nose and mouth before the babies take their first breath.</w:t>
      </w:r>
    </w:p>
    <w:p w:rsidR="003C6F37" w:rsidRPr="00EB2C49" w:rsidRDefault="003C6F37" w:rsidP="003C6F37">
      <w:pPr>
        <w:rPr>
          <w:bCs/>
        </w:rPr>
      </w:pPr>
    </w:p>
    <w:p w:rsidR="003C6F37" w:rsidRPr="00EB2C49" w:rsidRDefault="003C6F37" w:rsidP="003C6F37">
      <w:pPr>
        <w:rPr>
          <w:bCs/>
        </w:rPr>
      </w:pPr>
      <w:r w:rsidRPr="00EB2C49">
        <w:t xml:space="preserve">Vain et al </w:t>
      </w:r>
      <w:r>
        <w:fldChar w:fldCharType="begin"/>
      </w:r>
      <w:r>
        <w:instrText xml:space="preserve"> ADDIN EN.CITE &lt;EndNote&gt;&lt;Cite&gt;&lt;Author&gt;Vain&lt;/Author&gt;&lt;Year&gt;2004&lt;/Year&gt;&lt;RecNum&gt;1009&lt;/RecNum&gt;&lt;DisplayText&gt;(Vain, Szyld et al. 2004)&lt;/DisplayText&gt;&lt;record&gt;&lt;rec-number&gt;1009&lt;/rec-number&gt;&lt;foreign-keys&gt;&lt;key app="EN" db-id="0ftvff9p80fp5few5s05f5fw9rd9fefrdzer" timestamp="0"&gt;1009&lt;/key&gt;&lt;/foreign-keys&gt;&lt;ref-type name="Journal Article"&gt;17&lt;/ref-type&gt;&lt;contributors&gt;&lt;authors&gt;&lt;author&gt;Vain, N. E.&lt;/author&gt;&lt;author&gt;Szyld, E. G.&lt;/author&gt;&lt;author&gt;Prudent, L. M.&lt;/author&gt;&lt;author&gt;Wiswell, T. E.&lt;/author&gt;&lt;author&gt;Aguilar, A. M.&lt;/author&gt;&lt;author&gt;Vivas, N. I.&lt;/author&gt;&lt;/authors&gt;&lt;/contributors&gt;&lt;auth-address&gt;Sanatorio de la Trinidad Hospitals, Buenos Aires, Argentina. vain@fibertel.com.ar&lt;/auth-address&gt;&lt;titles&gt;&lt;title&gt;Oropharyngeal and nasopharyngeal suctioning of meconium-stained neonates before delivery of their shoulders: multicentre, randomised controlled trial&lt;/title&gt;&lt;secondary-title&gt;Lancet&lt;/secondary-title&gt;&lt;/titles&gt;&lt;periodical&gt;&lt;full-title&gt;Lancet&lt;/full-title&gt;&lt;/periodical&gt;&lt;pages&gt;597-602&lt;/pages&gt;&lt;volume&gt;364&lt;/volume&gt;&lt;number&gt;9434&lt;/number&gt;&lt;keywords&gt;&lt;keyword&gt;Adult&lt;/keyword&gt;&lt;keyword&gt;*Delivery, Obstetric/methods&lt;/keyword&gt;&lt;keyword&gt;Female&lt;/keyword&gt;&lt;keyword&gt;Humans&lt;/keyword&gt;&lt;keyword&gt;Infant, Newborn&lt;/keyword&gt;&lt;keyword&gt;Meconium Aspiration Syndrome/*prevention &amp;amp; control/therapy&lt;/keyword&gt;&lt;keyword&gt;*Nasopharynx&lt;/keyword&gt;&lt;keyword&gt;*Oropharynx&lt;/keyword&gt;&lt;keyword&gt;Practice Guidelines as Topic&lt;/keyword&gt;&lt;keyword&gt;Pregnancy&lt;/keyword&gt;&lt;keyword&gt;Respiration, Artificial&lt;/keyword&gt;&lt;keyword&gt;*Suction&lt;/keyword&gt;&lt;/keywords&gt;&lt;dates&gt;&lt;year&gt;2004&lt;/year&gt;&lt;pub-dates&gt;&lt;date&gt;Aug 14-20&lt;/date&gt;&lt;/pub-dates&gt;&lt;/dates&gt;&lt;accession-num&gt;15313360&lt;/accession-num&gt;&lt;urls&gt;&lt;related-urls&gt;&lt;url&gt;http://www.ncbi.nlm.nih.gov/entrez/query.fcgi?cmd=Retrieve&amp;amp;db=PubMed&amp;amp;dopt=Citation&amp;amp;list_uids=15313360 &lt;/url&gt;&lt;/related-urls&gt;&lt;/urls&gt;&lt;/record&gt;&lt;/Cite&gt;&lt;/EndNote&gt;</w:instrText>
      </w:r>
      <w:r>
        <w:fldChar w:fldCharType="separate"/>
      </w:r>
      <w:r>
        <w:rPr>
          <w:noProof/>
        </w:rPr>
        <w:t>(Vain, Szyld et al. 2004)</w:t>
      </w:r>
      <w:r>
        <w:fldChar w:fldCharType="end"/>
      </w:r>
      <w:r w:rsidRPr="00EB2C49">
        <w:t xml:space="preserve"> did a randomized trial of such suctioning to prevent MAS.  </w:t>
      </w:r>
      <w:r w:rsidRPr="00EB2C49">
        <w:rPr>
          <w:bCs/>
        </w:rPr>
        <w:t xml:space="preserve">Here is a 2x2 table summarizing the results of this study:  </w:t>
      </w:r>
    </w:p>
    <w:p w:rsidR="003C6F37" w:rsidRPr="00EB2C49" w:rsidRDefault="003C6F37" w:rsidP="003C6F37">
      <w:pPr>
        <w:rPr>
          <w:b/>
        </w:rPr>
      </w:pPr>
    </w:p>
    <w:p w:rsidR="003C6F37" w:rsidRPr="00EB2C49" w:rsidRDefault="003C6F37" w:rsidP="003C6F37">
      <w:pPr>
        <w:rPr>
          <w:b/>
        </w:rPr>
      </w:pPr>
    </w:p>
    <w:tbl>
      <w:tblPr>
        <w:tblW w:w="49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737"/>
        <w:gridCol w:w="890"/>
        <w:gridCol w:w="960"/>
        <w:gridCol w:w="897"/>
      </w:tblGrid>
      <w:tr w:rsidR="003C6F37" w:rsidRPr="00EB2C49" w:rsidTr="00494D06">
        <w:trPr>
          <w:trHeight w:val="255"/>
        </w:trPr>
        <w:tc>
          <w:tcPr>
            <w:tcW w:w="1455" w:type="dxa"/>
            <w:noWrap/>
            <w:vAlign w:val="bottom"/>
          </w:tcPr>
          <w:p w:rsidR="003C6F37" w:rsidRPr="00EB2C49" w:rsidRDefault="003C6F37" w:rsidP="00494D06">
            <w:pPr>
              <w:jc w:val="center"/>
              <w:rPr>
                <w:rFonts w:ascii="Arial" w:hAnsi="Arial" w:cs="Arial"/>
              </w:rPr>
            </w:pPr>
          </w:p>
        </w:tc>
        <w:tc>
          <w:tcPr>
            <w:tcW w:w="737" w:type="dxa"/>
            <w:noWrap/>
            <w:vAlign w:val="bottom"/>
          </w:tcPr>
          <w:p w:rsidR="003C6F37" w:rsidRPr="00EB2C49" w:rsidRDefault="003C6F37" w:rsidP="00494D06">
            <w:pPr>
              <w:jc w:val="center"/>
              <w:rPr>
                <w:rFonts w:ascii="Arial" w:hAnsi="Arial" w:cs="Arial"/>
              </w:rPr>
            </w:pPr>
            <w:r w:rsidRPr="00EB2C49">
              <w:rPr>
                <w:rFonts w:ascii="Arial" w:hAnsi="Arial" w:cs="Arial"/>
              </w:rPr>
              <w:t>MAS</w:t>
            </w:r>
          </w:p>
        </w:tc>
        <w:tc>
          <w:tcPr>
            <w:tcW w:w="890" w:type="dxa"/>
            <w:noWrap/>
            <w:vAlign w:val="bottom"/>
          </w:tcPr>
          <w:p w:rsidR="003C6F37" w:rsidRPr="00EB2C49" w:rsidRDefault="003C6F37" w:rsidP="00494D06">
            <w:pPr>
              <w:jc w:val="center"/>
              <w:rPr>
                <w:rFonts w:ascii="Arial" w:hAnsi="Arial" w:cs="Arial"/>
              </w:rPr>
            </w:pPr>
            <w:r w:rsidRPr="00EB2C49">
              <w:rPr>
                <w:rFonts w:ascii="Arial" w:hAnsi="Arial" w:cs="Arial"/>
              </w:rPr>
              <w:t>No MAS</w:t>
            </w:r>
          </w:p>
        </w:tc>
        <w:tc>
          <w:tcPr>
            <w:tcW w:w="960" w:type="dxa"/>
            <w:noWrap/>
            <w:vAlign w:val="bottom"/>
          </w:tcPr>
          <w:p w:rsidR="003C6F37" w:rsidRPr="00EB2C49" w:rsidRDefault="003C6F37" w:rsidP="00494D06">
            <w:pPr>
              <w:jc w:val="center"/>
              <w:rPr>
                <w:rFonts w:ascii="Arial" w:hAnsi="Arial" w:cs="Arial"/>
              </w:rPr>
            </w:pPr>
            <w:r w:rsidRPr="00EB2C49">
              <w:rPr>
                <w:rFonts w:ascii="Arial" w:hAnsi="Arial" w:cs="Arial"/>
              </w:rPr>
              <w:t>Total</w:t>
            </w:r>
          </w:p>
        </w:tc>
        <w:tc>
          <w:tcPr>
            <w:tcW w:w="897" w:type="dxa"/>
            <w:noWrap/>
            <w:vAlign w:val="bottom"/>
          </w:tcPr>
          <w:p w:rsidR="003C6F37" w:rsidRPr="00EB2C49" w:rsidRDefault="003C6F37" w:rsidP="00494D06">
            <w:pPr>
              <w:jc w:val="center"/>
              <w:rPr>
                <w:rFonts w:ascii="Arial" w:hAnsi="Arial" w:cs="Arial"/>
              </w:rPr>
            </w:pPr>
            <w:r w:rsidRPr="00EB2C49">
              <w:rPr>
                <w:rFonts w:ascii="Arial" w:hAnsi="Arial" w:cs="Arial"/>
              </w:rPr>
              <w:t>Risk</w:t>
            </w:r>
          </w:p>
        </w:tc>
      </w:tr>
      <w:tr w:rsidR="003C6F37" w:rsidRPr="00EB2C49" w:rsidTr="00494D06">
        <w:trPr>
          <w:trHeight w:val="255"/>
        </w:trPr>
        <w:tc>
          <w:tcPr>
            <w:tcW w:w="1455" w:type="dxa"/>
            <w:noWrap/>
            <w:vAlign w:val="bottom"/>
          </w:tcPr>
          <w:p w:rsidR="003C6F37" w:rsidRPr="00EB2C49" w:rsidRDefault="003C6F37" w:rsidP="00494D06">
            <w:pPr>
              <w:jc w:val="center"/>
              <w:rPr>
                <w:rFonts w:ascii="Arial" w:hAnsi="Arial" w:cs="Arial"/>
              </w:rPr>
            </w:pPr>
            <w:r w:rsidRPr="00EB2C49">
              <w:rPr>
                <w:rFonts w:ascii="Arial" w:hAnsi="Arial" w:cs="Arial"/>
              </w:rPr>
              <w:t>Suction</w:t>
            </w:r>
          </w:p>
        </w:tc>
        <w:tc>
          <w:tcPr>
            <w:tcW w:w="737" w:type="dxa"/>
            <w:noWrap/>
            <w:vAlign w:val="bottom"/>
          </w:tcPr>
          <w:p w:rsidR="003C6F37" w:rsidRPr="00EB2C49" w:rsidRDefault="003C6F37" w:rsidP="00494D06">
            <w:pPr>
              <w:jc w:val="center"/>
              <w:rPr>
                <w:rFonts w:ascii="Arial" w:hAnsi="Arial" w:cs="Arial"/>
              </w:rPr>
            </w:pPr>
            <w:r w:rsidRPr="00EB2C49">
              <w:rPr>
                <w:rFonts w:ascii="Arial" w:hAnsi="Arial" w:cs="Arial"/>
              </w:rPr>
              <w:t>52</w:t>
            </w:r>
          </w:p>
        </w:tc>
        <w:tc>
          <w:tcPr>
            <w:tcW w:w="890" w:type="dxa"/>
            <w:noWrap/>
            <w:vAlign w:val="bottom"/>
          </w:tcPr>
          <w:p w:rsidR="003C6F37" w:rsidRPr="00EB2C49" w:rsidRDefault="003C6F37" w:rsidP="00494D06">
            <w:pPr>
              <w:jc w:val="center"/>
              <w:rPr>
                <w:rFonts w:ascii="Arial" w:hAnsi="Arial" w:cs="Arial"/>
              </w:rPr>
            </w:pPr>
            <w:r w:rsidRPr="00EB2C49">
              <w:rPr>
                <w:rFonts w:ascii="Arial" w:hAnsi="Arial" w:cs="Arial"/>
              </w:rPr>
              <w:t>1211</w:t>
            </w:r>
          </w:p>
        </w:tc>
        <w:tc>
          <w:tcPr>
            <w:tcW w:w="960" w:type="dxa"/>
            <w:noWrap/>
            <w:vAlign w:val="bottom"/>
          </w:tcPr>
          <w:p w:rsidR="003C6F37" w:rsidRPr="00EB2C49" w:rsidRDefault="003C6F37" w:rsidP="00494D06">
            <w:pPr>
              <w:jc w:val="center"/>
              <w:rPr>
                <w:rFonts w:ascii="Arial" w:hAnsi="Arial" w:cs="Arial"/>
              </w:rPr>
            </w:pPr>
            <w:r w:rsidRPr="00EB2C49">
              <w:rPr>
                <w:rFonts w:ascii="Arial" w:hAnsi="Arial" w:cs="Arial"/>
              </w:rPr>
              <w:t>1263</w:t>
            </w:r>
          </w:p>
        </w:tc>
        <w:tc>
          <w:tcPr>
            <w:tcW w:w="897" w:type="dxa"/>
            <w:noWrap/>
            <w:vAlign w:val="bottom"/>
          </w:tcPr>
          <w:p w:rsidR="003C6F37" w:rsidRPr="00EB2C49" w:rsidRDefault="003C6F37" w:rsidP="00494D06">
            <w:pPr>
              <w:jc w:val="center"/>
              <w:rPr>
                <w:rFonts w:ascii="Arial" w:hAnsi="Arial" w:cs="Arial"/>
              </w:rPr>
            </w:pPr>
            <w:r w:rsidRPr="00EB2C49">
              <w:rPr>
                <w:rFonts w:ascii="Arial" w:hAnsi="Arial" w:cs="Arial"/>
              </w:rPr>
              <w:t>4.12%</w:t>
            </w:r>
          </w:p>
        </w:tc>
      </w:tr>
      <w:tr w:rsidR="003C6F37" w:rsidRPr="00EB2C49" w:rsidTr="00494D06">
        <w:trPr>
          <w:trHeight w:val="255"/>
        </w:trPr>
        <w:tc>
          <w:tcPr>
            <w:tcW w:w="1455" w:type="dxa"/>
            <w:noWrap/>
            <w:vAlign w:val="bottom"/>
          </w:tcPr>
          <w:p w:rsidR="003C6F37" w:rsidRPr="00EB2C49" w:rsidRDefault="003C6F37" w:rsidP="00494D06">
            <w:pPr>
              <w:jc w:val="center"/>
              <w:rPr>
                <w:rFonts w:ascii="Arial" w:hAnsi="Arial" w:cs="Arial"/>
              </w:rPr>
            </w:pPr>
            <w:r w:rsidRPr="00EB2C49">
              <w:rPr>
                <w:rFonts w:ascii="Arial" w:hAnsi="Arial" w:cs="Arial"/>
              </w:rPr>
              <w:t>No Suction</w:t>
            </w:r>
          </w:p>
        </w:tc>
        <w:tc>
          <w:tcPr>
            <w:tcW w:w="737" w:type="dxa"/>
            <w:noWrap/>
            <w:vAlign w:val="bottom"/>
          </w:tcPr>
          <w:p w:rsidR="003C6F37" w:rsidRPr="00EB2C49" w:rsidRDefault="003C6F37" w:rsidP="00494D06">
            <w:pPr>
              <w:jc w:val="center"/>
              <w:rPr>
                <w:rFonts w:ascii="Arial" w:hAnsi="Arial" w:cs="Arial"/>
              </w:rPr>
            </w:pPr>
            <w:r w:rsidRPr="00EB2C49">
              <w:rPr>
                <w:rFonts w:ascii="Arial" w:hAnsi="Arial" w:cs="Arial"/>
              </w:rPr>
              <w:t>47</w:t>
            </w:r>
          </w:p>
        </w:tc>
        <w:tc>
          <w:tcPr>
            <w:tcW w:w="890" w:type="dxa"/>
            <w:noWrap/>
            <w:vAlign w:val="bottom"/>
          </w:tcPr>
          <w:p w:rsidR="003C6F37" w:rsidRPr="00EB2C49" w:rsidRDefault="003C6F37" w:rsidP="00494D06">
            <w:pPr>
              <w:jc w:val="center"/>
              <w:rPr>
                <w:rFonts w:ascii="Arial" w:hAnsi="Arial" w:cs="Arial"/>
              </w:rPr>
            </w:pPr>
            <w:r w:rsidRPr="00EB2C49">
              <w:rPr>
                <w:rFonts w:ascii="Arial" w:hAnsi="Arial" w:cs="Arial"/>
              </w:rPr>
              <w:t>1204</w:t>
            </w:r>
          </w:p>
        </w:tc>
        <w:tc>
          <w:tcPr>
            <w:tcW w:w="960" w:type="dxa"/>
            <w:noWrap/>
            <w:vAlign w:val="bottom"/>
          </w:tcPr>
          <w:p w:rsidR="003C6F37" w:rsidRPr="00EB2C49" w:rsidRDefault="003C6F37" w:rsidP="00494D06">
            <w:pPr>
              <w:jc w:val="center"/>
              <w:rPr>
                <w:rFonts w:ascii="Arial" w:hAnsi="Arial" w:cs="Arial"/>
              </w:rPr>
            </w:pPr>
            <w:r w:rsidRPr="00EB2C49">
              <w:rPr>
                <w:rFonts w:ascii="Arial" w:hAnsi="Arial" w:cs="Arial"/>
              </w:rPr>
              <w:t>1251</w:t>
            </w:r>
          </w:p>
        </w:tc>
        <w:tc>
          <w:tcPr>
            <w:tcW w:w="897" w:type="dxa"/>
            <w:noWrap/>
            <w:vAlign w:val="bottom"/>
          </w:tcPr>
          <w:p w:rsidR="003C6F37" w:rsidRPr="00EB2C49" w:rsidRDefault="003C6F37" w:rsidP="00494D06">
            <w:pPr>
              <w:jc w:val="center"/>
              <w:rPr>
                <w:rFonts w:ascii="Arial" w:hAnsi="Arial" w:cs="Arial"/>
              </w:rPr>
            </w:pPr>
            <w:r w:rsidRPr="00EB2C49">
              <w:rPr>
                <w:rFonts w:ascii="Arial" w:hAnsi="Arial" w:cs="Arial"/>
              </w:rPr>
              <w:t>3.76%</w:t>
            </w:r>
          </w:p>
        </w:tc>
      </w:tr>
      <w:tr w:rsidR="003C6F37" w:rsidRPr="00EB2C49" w:rsidTr="00494D06">
        <w:trPr>
          <w:trHeight w:val="255"/>
        </w:trPr>
        <w:tc>
          <w:tcPr>
            <w:tcW w:w="1455" w:type="dxa"/>
            <w:noWrap/>
            <w:vAlign w:val="bottom"/>
          </w:tcPr>
          <w:p w:rsidR="003C6F37" w:rsidRPr="00EB2C49" w:rsidRDefault="003C6F37" w:rsidP="00494D06">
            <w:pPr>
              <w:jc w:val="center"/>
              <w:rPr>
                <w:rFonts w:ascii="Arial" w:hAnsi="Arial" w:cs="Arial"/>
              </w:rPr>
            </w:pPr>
            <w:r w:rsidRPr="00EB2C49">
              <w:rPr>
                <w:rFonts w:ascii="Arial" w:hAnsi="Arial" w:cs="Arial"/>
              </w:rPr>
              <w:t>Total</w:t>
            </w:r>
          </w:p>
        </w:tc>
        <w:tc>
          <w:tcPr>
            <w:tcW w:w="737" w:type="dxa"/>
            <w:noWrap/>
            <w:vAlign w:val="bottom"/>
          </w:tcPr>
          <w:p w:rsidR="003C6F37" w:rsidRPr="00EB2C49" w:rsidRDefault="003C6F37" w:rsidP="00494D06">
            <w:pPr>
              <w:jc w:val="center"/>
              <w:rPr>
                <w:rFonts w:ascii="Arial" w:hAnsi="Arial" w:cs="Arial"/>
              </w:rPr>
            </w:pPr>
            <w:r w:rsidRPr="00EB2C49">
              <w:rPr>
                <w:rFonts w:ascii="Arial" w:hAnsi="Arial" w:cs="Arial"/>
              </w:rPr>
              <w:t>99</w:t>
            </w:r>
          </w:p>
        </w:tc>
        <w:tc>
          <w:tcPr>
            <w:tcW w:w="890" w:type="dxa"/>
            <w:noWrap/>
            <w:vAlign w:val="bottom"/>
          </w:tcPr>
          <w:p w:rsidR="003C6F37" w:rsidRPr="00EB2C49" w:rsidRDefault="003C6F37" w:rsidP="00494D06">
            <w:pPr>
              <w:jc w:val="center"/>
              <w:rPr>
                <w:rFonts w:ascii="Arial" w:hAnsi="Arial" w:cs="Arial"/>
              </w:rPr>
            </w:pPr>
            <w:r w:rsidRPr="00EB2C49">
              <w:rPr>
                <w:rFonts w:ascii="Arial" w:hAnsi="Arial" w:cs="Arial"/>
              </w:rPr>
              <w:t>2415</w:t>
            </w:r>
          </w:p>
        </w:tc>
        <w:tc>
          <w:tcPr>
            <w:tcW w:w="960" w:type="dxa"/>
            <w:noWrap/>
            <w:vAlign w:val="bottom"/>
          </w:tcPr>
          <w:p w:rsidR="003C6F37" w:rsidRPr="00EB2C49" w:rsidRDefault="003C6F37" w:rsidP="00494D06">
            <w:pPr>
              <w:jc w:val="center"/>
              <w:rPr>
                <w:rFonts w:ascii="Arial" w:hAnsi="Arial" w:cs="Arial"/>
              </w:rPr>
            </w:pPr>
            <w:r w:rsidRPr="00EB2C49">
              <w:rPr>
                <w:rFonts w:ascii="Arial" w:hAnsi="Arial" w:cs="Arial"/>
              </w:rPr>
              <w:t>2514</w:t>
            </w:r>
          </w:p>
        </w:tc>
        <w:tc>
          <w:tcPr>
            <w:tcW w:w="897" w:type="dxa"/>
            <w:noWrap/>
            <w:vAlign w:val="bottom"/>
          </w:tcPr>
          <w:p w:rsidR="003C6F37" w:rsidRPr="00EB2C49" w:rsidRDefault="003C6F37" w:rsidP="00494D06">
            <w:pPr>
              <w:jc w:val="center"/>
              <w:rPr>
                <w:rFonts w:ascii="Arial" w:hAnsi="Arial" w:cs="Arial"/>
              </w:rPr>
            </w:pPr>
          </w:p>
        </w:tc>
      </w:tr>
    </w:tbl>
    <w:p w:rsidR="003C6F37" w:rsidRPr="00EB2C49" w:rsidRDefault="003C6F37" w:rsidP="003C6F37">
      <w:pPr>
        <w:rPr>
          <w:b/>
        </w:rPr>
      </w:pPr>
    </w:p>
    <w:p w:rsidR="003C6F37" w:rsidRDefault="003C6F37" w:rsidP="003C6F37">
      <w:pPr>
        <w:rPr>
          <w:b/>
        </w:rPr>
      </w:pPr>
    </w:p>
    <w:p w:rsidR="003C6F37" w:rsidRPr="00EB2C49" w:rsidRDefault="003C6F37" w:rsidP="003C6F37">
      <w:r w:rsidRPr="00EB2C49">
        <w:t>a)</w:t>
      </w:r>
      <w:r>
        <w:rPr>
          <w:b/>
        </w:rPr>
        <w:t xml:space="preserve"> </w:t>
      </w:r>
      <w:r>
        <w:t>What is the Risk Ratio (RR) for MAS of suctioning compared to not suctioning?</w:t>
      </w:r>
    </w:p>
    <w:p w:rsidR="003C6F37" w:rsidRDefault="003C6F37" w:rsidP="003C6F37">
      <w:pPr>
        <w:rPr>
          <w:b/>
        </w:rPr>
      </w:pPr>
    </w:p>
    <w:p w:rsidR="003C6F37" w:rsidRDefault="003C6F37" w:rsidP="003C6F37">
      <w:pPr>
        <w:rPr>
          <w:b/>
        </w:rPr>
      </w:pPr>
    </w:p>
    <w:p w:rsidR="003C6F37" w:rsidRPr="00EB2C49" w:rsidRDefault="003C6F37" w:rsidP="003C6F37">
      <w:r w:rsidRPr="00EB2C49">
        <w:t>b)</w:t>
      </w:r>
      <w:r>
        <w:t xml:space="preserve"> What is the Absolute Risk Reduction of suctioning compared to not suctioning.</w:t>
      </w:r>
    </w:p>
    <w:p w:rsidR="003C6F37" w:rsidRPr="00EB2C49" w:rsidRDefault="003C6F37" w:rsidP="003C6F37">
      <w:pPr>
        <w:ind w:left="720"/>
      </w:pPr>
    </w:p>
    <w:p w:rsidR="003C6F37" w:rsidRPr="00EB2C49" w:rsidRDefault="003C6F37" w:rsidP="003C6F37"/>
    <w:p w:rsidR="003C6F37" w:rsidRPr="00EB2C49" w:rsidRDefault="003C6F37" w:rsidP="003C6F37">
      <w:r w:rsidRPr="00EB2C49">
        <w:t>From the “Results” section:</w:t>
      </w:r>
    </w:p>
    <w:p w:rsidR="003C6F37" w:rsidRPr="00EB2C49" w:rsidRDefault="003C6F37" w:rsidP="003C6F37"/>
    <w:p w:rsidR="003C6F37" w:rsidRPr="00EB2C49" w:rsidRDefault="003C6F37" w:rsidP="003C6F37">
      <w:r w:rsidRPr="00EB2C49">
        <w:t>“ …26 (2%) infants assigned no suction received intrapartum suctioning, mostly because the obstetrician demanded suctioning just as the child's head was being delivered, and were also analyzed as part of the no-suction group. These events occurred at several institutions early in the study period. Consequently, no further infants delivered by the non-compliant obstetricians were enrolled.”</w:t>
      </w:r>
    </w:p>
    <w:p w:rsidR="003C6F37" w:rsidRPr="00EB2C49" w:rsidRDefault="003C6F37" w:rsidP="003C6F37"/>
    <w:p w:rsidR="003C6F37" w:rsidRPr="00AE0A43" w:rsidRDefault="003C6F37" w:rsidP="003C6F37">
      <w:pPr>
        <w:pStyle w:val="ListParagraph"/>
        <w:numPr>
          <w:ilvl w:val="0"/>
          <w:numId w:val="3"/>
        </w:numPr>
      </w:pPr>
      <w:r w:rsidRPr="00AE0A43">
        <w:t>Why not analyze these 26 infants who did receive suctioning in the suction group, or at least drop them from the analysis altogether?</w:t>
      </w:r>
    </w:p>
    <w:p w:rsidR="003C6F37" w:rsidRPr="00EB2C49" w:rsidRDefault="003C6F37" w:rsidP="003C6F37">
      <w:pPr>
        <w:ind w:left="720"/>
      </w:pPr>
    </w:p>
    <w:p w:rsidR="003C6F37" w:rsidRPr="00EB2C49" w:rsidRDefault="003C6F37" w:rsidP="003C6F37">
      <w:pPr>
        <w:ind w:left="720"/>
      </w:pPr>
    </w:p>
    <w:p w:rsidR="003C6F37" w:rsidRPr="00AE0A43" w:rsidRDefault="003C6F37" w:rsidP="003C6F37">
      <w:pPr>
        <w:pStyle w:val="ListParagraph"/>
        <w:numPr>
          <w:ilvl w:val="0"/>
          <w:numId w:val="3"/>
        </w:numPr>
      </w:pPr>
      <w:r w:rsidRPr="00AE0A43">
        <w:t>Would dropping them from the analysis would favor suction or no suction?</w:t>
      </w:r>
    </w:p>
    <w:p w:rsidR="003C6F37" w:rsidRPr="00EB2C49" w:rsidRDefault="003C6F37" w:rsidP="003C6F37">
      <w:pPr>
        <w:ind w:left="360"/>
        <w:rPr>
          <w:b/>
          <w:i/>
        </w:rPr>
      </w:pPr>
    </w:p>
    <w:p w:rsidR="00BF3C92" w:rsidRDefault="003C6F37" w:rsidP="003C6F37">
      <w:r w:rsidRPr="0085054F">
        <w:br/>
      </w:r>
    </w:p>
    <w:p w:rsidR="00BF3C92" w:rsidRDefault="00BF3C92">
      <w:r>
        <w:br w:type="page"/>
      </w:r>
    </w:p>
    <w:p w:rsidR="003C6F37" w:rsidRDefault="003C6F37" w:rsidP="003C6F37"/>
    <w:p w:rsidR="00BB1E0F" w:rsidRPr="0085054F" w:rsidRDefault="00BB1E0F" w:rsidP="00BB1E0F">
      <w:pPr>
        <w:rPr>
          <w:b/>
        </w:rPr>
      </w:pPr>
      <w:r>
        <w:rPr>
          <w:b/>
        </w:rPr>
        <w:t xml:space="preserve">Ch08.17.Q </w:t>
      </w:r>
      <w:r w:rsidRPr="0085054F">
        <w:rPr>
          <w:b/>
        </w:rPr>
        <w:t>Effects of Iron Therapy on Iron Deficient Children</w:t>
      </w:r>
    </w:p>
    <w:p w:rsidR="00BB1E0F" w:rsidRPr="0085054F" w:rsidRDefault="00BB1E0F" w:rsidP="00BB1E0F">
      <w:pPr>
        <w:rPr>
          <w:b/>
        </w:rPr>
      </w:pPr>
    </w:p>
    <w:p w:rsidR="00BB1E0F" w:rsidRPr="0085054F" w:rsidRDefault="00BB1E0F" w:rsidP="00BB1E0F">
      <w:proofErr w:type="spellStart"/>
      <w:r w:rsidRPr="0085054F">
        <w:t>Oski</w:t>
      </w:r>
      <w:proofErr w:type="spellEnd"/>
      <w:r w:rsidRPr="0085054F">
        <w:t xml:space="preserve"> and </w:t>
      </w:r>
      <w:proofErr w:type="spellStart"/>
      <w:r w:rsidRPr="0085054F">
        <w:t>Honig</w:t>
      </w:r>
      <w:proofErr w:type="spellEnd"/>
      <w:r w:rsidRPr="0085054F">
        <w:t xml:space="preserve"> </w:t>
      </w:r>
      <w:r>
        <w:fldChar w:fldCharType="begin"/>
      </w:r>
      <w:r>
        <w:instrText xml:space="preserve"> ADDIN EN.CITE &lt;EndNote&gt;&lt;Cite&gt;&lt;Author&gt;Oski&lt;/Author&gt;&lt;Year&gt;1978&lt;/Year&gt;&lt;RecNum&gt;683&lt;/RecNum&gt;&lt;DisplayText&gt;(Oski and Honig 1978)&lt;/DisplayText&gt;&lt;record&gt;&lt;rec-number&gt;683&lt;/rec-number&gt;&lt;foreign-keys&gt;&lt;key app="EN" db-id="0ftvff9p80fp5few5s05f5fw9rd9fefrdzer" timestamp="0"&gt;683&lt;/key&gt;&lt;/foreign-keys&gt;&lt;ref-type name="Journal Article"&gt;17&lt;/ref-type&gt;&lt;contributors&gt;&lt;authors&gt;&lt;author&gt;Oski, F. A.&lt;/author&gt;&lt;author&gt;Honig, A. S.&lt;/author&gt;&lt;/authors&gt;&lt;/contributors&gt;&lt;titles&gt;&lt;title&gt;The effects of therapy on the developmental scores of iron-deficient infants&lt;/title&gt;&lt;secondary-title&gt;J Pediatr&lt;/secondary-title&gt;&lt;/titles&gt;&lt;periodical&gt;&lt;full-title&gt;J Pediatr&lt;/full-title&gt;&lt;/periodical&gt;&lt;pages&gt;21-5&lt;/pages&gt;&lt;volume&gt;92&lt;/volume&gt;&lt;number&gt;1&lt;/number&gt;&lt;keywords&gt;&lt;keyword&gt;Anemia, Hypochromic/*drug therapy/psychology&lt;/keyword&gt;&lt;keyword&gt;Child Behavior&lt;/keyword&gt;&lt;keyword&gt;*Child Development&lt;/keyword&gt;&lt;keyword&gt;Child, Preschool&lt;/keyword&gt;&lt;keyword&gt;Clinical Trials&lt;/keyword&gt;&lt;keyword&gt;Cognition&lt;/keyword&gt;&lt;keyword&gt;Female&lt;/keyword&gt;&lt;keyword&gt;Human&lt;/keyword&gt;&lt;keyword&gt;Infant&lt;/keyword&gt;&lt;keyword&gt;Iron/*therapeutic use&lt;/keyword&gt;&lt;keyword&gt;Male&lt;/keyword&gt;&lt;keyword&gt;Mental Processes&lt;/keyword&gt;&lt;keyword&gt;Motor Skills&lt;/keyword&gt;&lt;keyword&gt;Placebos&lt;/keyword&gt;&lt;/keywords&gt;&lt;dates&gt;&lt;year&gt;1978&lt;/year&gt;&lt;pub-dates&gt;&lt;date&gt;Jan&lt;/date&gt;&lt;/pub-dates&gt;&lt;/dates&gt;&lt;accession-num&gt;338872&lt;/accession-num&gt;&lt;urls&gt;&lt;related-urls&gt;&lt;url&gt;http://www.ncbi.nlm.nih.gov/entrez/query.fcgi?cmd=Retrieve&amp;amp;db=PubMed&amp;amp;dopt=Citation&amp;amp;list_uids=338872&lt;/url&gt;&lt;/related-urls&gt;&lt;/urls&gt;&lt;/record&gt;&lt;/Cite&gt;&lt;/EndNote&gt;</w:instrText>
      </w:r>
      <w:r>
        <w:fldChar w:fldCharType="separate"/>
      </w:r>
      <w:r>
        <w:rPr>
          <w:noProof/>
        </w:rPr>
        <w:t>(Oski and Honig 1978)</w:t>
      </w:r>
      <w:r>
        <w:fldChar w:fldCharType="end"/>
      </w:r>
      <w:r w:rsidRPr="0085054F">
        <w:t xml:space="preserve"> did a randomized controlled trial to determine the short term (5- to 8-day) effect of  intramuscular iron on mental and physical development indexes in iron deficient children aged 9 to 26 months.  The pre-test was administered, then the patient received study drug (intramuscular iron in the “experimental” group and intramuscular saline in the control group). The post-test was administered 6-9 days later.  The results are displayed in Table II reprinted below:</w:t>
      </w:r>
    </w:p>
    <w:p w:rsidR="00BB1E0F" w:rsidRPr="0085054F" w:rsidRDefault="00BB1E0F" w:rsidP="00BB1E0F">
      <w:r w:rsidRPr="0085054F">
        <w:rPr>
          <w:noProof/>
        </w:rPr>
        <w:drawing>
          <wp:inline distT="0" distB="0" distL="0" distR="0" wp14:anchorId="31520097" wp14:editId="31ED638B">
            <wp:extent cx="4029075" cy="4191000"/>
            <wp:effectExtent l="0" t="0" r="9525" b="0"/>
            <wp:docPr id="1" name="Picture 1" descr="IronTherapyInKidsWithin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nTherapyInKidsWithinGro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9075" cy="4191000"/>
                    </a:xfrm>
                    <a:prstGeom prst="rect">
                      <a:avLst/>
                    </a:prstGeom>
                    <a:noFill/>
                    <a:ln>
                      <a:noFill/>
                    </a:ln>
                  </pic:spPr>
                </pic:pic>
              </a:graphicData>
            </a:graphic>
          </wp:inline>
        </w:drawing>
      </w:r>
    </w:p>
    <w:p w:rsidR="00BB1E0F" w:rsidRPr="0085054F" w:rsidRDefault="00BB1E0F" w:rsidP="00BB1E0F"/>
    <w:p w:rsidR="00BB1E0F" w:rsidRPr="0085054F" w:rsidRDefault="00BB1E0F" w:rsidP="00BB1E0F">
      <w:pPr>
        <w:numPr>
          <w:ilvl w:val="0"/>
          <w:numId w:val="4"/>
        </w:numPr>
        <w:autoSpaceDE w:val="0"/>
        <w:autoSpaceDN w:val="0"/>
        <w:adjustRightInd w:val="0"/>
      </w:pPr>
      <w:r w:rsidRPr="0085054F">
        <w:t>What was the change in the mental development index in the experimental group?</w:t>
      </w:r>
    </w:p>
    <w:p w:rsidR="00BB1E0F" w:rsidRPr="0085054F" w:rsidRDefault="00BB1E0F" w:rsidP="00BB1E0F">
      <w:pPr>
        <w:autoSpaceDE w:val="0"/>
        <w:autoSpaceDN w:val="0"/>
        <w:adjustRightInd w:val="0"/>
        <w:ind w:left="360"/>
      </w:pPr>
    </w:p>
    <w:p w:rsidR="00BB1E0F" w:rsidRPr="0085054F" w:rsidRDefault="00BB1E0F" w:rsidP="00BB1E0F">
      <w:pPr>
        <w:autoSpaceDE w:val="0"/>
        <w:autoSpaceDN w:val="0"/>
        <w:adjustRightInd w:val="0"/>
        <w:ind w:left="360"/>
        <w:rPr>
          <w:b/>
          <w:i/>
        </w:rPr>
      </w:pPr>
    </w:p>
    <w:p w:rsidR="00BB1E0F" w:rsidRPr="0085054F" w:rsidRDefault="00BB1E0F" w:rsidP="00BB1E0F">
      <w:pPr>
        <w:numPr>
          <w:ilvl w:val="0"/>
          <w:numId w:val="4"/>
        </w:numPr>
        <w:autoSpaceDE w:val="0"/>
        <w:autoSpaceDN w:val="0"/>
        <w:adjustRightInd w:val="0"/>
      </w:pPr>
      <w:r w:rsidRPr="0085054F">
        <w:t>What was the change in the mental development index in the control group?</w:t>
      </w:r>
    </w:p>
    <w:p w:rsidR="00BB1E0F" w:rsidRPr="0085054F" w:rsidRDefault="00BB1E0F" w:rsidP="00BB1E0F">
      <w:pPr>
        <w:autoSpaceDE w:val="0"/>
        <w:autoSpaceDN w:val="0"/>
        <w:adjustRightInd w:val="0"/>
        <w:ind w:left="360"/>
      </w:pPr>
    </w:p>
    <w:p w:rsidR="00BB1E0F" w:rsidRPr="0085054F" w:rsidRDefault="00BB1E0F" w:rsidP="00BB1E0F">
      <w:pPr>
        <w:autoSpaceDE w:val="0"/>
        <w:autoSpaceDN w:val="0"/>
        <w:adjustRightInd w:val="0"/>
        <w:ind w:left="360"/>
        <w:rPr>
          <w:b/>
          <w:i/>
        </w:rPr>
      </w:pPr>
    </w:p>
    <w:p w:rsidR="00BB1E0F" w:rsidRPr="0085054F" w:rsidRDefault="00BB1E0F" w:rsidP="00BB1E0F">
      <w:pPr>
        <w:numPr>
          <w:ilvl w:val="0"/>
          <w:numId w:val="4"/>
        </w:numPr>
        <w:autoSpaceDE w:val="0"/>
        <w:autoSpaceDN w:val="0"/>
        <w:adjustRightInd w:val="0"/>
      </w:pPr>
      <w:r w:rsidRPr="0085054F">
        <w:t>Based on the p values reported above, is the change that you calculated in (a) statistically significantly different from the change that you calculated in (b)?</w:t>
      </w:r>
    </w:p>
    <w:p w:rsidR="00BB1E0F" w:rsidRPr="0085054F" w:rsidRDefault="00BB1E0F" w:rsidP="00BB1E0F">
      <w:pPr>
        <w:autoSpaceDE w:val="0"/>
        <w:autoSpaceDN w:val="0"/>
        <w:adjustRightInd w:val="0"/>
        <w:ind w:left="360"/>
      </w:pPr>
    </w:p>
    <w:p w:rsidR="00BB1E0F" w:rsidRDefault="00BB1E0F" w:rsidP="00BB1E0F"/>
    <w:p w:rsidR="00BB1E0F" w:rsidRDefault="00BB1E0F" w:rsidP="00BB1E0F"/>
    <w:p w:rsidR="00965215" w:rsidRDefault="00965215" w:rsidP="00BB1E0F">
      <w:pPr>
        <w:rPr>
          <w:b/>
          <w:color w:val="000000"/>
        </w:rPr>
      </w:pPr>
    </w:p>
    <w:p w:rsidR="00965215" w:rsidRDefault="00965215" w:rsidP="00BB1E0F">
      <w:pPr>
        <w:rPr>
          <w:b/>
          <w:color w:val="000000"/>
        </w:rPr>
      </w:pPr>
    </w:p>
    <w:p w:rsidR="00BB1E0F" w:rsidRDefault="00BB1E0F" w:rsidP="00BB1E0F">
      <w:pPr>
        <w:rPr>
          <w:b/>
          <w:color w:val="000000"/>
        </w:rPr>
      </w:pPr>
      <w:r>
        <w:rPr>
          <w:b/>
          <w:color w:val="000000"/>
        </w:rPr>
        <w:lastRenderedPageBreak/>
        <w:t>Ch08</w:t>
      </w:r>
      <w:r w:rsidRPr="006E5BFD">
        <w:rPr>
          <w:b/>
          <w:color w:val="000000"/>
        </w:rPr>
        <w:t>.19.</w:t>
      </w:r>
      <w:r>
        <w:rPr>
          <w:b/>
          <w:color w:val="000000"/>
        </w:rPr>
        <w:t>Q  Masking in Lyme Disease Trial</w:t>
      </w:r>
    </w:p>
    <w:p w:rsidR="00BB1E0F" w:rsidRPr="006E5BFD" w:rsidRDefault="00BB1E0F" w:rsidP="00BB1E0F">
      <w:pPr>
        <w:rPr>
          <w:lang w:eastAsia="ja-JP"/>
        </w:rPr>
      </w:pPr>
      <w:r w:rsidRPr="006E5BFD">
        <w:t xml:space="preserve">Lyme disease is an infection with a spirochete bacterium acquired from a tick bite.  Most patients recover after treatment of the acute infection with antibiotics, but some can develop chronic symptoms, or "post Lyme syndrome," one symptom of which can be severe fatigue.  The STOP-LD trial a randomized, double-blind trial of a long course of IV ceftriaxone (an antibiotic). </w:t>
      </w:r>
    </w:p>
    <w:p w:rsidR="00BB1E0F" w:rsidRDefault="00BB1E0F" w:rsidP="00BB1E0F">
      <w:pPr>
        <w:widowControl w:val="0"/>
        <w:autoSpaceDE w:val="0"/>
        <w:autoSpaceDN w:val="0"/>
        <w:adjustRightInd w:val="0"/>
        <w:spacing w:after="240"/>
        <w:rPr>
          <w:lang w:eastAsia="ja-JP"/>
        </w:rPr>
      </w:pPr>
    </w:p>
    <w:p w:rsidR="00BB1E0F" w:rsidRPr="006E5BFD" w:rsidRDefault="00BB1E0F" w:rsidP="00BB1E0F">
      <w:pPr>
        <w:widowControl w:val="0"/>
        <w:autoSpaceDE w:val="0"/>
        <w:autoSpaceDN w:val="0"/>
        <w:adjustRightInd w:val="0"/>
        <w:spacing w:after="240"/>
        <w:rPr>
          <w:lang w:eastAsia="ja-JP"/>
        </w:rPr>
      </w:pPr>
      <w:r>
        <w:rPr>
          <w:lang w:eastAsia="ja-JP"/>
        </w:rPr>
        <w:t>T</w:t>
      </w:r>
      <w:r w:rsidRPr="006E5BFD">
        <w:rPr>
          <w:lang w:eastAsia="ja-JP"/>
        </w:rPr>
        <w:t xml:space="preserve">he results section includes: </w:t>
      </w:r>
    </w:p>
    <w:p w:rsidR="00BB1E0F" w:rsidRPr="006E5BFD" w:rsidRDefault="00BB1E0F" w:rsidP="00BB1E0F">
      <w:pPr>
        <w:widowControl w:val="0"/>
        <w:autoSpaceDE w:val="0"/>
        <w:autoSpaceDN w:val="0"/>
        <w:adjustRightInd w:val="0"/>
        <w:spacing w:after="240"/>
        <w:rPr>
          <w:lang w:eastAsia="ja-JP"/>
        </w:rPr>
      </w:pPr>
      <w:r w:rsidRPr="006E5BFD">
        <w:rPr>
          <w:i/>
          <w:iCs/>
          <w:lang w:eastAsia="ja-JP"/>
        </w:rPr>
        <w:t xml:space="preserve">Masking. </w:t>
      </w:r>
      <w:r w:rsidRPr="006E5BFD">
        <w:rPr>
          <w:lang w:eastAsia="ja-JP"/>
        </w:rPr>
        <w:t xml:space="preserve">At … 6 months 69% (18/26) of the ceftriaxone vs 32% (7/22) of the placebo group correctly guessed </w:t>
      </w:r>
      <w:r w:rsidRPr="00817137">
        <w:rPr>
          <w:lang w:eastAsia="ja-JP"/>
        </w:rPr>
        <w:t>their</w:t>
      </w:r>
      <w:r w:rsidRPr="006E5BFD">
        <w:rPr>
          <w:lang w:eastAsia="ja-JP"/>
        </w:rPr>
        <w:t xml:space="preserve"> treatment assignment (</w:t>
      </w:r>
      <w:r w:rsidRPr="006E5BFD">
        <w:rPr>
          <w:i/>
          <w:iCs/>
          <w:lang w:eastAsia="ja-JP"/>
        </w:rPr>
        <w:t xml:space="preserve">p </w:t>
      </w:r>
      <w:r w:rsidRPr="006E5BFD">
        <w:rPr>
          <w:lang w:eastAsia="ja-JP"/>
        </w:rPr>
        <w:t>= 0.004).</w:t>
      </w:r>
    </w:p>
    <w:p w:rsidR="00BB1E0F" w:rsidRPr="006E5BFD" w:rsidRDefault="00BB1E0F" w:rsidP="00BB1E0F">
      <w:pPr>
        <w:widowControl w:val="0"/>
        <w:autoSpaceDE w:val="0"/>
        <w:autoSpaceDN w:val="0"/>
        <w:adjustRightInd w:val="0"/>
        <w:spacing w:after="240"/>
        <w:rPr>
          <w:lang w:eastAsia="ja-JP"/>
        </w:rPr>
      </w:pPr>
      <w:r w:rsidRPr="006E5BFD">
        <w:rPr>
          <w:lang w:eastAsia="ja-JP"/>
        </w:rPr>
        <w:t>In the discussion they wrote:</w:t>
      </w:r>
    </w:p>
    <w:p w:rsidR="00BB1E0F" w:rsidRPr="006E5BFD" w:rsidRDefault="00BB1E0F" w:rsidP="00BB1E0F">
      <w:pPr>
        <w:widowControl w:val="0"/>
        <w:autoSpaceDE w:val="0"/>
        <w:autoSpaceDN w:val="0"/>
        <w:adjustRightInd w:val="0"/>
        <w:spacing w:after="240"/>
        <w:rPr>
          <w:lang w:eastAsia="ja-JP"/>
        </w:rPr>
      </w:pPr>
      <w:r w:rsidRPr="006E5BFD">
        <w:rPr>
          <w:lang w:eastAsia="ja-JP"/>
        </w:rPr>
        <w:t xml:space="preserve"> "The observation that more of the ceftriaxone than placebo treated groups correctly guessed their treatment assignment could mean that masking may have been compromised."</w:t>
      </w:r>
    </w:p>
    <w:p w:rsidR="00BB1E0F" w:rsidRDefault="00BB1E0F" w:rsidP="00BB1E0F">
      <w:r>
        <w:t>Does the comparison above (P=0.004) support the authors' concern that masking may have been compromised?  Explain.</w:t>
      </w:r>
    </w:p>
    <w:p w:rsidR="002D487E" w:rsidRDefault="002D487E" w:rsidP="002D487E"/>
    <w:p w:rsidR="002D487E" w:rsidRDefault="002D487E" w:rsidP="00937E37">
      <w:pPr>
        <w:ind w:right="-180"/>
        <w:rPr>
          <w:rFonts w:ascii="Arial" w:hAnsi="Arial" w:cs="Arial"/>
          <w:b/>
          <w:sz w:val="22"/>
          <w:szCs w:val="22"/>
          <w:lang w:eastAsia="ja-JP"/>
        </w:rPr>
      </w:pPr>
    </w:p>
    <w:p w:rsidR="00CF4FCC" w:rsidRDefault="00CF4FCC" w:rsidP="00937E37">
      <w:pPr>
        <w:ind w:right="-180"/>
        <w:rPr>
          <w:rFonts w:ascii="Arial" w:hAnsi="Arial" w:cs="Arial"/>
          <w:b/>
          <w:sz w:val="22"/>
          <w:szCs w:val="22"/>
          <w:lang w:eastAsia="ja-JP"/>
        </w:rPr>
      </w:pPr>
      <w:r>
        <w:rPr>
          <w:rFonts w:ascii="Arial" w:hAnsi="Arial" w:cs="Arial"/>
          <w:b/>
          <w:sz w:val="22"/>
          <w:szCs w:val="22"/>
          <w:lang w:eastAsia="ja-JP"/>
        </w:rPr>
        <w:t>Ch08</w:t>
      </w:r>
      <w:r w:rsidR="00937E37">
        <w:rPr>
          <w:rFonts w:ascii="Arial" w:hAnsi="Arial" w:cs="Arial"/>
          <w:b/>
          <w:sz w:val="22"/>
          <w:szCs w:val="22"/>
          <w:lang w:eastAsia="ja-JP"/>
        </w:rPr>
        <w:t>.20</w:t>
      </w:r>
      <w:r w:rsidR="009632EF">
        <w:rPr>
          <w:rFonts w:ascii="Arial" w:hAnsi="Arial" w:cs="Arial"/>
          <w:b/>
          <w:sz w:val="22"/>
          <w:szCs w:val="22"/>
          <w:lang w:eastAsia="ja-JP"/>
        </w:rPr>
        <w:t>.Q</w:t>
      </w:r>
      <w:r w:rsidR="004E56E8">
        <w:rPr>
          <w:rFonts w:ascii="Arial" w:hAnsi="Arial" w:cs="Arial"/>
          <w:b/>
          <w:sz w:val="22"/>
          <w:szCs w:val="22"/>
          <w:lang w:eastAsia="ja-JP"/>
        </w:rPr>
        <w:t>.</w:t>
      </w:r>
      <w:r w:rsidR="00937E37">
        <w:rPr>
          <w:rFonts w:ascii="Arial" w:hAnsi="Arial" w:cs="Arial"/>
          <w:b/>
          <w:sz w:val="22"/>
          <w:szCs w:val="22"/>
          <w:lang w:eastAsia="ja-JP"/>
        </w:rPr>
        <w:t xml:space="preserve"> </w:t>
      </w:r>
      <w:r>
        <w:rPr>
          <w:rFonts w:ascii="Arial" w:hAnsi="Arial" w:cs="Arial"/>
          <w:b/>
          <w:sz w:val="22"/>
          <w:szCs w:val="22"/>
          <w:lang w:eastAsia="ja-JP"/>
        </w:rPr>
        <w:t>Planned C-Section</w:t>
      </w:r>
    </w:p>
    <w:p w:rsidR="00CF4FCC" w:rsidRDefault="00937E37" w:rsidP="00937E37">
      <w:pPr>
        <w:ind w:right="-180"/>
        <w:rPr>
          <w:rFonts w:ascii="Arial" w:hAnsi="Arial" w:cs="Arial"/>
          <w:sz w:val="22"/>
          <w:szCs w:val="22"/>
        </w:rPr>
      </w:pPr>
      <w:r w:rsidRPr="000917B8">
        <w:rPr>
          <w:rFonts w:ascii="Arial" w:hAnsi="Arial" w:cs="Arial"/>
          <w:sz w:val="22"/>
          <w:szCs w:val="22"/>
        </w:rPr>
        <w:t>With thanks to Sarah Averbach, Juno Obedin-Maliver, and Nika Seidman</w:t>
      </w:r>
      <w:r>
        <w:rPr>
          <w:rFonts w:ascii="Arial" w:hAnsi="Arial" w:cs="Arial"/>
          <w:sz w:val="22"/>
          <w:szCs w:val="22"/>
        </w:rPr>
        <w:t xml:space="preserve"> (students in 2014 course)</w:t>
      </w:r>
    </w:p>
    <w:p w:rsidR="00CF4FCC" w:rsidRDefault="00CF4FCC" w:rsidP="00937E37">
      <w:pPr>
        <w:ind w:right="-180"/>
        <w:rPr>
          <w:rFonts w:ascii="Arial" w:hAnsi="Arial" w:cs="Arial"/>
          <w:sz w:val="22"/>
          <w:szCs w:val="22"/>
        </w:rPr>
      </w:pPr>
    </w:p>
    <w:p w:rsidR="00937E37" w:rsidRPr="00AE63C7" w:rsidRDefault="00937E37" w:rsidP="00937E37">
      <w:pPr>
        <w:ind w:right="-180"/>
        <w:rPr>
          <w:rFonts w:ascii="Arial" w:hAnsi="Arial" w:cs="Arial"/>
          <w:b/>
          <w:sz w:val="22"/>
          <w:szCs w:val="22"/>
        </w:rPr>
      </w:pPr>
      <w:r w:rsidRPr="00AE63C7">
        <w:rPr>
          <w:rFonts w:ascii="Arial" w:hAnsi="Arial" w:cs="Arial"/>
          <w:b/>
          <w:sz w:val="22"/>
          <w:szCs w:val="22"/>
        </w:rPr>
        <w:t>Planned vaginal vs planned cesarean delivery for breech presentation</w:t>
      </w:r>
    </w:p>
    <w:p w:rsidR="00937E37" w:rsidRPr="000917B8" w:rsidRDefault="00937E37" w:rsidP="00937E37">
      <w:pPr>
        <w:ind w:right="-180"/>
        <w:rPr>
          <w:rFonts w:ascii="Arial" w:hAnsi="Arial" w:cs="Arial"/>
          <w:sz w:val="22"/>
          <w:szCs w:val="22"/>
        </w:rPr>
      </w:pPr>
      <w:r w:rsidRPr="000917B8">
        <w:rPr>
          <w:rFonts w:ascii="Arial" w:hAnsi="Arial" w:cs="Arial"/>
          <w:sz w:val="22"/>
          <w:szCs w:val="22"/>
        </w:rPr>
        <w:t xml:space="preserve">Women who have a fetus in the breech position (feet/bottom down, head up) at term can either plan to attempt a vaginal breech delivery or plan to deliver by cesarean section. Vaginal breech deliveries are less risky for mothers but may be more risky for infants.  </w:t>
      </w:r>
    </w:p>
    <w:p w:rsidR="00937E37" w:rsidRPr="000917B8" w:rsidRDefault="00937E37" w:rsidP="00937E37">
      <w:pPr>
        <w:ind w:right="-180"/>
        <w:rPr>
          <w:rFonts w:ascii="Arial" w:hAnsi="Arial" w:cs="Arial"/>
          <w:sz w:val="22"/>
          <w:szCs w:val="22"/>
        </w:rPr>
      </w:pPr>
    </w:p>
    <w:p w:rsidR="00937E37" w:rsidRDefault="00937E37" w:rsidP="00CF4FCC">
      <w:pPr>
        <w:pStyle w:val="ListParagraph"/>
        <w:numPr>
          <w:ilvl w:val="0"/>
          <w:numId w:val="1"/>
        </w:numPr>
        <w:ind w:right="-180"/>
        <w:rPr>
          <w:rFonts w:ascii="Arial" w:hAnsi="Arial" w:cs="Arial"/>
          <w:sz w:val="22"/>
          <w:szCs w:val="22"/>
        </w:rPr>
      </w:pPr>
      <w:r w:rsidRPr="00CF4FCC">
        <w:rPr>
          <w:rFonts w:ascii="Arial" w:hAnsi="Arial" w:cs="Arial"/>
          <w:sz w:val="22"/>
          <w:szCs w:val="22"/>
        </w:rPr>
        <w:t>For their randomized controlled trial comparing planned vaginal delivery to planned cesarean delivery for singleton breech fetuses at term, Hannah et al</w:t>
      </w:r>
      <w:r w:rsidRPr="00333214">
        <w:t xml:space="preserve"> </w:t>
      </w:r>
      <w:r w:rsidRPr="00CF4FCC">
        <w:rPr>
          <w:rFonts w:ascii="Arial" w:hAnsi="Arial" w:cs="Arial"/>
          <w:sz w:val="22"/>
          <w:szCs w:val="22"/>
        </w:rPr>
        <w:fldChar w:fldCharType="begin"/>
      </w:r>
      <w:r w:rsidR="00965215">
        <w:rPr>
          <w:rFonts w:ascii="Arial" w:hAnsi="Arial" w:cs="Arial"/>
          <w:sz w:val="22"/>
          <w:szCs w:val="22"/>
        </w:rPr>
        <w:instrText xml:space="preserve"> ADDIN EN.CITE &lt;EndNote&gt;&lt;Cite&gt;&lt;Author&gt;Hannah&lt;/Author&gt;&lt;Year&gt;2000&lt;/Year&gt;&lt;RecNum&gt;2674&lt;/RecNum&gt;&lt;DisplayText&gt;(Hannah, Hannah et al. 2000)&lt;/DisplayText&gt;&lt;record&gt;&lt;rec-number&gt;2674&lt;/rec-number&gt;&lt;foreign-keys&gt;&lt;key app="EN" db-id="s5wrswzpewzvvze9sxpxree4s0x5vdrwfapp" timestamp="1446160335"&gt;2674&lt;/key&gt;&lt;/foreign-keys&gt;&lt;ref-type name="Journal Article"&gt;17&lt;/ref-type&gt;&lt;contributors&gt;&lt;authors&gt;&lt;author&gt;Hannah, M. E.&lt;/author&gt;&lt;author&gt;Hannah, W. J.&lt;/author&gt;&lt;author&gt;Hewson, S. A.&lt;/author&gt;&lt;author&gt;Hodnett, E. D.&lt;/author&gt;&lt;author&gt;Saigal, S.&lt;/author&gt;&lt;author&gt;Willan, A. R.&lt;/author&gt;&lt;/authors&gt;&lt;/contributors&gt;&lt;auth-address&gt;Department of Obstetrics and Gynaecology, Sunnybrook and Women&amp;apos;s College Health Sciences Centre, Toronto, Ontario, Canada. mary.hannah@utoronto.ca&lt;/auth-address&gt;&lt;titles&gt;&lt;title&gt;Planned caesarean section versus planned vaginal birth for breech presentation at term: a randomised multicentre trial. Term Breech Trial Collaborative Group&lt;/title&gt;&lt;secondary-title&gt;Lancet&lt;/secondary-title&gt;&lt;/titles&gt;&lt;periodical&gt;&lt;full-title&gt;Lancet&lt;/full-title&gt;&lt;/periodical&gt;&lt;pages&gt;1375-83&lt;/pages&gt;&lt;volume&gt;356&lt;/volume&gt;&lt;number&gt;9239&lt;/number&gt;&lt;keywords&gt;&lt;keyword&gt;Adult&lt;/keyword&gt;&lt;keyword&gt;*Breech Presentation&lt;/keyword&gt;&lt;keyword&gt;*Cesarean Section&lt;/keyword&gt;&lt;keyword&gt;Female&lt;/keyword&gt;&lt;keyword&gt;Gestational Age&lt;/keyword&gt;&lt;keyword&gt;Humans&lt;/keyword&gt;&lt;keyword&gt;*Infant Mortality&lt;/keyword&gt;&lt;keyword&gt;Infant, Newborn&lt;/keyword&gt;&lt;keyword&gt;Maternal Age&lt;/keyword&gt;&lt;keyword&gt;*Maternal Mortality&lt;/keyword&gt;&lt;keyword&gt;Parity&lt;/keyword&gt;&lt;keyword&gt;Pregnancy&lt;/keyword&gt;&lt;keyword&gt;*Pregnancy Outcome&lt;/keyword&gt;&lt;/keywords&gt;&lt;dates&gt;&lt;year&gt;2000&lt;/year&gt;&lt;pub-dates&gt;&lt;date&gt;Oct 21&lt;/date&gt;&lt;/pub-dates&gt;&lt;/dates&gt;&lt;isbn&gt;0140-6736 (Print)&amp;#xD;0140-6736 (Linking)&lt;/isbn&gt;&lt;accession-num&gt;11052579&lt;/accession-num&gt;&lt;urls&gt;&lt;related-urls&gt;&lt;url&gt;http://www.ncbi.nlm.nih.gov/pubmed/11052579&lt;/url&gt;&lt;/related-urls&gt;&lt;/urls&gt;&lt;/record&gt;&lt;/Cite&gt;&lt;/EndNote&gt;</w:instrText>
      </w:r>
      <w:r w:rsidRPr="00CF4FCC">
        <w:rPr>
          <w:rFonts w:ascii="Arial" w:hAnsi="Arial" w:cs="Arial"/>
          <w:sz w:val="22"/>
          <w:szCs w:val="22"/>
        </w:rPr>
        <w:fldChar w:fldCharType="separate"/>
      </w:r>
      <w:r w:rsidR="00965215">
        <w:rPr>
          <w:rFonts w:ascii="Arial" w:hAnsi="Arial" w:cs="Arial"/>
          <w:noProof/>
          <w:sz w:val="22"/>
          <w:szCs w:val="22"/>
        </w:rPr>
        <w:t>(Hannah, Hannah et al. 2000)</w:t>
      </w:r>
      <w:r w:rsidRPr="00CF4FCC">
        <w:rPr>
          <w:rFonts w:ascii="Arial" w:hAnsi="Arial" w:cs="Arial"/>
          <w:sz w:val="22"/>
          <w:szCs w:val="22"/>
        </w:rPr>
        <w:fldChar w:fldCharType="end"/>
      </w:r>
      <w:r w:rsidRPr="00CF4FCC">
        <w:rPr>
          <w:rFonts w:ascii="Arial" w:hAnsi="Arial" w:cs="Arial"/>
          <w:sz w:val="22"/>
          <w:szCs w:val="22"/>
        </w:rPr>
        <w:t xml:space="preserve"> enrolled 2088 subjects from 121 centers in 26 countries.  The primary outcomes were perinatal mortality, neonatal mortality, serious neonatal morbidity, maternal mortality and serious maternal morbidity. If you were to design this study, how would you incorporate blinding? Who would be blinded, </w:t>
      </w:r>
      <w:r w:rsidR="00CF4FCC" w:rsidRPr="00CF4FCC">
        <w:rPr>
          <w:rFonts w:ascii="Arial" w:hAnsi="Arial" w:cs="Arial"/>
          <w:sz w:val="22"/>
          <w:szCs w:val="22"/>
        </w:rPr>
        <w:t>and for what outcomes? Why?</w:t>
      </w:r>
    </w:p>
    <w:p w:rsidR="00CF4FCC" w:rsidRDefault="00CF4FCC" w:rsidP="00CF4FCC">
      <w:pPr>
        <w:pStyle w:val="ListParagraph"/>
        <w:ind w:right="-180"/>
        <w:rPr>
          <w:rFonts w:ascii="Arial" w:hAnsi="Arial" w:cs="Arial"/>
          <w:sz w:val="22"/>
          <w:szCs w:val="22"/>
        </w:rPr>
      </w:pPr>
    </w:p>
    <w:p w:rsidR="00CF4FCC" w:rsidRPr="00CF4FCC" w:rsidRDefault="00CF4FCC" w:rsidP="00CF4FCC">
      <w:pPr>
        <w:pStyle w:val="ListParagraph"/>
        <w:ind w:right="-180"/>
        <w:rPr>
          <w:rFonts w:ascii="Arial" w:hAnsi="Arial" w:cs="Arial"/>
          <w:sz w:val="22"/>
          <w:szCs w:val="22"/>
        </w:rPr>
      </w:pPr>
      <w:r>
        <w:rPr>
          <w:color w:val="00B0F0"/>
          <w:szCs w:val="22"/>
        </w:rPr>
        <w:br/>
      </w:r>
    </w:p>
    <w:p w:rsidR="00CF4FCC" w:rsidRPr="00CF4FCC" w:rsidRDefault="00CF4FCC" w:rsidP="00CF4FCC">
      <w:pPr>
        <w:ind w:right="-180"/>
        <w:rPr>
          <w:rFonts w:ascii="Arial" w:hAnsi="Arial" w:cs="Arial"/>
          <w:sz w:val="10"/>
          <w:szCs w:val="10"/>
        </w:rPr>
      </w:pPr>
    </w:p>
    <w:p w:rsidR="00937E37" w:rsidRPr="00CF4FCC" w:rsidRDefault="00937E37" w:rsidP="00CF4FCC">
      <w:pPr>
        <w:pStyle w:val="ListParagraph"/>
        <w:numPr>
          <w:ilvl w:val="0"/>
          <w:numId w:val="1"/>
        </w:numPr>
        <w:ind w:right="-180"/>
        <w:rPr>
          <w:rFonts w:ascii="Arial" w:hAnsi="Arial" w:cs="Arial"/>
          <w:sz w:val="22"/>
          <w:szCs w:val="22"/>
        </w:rPr>
      </w:pPr>
      <w:r w:rsidRPr="00CF4FCC">
        <w:rPr>
          <w:rFonts w:ascii="Arial" w:hAnsi="Arial" w:cs="Arial"/>
          <w:sz w:val="22"/>
          <w:szCs w:val="22"/>
        </w:rPr>
        <w:t xml:space="preserve">The primary endpoint of this study was infant mortality at &lt;28 days of age or “serious neonatal morbidity.” The authors defined “serious neonatal morbidity” as one or more of the following (list abbreviated for this question): spinal-cord injury, skull fracture, peripheral-nerve injury present at hospital discharge, seizure at &lt;24 hours of age; Apgar score &lt;4 at 5 minutes; stupor, decreased response to pain, or coma; intubation for &gt;24 hours; tube feeding for &gt;4 days; or admission to the </w:t>
      </w:r>
      <w:r w:rsidRPr="00CF4FCC">
        <w:rPr>
          <w:rFonts w:ascii="Arial" w:hAnsi="Arial" w:cs="Arial"/>
          <w:sz w:val="22"/>
          <w:szCs w:val="22"/>
        </w:rPr>
        <w:lastRenderedPageBreak/>
        <w:t>intensive care unit for &gt;4 days.  What is the main advantage of using such a composite outcome?  What is the main disadvantage</w:t>
      </w:r>
      <w:r w:rsidR="00CF4FCC" w:rsidRPr="00CF4FCC">
        <w:rPr>
          <w:rFonts w:ascii="Arial" w:hAnsi="Arial" w:cs="Arial"/>
          <w:sz w:val="22"/>
          <w:szCs w:val="22"/>
        </w:rPr>
        <w:t>?</w:t>
      </w:r>
    </w:p>
    <w:p w:rsidR="00CF4FCC" w:rsidRPr="00CF4FCC" w:rsidRDefault="00CF4FCC" w:rsidP="00CF4FCC">
      <w:pPr>
        <w:pStyle w:val="ListParagraph"/>
        <w:ind w:right="-180"/>
        <w:rPr>
          <w:rFonts w:ascii="Arial" w:hAnsi="Arial" w:cs="Arial"/>
          <w:sz w:val="22"/>
          <w:szCs w:val="22"/>
        </w:rPr>
      </w:pPr>
    </w:p>
    <w:p w:rsidR="00937E37" w:rsidRDefault="00937E37" w:rsidP="00937E37">
      <w:pPr>
        <w:ind w:right="-180"/>
        <w:rPr>
          <w:rFonts w:ascii="Arial" w:hAnsi="Arial" w:cs="Arial"/>
          <w:i/>
          <w:color w:val="0000FF"/>
          <w:sz w:val="22"/>
          <w:szCs w:val="22"/>
        </w:rPr>
      </w:pPr>
    </w:p>
    <w:p w:rsidR="00937E37" w:rsidRPr="000917B8" w:rsidRDefault="00937E37" w:rsidP="00937E37">
      <w:pPr>
        <w:ind w:right="-180"/>
        <w:rPr>
          <w:rFonts w:ascii="Arial" w:hAnsi="Arial" w:cs="Arial"/>
          <w:sz w:val="22"/>
          <w:szCs w:val="22"/>
        </w:rPr>
      </w:pPr>
    </w:p>
    <w:p w:rsidR="00937E37" w:rsidRPr="00CF4FCC" w:rsidRDefault="00937E37" w:rsidP="00CF4FCC">
      <w:pPr>
        <w:pStyle w:val="ListParagraph"/>
        <w:numPr>
          <w:ilvl w:val="0"/>
          <w:numId w:val="1"/>
        </w:numPr>
        <w:ind w:right="-180"/>
        <w:rPr>
          <w:rFonts w:ascii="Arial" w:hAnsi="Arial" w:cs="Arial"/>
          <w:sz w:val="22"/>
          <w:szCs w:val="22"/>
        </w:rPr>
      </w:pPr>
      <w:r w:rsidRPr="00CF4FCC">
        <w:rPr>
          <w:rFonts w:ascii="Arial" w:hAnsi="Arial" w:cs="Arial"/>
          <w:sz w:val="22"/>
          <w:szCs w:val="22"/>
        </w:rPr>
        <w:t xml:space="preserve">Even if a vaginal delivery route is initially planned, the plan can change during labor because of perceived danger to mother or fetus; in this case a cesarean section may be done on an urgent or emergent basis.  After randomization 90% (941/1041) of women randomized to cesarean section delivered that way and 57% (591/1042) of those randomized to vaginal delivery had a vaginal delivery.  For the question of the effect of </w:t>
      </w:r>
      <w:r w:rsidRPr="00CF4FCC">
        <w:rPr>
          <w:rFonts w:ascii="Arial" w:hAnsi="Arial" w:cs="Arial"/>
          <w:b/>
          <w:sz w:val="22"/>
          <w:szCs w:val="22"/>
        </w:rPr>
        <w:t>PLANNING</w:t>
      </w:r>
      <w:r w:rsidRPr="00CF4FCC">
        <w:rPr>
          <w:rFonts w:ascii="Arial" w:hAnsi="Arial" w:cs="Arial"/>
          <w:sz w:val="22"/>
          <w:szCs w:val="22"/>
        </w:rPr>
        <w:t xml:space="preserve"> a c-section vs. </w:t>
      </w:r>
      <w:r w:rsidRPr="00CF4FCC">
        <w:rPr>
          <w:rFonts w:ascii="Arial" w:hAnsi="Arial" w:cs="Arial"/>
          <w:b/>
          <w:sz w:val="22"/>
          <w:szCs w:val="22"/>
        </w:rPr>
        <w:t>PLANNING</w:t>
      </w:r>
      <w:r w:rsidRPr="00CF4FCC">
        <w:rPr>
          <w:rFonts w:ascii="Arial" w:hAnsi="Arial" w:cs="Arial"/>
          <w:sz w:val="22"/>
          <w:szCs w:val="22"/>
        </w:rPr>
        <w:t xml:space="preserve"> a vaginal delivery will an "Intention to Treat" analysis of this trial bias results towards finding no difference</w:t>
      </w:r>
      <w:r w:rsidR="00CF4FCC" w:rsidRPr="00CF4FCC">
        <w:rPr>
          <w:rFonts w:ascii="Arial" w:hAnsi="Arial" w:cs="Arial"/>
          <w:sz w:val="22"/>
          <w:szCs w:val="22"/>
        </w:rPr>
        <w:t>?</w:t>
      </w:r>
    </w:p>
    <w:p w:rsidR="00CF4FCC" w:rsidRPr="00CF4FCC" w:rsidRDefault="00CF4FCC" w:rsidP="00CF4FCC">
      <w:pPr>
        <w:pStyle w:val="ListParagraph"/>
        <w:ind w:right="-180"/>
        <w:rPr>
          <w:rFonts w:ascii="Arial" w:hAnsi="Arial" w:cs="Arial"/>
          <w:sz w:val="22"/>
          <w:szCs w:val="22"/>
        </w:rPr>
      </w:pPr>
    </w:p>
    <w:p w:rsidR="009632EF" w:rsidRPr="00EF1392" w:rsidRDefault="00937E37" w:rsidP="009632EF">
      <w:pPr>
        <w:ind w:left="720" w:right="-180"/>
        <w:rPr>
          <w:rFonts w:ascii="Arial" w:hAnsi="Arial" w:cs="Arial"/>
          <w:i/>
          <w:color w:val="0000FF"/>
          <w:sz w:val="22"/>
          <w:szCs w:val="22"/>
        </w:rPr>
      </w:pPr>
      <w:r w:rsidRPr="000917B8">
        <w:rPr>
          <w:rFonts w:ascii="Arial" w:hAnsi="Arial" w:cs="Arial"/>
          <w:sz w:val="22"/>
          <w:szCs w:val="22"/>
        </w:rPr>
        <w:br/>
      </w:r>
    </w:p>
    <w:p w:rsidR="00937E37" w:rsidRPr="00EF1392" w:rsidRDefault="00937E37" w:rsidP="00CF4FCC">
      <w:pPr>
        <w:ind w:left="360" w:right="-180"/>
        <w:rPr>
          <w:rFonts w:ascii="Arial" w:hAnsi="Arial" w:cs="Arial"/>
          <w:i/>
          <w:color w:val="0000FF"/>
          <w:sz w:val="22"/>
          <w:szCs w:val="22"/>
        </w:rPr>
      </w:pPr>
    </w:p>
    <w:p w:rsidR="00937E37" w:rsidRPr="00CF4FCC" w:rsidRDefault="00937E37" w:rsidP="00CF4FCC">
      <w:pPr>
        <w:pStyle w:val="ListParagraph"/>
        <w:numPr>
          <w:ilvl w:val="0"/>
          <w:numId w:val="1"/>
        </w:numPr>
        <w:ind w:right="-180"/>
        <w:rPr>
          <w:rFonts w:ascii="Arial" w:hAnsi="Arial" w:cs="Arial"/>
          <w:sz w:val="22"/>
          <w:szCs w:val="22"/>
        </w:rPr>
      </w:pPr>
      <w:r w:rsidRPr="00CF4FCC">
        <w:rPr>
          <w:rFonts w:ascii="Arial" w:hAnsi="Arial" w:cs="Arial"/>
          <w:sz w:val="22"/>
          <w:szCs w:val="22"/>
        </w:rPr>
        <w:t>The outcome of perinatal or neonatal mortality (death of the fetus after 22 weeks or of the newborn up to 28 days of age, excluding 5 subjects with lethal congenital anomalies) occurred in 3/1039 (0.3%) in the planned cesarean group and 13/1039 (1.3%) in the planned vaginal delivery group (RR =0.23; 95% CI 0.07-0.81, P=0.02).</w:t>
      </w:r>
    </w:p>
    <w:p w:rsidR="00CF4FCC" w:rsidRPr="00CF4FCC" w:rsidRDefault="00CF4FCC" w:rsidP="00CF4FCC">
      <w:pPr>
        <w:pStyle w:val="ListParagraph"/>
        <w:ind w:right="-180"/>
        <w:rPr>
          <w:rFonts w:ascii="Arial" w:hAnsi="Arial" w:cs="Arial"/>
          <w:sz w:val="22"/>
          <w:szCs w:val="22"/>
        </w:rPr>
      </w:pPr>
    </w:p>
    <w:p w:rsidR="00937E37" w:rsidRPr="000917B8" w:rsidRDefault="00937E37" w:rsidP="00937E37">
      <w:pPr>
        <w:ind w:right="-180"/>
        <w:rPr>
          <w:rFonts w:ascii="Arial" w:hAnsi="Arial" w:cs="Arial"/>
          <w:sz w:val="22"/>
          <w:szCs w:val="22"/>
        </w:rPr>
      </w:pPr>
    </w:p>
    <w:p w:rsidR="00937E37" w:rsidRPr="009632EF" w:rsidRDefault="00937E37" w:rsidP="009632EF">
      <w:pPr>
        <w:pStyle w:val="ListParagraph"/>
        <w:numPr>
          <w:ilvl w:val="0"/>
          <w:numId w:val="2"/>
        </w:numPr>
        <w:ind w:right="-180"/>
        <w:rPr>
          <w:rFonts w:ascii="Arial" w:hAnsi="Arial" w:cs="Arial"/>
          <w:sz w:val="22"/>
          <w:szCs w:val="22"/>
        </w:rPr>
      </w:pPr>
      <w:r w:rsidRPr="009632EF">
        <w:rPr>
          <w:rFonts w:ascii="Arial" w:hAnsi="Arial" w:cs="Arial"/>
          <w:sz w:val="22"/>
          <w:szCs w:val="22"/>
        </w:rPr>
        <w:t xml:space="preserve">What were the overall Relative Risk Reduction (RRR) and Absolute Risk Reduction (ARR) for perinatal/neonatal mortality? </w:t>
      </w:r>
    </w:p>
    <w:p w:rsidR="009632EF" w:rsidRPr="009632EF" w:rsidRDefault="009632EF" w:rsidP="009632EF">
      <w:pPr>
        <w:pStyle w:val="ListParagraph"/>
        <w:ind w:left="1440" w:right="-180"/>
        <w:rPr>
          <w:rFonts w:ascii="Arial" w:hAnsi="Arial" w:cs="Arial"/>
          <w:sz w:val="22"/>
          <w:szCs w:val="22"/>
        </w:rPr>
      </w:pPr>
    </w:p>
    <w:p w:rsidR="00937E37" w:rsidRPr="00EF1392" w:rsidRDefault="00937E37" w:rsidP="00937E37">
      <w:pPr>
        <w:ind w:left="720" w:right="-180"/>
        <w:rPr>
          <w:rFonts w:ascii="Arial" w:hAnsi="Arial" w:cs="Arial"/>
          <w:color w:val="0000FF"/>
          <w:sz w:val="22"/>
          <w:szCs w:val="22"/>
        </w:rPr>
      </w:pPr>
    </w:p>
    <w:p w:rsidR="00937E37" w:rsidRPr="009632EF" w:rsidRDefault="00937E37" w:rsidP="009632EF">
      <w:pPr>
        <w:pStyle w:val="ListParagraph"/>
        <w:numPr>
          <w:ilvl w:val="0"/>
          <w:numId w:val="2"/>
        </w:numPr>
        <w:ind w:right="-180"/>
        <w:rPr>
          <w:rFonts w:ascii="Arial" w:hAnsi="Arial" w:cs="Arial"/>
          <w:sz w:val="22"/>
          <w:szCs w:val="22"/>
        </w:rPr>
      </w:pPr>
      <w:r w:rsidRPr="009632EF">
        <w:rPr>
          <w:rFonts w:ascii="Arial" w:hAnsi="Arial" w:cs="Arial"/>
          <w:sz w:val="22"/>
          <w:szCs w:val="22"/>
        </w:rPr>
        <w:t xml:space="preserve">How many women need to </w:t>
      </w:r>
      <w:r w:rsidRPr="009632EF">
        <w:rPr>
          <w:rFonts w:ascii="Arial" w:hAnsi="Arial" w:cs="Arial"/>
          <w:i/>
          <w:sz w:val="22"/>
          <w:szCs w:val="22"/>
        </w:rPr>
        <w:t xml:space="preserve">plan </w:t>
      </w:r>
      <w:r w:rsidRPr="009632EF">
        <w:rPr>
          <w:rFonts w:ascii="Arial" w:hAnsi="Arial" w:cs="Arial"/>
          <w:sz w:val="22"/>
          <w:szCs w:val="22"/>
        </w:rPr>
        <w:t>a caesarian delivery rather than a vaginal breech delivery to prevent one perinatal or neonatal death? </w:t>
      </w:r>
    </w:p>
    <w:p w:rsidR="009632EF" w:rsidRPr="009632EF" w:rsidRDefault="009632EF" w:rsidP="009632EF">
      <w:pPr>
        <w:pStyle w:val="ListParagraph"/>
        <w:ind w:left="1440" w:right="-180"/>
        <w:rPr>
          <w:rFonts w:ascii="Arial" w:hAnsi="Arial" w:cs="Arial"/>
          <w:sz w:val="22"/>
          <w:szCs w:val="22"/>
        </w:rPr>
      </w:pPr>
    </w:p>
    <w:p w:rsidR="00937E37" w:rsidRDefault="00937E37" w:rsidP="00937E37">
      <w:pPr>
        <w:ind w:left="720" w:right="-180"/>
        <w:rPr>
          <w:rFonts w:ascii="Arial" w:hAnsi="Arial" w:cs="Arial"/>
          <w:sz w:val="22"/>
          <w:szCs w:val="22"/>
        </w:rPr>
      </w:pPr>
    </w:p>
    <w:p w:rsidR="00937E37" w:rsidRPr="00F8480C" w:rsidRDefault="00937E37" w:rsidP="00937E37">
      <w:pPr>
        <w:ind w:left="720" w:right="-180"/>
        <w:rPr>
          <w:color w:val="0099FF"/>
          <w:szCs w:val="22"/>
        </w:rPr>
      </w:pPr>
    </w:p>
    <w:p w:rsidR="00937E37" w:rsidRDefault="00937E37" w:rsidP="00937E37">
      <w:pPr>
        <w:ind w:right="-180"/>
        <w:rPr>
          <w:rFonts w:ascii="Arial" w:hAnsi="Arial" w:cs="Arial"/>
          <w:sz w:val="22"/>
          <w:szCs w:val="22"/>
        </w:rPr>
      </w:pPr>
    </w:p>
    <w:p w:rsidR="00937E37" w:rsidRPr="009632EF" w:rsidRDefault="00937E37" w:rsidP="009632EF">
      <w:pPr>
        <w:pStyle w:val="ListParagraph"/>
        <w:numPr>
          <w:ilvl w:val="0"/>
          <w:numId w:val="2"/>
        </w:numPr>
        <w:ind w:right="-180"/>
        <w:rPr>
          <w:rFonts w:ascii="Arial" w:hAnsi="Arial" w:cs="Arial"/>
          <w:sz w:val="22"/>
          <w:szCs w:val="22"/>
        </w:rPr>
      </w:pPr>
      <w:r w:rsidRPr="009632EF">
        <w:rPr>
          <w:rFonts w:ascii="Arial" w:hAnsi="Arial" w:cs="Arial"/>
          <w:b/>
          <w:sz w:val="22"/>
          <w:szCs w:val="22"/>
          <w:highlight w:val="yellow"/>
        </w:rPr>
        <w:t>(Extra credit)</w:t>
      </w:r>
      <w:r w:rsidRPr="009632EF">
        <w:rPr>
          <w:rFonts w:ascii="Arial" w:hAnsi="Arial" w:cs="Arial"/>
          <w:sz w:val="22"/>
          <w:szCs w:val="22"/>
        </w:rPr>
        <w:t xml:space="preserve">  Because of the crossover between groups, the actual number of additional Cesarean deliveries needed to prevent one perinatal or neonatal death was less than the number calculated above.  Taking that crossover into account how many additional cesarean deliveries did it take to prevent one perinatal or neonatal death by planning a Cesarean delivery? </w:t>
      </w:r>
      <w:r w:rsidRPr="009632EF">
        <w:rPr>
          <w:rFonts w:ascii="Arial" w:hAnsi="Arial" w:cs="Arial"/>
          <w:b/>
          <w:sz w:val="22"/>
          <w:szCs w:val="22"/>
          <w:highlight w:val="yellow"/>
        </w:rPr>
        <w:t>[+2 extra credit points</w:t>
      </w:r>
      <w:r w:rsidRPr="009632EF">
        <w:rPr>
          <w:rFonts w:ascii="Arial" w:hAnsi="Arial" w:cs="Arial"/>
          <w:sz w:val="22"/>
          <w:szCs w:val="22"/>
        </w:rPr>
        <w:t xml:space="preserve">]?  </w:t>
      </w:r>
    </w:p>
    <w:p w:rsidR="009632EF" w:rsidRPr="009632EF" w:rsidRDefault="009632EF" w:rsidP="009632EF">
      <w:pPr>
        <w:pStyle w:val="ListParagraph"/>
        <w:ind w:left="1440" w:right="-180"/>
        <w:rPr>
          <w:rFonts w:ascii="Arial" w:hAnsi="Arial" w:cs="Arial"/>
          <w:sz w:val="22"/>
          <w:szCs w:val="22"/>
        </w:rPr>
      </w:pPr>
    </w:p>
    <w:p w:rsidR="00937E37" w:rsidRDefault="00937E37" w:rsidP="00937E37">
      <w:pPr>
        <w:ind w:left="720" w:right="-180"/>
        <w:rPr>
          <w:rFonts w:ascii="Arial" w:hAnsi="Arial" w:cs="Arial"/>
          <w:sz w:val="22"/>
          <w:szCs w:val="22"/>
        </w:rPr>
      </w:pPr>
    </w:p>
    <w:p w:rsidR="00937E37" w:rsidRDefault="00937E37" w:rsidP="009632EF">
      <w:pPr>
        <w:ind w:left="720" w:right="-180"/>
        <w:rPr>
          <w:rFonts w:ascii="Arial" w:hAnsi="Arial" w:cs="Arial"/>
          <w:i/>
          <w:sz w:val="22"/>
          <w:szCs w:val="22"/>
        </w:rPr>
      </w:pPr>
      <w:r>
        <w:rPr>
          <w:color w:val="0099FF"/>
        </w:rPr>
        <w:br/>
      </w:r>
    </w:p>
    <w:p w:rsidR="00965215" w:rsidRPr="00965215" w:rsidRDefault="00965215" w:rsidP="00965215">
      <w:pPr>
        <w:pStyle w:val="EndNoteBibliography"/>
      </w:pPr>
      <w:r>
        <w:fldChar w:fldCharType="begin"/>
      </w:r>
      <w:r>
        <w:instrText xml:space="preserve"> ADDIN EN.REFLIST </w:instrText>
      </w:r>
      <w:r>
        <w:fldChar w:fldCharType="separate"/>
      </w:r>
      <w:r w:rsidRPr="00965215">
        <w:t xml:space="preserve">Hannah, M. E., W. J. Hannah, S. A. Hewson, E. D. Hodnett, S. Saigal and A. R. Willan (2000). "Planned caesarean section versus planned vaginal birth for breech presentation at term: a randomised multicentre trial. Term Breech Trial Collaborative Group." </w:t>
      </w:r>
      <w:r w:rsidRPr="00965215">
        <w:rPr>
          <w:u w:val="single"/>
        </w:rPr>
        <w:t>Lancet</w:t>
      </w:r>
      <w:r w:rsidRPr="00965215">
        <w:t xml:space="preserve"> </w:t>
      </w:r>
      <w:r w:rsidRPr="00965215">
        <w:rPr>
          <w:b/>
        </w:rPr>
        <w:t>356</w:t>
      </w:r>
      <w:r w:rsidRPr="00965215">
        <w:t>(9239): 1375-1383.</w:t>
      </w:r>
    </w:p>
    <w:p w:rsidR="00965215" w:rsidRPr="00965215" w:rsidRDefault="00965215" w:rsidP="00965215">
      <w:pPr>
        <w:pStyle w:val="EndNoteBibliography"/>
      </w:pPr>
      <w:r w:rsidRPr="00965215">
        <w:t xml:space="preserve">Kennedy, J., M. D. Hill, K. J. Ryckborst, M. Eliasziw, A. M. Demchuk and A. M. Buchan (2007). "Fast assessment of stroke and transient ischaemic attack to prevent early recurrence (FASTER): a randomised controlled pilot trial." </w:t>
      </w:r>
      <w:r w:rsidRPr="00965215">
        <w:rPr>
          <w:u w:val="single"/>
        </w:rPr>
        <w:t>Lancet Neurol</w:t>
      </w:r>
      <w:r w:rsidRPr="00965215">
        <w:t xml:space="preserve"> </w:t>
      </w:r>
      <w:r w:rsidRPr="00965215">
        <w:rPr>
          <w:b/>
        </w:rPr>
        <w:t>6</w:t>
      </w:r>
      <w:r w:rsidRPr="00965215">
        <w:t>(11): 961-969.</w:t>
      </w:r>
    </w:p>
    <w:p w:rsidR="00965215" w:rsidRPr="00965215" w:rsidRDefault="00965215" w:rsidP="00965215">
      <w:pPr>
        <w:pStyle w:val="EndNoteBibliography"/>
      </w:pPr>
      <w:r w:rsidRPr="00965215">
        <w:lastRenderedPageBreak/>
        <w:t xml:space="preserve">Oski, F. A. and A. S. Honig (1978). "The effects of therapy on the developmental scores of iron-deficient infants." </w:t>
      </w:r>
      <w:r w:rsidRPr="00965215">
        <w:rPr>
          <w:u w:val="single"/>
        </w:rPr>
        <w:t>J Pediatr</w:t>
      </w:r>
      <w:r w:rsidRPr="00965215">
        <w:t xml:space="preserve"> </w:t>
      </w:r>
      <w:r w:rsidRPr="00965215">
        <w:rPr>
          <w:b/>
        </w:rPr>
        <w:t>92</w:t>
      </w:r>
      <w:r w:rsidRPr="00965215">
        <w:t>(1): 21-25.</w:t>
      </w:r>
    </w:p>
    <w:p w:rsidR="00965215" w:rsidRPr="00965215" w:rsidRDefault="00965215" w:rsidP="00965215">
      <w:pPr>
        <w:pStyle w:val="EndNoteBibliography"/>
      </w:pPr>
      <w:r w:rsidRPr="00965215">
        <w:t xml:space="preserve">Vain, N. E., E. G. Szyld, L. M. Prudent, T. E. Wiswell, A. M. Aguilar and N. I. Vivas (2004). "Oropharyngeal and nasopharyngeal suctioning of meconium-stained neonates before delivery of their shoulders: multicentre, randomised controlled trial." </w:t>
      </w:r>
      <w:r w:rsidRPr="00965215">
        <w:rPr>
          <w:u w:val="single"/>
        </w:rPr>
        <w:t>Lancet</w:t>
      </w:r>
      <w:r w:rsidRPr="00965215">
        <w:t xml:space="preserve"> </w:t>
      </w:r>
      <w:r w:rsidRPr="00965215">
        <w:rPr>
          <w:b/>
        </w:rPr>
        <w:t>364</w:t>
      </w:r>
      <w:r w:rsidRPr="00965215">
        <w:t>(9434): 597-602.</w:t>
      </w:r>
    </w:p>
    <w:p w:rsidR="00965215" w:rsidRDefault="00965215" w:rsidP="00965215">
      <w:r>
        <w:fldChar w:fldCharType="end"/>
      </w:r>
    </w:p>
    <w:p w:rsidR="009A7E01" w:rsidRDefault="009A7E01">
      <w:bookmarkStart w:id="0" w:name="_GoBack"/>
      <w:bookmarkEnd w:id="0"/>
    </w:p>
    <w:sectPr w:rsidR="009A7E01" w:rsidSect="009A7E01">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6E6" w:rsidRDefault="00D536E6" w:rsidP="002D487E">
      <w:r>
        <w:separator/>
      </w:r>
    </w:p>
  </w:endnote>
  <w:endnote w:type="continuationSeparator" w:id="0">
    <w:p w:rsidR="00D536E6" w:rsidRDefault="00D536E6" w:rsidP="002D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6E6" w:rsidRDefault="00D536E6" w:rsidP="002D487E">
      <w:r>
        <w:separator/>
      </w:r>
    </w:p>
  </w:footnote>
  <w:footnote w:type="continuationSeparator" w:id="0">
    <w:p w:rsidR="00D536E6" w:rsidRDefault="00D536E6" w:rsidP="002D487E">
      <w:r>
        <w:continuationSeparator/>
      </w:r>
    </w:p>
  </w:footnote>
  <w:footnote w:id="1">
    <w:p w:rsidR="002D487E" w:rsidRDefault="002D487E" w:rsidP="002D487E">
      <w:pPr>
        <w:pStyle w:val="FootnoteText"/>
      </w:pPr>
      <w:r>
        <w:rPr>
          <w:rStyle w:val="FootnoteReference"/>
        </w:rPr>
        <w:footnoteRef/>
      </w:r>
      <w:r>
        <w:t xml:space="preserve"> Note: I had a hard time believing this disparity, so I called a Safeway pharmacy and verified the price.  Please share the </w:t>
      </w:r>
      <w:proofErr w:type="spellStart"/>
      <w:r>
        <w:t>GoodRx</w:t>
      </w:r>
      <w:proofErr w:type="spellEnd"/>
      <w:r>
        <w:t xml:space="preserve"> website with your patients and family!  Don't we have an amazing healthcare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87E" w:rsidRDefault="002D487E">
    <w:pPr>
      <w:pStyle w:val="Header"/>
    </w:pPr>
    <w:r>
      <w:t>NAME:</w:t>
    </w:r>
  </w:p>
  <w:p w:rsidR="002D487E" w:rsidRDefault="002D487E">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516A2"/>
    <w:multiLevelType w:val="hybridMultilevel"/>
    <w:tmpl w:val="F050DDF4"/>
    <w:lvl w:ilvl="0" w:tplc="6CAED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A62D4F"/>
    <w:multiLevelType w:val="hybridMultilevel"/>
    <w:tmpl w:val="7F30BBB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A25A1"/>
    <w:multiLevelType w:val="hybridMultilevel"/>
    <w:tmpl w:val="3AFEA8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5B778E"/>
    <w:multiLevelType w:val="hybridMultilevel"/>
    <w:tmpl w:val="F37EB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683&lt;/item&gt;&lt;item&gt;1009&lt;/item&gt;&lt;item&gt;1082&lt;/item&gt;&lt;/record-ids&gt;&lt;/item&gt;&lt;/Libraries&gt;"/>
  </w:docVars>
  <w:rsids>
    <w:rsidRoot w:val="00937E37"/>
    <w:rsid w:val="001761D5"/>
    <w:rsid w:val="00264C47"/>
    <w:rsid w:val="002C2CEA"/>
    <w:rsid w:val="002D487E"/>
    <w:rsid w:val="003C6F37"/>
    <w:rsid w:val="004E56E8"/>
    <w:rsid w:val="005D0FAC"/>
    <w:rsid w:val="00752289"/>
    <w:rsid w:val="008869C1"/>
    <w:rsid w:val="00937E37"/>
    <w:rsid w:val="009632EF"/>
    <w:rsid w:val="00965215"/>
    <w:rsid w:val="009A7E01"/>
    <w:rsid w:val="00AE3A39"/>
    <w:rsid w:val="00BB1E0F"/>
    <w:rsid w:val="00BF3C92"/>
    <w:rsid w:val="00C50E96"/>
    <w:rsid w:val="00CF4FCC"/>
    <w:rsid w:val="00D536E6"/>
    <w:rsid w:val="00F650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6224F42"/>
  <w15:docId w15:val="{57BFB894-9B82-43FB-9DFA-D007A315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937E37"/>
    <w:rPr>
      <w:rFonts w:eastAsia="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 w:type="paragraph" w:styleId="ListParagraph">
    <w:name w:val="List Paragraph"/>
    <w:basedOn w:val="Normal"/>
    <w:uiPriority w:val="34"/>
    <w:qFormat/>
    <w:rsid w:val="00CF4FCC"/>
    <w:pPr>
      <w:ind w:left="720"/>
      <w:contextualSpacing/>
    </w:pPr>
  </w:style>
  <w:style w:type="paragraph" w:styleId="Header">
    <w:name w:val="header"/>
    <w:basedOn w:val="Normal"/>
    <w:link w:val="HeaderChar"/>
    <w:uiPriority w:val="99"/>
    <w:unhideWhenUsed/>
    <w:rsid w:val="002D487E"/>
    <w:pPr>
      <w:tabs>
        <w:tab w:val="center" w:pos="4680"/>
        <w:tab w:val="right" w:pos="9360"/>
      </w:tabs>
    </w:pPr>
  </w:style>
  <w:style w:type="character" w:customStyle="1" w:styleId="HeaderChar">
    <w:name w:val="Header Char"/>
    <w:basedOn w:val="DefaultParagraphFont"/>
    <w:link w:val="Header"/>
    <w:uiPriority w:val="99"/>
    <w:rsid w:val="002D487E"/>
    <w:rPr>
      <w:rFonts w:eastAsia="Times New Roman"/>
      <w:lang w:eastAsia="en-US"/>
    </w:rPr>
  </w:style>
  <w:style w:type="paragraph" w:styleId="Footer">
    <w:name w:val="footer"/>
    <w:basedOn w:val="Normal"/>
    <w:link w:val="FooterChar"/>
    <w:uiPriority w:val="99"/>
    <w:unhideWhenUsed/>
    <w:rsid w:val="002D487E"/>
    <w:pPr>
      <w:tabs>
        <w:tab w:val="center" w:pos="4680"/>
        <w:tab w:val="right" w:pos="9360"/>
      </w:tabs>
    </w:pPr>
  </w:style>
  <w:style w:type="character" w:customStyle="1" w:styleId="FooterChar">
    <w:name w:val="Footer Char"/>
    <w:basedOn w:val="DefaultParagraphFont"/>
    <w:link w:val="Footer"/>
    <w:uiPriority w:val="99"/>
    <w:rsid w:val="002D487E"/>
    <w:rPr>
      <w:rFonts w:eastAsia="Times New Roman"/>
      <w:lang w:eastAsia="en-US"/>
    </w:rPr>
  </w:style>
  <w:style w:type="paragraph" w:styleId="FootnoteText">
    <w:name w:val="footnote text"/>
    <w:basedOn w:val="Normal"/>
    <w:link w:val="FootnoteTextChar"/>
    <w:uiPriority w:val="99"/>
    <w:rsid w:val="002D487E"/>
    <w:rPr>
      <w:sz w:val="20"/>
      <w:szCs w:val="20"/>
    </w:rPr>
  </w:style>
  <w:style w:type="character" w:customStyle="1" w:styleId="FootnoteTextChar">
    <w:name w:val="Footnote Text Char"/>
    <w:basedOn w:val="DefaultParagraphFont"/>
    <w:link w:val="FootnoteText"/>
    <w:uiPriority w:val="99"/>
    <w:rsid w:val="002D487E"/>
    <w:rPr>
      <w:rFonts w:eastAsia="Times New Roman"/>
      <w:sz w:val="20"/>
      <w:szCs w:val="20"/>
      <w:lang w:eastAsia="en-US"/>
    </w:rPr>
  </w:style>
  <w:style w:type="character" w:styleId="FootnoteReference">
    <w:name w:val="footnote reference"/>
    <w:uiPriority w:val="99"/>
    <w:rsid w:val="002D487E"/>
    <w:rPr>
      <w:vertAlign w:val="superscript"/>
    </w:rPr>
  </w:style>
  <w:style w:type="paragraph" w:customStyle="1" w:styleId="EndNoteBibliography">
    <w:name w:val="EndNote Bibliography"/>
    <w:basedOn w:val="Normal"/>
    <w:link w:val="EndNoteBibliographyChar"/>
    <w:rsid w:val="00BB1E0F"/>
    <w:rPr>
      <w:noProof/>
      <w:sz w:val="20"/>
      <w:szCs w:val="20"/>
    </w:rPr>
  </w:style>
  <w:style w:type="character" w:customStyle="1" w:styleId="EndNoteBibliographyChar">
    <w:name w:val="EndNote Bibliography Char"/>
    <w:basedOn w:val="DefaultParagraphFont"/>
    <w:link w:val="EndNoteBibliography"/>
    <w:rsid w:val="00BB1E0F"/>
    <w:rPr>
      <w:rFonts w:eastAsia="Times New Roman"/>
      <w:noProof/>
      <w:sz w:val="20"/>
      <w:szCs w:val="20"/>
      <w:lang w:eastAsia="en-US"/>
    </w:rPr>
  </w:style>
  <w:style w:type="paragraph" w:customStyle="1" w:styleId="EndNoteBibliographyTitle">
    <w:name w:val="EndNote Bibliography Title"/>
    <w:basedOn w:val="Normal"/>
    <w:link w:val="EndNoteBibliographyTitleChar"/>
    <w:rsid w:val="00965215"/>
    <w:pPr>
      <w:jc w:val="center"/>
    </w:pPr>
    <w:rPr>
      <w:noProof/>
      <w:sz w:val="20"/>
    </w:rPr>
  </w:style>
  <w:style w:type="character" w:customStyle="1" w:styleId="EndNoteBibliographyTitleChar">
    <w:name w:val="EndNote Bibliography Title Char"/>
    <w:basedOn w:val="DefaultParagraphFont"/>
    <w:link w:val="EndNoteBibliographyTitle"/>
    <w:rsid w:val="00965215"/>
    <w:rPr>
      <w:rFonts w:eastAsia="Times New Roman"/>
      <w:noProo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UCSF-DEB</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Michael Kohn</cp:lastModifiedBy>
  <cp:revision>7</cp:revision>
  <dcterms:created xsi:type="dcterms:W3CDTF">2017-10-26T22:31:00Z</dcterms:created>
  <dcterms:modified xsi:type="dcterms:W3CDTF">2017-10-26T22:54:00Z</dcterms:modified>
</cp:coreProperties>
</file>