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5F29F" w14:textId="77777777" w:rsidR="001304C7" w:rsidRDefault="001304C7">
      <w:pPr>
        <w:rPr>
          <w:b/>
        </w:rPr>
      </w:pPr>
      <w:r>
        <w:rPr>
          <w:b/>
        </w:rPr>
        <w:t>Epi213</w:t>
      </w:r>
      <w:r w:rsidR="002F14B9">
        <w:rPr>
          <w:b/>
        </w:rPr>
        <w:t>_2018</w:t>
      </w:r>
    </w:p>
    <w:p w14:paraId="00F9BD85" w14:textId="77777777" w:rsidR="001304C7" w:rsidRPr="001304C7" w:rsidRDefault="000B5864">
      <w:pPr>
        <w:rPr>
          <w:b/>
        </w:rPr>
      </w:pPr>
      <w:r w:rsidRPr="001304C7">
        <w:rPr>
          <w:b/>
        </w:rPr>
        <w:t>HW</w:t>
      </w:r>
      <w:r w:rsidR="001304C7" w:rsidRPr="001304C7">
        <w:rPr>
          <w:b/>
        </w:rPr>
        <w:t>4</w:t>
      </w:r>
    </w:p>
    <w:p w14:paraId="07E83F42" w14:textId="77777777" w:rsidR="001304C7" w:rsidRPr="001304C7" w:rsidRDefault="001304C7">
      <w:pPr>
        <w:rPr>
          <w:b/>
        </w:rPr>
      </w:pPr>
      <w:r w:rsidRPr="001304C7">
        <w:rPr>
          <w:b/>
        </w:rPr>
        <w:t xml:space="preserve">Assigned: Feb </w:t>
      </w:r>
      <w:r w:rsidR="002F14B9">
        <w:rPr>
          <w:b/>
        </w:rPr>
        <w:t>1</w:t>
      </w:r>
      <w:r w:rsidRPr="001304C7">
        <w:rPr>
          <w:b/>
        </w:rPr>
        <w:t>. 201</w:t>
      </w:r>
      <w:r w:rsidR="008E44CF">
        <w:rPr>
          <w:b/>
        </w:rPr>
        <w:t>8</w:t>
      </w:r>
      <w:bookmarkStart w:id="0" w:name="_GoBack"/>
      <w:bookmarkEnd w:id="0"/>
    </w:p>
    <w:p w14:paraId="73CF7355" w14:textId="77777777" w:rsidR="000B5864" w:rsidRPr="001304C7" w:rsidRDefault="001304C7">
      <w:pPr>
        <w:rPr>
          <w:b/>
        </w:rPr>
      </w:pPr>
      <w:r w:rsidRPr="001304C7">
        <w:rPr>
          <w:b/>
        </w:rPr>
        <w:t xml:space="preserve">Due: 5pm PST on </w:t>
      </w:r>
      <w:r w:rsidR="002F14B9">
        <w:rPr>
          <w:b/>
        </w:rPr>
        <w:t>Tue</w:t>
      </w:r>
      <w:r w:rsidRPr="001304C7">
        <w:rPr>
          <w:b/>
        </w:rPr>
        <w:t xml:space="preserve"> Feb </w:t>
      </w:r>
      <w:r w:rsidR="002F14B9">
        <w:rPr>
          <w:b/>
        </w:rPr>
        <w:t>7</w:t>
      </w:r>
      <w:r w:rsidRPr="001304C7">
        <w:rPr>
          <w:b/>
        </w:rPr>
        <w:t>, 201</w:t>
      </w:r>
      <w:r w:rsidR="008E44CF">
        <w:rPr>
          <w:b/>
        </w:rPr>
        <w:t>8</w:t>
      </w:r>
    </w:p>
    <w:p w14:paraId="78887D99" w14:textId="77777777" w:rsidR="000B5864" w:rsidRDefault="000B5864"/>
    <w:p w14:paraId="2747469A" w14:textId="77777777" w:rsidR="000B5864" w:rsidRDefault="000B5864">
      <w:r>
        <w:t xml:space="preserve">1 . The cost of managing an heart attack (myocardial infarction; MI) in India was estimated from the following different sources. </w:t>
      </w:r>
    </w:p>
    <w:p w14:paraId="746C4AB3" w14:textId="77777777" w:rsidR="000B5864" w:rsidRDefault="000B5864"/>
    <w:p w14:paraId="797A9D2D" w14:textId="77777777" w:rsidR="000B5864" w:rsidRDefault="000B5864">
      <w:r>
        <w:t>Cost of the hospital stay for an MI: Rs 5000 (estimated in 2010)</w:t>
      </w:r>
    </w:p>
    <w:p w14:paraId="6FECB3C4" w14:textId="77777777" w:rsidR="000B5864" w:rsidRDefault="000B5864">
      <w:r>
        <w:t>Cost of doing a coronary angiography and placing a stent in the blocked blood vessel: Rs 17500 (estimated in 2012) from a published study</w:t>
      </w:r>
    </w:p>
    <w:p w14:paraId="66B9601C" w14:textId="77777777" w:rsidR="000B5864" w:rsidRDefault="000B5864">
      <w:r>
        <w:t>Cost of medications during the hospitalization: Rs 1000 (estimated in 201</w:t>
      </w:r>
      <w:r w:rsidR="002F14B9">
        <w:t>7</w:t>
      </w:r>
      <w:r>
        <w:t xml:space="preserve">). </w:t>
      </w:r>
    </w:p>
    <w:p w14:paraId="70A90064" w14:textId="77777777" w:rsidR="000B5864" w:rsidRDefault="000B5864"/>
    <w:p w14:paraId="1E80DD96" w14:textId="77777777" w:rsidR="000B5864" w:rsidRDefault="000B5864">
      <w:r>
        <w:t>a. You are tasked with estimating the cost of inpatient management of an MI in 201</w:t>
      </w:r>
      <w:r w:rsidR="002F14B9">
        <w:t>7</w:t>
      </w:r>
      <w:r>
        <w:t xml:space="preserve"> Indian rupees. Assume all patients need hospitalization and medications; half need an angiography and stent placement. Also assume that the rate of inflation in India over this period has been 5% per year. </w:t>
      </w:r>
      <w:r w:rsidR="002F14B9">
        <w:t xml:space="preserve">Try to implement this in Excel if you have access to it. </w:t>
      </w:r>
    </w:p>
    <w:p w14:paraId="50C194A4" w14:textId="77777777" w:rsidR="000B5864" w:rsidRDefault="000B5864"/>
    <w:p w14:paraId="2D70268E" w14:textId="77777777" w:rsidR="009D323B" w:rsidRDefault="000B5864">
      <w:pPr>
        <w:rPr>
          <w:i/>
        </w:rPr>
      </w:pPr>
      <w:r>
        <w:rPr>
          <w:i/>
        </w:rPr>
        <w:t>Cue: Estimate the costs in 201</w:t>
      </w:r>
      <w:r w:rsidR="002F14B9">
        <w:rPr>
          <w:i/>
        </w:rPr>
        <w:t>7</w:t>
      </w:r>
      <w:r>
        <w:rPr>
          <w:i/>
        </w:rPr>
        <w:t xml:space="preserve"> Indian rupees for each of the components</w:t>
      </w:r>
      <w:r w:rsidR="009D323B">
        <w:rPr>
          <w:i/>
        </w:rPr>
        <w:t>. To do this you have to inflate the costs at the rate of 5%. Inflating these costs (from 2010 to 201</w:t>
      </w:r>
      <w:r w:rsidR="002F14B9">
        <w:rPr>
          <w:i/>
        </w:rPr>
        <w:t>7</w:t>
      </w:r>
      <w:r w:rsidR="009D323B">
        <w:rPr>
          <w:i/>
        </w:rPr>
        <w:t xml:space="preserve">) is </w:t>
      </w:r>
      <w:r w:rsidR="002F14B9">
        <w:rPr>
          <w:i/>
        </w:rPr>
        <w:t xml:space="preserve">mathematically </w:t>
      </w:r>
      <w:r w:rsidR="009D323B">
        <w:rPr>
          <w:i/>
        </w:rPr>
        <w:t xml:space="preserve">the opposite of </w:t>
      </w:r>
      <w:r w:rsidR="002F14B9">
        <w:rPr>
          <w:i/>
        </w:rPr>
        <w:t xml:space="preserve">what you do for </w:t>
      </w:r>
      <w:r w:rsidR="009D323B">
        <w:rPr>
          <w:i/>
        </w:rPr>
        <w:t xml:space="preserve">discounting, i.e.,  the numbers get larger. </w:t>
      </w:r>
    </w:p>
    <w:p w14:paraId="4283DA4C" w14:textId="77777777" w:rsidR="009D323B" w:rsidRDefault="009D323B">
      <w:pPr>
        <w:rPr>
          <w:i/>
        </w:rPr>
      </w:pPr>
      <w:r>
        <w:rPr>
          <w:i/>
        </w:rPr>
        <w:t>Future value (201</w:t>
      </w:r>
      <w:r w:rsidR="002F14B9">
        <w:rPr>
          <w:i/>
        </w:rPr>
        <w:t>7</w:t>
      </w:r>
      <w:r>
        <w:rPr>
          <w:i/>
        </w:rPr>
        <w:t xml:space="preserve">) = present value (2010) * (1+rate of inflation)^(years inflated = </w:t>
      </w:r>
      <w:r w:rsidR="002F14B9">
        <w:rPr>
          <w:i/>
        </w:rPr>
        <w:t>7</w:t>
      </w:r>
      <w:r>
        <w:rPr>
          <w:i/>
        </w:rPr>
        <w:t>)</w:t>
      </w:r>
    </w:p>
    <w:p w14:paraId="575A5EBD" w14:textId="77777777" w:rsidR="009D323B" w:rsidRDefault="009D323B">
      <w:pPr>
        <w:rPr>
          <w:i/>
        </w:rPr>
      </w:pPr>
    </w:p>
    <w:p w14:paraId="40F15D4A" w14:textId="77777777" w:rsidR="000B5864" w:rsidRDefault="009D323B">
      <w:pPr>
        <w:rPr>
          <w:i/>
        </w:rPr>
      </w:pPr>
      <w:r>
        <w:rPr>
          <w:i/>
        </w:rPr>
        <w:t>T</w:t>
      </w:r>
      <w:r w:rsidR="000B5864">
        <w:rPr>
          <w:i/>
        </w:rPr>
        <w:t>hen add them in the correct proportions to generated an “expected value” cost of inpatient MI managemen</w:t>
      </w:r>
      <w:r>
        <w:rPr>
          <w:i/>
        </w:rPr>
        <w:t xml:space="preserve"> in Indian Rupees</w:t>
      </w:r>
      <w:r w:rsidR="000B5864">
        <w:rPr>
          <w:i/>
        </w:rPr>
        <w:t xml:space="preserve">. </w:t>
      </w:r>
    </w:p>
    <w:p w14:paraId="0694B78E" w14:textId="77777777" w:rsidR="000B5864" w:rsidRDefault="000B5864">
      <w:pPr>
        <w:rPr>
          <w:i/>
        </w:rPr>
      </w:pPr>
    </w:p>
    <w:p w14:paraId="125263A2" w14:textId="77777777" w:rsidR="000B5864" w:rsidRDefault="000B5864">
      <w:pPr>
        <w:rPr>
          <w:i/>
        </w:rPr>
      </w:pPr>
    </w:p>
    <w:p w14:paraId="7DC4F54C" w14:textId="77777777" w:rsidR="000B5864" w:rsidRDefault="000B5864">
      <w:pPr>
        <w:rPr>
          <w:i/>
        </w:rPr>
      </w:pPr>
    </w:p>
    <w:p w14:paraId="08034E56" w14:textId="77777777" w:rsidR="000B5864" w:rsidRDefault="000B5864">
      <w:pPr>
        <w:rPr>
          <w:i/>
        </w:rPr>
      </w:pPr>
    </w:p>
    <w:p w14:paraId="01E0F81C" w14:textId="77777777" w:rsidR="000B5864" w:rsidRDefault="000B5864">
      <w:r>
        <w:t>b. You are working on an international comparison. What is the cost of inpatient management of an MI in 201</w:t>
      </w:r>
      <w:r w:rsidR="002F14B9">
        <w:t>7</w:t>
      </w:r>
      <w:r>
        <w:t xml:space="preserve"> US dollars?</w:t>
      </w:r>
    </w:p>
    <w:p w14:paraId="2E9B0CDC" w14:textId="77777777" w:rsidR="000B5864" w:rsidRDefault="000B5864"/>
    <w:p w14:paraId="0D4920BB" w14:textId="77777777" w:rsidR="000B5864" w:rsidRDefault="000B5864">
      <w:pPr>
        <w:rPr>
          <w:i/>
        </w:rPr>
      </w:pPr>
      <w:r>
        <w:rPr>
          <w:i/>
        </w:rPr>
        <w:t>Cue: State the currency conversion rate you used. Typically, one would use a mid-year conversion rate, such as on July 1</w:t>
      </w:r>
      <w:r w:rsidR="002F14B9">
        <w:rPr>
          <w:i/>
        </w:rPr>
        <w:t>, 2017</w:t>
      </w:r>
      <w:r>
        <w:rPr>
          <w:i/>
        </w:rPr>
        <w:t xml:space="preserve">. Avoid highly volatile periods of time for currency conversion (e.g., </w:t>
      </w:r>
      <w:r w:rsidR="002F14B9">
        <w:rPr>
          <w:i/>
        </w:rPr>
        <w:t xml:space="preserve">for instance, both currencies fluctuated by quite a bit </w:t>
      </w:r>
      <w:r>
        <w:rPr>
          <w:i/>
        </w:rPr>
        <w:t xml:space="preserve">around Nov 8, for different reasons). </w:t>
      </w:r>
    </w:p>
    <w:p w14:paraId="49795104" w14:textId="77777777" w:rsidR="000B5864" w:rsidRDefault="000B5864">
      <w:pPr>
        <w:rPr>
          <w:i/>
        </w:rPr>
      </w:pPr>
    </w:p>
    <w:p w14:paraId="4E25F14D" w14:textId="77777777" w:rsidR="000B5864" w:rsidRDefault="000B5864">
      <w:pPr>
        <w:rPr>
          <w:i/>
        </w:rPr>
      </w:pPr>
    </w:p>
    <w:p w14:paraId="20A6F190" w14:textId="77777777" w:rsidR="000B5864" w:rsidRDefault="000B5864">
      <w:pPr>
        <w:rPr>
          <w:i/>
        </w:rPr>
      </w:pPr>
    </w:p>
    <w:p w14:paraId="3F8DEBF1" w14:textId="77777777" w:rsidR="000B5864" w:rsidRDefault="000B5864">
      <w:pPr>
        <w:rPr>
          <w:i/>
        </w:rPr>
      </w:pPr>
    </w:p>
    <w:p w14:paraId="42A15318" w14:textId="77777777" w:rsidR="008E44CF" w:rsidRDefault="000B5864">
      <w:r>
        <w:t>2.</w:t>
      </w:r>
      <w:r w:rsidR="002F14B9">
        <w:t xml:space="preserve"> </w:t>
      </w:r>
      <w:r w:rsidR="008E44CF">
        <w:t xml:space="preserve">There are four strategies to reduce the burden of malaria among school-age children in Malawi. These cost as follows: </w:t>
      </w:r>
    </w:p>
    <w:p w14:paraId="41FD91B1" w14:textId="77777777" w:rsidR="008E44CF" w:rsidRDefault="008E44CF"/>
    <w:tbl>
      <w:tblPr>
        <w:tblW w:w="3900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</w:tblGrid>
      <w:tr w:rsidR="008E44CF" w:rsidRPr="008E44CF" w14:paraId="328EDFB4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0233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lastRenderedPageBreak/>
              <w:t>Strategy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42A3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Cost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0E1B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QALYs</w:t>
            </w:r>
          </w:p>
        </w:tc>
      </w:tr>
      <w:tr w:rsidR="008E44CF" w:rsidRPr="008E44CF" w14:paraId="1239ECFD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C838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DF49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F6A5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8E44CF" w:rsidRPr="008E44CF" w14:paraId="06B4535E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5F9B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91E8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4500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2787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</w:tr>
      <w:tr w:rsidR="008E44CF" w:rsidRPr="008E44CF" w14:paraId="77CB2024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F126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1AE4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7FBB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8E44CF" w:rsidRPr="008E44CF" w14:paraId="69C5D8C6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04E8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0DA1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88B1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</w:tbl>
    <w:p w14:paraId="661A020A" w14:textId="77777777" w:rsidR="008E44CF" w:rsidRDefault="008E44CF"/>
    <w:p w14:paraId="0ECD18DF" w14:textId="77777777" w:rsidR="008E44CF" w:rsidRDefault="008E44CF"/>
    <w:p w14:paraId="6D3FD151" w14:textId="77777777" w:rsidR="008E44CF" w:rsidRDefault="008E44CF">
      <w:r>
        <w:t xml:space="preserve">What is the optimal strategy when the willingness-to-pay threshold is: </w:t>
      </w:r>
    </w:p>
    <w:p w14:paraId="444DF401" w14:textId="77777777" w:rsidR="008E44CF" w:rsidRDefault="008E44CF" w:rsidP="008E44CF">
      <w:pPr>
        <w:pStyle w:val="ListParagraph"/>
        <w:numPr>
          <w:ilvl w:val="0"/>
          <w:numId w:val="8"/>
        </w:numPr>
      </w:pPr>
      <w:r>
        <w:t>$1000 per QALY</w:t>
      </w:r>
    </w:p>
    <w:p w14:paraId="7D96B3A2" w14:textId="77777777" w:rsidR="008E44CF" w:rsidRDefault="008E44CF" w:rsidP="008E44CF">
      <w:pPr>
        <w:pStyle w:val="ListParagraph"/>
        <w:numPr>
          <w:ilvl w:val="0"/>
          <w:numId w:val="8"/>
        </w:numPr>
      </w:pPr>
      <w:r>
        <w:t>$500 per QALY</w:t>
      </w:r>
    </w:p>
    <w:p w14:paraId="197655ED" w14:textId="77777777" w:rsidR="008E44CF" w:rsidRDefault="008E44CF" w:rsidP="008E44CF">
      <w:pPr>
        <w:pStyle w:val="ListParagraph"/>
        <w:numPr>
          <w:ilvl w:val="0"/>
          <w:numId w:val="8"/>
        </w:numPr>
      </w:pPr>
      <w:r>
        <w:t>$100 per QALY</w:t>
      </w:r>
    </w:p>
    <w:p w14:paraId="6BCB132D" w14:textId="77777777" w:rsidR="008E44CF" w:rsidRDefault="008E44CF"/>
    <w:p w14:paraId="68AB9A62" w14:textId="77777777" w:rsidR="002F14B9" w:rsidRDefault="008E44CF" w:rsidP="008E44CF">
      <w:r>
        <w:t xml:space="preserve">3. </w:t>
      </w:r>
      <w:r w:rsidR="002F14B9">
        <w:t xml:space="preserve">There are seven strategies to manage a chronic disease, and you have been asked to identify the optimal strategy from a cost-effectiveness perspective. </w:t>
      </w:r>
      <w:r>
        <w:t xml:space="preserve"> This is kinda tricky – so pay attention! </w:t>
      </w:r>
    </w:p>
    <w:p w14:paraId="1A4E9751" w14:textId="77777777" w:rsidR="008E44CF" w:rsidRDefault="008E44CF" w:rsidP="008E44CF"/>
    <w:tbl>
      <w:tblPr>
        <w:tblW w:w="40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1465"/>
      </w:tblGrid>
      <w:tr w:rsidR="008E44CF" w:rsidRPr="008E44CF" w14:paraId="0E6A8239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BF9D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Strategy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C4EB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Cost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783C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QALYs</w:t>
            </w:r>
          </w:p>
        </w:tc>
      </w:tr>
      <w:tr w:rsidR="008E44CF" w:rsidRPr="008E44CF" w14:paraId="3520FB7D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71E4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FF9D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80000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DDF7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8E44CF" w:rsidRPr="008E44CF" w14:paraId="3EE5CCCC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B13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C85F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5000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E7DC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8E44CF" w:rsidRPr="008E44CF" w14:paraId="38763811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7AEA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1D74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16000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B8B0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8E44CF" w:rsidRPr="008E44CF" w14:paraId="3FE66920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AF08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8AFE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17000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F7E2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8E44CF" w:rsidRPr="008E44CF" w14:paraId="0E08E71E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CA2B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896C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45000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B7BE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22.05</w:t>
            </w:r>
          </w:p>
        </w:tc>
      </w:tr>
      <w:tr w:rsidR="008E44CF" w:rsidRPr="008E44CF" w14:paraId="3C33CE8D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1D61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BD8B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37000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7D3F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8E44CF" w:rsidRPr="008E44CF" w14:paraId="1D070DA7" w14:textId="77777777" w:rsidTr="008E44CF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C9F2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10C5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25000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36D2" w14:textId="77777777" w:rsidR="008E44CF" w:rsidRPr="008E44CF" w:rsidRDefault="008E44CF" w:rsidP="008E44C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E44CF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</w:tbl>
    <w:p w14:paraId="32A380B5" w14:textId="77777777" w:rsidR="008E44CF" w:rsidRDefault="008E44CF"/>
    <w:p w14:paraId="458D6CB5" w14:textId="77777777" w:rsidR="008E44CF" w:rsidRDefault="008E44CF" w:rsidP="008E44CF">
      <w:r>
        <w:t xml:space="preserve">What is the optimal strategy if your willingness-to-pay threshold is: </w:t>
      </w:r>
    </w:p>
    <w:p w14:paraId="5D902422" w14:textId="77777777" w:rsidR="008E44CF" w:rsidRDefault="008E44CF" w:rsidP="008E44CF">
      <w:pPr>
        <w:pStyle w:val="ListParagraph"/>
        <w:numPr>
          <w:ilvl w:val="0"/>
          <w:numId w:val="7"/>
        </w:numPr>
      </w:pPr>
      <w:r>
        <w:t>$1000 per QALY</w:t>
      </w:r>
    </w:p>
    <w:p w14:paraId="7DC71805" w14:textId="77777777" w:rsidR="008E44CF" w:rsidRDefault="008E44CF" w:rsidP="008E44CF">
      <w:pPr>
        <w:pStyle w:val="ListParagraph"/>
        <w:numPr>
          <w:ilvl w:val="0"/>
          <w:numId w:val="7"/>
        </w:numPr>
      </w:pPr>
      <w:r>
        <w:t>$10,000 per QALY</w:t>
      </w:r>
    </w:p>
    <w:p w14:paraId="59F178B1" w14:textId="77777777" w:rsidR="008E44CF" w:rsidRDefault="008E44CF" w:rsidP="008E44CF">
      <w:pPr>
        <w:pStyle w:val="ListParagraph"/>
        <w:numPr>
          <w:ilvl w:val="0"/>
          <w:numId w:val="7"/>
        </w:numPr>
      </w:pPr>
      <w:r>
        <w:t>infinite (i.e., you don’t care about costs, you just want to maximize QALYs)?</w:t>
      </w:r>
    </w:p>
    <w:p w14:paraId="1FB00854" w14:textId="77777777" w:rsidR="002F14B9" w:rsidRDefault="002F14B9"/>
    <w:p w14:paraId="3F3C32D1" w14:textId="77777777" w:rsidR="002F14B9" w:rsidRDefault="002F14B9"/>
    <w:p w14:paraId="03764D87" w14:textId="77777777" w:rsidR="002F14B9" w:rsidRDefault="002F14B9"/>
    <w:p w14:paraId="6C88E019" w14:textId="77777777" w:rsidR="002F14B9" w:rsidRDefault="002F14B9"/>
    <w:p w14:paraId="5A0A17CA" w14:textId="77777777" w:rsidR="005F6602" w:rsidRDefault="008E44CF">
      <w:r>
        <w:t>4.</w:t>
      </w:r>
      <w:r w:rsidR="000B5864">
        <w:t xml:space="preserve"> You are evaluating a policy that </w:t>
      </w:r>
      <w:r w:rsidR="005F6602">
        <w:t xml:space="preserve">will require upfront investment by the city of San Francisco, but will lead to averted health costs downstream. </w:t>
      </w:r>
    </w:p>
    <w:p w14:paraId="503F9233" w14:textId="77777777" w:rsidR="005F6602" w:rsidRDefault="005F6602"/>
    <w:p w14:paraId="31D884FF" w14:textId="77777777" w:rsidR="005F6602" w:rsidRDefault="005F6602">
      <w:r>
        <w:t>Cost in 2016: $1,000,000</w:t>
      </w:r>
    </w:p>
    <w:p w14:paraId="5A72F5A3" w14:textId="77777777" w:rsidR="005F6602" w:rsidRDefault="005F6602">
      <w:r>
        <w:t>Cost in 2017: $1,200,000</w:t>
      </w:r>
    </w:p>
    <w:p w14:paraId="0746679A" w14:textId="77777777" w:rsidR="005F6602" w:rsidRDefault="005F6602">
      <w:r>
        <w:t>Cost in 2018: $1,500,000</w:t>
      </w:r>
    </w:p>
    <w:p w14:paraId="33013C50" w14:textId="77777777" w:rsidR="005F6602" w:rsidRDefault="005F6602">
      <w:r>
        <w:t>Savings in 2019: $1,000,000</w:t>
      </w:r>
    </w:p>
    <w:p w14:paraId="517399D6" w14:textId="77777777" w:rsidR="005F6602" w:rsidRDefault="005F6602">
      <w:r>
        <w:t>Savings in 2020: $1,200,000</w:t>
      </w:r>
    </w:p>
    <w:p w14:paraId="5AE1793D" w14:textId="77777777" w:rsidR="005F6602" w:rsidRDefault="005F6602">
      <w:r>
        <w:t>Savings in 2021: $1,600,000</w:t>
      </w:r>
    </w:p>
    <w:p w14:paraId="16F4F27A" w14:textId="77777777" w:rsidR="005F6602" w:rsidRDefault="005F6602"/>
    <w:p w14:paraId="4E06F994" w14:textId="77777777" w:rsidR="000B5864" w:rsidRDefault="005F6602" w:rsidP="005F6602">
      <w:pPr>
        <w:pStyle w:val="ListParagraph"/>
        <w:numPr>
          <w:ilvl w:val="0"/>
          <w:numId w:val="1"/>
        </w:numPr>
      </w:pPr>
      <w:r>
        <w:t xml:space="preserve">Estimate the present value of the intervention, assuming a 3% discount rate. </w:t>
      </w:r>
    </w:p>
    <w:p w14:paraId="7CA172A3" w14:textId="77777777" w:rsidR="005F6602" w:rsidRDefault="005F6602" w:rsidP="005F6602">
      <w:pPr>
        <w:ind w:left="360"/>
      </w:pPr>
    </w:p>
    <w:p w14:paraId="58B7C92E" w14:textId="77777777" w:rsidR="005F6602" w:rsidRPr="005F6602" w:rsidRDefault="005F6602" w:rsidP="005F6602">
      <w:pPr>
        <w:ind w:left="360"/>
        <w:rPr>
          <w:i/>
        </w:rPr>
      </w:pPr>
      <w:r w:rsidRPr="005F6602">
        <w:rPr>
          <w:i/>
        </w:rPr>
        <w:t>Cue: Present value = Future value / ((1+r)^time)</w:t>
      </w:r>
      <w:r w:rsidR="002F14B9">
        <w:rPr>
          <w:i/>
        </w:rPr>
        <w:t xml:space="preserve">. Implement this in MS Excel. </w:t>
      </w:r>
    </w:p>
    <w:p w14:paraId="1DADCE31" w14:textId="77777777" w:rsidR="005F6602" w:rsidRDefault="005F6602" w:rsidP="005F6602">
      <w:pPr>
        <w:ind w:left="360"/>
      </w:pPr>
    </w:p>
    <w:p w14:paraId="2FCBF788" w14:textId="77777777" w:rsidR="005F6602" w:rsidRDefault="005F6602"/>
    <w:p w14:paraId="3EE3EC0E" w14:textId="77777777" w:rsidR="005F6602" w:rsidRDefault="005F6602"/>
    <w:p w14:paraId="48E3B226" w14:textId="77777777" w:rsidR="005F6602" w:rsidRDefault="005F6602"/>
    <w:p w14:paraId="62362635" w14:textId="77777777" w:rsidR="005F6602" w:rsidRDefault="005F6602" w:rsidP="005F6602">
      <w:pPr>
        <w:pStyle w:val="ListParagraph"/>
        <w:numPr>
          <w:ilvl w:val="0"/>
          <w:numId w:val="1"/>
        </w:numPr>
      </w:pPr>
      <w:r>
        <w:t xml:space="preserve">Run a sensitivity analysis, with the discount rate varying from 0% to5%. </w:t>
      </w:r>
    </w:p>
    <w:p w14:paraId="5264A741" w14:textId="77777777" w:rsidR="005F6602" w:rsidRDefault="005F6602" w:rsidP="005F6602"/>
    <w:p w14:paraId="7A7146F2" w14:textId="77777777" w:rsidR="005F6602" w:rsidRDefault="005F6602" w:rsidP="005F6602"/>
    <w:p w14:paraId="66BBA60D" w14:textId="77777777" w:rsidR="005F6602" w:rsidRDefault="005F6602" w:rsidP="005F6602"/>
    <w:p w14:paraId="47DE2F8B" w14:textId="77777777" w:rsidR="005F6602" w:rsidRDefault="005F6602" w:rsidP="005F6602"/>
    <w:p w14:paraId="31D2B3C6" w14:textId="77777777" w:rsidR="005F6602" w:rsidRDefault="005F6602" w:rsidP="005F6602">
      <w:pPr>
        <w:pStyle w:val="ListParagraph"/>
        <w:numPr>
          <w:ilvl w:val="0"/>
          <w:numId w:val="1"/>
        </w:numPr>
      </w:pPr>
      <w:r>
        <w:t>State, in your own words, why one needs to discount costs.</w:t>
      </w:r>
    </w:p>
    <w:p w14:paraId="7B478952" w14:textId="77777777" w:rsidR="005F6602" w:rsidRDefault="005F6602" w:rsidP="005F6602"/>
    <w:p w14:paraId="026BF931" w14:textId="77777777" w:rsidR="005F6602" w:rsidRDefault="005F6602" w:rsidP="005F6602"/>
    <w:p w14:paraId="03437D95" w14:textId="77777777" w:rsidR="005F6602" w:rsidRDefault="005F6602" w:rsidP="005F6602"/>
    <w:p w14:paraId="4F357A1F" w14:textId="77777777" w:rsidR="005F6602" w:rsidRDefault="005F6602" w:rsidP="005F6602"/>
    <w:p w14:paraId="519AE28E" w14:textId="77777777" w:rsidR="005F6602" w:rsidRDefault="005F6602" w:rsidP="005F6602"/>
    <w:p w14:paraId="3DF237FB" w14:textId="77777777" w:rsidR="005F6602" w:rsidRDefault="005F6602" w:rsidP="005F6602">
      <w:pPr>
        <w:pStyle w:val="ListParagraph"/>
        <w:numPr>
          <w:ilvl w:val="0"/>
          <w:numId w:val="1"/>
        </w:numPr>
      </w:pPr>
      <w:r>
        <w:t>State, in your own words, why one needs to discount clinical outcomes such as QALYs.</w:t>
      </w:r>
    </w:p>
    <w:p w14:paraId="105A5C39" w14:textId="77777777" w:rsidR="005F6602" w:rsidRDefault="005F6602"/>
    <w:p w14:paraId="7590A77B" w14:textId="77777777" w:rsidR="005F6602" w:rsidRDefault="005F6602"/>
    <w:p w14:paraId="49762367" w14:textId="77777777" w:rsidR="005F6602" w:rsidRDefault="005F6602"/>
    <w:p w14:paraId="5438FADC" w14:textId="77777777" w:rsidR="005F6602" w:rsidRDefault="005F6602"/>
    <w:p w14:paraId="28FCBEF6" w14:textId="77777777" w:rsidR="005F6602" w:rsidRDefault="005F6602"/>
    <w:p w14:paraId="0336B292" w14:textId="77777777" w:rsidR="005F6602" w:rsidRDefault="005F6602"/>
    <w:p w14:paraId="646D3E4A" w14:textId="77777777" w:rsidR="005F6602" w:rsidRDefault="005F6602"/>
    <w:p w14:paraId="4DFB8004" w14:textId="77777777" w:rsidR="005F6602" w:rsidRDefault="008E44CF">
      <w:r>
        <w:t>5</w:t>
      </w:r>
      <w:r w:rsidR="005F6602">
        <w:t xml:space="preserve">. </w:t>
      </w:r>
      <w:r w:rsidR="004D4C9E">
        <w:t xml:space="preserve">Here’s a second shot at building a tree in TreeAge, running it, and performing sensitivity analyses. </w:t>
      </w:r>
      <w:r w:rsidR="002F14B9">
        <w:t xml:space="preserve">This is </w:t>
      </w:r>
      <w:r w:rsidR="004D4C9E">
        <w:t xml:space="preserve">a clinical example based on (terribly) old data, but it’ll serve the purpose for now. </w:t>
      </w:r>
      <w:r w:rsidR="00D265C1">
        <w:t xml:space="preserve">Let’s pretend it’s 1990, and the question before us is the following: </w:t>
      </w:r>
    </w:p>
    <w:p w14:paraId="446AEFD8" w14:textId="77777777" w:rsidR="004D4C9E" w:rsidRDefault="004D4C9E"/>
    <w:p w14:paraId="55801BDE" w14:textId="77777777" w:rsidR="00D265C1" w:rsidRPr="00D265C1" w:rsidRDefault="002F14B9" w:rsidP="00D265C1">
      <w:r>
        <w:rPr>
          <w:lang w:val="en-GB"/>
        </w:rPr>
        <w:t>An</w:t>
      </w:r>
      <w:r w:rsidR="004D4C9E">
        <w:rPr>
          <w:lang w:val="en-GB"/>
        </w:rPr>
        <w:t xml:space="preserve"> e</w:t>
      </w:r>
      <w:r w:rsidR="004D4C9E" w:rsidRPr="004D4C9E">
        <w:rPr>
          <w:lang w:val="en-GB"/>
        </w:rPr>
        <w:t xml:space="preserve">lderly patient presents with </w:t>
      </w:r>
      <w:r>
        <w:rPr>
          <w:lang w:val="en-GB"/>
        </w:rPr>
        <w:t xml:space="preserve">shortness of breath and </w:t>
      </w:r>
      <w:r w:rsidR="004D4C9E">
        <w:rPr>
          <w:lang w:val="en-GB"/>
        </w:rPr>
        <w:t xml:space="preserve">a tight heart valve (in this case, </w:t>
      </w:r>
      <w:r w:rsidR="004D4C9E" w:rsidRPr="004D4C9E">
        <w:rPr>
          <w:lang w:val="en-GB"/>
        </w:rPr>
        <w:t>aortic stenosis</w:t>
      </w:r>
      <w:r w:rsidR="004D4C9E">
        <w:rPr>
          <w:lang w:val="en-GB"/>
        </w:rPr>
        <w:t>) but does not have any risk factors for coronary disease (blockages of the blood vessels supplying blood to the heart)</w:t>
      </w:r>
      <w:r w:rsidR="00D265C1">
        <w:rPr>
          <w:lang w:val="en-GB"/>
        </w:rPr>
        <w:t xml:space="preserve">, there are two choices: </w:t>
      </w:r>
    </w:p>
    <w:p w14:paraId="2EB9EACB" w14:textId="77777777" w:rsidR="00D265C1" w:rsidRDefault="00D265C1" w:rsidP="00D265C1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U</w:t>
      </w:r>
      <w:r w:rsidR="004D4C9E" w:rsidRPr="00D265C1">
        <w:rPr>
          <w:lang w:val="en-GB"/>
        </w:rPr>
        <w:t>ndergo surgery to replace the heart valve</w:t>
      </w:r>
      <w:r>
        <w:rPr>
          <w:lang w:val="en-GB"/>
        </w:rPr>
        <w:t xml:space="preserve"> (aortic valve replacement or AVR), or </w:t>
      </w:r>
    </w:p>
    <w:p w14:paraId="2D712ABD" w14:textId="77777777" w:rsidR="00D265C1" w:rsidRPr="00D265C1" w:rsidRDefault="00D265C1" w:rsidP="00D265C1">
      <w:pPr>
        <w:pStyle w:val="ListParagraph"/>
        <w:numPr>
          <w:ilvl w:val="0"/>
          <w:numId w:val="3"/>
        </w:numPr>
        <w:rPr>
          <w:lang w:val="en-GB"/>
        </w:rPr>
      </w:pPr>
      <w:r w:rsidRPr="00D265C1">
        <w:rPr>
          <w:lang w:val="en-GB"/>
        </w:rPr>
        <w:t>Undergo coronary angiography to see if there are any blockages in the blood vessels to the heart</w:t>
      </w:r>
      <w:r w:rsidR="002F14B9">
        <w:rPr>
          <w:lang w:val="en-GB"/>
        </w:rPr>
        <w:t xml:space="preserve"> first. If there are blockages, the patient undergoes</w:t>
      </w:r>
      <w:r w:rsidRPr="00D265C1">
        <w:rPr>
          <w:lang w:val="en-GB"/>
        </w:rPr>
        <w:t xml:space="preserve"> both aortic valve replacement (AVR, to fix the valve) and coronary artery bypass grafting (CABG, to bypass the blocked arteries around the heart). </w:t>
      </w:r>
      <w:r w:rsidR="002F14B9">
        <w:rPr>
          <w:lang w:val="en-GB"/>
        </w:rPr>
        <w:t xml:space="preserve">If there are no blockages, the patient undergoes an aortic valve replacement (AVR) but no CABG. </w:t>
      </w:r>
      <w:r w:rsidRPr="00D265C1">
        <w:rPr>
          <w:lang w:val="en-GB"/>
        </w:rPr>
        <w:t xml:space="preserve">The idea is that since you’re inside the chest, you might as well fix </w:t>
      </w:r>
      <w:r w:rsidR="002F14B9">
        <w:rPr>
          <w:lang w:val="en-GB"/>
        </w:rPr>
        <w:t>any coronary</w:t>
      </w:r>
      <w:r w:rsidRPr="00D265C1">
        <w:rPr>
          <w:lang w:val="en-GB"/>
        </w:rPr>
        <w:t xml:space="preserve"> blockages. </w:t>
      </w:r>
      <w:r>
        <w:rPr>
          <w:lang w:val="en-GB"/>
        </w:rPr>
        <w:t xml:space="preserve">This is the standard of care now, but in 1990, when this study was conducted, we were still trying to figure this out. Work with me here. </w:t>
      </w:r>
    </w:p>
    <w:p w14:paraId="698168F4" w14:textId="77777777" w:rsidR="00D265C1" w:rsidRPr="00D265C1" w:rsidRDefault="00D265C1" w:rsidP="00D265C1">
      <w:pPr>
        <w:pStyle w:val="ListParagraph"/>
      </w:pPr>
    </w:p>
    <w:p w14:paraId="24A43FBE" w14:textId="77777777" w:rsidR="004D4C9E" w:rsidRDefault="004D4C9E" w:rsidP="00D265C1">
      <w:pPr>
        <w:rPr>
          <w:lang w:val="en-GB"/>
        </w:rPr>
      </w:pPr>
      <w:r w:rsidRPr="00D265C1">
        <w:rPr>
          <w:lang w:val="en-GB"/>
        </w:rPr>
        <w:t xml:space="preserve">Clinical decision being analyzed: should they receive </w:t>
      </w:r>
      <w:r w:rsidR="00D265C1">
        <w:rPr>
          <w:lang w:val="en-GB"/>
        </w:rPr>
        <w:t xml:space="preserve">AVR alone, or undergo </w:t>
      </w:r>
      <w:r w:rsidRPr="00D265C1">
        <w:rPr>
          <w:lang w:val="en-GB"/>
        </w:rPr>
        <w:t xml:space="preserve">coronary angiography to determine whether </w:t>
      </w:r>
      <w:r w:rsidR="00D265C1">
        <w:rPr>
          <w:lang w:val="en-GB"/>
        </w:rPr>
        <w:t>some</w:t>
      </w:r>
      <w:r w:rsidRPr="00D265C1">
        <w:rPr>
          <w:lang w:val="en-GB"/>
        </w:rPr>
        <w:t xml:space="preserve"> </w:t>
      </w:r>
      <w:r w:rsidR="00D265C1">
        <w:rPr>
          <w:lang w:val="en-GB"/>
        </w:rPr>
        <w:t>should have AVR+CABG</w:t>
      </w:r>
      <w:r w:rsidRPr="00D265C1">
        <w:rPr>
          <w:lang w:val="en-GB"/>
        </w:rPr>
        <w:t>?</w:t>
      </w:r>
    </w:p>
    <w:p w14:paraId="4C2E3377" w14:textId="77777777" w:rsidR="00D265C1" w:rsidRPr="004D4C9E" w:rsidRDefault="00D265C1" w:rsidP="00D265C1"/>
    <w:p w14:paraId="23793519" w14:textId="77777777" w:rsidR="004D4C9E" w:rsidRDefault="00D265C1">
      <w:r>
        <w:t xml:space="preserve">Inputs: </w:t>
      </w:r>
    </w:p>
    <w:p w14:paraId="7BF6C3E4" w14:textId="77777777" w:rsidR="00D265C1" w:rsidRPr="00D265C1" w:rsidRDefault="00D265C1" w:rsidP="00D265C1">
      <w:pPr>
        <w:numPr>
          <w:ilvl w:val="0"/>
          <w:numId w:val="4"/>
        </w:numPr>
      </w:pPr>
      <w:r w:rsidRPr="00D265C1">
        <w:rPr>
          <w:lang w:val="en-GB"/>
        </w:rPr>
        <w:t xml:space="preserve">Probability that patient has </w:t>
      </w:r>
      <w:r>
        <w:rPr>
          <w:lang w:val="en-GB"/>
        </w:rPr>
        <w:t>coronary disease</w:t>
      </w:r>
      <w:r w:rsidRPr="00D265C1">
        <w:rPr>
          <w:lang w:val="en-GB"/>
        </w:rPr>
        <w:t xml:space="preserve"> = 0.067</w:t>
      </w:r>
    </w:p>
    <w:p w14:paraId="44C5EA6E" w14:textId="77777777" w:rsidR="00D265C1" w:rsidRPr="00D265C1" w:rsidRDefault="00D265C1" w:rsidP="00D265C1">
      <w:pPr>
        <w:ind w:left="720"/>
      </w:pPr>
    </w:p>
    <w:p w14:paraId="77BF4750" w14:textId="77777777" w:rsidR="00D265C1" w:rsidRPr="00D265C1" w:rsidRDefault="00D265C1" w:rsidP="00D265C1">
      <w:pPr>
        <w:numPr>
          <w:ilvl w:val="0"/>
          <w:numId w:val="4"/>
        </w:numPr>
      </w:pPr>
      <w:r>
        <w:rPr>
          <w:lang w:val="en-GB"/>
        </w:rPr>
        <w:t>Surgical mortality</w:t>
      </w:r>
      <w:r w:rsidRPr="00D265C1">
        <w:rPr>
          <w:lang w:val="en-GB"/>
        </w:rPr>
        <w:t xml:space="preserve"> following AVR+CABG = 0.061</w:t>
      </w:r>
    </w:p>
    <w:p w14:paraId="001FC19A" w14:textId="77777777" w:rsidR="00D265C1" w:rsidRPr="00D265C1" w:rsidRDefault="00D265C1" w:rsidP="00D265C1">
      <w:pPr>
        <w:numPr>
          <w:ilvl w:val="0"/>
          <w:numId w:val="4"/>
        </w:numPr>
      </w:pPr>
      <w:r>
        <w:rPr>
          <w:lang w:val="en-GB"/>
        </w:rPr>
        <w:t>Surgical mortality following AVR</w:t>
      </w:r>
      <w:r w:rsidR="001D5A55">
        <w:rPr>
          <w:lang w:val="en-GB"/>
        </w:rPr>
        <w:t xml:space="preserve"> alone</w:t>
      </w:r>
      <w:r>
        <w:rPr>
          <w:lang w:val="en-GB"/>
        </w:rPr>
        <w:t>, among patients with underlying coronary disease</w:t>
      </w:r>
      <w:r w:rsidRPr="00D265C1">
        <w:rPr>
          <w:lang w:val="en-GB"/>
        </w:rPr>
        <w:t xml:space="preserve"> = 0.122</w:t>
      </w:r>
    </w:p>
    <w:p w14:paraId="5D52D609" w14:textId="77777777" w:rsidR="00D265C1" w:rsidRPr="00D265C1" w:rsidRDefault="00D265C1" w:rsidP="00D265C1">
      <w:pPr>
        <w:numPr>
          <w:ilvl w:val="0"/>
          <w:numId w:val="4"/>
        </w:numPr>
      </w:pPr>
      <w:r>
        <w:rPr>
          <w:lang w:val="en-GB"/>
        </w:rPr>
        <w:t>Surgical mortality following AVR</w:t>
      </w:r>
      <w:r w:rsidR="001D5A55">
        <w:rPr>
          <w:lang w:val="en-GB"/>
        </w:rPr>
        <w:t xml:space="preserve"> alone</w:t>
      </w:r>
      <w:r>
        <w:rPr>
          <w:lang w:val="en-GB"/>
        </w:rPr>
        <w:t>, among patients without underlying coronary disease</w:t>
      </w:r>
      <w:r w:rsidRPr="00D265C1">
        <w:rPr>
          <w:lang w:val="en-GB"/>
        </w:rPr>
        <w:t xml:space="preserve"> = 0.028</w:t>
      </w:r>
    </w:p>
    <w:p w14:paraId="4DE9EDBD" w14:textId="77777777" w:rsidR="00D265C1" w:rsidRPr="00D265C1" w:rsidRDefault="001D5A55" w:rsidP="00D265C1">
      <w:pPr>
        <w:numPr>
          <w:ilvl w:val="0"/>
          <w:numId w:val="4"/>
        </w:numPr>
      </w:pPr>
      <w:r>
        <w:rPr>
          <w:lang w:val="en-GB"/>
        </w:rPr>
        <w:t>Life expectancy among those who survive</w:t>
      </w:r>
      <w:r w:rsidR="00D265C1">
        <w:rPr>
          <w:lang w:val="en-GB"/>
        </w:rPr>
        <w:t xml:space="preserve"> AVR+CABG </w:t>
      </w:r>
      <w:r w:rsidR="00D265C1" w:rsidRPr="00D265C1">
        <w:rPr>
          <w:lang w:val="en-GB"/>
        </w:rPr>
        <w:t>= 8.8 years</w:t>
      </w:r>
    </w:p>
    <w:p w14:paraId="2252450D" w14:textId="77777777" w:rsidR="00D265C1" w:rsidRPr="00D265C1" w:rsidRDefault="00D265C1" w:rsidP="00D265C1">
      <w:pPr>
        <w:numPr>
          <w:ilvl w:val="0"/>
          <w:numId w:val="4"/>
        </w:numPr>
      </w:pPr>
      <w:r w:rsidRPr="00D265C1">
        <w:rPr>
          <w:lang w:val="en-GB"/>
        </w:rPr>
        <w:t xml:space="preserve">Life expectancy </w:t>
      </w:r>
      <w:r w:rsidR="001D5A55">
        <w:rPr>
          <w:lang w:val="en-GB"/>
        </w:rPr>
        <w:t>among those who survive</w:t>
      </w:r>
      <w:r w:rsidRPr="00D265C1">
        <w:rPr>
          <w:lang w:val="en-GB"/>
        </w:rPr>
        <w:t xml:space="preserve"> AVR </w:t>
      </w:r>
      <w:r w:rsidR="001D5A55">
        <w:rPr>
          <w:lang w:val="en-GB"/>
        </w:rPr>
        <w:t xml:space="preserve">alone and have underlying coronary disease </w:t>
      </w:r>
      <w:r w:rsidRPr="00D265C1">
        <w:rPr>
          <w:lang w:val="en-GB"/>
        </w:rPr>
        <w:t xml:space="preserve"> = 6.2 years</w:t>
      </w:r>
    </w:p>
    <w:p w14:paraId="492FD1F3" w14:textId="77777777" w:rsidR="00D265C1" w:rsidRPr="00D265C1" w:rsidRDefault="001D5A55" w:rsidP="00D265C1">
      <w:pPr>
        <w:numPr>
          <w:ilvl w:val="0"/>
          <w:numId w:val="4"/>
        </w:numPr>
      </w:pPr>
      <w:r w:rsidRPr="00D265C1">
        <w:rPr>
          <w:lang w:val="en-GB"/>
        </w:rPr>
        <w:t xml:space="preserve">Life expectancy </w:t>
      </w:r>
      <w:r>
        <w:rPr>
          <w:lang w:val="en-GB"/>
        </w:rPr>
        <w:t>among those who survive</w:t>
      </w:r>
      <w:r w:rsidRPr="00D265C1">
        <w:rPr>
          <w:lang w:val="en-GB"/>
        </w:rPr>
        <w:t xml:space="preserve"> AVR </w:t>
      </w:r>
      <w:r>
        <w:rPr>
          <w:lang w:val="en-GB"/>
        </w:rPr>
        <w:t xml:space="preserve">alone and do not have underlying coronary disease </w:t>
      </w:r>
      <w:r w:rsidRPr="00D265C1">
        <w:rPr>
          <w:lang w:val="en-GB"/>
        </w:rPr>
        <w:t xml:space="preserve"> </w:t>
      </w:r>
      <w:r w:rsidR="00D265C1" w:rsidRPr="00D265C1">
        <w:rPr>
          <w:lang w:val="en-GB"/>
        </w:rPr>
        <w:t>= 13.3 years</w:t>
      </w:r>
    </w:p>
    <w:p w14:paraId="4A962308" w14:textId="77777777" w:rsidR="00D265C1" w:rsidRPr="00D265C1" w:rsidRDefault="00D265C1" w:rsidP="00D265C1">
      <w:pPr>
        <w:numPr>
          <w:ilvl w:val="0"/>
          <w:numId w:val="4"/>
        </w:numPr>
      </w:pPr>
      <w:r w:rsidRPr="00D265C1">
        <w:rPr>
          <w:lang w:val="en-GB"/>
        </w:rPr>
        <w:t>Cost angiography = $</w:t>
      </w:r>
      <w:r w:rsidR="001D5A55">
        <w:rPr>
          <w:lang w:val="en-GB"/>
        </w:rPr>
        <w:t>2</w:t>
      </w:r>
      <w:r w:rsidRPr="00D265C1">
        <w:rPr>
          <w:lang w:val="en-GB"/>
        </w:rPr>
        <w:t>,000</w:t>
      </w:r>
    </w:p>
    <w:p w14:paraId="7CCAB5E1" w14:textId="77777777" w:rsidR="00D265C1" w:rsidRPr="00D265C1" w:rsidRDefault="00D265C1" w:rsidP="00D265C1">
      <w:pPr>
        <w:numPr>
          <w:ilvl w:val="0"/>
          <w:numId w:val="4"/>
        </w:numPr>
      </w:pPr>
      <w:r w:rsidRPr="00D265C1">
        <w:rPr>
          <w:lang w:val="en-GB"/>
        </w:rPr>
        <w:t>Cost AVR = $</w:t>
      </w:r>
      <w:r w:rsidR="001D5A55">
        <w:rPr>
          <w:lang w:val="en-GB"/>
        </w:rPr>
        <w:t>5</w:t>
      </w:r>
      <w:r w:rsidRPr="00D265C1">
        <w:rPr>
          <w:lang w:val="en-GB"/>
        </w:rPr>
        <w:t>0,000</w:t>
      </w:r>
    </w:p>
    <w:p w14:paraId="07B07FFD" w14:textId="77777777" w:rsidR="001D5A55" w:rsidRDefault="001D5A55" w:rsidP="001D5A55">
      <w:pPr>
        <w:numPr>
          <w:ilvl w:val="0"/>
          <w:numId w:val="4"/>
        </w:numPr>
      </w:pPr>
      <w:r>
        <w:rPr>
          <w:lang w:val="en-GB"/>
        </w:rPr>
        <w:t>Cost AVR + CABG = $75</w:t>
      </w:r>
      <w:r w:rsidR="00D265C1" w:rsidRPr="00D265C1">
        <w:rPr>
          <w:lang w:val="en-GB"/>
        </w:rPr>
        <w:t>,000</w:t>
      </w:r>
    </w:p>
    <w:p w14:paraId="192ABB25" w14:textId="77777777" w:rsidR="00D265C1" w:rsidRDefault="00D265C1">
      <w:pPr>
        <w:rPr>
          <w:lang w:val="en-GB"/>
        </w:rPr>
      </w:pPr>
    </w:p>
    <w:p w14:paraId="175A30B1" w14:textId="77777777" w:rsidR="001D5A55" w:rsidRPr="008E44CF" w:rsidRDefault="001D5A55" w:rsidP="001D5A55">
      <w:pPr>
        <w:pStyle w:val="ListParagraph"/>
        <w:numPr>
          <w:ilvl w:val="0"/>
          <w:numId w:val="6"/>
        </w:numPr>
        <w:rPr>
          <w:lang w:val="en-GB"/>
        </w:rPr>
      </w:pPr>
      <w:r w:rsidRPr="001D5A55">
        <w:rPr>
          <w:lang w:val="en-GB"/>
        </w:rPr>
        <w:t>Frame the research question</w:t>
      </w:r>
      <w:r w:rsidR="008E44CF">
        <w:rPr>
          <w:lang w:val="en-GB"/>
        </w:rPr>
        <w:t xml:space="preserve"> (</w:t>
      </w:r>
      <w:r w:rsidR="008E44CF">
        <w:rPr>
          <w:i/>
          <w:lang w:val="en-GB"/>
        </w:rPr>
        <w:t>Cue: PICO-HP)</w:t>
      </w:r>
    </w:p>
    <w:p w14:paraId="7A0ABD41" w14:textId="77777777" w:rsidR="008E44CF" w:rsidRPr="001D5A55" w:rsidRDefault="008E44CF" w:rsidP="008E44CF">
      <w:pPr>
        <w:pStyle w:val="ListParagraph"/>
        <w:rPr>
          <w:lang w:val="en-GB"/>
        </w:rPr>
      </w:pPr>
    </w:p>
    <w:p w14:paraId="090B6758" w14:textId="77777777" w:rsidR="008E44CF" w:rsidRDefault="008E44CF" w:rsidP="001D5A55">
      <w:pPr>
        <w:pStyle w:val="ListParagraph"/>
        <w:numPr>
          <w:ilvl w:val="0"/>
          <w:numId w:val="6"/>
        </w:numPr>
      </w:pPr>
      <w:r>
        <w:t xml:space="preserve">Build the tree in TreeAge. </w:t>
      </w:r>
      <w:r w:rsidR="001D5A55">
        <w:t>Is angiography cost-effective at a willingness-to-pay threshold of $50,000 per life year?</w:t>
      </w:r>
      <w:r>
        <w:t xml:space="preserve"> </w:t>
      </w:r>
    </w:p>
    <w:p w14:paraId="158850D8" w14:textId="77777777" w:rsidR="008E44CF" w:rsidRPr="008E44CF" w:rsidRDefault="008E44CF" w:rsidP="008E44CF">
      <w:pPr>
        <w:rPr>
          <w:i/>
        </w:rPr>
      </w:pPr>
    </w:p>
    <w:p w14:paraId="299238F3" w14:textId="77777777" w:rsidR="001D5A55" w:rsidRDefault="008E44CF" w:rsidP="008E44CF">
      <w:pPr>
        <w:pStyle w:val="ListParagraph"/>
      </w:pPr>
      <w:r>
        <w:rPr>
          <w:i/>
        </w:rPr>
        <w:t xml:space="preserve">Cue: Remember to start with the underlying population as we discussed. The population consists of individuals who have only aortic stenosis (1-0.067) and those who have both aortic stenosis and coronary disease (0.067). </w:t>
      </w:r>
    </w:p>
    <w:p w14:paraId="699F8AE1" w14:textId="77777777" w:rsidR="008E44CF" w:rsidRDefault="008E44CF" w:rsidP="008E44CF"/>
    <w:p w14:paraId="289FDA51" w14:textId="77777777" w:rsidR="008E44CF" w:rsidRDefault="008E44CF" w:rsidP="008E44CF">
      <w:pPr>
        <w:pStyle w:val="ListParagraph"/>
      </w:pPr>
    </w:p>
    <w:p w14:paraId="17872394" w14:textId="77777777" w:rsidR="001D5A55" w:rsidRDefault="001D5A55" w:rsidP="001D5A55">
      <w:pPr>
        <w:pStyle w:val="ListParagraph"/>
        <w:numPr>
          <w:ilvl w:val="0"/>
          <w:numId w:val="6"/>
        </w:numPr>
      </w:pPr>
      <w:r>
        <w:t xml:space="preserve">Perform a one-way sensitivity analysis wherein the </w:t>
      </w:r>
      <w:r w:rsidRPr="00BA7764">
        <w:rPr>
          <w:i/>
        </w:rPr>
        <w:t xml:space="preserve">incremental </w:t>
      </w:r>
      <w:r>
        <w:t xml:space="preserve">cost of CABG (when performed in addition to </w:t>
      </w:r>
      <w:r w:rsidR="00BA7764">
        <w:t xml:space="preserve">AVR) varies from $10,000 to $75,000. </w:t>
      </w:r>
    </w:p>
    <w:p w14:paraId="366CA98D" w14:textId="77777777" w:rsidR="008E44CF" w:rsidRDefault="008E44CF" w:rsidP="008E44CF">
      <w:pPr>
        <w:pStyle w:val="ListParagraph"/>
      </w:pPr>
    </w:p>
    <w:p w14:paraId="01B15653" w14:textId="77777777" w:rsidR="00BA7764" w:rsidRPr="008E44CF" w:rsidRDefault="00BA7764" w:rsidP="00BA7764">
      <w:pPr>
        <w:pStyle w:val="ListParagraph"/>
        <w:numPr>
          <w:ilvl w:val="0"/>
          <w:numId w:val="6"/>
        </w:numPr>
      </w:pPr>
      <w:r>
        <w:t xml:space="preserve">Perform a one-way sensitivity analysis where the probability of coronary disease in the population ranges from 0.01 to 0.1.  Present your results graphically (ICER against prob of coronary disease). </w:t>
      </w:r>
      <w:r>
        <w:rPr>
          <w:i/>
        </w:rPr>
        <w:t xml:space="preserve">Cue: When you run the sensitivity analyses, TreeAge gives you a range of graph options on the right. Pick  (your variable of interest) vs. ICER. It will automatically create  a graph, which you can then save as a jpeg). </w:t>
      </w:r>
    </w:p>
    <w:p w14:paraId="0B49684D" w14:textId="77777777" w:rsidR="008E44CF" w:rsidRDefault="008E44CF" w:rsidP="008E44CF"/>
    <w:p w14:paraId="1A3303A8" w14:textId="77777777" w:rsidR="008E44CF" w:rsidRPr="00BA7764" w:rsidRDefault="008E44CF" w:rsidP="008E44CF"/>
    <w:p w14:paraId="321FF88C" w14:textId="77777777" w:rsidR="00BA7764" w:rsidRDefault="00BA7764" w:rsidP="00BA7764">
      <w:pPr>
        <w:pStyle w:val="ListParagraph"/>
        <w:numPr>
          <w:ilvl w:val="0"/>
          <w:numId w:val="6"/>
        </w:numPr>
      </w:pPr>
      <w:r>
        <w:t xml:space="preserve">Perform a threshold analysis (Analysis </w:t>
      </w:r>
      <w:r>
        <w:sym w:font="Wingdings" w:char="F0E0"/>
      </w:r>
      <w:r>
        <w:t xml:space="preserve"> Sensitivity Analysis </w:t>
      </w:r>
      <w:r>
        <w:sym w:font="Wingdings" w:char="F0E0"/>
      </w:r>
      <w:r>
        <w:t xml:space="preserve"> Threshold) on the probability of coronary disease at a threshold of $50,000 per life year. How would you interpret the results?</w:t>
      </w:r>
    </w:p>
    <w:p w14:paraId="0F8EEA1E" w14:textId="77777777" w:rsidR="00BA7764" w:rsidRDefault="00BA7764" w:rsidP="00BA7764">
      <w:pPr>
        <w:pStyle w:val="ListParagraph"/>
      </w:pPr>
    </w:p>
    <w:p w14:paraId="78B83528" w14:textId="77777777" w:rsidR="00BA7764" w:rsidRDefault="00BA7764" w:rsidP="00BA7764">
      <w:pPr>
        <w:pStyle w:val="ListParagraph"/>
        <w:rPr>
          <w:i/>
        </w:rPr>
      </w:pPr>
      <w:r>
        <w:rPr>
          <w:i/>
        </w:rPr>
        <w:t>Bonus Question</w:t>
      </w:r>
      <w:r w:rsidR="008E44CF">
        <w:rPr>
          <w:i/>
        </w:rPr>
        <w:t xml:space="preserve"> (only attempt this if you are feeling adventurous)</w:t>
      </w:r>
      <w:r>
        <w:rPr>
          <w:i/>
        </w:rPr>
        <w:t xml:space="preserve">: </w:t>
      </w:r>
    </w:p>
    <w:p w14:paraId="4DDC4730" w14:textId="77777777" w:rsidR="00BA7764" w:rsidRDefault="00BA7764" w:rsidP="00BA7764">
      <w:pPr>
        <w:pStyle w:val="ListParagraph"/>
      </w:pPr>
      <w:r w:rsidRPr="00BA7764">
        <w:t>We have implicit</w:t>
      </w:r>
      <w:r w:rsidR="008E44CF">
        <w:t>l</w:t>
      </w:r>
      <w:r w:rsidRPr="00BA7764">
        <w:t xml:space="preserve">y assumed that angiography is 100% accurate for diagnosing coronary disease. In a sense it is, because it remains the  diagnostic standard. But imagine a scenario where it was 80% sensitive and 85% specific. </w:t>
      </w:r>
      <w:r>
        <w:t xml:space="preserve">How does this alter the </w:t>
      </w:r>
      <w:r w:rsidR="001304C7">
        <w:t>cost-effectiveness of the angio-driven strategy?</w:t>
      </w:r>
    </w:p>
    <w:p w14:paraId="16A3E437" w14:textId="77777777" w:rsidR="001304C7" w:rsidRDefault="001304C7" w:rsidP="00BA7764">
      <w:pPr>
        <w:pStyle w:val="ListParagraph"/>
      </w:pPr>
    </w:p>
    <w:p w14:paraId="2876DB69" w14:textId="77777777" w:rsidR="001304C7" w:rsidRPr="001304C7" w:rsidRDefault="001304C7" w:rsidP="00BA7764">
      <w:pPr>
        <w:pStyle w:val="ListParagraph"/>
        <w:rPr>
          <w:i/>
        </w:rPr>
      </w:pPr>
      <w:r>
        <w:rPr>
          <w:i/>
        </w:rPr>
        <w:t xml:space="preserve">Cue: The population doesn’t change. What changes is whether everyone with coronary disease is detected, and some folks who don’t have coronary disease may undergo unnecessary CABG. </w:t>
      </w:r>
    </w:p>
    <w:sectPr w:rsidR="001304C7" w:rsidRPr="001304C7" w:rsidSect="00C777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F63"/>
    <w:multiLevelType w:val="hybridMultilevel"/>
    <w:tmpl w:val="62A23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6204"/>
    <w:multiLevelType w:val="hybridMultilevel"/>
    <w:tmpl w:val="631CB0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39E2"/>
    <w:multiLevelType w:val="hybridMultilevel"/>
    <w:tmpl w:val="B05C2778"/>
    <w:lvl w:ilvl="0" w:tplc="9F7CF8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0A41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D6F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0C0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70C4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A3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CD0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4A2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345D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43791E"/>
    <w:multiLevelType w:val="hybridMultilevel"/>
    <w:tmpl w:val="96E09ECA"/>
    <w:lvl w:ilvl="0" w:tplc="168EBC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683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42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6EB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2C54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3E3D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9AF5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B414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EC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C2747D"/>
    <w:multiLevelType w:val="hybridMultilevel"/>
    <w:tmpl w:val="471E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2153E"/>
    <w:multiLevelType w:val="hybridMultilevel"/>
    <w:tmpl w:val="3612CCB2"/>
    <w:lvl w:ilvl="0" w:tplc="73A285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259C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907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8D7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4E02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EA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D04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B43A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067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207227"/>
    <w:multiLevelType w:val="hybridMultilevel"/>
    <w:tmpl w:val="BA0851A0"/>
    <w:lvl w:ilvl="0" w:tplc="024ED3BE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1652CC2"/>
    <w:multiLevelType w:val="hybridMultilevel"/>
    <w:tmpl w:val="22C43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64"/>
    <w:rsid w:val="000B5864"/>
    <w:rsid w:val="001304C7"/>
    <w:rsid w:val="001D5A55"/>
    <w:rsid w:val="002F14B9"/>
    <w:rsid w:val="004D4C9E"/>
    <w:rsid w:val="005F6602"/>
    <w:rsid w:val="008E44CF"/>
    <w:rsid w:val="009D323B"/>
    <w:rsid w:val="00BA7764"/>
    <w:rsid w:val="00C777F3"/>
    <w:rsid w:val="00D2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BF28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8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8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6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3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6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4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7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2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8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2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9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6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2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2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41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46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2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1171</Words>
  <Characters>5788</Characters>
  <Application>Microsoft Macintosh Word</Application>
  <DocSecurity>0</DocSecurity>
  <Lines>222</Lines>
  <Paragraphs>124</Paragraphs>
  <ScaleCrop>false</ScaleCrop>
  <Company>UCSF</Company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 Kazi</dc:creator>
  <cp:keywords/>
  <dc:description/>
  <cp:lastModifiedBy>Dhruv Kazi</cp:lastModifiedBy>
  <cp:revision>3</cp:revision>
  <dcterms:created xsi:type="dcterms:W3CDTF">2018-02-02T00:40:00Z</dcterms:created>
  <dcterms:modified xsi:type="dcterms:W3CDTF">2018-02-02T01:03:00Z</dcterms:modified>
</cp:coreProperties>
</file>