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84C97C" w14:textId="77777777" w:rsidR="003F2F7B" w:rsidRDefault="00BF6269" w:rsidP="003F2F7B">
      <w:pPr>
        <w:pStyle w:val="Heading1"/>
      </w:pPr>
      <w:r>
        <w:t>6</w:t>
      </w:r>
      <w:r w:rsidR="00006FA0" w:rsidRPr="00046434">
        <w:t xml:space="preserve"> </w:t>
      </w:r>
      <w:r w:rsidR="00A33DF6">
        <w:t xml:space="preserve">Risk </w:t>
      </w:r>
      <w:r w:rsidR="00246416">
        <w:t>Predictions</w:t>
      </w:r>
    </w:p>
    <w:p w14:paraId="01324FC6" w14:textId="77777777" w:rsidR="003F2F7B" w:rsidRPr="00046434" w:rsidRDefault="00DD228E" w:rsidP="00246416">
      <w:pPr>
        <w:pStyle w:val="Heading2"/>
        <w:rPr>
          <w:rStyle w:val="Heading2Char"/>
        </w:rPr>
      </w:pPr>
      <w:r w:rsidRPr="00046434">
        <w:rPr>
          <w:rStyle w:val="Heading2Char"/>
        </w:rPr>
        <w:t>Introduction</w:t>
      </w:r>
    </w:p>
    <w:p w14:paraId="022B1B7A" w14:textId="77777777" w:rsidR="002717A6" w:rsidRDefault="00DD228E" w:rsidP="003F2F7B">
      <w:pPr>
        <w:pStyle w:val="NormalWeb"/>
      </w:pPr>
      <w:r w:rsidRPr="00046434">
        <w:t xml:space="preserve">In previous chapters, we discussed issues affecting evaluation </w:t>
      </w:r>
      <w:r w:rsidR="00BF6269">
        <w:t xml:space="preserve">and use </w:t>
      </w:r>
      <w:r w:rsidRPr="00046434">
        <w:t xml:space="preserve">of diagnostic tests: how </w:t>
      </w:r>
      <w:r w:rsidR="00BF6269">
        <w:t xml:space="preserve">to assess </w:t>
      </w:r>
      <w:r w:rsidRPr="00046434">
        <w:t xml:space="preserve">test reliability and accuracy, how to combine the results of tests with prior information to estimate </w:t>
      </w:r>
      <w:r w:rsidR="00BF6269">
        <w:t>disease</w:t>
      </w:r>
      <w:r w:rsidRPr="00046434">
        <w:t xml:space="preserve"> probability</w:t>
      </w:r>
      <w:r w:rsidR="00BF6269">
        <w:t xml:space="preserve">, </w:t>
      </w:r>
      <w:r w:rsidR="00792650">
        <w:t xml:space="preserve">and </w:t>
      </w:r>
      <w:r w:rsidR="00BF6269" w:rsidRPr="00046434">
        <w:t xml:space="preserve">how </w:t>
      </w:r>
      <w:r w:rsidR="00BF6269">
        <w:t>a test’s value depends on the decision it will guide</w:t>
      </w:r>
      <w:r w:rsidR="00BF6269" w:rsidRPr="00046434">
        <w:t xml:space="preserve"> </w:t>
      </w:r>
      <w:r w:rsidR="00BF6269">
        <w:t>and the relative cost</w:t>
      </w:r>
      <w:r w:rsidRPr="00046434">
        <w:t xml:space="preserve"> of </w:t>
      </w:r>
      <w:r w:rsidR="00792650">
        <w:t>errors.</w:t>
      </w:r>
      <w:r w:rsidRPr="00046434">
        <w:t xml:space="preserve"> In this chapter, we </w:t>
      </w:r>
      <w:r w:rsidR="009626BA">
        <w:t>move from diagnosing prevalent disease to predicting incident outcomes.</w:t>
      </w:r>
      <w:r w:rsidR="00E1039F">
        <w:t xml:space="preserve">  </w:t>
      </w:r>
      <w:r w:rsidR="00B64A19">
        <w:t xml:space="preserve">We will discuss the difference between diagnostic </w:t>
      </w:r>
      <w:r w:rsidR="00246416">
        <w:t xml:space="preserve">tests </w:t>
      </w:r>
      <w:r w:rsidR="00B64A19">
        <w:t xml:space="preserve">and </w:t>
      </w:r>
      <w:r w:rsidR="000E505B">
        <w:t xml:space="preserve">risk </w:t>
      </w:r>
      <w:r w:rsidR="00246416">
        <w:t>predictions</w:t>
      </w:r>
      <w:r w:rsidR="00957A07">
        <w:t xml:space="preserve"> and then focus on evaluating predictions, specifically</w:t>
      </w:r>
      <w:r w:rsidR="00B64A19">
        <w:t xml:space="preserve"> </w:t>
      </w:r>
      <w:r w:rsidR="00A37F8D">
        <w:t xml:space="preserve">covering </w:t>
      </w:r>
      <w:r w:rsidR="00B64A19">
        <w:t xml:space="preserve">calibration, discrimination, net benefit calculations, and decision curves.  </w:t>
      </w:r>
    </w:p>
    <w:p w14:paraId="4AC9CD4E" w14:textId="572082BF" w:rsidR="003F2F7B" w:rsidRPr="00046434" w:rsidRDefault="00B64A19" w:rsidP="003F2F7B">
      <w:pPr>
        <w:pStyle w:val="NormalWeb"/>
      </w:pPr>
      <w:r>
        <w:t>Keep in mind throughout that</w:t>
      </w:r>
      <w:r w:rsidR="00D227DF">
        <w:t>,</w:t>
      </w:r>
      <w:r w:rsidR="008444AD">
        <w:t xml:space="preserve"> although we may have other reasons to estimate the risk of an outcome,</w:t>
      </w:r>
      <w:r>
        <w:t xml:space="preserve"> </w:t>
      </w:r>
      <w:r w:rsidR="008444AD">
        <w:t xml:space="preserve">our </w:t>
      </w:r>
      <w:r w:rsidR="008444AD">
        <w:rPr>
          <w:bCs/>
          <w:iCs/>
        </w:rPr>
        <w:t xml:space="preserve">main </w:t>
      </w:r>
      <w:r w:rsidR="00E1039F">
        <w:rPr>
          <w:bCs/>
          <w:iCs/>
        </w:rPr>
        <w:t>purpose is to guide decision</w:t>
      </w:r>
      <w:r w:rsidR="00F8327F">
        <w:rPr>
          <w:bCs/>
          <w:iCs/>
        </w:rPr>
        <w:t>s</w:t>
      </w:r>
      <w:r w:rsidR="00E1039F">
        <w:rPr>
          <w:bCs/>
          <w:iCs/>
        </w:rPr>
        <w:t xml:space="preserve">: statin treatment for </w:t>
      </w:r>
      <w:r w:rsidR="009C543A">
        <w:rPr>
          <w:bCs/>
          <w:iCs/>
        </w:rPr>
        <w:t>people</w:t>
      </w:r>
      <w:r w:rsidR="00E1039F">
        <w:rPr>
          <w:bCs/>
          <w:iCs/>
        </w:rPr>
        <w:t xml:space="preserve"> at high risk for coronary artery disease, hospital admission for </w:t>
      </w:r>
      <w:r w:rsidR="00F8327F">
        <w:rPr>
          <w:bCs/>
          <w:iCs/>
        </w:rPr>
        <w:t>transient ischemic attack (</w:t>
      </w:r>
      <w:r w:rsidR="00E1039F">
        <w:rPr>
          <w:bCs/>
          <w:iCs/>
        </w:rPr>
        <w:t>TIA</w:t>
      </w:r>
      <w:r w:rsidR="00F8327F">
        <w:rPr>
          <w:bCs/>
          <w:iCs/>
        </w:rPr>
        <w:t>)</w:t>
      </w:r>
      <w:r w:rsidR="00E1039F">
        <w:rPr>
          <w:bCs/>
          <w:iCs/>
        </w:rPr>
        <w:t xml:space="preserve"> </w:t>
      </w:r>
      <w:r w:rsidR="009C543A">
        <w:rPr>
          <w:bCs/>
          <w:iCs/>
        </w:rPr>
        <w:t>patients</w:t>
      </w:r>
      <w:r w:rsidR="00E1039F">
        <w:rPr>
          <w:bCs/>
          <w:iCs/>
        </w:rPr>
        <w:t xml:space="preserve"> at high risk for stroke, </w:t>
      </w:r>
      <w:r w:rsidR="00550665">
        <w:rPr>
          <w:bCs/>
          <w:iCs/>
        </w:rPr>
        <w:t>intensive care unit (</w:t>
      </w:r>
      <w:r w:rsidR="00E1039F">
        <w:rPr>
          <w:bCs/>
          <w:iCs/>
        </w:rPr>
        <w:t>ICU</w:t>
      </w:r>
      <w:r w:rsidR="00550665">
        <w:rPr>
          <w:bCs/>
          <w:iCs/>
        </w:rPr>
        <w:t>)</w:t>
      </w:r>
      <w:r w:rsidR="00E1039F">
        <w:rPr>
          <w:bCs/>
          <w:iCs/>
        </w:rPr>
        <w:t xml:space="preserve"> admission for pneumonia </w:t>
      </w:r>
      <w:r w:rsidR="009C543A">
        <w:rPr>
          <w:bCs/>
          <w:iCs/>
        </w:rPr>
        <w:t>patients</w:t>
      </w:r>
      <w:r w:rsidR="00E1039F">
        <w:rPr>
          <w:bCs/>
          <w:iCs/>
        </w:rPr>
        <w:t xml:space="preserve"> with high mortality risk</w:t>
      </w:r>
      <w:r w:rsidR="0066587D">
        <w:rPr>
          <w:bCs/>
          <w:iCs/>
        </w:rPr>
        <w:t>, and so on</w:t>
      </w:r>
      <w:r w:rsidR="00E1039F">
        <w:rPr>
          <w:bCs/>
          <w:iCs/>
        </w:rPr>
        <w:t xml:space="preserve">.   </w:t>
      </w:r>
    </w:p>
    <w:p w14:paraId="3AD5FA75" w14:textId="77777777" w:rsidR="002C4C39" w:rsidRPr="00046434" w:rsidRDefault="000E505B" w:rsidP="003F2F7B">
      <w:pPr>
        <w:pStyle w:val="Heading2"/>
      </w:pPr>
      <w:r>
        <w:t>Risk p</w:t>
      </w:r>
      <w:r w:rsidR="00246416">
        <w:t>redictions</w:t>
      </w:r>
      <w:r w:rsidR="00246416" w:rsidRPr="00046434">
        <w:t xml:space="preserve"> </w:t>
      </w:r>
      <w:r w:rsidR="00DD228E" w:rsidRPr="00046434">
        <w:t>versus diagnostic tests</w:t>
      </w:r>
    </w:p>
    <w:p w14:paraId="3DF62210" w14:textId="77777777" w:rsidR="00F8327F" w:rsidRDefault="00B90C0B" w:rsidP="003F2F7B">
      <w:pPr>
        <w:pStyle w:val="NormalWeb"/>
      </w:pPr>
      <w:r>
        <w:t>“</w:t>
      </w:r>
      <w:r w:rsidR="005B7F59">
        <w:t xml:space="preserve">Prediction is </w:t>
      </w:r>
      <w:r>
        <w:t>difficult, especially about the future.”</w:t>
      </w:r>
      <w:r w:rsidR="00A47025">
        <w:t xml:space="preserve"> </w:t>
      </w:r>
    </w:p>
    <w:p w14:paraId="26858533" w14:textId="77777777" w:rsidR="00B90C0B" w:rsidRDefault="00A47025" w:rsidP="00F8327F">
      <w:pPr>
        <w:pStyle w:val="NormalWeb"/>
        <w:ind w:left="720"/>
      </w:pPr>
      <w:r>
        <w:t xml:space="preserve"> </w:t>
      </w:r>
      <w:r w:rsidR="00B90C0B">
        <w:t>-- variably identified as a Danish saying or attributed to Niels Bohr, Yogi Berra, Mark Twain, Casey Stengel, Sam Goldwyn, Dan Quayle, Will Rogers, Winston Churchill, Woody Allen, ….</w:t>
      </w:r>
    </w:p>
    <w:p w14:paraId="6B53B0A5" w14:textId="304BB0DA" w:rsidR="009C57FB" w:rsidRDefault="00246416" w:rsidP="009C57FB">
      <w:pPr>
        <w:pStyle w:val="NormalWeb"/>
        <w:rPr>
          <w:noProof/>
        </w:rPr>
      </w:pPr>
      <w:r>
        <w:t>We originally called this chapter “Prognostic Tests”, but p</w:t>
      </w:r>
      <w:r w:rsidR="00DD228E" w:rsidRPr="00046434">
        <w:t xml:space="preserve">rognosis is </w:t>
      </w:r>
      <w:r w:rsidR="002C4C39" w:rsidRPr="00046434">
        <w:t>“</w:t>
      </w:r>
      <w:r w:rsidR="00DD228E" w:rsidRPr="00046434">
        <w:t>a forecasting of the probable course and termination of an illness</w:t>
      </w:r>
      <w:r w:rsidR="002C4C39" w:rsidRPr="00046434">
        <w:t>”</w:t>
      </w:r>
      <w:r w:rsidR="00DD228E" w:rsidRPr="00046434">
        <w:t xml:space="preserve"> (Webster</w:t>
      </w:r>
      <w:r w:rsidR="002C4C39" w:rsidRPr="00046434">
        <w:t>’</w:t>
      </w:r>
      <w:r w:rsidR="00DD228E" w:rsidRPr="00046434">
        <w:t>s Unabridged Dictionary 2001</w:t>
      </w:r>
      <w:r w:rsidR="009626BA">
        <w:t xml:space="preserve">), which </w:t>
      </w:r>
      <w:r w:rsidR="007E65B3">
        <w:t>means</w:t>
      </w:r>
      <w:r w:rsidR="009626BA">
        <w:t xml:space="preserve"> predicting incident outcomes in sick people</w:t>
      </w:r>
      <w:r w:rsidR="00786AF0">
        <w:t xml:space="preserve">. </w:t>
      </w:r>
      <w:r>
        <w:t xml:space="preserve"> Th</w:t>
      </w:r>
      <w:r w:rsidR="00786AF0">
        <w:t xml:space="preserve">e tests </w:t>
      </w:r>
      <w:r w:rsidR="0066587D">
        <w:t xml:space="preserve">and risk models </w:t>
      </w:r>
      <w:r w:rsidR="00786AF0">
        <w:t xml:space="preserve">discussed here are not necessarily applied to sick people.  </w:t>
      </w:r>
      <w:r w:rsidR="00C20260">
        <w:t xml:space="preserve">In </w:t>
      </w:r>
      <w:r w:rsidR="00786AF0">
        <w:t>fact, the incident outcome being predicted may be</w:t>
      </w:r>
      <w:r w:rsidR="00C20260">
        <w:t xml:space="preserve"> the development of a disease. </w:t>
      </w:r>
      <w:r w:rsidR="0066587D">
        <w:t>Except for a brief section at the end of the chapter, w</w:t>
      </w:r>
      <w:r w:rsidR="00593844">
        <w:t>e are still talking about a dichotomous state</w:t>
      </w:r>
      <w:r w:rsidR="002717A6">
        <w:t>:</w:t>
      </w:r>
      <w:r w:rsidR="00593844">
        <w:t xml:space="preserve"> </w:t>
      </w:r>
      <w:r w:rsidR="0066587D">
        <w:t>heart attack</w:t>
      </w:r>
      <w:r w:rsidR="00BE4945">
        <w:t xml:space="preserve"> vs. no </w:t>
      </w:r>
      <w:r w:rsidR="0066587D">
        <w:t>heart attack</w:t>
      </w:r>
      <w:r w:rsidR="00BE4945">
        <w:t xml:space="preserve">, </w:t>
      </w:r>
      <w:r w:rsidR="005B7F59">
        <w:t>stroke</w:t>
      </w:r>
      <w:r w:rsidR="00E94121">
        <w:t xml:space="preserve"> vs. no</w:t>
      </w:r>
      <w:r w:rsidR="00257B42">
        <w:t xml:space="preserve"> stroke</w:t>
      </w:r>
      <w:r w:rsidR="00E94121">
        <w:t>,</w:t>
      </w:r>
      <w:r w:rsidR="00593844">
        <w:t xml:space="preserve"> </w:t>
      </w:r>
      <w:r w:rsidR="00E94121">
        <w:t>ICU death vs. survival</w:t>
      </w:r>
      <w:r w:rsidR="002717A6">
        <w:t>.  T</w:t>
      </w:r>
      <w:r w:rsidR="00C20260">
        <w:t xml:space="preserve">he </w:t>
      </w:r>
      <w:r w:rsidR="00786AF0">
        <w:t xml:space="preserve">distinction between a diagnostic </w:t>
      </w:r>
      <w:r>
        <w:t xml:space="preserve">test </w:t>
      </w:r>
      <w:r w:rsidR="00786AF0">
        <w:t xml:space="preserve">and </w:t>
      </w:r>
      <w:r>
        <w:t xml:space="preserve">a </w:t>
      </w:r>
      <w:r w:rsidR="00DA1061">
        <w:t xml:space="preserve">risk </w:t>
      </w:r>
      <w:r>
        <w:t>prediction</w:t>
      </w:r>
      <w:r w:rsidR="00786AF0">
        <w:t xml:space="preserve"> is that</w:t>
      </w:r>
      <w:r>
        <w:t>,</w:t>
      </w:r>
      <w:r w:rsidR="00786AF0">
        <w:t xml:space="preserve"> at the time of the test, the condition being predicted does not yet exist</w:t>
      </w:r>
      <w:r w:rsidR="00593844">
        <w:t xml:space="preserve">; </w:t>
      </w:r>
      <w:r w:rsidR="00754FED">
        <w:t xml:space="preserve">future </w:t>
      </w:r>
      <w:r>
        <w:t xml:space="preserve">random </w:t>
      </w:r>
      <w:r w:rsidR="00786AF0">
        <w:t xml:space="preserve">events occur to the </w:t>
      </w:r>
      <w:r w:rsidR="00C4431D">
        <w:t>subject</w:t>
      </w:r>
      <w:r w:rsidR="00786AF0">
        <w:t xml:space="preserve"> to determine whether he develops </w:t>
      </w:r>
      <w:r w:rsidR="00762015">
        <w:t>it</w:t>
      </w:r>
      <w:r w:rsidR="00786AF0">
        <w:t>.</w:t>
      </w:r>
      <w:r w:rsidR="002D6B69">
        <w:t xml:space="preserve"> </w:t>
      </w:r>
      <w:r w:rsidR="002D6B69" w:rsidRPr="00B31A28">
        <w:rPr>
          <w:highlight w:val="yellow"/>
        </w:rPr>
        <w:t>(Figure 6.1)</w:t>
      </w:r>
      <w:r w:rsidR="00786AF0">
        <w:t xml:space="preserve">  </w:t>
      </w:r>
    </w:p>
    <w:p w14:paraId="04AC8FD9" w14:textId="77777777" w:rsidR="002D6B69" w:rsidRDefault="009C57FB" w:rsidP="002D6B69">
      <w:pPr>
        <w:pStyle w:val="NormalWeb"/>
        <w:jc w:val="center"/>
      </w:pPr>
      <w:r>
        <w:rPr>
          <w:noProof/>
        </w:rPr>
        <w:lastRenderedPageBreak/>
        <w:drawing>
          <wp:inline distT="0" distB="0" distL="0" distR="0" wp14:anchorId="4F36572E" wp14:editId="72BB6636">
            <wp:extent cx="1889047" cy="198109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72018_spinningneedle.jpg"/>
                    <pic:cNvPicPr/>
                  </pic:nvPicPr>
                  <pic:blipFill rotWithShape="1">
                    <a:blip r:embed="rId8"/>
                    <a:srcRect l="34458" r="33757"/>
                    <a:stretch/>
                  </pic:blipFill>
                  <pic:spPr bwMode="auto">
                    <a:xfrm>
                      <a:off x="0" y="0"/>
                      <a:ext cx="1889148" cy="19812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6B172C81" w14:textId="54575E1E" w:rsidR="002D6B69" w:rsidRDefault="002D6B69" w:rsidP="003F2F7B">
      <w:pPr>
        <w:pStyle w:val="NormalWeb"/>
      </w:pPr>
      <w:r w:rsidRPr="00B31A28">
        <w:rPr>
          <w:b/>
          <w:highlight w:val="yellow"/>
        </w:rPr>
        <w:t>Figure 6.1</w:t>
      </w:r>
      <w:r>
        <w:t xml:space="preserve"> A chance event determines whether the </w:t>
      </w:r>
      <w:r w:rsidR="00C4431D">
        <w:t>subject</w:t>
      </w:r>
      <w:r>
        <w:t xml:space="preserve"> </w:t>
      </w:r>
      <w:r w:rsidR="00246416">
        <w:t>develops the condition</w:t>
      </w:r>
      <w:r w:rsidR="00C14F9D">
        <w:t xml:space="preserve"> </w:t>
      </w:r>
      <w:r w:rsidR="009C57FB">
        <w:t xml:space="preserve">(red sector). </w:t>
      </w:r>
      <w:r>
        <w:t xml:space="preserve">At the time of the </w:t>
      </w:r>
      <w:r w:rsidR="0058274A">
        <w:t>prediction</w:t>
      </w:r>
      <w:r>
        <w:t>, the event has yet to occur.</w:t>
      </w:r>
      <w:r w:rsidR="000935DB">
        <w:t xml:space="preserve">  We think of predictors as </w:t>
      </w:r>
      <w:r w:rsidR="002C6B38">
        <w:t xml:space="preserve">indicating </w:t>
      </w:r>
      <w:r w:rsidR="000935DB">
        <w:t xml:space="preserve">the size of the </w:t>
      </w:r>
      <w:r w:rsidR="009C57FB">
        <w:t xml:space="preserve">red </w:t>
      </w:r>
      <w:r w:rsidR="000935DB">
        <w:t>sector</w:t>
      </w:r>
      <w:r w:rsidR="00F51261">
        <w:t>, but there still will be a spin of the needle</w:t>
      </w:r>
      <w:r w:rsidR="000935DB">
        <w:t>.</w:t>
      </w:r>
    </w:p>
    <w:p w14:paraId="7313454D" w14:textId="625BFE1A" w:rsidR="00126095" w:rsidRDefault="00E94121" w:rsidP="00126095">
      <w:pPr>
        <w:pStyle w:val="NormalWeb"/>
        <w:ind w:right="-180"/>
      </w:pPr>
      <w:r>
        <w:t>When we did a</w:t>
      </w:r>
      <w:r w:rsidR="00762015">
        <w:t xml:space="preserve"> diagnostic test, we generally assumed that the </w:t>
      </w:r>
      <w:r w:rsidR="00C4431D">
        <w:t>subject</w:t>
      </w:r>
      <w:r w:rsidR="00762015">
        <w:t xml:space="preserve"> was already either D+ or D-, and the gold standard could determine which.  Even when we talked about using clinical follow-up to determine disease status, we assumed that the disease was already present </w:t>
      </w:r>
      <w:r w:rsidR="007E231B">
        <w:t xml:space="preserve">at the time of the index test. </w:t>
      </w:r>
      <w:r w:rsidR="00261A1F">
        <w:t xml:space="preserve">Referring to </w:t>
      </w:r>
      <w:r w:rsidR="00261A1F" w:rsidRPr="00B31A28">
        <w:rPr>
          <w:highlight w:val="yellow"/>
        </w:rPr>
        <w:t>Figure 6.1</w:t>
      </w:r>
      <w:r w:rsidR="00261A1F">
        <w:t>, at the time of the diagnostic test, the needle has already spun, and we are just trying to figure out where it ended up</w:t>
      </w:r>
      <w:r w:rsidR="002717A6">
        <w:t>.  A</w:t>
      </w:r>
      <w:r w:rsidR="00261A1F">
        <w:t xml:space="preserve">t the time of </w:t>
      </w:r>
      <w:r w:rsidR="00105154">
        <w:t>the</w:t>
      </w:r>
      <w:r w:rsidR="00261A1F">
        <w:t xml:space="preserve"> </w:t>
      </w:r>
      <w:r w:rsidR="0058274A">
        <w:t>prediction</w:t>
      </w:r>
      <w:r w:rsidR="00261A1F">
        <w:t xml:space="preserve">, the needle hasn’t spun yet, and we are trying to figure out the </w:t>
      </w:r>
      <w:r w:rsidR="007C4500">
        <w:t xml:space="preserve">proportion of the </w:t>
      </w:r>
      <w:r w:rsidR="00261A1F">
        <w:t xml:space="preserve">area </w:t>
      </w:r>
      <w:r w:rsidR="00E437AA">
        <w:t xml:space="preserve">in </w:t>
      </w:r>
      <w:r w:rsidR="00261A1F">
        <w:t xml:space="preserve">the </w:t>
      </w:r>
      <w:r w:rsidR="00F70F55">
        <w:t>red sector</w:t>
      </w:r>
      <w:r w:rsidR="00C701A1">
        <w:t xml:space="preserve"> </w:t>
      </w:r>
      <w:r w:rsidR="00F70F55">
        <w:t>corresponding to the outcome</w:t>
      </w:r>
      <w:r w:rsidR="00261A1F">
        <w:t>.</w:t>
      </w:r>
      <w:r w:rsidR="00C84DE5">
        <w:rPr>
          <w:rStyle w:val="FootnoteReference"/>
        </w:rPr>
        <w:footnoteReference w:id="2"/>
      </w:r>
      <w:r w:rsidR="005B7F59">
        <w:t xml:space="preserve"> </w:t>
      </w:r>
    </w:p>
    <w:p w14:paraId="45567F4D" w14:textId="14B782A4" w:rsidR="00126095" w:rsidRDefault="00126095" w:rsidP="00126095">
      <w:pPr>
        <w:pStyle w:val="NormalWeb"/>
        <w:ind w:right="-180"/>
      </w:pPr>
      <w:r>
        <w:t xml:space="preserve">By </w:t>
      </w:r>
      <w:r w:rsidR="00856E03">
        <w:t>our</w:t>
      </w:r>
      <w:r>
        <w:t xml:space="preserve"> definition of </w:t>
      </w:r>
      <w:r w:rsidR="0013786A">
        <w:t>prediction</w:t>
      </w:r>
      <w:r>
        <w:t>, there is no immediately applicable gold standard; the only way to deter</w:t>
      </w:r>
      <w:r w:rsidR="005975A5">
        <w:t>mine outcomes is through follow-</w:t>
      </w:r>
      <w:r>
        <w:t xml:space="preserve">up over time.  </w:t>
      </w:r>
      <w:r w:rsidR="0066587D">
        <w:t>For studies of</w:t>
      </w:r>
      <w:r>
        <w:t xml:space="preserve"> </w:t>
      </w:r>
      <w:r w:rsidR="0066587D">
        <w:t>diagnostic tests</w:t>
      </w:r>
      <w:r w:rsidR="007E65B3">
        <w:t>,</w:t>
      </w:r>
      <w:r w:rsidR="0066587D">
        <w:t xml:space="preserve"> the time frame is generally cross-sectional; for studies</w:t>
      </w:r>
      <w:r>
        <w:t xml:space="preserve"> of </w:t>
      </w:r>
      <w:r w:rsidR="0058274A">
        <w:t>predictions</w:t>
      </w:r>
      <w:r w:rsidR="007E65B3">
        <w:t>,</w:t>
      </w:r>
      <w:r>
        <w:t xml:space="preserve"> </w:t>
      </w:r>
      <w:r w:rsidR="0066587D">
        <w:t>it is</w:t>
      </w:r>
      <w:r>
        <w:t xml:space="preserve"> </w:t>
      </w:r>
      <w:r w:rsidR="0066587D">
        <w:t>longitudinal</w:t>
      </w:r>
      <w:r w:rsidR="005975A5">
        <w:t xml:space="preserve">.  </w:t>
      </w:r>
      <w:r w:rsidR="00C80C02">
        <w:t xml:space="preserve">In other words, </w:t>
      </w:r>
      <w:r w:rsidR="0058274A">
        <w:t>studies of predictive accuracy</w:t>
      </w:r>
      <w:r w:rsidR="00C80C02">
        <w:t xml:space="preserve"> are necessarily cohort studies.  </w:t>
      </w:r>
      <w:r w:rsidR="005975A5">
        <w:t>Moreover, s</w:t>
      </w:r>
      <w:r w:rsidR="00264D6C">
        <w:t xml:space="preserve">ince we </w:t>
      </w:r>
      <w:r w:rsidR="00EE6DE5">
        <w:t xml:space="preserve">make </w:t>
      </w:r>
      <w:r w:rsidR="0013786A">
        <w:t>the prediction</w:t>
      </w:r>
      <w:r w:rsidR="00264D6C">
        <w:t xml:space="preserve"> before a </w:t>
      </w:r>
      <w:r w:rsidR="00EC58DB">
        <w:t>random</w:t>
      </w:r>
      <w:r w:rsidR="00264D6C">
        <w:t xml:space="preserve"> event determines the </w:t>
      </w:r>
      <w:r w:rsidR="00C4431D">
        <w:t>subject</w:t>
      </w:r>
      <w:r w:rsidR="00264D6C">
        <w:t xml:space="preserve">’s outcome, </w:t>
      </w:r>
      <w:r w:rsidR="00C80C02">
        <w:t xml:space="preserve">the only way </w:t>
      </w:r>
      <w:r w:rsidR="0013786A">
        <w:t xml:space="preserve">we </w:t>
      </w:r>
      <w:r w:rsidR="00C80C02">
        <w:t>can perform perfectly is by chance (usually in a small sample)</w:t>
      </w:r>
      <w:r w:rsidR="00264D6C">
        <w:t xml:space="preserve">.  We still use ROC curves to evaluate </w:t>
      </w:r>
      <w:r w:rsidR="0058274A">
        <w:t>predictions</w:t>
      </w:r>
      <w:r w:rsidR="00264D6C">
        <w:t>, but the AUROCs tend to be lower</w:t>
      </w:r>
      <w:r w:rsidR="005975A5">
        <w:t xml:space="preserve"> than for diagnostic tests</w:t>
      </w:r>
      <w:r w:rsidR="00264D6C">
        <w:t xml:space="preserve">. </w:t>
      </w:r>
      <w:r>
        <w:t xml:space="preserve">(Table 6.1) </w:t>
      </w:r>
    </w:p>
    <w:tbl>
      <w:tblPr>
        <w:tblW w:w="7200" w:type="dxa"/>
        <w:tblCellMar>
          <w:left w:w="0" w:type="dxa"/>
          <w:right w:w="0" w:type="dxa"/>
        </w:tblCellMar>
        <w:tblLook w:val="0600" w:firstRow="0" w:lastRow="0" w:firstColumn="0" w:lastColumn="0" w:noHBand="1" w:noVBand="1"/>
      </w:tblPr>
      <w:tblGrid>
        <w:gridCol w:w="2083"/>
        <w:gridCol w:w="2464"/>
        <w:gridCol w:w="2653"/>
      </w:tblGrid>
      <w:tr w:rsidR="00001877" w:rsidRPr="00105154" w14:paraId="20A89CC1" w14:textId="77777777" w:rsidTr="00126095">
        <w:trPr>
          <w:trHeight w:val="801"/>
        </w:trPr>
        <w:tc>
          <w:tcPr>
            <w:tcW w:w="7200" w:type="dxa"/>
            <w:gridSpan w:val="3"/>
            <w:tcBorders>
              <w:top w:val="nil"/>
              <w:left w:val="nil"/>
              <w:bottom w:val="nil"/>
              <w:right w:val="nil"/>
            </w:tcBorders>
            <w:shd w:val="clear" w:color="auto" w:fill="auto"/>
            <w:tcMar>
              <w:top w:w="72" w:type="dxa"/>
              <w:left w:w="144" w:type="dxa"/>
              <w:bottom w:w="72" w:type="dxa"/>
              <w:right w:w="144" w:type="dxa"/>
            </w:tcMar>
            <w:vAlign w:val="bottom"/>
          </w:tcPr>
          <w:p w14:paraId="225E8F35" w14:textId="77777777" w:rsidR="00001877" w:rsidRPr="00622295" w:rsidRDefault="00001877" w:rsidP="0058274A">
            <w:pPr>
              <w:pStyle w:val="NormalWeb"/>
              <w:rPr>
                <w:b/>
                <w:bCs/>
              </w:rPr>
            </w:pPr>
            <w:r w:rsidRPr="00622295">
              <w:rPr>
                <w:b/>
              </w:rPr>
              <w:t>Table 6.1 Diagnos</w:t>
            </w:r>
            <w:r w:rsidR="0058274A">
              <w:rPr>
                <w:b/>
              </w:rPr>
              <w:t xml:space="preserve">is </w:t>
            </w:r>
            <w:r w:rsidRPr="00622295">
              <w:rPr>
                <w:b/>
              </w:rPr>
              <w:t xml:space="preserve">vs. </w:t>
            </w:r>
            <w:r w:rsidR="0058274A">
              <w:rPr>
                <w:b/>
              </w:rPr>
              <w:t>Prediction</w:t>
            </w:r>
          </w:p>
        </w:tc>
      </w:tr>
      <w:tr w:rsidR="00105154" w:rsidRPr="00105154" w14:paraId="37FCC917" w14:textId="77777777" w:rsidTr="00001877">
        <w:trPr>
          <w:trHeight w:val="306"/>
        </w:trPr>
        <w:tc>
          <w:tcPr>
            <w:tcW w:w="2083" w:type="dxa"/>
            <w:tcBorders>
              <w:top w:val="nil"/>
              <w:left w:val="nil"/>
              <w:bottom w:val="nil"/>
              <w:right w:val="nil"/>
            </w:tcBorders>
            <w:shd w:val="clear" w:color="auto" w:fill="auto"/>
            <w:tcMar>
              <w:top w:w="72" w:type="dxa"/>
              <w:left w:w="144" w:type="dxa"/>
              <w:bottom w:w="72" w:type="dxa"/>
              <w:right w:w="144" w:type="dxa"/>
            </w:tcMar>
            <w:vAlign w:val="bottom"/>
            <w:hideMark/>
          </w:tcPr>
          <w:p w14:paraId="7F9249F0" w14:textId="77777777" w:rsidR="00105154" w:rsidRPr="00105154" w:rsidRDefault="00105154" w:rsidP="00105154">
            <w:pPr>
              <w:pStyle w:val="NormalWeb"/>
            </w:pPr>
          </w:p>
        </w:tc>
        <w:tc>
          <w:tcPr>
            <w:tcW w:w="2464" w:type="dxa"/>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p w14:paraId="2A2B7460" w14:textId="77777777" w:rsidR="00105154" w:rsidRPr="00105154" w:rsidRDefault="0058274A" w:rsidP="00105154">
            <w:pPr>
              <w:pStyle w:val="NormalWeb"/>
            </w:pPr>
            <w:r>
              <w:rPr>
                <w:b/>
                <w:bCs/>
              </w:rPr>
              <w:t>Diagnosis</w:t>
            </w:r>
          </w:p>
        </w:tc>
        <w:tc>
          <w:tcPr>
            <w:tcW w:w="2653" w:type="dxa"/>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p w14:paraId="601C47D6" w14:textId="77777777" w:rsidR="00105154" w:rsidRPr="00105154" w:rsidRDefault="0058274A" w:rsidP="00105154">
            <w:pPr>
              <w:pStyle w:val="NormalWeb"/>
            </w:pPr>
            <w:r>
              <w:rPr>
                <w:b/>
                <w:bCs/>
              </w:rPr>
              <w:t>Prediction</w:t>
            </w:r>
          </w:p>
        </w:tc>
      </w:tr>
      <w:tr w:rsidR="00105154" w:rsidRPr="00105154" w14:paraId="7D6B1D7B" w14:textId="77777777" w:rsidTr="00001877">
        <w:trPr>
          <w:trHeight w:val="421"/>
        </w:trPr>
        <w:tc>
          <w:tcPr>
            <w:tcW w:w="2083" w:type="dxa"/>
            <w:tcBorders>
              <w:top w:val="nil"/>
              <w:left w:val="nil"/>
              <w:bottom w:val="nil"/>
              <w:right w:val="single" w:sz="8" w:space="0" w:color="000000"/>
            </w:tcBorders>
            <w:shd w:val="clear" w:color="auto" w:fill="auto"/>
            <w:tcMar>
              <w:top w:w="72" w:type="dxa"/>
              <w:left w:w="144" w:type="dxa"/>
              <w:bottom w:w="72" w:type="dxa"/>
              <w:right w:w="144" w:type="dxa"/>
            </w:tcMar>
            <w:vAlign w:val="center"/>
            <w:hideMark/>
          </w:tcPr>
          <w:p w14:paraId="77BB43DB" w14:textId="77777777" w:rsidR="00105154" w:rsidRPr="00105154" w:rsidRDefault="00105154" w:rsidP="00105154">
            <w:pPr>
              <w:pStyle w:val="NormalWeb"/>
            </w:pPr>
            <w:r w:rsidRPr="00105154">
              <w:rPr>
                <w:b/>
                <w:bCs/>
              </w:rPr>
              <w:t>Purpose</w:t>
            </w:r>
          </w:p>
        </w:tc>
        <w:tc>
          <w:tcPr>
            <w:tcW w:w="24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2713DB" w14:textId="77777777" w:rsidR="00105154" w:rsidRPr="00105154" w:rsidRDefault="00F043F2" w:rsidP="00F043F2">
            <w:pPr>
              <w:pStyle w:val="NormalWeb"/>
            </w:pPr>
            <w:r w:rsidRPr="00F043F2">
              <w:t>Identify Prevalent Disease</w:t>
            </w:r>
          </w:p>
        </w:tc>
        <w:tc>
          <w:tcPr>
            <w:tcW w:w="26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4319699" w14:textId="77777777" w:rsidR="00105154" w:rsidRPr="00105154" w:rsidRDefault="00F043F2" w:rsidP="00F043F2">
            <w:pPr>
              <w:pStyle w:val="NormalWeb"/>
            </w:pPr>
            <w:r w:rsidRPr="00F043F2">
              <w:t>Predict Incident Disease/Outcome</w:t>
            </w:r>
          </w:p>
        </w:tc>
      </w:tr>
      <w:tr w:rsidR="00105154" w:rsidRPr="00105154" w14:paraId="52BC7216" w14:textId="77777777" w:rsidTr="00001877">
        <w:trPr>
          <w:trHeight w:val="592"/>
        </w:trPr>
        <w:tc>
          <w:tcPr>
            <w:tcW w:w="2083" w:type="dxa"/>
            <w:tcBorders>
              <w:top w:val="nil"/>
              <w:left w:val="nil"/>
              <w:bottom w:val="nil"/>
              <w:right w:val="single" w:sz="8" w:space="0" w:color="000000"/>
            </w:tcBorders>
            <w:shd w:val="clear" w:color="auto" w:fill="auto"/>
            <w:tcMar>
              <w:top w:w="72" w:type="dxa"/>
              <w:left w:w="144" w:type="dxa"/>
              <w:bottom w:w="72" w:type="dxa"/>
              <w:right w:w="144" w:type="dxa"/>
            </w:tcMar>
            <w:vAlign w:val="center"/>
            <w:hideMark/>
          </w:tcPr>
          <w:p w14:paraId="1156F6D7" w14:textId="3E9737B9" w:rsidR="00105154" w:rsidRPr="00105154" w:rsidRDefault="00105154" w:rsidP="00105154">
            <w:pPr>
              <w:pStyle w:val="NormalWeb"/>
            </w:pPr>
            <w:r w:rsidRPr="00105154">
              <w:rPr>
                <w:b/>
                <w:bCs/>
              </w:rPr>
              <w:lastRenderedPageBreak/>
              <w:t xml:space="preserve">Chance Event Occurs to </w:t>
            </w:r>
            <w:r w:rsidR="00C4431D">
              <w:rPr>
                <w:b/>
                <w:bCs/>
              </w:rPr>
              <w:t>Subject</w:t>
            </w:r>
          </w:p>
        </w:tc>
        <w:tc>
          <w:tcPr>
            <w:tcW w:w="24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0485306" w14:textId="77777777" w:rsidR="00105154" w:rsidRPr="00105154" w:rsidRDefault="00F043F2" w:rsidP="00F043F2">
            <w:pPr>
              <w:pStyle w:val="NormalWeb"/>
            </w:pPr>
            <w:r w:rsidRPr="00F043F2">
              <w:t>Prior to Test</w:t>
            </w:r>
          </w:p>
        </w:tc>
        <w:tc>
          <w:tcPr>
            <w:tcW w:w="26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A5DA83" w14:textId="77777777" w:rsidR="00105154" w:rsidRPr="00105154" w:rsidRDefault="00F043F2" w:rsidP="00105154">
            <w:pPr>
              <w:pStyle w:val="NormalWeb"/>
            </w:pPr>
            <w:r w:rsidRPr="00F043F2">
              <w:t>After Test</w:t>
            </w:r>
          </w:p>
        </w:tc>
      </w:tr>
      <w:tr w:rsidR="00105154" w:rsidRPr="00105154" w14:paraId="3160249B" w14:textId="77777777" w:rsidTr="00001877">
        <w:trPr>
          <w:trHeight w:val="484"/>
        </w:trPr>
        <w:tc>
          <w:tcPr>
            <w:tcW w:w="2083" w:type="dxa"/>
            <w:tcBorders>
              <w:top w:val="nil"/>
              <w:left w:val="nil"/>
              <w:bottom w:val="nil"/>
              <w:right w:val="single" w:sz="8" w:space="0" w:color="000000"/>
            </w:tcBorders>
            <w:shd w:val="clear" w:color="auto" w:fill="auto"/>
            <w:tcMar>
              <w:top w:w="72" w:type="dxa"/>
              <w:left w:w="144" w:type="dxa"/>
              <w:bottom w:w="72" w:type="dxa"/>
              <w:right w:w="144" w:type="dxa"/>
            </w:tcMar>
            <w:vAlign w:val="center"/>
            <w:hideMark/>
          </w:tcPr>
          <w:p w14:paraId="22718D10" w14:textId="77777777" w:rsidR="00105154" w:rsidRPr="00105154" w:rsidRDefault="00105154" w:rsidP="00F043F2">
            <w:pPr>
              <w:pStyle w:val="NormalWeb"/>
            </w:pPr>
            <w:r w:rsidRPr="00105154">
              <w:rPr>
                <w:b/>
                <w:bCs/>
              </w:rPr>
              <w:t xml:space="preserve">Study </w:t>
            </w:r>
            <w:r w:rsidR="00F043F2">
              <w:rPr>
                <w:b/>
                <w:bCs/>
              </w:rPr>
              <w:t>Time Frame</w:t>
            </w:r>
          </w:p>
        </w:tc>
        <w:tc>
          <w:tcPr>
            <w:tcW w:w="24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93D604C" w14:textId="77777777" w:rsidR="00105154" w:rsidRPr="00105154" w:rsidRDefault="00F043F2" w:rsidP="00F043F2">
            <w:pPr>
              <w:pStyle w:val="NormalWeb"/>
            </w:pPr>
            <w:r w:rsidRPr="00F043F2">
              <w:t>Cross-Sectional</w:t>
            </w:r>
          </w:p>
        </w:tc>
        <w:tc>
          <w:tcPr>
            <w:tcW w:w="26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A43A5F" w14:textId="77777777" w:rsidR="00105154" w:rsidRPr="00105154" w:rsidRDefault="0066587D" w:rsidP="00105154">
            <w:pPr>
              <w:pStyle w:val="NormalWeb"/>
            </w:pPr>
            <w:r>
              <w:t>Longitudinal (</w:t>
            </w:r>
            <w:r w:rsidR="00F043F2" w:rsidRPr="00F043F2">
              <w:t>Cohort</w:t>
            </w:r>
            <w:r>
              <w:t>)</w:t>
            </w:r>
          </w:p>
        </w:tc>
      </w:tr>
      <w:tr w:rsidR="00264D6C" w:rsidRPr="00105154" w14:paraId="7CE765DF" w14:textId="77777777" w:rsidTr="00001877">
        <w:trPr>
          <w:trHeight w:val="475"/>
        </w:trPr>
        <w:tc>
          <w:tcPr>
            <w:tcW w:w="2083" w:type="dxa"/>
            <w:tcBorders>
              <w:top w:val="nil"/>
              <w:left w:val="nil"/>
              <w:bottom w:val="nil"/>
              <w:right w:val="single" w:sz="8" w:space="0" w:color="000000"/>
            </w:tcBorders>
            <w:shd w:val="clear" w:color="auto" w:fill="auto"/>
            <w:tcMar>
              <w:top w:w="72" w:type="dxa"/>
              <w:left w:w="144" w:type="dxa"/>
              <w:bottom w:w="72" w:type="dxa"/>
              <w:right w:w="144" w:type="dxa"/>
            </w:tcMar>
            <w:vAlign w:val="center"/>
          </w:tcPr>
          <w:p w14:paraId="50691CD5" w14:textId="77777777" w:rsidR="00264D6C" w:rsidRPr="00105154" w:rsidRDefault="00264D6C" w:rsidP="00071E87">
            <w:pPr>
              <w:pStyle w:val="NormalWeb"/>
            </w:pPr>
            <w:r w:rsidRPr="00105154">
              <w:rPr>
                <w:b/>
                <w:bCs/>
              </w:rPr>
              <w:t>Maximum Obtainable AUROC</w:t>
            </w:r>
          </w:p>
        </w:tc>
        <w:tc>
          <w:tcPr>
            <w:tcW w:w="24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B83FF01" w14:textId="77777777" w:rsidR="00264D6C" w:rsidRPr="00105154" w:rsidRDefault="00264D6C" w:rsidP="00071E87">
            <w:pPr>
              <w:pStyle w:val="NormalWeb"/>
            </w:pPr>
            <w:r w:rsidRPr="00F043F2">
              <w:t>1 (gold standard</w:t>
            </w:r>
            <w:r>
              <w:t>)</w:t>
            </w:r>
          </w:p>
        </w:tc>
        <w:tc>
          <w:tcPr>
            <w:tcW w:w="26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1DAAB38" w14:textId="77777777" w:rsidR="00264D6C" w:rsidRPr="00105154" w:rsidRDefault="00CF6547" w:rsidP="00071E87">
            <w:pPr>
              <w:pStyle w:val="NormalWeb"/>
            </w:pPr>
            <w:r>
              <w:t xml:space="preserve">Almost always </w:t>
            </w:r>
            <w:r w:rsidR="00264D6C" w:rsidRPr="00F043F2">
              <w:t>&lt;1 (no clairvoyan</w:t>
            </w:r>
            <w:r w:rsidR="00264D6C">
              <w:t>ce</w:t>
            </w:r>
            <w:r w:rsidR="00264D6C" w:rsidRPr="00F043F2">
              <w:t>)</w:t>
            </w:r>
          </w:p>
        </w:tc>
      </w:tr>
      <w:tr w:rsidR="00264D6C" w:rsidRPr="00105154" w14:paraId="3283B5A8" w14:textId="77777777" w:rsidTr="00001877">
        <w:trPr>
          <w:trHeight w:val="475"/>
        </w:trPr>
        <w:tc>
          <w:tcPr>
            <w:tcW w:w="2083" w:type="dxa"/>
            <w:tcBorders>
              <w:top w:val="nil"/>
              <w:left w:val="nil"/>
              <w:bottom w:val="nil"/>
              <w:right w:val="single" w:sz="8" w:space="0" w:color="000000"/>
            </w:tcBorders>
            <w:shd w:val="clear" w:color="auto" w:fill="auto"/>
            <w:tcMar>
              <w:top w:w="72" w:type="dxa"/>
              <w:left w:w="144" w:type="dxa"/>
              <w:bottom w:w="72" w:type="dxa"/>
              <w:right w:w="144" w:type="dxa"/>
            </w:tcMar>
            <w:vAlign w:val="center"/>
            <w:hideMark/>
          </w:tcPr>
          <w:p w14:paraId="543C16BE" w14:textId="77777777" w:rsidR="00264D6C" w:rsidRPr="00105154" w:rsidRDefault="00264D6C" w:rsidP="00105154">
            <w:pPr>
              <w:pStyle w:val="NormalWeb"/>
            </w:pPr>
            <w:r w:rsidRPr="00105154">
              <w:rPr>
                <w:b/>
                <w:bCs/>
              </w:rPr>
              <w:t>Test Result</w:t>
            </w:r>
          </w:p>
        </w:tc>
        <w:tc>
          <w:tcPr>
            <w:tcW w:w="24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41653F" w14:textId="77777777" w:rsidR="00264D6C" w:rsidRPr="00105154" w:rsidRDefault="00264D6C" w:rsidP="00F043F2">
            <w:pPr>
              <w:pStyle w:val="NormalWeb"/>
            </w:pPr>
            <w:r w:rsidRPr="00F043F2">
              <w:t xml:space="preserve">+/-, ordinal, </w:t>
            </w:r>
            <w:r w:rsidR="00C56982">
              <w:t>c</w:t>
            </w:r>
            <w:r w:rsidRPr="00F043F2">
              <w:t xml:space="preserve">ontinuous </w:t>
            </w:r>
            <w:r>
              <w:t>(use</w:t>
            </w:r>
            <w:r w:rsidRPr="00F043F2">
              <w:t xml:space="preserve"> P(D+)</w:t>
            </w:r>
            <w:r>
              <w:t xml:space="preserve"> and LR(r)</w:t>
            </w:r>
            <w:r w:rsidRPr="00F043F2">
              <w:t xml:space="preserve"> to </w:t>
            </w:r>
            <w:r>
              <w:t>estimate</w:t>
            </w:r>
            <w:r w:rsidRPr="00F043F2">
              <w:t xml:space="preserve"> risk</w:t>
            </w:r>
            <w:r>
              <w:t>)</w:t>
            </w:r>
          </w:p>
        </w:tc>
        <w:tc>
          <w:tcPr>
            <w:tcW w:w="26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7D5DCC9" w14:textId="77777777" w:rsidR="00264D6C" w:rsidRPr="00105154" w:rsidRDefault="00264D6C" w:rsidP="003D75E5">
            <w:pPr>
              <w:pStyle w:val="NormalWeb"/>
            </w:pPr>
            <w:r w:rsidRPr="00F043F2">
              <w:t>Risk group</w:t>
            </w:r>
            <w:r>
              <w:t xml:space="preserve"> (</w:t>
            </w:r>
            <w:r w:rsidR="003D75E5">
              <w:t xml:space="preserve">obtained directly for categorical variables and by grouping </w:t>
            </w:r>
            <w:r w:rsidR="00716B41">
              <w:t xml:space="preserve">similar </w:t>
            </w:r>
            <w:r w:rsidR="003D75E5">
              <w:t>results for continuous variables</w:t>
            </w:r>
            <w:r>
              <w:t>)</w:t>
            </w:r>
          </w:p>
        </w:tc>
      </w:tr>
    </w:tbl>
    <w:p w14:paraId="01DCAF13" w14:textId="77777777" w:rsidR="00105154" w:rsidRDefault="00105154" w:rsidP="003F2F7B">
      <w:pPr>
        <w:pStyle w:val="NormalWeb"/>
      </w:pPr>
    </w:p>
    <w:p w14:paraId="0A35127E" w14:textId="73A51F5D" w:rsidR="00071E87" w:rsidRPr="001A77E1" w:rsidRDefault="001A77E1" w:rsidP="001A77E1">
      <w:pPr>
        <w:pStyle w:val="NormalWeb"/>
      </w:pPr>
      <w:r>
        <w:t xml:space="preserve">With diagnostic tests, we often assume that likelihood ratios are independent of pre-test probability.  This </w:t>
      </w:r>
      <w:r w:rsidR="00B31A28">
        <w:t>permits</w:t>
      </w:r>
      <w:r>
        <w:t xml:space="preserve"> us to </w:t>
      </w:r>
      <w:r w:rsidR="00113D7B">
        <w:t xml:space="preserve">estimate the individual </w:t>
      </w:r>
      <w:r w:rsidR="00C4431D">
        <w:t>subject</w:t>
      </w:r>
      <w:r w:rsidR="00113D7B">
        <w:t xml:space="preserve">’s pre-test probability and use the </w:t>
      </w:r>
      <w:r w:rsidR="00E1039F">
        <w:t xml:space="preserve">likelihood ratio of the </w:t>
      </w:r>
      <w:r w:rsidR="00113D7B">
        <w:t xml:space="preserve">test result to update it.  </w:t>
      </w:r>
      <w:r w:rsidR="00AE112E">
        <w:t>Studies of p</w:t>
      </w:r>
      <w:r w:rsidR="0013786A">
        <w:t>rediction</w:t>
      </w:r>
      <w:r w:rsidR="00113D7B">
        <w:t xml:space="preserve"> </w:t>
      </w:r>
      <w:r w:rsidR="00D63A43">
        <w:t xml:space="preserve">often </w:t>
      </w:r>
      <w:r w:rsidR="00113D7B">
        <w:t xml:space="preserve">assume that all </w:t>
      </w:r>
      <w:r w:rsidR="00C4431D">
        <w:t>subject</w:t>
      </w:r>
      <w:r w:rsidR="00113D7B">
        <w:t xml:space="preserve">s come from a common population with a given </w:t>
      </w:r>
      <w:r w:rsidR="00F07B8F">
        <w:t xml:space="preserve">average </w:t>
      </w:r>
      <w:r w:rsidR="00113D7B">
        <w:t>probability of the outco</w:t>
      </w:r>
      <w:r w:rsidR="00C63C70">
        <w:t>me and estimate risk directly.</w:t>
      </w:r>
      <w:r w:rsidR="00BC5B87">
        <w:t xml:space="preserve"> </w:t>
      </w:r>
      <w:r w:rsidR="009A2316">
        <w:t xml:space="preserve"> I</w:t>
      </w:r>
      <w:r w:rsidR="00C63C70">
        <w:t xml:space="preserve">n the next chapter, we will discuss ways to generate risk estimates, including logistic regression and tree </w:t>
      </w:r>
      <w:r w:rsidR="00CC786F">
        <w:t>methods</w:t>
      </w:r>
      <w:r w:rsidR="00BC5B87">
        <w:t>.  In this chapter</w:t>
      </w:r>
      <w:r w:rsidR="00C63C70">
        <w:t xml:space="preserve">, </w:t>
      </w:r>
      <w:r w:rsidR="00BC5B87">
        <w:t xml:space="preserve">we </w:t>
      </w:r>
      <w:r w:rsidR="009F6304">
        <w:t>won’t worry about whether the risk estimat</w:t>
      </w:r>
      <w:r w:rsidR="008150C1">
        <w:t>es came from updating a</w:t>
      </w:r>
      <w:r w:rsidR="009F6304">
        <w:t xml:space="preserve"> pre-test probability using a likelihood</w:t>
      </w:r>
      <w:r w:rsidR="008150C1">
        <w:t xml:space="preserve"> ratio</w:t>
      </w:r>
      <w:r w:rsidR="007E65B3">
        <w:t xml:space="preserve"> or from the latest predictive analytic model</w:t>
      </w:r>
      <w:r w:rsidR="008150C1">
        <w:t xml:space="preserve">; we will focus on </w:t>
      </w:r>
      <w:r w:rsidR="00EB301E">
        <w:t>how accurate and useful they are.</w:t>
      </w:r>
    </w:p>
    <w:p w14:paraId="31133428" w14:textId="77777777" w:rsidR="002C4C39" w:rsidRPr="00393C3E" w:rsidRDefault="00DD228E" w:rsidP="00FD0FA1">
      <w:pPr>
        <w:pStyle w:val="Heading2"/>
        <w:rPr>
          <w:rStyle w:val="Heading2Char"/>
        </w:rPr>
      </w:pPr>
      <w:r w:rsidRPr="00046434">
        <w:rPr>
          <w:rStyle w:val="Heading2Char"/>
        </w:rPr>
        <w:t xml:space="preserve">Quantifying the accuracy of </w:t>
      </w:r>
      <w:r w:rsidR="0058274A">
        <w:rPr>
          <w:rStyle w:val="Heading2Char"/>
        </w:rPr>
        <w:t>predictions</w:t>
      </w:r>
    </w:p>
    <w:p w14:paraId="48C4BED5" w14:textId="449CD818" w:rsidR="009F6304" w:rsidRDefault="000728ED" w:rsidP="00C14D25">
      <w:pPr>
        <w:pStyle w:val="FootnoteText"/>
        <w:rPr>
          <w:bCs/>
          <w:iCs/>
          <w:sz w:val="24"/>
          <w:szCs w:val="24"/>
        </w:rPr>
      </w:pPr>
      <w:r w:rsidRPr="009F6304">
        <w:rPr>
          <w:bCs/>
          <w:iCs/>
          <w:sz w:val="24"/>
          <w:szCs w:val="24"/>
        </w:rPr>
        <w:t xml:space="preserve">To assess a </w:t>
      </w:r>
      <w:r w:rsidR="006C19A9">
        <w:rPr>
          <w:bCs/>
          <w:iCs/>
          <w:sz w:val="24"/>
          <w:szCs w:val="24"/>
        </w:rPr>
        <w:t>predictive</w:t>
      </w:r>
      <w:r w:rsidR="006C19A9" w:rsidRPr="009F6304">
        <w:rPr>
          <w:bCs/>
          <w:iCs/>
          <w:sz w:val="24"/>
          <w:szCs w:val="24"/>
        </w:rPr>
        <w:t xml:space="preserve"> </w:t>
      </w:r>
      <w:r w:rsidR="00F73E2E" w:rsidRPr="009F6304">
        <w:rPr>
          <w:bCs/>
          <w:iCs/>
          <w:sz w:val="24"/>
          <w:szCs w:val="24"/>
        </w:rPr>
        <w:t xml:space="preserve">test or </w:t>
      </w:r>
      <w:r w:rsidRPr="009F6304">
        <w:rPr>
          <w:bCs/>
          <w:iCs/>
          <w:sz w:val="24"/>
          <w:szCs w:val="24"/>
        </w:rPr>
        <w:t xml:space="preserve">risk model, we assemble a cohort, use the model to estimate </w:t>
      </w:r>
      <w:r w:rsidR="002717A6">
        <w:rPr>
          <w:bCs/>
          <w:iCs/>
          <w:sz w:val="24"/>
          <w:szCs w:val="24"/>
        </w:rPr>
        <w:t xml:space="preserve">the </w:t>
      </w:r>
      <w:r w:rsidRPr="009F6304">
        <w:rPr>
          <w:bCs/>
          <w:iCs/>
          <w:sz w:val="24"/>
          <w:szCs w:val="24"/>
        </w:rPr>
        <w:t>risk</w:t>
      </w:r>
      <w:r w:rsidR="002717A6">
        <w:rPr>
          <w:bCs/>
          <w:iCs/>
          <w:sz w:val="24"/>
          <w:szCs w:val="24"/>
        </w:rPr>
        <w:t xml:space="preserve"> of each su</w:t>
      </w:r>
      <w:r w:rsidR="00BA3C60">
        <w:rPr>
          <w:bCs/>
          <w:iCs/>
          <w:sz w:val="24"/>
          <w:szCs w:val="24"/>
        </w:rPr>
        <w:t>b</w:t>
      </w:r>
      <w:r w:rsidR="002717A6">
        <w:rPr>
          <w:bCs/>
          <w:iCs/>
          <w:sz w:val="24"/>
          <w:szCs w:val="24"/>
        </w:rPr>
        <w:t>ject</w:t>
      </w:r>
      <w:r w:rsidRPr="009F6304">
        <w:rPr>
          <w:bCs/>
          <w:iCs/>
          <w:sz w:val="24"/>
          <w:szCs w:val="24"/>
        </w:rPr>
        <w:t xml:space="preserve">, </w:t>
      </w:r>
      <w:r w:rsidR="004D5B26">
        <w:rPr>
          <w:bCs/>
          <w:iCs/>
          <w:sz w:val="24"/>
          <w:szCs w:val="24"/>
        </w:rPr>
        <w:t xml:space="preserve">then </w:t>
      </w:r>
      <w:r w:rsidRPr="009F6304">
        <w:rPr>
          <w:bCs/>
          <w:iCs/>
          <w:sz w:val="24"/>
          <w:szCs w:val="24"/>
        </w:rPr>
        <w:t xml:space="preserve">follow the </w:t>
      </w:r>
      <w:r w:rsidR="002717A6">
        <w:rPr>
          <w:bCs/>
          <w:iCs/>
          <w:sz w:val="24"/>
          <w:szCs w:val="24"/>
        </w:rPr>
        <w:t>subjects</w:t>
      </w:r>
      <w:r w:rsidR="002717A6" w:rsidRPr="009F6304">
        <w:rPr>
          <w:bCs/>
          <w:iCs/>
          <w:sz w:val="24"/>
          <w:szCs w:val="24"/>
        </w:rPr>
        <w:t xml:space="preserve"> </w:t>
      </w:r>
      <w:r w:rsidRPr="009F6304">
        <w:rPr>
          <w:bCs/>
          <w:iCs/>
          <w:sz w:val="24"/>
          <w:szCs w:val="24"/>
        </w:rPr>
        <w:t xml:space="preserve">over time and see who develops the outcome.  </w:t>
      </w:r>
      <w:r w:rsidR="00E1039F" w:rsidRPr="009F6304">
        <w:rPr>
          <w:bCs/>
          <w:iCs/>
          <w:sz w:val="24"/>
          <w:szCs w:val="24"/>
        </w:rPr>
        <w:t xml:space="preserve"> </w:t>
      </w:r>
      <w:r w:rsidR="005B3943">
        <w:rPr>
          <w:bCs/>
          <w:iCs/>
          <w:sz w:val="24"/>
          <w:szCs w:val="24"/>
        </w:rPr>
        <w:t xml:space="preserve">Ideally, treatment of </w:t>
      </w:r>
      <w:r w:rsidR="00C4431D">
        <w:rPr>
          <w:bCs/>
          <w:iCs/>
          <w:sz w:val="24"/>
          <w:szCs w:val="24"/>
        </w:rPr>
        <w:t>subject</w:t>
      </w:r>
      <w:r w:rsidR="005B3943">
        <w:rPr>
          <w:bCs/>
          <w:iCs/>
          <w:sz w:val="24"/>
          <w:szCs w:val="24"/>
        </w:rPr>
        <w:t xml:space="preserve">s should be independent of predicted risk and follow-up should be complete.  </w:t>
      </w:r>
      <w:r w:rsidR="00431B69" w:rsidRPr="009F6304">
        <w:rPr>
          <w:bCs/>
          <w:iCs/>
          <w:sz w:val="24"/>
          <w:szCs w:val="24"/>
        </w:rPr>
        <w:t xml:space="preserve">For now, we will assume </w:t>
      </w:r>
      <w:r w:rsidR="005B3943">
        <w:rPr>
          <w:bCs/>
          <w:iCs/>
          <w:sz w:val="24"/>
          <w:szCs w:val="24"/>
        </w:rPr>
        <w:t>both.</w:t>
      </w:r>
    </w:p>
    <w:p w14:paraId="3ED9D9F1" w14:textId="1E3F6949" w:rsidR="009F6304" w:rsidRPr="009F6304" w:rsidRDefault="00106EC1" w:rsidP="008150C1">
      <w:pPr>
        <w:pStyle w:val="NormalWeb"/>
        <w:rPr>
          <w:bCs/>
          <w:iCs/>
        </w:rPr>
      </w:pPr>
      <w:r w:rsidRPr="009F6304">
        <w:rPr>
          <w:bCs/>
          <w:iCs/>
        </w:rPr>
        <w:t>We prefer real to contrived examples</w:t>
      </w:r>
      <w:r w:rsidR="002E4676" w:rsidRPr="009F6304">
        <w:rPr>
          <w:bCs/>
          <w:iCs/>
        </w:rPr>
        <w:t xml:space="preserve"> </w:t>
      </w:r>
      <w:r w:rsidR="00C078F2" w:rsidRPr="009F6304">
        <w:rPr>
          <w:bCs/>
          <w:iCs/>
        </w:rPr>
        <w:t>and will discuss m</w:t>
      </w:r>
      <w:r w:rsidR="00856E03" w:rsidRPr="009F6304">
        <w:rPr>
          <w:bCs/>
          <w:iCs/>
        </w:rPr>
        <w:t>any real-world risk prediction models</w:t>
      </w:r>
      <w:r w:rsidRPr="009F6304">
        <w:rPr>
          <w:bCs/>
          <w:iCs/>
        </w:rPr>
        <w:t xml:space="preserve">, but a fictitious disease with a known underlying risk distribution is the best way to introduce the evaluation of risk predictions.  Our fictitious disease is </w:t>
      </w:r>
      <w:proofErr w:type="spellStart"/>
      <w:r w:rsidRPr="009F6304">
        <w:rPr>
          <w:bCs/>
          <w:iCs/>
        </w:rPr>
        <w:t>mastate</w:t>
      </w:r>
      <w:proofErr w:type="spellEnd"/>
      <w:r w:rsidRPr="009F6304">
        <w:rPr>
          <w:bCs/>
          <w:iCs/>
        </w:rPr>
        <w:t xml:space="preserve"> cancer.  </w:t>
      </w:r>
      <w:r w:rsidR="002717A6">
        <w:rPr>
          <w:bCs/>
          <w:iCs/>
        </w:rPr>
        <w:t>We assume that e</w:t>
      </w:r>
      <w:r w:rsidR="003B0139">
        <w:rPr>
          <w:bCs/>
          <w:iCs/>
        </w:rPr>
        <w:t xml:space="preserve">veryone with </w:t>
      </w:r>
      <w:proofErr w:type="spellStart"/>
      <w:r w:rsidR="003B0139">
        <w:rPr>
          <w:bCs/>
          <w:iCs/>
        </w:rPr>
        <w:t>mastate</w:t>
      </w:r>
      <w:proofErr w:type="spellEnd"/>
      <w:r w:rsidR="003B0139">
        <w:rPr>
          <w:bCs/>
          <w:iCs/>
        </w:rPr>
        <w:t xml:space="preserve"> cancer gets a </w:t>
      </w:r>
      <w:proofErr w:type="spellStart"/>
      <w:r w:rsidR="003B0139">
        <w:rPr>
          <w:bCs/>
          <w:iCs/>
        </w:rPr>
        <w:t>mastatectomy</w:t>
      </w:r>
      <w:proofErr w:type="spellEnd"/>
      <w:r w:rsidR="00717D1B">
        <w:rPr>
          <w:bCs/>
          <w:iCs/>
        </w:rPr>
        <w:t>.  At this p</w:t>
      </w:r>
      <w:r w:rsidR="003B0139">
        <w:rPr>
          <w:bCs/>
          <w:iCs/>
        </w:rPr>
        <w:t>oint</w:t>
      </w:r>
      <w:r w:rsidR="00717D1B">
        <w:rPr>
          <w:bCs/>
          <w:iCs/>
        </w:rPr>
        <w:t>, the</w:t>
      </w:r>
      <w:r w:rsidR="003B0139">
        <w:rPr>
          <w:bCs/>
          <w:iCs/>
        </w:rPr>
        <w:t xml:space="preserve"> tumor</w:t>
      </w:r>
      <w:r w:rsidR="00A44043">
        <w:rPr>
          <w:bCs/>
          <w:iCs/>
        </w:rPr>
        <w:t xml:space="preserve"> tissue</w:t>
      </w:r>
      <w:r w:rsidR="003B0139">
        <w:rPr>
          <w:bCs/>
          <w:iCs/>
        </w:rPr>
        <w:t xml:space="preserve"> </w:t>
      </w:r>
      <w:r w:rsidR="00775C66">
        <w:rPr>
          <w:bCs/>
          <w:iCs/>
        </w:rPr>
        <w:t xml:space="preserve">can be sent to one of 3 different </w:t>
      </w:r>
      <w:r w:rsidR="004F283D">
        <w:rPr>
          <w:bCs/>
          <w:iCs/>
        </w:rPr>
        <w:t>commercial laboratories</w:t>
      </w:r>
      <w:r w:rsidR="00775C66">
        <w:rPr>
          <w:bCs/>
          <w:iCs/>
        </w:rPr>
        <w:t xml:space="preserve"> (like </w:t>
      </w:r>
      <w:proofErr w:type="spellStart"/>
      <w:r w:rsidR="00775C66">
        <w:rPr>
          <w:bCs/>
          <w:iCs/>
        </w:rPr>
        <w:t>OncotypeDx</w:t>
      </w:r>
      <w:proofErr w:type="spellEnd"/>
      <w:r w:rsidR="00775C66">
        <w:rPr>
          <w:bCs/>
          <w:iCs/>
        </w:rPr>
        <w:t xml:space="preserve"> mentioned in Chapter 1, </w:t>
      </w:r>
      <w:r w:rsidR="0015658C">
        <w:rPr>
          <w:bCs/>
          <w:iCs/>
        </w:rPr>
        <w:t>P</w:t>
      </w:r>
      <w:r w:rsidR="00775C66">
        <w:rPr>
          <w:bCs/>
          <w:iCs/>
        </w:rPr>
        <w:t>roblem 4) to estimate</w:t>
      </w:r>
      <w:r w:rsidR="00717D1B">
        <w:rPr>
          <w:bCs/>
          <w:iCs/>
        </w:rPr>
        <w:t xml:space="preserve"> the</w:t>
      </w:r>
      <w:r w:rsidR="00397227">
        <w:rPr>
          <w:bCs/>
          <w:iCs/>
        </w:rPr>
        <w:t xml:space="preserve"> likelihood of recurrence</w:t>
      </w:r>
      <w:r w:rsidR="003E091B">
        <w:rPr>
          <w:bCs/>
          <w:iCs/>
        </w:rPr>
        <w:t xml:space="preserve">.  </w:t>
      </w:r>
      <w:r w:rsidR="00B45059">
        <w:rPr>
          <w:bCs/>
          <w:iCs/>
        </w:rPr>
        <w:t xml:space="preserve">A high likelihood of recurrence may justify </w:t>
      </w:r>
      <w:r w:rsidR="00397227">
        <w:rPr>
          <w:bCs/>
          <w:iCs/>
        </w:rPr>
        <w:t>chemotherapy</w:t>
      </w:r>
      <w:r w:rsidRPr="009F6304">
        <w:rPr>
          <w:bCs/>
          <w:iCs/>
        </w:rPr>
        <w:t xml:space="preserve">.  </w:t>
      </w:r>
      <w:r w:rsidR="00A44043">
        <w:rPr>
          <w:bCs/>
          <w:iCs/>
        </w:rPr>
        <w:t xml:space="preserve">If we could do a Total Body Dissection (TBD) we would know that there </w:t>
      </w:r>
      <w:r w:rsidR="006133E7">
        <w:rPr>
          <w:bCs/>
          <w:iCs/>
        </w:rPr>
        <w:t xml:space="preserve">are actually </w:t>
      </w:r>
      <w:r w:rsidR="00775C66">
        <w:rPr>
          <w:bCs/>
          <w:iCs/>
        </w:rPr>
        <w:t>3 different prognostic groups, but</w:t>
      </w:r>
      <w:r w:rsidR="002A0F81">
        <w:rPr>
          <w:bCs/>
          <w:iCs/>
        </w:rPr>
        <w:t xml:space="preserve"> the morbidity of a TBD is too high, so we want to just use the tumor tissue. </w:t>
      </w:r>
      <w:r w:rsidR="00775C66">
        <w:rPr>
          <w:bCs/>
          <w:iCs/>
        </w:rPr>
        <w:t xml:space="preserve"> </w:t>
      </w:r>
      <w:r w:rsidR="008150C1">
        <w:rPr>
          <w:bCs/>
          <w:iCs/>
        </w:rPr>
        <w:t xml:space="preserve">The </w:t>
      </w:r>
      <w:r w:rsidR="002A0F81">
        <w:rPr>
          <w:bCs/>
          <w:iCs/>
        </w:rPr>
        <w:t xml:space="preserve">TBD would divide the </w:t>
      </w:r>
      <w:r w:rsidR="00650361">
        <w:rPr>
          <w:bCs/>
          <w:iCs/>
        </w:rPr>
        <w:t>population</w:t>
      </w:r>
      <w:r w:rsidR="008150C1">
        <w:rPr>
          <w:bCs/>
          <w:iCs/>
        </w:rPr>
        <w:t xml:space="preserve"> </w:t>
      </w:r>
      <w:r w:rsidR="00650361">
        <w:rPr>
          <w:bCs/>
          <w:iCs/>
        </w:rPr>
        <w:t xml:space="preserve">(N=300) </w:t>
      </w:r>
      <w:r w:rsidR="008150C1">
        <w:rPr>
          <w:bCs/>
          <w:iCs/>
        </w:rPr>
        <w:t xml:space="preserve">into </w:t>
      </w:r>
      <w:r w:rsidR="00650361">
        <w:rPr>
          <w:bCs/>
          <w:iCs/>
        </w:rPr>
        <w:t xml:space="preserve">the </w:t>
      </w:r>
      <w:r w:rsidR="008150C1">
        <w:rPr>
          <w:bCs/>
          <w:iCs/>
        </w:rPr>
        <w:t xml:space="preserve">3 </w:t>
      </w:r>
      <w:r w:rsidR="00650361">
        <w:rPr>
          <w:bCs/>
          <w:iCs/>
        </w:rPr>
        <w:t xml:space="preserve">equal-sized </w:t>
      </w:r>
      <w:r w:rsidR="008150C1">
        <w:rPr>
          <w:bCs/>
          <w:iCs/>
        </w:rPr>
        <w:t xml:space="preserve">risk </w:t>
      </w:r>
      <w:r w:rsidR="008150C1">
        <w:rPr>
          <w:bCs/>
          <w:iCs/>
        </w:rPr>
        <w:lastRenderedPageBreak/>
        <w:t xml:space="preserve">groups shown in </w:t>
      </w:r>
      <w:r w:rsidR="008150C1" w:rsidRPr="00DF4FD9">
        <w:rPr>
          <w:bCs/>
          <w:iCs/>
          <w:highlight w:val="yellow"/>
        </w:rPr>
        <w:t>Figure 6.2.</w:t>
      </w:r>
      <w:r w:rsidR="008150C1">
        <w:rPr>
          <w:bCs/>
          <w:iCs/>
        </w:rPr>
        <w:t xml:space="preserve">  </w:t>
      </w:r>
      <w:r w:rsidR="00492E64" w:rsidRPr="009F6304">
        <w:rPr>
          <w:bCs/>
          <w:iCs/>
        </w:rPr>
        <w:t xml:space="preserve">The </w:t>
      </w:r>
      <w:r w:rsidR="006C4560">
        <w:rPr>
          <w:bCs/>
          <w:iCs/>
        </w:rPr>
        <w:t>predictions</w:t>
      </w:r>
      <w:r w:rsidR="00492E64" w:rsidRPr="009F6304">
        <w:rPr>
          <w:bCs/>
          <w:iCs/>
        </w:rPr>
        <w:t xml:space="preserve"> being compared are the 5-year </w:t>
      </w:r>
      <w:proofErr w:type="spellStart"/>
      <w:r w:rsidR="00492E64" w:rsidRPr="009F6304">
        <w:rPr>
          <w:bCs/>
          <w:iCs/>
        </w:rPr>
        <w:t>mastate</w:t>
      </w:r>
      <w:proofErr w:type="spellEnd"/>
      <w:r w:rsidR="00492E64" w:rsidRPr="009F6304">
        <w:rPr>
          <w:bCs/>
          <w:iCs/>
        </w:rPr>
        <w:t xml:space="preserve"> cancer </w:t>
      </w:r>
      <w:r w:rsidR="008E15AE">
        <w:rPr>
          <w:bCs/>
          <w:iCs/>
        </w:rPr>
        <w:t>mortality</w:t>
      </w:r>
      <w:r w:rsidR="00492E64" w:rsidRPr="009F6304">
        <w:rPr>
          <w:bCs/>
          <w:iCs/>
        </w:rPr>
        <w:t xml:space="preserve"> estimates from t</w:t>
      </w:r>
      <w:r w:rsidR="00EE68FE" w:rsidRPr="009F6304">
        <w:rPr>
          <w:bCs/>
          <w:iCs/>
        </w:rPr>
        <w:t>hree</w:t>
      </w:r>
      <w:r w:rsidR="00492E64" w:rsidRPr="009F6304">
        <w:rPr>
          <w:bCs/>
          <w:iCs/>
        </w:rPr>
        <w:t xml:space="preserve"> different </w:t>
      </w:r>
      <w:r w:rsidR="0015658C">
        <w:rPr>
          <w:bCs/>
          <w:iCs/>
        </w:rPr>
        <w:t>labs</w:t>
      </w:r>
      <w:r w:rsidR="0075289B">
        <w:rPr>
          <w:bCs/>
          <w:iCs/>
        </w:rPr>
        <w:t xml:space="preserve"> marketing</w:t>
      </w:r>
      <w:r w:rsidR="002A0F81">
        <w:rPr>
          <w:bCs/>
          <w:iCs/>
        </w:rPr>
        <w:t xml:space="preserve"> DNA tests</w:t>
      </w:r>
      <w:r w:rsidR="00EE68FE" w:rsidRPr="009F6304">
        <w:rPr>
          <w:bCs/>
          <w:iCs/>
        </w:rPr>
        <w:t xml:space="preserve">. </w:t>
      </w:r>
    </w:p>
    <w:p w14:paraId="468ACB91" w14:textId="77777777" w:rsidR="00EE6DE5" w:rsidRDefault="003E091B" w:rsidP="003E091B">
      <w:pPr>
        <w:pStyle w:val="NormalWeb"/>
        <w:jc w:val="right"/>
        <w:rPr>
          <w:bCs/>
          <w:iCs/>
        </w:rPr>
      </w:pPr>
      <w:r>
        <w:rPr>
          <w:bCs/>
          <w:iCs/>
          <w:noProof/>
        </w:rPr>
        <w:drawing>
          <wp:inline distT="0" distB="0" distL="0" distR="0" wp14:anchorId="1A4D120B" wp14:editId="19B9DD2E">
            <wp:extent cx="4209935" cy="1360464"/>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72018_spinningneedle.jpg"/>
                    <pic:cNvPicPr/>
                  </pic:nvPicPr>
                  <pic:blipFill>
                    <a:blip r:embed="rId8"/>
                    <a:stretch>
                      <a:fillRect/>
                    </a:stretch>
                  </pic:blipFill>
                  <pic:spPr>
                    <a:xfrm>
                      <a:off x="0" y="0"/>
                      <a:ext cx="4246851" cy="1372394"/>
                    </a:xfrm>
                    <a:prstGeom prst="rect">
                      <a:avLst/>
                    </a:prstGeom>
                  </pic:spPr>
                </pic:pic>
              </a:graphicData>
            </a:graphic>
          </wp:inline>
        </w:drawing>
      </w:r>
    </w:p>
    <w:tbl>
      <w:tblPr>
        <w:tblW w:w="867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160"/>
        <w:gridCol w:w="2258"/>
        <w:gridCol w:w="2350"/>
      </w:tblGrid>
      <w:tr w:rsidR="00412690" w:rsidRPr="008470D0" w14:paraId="74B95F74" w14:textId="77777777" w:rsidTr="00881947">
        <w:trPr>
          <w:jc w:val="right"/>
        </w:trPr>
        <w:tc>
          <w:tcPr>
            <w:tcW w:w="1908" w:type="dxa"/>
            <w:shd w:val="clear" w:color="auto" w:fill="auto"/>
          </w:tcPr>
          <w:p w14:paraId="55B04B6C" w14:textId="77777777" w:rsidR="00412690" w:rsidRPr="003E091B" w:rsidRDefault="003E2FD3" w:rsidP="00AC0DB5">
            <w:pPr>
              <w:pStyle w:val="NormalWeb"/>
              <w:rPr>
                <w:b/>
                <w:bCs/>
                <w:iCs/>
              </w:rPr>
            </w:pPr>
            <w:r w:rsidRPr="003E091B">
              <w:rPr>
                <w:b/>
                <w:bCs/>
                <w:iCs/>
              </w:rPr>
              <w:t xml:space="preserve">Commercial lab </w:t>
            </w:r>
          </w:p>
        </w:tc>
        <w:tc>
          <w:tcPr>
            <w:tcW w:w="2160" w:type="dxa"/>
            <w:shd w:val="clear" w:color="auto" w:fill="auto"/>
          </w:tcPr>
          <w:p w14:paraId="674A4E97" w14:textId="77777777" w:rsidR="00412690" w:rsidRPr="008470D0" w:rsidRDefault="00412690" w:rsidP="008470D0">
            <w:pPr>
              <w:pStyle w:val="NormalWeb"/>
              <w:spacing w:before="0" w:beforeAutospacing="0" w:after="0" w:afterAutospacing="0"/>
              <w:jc w:val="center"/>
              <w:rPr>
                <w:bCs/>
                <w:iCs/>
              </w:rPr>
            </w:pPr>
            <w:r w:rsidRPr="008470D0">
              <w:rPr>
                <w:bCs/>
                <w:iCs/>
              </w:rPr>
              <w:t>Risk Group A</w:t>
            </w:r>
          </w:p>
          <w:p w14:paraId="28B5E753" w14:textId="77777777" w:rsidR="00412690" w:rsidRPr="008470D0" w:rsidRDefault="00412690" w:rsidP="008470D0">
            <w:pPr>
              <w:pStyle w:val="NormalWeb"/>
              <w:spacing w:before="0" w:beforeAutospacing="0" w:after="0" w:afterAutospacing="0"/>
              <w:jc w:val="center"/>
              <w:rPr>
                <w:bCs/>
                <w:iCs/>
              </w:rPr>
            </w:pPr>
            <w:r w:rsidRPr="008470D0">
              <w:rPr>
                <w:bCs/>
                <w:iCs/>
              </w:rPr>
              <w:t>(N=100)</w:t>
            </w:r>
          </w:p>
        </w:tc>
        <w:tc>
          <w:tcPr>
            <w:tcW w:w="2258" w:type="dxa"/>
            <w:shd w:val="clear" w:color="auto" w:fill="auto"/>
          </w:tcPr>
          <w:p w14:paraId="65782747" w14:textId="77777777" w:rsidR="00BF4D83" w:rsidRPr="008470D0" w:rsidRDefault="00412690" w:rsidP="008470D0">
            <w:pPr>
              <w:pStyle w:val="NormalWeb"/>
              <w:spacing w:before="0" w:beforeAutospacing="0" w:after="0" w:afterAutospacing="0"/>
              <w:jc w:val="center"/>
              <w:rPr>
                <w:bCs/>
                <w:iCs/>
              </w:rPr>
            </w:pPr>
            <w:r w:rsidRPr="008470D0">
              <w:rPr>
                <w:bCs/>
                <w:iCs/>
              </w:rPr>
              <w:t>Risk Group B</w:t>
            </w:r>
          </w:p>
          <w:p w14:paraId="4D87BD9D" w14:textId="77777777" w:rsidR="00412690" w:rsidRPr="008470D0" w:rsidRDefault="00412690" w:rsidP="008470D0">
            <w:pPr>
              <w:pStyle w:val="NormalWeb"/>
              <w:spacing w:before="0" w:beforeAutospacing="0" w:after="0" w:afterAutospacing="0"/>
              <w:jc w:val="center"/>
              <w:rPr>
                <w:bCs/>
                <w:iCs/>
              </w:rPr>
            </w:pPr>
            <w:r w:rsidRPr="008470D0">
              <w:rPr>
                <w:bCs/>
                <w:iCs/>
              </w:rPr>
              <w:t>(N=100)</w:t>
            </w:r>
          </w:p>
        </w:tc>
        <w:tc>
          <w:tcPr>
            <w:tcW w:w="2350" w:type="dxa"/>
            <w:shd w:val="clear" w:color="auto" w:fill="auto"/>
          </w:tcPr>
          <w:p w14:paraId="6B81FC4F" w14:textId="77777777" w:rsidR="00412690" w:rsidRPr="008470D0" w:rsidRDefault="00412690" w:rsidP="008470D0">
            <w:pPr>
              <w:pStyle w:val="NormalWeb"/>
              <w:spacing w:before="0" w:beforeAutospacing="0" w:after="0" w:afterAutospacing="0"/>
              <w:jc w:val="center"/>
              <w:rPr>
                <w:bCs/>
                <w:iCs/>
              </w:rPr>
            </w:pPr>
            <w:r w:rsidRPr="008470D0">
              <w:rPr>
                <w:bCs/>
                <w:iCs/>
              </w:rPr>
              <w:t xml:space="preserve">Risk Group </w:t>
            </w:r>
            <w:r w:rsidR="00BF4D83" w:rsidRPr="008470D0">
              <w:rPr>
                <w:bCs/>
                <w:iCs/>
              </w:rPr>
              <w:t xml:space="preserve">C </w:t>
            </w:r>
            <w:r w:rsidRPr="008470D0">
              <w:rPr>
                <w:bCs/>
                <w:iCs/>
              </w:rPr>
              <w:t>(N=100)</w:t>
            </w:r>
          </w:p>
        </w:tc>
      </w:tr>
      <w:tr w:rsidR="000D2BFB" w:rsidRPr="008470D0" w14:paraId="792D4ABC" w14:textId="77777777" w:rsidTr="00881947">
        <w:trPr>
          <w:jc w:val="right"/>
        </w:trPr>
        <w:tc>
          <w:tcPr>
            <w:tcW w:w="1908" w:type="dxa"/>
            <w:shd w:val="clear" w:color="auto" w:fill="auto"/>
          </w:tcPr>
          <w:p w14:paraId="068FCF9E" w14:textId="77777777" w:rsidR="000D2BFB" w:rsidRPr="008470D0" w:rsidRDefault="003E2FD3" w:rsidP="003E2FD3">
            <w:pPr>
              <w:pStyle w:val="NormalWeb"/>
              <w:rPr>
                <w:bCs/>
                <w:iCs/>
              </w:rPr>
            </w:pPr>
            <w:proofErr w:type="spellStart"/>
            <w:r>
              <w:rPr>
                <w:bCs/>
                <w:iCs/>
              </w:rPr>
              <w:t>Bleak</w:t>
            </w:r>
            <w:r w:rsidR="00881947">
              <w:rPr>
                <w:bCs/>
                <w:iCs/>
              </w:rPr>
              <w:t>h</w:t>
            </w:r>
            <w:r w:rsidR="00593219">
              <w:rPr>
                <w:bCs/>
                <w:iCs/>
              </w:rPr>
              <w:t>a</w:t>
            </w:r>
            <w:r w:rsidR="00F221AA">
              <w:rPr>
                <w:bCs/>
                <w:iCs/>
              </w:rPr>
              <w:t>us</w:t>
            </w:r>
            <w:proofErr w:type="spellEnd"/>
            <w:r w:rsidR="00881947">
              <w:rPr>
                <w:bCs/>
                <w:iCs/>
              </w:rPr>
              <w:t>, Inc</w:t>
            </w:r>
          </w:p>
        </w:tc>
        <w:tc>
          <w:tcPr>
            <w:tcW w:w="2160" w:type="dxa"/>
            <w:shd w:val="clear" w:color="auto" w:fill="auto"/>
          </w:tcPr>
          <w:p w14:paraId="561C9838" w14:textId="77777777" w:rsidR="000D2BFB" w:rsidRPr="008470D0" w:rsidRDefault="000D2BFB" w:rsidP="008470D0">
            <w:pPr>
              <w:pStyle w:val="NormalWeb"/>
              <w:jc w:val="center"/>
              <w:rPr>
                <w:bCs/>
                <w:iCs/>
              </w:rPr>
            </w:pPr>
            <w:r w:rsidRPr="008470D0">
              <w:rPr>
                <w:bCs/>
                <w:iCs/>
              </w:rPr>
              <w:t>Risk = 50%</w:t>
            </w:r>
          </w:p>
        </w:tc>
        <w:tc>
          <w:tcPr>
            <w:tcW w:w="2258" w:type="dxa"/>
            <w:shd w:val="clear" w:color="auto" w:fill="auto"/>
          </w:tcPr>
          <w:p w14:paraId="2208828C" w14:textId="77777777" w:rsidR="000D2BFB" w:rsidRPr="008470D0" w:rsidRDefault="000D2BFB" w:rsidP="008470D0">
            <w:pPr>
              <w:pStyle w:val="NormalWeb"/>
              <w:jc w:val="center"/>
              <w:rPr>
                <w:bCs/>
                <w:iCs/>
              </w:rPr>
            </w:pPr>
            <w:r w:rsidRPr="008470D0">
              <w:rPr>
                <w:bCs/>
                <w:iCs/>
              </w:rPr>
              <w:t>Risk = 35%</w:t>
            </w:r>
          </w:p>
        </w:tc>
        <w:tc>
          <w:tcPr>
            <w:tcW w:w="2350" w:type="dxa"/>
            <w:shd w:val="clear" w:color="auto" w:fill="auto"/>
          </w:tcPr>
          <w:p w14:paraId="3B850568" w14:textId="77777777" w:rsidR="000D2BFB" w:rsidRPr="008470D0" w:rsidRDefault="000D2BFB" w:rsidP="008470D0">
            <w:pPr>
              <w:pStyle w:val="NormalWeb"/>
              <w:jc w:val="center"/>
              <w:rPr>
                <w:bCs/>
                <w:iCs/>
              </w:rPr>
            </w:pPr>
            <w:r w:rsidRPr="008470D0">
              <w:rPr>
                <w:bCs/>
                <w:iCs/>
              </w:rPr>
              <w:t>Risk = 2</w:t>
            </w:r>
            <w:r w:rsidR="00404743" w:rsidRPr="008470D0">
              <w:rPr>
                <w:bCs/>
                <w:iCs/>
              </w:rPr>
              <w:t>0</w:t>
            </w:r>
            <w:r w:rsidRPr="008470D0">
              <w:rPr>
                <w:bCs/>
                <w:iCs/>
              </w:rPr>
              <w:t>%</w:t>
            </w:r>
          </w:p>
        </w:tc>
      </w:tr>
      <w:tr w:rsidR="00FF39D7" w:rsidRPr="008470D0" w14:paraId="02D9E1F4" w14:textId="77777777" w:rsidTr="00112391">
        <w:trPr>
          <w:jc w:val="right"/>
        </w:trPr>
        <w:tc>
          <w:tcPr>
            <w:tcW w:w="1908" w:type="dxa"/>
            <w:shd w:val="clear" w:color="auto" w:fill="auto"/>
          </w:tcPr>
          <w:p w14:paraId="5998F3F9" w14:textId="77777777" w:rsidR="00FF39D7" w:rsidRPr="008470D0" w:rsidRDefault="00FF39D7" w:rsidP="00830ECD">
            <w:pPr>
              <w:pStyle w:val="NormalWeb"/>
              <w:rPr>
                <w:bCs/>
                <w:iCs/>
              </w:rPr>
            </w:pPr>
            <w:proofErr w:type="spellStart"/>
            <w:r>
              <w:rPr>
                <w:bCs/>
                <w:iCs/>
              </w:rPr>
              <w:t>AgnoSIA</w:t>
            </w:r>
            <w:proofErr w:type="spellEnd"/>
            <w:r>
              <w:rPr>
                <w:bCs/>
                <w:iCs/>
              </w:rPr>
              <w:t>, Inc</w:t>
            </w:r>
          </w:p>
        </w:tc>
        <w:tc>
          <w:tcPr>
            <w:tcW w:w="6768" w:type="dxa"/>
            <w:gridSpan w:val="3"/>
            <w:shd w:val="clear" w:color="auto" w:fill="auto"/>
          </w:tcPr>
          <w:p w14:paraId="5BD48407" w14:textId="77777777" w:rsidR="00FF39D7" w:rsidRPr="008470D0" w:rsidRDefault="00FF39D7" w:rsidP="00FF39D7">
            <w:pPr>
              <w:pStyle w:val="NormalWeb"/>
              <w:jc w:val="center"/>
              <w:rPr>
                <w:bCs/>
                <w:iCs/>
              </w:rPr>
            </w:pPr>
            <w:r w:rsidRPr="008470D0">
              <w:rPr>
                <w:bCs/>
                <w:iCs/>
              </w:rPr>
              <w:t>Risk = 20%</w:t>
            </w:r>
          </w:p>
        </w:tc>
      </w:tr>
      <w:tr w:rsidR="000D2BFB" w:rsidRPr="008470D0" w14:paraId="0B16E59C" w14:textId="77777777" w:rsidTr="00881947">
        <w:trPr>
          <w:jc w:val="right"/>
        </w:trPr>
        <w:tc>
          <w:tcPr>
            <w:tcW w:w="1908" w:type="dxa"/>
            <w:shd w:val="clear" w:color="auto" w:fill="auto"/>
          </w:tcPr>
          <w:p w14:paraId="7BBE0635" w14:textId="77777777" w:rsidR="000D2BFB" w:rsidRPr="008470D0" w:rsidRDefault="00F221AA" w:rsidP="00830ECD">
            <w:pPr>
              <w:pStyle w:val="NormalWeb"/>
              <w:rPr>
                <w:bCs/>
                <w:iCs/>
              </w:rPr>
            </w:pPr>
            <w:proofErr w:type="spellStart"/>
            <w:r>
              <w:rPr>
                <w:bCs/>
                <w:iCs/>
              </w:rPr>
              <w:t>PolyANA</w:t>
            </w:r>
            <w:proofErr w:type="spellEnd"/>
            <w:r w:rsidR="00881947">
              <w:rPr>
                <w:bCs/>
                <w:iCs/>
              </w:rPr>
              <w:t>, Inc</w:t>
            </w:r>
            <w:r w:rsidR="003E2FD3" w:rsidRPr="008470D0">
              <w:rPr>
                <w:bCs/>
                <w:iCs/>
              </w:rPr>
              <w:t xml:space="preserve"> </w:t>
            </w:r>
          </w:p>
        </w:tc>
        <w:tc>
          <w:tcPr>
            <w:tcW w:w="2160" w:type="dxa"/>
            <w:shd w:val="clear" w:color="auto" w:fill="auto"/>
          </w:tcPr>
          <w:p w14:paraId="440124C7" w14:textId="77777777" w:rsidR="000D2BFB" w:rsidRPr="008470D0" w:rsidRDefault="000D2BFB" w:rsidP="008470D0">
            <w:pPr>
              <w:pStyle w:val="NormalWeb"/>
              <w:jc w:val="center"/>
              <w:rPr>
                <w:bCs/>
                <w:iCs/>
              </w:rPr>
            </w:pPr>
            <w:r w:rsidRPr="008470D0">
              <w:rPr>
                <w:bCs/>
                <w:iCs/>
              </w:rPr>
              <w:t>Risk = 25%</w:t>
            </w:r>
          </w:p>
        </w:tc>
        <w:tc>
          <w:tcPr>
            <w:tcW w:w="2258" w:type="dxa"/>
            <w:shd w:val="clear" w:color="auto" w:fill="auto"/>
          </w:tcPr>
          <w:p w14:paraId="7AECCB11" w14:textId="77777777" w:rsidR="000D2BFB" w:rsidRPr="008470D0" w:rsidRDefault="000D2BFB" w:rsidP="008470D0">
            <w:pPr>
              <w:pStyle w:val="NormalWeb"/>
              <w:jc w:val="center"/>
              <w:rPr>
                <w:bCs/>
                <w:iCs/>
              </w:rPr>
            </w:pPr>
            <w:r w:rsidRPr="008470D0">
              <w:rPr>
                <w:bCs/>
                <w:iCs/>
              </w:rPr>
              <w:t>Risk = 10%</w:t>
            </w:r>
          </w:p>
        </w:tc>
        <w:tc>
          <w:tcPr>
            <w:tcW w:w="2350" w:type="dxa"/>
            <w:shd w:val="clear" w:color="auto" w:fill="auto"/>
          </w:tcPr>
          <w:p w14:paraId="69375724" w14:textId="77777777" w:rsidR="000D2BFB" w:rsidRPr="008470D0" w:rsidRDefault="000D2BFB" w:rsidP="008470D0">
            <w:pPr>
              <w:pStyle w:val="NormalWeb"/>
              <w:jc w:val="center"/>
              <w:rPr>
                <w:bCs/>
                <w:iCs/>
              </w:rPr>
            </w:pPr>
            <w:r w:rsidRPr="008470D0">
              <w:rPr>
                <w:bCs/>
                <w:iCs/>
              </w:rPr>
              <w:t>Risk = 5%</w:t>
            </w:r>
          </w:p>
        </w:tc>
      </w:tr>
      <w:tr w:rsidR="000D2BFB" w:rsidRPr="008470D0" w14:paraId="0B10F4D3" w14:textId="77777777" w:rsidTr="00881947">
        <w:trPr>
          <w:jc w:val="right"/>
        </w:trPr>
        <w:tc>
          <w:tcPr>
            <w:tcW w:w="1908" w:type="dxa"/>
            <w:shd w:val="clear" w:color="auto" w:fill="auto"/>
          </w:tcPr>
          <w:p w14:paraId="087349DF" w14:textId="77777777" w:rsidR="000D2BFB" w:rsidRPr="008470D0" w:rsidRDefault="000D2BFB" w:rsidP="000D2BFB">
            <w:pPr>
              <w:pStyle w:val="NormalWeb"/>
              <w:rPr>
                <w:bCs/>
                <w:iCs/>
              </w:rPr>
            </w:pPr>
          </w:p>
        </w:tc>
        <w:tc>
          <w:tcPr>
            <w:tcW w:w="6768" w:type="dxa"/>
            <w:gridSpan w:val="3"/>
            <w:shd w:val="clear" w:color="auto" w:fill="auto"/>
          </w:tcPr>
          <w:p w14:paraId="49E5AC54" w14:textId="77777777" w:rsidR="000D2BFB" w:rsidRPr="008470D0" w:rsidRDefault="000D2BFB" w:rsidP="008470D0">
            <w:pPr>
              <w:pStyle w:val="NormalWeb"/>
              <w:jc w:val="center"/>
              <w:rPr>
                <w:bCs/>
                <w:iCs/>
              </w:rPr>
            </w:pPr>
            <w:r w:rsidRPr="008470D0">
              <w:rPr>
                <w:bCs/>
                <w:iCs/>
              </w:rPr>
              <w:t>Spin the Needles</w:t>
            </w:r>
          </w:p>
        </w:tc>
      </w:tr>
      <w:tr w:rsidR="000D2BFB" w:rsidRPr="008470D0" w14:paraId="3F9721AE" w14:textId="77777777" w:rsidTr="00881947">
        <w:trPr>
          <w:jc w:val="right"/>
        </w:trPr>
        <w:tc>
          <w:tcPr>
            <w:tcW w:w="1908" w:type="dxa"/>
            <w:shd w:val="clear" w:color="auto" w:fill="auto"/>
          </w:tcPr>
          <w:p w14:paraId="248D021E" w14:textId="487FC2CD" w:rsidR="000D2BFB" w:rsidRPr="008470D0" w:rsidRDefault="002717A6" w:rsidP="000D2BFB">
            <w:pPr>
              <w:pStyle w:val="NormalWeb"/>
              <w:rPr>
                <w:bCs/>
                <w:iCs/>
              </w:rPr>
            </w:pPr>
            <w:r>
              <w:rPr>
                <w:bCs/>
                <w:iCs/>
              </w:rPr>
              <w:t>Recurrences</w:t>
            </w:r>
          </w:p>
        </w:tc>
        <w:tc>
          <w:tcPr>
            <w:tcW w:w="2160" w:type="dxa"/>
            <w:shd w:val="clear" w:color="auto" w:fill="auto"/>
          </w:tcPr>
          <w:p w14:paraId="50970CF8" w14:textId="77777777" w:rsidR="000D2BFB" w:rsidRPr="008470D0" w:rsidRDefault="000D2BFB" w:rsidP="008470D0">
            <w:pPr>
              <w:pStyle w:val="NormalWeb"/>
              <w:jc w:val="center"/>
              <w:rPr>
                <w:bCs/>
                <w:iCs/>
              </w:rPr>
            </w:pPr>
            <w:r w:rsidRPr="008470D0">
              <w:rPr>
                <w:bCs/>
                <w:iCs/>
              </w:rPr>
              <w:t>33</w:t>
            </w:r>
          </w:p>
        </w:tc>
        <w:tc>
          <w:tcPr>
            <w:tcW w:w="2258" w:type="dxa"/>
            <w:shd w:val="clear" w:color="auto" w:fill="auto"/>
          </w:tcPr>
          <w:p w14:paraId="4DD9584A" w14:textId="77777777" w:rsidR="000D2BFB" w:rsidRPr="008470D0" w:rsidRDefault="000D2BFB" w:rsidP="008470D0">
            <w:pPr>
              <w:pStyle w:val="NormalWeb"/>
              <w:jc w:val="center"/>
              <w:rPr>
                <w:bCs/>
                <w:iCs/>
              </w:rPr>
            </w:pPr>
            <w:r w:rsidRPr="008470D0">
              <w:rPr>
                <w:bCs/>
                <w:iCs/>
              </w:rPr>
              <w:t>17</w:t>
            </w:r>
          </w:p>
        </w:tc>
        <w:tc>
          <w:tcPr>
            <w:tcW w:w="2350" w:type="dxa"/>
            <w:shd w:val="clear" w:color="auto" w:fill="auto"/>
          </w:tcPr>
          <w:p w14:paraId="261CF2B0" w14:textId="77777777" w:rsidR="000D2BFB" w:rsidRPr="008470D0" w:rsidRDefault="000D2BFB" w:rsidP="008470D0">
            <w:pPr>
              <w:pStyle w:val="NormalWeb"/>
              <w:jc w:val="center"/>
              <w:rPr>
                <w:bCs/>
                <w:iCs/>
              </w:rPr>
            </w:pPr>
            <w:r w:rsidRPr="008470D0">
              <w:rPr>
                <w:bCs/>
                <w:iCs/>
              </w:rPr>
              <w:t>11</w:t>
            </w:r>
          </w:p>
        </w:tc>
      </w:tr>
    </w:tbl>
    <w:p w14:paraId="23F3DE97" w14:textId="696EEDD4" w:rsidR="00D5372A" w:rsidRDefault="00AB1CA5" w:rsidP="003F2F7B">
      <w:pPr>
        <w:pStyle w:val="NormalWeb"/>
        <w:rPr>
          <w:bCs/>
          <w:iCs/>
        </w:rPr>
      </w:pPr>
      <w:r w:rsidRPr="00DF4FD9">
        <w:rPr>
          <w:b/>
          <w:bCs/>
          <w:iCs/>
          <w:highlight w:val="yellow"/>
        </w:rPr>
        <w:t>Figure 6.2</w:t>
      </w:r>
      <w:r>
        <w:rPr>
          <w:bCs/>
          <w:iCs/>
        </w:rPr>
        <w:t xml:space="preserve"> </w:t>
      </w:r>
      <w:r w:rsidR="004C677F">
        <w:rPr>
          <w:bCs/>
          <w:iCs/>
        </w:rPr>
        <w:t>Contrived example (</w:t>
      </w:r>
      <w:proofErr w:type="spellStart"/>
      <w:r w:rsidR="004C677F">
        <w:rPr>
          <w:bCs/>
          <w:iCs/>
        </w:rPr>
        <w:t>mastate</w:t>
      </w:r>
      <w:proofErr w:type="spellEnd"/>
      <w:r w:rsidR="004C677F">
        <w:rPr>
          <w:bCs/>
          <w:iCs/>
        </w:rPr>
        <w:t xml:space="preserve"> cancer) to illustrate evaluating risk predictions.  The population of 300 </w:t>
      </w:r>
      <w:r w:rsidR="00C4431D">
        <w:rPr>
          <w:bCs/>
          <w:iCs/>
        </w:rPr>
        <w:t>subject</w:t>
      </w:r>
      <w:r w:rsidR="004C677F">
        <w:rPr>
          <w:bCs/>
          <w:iCs/>
        </w:rPr>
        <w:t xml:space="preserve">s consists of 3 equal-sized </w:t>
      </w:r>
      <w:r w:rsidR="00C4431D">
        <w:rPr>
          <w:bCs/>
          <w:iCs/>
        </w:rPr>
        <w:t>subject</w:t>
      </w:r>
      <w:r w:rsidR="004C677F">
        <w:rPr>
          <w:bCs/>
          <w:iCs/>
        </w:rPr>
        <w:t xml:space="preserve"> groups.  </w:t>
      </w:r>
      <w:r w:rsidR="00AC0DB5">
        <w:rPr>
          <w:bCs/>
          <w:iCs/>
        </w:rPr>
        <w:t xml:space="preserve">Different </w:t>
      </w:r>
      <w:r w:rsidR="0015658C">
        <w:rPr>
          <w:bCs/>
          <w:iCs/>
        </w:rPr>
        <w:t>labs</w:t>
      </w:r>
      <w:r w:rsidR="00AC0DB5">
        <w:rPr>
          <w:bCs/>
          <w:iCs/>
        </w:rPr>
        <w:t xml:space="preserve"> </w:t>
      </w:r>
      <w:r w:rsidR="004C677F">
        <w:rPr>
          <w:bCs/>
          <w:iCs/>
        </w:rPr>
        <w:t xml:space="preserve">provide independent risk estimates.  We follow the </w:t>
      </w:r>
      <w:r w:rsidR="00C4431D">
        <w:rPr>
          <w:bCs/>
          <w:iCs/>
        </w:rPr>
        <w:t>subject</w:t>
      </w:r>
      <w:r w:rsidR="004C677F">
        <w:rPr>
          <w:bCs/>
          <w:iCs/>
        </w:rPr>
        <w:t xml:space="preserve">s over time and observe </w:t>
      </w:r>
      <w:r w:rsidR="002717A6">
        <w:rPr>
          <w:bCs/>
          <w:iCs/>
        </w:rPr>
        <w:t>how many in each group develop a recurrence</w:t>
      </w:r>
      <w:r w:rsidR="004C677F">
        <w:rPr>
          <w:bCs/>
          <w:iCs/>
        </w:rPr>
        <w:t>.</w:t>
      </w:r>
    </w:p>
    <w:p w14:paraId="5DAEFA2E" w14:textId="160CD69A" w:rsidR="002C4C39" w:rsidRPr="00046434" w:rsidRDefault="006C4560" w:rsidP="003F2F7B">
      <w:pPr>
        <w:pStyle w:val="NormalWeb"/>
      </w:pPr>
      <w:r>
        <w:t>Predictive</w:t>
      </w:r>
      <w:r w:rsidR="00DD228E" w:rsidRPr="00046434">
        <w:t xml:space="preserve"> accuracy has two dimensions:</w:t>
      </w:r>
      <w:r w:rsidR="00DD228E" w:rsidRPr="00046434">
        <w:rPr>
          <w:i/>
        </w:rPr>
        <w:t xml:space="preserve"> </w:t>
      </w:r>
      <w:r w:rsidR="00DD228E" w:rsidRPr="00BA3C60">
        <w:rPr>
          <w:i/>
          <w:color w:val="00B050"/>
        </w:rPr>
        <w:t>calibration</w:t>
      </w:r>
      <w:r w:rsidR="00DD228E" w:rsidRPr="00046434">
        <w:t xml:space="preserve"> and</w:t>
      </w:r>
      <w:r w:rsidR="00DD228E" w:rsidRPr="00046434">
        <w:rPr>
          <w:i/>
        </w:rPr>
        <w:t xml:space="preserve"> </w:t>
      </w:r>
      <w:r w:rsidR="00DD228E" w:rsidRPr="00BA3C60">
        <w:rPr>
          <w:i/>
          <w:color w:val="00B050"/>
        </w:rPr>
        <w:t>discrimination</w:t>
      </w:r>
      <w:r w:rsidR="00DD228E" w:rsidRPr="00046434">
        <w:t xml:space="preserve">. </w:t>
      </w:r>
      <w:r w:rsidR="00BA3C60">
        <w:t xml:space="preserve"> </w:t>
      </w:r>
      <w:r w:rsidR="00DD228E" w:rsidRPr="00046434">
        <w:t xml:space="preserve">Calibration refers to how well the </w:t>
      </w:r>
      <w:r w:rsidR="00644A1D">
        <w:t>risk prediction</w:t>
      </w:r>
      <w:r w:rsidR="00DD228E" w:rsidRPr="00046434">
        <w:t xml:space="preserve"> matches the actual </w:t>
      </w:r>
      <w:r w:rsidR="00644A1D">
        <w:t xml:space="preserve">proportion </w:t>
      </w:r>
      <w:r w:rsidR="002717A6">
        <w:t>that develop</w:t>
      </w:r>
      <w:r w:rsidR="00BA3C60">
        <w:t>s</w:t>
      </w:r>
      <w:r w:rsidR="002717A6">
        <w:t xml:space="preserve"> </w:t>
      </w:r>
      <w:r w:rsidR="00644A1D">
        <w:t>the outcome</w:t>
      </w:r>
      <w:r w:rsidR="00257B42">
        <w:t>;</w:t>
      </w:r>
      <w:r w:rsidR="00DD228E" w:rsidRPr="00046434">
        <w:t xml:space="preserve"> discrimination refers to how well the test differentiates between </w:t>
      </w:r>
      <w:r w:rsidR="00C4431D">
        <w:t>subject</w:t>
      </w:r>
      <w:r w:rsidR="00DD228E" w:rsidRPr="00046434">
        <w:t>s more and less likely to have the outcome.</w:t>
      </w:r>
    </w:p>
    <w:p w14:paraId="1CC0A0D0" w14:textId="77777777" w:rsidR="002C4C39" w:rsidRPr="00046434" w:rsidRDefault="00644A1D" w:rsidP="003F2F7B">
      <w:pPr>
        <w:pStyle w:val="Heading3"/>
      </w:pPr>
      <w:r>
        <w:t>Calibration</w:t>
      </w:r>
    </w:p>
    <w:p w14:paraId="24E606D5" w14:textId="651EE298" w:rsidR="002C4C39" w:rsidRPr="00046434" w:rsidRDefault="00DD228E" w:rsidP="003F2F7B">
      <w:pPr>
        <w:pStyle w:val="NormalWeb"/>
      </w:pPr>
      <w:r w:rsidRPr="00046434">
        <w:t xml:space="preserve">Because each individual </w:t>
      </w:r>
      <w:r w:rsidR="002717A6">
        <w:t>subject</w:t>
      </w:r>
      <w:r w:rsidR="002717A6" w:rsidRPr="00046434">
        <w:t xml:space="preserve"> </w:t>
      </w:r>
      <w:r w:rsidRPr="00046434">
        <w:t xml:space="preserve">either </w:t>
      </w:r>
      <w:r w:rsidR="002717A6">
        <w:t>will or will not develop</w:t>
      </w:r>
      <w:r w:rsidR="002717A6" w:rsidRPr="00046434">
        <w:t xml:space="preserve"> </w:t>
      </w:r>
      <w:r w:rsidRPr="00046434">
        <w:t xml:space="preserve">the outcome, calibration is measured by comparing the predicted </w:t>
      </w:r>
      <w:r w:rsidR="002426EB">
        <w:t>risk</w:t>
      </w:r>
      <w:r w:rsidRPr="00046434">
        <w:t xml:space="preserve"> to the proportion </w:t>
      </w:r>
      <w:r w:rsidR="002717A6">
        <w:t>that develop</w:t>
      </w:r>
      <w:r w:rsidR="00BA3C60">
        <w:t>s</w:t>
      </w:r>
      <w:r w:rsidR="002717A6" w:rsidRPr="00046434">
        <w:t xml:space="preserve"> </w:t>
      </w:r>
      <w:r w:rsidRPr="00046434">
        <w:t xml:space="preserve">the outcome in </w:t>
      </w:r>
      <w:r w:rsidR="005B0D1F">
        <w:t>sub-</w:t>
      </w:r>
      <w:r w:rsidRPr="00046434">
        <w:t>group</w:t>
      </w:r>
      <w:r w:rsidR="00113F94">
        <w:t>s</w:t>
      </w:r>
      <w:r w:rsidRPr="00046434">
        <w:t xml:space="preserve"> of </w:t>
      </w:r>
      <w:r w:rsidR="002717A6">
        <w:t>subjects</w:t>
      </w:r>
      <w:r w:rsidR="002426EB">
        <w:t xml:space="preserve">. </w:t>
      </w:r>
      <w:r w:rsidRPr="00046434">
        <w:t xml:space="preserve"> For example, </w:t>
      </w:r>
      <w:r w:rsidR="00D952C5">
        <w:t>in</w:t>
      </w:r>
      <w:r w:rsidRPr="00046434">
        <w:t xml:space="preserve"> a cohort of HIV+ </w:t>
      </w:r>
      <w:r w:rsidR="00C4431D">
        <w:t>subject</w:t>
      </w:r>
      <w:r w:rsidRPr="00046434">
        <w:t xml:space="preserve">s </w:t>
      </w:r>
      <w:r w:rsidR="00D952C5">
        <w:t>who are starting combination anti-retroviral therapy</w:t>
      </w:r>
      <w:r w:rsidRPr="00046434">
        <w:t xml:space="preserve">, the predicted </w:t>
      </w:r>
      <w:r w:rsidR="00856E03">
        <w:t>10</w:t>
      </w:r>
      <w:r w:rsidRPr="00046434">
        <w:t xml:space="preserve">-year mortality </w:t>
      </w:r>
      <w:r w:rsidR="00D952C5">
        <w:t xml:space="preserve">in those </w:t>
      </w:r>
      <w:r w:rsidRPr="00046434">
        <w:t>with CD4 counts</w:t>
      </w:r>
      <w:r w:rsidRPr="00046434">
        <w:rPr>
          <w:i/>
        </w:rPr>
        <w:t xml:space="preserve"> &lt;</w:t>
      </w:r>
      <w:r w:rsidRPr="00046434">
        <w:t>50</w:t>
      </w:r>
      <w:r w:rsidR="0018583F">
        <w:t>0</w:t>
      </w:r>
      <w:r w:rsidR="00D952C5">
        <w:t xml:space="preserve"> /</w:t>
      </w:r>
      <w:proofErr w:type="spellStart"/>
      <w:r w:rsidR="00D952C5">
        <w:t>uL</w:t>
      </w:r>
      <w:proofErr w:type="spellEnd"/>
      <w:r w:rsidR="00D952C5">
        <w:t xml:space="preserve"> </w:t>
      </w:r>
      <w:r w:rsidRPr="00046434">
        <w:t xml:space="preserve">might be </w:t>
      </w:r>
      <w:r w:rsidR="00D952C5">
        <w:t>18</w:t>
      </w:r>
      <w:r w:rsidRPr="00046434">
        <w:t>%.</w:t>
      </w:r>
      <w:r w:rsidR="00316BA0">
        <w:fldChar w:fldCharType="begin">
          <w:fldData xml:space="preserve">PEVuZE5vdGU+PENpdGU+PEF1dGhvcj5NYXk8L0F1dGhvcj48WWVhcj4yMDE2PC9ZZWFyPjxSZWNO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</w:fldData>
        </w:fldChar>
      </w:r>
      <w:r w:rsidR="007A2979">
        <w:instrText xml:space="preserve"> ADDIN EN.CITE </w:instrText>
      </w:r>
      <w:r w:rsidR="007A2979">
        <w:fldChar w:fldCharType="begin">
          <w:fldData xml:space="preserve">PEVuZE5vdGU+PENpdGU+PEF1dGhvcj5NYXk8L0F1dGhvcj48WWVhcj4yMDE2PC9ZZWFyPjxSZWNO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</w:fldData>
        </w:fldChar>
      </w:r>
      <w:r w:rsidR="007A2979">
        <w:instrText xml:space="preserve"> ADDIN EN.CITE.DATA </w:instrText>
      </w:r>
      <w:r w:rsidR="007A2979">
        <w:fldChar w:fldCharType="end"/>
      </w:r>
      <w:r w:rsidR="00316BA0">
        <w:fldChar w:fldCharType="separate"/>
      </w:r>
      <w:r w:rsidR="007A2979">
        <w:rPr>
          <w:noProof/>
        </w:rPr>
        <w:t>[1]</w:t>
      </w:r>
      <w:r w:rsidR="00316BA0">
        <w:fldChar w:fldCharType="end"/>
      </w:r>
      <w:r w:rsidR="009F1388">
        <w:t xml:space="preserve"> </w:t>
      </w:r>
      <w:r w:rsidRPr="00046434">
        <w:t xml:space="preserve"> If the observed mortality in that group after </w:t>
      </w:r>
      <w:r w:rsidR="00856E03">
        <w:t>10</w:t>
      </w:r>
      <w:r w:rsidRPr="00046434">
        <w:t xml:space="preserve"> years were </w:t>
      </w:r>
      <w:r w:rsidR="00316BA0">
        <w:t>17</w:t>
      </w:r>
      <w:r w:rsidRPr="00046434">
        <w:t xml:space="preserve">% to </w:t>
      </w:r>
      <w:r w:rsidR="00316BA0">
        <w:t>19</w:t>
      </w:r>
      <w:r w:rsidRPr="00046434">
        <w:t>%, calibration would be good</w:t>
      </w:r>
      <w:r w:rsidR="00316BA0">
        <w:t>;</w:t>
      </w:r>
      <w:r w:rsidRPr="00046434">
        <w:t xml:space="preserve"> the observed </w:t>
      </w:r>
      <w:r w:rsidR="00316BA0">
        <w:t xml:space="preserve">proportion </w:t>
      </w:r>
      <w:r w:rsidR="00F73E2E">
        <w:t>who</w:t>
      </w:r>
      <w:r w:rsidR="00316BA0">
        <w:t xml:space="preserve"> died</w:t>
      </w:r>
      <w:r w:rsidRPr="00046434">
        <w:t xml:space="preserve"> would match the </w:t>
      </w:r>
      <w:r w:rsidR="002426EB">
        <w:t>predicted</w:t>
      </w:r>
      <w:r w:rsidRPr="00046434">
        <w:t xml:space="preserve"> probability</w:t>
      </w:r>
      <w:r w:rsidR="00BC093C">
        <w:t xml:space="preserve"> o</w:t>
      </w:r>
      <w:r w:rsidR="00817854">
        <w:t>f</w:t>
      </w:r>
      <w:r w:rsidR="00BC093C">
        <w:t xml:space="preserve"> death</w:t>
      </w:r>
      <w:r w:rsidRPr="00046434">
        <w:t>.</w:t>
      </w:r>
    </w:p>
    <w:p w14:paraId="27A0E6DB" w14:textId="649E50B7" w:rsidR="0022317E" w:rsidRDefault="00DD228E" w:rsidP="0022317E">
      <w:pPr>
        <w:pStyle w:val="NormalWeb"/>
      </w:pPr>
      <w:r w:rsidRPr="00046434">
        <w:t xml:space="preserve">Calibration is </w:t>
      </w:r>
      <w:r w:rsidR="00BC093C">
        <w:t>often</w:t>
      </w:r>
      <w:r w:rsidRPr="00046434">
        <w:t xml:space="preserve"> measured by dividing the population into </w:t>
      </w:r>
      <w:r w:rsidR="002426EB">
        <w:t>quantiles</w:t>
      </w:r>
      <w:r w:rsidR="002426EB">
        <w:rPr>
          <w:rStyle w:val="FootnoteReference"/>
        </w:rPr>
        <w:footnoteReference w:id="3"/>
      </w:r>
      <w:r w:rsidRPr="00046434">
        <w:t xml:space="preserve"> of risk and comparing</w:t>
      </w:r>
      <w:r w:rsidR="002717A6">
        <w:t xml:space="preserve"> the</w:t>
      </w:r>
      <w:r w:rsidRPr="00046434">
        <w:t xml:space="preserve"> predicted and observed </w:t>
      </w:r>
      <w:r w:rsidR="002717A6">
        <w:t xml:space="preserve">incidence </w:t>
      </w:r>
      <w:r w:rsidR="00EA2A7C">
        <w:t>proportion</w:t>
      </w:r>
      <w:r w:rsidR="002717A6">
        <w:t>s</w:t>
      </w:r>
      <w:r w:rsidRPr="00046434">
        <w:t xml:space="preserve">. </w:t>
      </w:r>
      <w:r w:rsidR="00BC093C">
        <w:t xml:space="preserve"> </w:t>
      </w:r>
      <w:r w:rsidR="00EA2A7C">
        <w:t xml:space="preserve">Since </w:t>
      </w:r>
      <w:r w:rsidR="0045343F">
        <w:t xml:space="preserve">the </w:t>
      </w:r>
      <w:r w:rsidR="002717A6">
        <w:t xml:space="preserve">incidence </w:t>
      </w:r>
      <w:r w:rsidR="00EA2A7C">
        <w:t xml:space="preserve">proportion </w:t>
      </w:r>
      <w:r w:rsidR="004E5D8E">
        <w:t>is a</w:t>
      </w:r>
      <w:r w:rsidR="00445F50">
        <w:t xml:space="preserve"> rough</w:t>
      </w:r>
      <w:r w:rsidR="00040507">
        <w:t>l</w:t>
      </w:r>
      <w:r w:rsidR="00445F50">
        <w:t xml:space="preserve">y </w:t>
      </w:r>
      <w:r w:rsidR="00445F50">
        <w:lastRenderedPageBreak/>
        <w:t xml:space="preserve">continuous measurement </w:t>
      </w:r>
      <w:r w:rsidR="004E5D8E">
        <w:t xml:space="preserve">between 0 and 1, it would be natural to evaluate </w:t>
      </w:r>
      <w:r w:rsidRPr="00046434">
        <w:t xml:space="preserve">calibration </w:t>
      </w:r>
      <w:r w:rsidR="004E5D8E">
        <w:t>using a modified Blan</w:t>
      </w:r>
      <w:r w:rsidR="00445F50">
        <w:t xml:space="preserve">d-Altman plot (Chapter 5) with observed proportion on the </w:t>
      </w:r>
      <w:r w:rsidR="00F73E2E">
        <w:t>X-</w:t>
      </w:r>
      <w:r w:rsidR="00445F50">
        <w:t>axis and the difference between predicted and observed proportion</w:t>
      </w:r>
      <w:r w:rsidR="005167D4">
        <w:t>s</w:t>
      </w:r>
      <w:r w:rsidR="00445F50">
        <w:t xml:space="preserve"> on the </w:t>
      </w:r>
      <w:r w:rsidR="00F73E2E">
        <w:t>Y-</w:t>
      </w:r>
      <w:r w:rsidR="00445F50">
        <w:t xml:space="preserve">axis.  </w:t>
      </w:r>
      <w:r w:rsidR="00BC093C">
        <w:t xml:space="preserve">In our </w:t>
      </w:r>
      <w:proofErr w:type="spellStart"/>
      <w:r w:rsidR="00BC093C">
        <w:t>mastate</w:t>
      </w:r>
      <w:proofErr w:type="spellEnd"/>
      <w:r w:rsidR="00BC093C">
        <w:t xml:space="preserve"> cancer example, the population divides conveniently into </w:t>
      </w:r>
      <w:proofErr w:type="spellStart"/>
      <w:r w:rsidR="00BC093C">
        <w:t>tertiles</w:t>
      </w:r>
      <w:proofErr w:type="spellEnd"/>
      <w:r w:rsidR="00BC093C">
        <w:t xml:space="preserve"> of risk.  In each </w:t>
      </w:r>
      <w:proofErr w:type="spellStart"/>
      <w:r w:rsidR="00BC093C">
        <w:t>tertile</w:t>
      </w:r>
      <w:proofErr w:type="spellEnd"/>
      <w:r w:rsidR="00BC093C">
        <w:t xml:space="preserve">, we can </w:t>
      </w:r>
      <w:r w:rsidR="002137BA">
        <w:t xml:space="preserve">plot the difference between </w:t>
      </w:r>
      <w:r w:rsidR="003C1B20">
        <w:t>each lab</w:t>
      </w:r>
      <w:r w:rsidR="00BC093C">
        <w:t xml:space="preserve">’s risk prediction </w:t>
      </w:r>
      <w:r w:rsidR="002137BA">
        <w:t>and</w:t>
      </w:r>
      <w:r w:rsidR="00BC093C">
        <w:t xml:space="preserve"> the actual proportion with the outcome. </w:t>
      </w:r>
      <w:r w:rsidR="002137BA">
        <w:t>(</w:t>
      </w:r>
      <w:r w:rsidR="002137BA" w:rsidRPr="008610D2">
        <w:rPr>
          <w:highlight w:val="yellow"/>
        </w:rPr>
        <w:t>Figure 6.3</w:t>
      </w:r>
      <w:proofErr w:type="gramStart"/>
      <w:r w:rsidR="002137BA">
        <w:t>)</w:t>
      </w:r>
      <w:r w:rsidR="0022317E">
        <w:t xml:space="preserve">  We</w:t>
      </w:r>
      <w:proofErr w:type="gramEnd"/>
      <w:r w:rsidR="0022317E">
        <w:t xml:space="preserve"> like the plot in Figure 6.3 because it is easy to see that </w:t>
      </w:r>
      <w:proofErr w:type="spellStart"/>
      <w:r w:rsidR="00076A13">
        <w:t>Bleakhaus</w:t>
      </w:r>
      <w:proofErr w:type="spellEnd"/>
      <w:r w:rsidR="0022317E">
        <w:t xml:space="preserve"> over-estimates risk, and </w:t>
      </w:r>
      <w:proofErr w:type="spellStart"/>
      <w:r w:rsidR="00502ECA">
        <w:t>PolyANA</w:t>
      </w:r>
      <w:proofErr w:type="spellEnd"/>
      <w:r w:rsidR="0022317E">
        <w:t xml:space="preserve"> underestimates risk.  Also, the vertical distance corresponding to the difference between predicted and actual risk is perpendicular to the horizontal zero-difference line.</w:t>
      </w:r>
    </w:p>
    <w:p w14:paraId="62C5325A" w14:textId="0EE7CEF6" w:rsidR="00BC093C" w:rsidRDefault="009F2045" w:rsidP="003F2F7B">
      <w:pPr>
        <w:pStyle w:val="NormalWeb"/>
      </w:pPr>
      <w:r>
        <w:rPr>
          <w:noProof/>
        </w:rPr>
        <w:drawing>
          <wp:inline distT="0" distB="0" distL="0" distR="0" wp14:anchorId="6DFB6D6F" wp14:editId="61A232C2">
            <wp:extent cx="4406900" cy="4254500"/>
            <wp:effectExtent l="0" t="0" r="0" b="0"/>
            <wp:docPr id="15" name="Chart 1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2299BE2" w14:textId="77777777" w:rsidR="00BC093C" w:rsidRDefault="001E2786" w:rsidP="003F2F7B">
      <w:pPr>
        <w:pStyle w:val="NormalWeb"/>
      </w:pPr>
      <w:r w:rsidRPr="008610D2">
        <w:rPr>
          <w:b/>
          <w:highlight w:val="yellow"/>
        </w:rPr>
        <w:t xml:space="preserve">Figure </w:t>
      </w:r>
      <w:proofErr w:type="gramStart"/>
      <w:r w:rsidRPr="008610D2">
        <w:rPr>
          <w:b/>
          <w:highlight w:val="yellow"/>
        </w:rPr>
        <w:t>6.3</w:t>
      </w:r>
      <w:r>
        <w:t xml:space="preserve">  </w:t>
      </w:r>
      <w:r w:rsidR="00101233">
        <w:t>Modified</w:t>
      </w:r>
      <w:proofErr w:type="gramEnd"/>
      <w:r w:rsidR="00101233">
        <w:t xml:space="preserve"> </w:t>
      </w:r>
      <w:r w:rsidR="00B15406">
        <w:t>Bland</w:t>
      </w:r>
      <w:r w:rsidR="00101233">
        <w:t>-Altman-style c</w:t>
      </w:r>
      <w:r>
        <w:t xml:space="preserve">alibration plot of </w:t>
      </w:r>
      <w:r w:rsidR="0042592A">
        <w:t xml:space="preserve">the difference between </w:t>
      </w:r>
      <w:r>
        <w:t xml:space="preserve">predicted risk </w:t>
      </w:r>
      <w:r w:rsidR="0042592A">
        <w:t xml:space="preserve">and </w:t>
      </w:r>
      <w:r>
        <w:t>observed risk (</w:t>
      </w:r>
      <w:r w:rsidR="009E6D5B">
        <w:t>Y</w:t>
      </w:r>
      <w:r>
        <w:t>-axis) versus observed risk (</w:t>
      </w:r>
      <w:r w:rsidR="009E6D5B">
        <w:t>X</w:t>
      </w:r>
      <w:r>
        <w:t xml:space="preserve">-axis) for the fictional </w:t>
      </w:r>
      <w:proofErr w:type="spellStart"/>
      <w:r>
        <w:t>mastate</w:t>
      </w:r>
      <w:proofErr w:type="spellEnd"/>
      <w:r>
        <w:t xml:space="preserve"> cancer example.</w:t>
      </w:r>
      <w:r w:rsidR="001A2A00">
        <w:t xml:space="preserve">  Mean bias = 15% (</w:t>
      </w:r>
      <w:proofErr w:type="spellStart"/>
      <w:r w:rsidR="00076A13">
        <w:t>Bleakhaus</w:t>
      </w:r>
      <w:proofErr w:type="spellEnd"/>
      <w:r w:rsidR="001A2A00">
        <w:t xml:space="preserve">), 0% </w:t>
      </w:r>
      <w:r w:rsidR="00682CBA">
        <w:t>(</w:t>
      </w:r>
      <w:r w:rsidR="00502ECA">
        <w:t>Agnosia</w:t>
      </w:r>
      <w:r w:rsidR="00682CBA">
        <w:t>)</w:t>
      </w:r>
      <w:r w:rsidR="001A2A00">
        <w:t>, and -7% (</w:t>
      </w:r>
      <w:proofErr w:type="spellStart"/>
      <w:r w:rsidR="00682CBA">
        <w:t>PolyANA</w:t>
      </w:r>
      <w:proofErr w:type="spellEnd"/>
      <w:r w:rsidR="001A2A00">
        <w:t>).</w:t>
      </w:r>
    </w:p>
    <w:p w14:paraId="514E0A3D" w14:textId="77777777" w:rsidR="00BC093C" w:rsidRDefault="0022317E" w:rsidP="003F2F7B">
      <w:pPr>
        <w:pStyle w:val="NormalWeb"/>
      </w:pPr>
      <w:r>
        <w:t xml:space="preserve">Unfortunately for us, the standard </w:t>
      </w:r>
      <w:r w:rsidR="00311EC8">
        <w:t xml:space="preserve">plot for assessing calibration of risk predictions puts predicted risk on the </w:t>
      </w:r>
      <w:r w:rsidR="00A00906">
        <w:t>X</w:t>
      </w:r>
      <w:r w:rsidR="00311EC8">
        <w:t xml:space="preserve">-axis and observed risk on the </w:t>
      </w:r>
      <w:r w:rsidR="00C048B9">
        <w:t>Y</w:t>
      </w:r>
      <w:r w:rsidR="00311EC8">
        <w:t>-axis.  The difference between the predicted and observed risk is the horizontal or vertical</w:t>
      </w:r>
      <w:r w:rsidR="00DF4A8C">
        <w:rPr>
          <w:rStyle w:val="FootnoteReference"/>
        </w:rPr>
        <w:footnoteReference w:id="4"/>
      </w:r>
      <w:r w:rsidR="00311EC8">
        <w:t xml:space="preserve"> distance from the 45-degree diagonal.</w:t>
      </w:r>
      <w:r w:rsidR="00DF4A8C">
        <w:t xml:space="preserve">  (</w:t>
      </w:r>
      <w:r w:rsidR="00DF4A8C" w:rsidRPr="00957A07">
        <w:rPr>
          <w:highlight w:val="yellow"/>
        </w:rPr>
        <w:t xml:space="preserve">Figure </w:t>
      </w:r>
      <w:r w:rsidR="00DE711A" w:rsidRPr="00957A07">
        <w:rPr>
          <w:highlight w:val="yellow"/>
        </w:rPr>
        <w:t>6.</w:t>
      </w:r>
      <w:r w:rsidR="00DF4A8C" w:rsidRPr="00957A07">
        <w:rPr>
          <w:highlight w:val="yellow"/>
        </w:rPr>
        <w:t>4</w:t>
      </w:r>
      <w:proofErr w:type="gramStart"/>
      <w:r w:rsidR="00DF4A8C">
        <w:t>)</w:t>
      </w:r>
      <w:r w:rsidR="00DF2665">
        <w:t xml:space="preserve">  </w:t>
      </w:r>
      <w:r w:rsidR="00CF6D4C">
        <w:t>The</w:t>
      </w:r>
      <w:proofErr w:type="gramEnd"/>
      <w:r w:rsidR="00CF6D4C">
        <w:t xml:space="preserve"> points for </w:t>
      </w:r>
      <w:proofErr w:type="spellStart"/>
      <w:r w:rsidR="00076A13">
        <w:t>Bleakhaus</w:t>
      </w:r>
      <w:proofErr w:type="spellEnd"/>
      <w:r w:rsidR="00CF6D4C">
        <w:t xml:space="preserve">, which overestimated risk, </w:t>
      </w:r>
      <w:r w:rsidR="00DD228E" w:rsidRPr="00046434">
        <w:t xml:space="preserve">are </w:t>
      </w:r>
      <w:r w:rsidR="00CF6D4C">
        <w:t xml:space="preserve">below and to the right of the diagonal, while the points for </w:t>
      </w:r>
      <w:proofErr w:type="spellStart"/>
      <w:r w:rsidR="00593219">
        <w:t>PolyANA</w:t>
      </w:r>
      <w:proofErr w:type="spellEnd"/>
      <w:r w:rsidR="00CF6D4C">
        <w:t>, which underestimated risk, are above and to the left.</w:t>
      </w:r>
      <w:r w:rsidR="00DE711A">
        <w:t xml:space="preserve"> </w:t>
      </w:r>
    </w:p>
    <w:p w14:paraId="39EB9788" w14:textId="77777777" w:rsidR="00DF4A8C" w:rsidRDefault="000B78B3" w:rsidP="003F2F7B">
      <w:pPr>
        <w:pStyle w:val="NormalWeb"/>
      </w:pPr>
      <w:r>
        <w:rPr>
          <w:noProof/>
        </w:rPr>
        <w:lastRenderedPageBreak/>
        <w:drawing>
          <wp:inline distT="0" distB="0" distL="0" distR="0" wp14:anchorId="2435E3EF" wp14:editId="4276087D">
            <wp:extent cx="4302125" cy="3825875"/>
            <wp:effectExtent l="0" t="0" r="3175" b="3175"/>
            <wp:docPr id="5" name="Chart 5">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E21204A" w14:textId="77777777" w:rsidR="00DF2665" w:rsidRDefault="00DF2665" w:rsidP="00DF2665">
      <w:pPr>
        <w:pStyle w:val="NormalWeb"/>
      </w:pPr>
      <w:r w:rsidRPr="00957A07">
        <w:rPr>
          <w:b/>
          <w:highlight w:val="yellow"/>
        </w:rPr>
        <w:t xml:space="preserve">Figure </w:t>
      </w:r>
      <w:proofErr w:type="gramStart"/>
      <w:r w:rsidRPr="00957A07">
        <w:rPr>
          <w:b/>
          <w:highlight w:val="yellow"/>
        </w:rPr>
        <w:t>6.4</w:t>
      </w:r>
      <w:r>
        <w:t xml:space="preserve">  </w:t>
      </w:r>
      <w:r w:rsidR="00083B1B">
        <w:t>Standard</w:t>
      </w:r>
      <w:proofErr w:type="gramEnd"/>
      <w:r>
        <w:t xml:space="preserve"> calibration plot of observed risk (</w:t>
      </w:r>
      <w:r w:rsidR="00A00906">
        <w:t>Y</w:t>
      </w:r>
      <w:r>
        <w:t>-axis) versus predicted risk (</w:t>
      </w:r>
      <w:r w:rsidR="00A00906">
        <w:t>X</w:t>
      </w:r>
      <w:r>
        <w:t xml:space="preserve">-axis) for the fictional </w:t>
      </w:r>
      <w:proofErr w:type="spellStart"/>
      <w:r>
        <w:t>mastate</w:t>
      </w:r>
      <w:proofErr w:type="spellEnd"/>
      <w:r>
        <w:t xml:space="preserve"> cancer example.</w:t>
      </w:r>
      <w:r w:rsidR="00AF6B43">
        <w:t xml:space="preserve">  (Error bars = 95% confidence intervals.)</w:t>
      </w:r>
    </w:p>
    <w:p w14:paraId="77E06F3A" w14:textId="77777777" w:rsidR="005343D1" w:rsidRDefault="005343D1" w:rsidP="005343D1">
      <w:pPr>
        <w:pStyle w:val="FootnoteText"/>
        <w:rPr>
          <w:sz w:val="24"/>
          <w:szCs w:val="24"/>
        </w:rPr>
      </w:pPr>
    </w:p>
    <w:p w14:paraId="7817F4AF" w14:textId="602981CA" w:rsidR="007D4691" w:rsidRDefault="00D87573" w:rsidP="007D4691">
      <w:pPr>
        <w:pStyle w:val="NormalWeb"/>
      </w:pPr>
      <w:r>
        <w:t xml:space="preserve">The </w:t>
      </w:r>
      <w:r w:rsidR="00E40E7D">
        <w:t xml:space="preserve">easiest </w:t>
      </w:r>
      <w:r>
        <w:t>way to assess the calibration of a risk model is to visually inspect a</w:t>
      </w:r>
      <w:r w:rsidR="00EC6CD8">
        <w:t xml:space="preserve"> plot like </w:t>
      </w:r>
      <w:r w:rsidR="004A1DAA" w:rsidRPr="004A1DAA">
        <w:rPr>
          <w:highlight w:val="yellow"/>
        </w:rPr>
        <w:t xml:space="preserve">Figure </w:t>
      </w:r>
      <w:r w:rsidR="00EC6CD8" w:rsidRPr="004A1DAA">
        <w:rPr>
          <w:highlight w:val="yellow"/>
        </w:rPr>
        <w:t>6.4</w:t>
      </w:r>
      <w:r w:rsidR="00EC6CD8">
        <w:t xml:space="preserve"> (or maybe </w:t>
      </w:r>
      <w:r w:rsidR="004A1DAA" w:rsidRPr="004A1DAA">
        <w:rPr>
          <w:highlight w:val="yellow"/>
        </w:rPr>
        <w:t xml:space="preserve">Figure </w:t>
      </w:r>
      <w:r w:rsidR="00EC6CD8" w:rsidRPr="004A1DAA">
        <w:rPr>
          <w:highlight w:val="yellow"/>
        </w:rPr>
        <w:t>6.3</w:t>
      </w:r>
      <w:r w:rsidR="00EC6CD8">
        <w:t>),</w:t>
      </w:r>
      <w:r w:rsidR="00DD228E" w:rsidRPr="00393C3E">
        <w:t xml:space="preserve"> but </w:t>
      </w:r>
      <w:r w:rsidR="00EC6CD8">
        <w:t xml:space="preserve">you may encounter numerical quantities </w:t>
      </w:r>
      <w:r w:rsidR="00020EAC">
        <w:t xml:space="preserve">used </w:t>
      </w:r>
      <w:r w:rsidR="00C54887">
        <w:t xml:space="preserve">to assess calibration such as </w:t>
      </w:r>
      <w:r w:rsidR="00C11924">
        <w:t xml:space="preserve">the </w:t>
      </w:r>
      <w:r w:rsidR="00C54887">
        <w:t>mean bias, mean absolute error, and Brier score</w:t>
      </w:r>
      <w:r w:rsidR="00404788">
        <w:t xml:space="preserve">.  </w:t>
      </w:r>
    </w:p>
    <w:p w14:paraId="223E00B9" w14:textId="77777777" w:rsidR="00404788" w:rsidRPr="00707FB4" w:rsidRDefault="00404788" w:rsidP="00707FB4">
      <w:pPr>
        <w:pStyle w:val="Heading4"/>
        <w:rPr>
          <w:b w:val="0"/>
        </w:rPr>
      </w:pPr>
      <w:r w:rsidRPr="00707FB4">
        <w:rPr>
          <w:b w:val="0"/>
        </w:rPr>
        <w:t>Mean Bias, Mean Absolute Error, and Brier Score</w:t>
      </w:r>
    </w:p>
    <w:p w14:paraId="3FAE86AF" w14:textId="77777777" w:rsidR="00404788" w:rsidRPr="00393C3E" w:rsidRDefault="00404788" w:rsidP="00404788">
      <w:pPr>
        <w:pStyle w:val="FootnoteText"/>
      </w:pPr>
      <w:r>
        <w:rPr>
          <w:sz w:val="24"/>
          <w:szCs w:val="24"/>
        </w:rPr>
        <w:t>You may encounter numerical quantities used to assess calibration, among which are the mean bias, mean absolute error, and Brier score.  The m</w:t>
      </w:r>
      <w:r w:rsidRPr="005343D1">
        <w:rPr>
          <w:sz w:val="24"/>
          <w:szCs w:val="24"/>
        </w:rPr>
        <w:t xml:space="preserve">ean bias for a risk prediction is </w:t>
      </w:r>
      <w:r>
        <w:rPr>
          <w:sz w:val="24"/>
          <w:szCs w:val="24"/>
        </w:rPr>
        <w:t>similar to the mean bias for</w:t>
      </w:r>
      <w:r w:rsidRPr="005343D1">
        <w:rPr>
          <w:sz w:val="24"/>
          <w:szCs w:val="24"/>
        </w:rPr>
        <w:t xml:space="preserve"> </w:t>
      </w:r>
      <w:r>
        <w:rPr>
          <w:sz w:val="24"/>
          <w:szCs w:val="24"/>
        </w:rPr>
        <w:t xml:space="preserve">a </w:t>
      </w:r>
      <w:r w:rsidRPr="005343D1">
        <w:rPr>
          <w:sz w:val="24"/>
          <w:szCs w:val="24"/>
        </w:rPr>
        <w:t xml:space="preserve">continuous measurement </w:t>
      </w:r>
      <w:r>
        <w:rPr>
          <w:sz w:val="24"/>
          <w:szCs w:val="24"/>
        </w:rPr>
        <w:t xml:space="preserve">calibrated against a reference standard </w:t>
      </w:r>
      <w:r w:rsidRPr="005343D1">
        <w:rPr>
          <w:sz w:val="24"/>
          <w:szCs w:val="24"/>
        </w:rPr>
        <w:t>(Chapter 5)</w:t>
      </w:r>
      <w:r>
        <w:rPr>
          <w:sz w:val="24"/>
          <w:szCs w:val="24"/>
        </w:rPr>
        <w:t>, except now the reference standard is the observed outcome, coded as 1 if it occurred and 0 if it didn’t.  For a given individual, the error is the difference between that individual’s risk prediction and the outcome observed</w:t>
      </w:r>
      <w:r w:rsidRPr="005343D1">
        <w:rPr>
          <w:sz w:val="24"/>
          <w:szCs w:val="24"/>
        </w:rPr>
        <w:t xml:space="preserve">.  </w:t>
      </w:r>
      <w:r>
        <w:rPr>
          <w:sz w:val="24"/>
          <w:szCs w:val="24"/>
        </w:rPr>
        <w:t>If the risk</w:t>
      </w:r>
      <w:r w:rsidRPr="00393C3E">
        <w:rPr>
          <w:sz w:val="24"/>
        </w:rPr>
        <w:t xml:space="preserve"> estimate </w:t>
      </w:r>
      <w:r>
        <w:rPr>
          <w:sz w:val="24"/>
          <w:szCs w:val="24"/>
        </w:rPr>
        <w:t xml:space="preserve">is 20% and the outcome did not occur, the error is 0.2 - 0 = 0.2; if the outcome occurred, the error is 0.2 - 1 = -0.8.  To get the mean bias, just average the individual errors across the entire population.  If individuals are assigned to risk groups, this is algebraically equivalent to </w:t>
      </w:r>
      <w:r w:rsidRPr="005343D1">
        <w:rPr>
          <w:sz w:val="24"/>
          <w:szCs w:val="24"/>
        </w:rPr>
        <w:t xml:space="preserve">the weighted average of </w:t>
      </w:r>
      <w:r>
        <w:rPr>
          <w:sz w:val="24"/>
          <w:szCs w:val="24"/>
        </w:rPr>
        <w:t>predicted group risk</w:t>
      </w:r>
      <w:r w:rsidRPr="005343D1">
        <w:rPr>
          <w:sz w:val="24"/>
          <w:szCs w:val="24"/>
        </w:rPr>
        <w:t xml:space="preserve"> </w:t>
      </w:r>
      <w:r>
        <w:rPr>
          <w:sz w:val="24"/>
          <w:szCs w:val="24"/>
        </w:rPr>
        <w:t>minus</w:t>
      </w:r>
      <w:r w:rsidRPr="005343D1">
        <w:rPr>
          <w:sz w:val="24"/>
          <w:szCs w:val="24"/>
        </w:rPr>
        <w:t xml:space="preserve"> </w:t>
      </w:r>
      <w:r>
        <w:rPr>
          <w:sz w:val="24"/>
          <w:szCs w:val="24"/>
        </w:rPr>
        <w:t>observed</w:t>
      </w:r>
      <w:r w:rsidRPr="005343D1">
        <w:rPr>
          <w:sz w:val="24"/>
          <w:szCs w:val="24"/>
        </w:rPr>
        <w:t xml:space="preserve"> </w:t>
      </w:r>
      <w:r>
        <w:rPr>
          <w:sz w:val="24"/>
          <w:szCs w:val="24"/>
        </w:rPr>
        <w:t xml:space="preserve">group </w:t>
      </w:r>
      <w:r w:rsidRPr="005343D1">
        <w:rPr>
          <w:sz w:val="24"/>
          <w:szCs w:val="24"/>
        </w:rPr>
        <w:t>risk across all risk groups</w:t>
      </w:r>
      <w:r>
        <w:rPr>
          <w:sz w:val="24"/>
          <w:szCs w:val="24"/>
        </w:rPr>
        <w:t xml:space="preserve"> or </w:t>
      </w:r>
      <w:r w:rsidRPr="005343D1">
        <w:rPr>
          <w:sz w:val="24"/>
          <w:szCs w:val="24"/>
        </w:rPr>
        <w:t xml:space="preserve">the difference between the </w:t>
      </w:r>
      <w:r>
        <w:rPr>
          <w:sz w:val="24"/>
          <w:szCs w:val="24"/>
        </w:rPr>
        <w:t xml:space="preserve">overall average predicted risk (R) and </w:t>
      </w:r>
      <w:r w:rsidRPr="005343D1">
        <w:rPr>
          <w:sz w:val="24"/>
          <w:szCs w:val="24"/>
        </w:rPr>
        <w:t xml:space="preserve">the </w:t>
      </w:r>
      <w:r>
        <w:rPr>
          <w:sz w:val="24"/>
          <w:szCs w:val="24"/>
        </w:rPr>
        <w:t xml:space="preserve">population </w:t>
      </w:r>
      <w:r w:rsidRPr="005343D1">
        <w:rPr>
          <w:sz w:val="24"/>
          <w:szCs w:val="24"/>
        </w:rPr>
        <w:t xml:space="preserve">proportion </w:t>
      </w:r>
      <w:r>
        <w:rPr>
          <w:sz w:val="24"/>
          <w:szCs w:val="24"/>
        </w:rPr>
        <w:t>with the outcome (P).  The mean bias (R-P) ranges from –P (if R=0) to 1-P (if R = 1) and</w:t>
      </w:r>
      <w:r w:rsidRPr="005343D1">
        <w:rPr>
          <w:sz w:val="24"/>
          <w:szCs w:val="24"/>
        </w:rPr>
        <w:t xml:space="preserve"> provides a sense of whether the risk estimates tend to be too</w:t>
      </w:r>
      <w:r>
        <w:rPr>
          <w:sz w:val="24"/>
          <w:szCs w:val="24"/>
        </w:rPr>
        <w:t xml:space="preserve"> high or too low, but of course</w:t>
      </w:r>
      <w:r w:rsidRPr="005343D1">
        <w:rPr>
          <w:sz w:val="24"/>
          <w:szCs w:val="24"/>
        </w:rPr>
        <w:t xml:space="preserve"> large overestimates can balance out large underestimates.  For example, the mean bias will be 0 if the risk model overestimates risk by 40% in 1/3 of the population and underestimates risk by 20% in 2/3 of the population.</w:t>
      </w:r>
    </w:p>
    <w:p w14:paraId="2571BA5F" w14:textId="77777777" w:rsidR="00404788" w:rsidRDefault="00404788" w:rsidP="00404788">
      <w:pPr>
        <w:pStyle w:val="FootnoteText"/>
        <w:rPr>
          <w:sz w:val="24"/>
          <w:szCs w:val="24"/>
        </w:rPr>
      </w:pPr>
    </w:p>
    <w:p w14:paraId="17079D57" w14:textId="4A145686" w:rsidR="00404788" w:rsidRDefault="00404788" w:rsidP="00404788">
      <w:pPr>
        <w:pStyle w:val="FootnoteText"/>
        <w:rPr>
          <w:sz w:val="24"/>
          <w:szCs w:val="24"/>
        </w:rPr>
      </w:pPr>
      <w:r>
        <w:rPr>
          <w:sz w:val="24"/>
          <w:szCs w:val="24"/>
        </w:rPr>
        <w:t>Because of this, some people use the mean absolute error (MAE) to assess calibration.  This just means taking the absolute value of each individual’s error before averaging. Another way to get rid of the minus sign is to square the error before averaging.  This mean squared error is called the Brier Score.   Here are the mean bias, MAE, and Brier Score for the three fictitious genetic labs.</w:t>
      </w:r>
    </w:p>
    <w:p w14:paraId="1A2BC961" w14:textId="77777777" w:rsidR="00404788" w:rsidRDefault="00404788" w:rsidP="00404788">
      <w:pPr>
        <w:pStyle w:val="FootnoteText"/>
        <w:rPr>
          <w:sz w:val="24"/>
          <w:szCs w:val="24"/>
        </w:rPr>
      </w:pPr>
    </w:p>
    <w:p w14:paraId="1CD95F9D" w14:textId="64A71BE6" w:rsidR="00404788" w:rsidRPr="002D21CD" w:rsidRDefault="00404788" w:rsidP="00404788">
      <w:pPr>
        <w:pStyle w:val="FootnoteText"/>
        <w:rPr>
          <w:b/>
          <w:sz w:val="24"/>
          <w:szCs w:val="24"/>
        </w:rPr>
      </w:pPr>
      <w:r w:rsidRPr="00BA0F2B">
        <w:rPr>
          <w:b/>
          <w:sz w:val="24"/>
          <w:szCs w:val="24"/>
          <w:highlight w:val="yellow"/>
        </w:rPr>
        <w:t>Table 6.</w:t>
      </w:r>
      <w:r w:rsidR="00D60030">
        <w:rPr>
          <w:b/>
          <w:sz w:val="24"/>
          <w:szCs w:val="24"/>
        </w:rPr>
        <w:t>2</w:t>
      </w:r>
      <w:r w:rsidRPr="002D21CD">
        <w:rPr>
          <w:b/>
          <w:sz w:val="24"/>
          <w:szCs w:val="24"/>
        </w:rPr>
        <w:t>Mean Bias, Mean Absolute Error, and Brier Score</w:t>
      </w:r>
    </w:p>
    <w:tbl>
      <w:tblPr>
        <w:tblW w:w="5200" w:type="dxa"/>
        <w:tblInd w:w="93" w:type="dxa"/>
        <w:tblLook w:val="04A0" w:firstRow="1" w:lastRow="0" w:firstColumn="1" w:lastColumn="0" w:noHBand="0" w:noVBand="1"/>
      </w:tblPr>
      <w:tblGrid>
        <w:gridCol w:w="1300"/>
        <w:gridCol w:w="1300"/>
        <w:gridCol w:w="1300"/>
        <w:gridCol w:w="1300"/>
      </w:tblGrid>
      <w:tr w:rsidR="00404788" w:rsidRPr="002D21CD" w14:paraId="17847718" w14:textId="77777777" w:rsidTr="00707FB4">
        <w:trPr>
          <w:trHeight w:val="880"/>
        </w:trPr>
        <w:tc>
          <w:tcPr>
            <w:tcW w:w="1300" w:type="dxa"/>
            <w:tcBorders>
              <w:top w:val="nil"/>
              <w:left w:val="nil"/>
              <w:bottom w:val="nil"/>
              <w:right w:val="nil"/>
            </w:tcBorders>
            <w:shd w:val="clear" w:color="auto" w:fill="auto"/>
            <w:noWrap/>
            <w:vAlign w:val="bottom"/>
            <w:hideMark/>
          </w:tcPr>
          <w:p w14:paraId="5A35C78D" w14:textId="77777777" w:rsidR="00404788" w:rsidRPr="002D21CD" w:rsidRDefault="00404788" w:rsidP="00707FB4">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5C354AEE" w14:textId="77777777" w:rsidR="00404788" w:rsidRPr="002D21CD" w:rsidRDefault="00404788" w:rsidP="00707FB4">
            <w:pPr>
              <w:jc w:val="center"/>
              <w:rPr>
                <w:rFonts w:ascii="Calibri" w:hAnsi="Calibri"/>
                <w:b/>
                <w:bCs/>
                <w:color w:val="000000"/>
              </w:rPr>
            </w:pPr>
            <w:r w:rsidRPr="002D21CD">
              <w:rPr>
                <w:rFonts w:ascii="Calibri" w:hAnsi="Calibri"/>
                <w:b/>
                <w:bCs/>
                <w:color w:val="000000"/>
              </w:rPr>
              <w:t>Mean Bias</w:t>
            </w:r>
          </w:p>
        </w:tc>
        <w:tc>
          <w:tcPr>
            <w:tcW w:w="1300" w:type="dxa"/>
            <w:tcBorders>
              <w:top w:val="nil"/>
              <w:left w:val="nil"/>
              <w:bottom w:val="nil"/>
              <w:right w:val="nil"/>
            </w:tcBorders>
            <w:shd w:val="clear" w:color="auto" w:fill="auto"/>
            <w:vAlign w:val="bottom"/>
            <w:hideMark/>
          </w:tcPr>
          <w:p w14:paraId="03887D15" w14:textId="77777777" w:rsidR="00404788" w:rsidRPr="002D21CD" w:rsidRDefault="00404788" w:rsidP="00707FB4">
            <w:pPr>
              <w:jc w:val="center"/>
              <w:rPr>
                <w:rFonts w:ascii="Calibri" w:hAnsi="Calibri"/>
                <w:b/>
                <w:bCs/>
                <w:color w:val="000000"/>
              </w:rPr>
            </w:pPr>
            <w:r w:rsidRPr="002D21CD">
              <w:rPr>
                <w:rFonts w:ascii="Calibri" w:hAnsi="Calibri"/>
                <w:b/>
                <w:bCs/>
                <w:color w:val="000000"/>
              </w:rPr>
              <w:t>Mean Absolute Error</w:t>
            </w:r>
          </w:p>
        </w:tc>
        <w:tc>
          <w:tcPr>
            <w:tcW w:w="1300" w:type="dxa"/>
            <w:tcBorders>
              <w:top w:val="nil"/>
              <w:left w:val="nil"/>
              <w:bottom w:val="nil"/>
              <w:right w:val="nil"/>
            </w:tcBorders>
            <w:shd w:val="clear" w:color="auto" w:fill="auto"/>
            <w:noWrap/>
            <w:vAlign w:val="bottom"/>
            <w:hideMark/>
          </w:tcPr>
          <w:p w14:paraId="26334255" w14:textId="77777777" w:rsidR="00404788" w:rsidRPr="002D21CD" w:rsidRDefault="00404788" w:rsidP="00707FB4">
            <w:pPr>
              <w:jc w:val="center"/>
              <w:rPr>
                <w:rFonts w:ascii="Calibri" w:hAnsi="Calibri"/>
                <w:b/>
                <w:bCs/>
                <w:color w:val="000000"/>
              </w:rPr>
            </w:pPr>
            <w:r w:rsidRPr="002D21CD">
              <w:rPr>
                <w:rFonts w:ascii="Calibri" w:hAnsi="Calibri"/>
                <w:b/>
                <w:bCs/>
                <w:color w:val="000000"/>
              </w:rPr>
              <w:t>Brier Score</w:t>
            </w:r>
          </w:p>
        </w:tc>
      </w:tr>
      <w:tr w:rsidR="00404788" w:rsidRPr="00046434" w14:paraId="59D56D16" w14:textId="77777777" w:rsidTr="00707FB4">
        <w:trPr>
          <w:trHeight w:val="320"/>
        </w:trPr>
        <w:tc>
          <w:tcPr>
            <w:tcW w:w="1300" w:type="dxa"/>
            <w:tcBorders>
              <w:top w:val="nil"/>
              <w:left w:val="nil"/>
              <w:bottom w:val="nil"/>
              <w:right w:val="nil"/>
            </w:tcBorders>
            <w:noWrap/>
            <w:vAlign w:val="bottom"/>
          </w:tcPr>
          <w:p w14:paraId="4FD9A0BF" w14:textId="77777777" w:rsidR="00404788" w:rsidRPr="002D21CD" w:rsidRDefault="00404788" w:rsidP="00707FB4">
            <w:pPr>
              <w:rPr>
                <w:rFonts w:ascii="Calibri" w:hAnsi="Calibri"/>
                <w:b/>
                <w:color w:val="000000"/>
              </w:rPr>
            </w:pPr>
            <w:proofErr w:type="spellStart"/>
            <w:r>
              <w:rPr>
                <w:rFonts w:ascii="Calibri" w:hAnsi="Calibri"/>
                <w:b/>
                <w:bCs/>
                <w:color w:val="000000"/>
              </w:rPr>
              <w:t>Bleakhaus</w:t>
            </w:r>
            <w:proofErr w:type="spellEnd"/>
          </w:p>
        </w:tc>
        <w:tc>
          <w:tcPr>
            <w:tcW w:w="1300" w:type="dxa"/>
            <w:shd w:val="clear" w:color="auto" w:fill="auto"/>
            <w:noWrap/>
            <w:vAlign w:val="bottom"/>
          </w:tcPr>
          <w:p w14:paraId="6AF88EBC" w14:textId="77777777" w:rsidR="00404788" w:rsidRPr="002D21CD" w:rsidRDefault="00404788" w:rsidP="00707FB4">
            <w:pPr>
              <w:jc w:val="right"/>
              <w:rPr>
                <w:rFonts w:ascii="Calibri" w:hAnsi="Calibri"/>
                <w:color w:val="000000"/>
              </w:rPr>
            </w:pPr>
            <w:r w:rsidRPr="002D21CD">
              <w:rPr>
                <w:rFonts w:ascii="Calibri" w:hAnsi="Calibri"/>
                <w:color w:val="000000"/>
              </w:rPr>
              <w:t>0.15</w:t>
            </w:r>
          </w:p>
        </w:tc>
        <w:tc>
          <w:tcPr>
            <w:tcW w:w="1300" w:type="dxa"/>
            <w:shd w:val="clear" w:color="auto" w:fill="auto"/>
            <w:noWrap/>
            <w:vAlign w:val="bottom"/>
          </w:tcPr>
          <w:p w14:paraId="5C88A9D9" w14:textId="77777777" w:rsidR="00404788" w:rsidRPr="002D21CD" w:rsidRDefault="00404788" w:rsidP="00707FB4">
            <w:pPr>
              <w:jc w:val="right"/>
              <w:rPr>
                <w:rFonts w:ascii="Calibri" w:hAnsi="Calibri"/>
                <w:color w:val="000000"/>
              </w:rPr>
            </w:pPr>
            <w:r w:rsidRPr="002D21CD">
              <w:rPr>
                <w:rFonts w:ascii="Calibri" w:hAnsi="Calibri"/>
                <w:color w:val="000000"/>
              </w:rPr>
              <w:t>0.39</w:t>
            </w:r>
          </w:p>
        </w:tc>
        <w:tc>
          <w:tcPr>
            <w:tcW w:w="1300" w:type="dxa"/>
            <w:shd w:val="clear" w:color="auto" w:fill="auto"/>
            <w:noWrap/>
            <w:vAlign w:val="bottom"/>
          </w:tcPr>
          <w:p w14:paraId="01E8C4E0" w14:textId="77777777" w:rsidR="00404788" w:rsidRPr="002D21CD" w:rsidRDefault="00404788" w:rsidP="00707FB4">
            <w:pPr>
              <w:jc w:val="right"/>
              <w:rPr>
                <w:rFonts w:ascii="Calibri" w:hAnsi="Calibri"/>
                <w:color w:val="000000"/>
              </w:rPr>
            </w:pPr>
            <w:r w:rsidRPr="002D21CD">
              <w:rPr>
                <w:rFonts w:ascii="Calibri" w:hAnsi="Calibri"/>
                <w:color w:val="000000"/>
              </w:rPr>
              <w:t>0.18</w:t>
            </w:r>
          </w:p>
        </w:tc>
      </w:tr>
      <w:tr w:rsidR="00404788" w:rsidRPr="002D21CD" w14:paraId="46FC7EA7" w14:textId="77777777" w:rsidTr="00707FB4">
        <w:trPr>
          <w:trHeight w:val="300"/>
        </w:trPr>
        <w:tc>
          <w:tcPr>
            <w:tcW w:w="1300" w:type="dxa"/>
            <w:tcBorders>
              <w:top w:val="nil"/>
              <w:left w:val="nil"/>
              <w:bottom w:val="nil"/>
              <w:right w:val="nil"/>
            </w:tcBorders>
            <w:shd w:val="clear" w:color="auto" w:fill="auto"/>
            <w:noWrap/>
            <w:vAlign w:val="bottom"/>
            <w:hideMark/>
          </w:tcPr>
          <w:p w14:paraId="6BC6C92C" w14:textId="77777777" w:rsidR="00404788" w:rsidRPr="002D21CD" w:rsidRDefault="00404788" w:rsidP="00707FB4">
            <w:pPr>
              <w:rPr>
                <w:rFonts w:ascii="Calibri" w:hAnsi="Calibri"/>
                <w:b/>
                <w:bCs/>
                <w:color w:val="000000"/>
              </w:rPr>
            </w:pPr>
            <w:proofErr w:type="spellStart"/>
            <w:r>
              <w:rPr>
                <w:rFonts w:ascii="Calibri" w:hAnsi="Calibri"/>
                <w:b/>
                <w:bCs/>
                <w:color w:val="000000"/>
              </w:rPr>
              <w:t>AgnoSIA</w:t>
            </w:r>
            <w:proofErr w:type="spellEnd"/>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4208835" w14:textId="77777777" w:rsidR="00404788" w:rsidRPr="002D21CD" w:rsidRDefault="00404788" w:rsidP="00707FB4">
            <w:pPr>
              <w:jc w:val="right"/>
              <w:rPr>
                <w:rFonts w:ascii="Calibri" w:hAnsi="Calibri"/>
                <w:color w:val="000000"/>
              </w:rPr>
            </w:pPr>
            <w:r w:rsidRPr="002D21CD">
              <w:rPr>
                <w:rFonts w:ascii="Calibri" w:hAnsi="Calibri"/>
                <w:color w:val="000000"/>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2F163066" w14:textId="77777777" w:rsidR="00404788" w:rsidRPr="002D21CD" w:rsidRDefault="00404788" w:rsidP="00707FB4">
            <w:pPr>
              <w:jc w:val="right"/>
              <w:rPr>
                <w:rFonts w:ascii="Calibri" w:hAnsi="Calibri"/>
                <w:color w:val="000000"/>
              </w:rPr>
            </w:pPr>
            <w:r w:rsidRPr="002D21CD">
              <w:rPr>
                <w:rFonts w:ascii="Calibri" w:hAnsi="Calibri"/>
                <w:color w:val="000000"/>
              </w:rPr>
              <w:t>0.32</w:t>
            </w:r>
          </w:p>
        </w:tc>
        <w:tc>
          <w:tcPr>
            <w:tcW w:w="1300" w:type="dxa"/>
            <w:tcBorders>
              <w:top w:val="nil"/>
              <w:left w:val="nil"/>
              <w:bottom w:val="single" w:sz="4" w:space="0" w:color="auto"/>
              <w:right w:val="single" w:sz="4" w:space="0" w:color="auto"/>
            </w:tcBorders>
            <w:shd w:val="clear" w:color="auto" w:fill="auto"/>
            <w:noWrap/>
            <w:vAlign w:val="bottom"/>
            <w:hideMark/>
          </w:tcPr>
          <w:p w14:paraId="014B760D" w14:textId="77777777" w:rsidR="00404788" w:rsidRPr="002D21CD" w:rsidRDefault="00404788" w:rsidP="00707FB4">
            <w:pPr>
              <w:jc w:val="right"/>
              <w:rPr>
                <w:rFonts w:ascii="Calibri" w:hAnsi="Calibri"/>
                <w:color w:val="000000"/>
              </w:rPr>
            </w:pPr>
            <w:r w:rsidRPr="002D21CD">
              <w:rPr>
                <w:rFonts w:ascii="Calibri" w:hAnsi="Calibri"/>
                <w:color w:val="000000"/>
              </w:rPr>
              <w:t>0.16</w:t>
            </w:r>
          </w:p>
        </w:tc>
      </w:tr>
      <w:tr w:rsidR="00404788" w:rsidRPr="00046434" w14:paraId="5EEE642A" w14:textId="77777777" w:rsidTr="00707FB4">
        <w:trPr>
          <w:trHeight w:val="300"/>
        </w:trPr>
        <w:tc>
          <w:tcPr>
            <w:tcW w:w="1300" w:type="dxa"/>
            <w:shd w:val="clear" w:color="auto" w:fill="auto"/>
            <w:noWrap/>
            <w:vAlign w:val="bottom"/>
          </w:tcPr>
          <w:p w14:paraId="5F93B3C5" w14:textId="77777777" w:rsidR="00404788" w:rsidRPr="002D21CD" w:rsidRDefault="00404788" w:rsidP="00707FB4">
            <w:pPr>
              <w:rPr>
                <w:rFonts w:ascii="Calibri" w:hAnsi="Calibri"/>
                <w:b/>
                <w:bCs/>
                <w:color w:val="000000"/>
              </w:rPr>
            </w:pPr>
            <w:proofErr w:type="spellStart"/>
            <w:r>
              <w:rPr>
                <w:rFonts w:ascii="Calibri" w:hAnsi="Calibri"/>
                <w:b/>
                <w:bCs/>
                <w:color w:val="000000"/>
              </w:rPr>
              <w:t>PolyANA</w:t>
            </w:r>
            <w:proofErr w:type="spellEnd"/>
          </w:p>
        </w:tc>
        <w:tc>
          <w:tcPr>
            <w:tcW w:w="1300" w:type="dxa"/>
            <w:tcBorders>
              <w:top w:val="nil"/>
              <w:left w:val="single" w:sz="4" w:space="0" w:color="auto"/>
              <w:bottom w:val="single" w:sz="4" w:space="0" w:color="auto"/>
              <w:right w:val="single" w:sz="4" w:space="0" w:color="auto"/>
            </w:tcBorders>
            <w:noWrap/>
            <w:vAlign w:val="bottom"/>
          </w:tcPr>
          <w:p w14:paraId="40646F79" w14:textId="77777777" w:rsidR="00404788" w:rsidRPr="002D21CD" w:rsidRDefault="00404788" w:rsidP="00707FB4">
            <w:pPr>
              <w:jc w:val="right"/>
              <w:rPr>
                <w:rFonts w:ascii="Calibri" w:hAnsi="Calibri"/>
                <w:color w:val="000000"/>
              </w:rPr>
            </w:pPr>
            <w:r w:rsidRPr="002D21CD">
              <w:rPr>
                <w:rFonts w:ascii="Calibri" w:hAnsi="Calibri"/>
                <w:color w:val="000000"/>
              </w:rPr>
              <w:t>-0.07</w:t>
            </w:r>
          </w:p>
        </w:tc>
        <w:tc>
          <w:tcPr>
            <w:tcW w:w="1300" w:type="dxa"/>
            <w:shd w:val="clear" w:color="auto" w:fill="auto"/>
            <w:noWrap/>
            <w:vAlign w:val="bottom"/>
          </w:tcPr>
          <w:p w14:paraId="681545CD" w14:textId="77777777" w:rsidR="00404788" w:rsidRPr="002D21CD" w:rsidRDefault="00404788" w:rsidP="00707FB4">
            <w:pPr>
              <w:jc w:val="right"/>
              <w:rPr>
                <w:rFonts w:ascii="Calibri" w:hAnsi="Calibri"/>
                <w:color w:val="000000"/>
              </w:rPr>
            </w:pPr>
            <w:r w:rsidRPr="002D21CD">
              <w:rPr>
                <w:rFonts w:ascii="Calibri" w:hAnsi="Calibri"/>
                <w:color w:val="000000"/>
              </w:rPr>
              <w:t>0.27</w:t>
            </w:r>
          </w:p>
        </w:tc>
        <w:tc>
          <w:tcPr>
            <w:tcW w:w="1300" w:type="dxa"/>
            <w:shd w:val="clear" w:color="auto" w:fill="auto"/>
            <w:noWrap/>
            <w:vAlign w:val="bottom"/>
          </w:tcPr>
          <w:p w14:paraId="1323C94E" w14:textId="77777777" w:rsidR="00404788" w:rsidRPr="002D21CD" w:rsidRDefault="00404788" w:rsidP="00707FB4">
            <w:pPr>
              <w:jc w:val="right"/>
              <w:rPr>
                <w:rFonts w:ascii="Calibri" w:hAnsi="Calibri"/>
                <w:color w:val="000000"/>
              </w:rPr>
            </w:pPr>
            <w:r w:rsidRPr="002D21CD">
              <w:rPr>
                <w:rFonts w:ascii="Calibri" w:hAnsi="Calibri"/>
                <w:color w:val="000000"/>
              </w:rPr>
              <w:t>0.16</w:t>
            </w:r>
          </w:p>
        </w:tc>
      </w:tr>
    </w:tbl>
    <w:p w14:paraId="7A858D40" w14:textId="77777777" w:rsidR="00404788" w:rsidRDefault="00404788" w:rsidP="00404788">
      <w:pPr>
        <w:pStyle w:val="NormalWeb"/>
      </w:pPr>
    </w:p>
    <w:p w14:paraId="7088C2F6" w14:textId="77777777" w:rsidR="00404788" w:rsidRPr="00CD318C" w:rsidRDefault="00404788" w:rsidP="00404788">
      <w:pPr>
        <w:pStyle w:val="FootnoteText"/>
        <w:rPr>
          <w:sz w:val="24"/>
          <w:szCs w:val="24"/>
        </w:rPr>
      </w:pPr>
      <w:r>
        <w:rPr>
          <w:sz w:val="24"/>
          <w:szCs w:val="24"/>
        </w:rPr>
        <w:t>You might think the</w:t>
      </w:r>
      <w:r w:rsidRPr="00CD318C">
        <w:rPr>
          <w:sz w:val="24"/>
          <w:szCs w:val="24"/>
        </w:rPr>
        <w:t xml:space="preserve"> </w:t>
      </w:r>
      <w:proofErr w:type="gramStart"/>
      <w:r w:rsidRPr="00CD318C">
        <w:rPr>
          <w:sz w:val="24"/>
          <w:szCs w:val="24"/>
        </w:rPr>
        <w:t>MAE</w:t>
      </w:r>
      <w:proofErr w:type="gramEnd"/>
      <w:r w:rsidRPr="00CD318C">
        <w:rPr>
          <w:sz w:val="24"/>
          <w:szCs w:val="24"/>
        </w:rPr>
        <w:t xml:space="preserve"> or Brier Score </w:t>
      </w:r>
      <w:r>
        <w:rPr>
          <w:sz w:val="24"/>
          <w:szCs w:val="24"/>
        </w:rPr>
        <w:t xml:space="preserve">could be 1, but that would require </w:t>
      </w:r>
      <w:r w:rsidRPr="00CD318C">
        <w:rPr>
          <w:sz w:val="24"/>
          <w:szCs w:val="24"/>
        </w:rPr>
        <w:t>perfect reverse d</w:t>
      </w:r>
      <w:r>
        <w:rPr>
          <w:sz w:val="24"/>
          <w:szCs w:val="24"/>
        </w:rPr>
        <w:t xml:space="preserve">iscrimination: </w:t>
      </w:r>
      <w:r w:rsidRPr="00CD318C">
        <w:rPr>
          <w:sz w:val="24"/>
          <w:szCs w:val="24"/>
        </w:rPr>
        <w:t>assign</w:t>
      </w:r>
      <w:r>
        <w:rPr>
          <w:sz w:val="24"/>
          <w:szCs w:val="24"/>
        </w:rPr>
        <w:t>ing risk=</w:t>
      </w:r>
      <w:r w:rsidRPr="00CD318C">
        <w:rPr>
          <w:sz w:val="24"/>
          <w:szCs w:val="24"/>
        </w:rPr>
        <w:t>0 to a</w:t>
      </w:r>
      <w:r>
        <w:rPr>
          <w:sz w:val="24"/>
          <w:szCs w:val="24"/>
        </w:rPr>
        <w:t>ll</w:t>
      </w:r>
      <w:r w:rsidRPr="00CD318C">
        <w:rPr>
          <w:sz w:val="24"/>
          <w:szCs w:val="24"/>
        </w:rPr>
        <w:t xml:space="preserve"> outco</w:t>
      </w:r>
      <w:r>
        <w:rPr>
          <w:sz w:val="24"/>
          <w:szCs w:val="24"/>
        </w:rPr>
        <w:t>me-positive individuals and risk=</w:t>
      </w:r>
      <w:r w:rsidRPr="00CD318C">
        <w:rPr>
          <w:sz w:val="24"/>
          <w:szCs w:val="24"/>
        </w:rPr>
        <w:t>1 to a</w:t>
      </w:r>
      <w:r>
        <w:rPr>
          <w:sz w:val="24"/>
          <w:szCs w:val="24"/>
        </w:rPr>
        <w:t>ll</w:t>
      </w:r>
      <w:r w:rsidRPr="00CD318C">
        <w:rPr>
          <w:sz w:val="24"/>
          <w:szCs w:val="24"/>
        </w:rPr>
        <w:t xml:space="preserve"> outcome-negative individual</w:t>
      </w:r>
      <w:r>
        <w:rPr>
          <w:sz w:val="24"/>
          <w:szCs w:val="24"/>
        </w:rPr>
        <w:t>s</w:t>
      </w:r>
      <w:r w:rsidRPr="00CD318C">
        <w:rPr>
          <w:sz w:val="24"/>
          <w:szCs w:val="24"/>
        </w:rPr>
        <w:t xml:space="preserve">.  We have already said that perfect discrimination would require a crystal ball.  More realistically, both MAE and Brier Score will vary between 0 and the larger of P and 1-P.  Some authors will say that the MAE varies between 0 and 2P(1-P) and the Brier Score varies between 0 and P(1-P).  This assumes that P is known at the time of the risk predictions so that the worst a model can do is predict risk </w:t>
      </w:r>
      <w:r>
        <w:rPr>
          <w:sz w:val="24"/>
          <w:szCs w:val="24"/>
        </w:rPr>
        <w:t xml:space="preserve">= P in everybody as did </w:t>
      </w:r>
      <w:proofErr w:type="spellStart"/>
      <w:r>
        <w:rPr>
          <w:sz w:val="24"/>
          <w:szCs w:val="24"/>
        </w:rPr>
        <w:t>AgnoSIA</w:t>
      </w:r>
      <w:proofErr w:type="spellEnd"/>
      <w:r>
        <w:rPr>
          <w:sz w:val="24"/>
          <w:szCs w:val="24"/>
        </w:rPr>
        <w:t xml:space="preserve">. </w:t>
      </w:r>
      <w:proofErr w:type="spellStart"/>
      <w:r w:rsidRPr="00CD318C">
        <w:rPr>
          <w:sz w:val="24"/>
          <w:szCs w:val="24"/>
        </w:rPr>
        <w:t>AgnoSIA’s</w:t>
      </w:r>
      <w:proofErr w:type="spellEnd"/>
      <w:r w:rsidRPr="00CD318C">
        <w:rPr>
          <w:sz w:val="24"/>
          <w:szCs w:val="24"/>
        </w:rPr>
        <w:t xml:space="preserve"> MAE = 2×0.2(1-0.2) = 0.32 and Brier Score = 0.2(1-0.2) = 0.16.  Note that these are clearly not the maximum possible values since </w:t>
      </w:r>
      <w:proofErr w:type="spellStart"/>
      <w:r w:rsidRPr="00CD318C">
        <w:rPr>
          <w:sz w:val="24"/>
          <w:szCs w:val="24"/>
        </w:rPr>
        <w:t>Bleakhaus</w:t>
      </w:r>
      <w:proofErr w:type="spellEnd"/>
      <w:r w:rsidRPr="00CD318C">
        <w:rPr>
          <w:sz w:val="24"/>
          <w:szCs w:val="24"/>
        </w:rPr>
        <w:t xml:space="preserve"> had higher MAE and Brier Score.</w:t>
      </w:r>
    </w:p>
    <w:p w14:paraId="55981D5B" w14:textId="77777777" w:rsidR="005742C7" w:rsidRDefault="005742C7" w:rsidP="007D4691">
      <w:pPr>
        <w:pStyle w:val="NormalWeb"/>
      </w:pPr>
    </w:p>
    <w:p w14:paraId="4A12DE13" w14:textId="7846F7AA" w:rsidR="007D4691" w:rsidRDefault="007D4691" w:rsidP="007D4691">
      <w:pPr>
        <w:pStyle w:val="NormalWeb"/>
      </w:pPr>
      <w:r>
        <w:t xml:space="preserve">As </w:t>
      </w:r>
      <w:proofErr w:type="spellStart"/>
      <w:r>
        <w:t>AgnoSIA</w:t>
      </w:r>
      <w:proofErr w:type="spellEnd"/>
      <w:r>
        <w:t xml:space="preserve"> illustrates, i</w:t>
      </w:r>
      <w:r w:rsidRPr="00046434">
        <w:t xml:space="preserve">f you </w:t>
      </w:r>
      <w:r>
        <w:t>have a good estimate for the overall proportion of the population who will have the outcome and s</w:t>
      </w:r>
      <w:r w:rsidRPr="00046434">
        <w:t xml:space="preserve">imply </w:t>
      </w:r>
      <w:r>
        <w:t>use that</w:t>
      </w:r>
      <w:r w:rsidRPr="00046434">
        <w:t xml:space="preserve"> </w:t>
      </w:r>
      <w:r>
        <w:t xml:space="preserve">as your risk </w:t>
      </w:r>
      <w:r w:rsidRPr="00046434">
        <w:t xml:space="preserve">estimate for each </w:t>
      </w:r>
      <w:r>
        <w:t>individual</w:t>
      </w:r>
      <w:r w:rsidRPr="00046434">
        <w:t>, yo</w:t>
      </w:r>
      <w:r>
        <w:t xml:space="preserve">ur calibration will be perfect, at least in terms of the calibration plot and mean bias.  But the purpose of assessing risk is to </w:t>
      </w:r>
      <w:r w:rsidR="00E40E7D">
        <w:t>improve decision making</w:t>
      </w:r>
      <w:r>
        <w:t xml:space="preserve">.  In our </w:t>
      </w:r>
      <w:proofErr w:type="spellStart"/>
      <w:r>
        <w:t>mastate</w:t>
      </w:r>
      <w:proofErr w:type="spellEnd"/>
      <w:r>
        <w:t xml:space="preserve"> cancer example, we are trying to decide who needs chemotherapy.  For this purpose, a risk model that does not discriminate between high</w:t>
      </w:r>
      <w:r w:rsidR="00E40E7D">
        <w:t>-</w:t>
      </w:r>
      <w:r>
        <w:t xml:space="preserve"> and low</w:t>
      </w:r>
      <w:r w:rsidR="00E40E7D">
        <w:t>-</w:t>
      </w:r>
      <w:r>
        <w:t>risk individuals is useless.</w:t>
      </w:r>
    </w:p>
    <w:p w14:paraId="50DE6C86" w14:textId="77777777" w:rsidR="00EC6CD8" w:rsidRDefault="00EC6CD8" w:rsidP="005343D1">
      <w:pPr>
        <w:pStyle w:val="FootnoteText"/>
        <w:rPr>
          <w:sz w:val="24"/>
          <w:szCs w:val="24"/>
        </w:rPr>
      </w:pPr>
    </w:p>
    <w:p w14:paraId="7FF6208D" w14:textId="77777777" w:rsidR="00D42D68" w:rsidRPr="00046434" w:rsidRDefault="00D42D68" w:rsidP="00D42D68">
      <w:pPr>
        <w:pStyle w:val="Heading3"/>
      </w:pPr>
      <w:r>
        <w:t>Discrimination</w:t>
      </w:r>
    </w:p>
    <w:p w14:paraId="204BB331" w14:textId="7F28FDD0" w:rsidR="002C4C39" w:rsidRPr="00046434" w:rsidRDefault="00DD228E" w:rsidP="0056595C">
      <w:pPr>
        <w:pStyle w:val="NormalWeb"/>
      </w:pPr>
      <w:r w:rsidRPr="00046434">
        <w:t xml:space="preserve">Discrimination refers to how well the </w:t>
      </w:r>
      <w:r w:rsidR="006C4560">
        <w:t>predictor</w:t>
      </w:r>
      <w:r w:rsidRPr="00046434">
        <w:t xml:space="preserve"> can separate the </w:t>
      </w:r>
      <w:r w:rsidR="00C4431D">
        <w:t>patient’s</w:t>
      </w:r>
      <w:r w:rsidRPr="00046434">
        <w:t xml:space="preserve"> probability of </w:t>
      </w:r>
      <w:r w:rsidR="00E40E7D">
        <w:t xml:space="preserve">developing </w:t>
      </w:r>
      <w:r w:rsidRPr="00046434">
        <w:t xml:space="preserve">the outcome from the average </w:t>
      </w:r>
      <w:r w:rsidR="00B15E4E">
        <w:t>probability</w:t>
      </w:r>
      <w:r w:rsidR="007D54D6">
        <w:t xml:space="preserve"> (the </w:t>
      </w:r>
      <w:r w:rsidR="00564F32">
        <w:t>proportion in</w:t>
      </w:r>
      <w:r w:rsidRPr="00046434">
        <w:t xml:space="preserve"> the </w:t>
      </w:r>
      <w:r w:rsidR="00E40E7D">
        <w:t>entire</w:t>
      </w:r>
      <w:r w:rsidR="0001538D">
        <w:t xml:space="preserve"> </w:t>
      </w:r>
      <w:r w:rsidR="00F22992">
        <w:t>population</w:t>
      </w:r>
      <w:r w:rsidR="008664C2">
        <w:t xml:space="preserve"> who develop the outcome)</w:t>
      </w:r>
      <w:r w:rsidRPr="00046434">
        <w:t xml:space="preserve"> to values closer to zero </w:t>
      </w:r>
      <w:r w:rsidR="005B26AB">
        <w:t>and 1</w:t>
      </w:r>
      <w:r w:rsidRPr="00046434">
        <w:t>. In the example of HIV+ people with CD4 counts &lt;500</w:t>
      </w:r>
      <w:r w:rsidR="00C11924">
        <w:t xml:space="preserve"> /</w:t>
      </w:r>
      <w:proofErr w:type="spellStart"/>
      <w:r w:rsidR="00C11924">
        <w:t>uL</w:t>
      </w:r>
      <w:proofErr w:type="spellEnd"/>
      <w:r w:rsidR="00437527">
        <w:t xml:space="preserve"> who had a</w:t>
      </w:r>
      <w:r w:rsidR="00D70918">
        <w:t xml:space="preserve"> predicted</w:t>
      </w:r>
      <w:r w:rsidR="00437527">
        <w:t xml:space="preserve"> 18% mortality rate</w:t>
      </w:r>
      <w:r w:rsidRPr="00046434">
        <w:t>, discrimination could be improved</w:t>
      </w:r>
      <w:r w:rsidR="00C43CEC" w:rsidRPr="00046434">
        <w:t xml:space="preserve"> </w:t>
      </w:r>
      <w:r w:rsidRPr="00046434">
        <w:t xml:space="preserve">by further </w:t>
      </w:r>
      <w:r w:rsidR="00F22992">
        <w:t>sub</w:t>
      </w:r>
      <w:r w:rsidRPr="00046434">
        <w:t>dividing the CD4 count into smaller categories, so that subjects with CD4 counts</w:t>
      </w:r>
      <w:r w:rsidRPr="00046434">
        <w:rPr>
          <w:i/>
        </w:rPr>
        <w:t xml:space="preserve"> </w:t>
      </w:r>
      <w:r w:rsidRPr="00046434">
        <w:t xml:space="preserve">&lt;50, who have the worst prognosis, would not be lumped together with those with counts from </w:t>
      </w:r>
      <w:r w:rsidR="0018583F">
        <w:t>350</w:t>
      </w:r>
      <w:r w:rsidRPr="00046434">
        <w:t xml:space="preserve"> to 499, whose prognosis is better.</w:t>
      </w:r>
      <w:r w:rsidR="0018583F">
        <w:fldChar w:fldCharType="begin">
          <w:fldData xml:space="preserve">PEVuZE5vdGU+PENpdGU+PEF1dGhvcj5NYXk8L0F1dGhvcj48WWVhcj4yMDE2PC9ZZWFyPjxSZWNO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</w:fldData>
        </w:fldChar>
      </w:r>
      <w:r w:rsidR="007A2979">
        <w:instrText xml:space="preserve"> ADDIN EN.CITE </w:instrText>
      </w:r>
      <w:r w:rsidR="007A2979">
        <w:fldChar w:fldCharType="begin">
          <w:fldData xml:space="preserve">PEVuZE5vdGU+PENpdGU+PEF1dGhvcj5NYXk8L0F1dGhvcj48WWVhcj4yMDE2PC9ZZWFyPjxSZWNO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</w:fldData>
        </w:fldChar>
      </w:r>
      <w:r w:rsidR="007A2979">
        <w:instrText xml:space="preserve"> ADDIN EN.CITE.DATA </w:instrText>
      </w:r>
      <w:r w:rsidR="007A2979">
        <w:fldChar w:fldCharType="end"/>
      </w:r>
      <w:r w:rsidR="0018583F">
        <w:fldChar w:fldCharType="separate"/>
      </w:r>
      <w:r w:rsidR="007A2979">
        <w:rPr>
          <w:noProof/>
        </w:rPr>
        <w:t>[1]</w:t>
      </w:r>
      <w:r w:rsidR="0018583F">
        <w:fldChar w:fldCharType="end"/>
      </w:r>
    </w:p>
    <w:p w14:paraId="13261CEB" w14:textId="2A92D825" w:rsidR="001461DC" w:rsidRDefault="00DD228E" w:rsidP="00F14906">
      <w:pPr>
        <w:pStyle w:val="NormalWeb"/>
      </w:pPr>
      <w:r w:rsidRPr="00046434">
        <w:lastRenderedPageBreak/>
        <w:t xml:space="preserve">We can then express the discrimination of a </w:t>
      </w:r>
      <w:r w:rsidR="0062768F">
        <w:t>predictive test</w:t>
      </w:r>
      <w:r w:rsidR="00A96034">
        <w:t xml:space="preserve"> or risk model</w:t>
      </w:r>
      <w:r w:rsidR="006C4560">
        <w:t xml:space="preserve"> </w:t>
      </w:r>
      <w:r w:rsidR="008664C2">
        <w:t xml:space="preserve">using </w:t>
      </w:r>
      <w:r w:rsidRPr="00046434">
        <w:t xml:space="preserve">our old friend from Chapter </w:t>
      </w:r>
      <w:r w:rsidR="00B25791">
        <w:t>3</w:t>
      </w:r>
      <w:r w:rsidRPr="00046434">
        <w:t>, the AUROC</w:t>
      </w:r>
      <w:r w:rsidR="00E40E7D">
        <w:t>.  I</w:t>
      </w:r>
      <w:r w:rsidRPr="00046434">
        <w:t>nstead of comparing test results in disease and non</w:t>
      </w:r>
      <w:r w:rsidR="00BC7946">
        <w:t>-</w:t>
      </w:r>
      <w:r w:rsidRPr="00046434">
        <w:t xml:space="preserve">diseased, </w:t>
      </w:r>
      <w:r w:rsidR="00DD71D0">
        <w:t xml:space="preserve">we compare </w:t>
      </w:r>
      <w:r w:rsidRPr="00046434">
        <w:t>the results in those who did and did not develop the outcome</w:t>
      </w:r>
      <w:r w:rsidR="00F22992">
        <w:t>,</w:t>
      </w:r>
      <w:r w:rsidRPr="00046434">
        <w:t xml:space="preserve"> and the varying </w:t>
      </w:r>
      <w:r w:rsidR="00947DA0">
        <w:t>risk threshold for calling the test “</w:t>
      </w:r>
      <w:r w:rsidRPr="00046434">
        <w:t>positive</w:t>
      </w:r>
      <w:r w:rsidR="00947DA0">
        <w:t>”</w:t>
      </w:r>
      <w:r w:rsidRPr="00046434">
        <w:t xml:space="preserve"> is what traces out the ROC curve</w:t>
      </w:r>
      <w:r w:rsidR="001D2F0F">
        <w:t xml:space="preserve">. </w:t>
      </w:r>
    </w:p>
    <w:p w14:paraId="38302D1A" w14:textId="6197B2F1" w:rsidR="00F14906" w:rsidRPr="00046434" w:rsidRDefault="00F14906" w:rsidP="00F14906">
      <w:pPr>
        <w:pStyle w:val="NormalWeb"/>
      </w:pPr>
      <w:r w:rsidRPr="00046434">
        <w:t xml:space="preserve">We emphasize that the AUROC only measures how well the </w:t>
      </w:r>
      <w:r w:rsidR="007061CF">
        <w:t>predictor</w:t>
      </w:r>
      <w:r w:rsidRPr="00046434">
        <w:t xml:space="preserve"> discriminates between </w:t>
      </w:r>
      <w:r w:rsidR="00F22992">
        <w:t>those who do and those who don’t develop the outcome</w:t>
      </w:r>
      <w:r w:rsidRPr="00046434">
        <w:t xml:space="preserve">; it says nothing about calibration. </w:t>
      </w:r>
      <w:r w:rsidR="00F22992">
        <w:t xml:space="preserve"> </w:t>
      </w:r>
      <w:r w:rsidRPr="00046434">
        <w:t xml:space="preserve">Recall from Chapter </w:t>
      </w:r>
      <w:r w:rsidR="00F22992">
        <w:t>3</w:t>
      </w:r>
      <w:r w:rsidRPr="00046434">
        <w:t xml:space="preserve"> that the ROC curve depends only on the </w:t>
      </w:r>
      <w:r w:rsidRPr="00077310">
        <w:rPr>
          <w:i/>
        </w:rPr>
        <w:t>ranking</w:t>
      </w:r>
      <w:r w:rsidRPr="00046434">
        <w:t xml:space="preserve"> of individual measurements (in this case, risk estimates) and not their </w:t>
      </w:r>
      <w:r w:rsidR="00DD71D0">
        <w:t>actual</w:t>
      </w:r>
      <w:r w:rsidR="00DD71D0" w:rsidRPr="00046434">
        <w:t xml:space="preserve"> </w:t>
      </w:r>
      <w:r w:rsidRPr="00046434">
        <w:t xml:space="preserve">values. Given any pair of </w:t>
      </w:r>
      <w:r w:rsidR="00C4431D">
        <w:t>subject</w:t>
      </w:r>
      <w:r w:rsidRPr="00046434">
        <w:t>s</w:t>
      </w:r>
      <w:r w:rsidR="00E40E7D">
        <w:t xml:space="preserve"> with opposite outcomes</w:t>
      </w:r>
      <w:r w:rsidRPr="00046434">
        <w:t xml:space="preserve"> </w:t>
      </w:r>
      <w:r w:rsidR="00E40E7D">
        <w:t xml:space="preserve">(e.g., </w:t>
      </w:r>
      <w:r w:rsidRPr="00046434">
        <w:t xml:space="preserve">one who </w:t>
      </w:r>
      <w:r w:rsidR="00F22992">
        <w:t xml:space="preserve">died </w:t>
      </w:r>
      <w:r w:rsidRPr="00046434">
        <w:t>and one who survived</w:t>
      </w:r>
      <w:r w:rsidR="00E40E7D">
        <w:t>),</w:t>
      </w:r>
      <w:r w:rsidRPr="00046434">
        <w:t xml:space="preserve"> the AUROC is the probability that the </w:t>
      </w:r>
      <w:r w:rsidR="001D4FD4">
        <w:t xml:space="preserve">one who </w:t>
      </w:r>
      <w:r w:rsidR="00E40E7D">
        <w:t xml:space="preserve">developed the outcome </w:t>
      </w:r>
      <w:r w:rsidR="001D4FD4">
        <w:t>was assigned a higher risk</w:t>
      </w:r>
      <w:r w:rsidRPr="00046434">
        <w:t xml:space="preserve"> than the </w:t>
      </w:r>
      <w:r w:rsidR="001D4FD4">
        <w:t xml:space="preserve">one who </w:t>
      </w:r>
      <w:r w:rsidR="00E40E7D">
        <w:t>did not</w:t>
      </w:r>
      <w:r w:rsidRPr="00046434">
        <w:t>.</w:t>
      </w:r>
    </w:p>
    <w:p w14:paraId="2B3F0E18" w14:textId="78681B8F" w:rsidR="00C2519A" w:rsidRDefault="00482677" w:rsidP="00F14906">
      <w:pPr>
        <w:pStyle w:val="NormalWeb"/>
      </w:pPr>
      <w:r>
        <w:t xml:space="preserve">In Chapters 2 and 3 on diagnostic tests, we calculated </w:t>
      </w:r>
      <w:r w:rsidR="00EA3836">
        <w:t>post-test probability</w:t>
      </w:r>
      <w:r>
        <w:t xml:space="preserve"> by going horizontally across a table with D+ and D</w:t>
      </w:r>
      <w:r w:rsidR="006C37AB">
        <w:sym w:font="Symbol" w:char="F02D"/>
      </w:r>
      <w:r w:rsidR="006C37AB">
        <w:t xml:space="preserve"> </w:t>
      </w:r>
      <w:r>
        <w:t xml:space="preserve">as the column headings and test results as the row headings.   This required that sampling be cross-sectional.  For a </w:t>
      </w:r>
      <w:r w:rsidR="006C4560">
        <w:t xml:space="preserve">predictive </w:t>
      </w:r>
      <w:r>
        <w:t xml:space="preserve">test, calibration is assessed going horizontally across a table with outcome positive and negative as the column headings and assigned risk groups as the row headings. Since studies of </w:t>
      </w:r>
      <w:r w:rsidR="006C4560">
        <w:t>predictive accuracy</w:t>
      </w:r>
      <w:r>
        <w:t xml:space="preserve"> are necessarily cohort studies and rarely sample separately on outcome</w:t>
      </w:r>
      <w:r>
        <w:rPr>
          <w:rStyle w:val="FootnoteReference"/>
        </w:rPr>
        <w:footnoteReference w:id="5"/>
      </w:r>
      <w:r>
        <w:t xml:space="preserve">, it is natural to present results in a calibration table such as </w:t>
      </w:r>
      <w:r w:rsidRPr="006D1E57">
        <w:rPr>
          <w:highlight w:val="yellow"/>
        </w:rPr>
        <w:t>Table 6.</w:t>
      </w:r>
      <w:r w:rsidR="00D60030">
        <w:t xml:space="preserve">3 </w:t>
      </w:r>
      <w:r>
        <w:t xml:space="preserve">for </w:t>
      </w:r>
      <w:proofErr w:type="spellStart"/>
      <w:r w:rsidR="00076A13">
        <w:t>Bleakhaus</w:t>
      </w:r>
      <w:proofErr w:type="spellEnd"/>
      <w:r>
        <w:t>.</w:t>
      </w:r>
    </w:p>
    <w:p w14:paraId="2D0C8BC8" w14:textId="77777777" w:rsidR="00A13708" w:rsidRDefault="00A13708" w:rsidP="00F14906">
      <w:pPr>
        <w:pStyle w:val="NormalWeb"/>
      </w:pPr>
    </w:p>
    <w:p w14:paraId="555B420F" w14:textId="54D77313" w:rsidR="00A13708" w:rsidRDefault="00A13708" w:rsidP="00A13708">
      <w:pPr>
        <w:pStyle w:val="NormalWeb"/>
      </w:pPr>
      <w:r w:rsidRPr="006D1E57">
        <w:rPr>
          <w:highlight w:val="yellow"/>
        </w:rPr>
        <w:t>Table 6.</w:t>
      </w:r>
      <w:r w:rsidR="00D60030">
        <w:t xml:space="preserve">3 </w:t>
      </w:r>
      <w:r>
        <w:t xml:space="preserve">Calibration Table for </w:t>
      </w:r>
      <w:proofErr w:type="spellStart"/>
      <w:r>
        <w:t>Bleakhaus</w:t>
      </w:r>
      <w:proofErr w:type="spellEnd"/>
    </w:p>
    <w:tbl>
      <w:tblPr>
        <w:tblW w:w="7754" w:type="dxa"/>
        <w:tblInd w:w="93" w:type="dxa"/>
        <w:tblLayout w:type="fixed"/>
        <w:tblLook w:val="04A0" w:firstRow="1" w:lastRow="0" w:firstColumn="1" w:lastColumn="0" w:noHBand="0" w:noVBand="1"/>
      </w:tblPr>
      <w:tblGrid>
        <w:gridCol w:w="913"/>
        <w:gridCol w:w="359"/>
        <w:gridCol w:w="25"/>
        <w:gridCol w:w="68"/>
        <w:gridCol w:w="177"/>
        <w:gridCol w:w="719"/>
        <w:gridCol w:w="90"/>
        <w:gridCol w:w="1354"/>
        <w:gridCol w:w="1349"/>
        <w:gridCol w:w="1029"/>
        <w:gridCol w:w="320"/>
        <w:gridCol w:w="1061"/>
        <w:gridCol w:w="110"/>
        <w:gridCol w:w="180"/>
      </w:tblGrid>
      <w:tr w:rsidR="00A13708" w:rsidRPr="00046434" w14:paraId="0F9EA25F" w14:textId="77777777" w:rsidTr="00845009">
        <w:trPr>
          <w:gridAfter w:val="5"/>
          <w:wAfter w:w="2700" w:type="dxa"/>
          <w:trHeight w:val="300"/>
        </w:trPr>
        <w:tc>
          <w:tcPr>
            <w:tcW w:w="1297" w:type="dxa"/>
            <w:gridSpan w:val="3"/>
            <w:tcBorders>
              <w:top w:val="nil"/>
              <w:left w:val="nil"/>
              <w:bottom w:val="nil"/>
              <w:right w:val="nil"/>
            </w:tcBorders>
            <w:noWrap/>
            <w:vAlign w:val="bottom"/>
          </w:tcPr>
          <w:p w14:paraId="29022174" w14:textId="77777777" w:rsidR="00A13708" w:rsidRPr="00E56DFA" w:rsidRDefault="00A13708" w:rsidP="00845009">
            <w:pPr>
              <w:rPr>
                <w:rFonts w:ascii="Calibri" w:hAnsi="Calibri"/>
                <w:color w:val="000000"/>
              </w:rPr>
            </w:pPr>
          </w:p>
        </w:tc>
        <w:tc>
          <w:tcPr>
            <w:tcW w:w="245" w:type="dxa"/>
            <w:gridSpan w:val="2"/>
            <w:shd w:val="clear" w:color="auto" w:fill="auto"/>
            <w:noWrap/>
            <w:vAlign w:val="bottom"/>
          </w:tcPr>
          <w:p w14:paraId="51CA171C" w14:textId="77777777" w:rsidR="00A13708" w:rsidRPr="00E56DFA" w:rsidRDefault="00A13708" w:rsidP="00845009">
            <w:pPr>
              <w:rPr>
                <w:rFonts w:ascii="Calibri" w:hAnsi="Calibri"/>
                <w:color w:val="000000"/>
              </w:rPr>
            </w:pPr>
          </w:p>
        </w:tc>
        <w:tc>
          <w:tcPr>
            <w:tcW w:w="3512" w:type="dxa"/>
            <w:gridSpan w:val="4"/>
            <w:shd w:val="clear" w:color="auto" w:fill="auto"/>
            <w:noWrap/>
            <w:vAlign w:val="bottom"/>
          </w:tcPr>
          <w:p w14:paraId="50E5814F" w14:textId="77777777" w:rsidR="00A13708" w:rsidRPr="00E56DFA" w:rsidRDefault="00A13708" w:rsidP="00845009">
            <w:pPr>
              <w:jc w:val="center"/>
              <w:rPr>
                <w:rFonts w:ascii="Calibri" w:hAnsi="Calibri"/>
                <w:color w:val="000000"/>
              </w:rPr>
            </w:pPr>
            <w:r w:rsidRPr="00E56DFA">
              <w:rPr>
                <w:rFonts w:ascii="Calibri" w:hAnsi="Calibri"/>
                <w:color w:val="000000"/>
              </w:rPr>
              <w:t>Outcome</w:t>
            </w:r>
          </w:p>
        </w:tc>
      </w:tr>
      <w:tr w:rsidR="00A13708" w:rsidRPr="00046434" w14:paraId="71A52859" w14:textId="77777777" w:rsidTr="00845009">
        <w:trPr>
          <w:trHeight w:val="700"/>
        </w:trPr>
        <w:tc>
          <w:tcPr>
            <w:tcW w:w="1365" w:type="dxa"/>
            <w:gridSpan w:val="4"/>
            <w:tcBorders>
              <w:top w:val="nil"/>
              <w:left w:val="nil"/>
              <w:bottom w:val="nil"/>
              <w:right w:val="nil"/>
            </w:tcBorders>
            <w:vAlign w:val="bottom"/>
          </w:tcPr>
          <w:p w14:paraId="53C7D4DA" w14:textId="77777777" w:rsidR="00A13708" w:rsidRPr="00E56DFA" w:rsidRDefault="00A13708" w:rsidP="00845009">
            <w:pPr>
              <w:rPr>
                <w:rFonts w:ascii="Calibri" w:hAnsi="Calibri"/>
                <w:color w:val="000000"/>
              </w:rPr>
            </w:pPr>
            <w:proofErr w:type="spellStart"/>
            <w:r>
              <w:rPr>
                <w:rFonts w:ascii="Calibri" w:hAnsi="Calibri"/>
                <w:color w:val="000000"/>
              </w:rPr>
              <w:t>Bleakhaus</w:t>
            </w:r>
            <w:r w:rsidRPr="00E56DFA">
              <w:rPr>
                <w:rFonts w:ascii="Calibri" w:hAnsi="Calibri"/>
                <w:color w:val="000000"/>
              </w:rPr>
              <w:t>'s</w:t>
            </w:r>
            <w:proofErr w:type="spellEnd"/>
            <w:r w:rsidRPr="00E56DFA">
              <w:rPr>
                <w:rFonts w:ascii="Calibri" w:hAnsi="Calibri"/>
                <w:color w:val="000000"/>
              </w:rPr>
              <w:t xml:space="preserve"> Prediction</w:t>
            </w:r>
          </w:p>
        </w:tc>
        <w:tc>
          <w:tcPr>
            <w:tcW w:w="896" w:type="dxa"/>
            <w:gridSpan w:val="2"/>
            <w:shd w:val="clear" w:color="auto" w:fill="auto"/>
            <w:noWrap/>
            <w:vAlign w:val="bottom"/>
          </w:tcPr>
          <w:p w14:paraId="343D8DD5" w14:textId="77777777" w:rsidR="00A13708" w:rsidRPr="00E56DFA" w:rsidRDefault="00A13708" w:rsidP="00845009">
            <w:pPr>
              <w:jc w:val="center"/>
              <w:rPr>
                <w:rFonts w:ascii="Calibri" w:hAnsi="Calibri"/>
                <w:color w:val="000000"/>
              </w:rPr>
            </w:pPr>
            <w:r w:rsidRPr="00E56DFA">
              <w:rPr>
                <w:rFonts w:ascii="Calibri" w:hAnsi="Calibri"/>
                <w:color w:val="000000"/>
              </w:rPr>
              <w:t>N</w:t>
            </w:r>
          </w:p>
        </w:tc>
        <w:tc>
          <w:tcPr>
            <w:tcW w:w="1444" w:type="dxa"/>
            <w:gridSpan w:val="2"/>
            <w:shd w:val="clear" w:color="auto" w:fill="auto"/>
            <w:vAlign w:val="bottom"/>
          </w:tcPr>
          <w:p w14:paraId="3876E7AA" w14:textId="77777777" w:rsidR="00A13708" w:rsidRPr="00E56DFA" w:rsidRDefault="00A13708" w:rsidP="00845009">
            <w:pPr>
              <w:jc w:val="center"/>
              <w:rPr>
                <w:rFonts w:ascii="Calibri" w:hAnsi="Calibri"/>
                <w:color w:val="000000"/>
              </w:rPr>
            </w:pPr>
            <w:r>
              <w:rPr>
                <w:rFonts w:ascii="Calibri" w:hAnsi="Calibri"/>
                <w:color w:val="000000"/>
              </w:rPr>
              <w:t>Yes</w:t>
            </w:r>
          </w:p>
        </w:tc>
        <w:tc>
          <w:tcPr>
            <w:tcW w:w="1349" w:type="dxa"/>
            <w:tcBorders>
              <w:bottom w:val="single" w:sz="4" w:space="0" w:color="auto"/>
            </w:tcBorders>
            <w:vAlign w:val="bottom"/>
          </w:tcPr>
          <w:p w14:paraId="44A242F1" w14:textId="77777777" w:rsidR="00A13708" w:rsidRDefault="00A13708" w:rsidP="00845009">
            <w:pPr>
              <w:jc w:val="center"/>
              <w:rPr>
                <w:rFonts w:ascii="Calibri" w:hAnsi="Calibri"/>
                <w:color w:val="000000"/>
              </w:rPr>
            </w:pPr>
            <w:r>
              <w:rPr>
                <w:rFonts w:ascii="Calibri" w:hAnsi="Calibri"/>
                <w:color w:val="000000"/>
              </w:rPr>
              <w:t>No</w:t>
            </w:r>
          </w:p>
        </w:tc>
        <w:tc>
          <w:tcPr>
            <w:tcW w:w="1349" w:type="dxa"/>
            <w:gridSpan w:val="2"/>
            <w:shd w:val="clear" w:color="auto" w:fill="auto"/>
            <w:noWrap/>
            <w:vAlign w:val="bottom"/>
          </w:tcPr>
          <w:p w14:paraId="1FEEFDC1" w14:textId="77777777" w:rsidR="00A13708" w:rsidRPr="00E56DFA" w:rsidRDefault="00A13708" w:rsidP="00845009">
            <w:pPr>
              <w:jc w:val="center"/>
              <w:rPr>
                <w:rFonts w:ascii="Calibri" w:hAnsi="Calibri"/>
                <w:color w:val="000000"/>
              </w:rPr>
            </w:pPr>
            <w:r>
              <w:rPr>
                <w:rFonts w:ascii="Calibri" w:hAnsi="Calibri"/>
                <w:color w:val="000000"/>
              </w:rPr>
              <w:t>Proportion with Outcome</w:t>
            </w:r>
          </w:p>
        </w:tc>
        <w:tc>
          <w:tcPr>
            <w:tcW w:w="1351" w:type="dxa"/>
            <w:gridSpan w:val="3"/>
            <w:shd w:val="clear" w:color="auto" w:fill="auto"/>
            <w:vAlign w:val="bottom"/>
          </w:tcPr>
          <w:p w14:paraId="2E89A5AA" w14:textId="77777777" w:rsidR="00A13708" w:rsidRPr="00E56DFA" w:rsidRDefault="00A13708" w:rsidP="00845009">
            <w:pPr>
              <w:jc w:val="center"/>
              <w:rPr>
                <w:rFonts w:ascii="Calibri" w:hAnsi="Calibri"/>
                <w:color w:val="000000"/>
              </w:rPr>
            </w:pPr>
            <w:r w:rsidRPr="00E56DFA">
              <w:rPr>
                <w:rFonts w:ascii="Calibri" w:hAnsi="Calibri"/>
                <w:color w:val="000000"/>
              </w:rPr>
              <w:t>Predicted - Observed</w:t>
            </w:r>
          </w:p>
        </w:tc>
      </w:tr>
      <w:tr w:rsidR="00A13708" w:rsidRPr="00E56DFA" w14:paraId="53535705" w14:textId="77777777" w:rsidTr="00845009">
        <w:trPr>
          <w:gridAfter w:val="2"/>
          <w:wAfter w:w="290" w:type="dxa"/>
          <w:trHeight w:val="300"/>
        </w:trPr>
        <w:tc>
          <w:tcPr>
            <w:tcW w:w="1272" w:type="dxa"/>
            <w:gridSpan w:val="2"/>
            <w:tcBorders>
              <w:top w:val="nil"/>
              <w:left w:val="nil"/>
              <w:bottom w:val="nil"/>
              <w:right w:val="nil"/>
            </w:tcBorders>
            <w:shd w:val="clear" w:color="auto" w:fill="auto"/>
            <w:noWrap/>
            <w:vAlign w:val="bottom"/>
            <w:hideMark/>
          </w:tcPr>
          <w:p w14:paraId="6809C402" w14:textId="77777777" w:rsidR="00A13708" w:rsidRPr="00E56DFA" w:rsidRDefault="00A13708" w:rsidP="00845009">
            <w:pPr>
              <w:jc w:val="center"/>
              <w:rPr>
                <w:rFonts w:ascii="Calibri" w:hAnsi="Calibri"/>
                <w:color w:val="000000"/>
              </w:rPr>
            </w:pPr>
            <w:r w:rsidRPr="00E56DFA">
              <w:rPr>
                <w:rFonts w:ascii="Calibri" w:hAnsi="Calibri"/>
                <w:color w:val="000000"/>
              </w:rPr>
              <w:t>50%</w:t>
            </w:r>
          </w:p>
        </w:tc>
        <w:tc>
          <w:tcPr>
            <w:tcW w:w="270" w:type="dxa"/>
            <w:gridSpan w:val="3"/>
            <w:tcBorders>
              <w:top w:val="nil"/>
              <w:left w:val="nil"/>
              <w:bottom w:val="nil"/>
              <w:right w:val="nil"/>
            </w:tcBorders>
            <w:shd w:val="clear" w:color="auto" w:fill="auto"/>
            <w:noWrap/>
            <w:vAlign w:val="bottom"/>
          </w:tcPr>
          <w:p w14:paraId="59B16D4C" w14:textId="77777777" w:rsidR="00A13708" w:rsidRPr="00E56DFA" w:rsidRDefault="00A13708" w:rsidP="00845009">
            <w:pPr>
              <w:jc w:val="right"/>
              <w:rPr>
                <w:rFonts w:ascii="Calibri" w:hAnsi="Calibri"/>
                <w:color w:val="000000"/>
              </w:rPr>
            </w:pPr>
          </w:p>
        </w:tc>
        <w:tc>
          <w:tcPr>
            <w:tcW w:w="809" w:type="dxa"/>
            <w:gridSpan w:val="2"/>
            <w:tcBorders>
              <w:top w:val="single" w:sz="4" w:space="0" w:color="auto"/>
              <w:left w:val="single" w:sz="4" w:space="0" w:color="auto"/>
              <w:bottom w:val="single" w:sz="4" w:space="0" w:color="auto"/>
              <w:right w:val="single" w:sz="4" w:space="0" w:color="auto"/>
            </w:tcBorders>
            <w:vAlign w:val="bottom"/>
          </w:tcPr>
          <w:p w14:paraId="06BADE05" w14:textId="77777777" w:rsidR="00A13708" w:rsidRPr="00E56DFA" w:rsidRDefault="00A13708" w:rsidP="00845009">
            <w:pPr>
              <w:jc w:val="right"/>
              <w:rPr>
                <w:rFonts w:ascii="Calibri" w:hAnsi="Calibri"/>
                <w:color w:val="000000"/>
              </w:rPr>
            </w:pPr>
            <w:r w:rsidRPr="00E56DFA">
              <w:rPr>
                <w:rFonts w:ascii="Calibri" w:hAnsi="Calibri"/>
                <w:color w:val="000000"/>
              </w:rPr>
              <w:t>100</w:t>
            </w:r>
          </w:p>
        </w:tc>
        <w:tc>
          <w:tcPr>
            <w:tcW w:w="1354" w:type="dxa"/>
            <w:tcBorders>
              <w:top w:val="single" w:sz="4" w:space="0" w:color="auto"/>
              <w:left w:val="single" w:sz="4" w:space="0" w:color="auto"/>
              <w:bottom w:val="single" w:sz="4" w:space="0" w:color="auto"/>
              <w:right w:val="single" w:sz="4" w:space="0" w:color="auto"/>
            </w:tcBorders>
            <w:vAlign w:val="bottom"/>
          </w:tcPr>
          <w:p w14:paraId="49E41E63" w14:textId="77777777" w:rsidR="00A13708" w:rsidRPr="00E56DFA" w:rsidRDefault="00A13708" w:rsidP="00845009">
            <w:pPr>
              <w:jc w:val="right"/>
              <w:rPr>
                <w:rFonts w:ascii="Calibri" w:hAnsi="Calibri"/>
                <w:color w:val="000000"/>
              </w:rPr>
            </w:pPr>
            <w:r w:rsidRPr="00E56DFA">
              <w:rPr>
                <w:rFonts w:ascii="Calibri" w:hAnsi="Calibri"/>
                <w:color w:val="000000"/>
              </w:rPr>
              <w:t>33</w:t>
            </w:r>
          </w:p>
        </w:tc>
        <w:tc>
          <w:tcPr>
            <w:tcW w:w="1349" w:type="dxa"/>
            <w:tcBorders>
              <w:top w:val="single" w:sz="4" w:space="0" w:color="auto"/>
              <w:left w:val="nil"/>
              <w:bottom w:val="single" w:sz="4" w:space="0" w:color="auto"/>
              <w:right w:val="single" w:sz="4" w:space="0" w:color="auto"/>
            </w:tcBorders>
          </w:tcPr>
          <w:p w14:paraId="4F6E9B20" w14:textId="77777777" w:rsidR="00A13708" w:rsidRPr="00E56DFA" w:rsidRDefault="00A13708" w:rsidP="00845009">
            <w:pPr>
              <w:jc w:val="right"/>
              <w:rPr>
                <w:rFonts w:ascii="Calibri" w:hAnsi="Calibri"/>
                <w:color w:val="000000"/>
              </w:rPr>
            </w:pPr>
            <w:r>
              <w:rPr>
                <w:rFonts w:ascii="Calibri" w:hAnsi="Calibri"/>
                <w:color w:val="000000"/>
              </w:rPr>
              <w:t>67</w:t>
            </w:r>
          </w:p>
        </w:tc>
        <w:tc>
          <w:tcPr>
            <w:tcW w:w="1029" w:type="dxa"/>
            <w:tcBorders>
              <w:top w:val="nil"/>
              <w:left w:val="single" w:sz="4" w:space="0" w:color="auto"/>
              <w:bottom w:val="nil"/>
              <w:right w:val="nil"/>
            </w:tcBorders>
            <w:shd w:val="clear" w:color="auto" w:fill="auto"/>
            <w:noWrap/>
            <w:vAlign w:val="bottom"/>
            <w:hideMark/>
          </w:tcPr>
          <w:p w14:paraId="6141E853" w14:textId="77777777" w:rsidR="00A13708" w:rsidRPr="00E56DFA" w:rsidRDefault="00A13708" w:rsidP="00845009">
            <w:pPr>
              <w:jc w:val="right"/>
              <w:rPr>
                <w:rFonts w:ascii="Calibri" w:hAnsi="Calibri"/>
                <w:color w:val="000000"/>
              </w:rPr>
            </w:pPr>
            <w:r w:rsidRPr="00E56DFA">
              <w:rPr>
                <w:rFonts w:ascii="Calibri" w:hAnsi="Calibri"/>
                <w:color w:val="000000"/>
              </w:rPr>
              <w:t>33%</w:t>
            </w:r>
          </w:p>
        </w:tc>
        <w:tc>
          <w:tcPr>
            <w:tcW w:w="1381" w:type="dxa"/>
            <w:gridSpan w:val="2"/>
            <w:tcBorders>
              <w:top w:val="nil"/>
              <w:left w:val="nil"/>
              <w:bottom w:val="nil"/>
              <w:right w:val="nil"/>
            </w:tcBorders>
            <w:shd w:val="clear" w:color="auto" w:fill="auto"/>
            <w:noWrap/>
            <w:vAlign w:val="bottom"/>
            <w:hideMark/>
          </w:tcPr>
          <w:p w14:paraId="387A9FDB" w14:textId="77777777" w:rsidR="00A13708" w:rsidRPr="00E56DFA" w:rsidRDefault="00A13708" w:rsidP="00845009">
            <w:pPr>
              <w:jc w:val="right"/>
              <w:rPr>
                <w:rFonts w:ascii="Calibri" w:hAnsi="Calibri"/>
                <w:color w:val="000000"/>
              </w:rPr>
            </w:pPr>
            <w:r w:rsidRPr="00E56DFA">
              <w:rPr>
                <w:rFonts w:ascii="Calibri" w:hAnsi="Calibri"/>
                <w:color w:val="000000"/>
              </w:rPr>
              <w:t>17%</w:t>
            </w:r>
          </w:p>
        </w:tc>
      </w:tr>
      <w:tr w:rsidR="00A13708" w:rsidRPr="00E56DFA" w14:paraId="44EA1185" w14:textId="77777777" w:rsidTr="00845009">
        <w:trPr>
          <w:gridAfter w:val="2"/>
          <w:wAfter w:w="290" w:type="dxa"/>
          <w:trHeight w:val="300"/>
        </w:trPr>
        <w:tc>
          <w:tcPr>
            <w:tcW w:w="1272" w:type="dxa"/>
            <w:gridSpan w:val="2"/>
            <w:tcBorders>
              <w:top w:val="nil"/>
              <w:left w:val="nil"/>
              <w:bottom w:val="nil"/>
              <w:right w:val="nil"/>
            </w:tcBorders>
            <w:shd w:val="clear" w:color="auto" w:fill="auto"/>
            <w:noWrap/>
            <w:vAlign w:val="bottom"/>
            <w:hideMark/>
          </w:tcPr>
          <w:p w14:paraId="3F3E3914" w14:textId="77777777" w:rsidR="00A13708" w:rsidRPr="00E56DFA" w:rsidRDefault="00A13708" w:rsidP="00845009">
            <w:pPr>
              <w:jc w:val="center"/>
              <w:rPr>
                <w:rFonts w:ascii="Calibri" w:hAnsi="Calibri"/>
                <w:color w:val="000000"/>
              </w:rPr>
            </w:pPr>
            <w:r w:rsidRPr="00E56DFA">
              <w:rPr>
                <w:rFonts w:ascii="Calibri" w:hAnsi="Calibri"/>
                <w:color w:val="000000"/>
              </w:rPr>
              <w:t>35%</w:t>
            </w:r>
          </w:p>
        </w:tc>
        <w:tc>
          <w:tcPr>
            <w:tcW w:w="270" w:type="dxa"/>
            <w:gridSpan w:val="3"/>
            <w:tcBorders>
              <w:top w:val="nil"/>
              <w:left w:val="nil"/>
              <w:bottom w:val="nil"/>
              <w:right w:val="nil"/>
            </w:tcBorders>
            <w:shd w:val="clear" w:color="auto" w:fill="auto"/>
            <w:noWrap/>
            <w:vAlign w:val="bottom"/>
          </w:tcPr>
          <w:p w14:paraId="51207B12" w14:textId="77777777" w:rsidR="00A13708" w:rsidRPr="00E56DFA" w:rsidRDefault="00A13708" w:rsidP="00845009">
            <w:pPr>
              <w:jc w:val="right"/>
              <w:rPr>
                <w:rFonts w:ascii="Calibri" w:hAnsi="Calibri"/>
                <w:color w:val="000000"/>
              </w:rPr>
            </w:pPr>
          </w:p>
        </w:tc>
        <w:tc>
          <w:tcPr>
            <w:tcW w:w="809" w:type="dxa"/>
            <w:gridSpan w:val="2"/>
            <w:tcBorders>
              <w:top w:val="nil"/>
              <w:left w:val="single" w:sz="4" w:space="0" w:color="auto"/>
              <w:bottom w:val="single" w:sz="4" w:space="0" w:color="auto"/>
              <w:right w:val="single" w:sz="4" w:space="0" w:color="auto"/>
            </w:tcBorders>
            <w:vAlign w:val="bottom"/>
          </w:tcPr>
          <w:p w14:paraId="661E5454" w14:textId="77777777" w:rsidR="00A13708" w:rsidRPr="00E56DFA" w:rsidRDefault="00A13708" w:rsidP="00845009">
            <w:pPr>
              <w:jc w:val="right"/>
              <w:rPr>
                <w:rFonts w:ascii="Calibri" w:hAnsi="Calibri"/>
                <w:color w:val="000000"/>
              </w:rPr>
            </w:pPr>
            <w:r w:rsidRPr="00E56DFA">
              <w:rPr>
                <w:rFonts w:ascii="Calibri" w:hAnsi="Calibri"/>
                <w:color w:val="000000"/>
              </w:rPr>
              <w:t>100</w:t>
            </w:r>
          </w:p>
        </w:tc>
        <w:tc>
          <w:tcPr>
            <w:tcW w:w="1354" w:type="dxa"/>
            <w:tcBorders>
              <w:top w:val="nil"/>
              <w:left w:val="single" w:sz="4" w:space="0" w:color="auto"/>
              <w:bottom w:val="single" w:sz="4" w:space="0" w:color="auto"/>
              <w:right w:val="single" w:sz="4" w:space="0" w:color="auto"/>
            </w:tcBorders>
            <w:vAlign w:val="bottom"/>
          </w:tcPr>
          <w:p w14:paraId="3495FED8" w14:textId="77777777" w:rsidR="00A13708" w:rsidRPr="00E56DFA" w:rsidRDefault="00A13708" w:rsidP="00845009">
            <w:pPr>
              <w:jc w:val="right"/>
              <w:rPr>
                <w:rFonts w:ascii="Calibri" w:hAnsi="Calibri"/>
                <w:color w:val="000000"/>
              </w:rPr>
            </w:pPr>
            <w:r w:rsidRPr="00E56DFA">
              <w:rPr>
                <w:rFonts w:ascii="Calibri" w:hAnsi="Calibri"/>
                <w:color w:val="000000"/>
              </w:rPr>
              <w:t>17</w:t>
            </w:r>
          </w:p>
        </w:tc>
        <w:tc>
          <w:tcPr>
            <w:tcW w:w="1349" w:type="dxa"/>
            <w:tcBorders>
              <w:top w:val="single" w:sz="4" w:space="0" w:color="auto"/>
              <w:left w:val="nil"/>
              <w:bottom w:val="single" w:sz="4" w:space="0" w:color="auto"/>
              <w:right w:val="single" w:sz="4" w:space="0" w:color="auto"/>
            </w:tcBorders>
          </w:tcPr>
          <w:p w14:paraId="795E869F" w14:textId="77777777" w:rsidR="00A13708" w:rsidRPr="00E56DFA" w:rsidRDefault="00A13708" w:rsidP="00845009">
            <w:pPr>
              <w:jc w:val="right"/>
              <w:rPr>
                <w:rFonts w:ascii="Calibri" w:hAnsi="Calibri"/>
                <w:color w:val="000000"/>
              </w:rPr>
            </w:pPr>
            <w:r>
              <w:rPr>
                <w:rFonts w:ascii="Calibri" w:hAnsi="Calibri"/>
                <w:color w:val="000000"/>
              </w:rPr>
              <w:t>83</w:t>
            </w:r>
          </w:p>
        </w:tc>
        <w:tc>
          <w:tcPr>
            <w:tcW w:w="1029" w:type="dxa"/>
            <w:tcBorders>
              <w:top w:val="nil"/>
              <w:left w:val="single" w:sz="4" w:space="0" w:color="auto"/>
              <w:bottom w:val="nil"/>
              <w:right w:val="nil"/>
            </w:tcBorders>
            <w:shd w:val="clear" w:color="auto" w:fill="auto"/>
            <w:noWrap/>
            <w:vAlign w:val="bottom"/>
            <w:hideMark/>
          </w:tcPr>
          <w:p w14:paraId="3A5F8004" w14:textId="77777777" w:rsidR="00A13708" w:rsidRPr="00E56DFA" w:rsidRDefault="00A13708" w:rsidP="00845009">
            <w:pPr>
              <w:jc w:val="right"/>
              <w:rPr>
                <w:rFonts w:ascii="Calibri" w:hAnsi="Calibri"/>
                <w:color w:val="000000"/>
              </w:rPr>
            </w:pPr>
            <w:r w:rsidRPr="00E56DFA">
              <w:rPr>
                <w:rFonts w:ascii="Calibri" w:hAnsi="Calibri"/>
                <w:color w:val="000000"/>
              </w:rPr>
              <w:t>17%</w:t>
            </w:r>
          </w:p>
        </w:tc>
        <w:tc>
          <w:tcPr>
            <w:tcW w:w="1381" w:type="dxa"/>
            <w:gridSpan w:val="2"/>
            <w:tcBorders>
              <w:top w:val="nil"/>
              <w:left w:val="nil"/>
              <w:bottom w:val="nil"/>
              <w:right w:val="nil"/>
            </w:tcBorders>
            <w:shd w:val="clear" w:color="auto" w:fill="auto"/>
            <w:noWrap/>
            <w:vAlign w:val="bottom"/>
            <w:hideMark/>
          </w:tcPr>
          <w:p w14:paraId="7CBEF5D6" w14:textId="77777777" w:rsidR="00A13708" w:rsidRPr="00E56DFA" w:rsidRDefault="00A13708" w:rsidP="00845009">
            <w:pPr>
              <w:jc w:val="right"/>
              <w:rPr>
                <w:rFonts w:ascii="Calibri" w:hAnsi="Calibri"/>
                <w:color w:val="000000"/>
              </w:rPr>
            </w:pPr>
            <w:r w:rsidRPr="00E56DFA">
              <w:rPr>
                <w:rFonts w:ascii="Calibri" w:hAnsi="Calibri"/>
                <w:color w:val="000000"/>
              </w:rPr>
              <w:t>18%</w:t>
            </w:r>
          </w:p>
        </w:tc>
      </w:tr>
      <w:tr w:rsidR="00A13708" w:rsidRPr="00E56DFA" w14:paraId="611ABED5" w14:textId="77777777" w:rsidTr="00845009">
        <w:trPr>
          <w:gridAfter w:val="2"/>
          <w:wAfter w:w="290" w:type="dxa"/>
          <w:trHeight w:val="300"/>
        </w:trPr>
        <w:tc>
          <w:tcPr>
            <w:tcW w:w="1272" w:type="dxa"/>
            <w:gridSpan w:val="2"/>
            <w:tcBorders>
              <w:top w:val="nil"/>
              <w:left w:val="nil"/>
              <w:bottom w:val="nil"/>
              <w:right w:val="nil"/>
            </w:tcBorders>
            <w:shd w:val="clear" w:color="auto" w:fill="auto"/>
            <w:noWrap/>
            <w:vAlign w:val="bottom"/>
            <w:hideMark/>
          </w:tcPr>
          <w:p w14:paraId="62AF020B" w14:textId="77777777" w:rsidR="00A13708" w:rsidRPr="00E56DFA" w:rsidRDefault="00A13708" w:rsidP="00845009">
            <w:pPr>
              <w:jc w:val="center"/>
              <w:rPr>
                <w:rFonts w:ascii="Calibri" w:hAnsi="Calibri"/>
                <w:color w:val="000000"/>
              </w:rPr>
            </w:pPr>
            <w:r w:rsidRPr="00E56DFA">
              <w:rPr>
                <w:rFonts w:ascii="Calibri" w:hAnsi="Calibri"/>
                <w:color w:val="000000"/>
              </w:rPr>
              <w:t>20%</w:t>
            </w:r>
          </w:p>
        </w:tc>
        <w:tc>
          <w:tcPr>
            <w:tcW w:w="270" w:type="dxa"/>
            <w:gridSpan w:val="3"/>
            <w:tcBorders>
              <w:top w:val="nil"/>
              <w:left w:val="nil"/>
              <w:bottom w:val="nil"/>
              <w:right w:val="nil"/>
            </w:tcBorders>
            <w:shd w:val="clear" w:color="auto" w:fill="auto"/>
            <w:noWrap/>
            <w:vAlign w:val="bottom"/>
          </w:tcPr>
          <w:p w14:paraId="6EEE3AF5" w14:textId="77777777" w:rsidR="00A13708" w:rsidRPr="00E56DFA" w:rsidRDefault="00A13708" w:rsidP="00845009">
            <w:pPr>
              <w:jc w:val="right"/>
              <w:rPr>
                <w:rFonts w:ascii="Calibri" w:hAnsi="Calibri"/>
                <w:color w:val="000000"/>
              </w:rPr>
            </w:pPr>
          </w:p>
        </w:tc>
        <w:tc>
          <w:tcPr>
            <w:tcW w:w="809" w:type="dxa"/>
            <w:gridSpan w:val="2"/>
            <w:tcBorders>
              <w:top w:val="nil"/>
              <w:left w:val="single" w:sz="4" w:space="0" w:color="auto"/>
              <w:bottom w:val="single" w:sz="4" w:space="0" w:color="auto"/>
              <w:right w:val="single" w:sz="4" w:space="0" w:color="auto"/>
            </w:tcBorders>
            <w:vAlign w:val="bottom"/>
          </w:tcPr>
          <w:p w14:paraId="4458B679" w14:textId="77777777" w:rsidR="00A13708" w:rsidRPr="00E56DFA" w:rsidRDefault="00A13708" w:rsidP="00845009">
            <w:pPr>
              <w:jc w:val="right"/>
              <w:rPr>
                <w:rFonts w:ascii="Calibri" w:hAnsi="Calibri"/>
                <w:color w:val="000000"/>
              </w:rPr>
            </w:pPr>
            <w:r w:rsidRPr="00E56DFA">
              <w:rPr>
                <w:rFonts w:ascii="Calibri" w:hAnsi="Calibri"/>
                <w:color w:val="000000"/>
              </w:rPr>
              <w:t>100</w:t>
            </w:r>
          </w:p>
        </w:tc>
        <w:tc>
          <w:tcPr>
            <w:tcW w:w="1354" w:type="dxa"/>
            <w:tcBorders>
              <w:top w:val="nil"/>
              <w:left w:val="single" w:sz="4" w:space="0" w:color="auto"/>
              <w:bottom w:val="single" w:sz="4" w:space="0" w:color="auto"/>
              <w:right w:val="single" w:sz="4" w:space="0" w:color="auto"/>
            </w:tcBorders>
            <w:vAlign w:val="bottom"/>
          </w:tcPr>
          <w:p w14:paraId="1A5D2856" w14:textId="77777777" w:rsidR="00A13708" w:rsidRPr="00E56DFA" w:rsidRDefault="00A13708" w:rsidP="00845009">
            <w:pPr>
              <w:jc w:val="right"/>
              <w:rPr>
                <w:rFonts w:ascii="Calibri" w:hAnsi="Calibri"/>
                <w:color w:val="000000"/>
              </w:rPr>
            </w:pPr>
            <w:r w:rsidRPr="00E56DFA">
              <w:rPr>
                <w:rFonts w:ascii="Calibri" w:hAnsi="Calibri"/>
                <w:color w:val="000000"/>
              </w:rPr>
              <w:t>11</w:t>
            </w:r>
          </w:p>
        </w:tc>
        <w:tc>
          <w:tcPr>
            <w:tcW w:w="1349" w:type="dxa"/>
            <w:tcBorders>
              <w:top w:val="single" w:sz="4" w:space="0" w:color="auto"/>
              <w:left w:val="nil"/>
              <w:bottom w:val="single" w:sz="4" w:space="0" w:color="auto"/>
              <w:right w:val="single" w:sz="4" w:space="0" w:color="auto"/>
            </w:tcBorders>
          </w:tcPr>
          <w:p w14:paraId="02E11FB2" w14:textId="77777777" w:rsidR="00A13708" w:rsidRPr="00E56DFA" w:rsidRDefault="00A13708" w:rsidP="00845009">
            <w:pPr>
              <w:jc w:val="right"/>
              <w:rPr>
                <w:rFonts w:ascii="Calibri" w:hAnsi="Calibri"/>
                <w:color w:val="000000"/>
              </w:rPr>
            </w:pPr>
            <w:r>
              <w:rPr>
                <w:rFonts w:ascii="Calibri" w:hAnsi="Calibri"/>
                <w:color w:val="000000"/>
              </w:rPr>
              <w:t>89</w:t>
            </w:r>
          </w:p>
        </w:tc>
        <w:tc>
          <w:tcPr>
            <w:tcW w:w="1029" w:type="dxa"/>
            <w:tcBorders>
              <w:top w:val="nil"/>
              <w:left w:val="single" w:sz="4" w:space="0" w:color="auto"/>
              <w:bottom w:val="nil"/>
              <w:right w:val="nil"/>
            </w:tcBorders>
            <w:shd w:val="clear" w:color="auto" w:fill="auto"/>
            <w:noWrap/>
            <w:vAlign w:val="bottom"/>
            <w:hideMark/>
          </w:tcPr>
          <w:p w14:paraId="1189A8D6" w14:textId="77777777" w:rsidR="00A13708" w:rsidRPr="00E56DFA" w:rsidRDefault="00A13708" w:rsidP="00845009">
            <w:pPr>
              <w:jc w:val="right"/>
              <w:rPr>
                <w:rFonts w:ascii="Calibri" w:hAnsi="Calibri"/>
                <w:color w:val="000000"/>
              </w:rPr>
            </w:pPr>
            <w:r w:rsidRPr="00E56DFA">
              <w:rPr>
                <w:rFonts w:ascii="Calibri" w:hAnsi="Calibri"/>
                <w:color w:val="000000"/>
              </w:rPr>
              <w:t>11%</w:t>
            </w:r>
          </w:p>
        </w:tc>
        <w:tc>
          <w:tcPr>
            <w:tcW w:w="1381" w:type="dxa"/>
            <w:gridSpan w:val="2"/>
            <w:tcBorders>
              <w:top w:val="nil"/>
              <w:left w:val="nil"/>
              <w:bottom w:val="nil"/>
              <w:right w:val="nil"/>
            </w:tcBorders>
            <w:shd w:val="clear" w:color="auto" w:fill="auto"/>
            <w:noWrap/>
            <w:vAlign w:val="bottom"/>
            <w:hideMark/>
          </w:tcPr>
          <w:p w14:paraId="691EE3EC" w14:textId="77777777" w:rsidR="00A13708" w:rsidRPr="00E56DFA" w:rsidRDefault="00A13708" w:rsidP="00845009">
            <w:pPr>
              <w:jc w:val="right"/>
              <w:rPr>
                <w:rFonts w:ascii="Calibri" w:hAnsi="Calibri"/>
                <w:color w:val="000000"/>
              </w:rPr>
            </w:pPr>
            <w:r w:rsidRPr="00E56DFA">
              <w:rPr>
                <w:rFonts w:ascii="Calibri" w:hAnsi="Calibri"/>
                <w:color w:val="000000"/>
              </w:rPr>
              <w:t>9%</w:t>
            </w:r>
          </w:p>
        </w:tc>
      </w:tr>
      <w:tr w:rsidR="00A13708" w:rsidRPr="00E56DFA" w14:paraId="003B661F" w14:textId="77777777" w:rsidTr="00845009">
        <w:trPr>
          <w:gridAfter w:val="1"/>
          <w:wAfter w:w="180" w:type="dxa"/>
          <w:trHeight w:val="480"/>
        </w:trPr>
        <w:tc>
          <w:tcPr>
            <w:tcW w:w="913" w:type="dxa"/>
            <w:tcBorders>
              <w:top w:val="nil"/>
              <w:left w:val="nil"/>
              <w:bottom w:val="nil"/>
              <w:right w:val="nil"/>
            </w:tcBorders>
            <w:shd w:val="clear" w:color="auto" w:fill="auto"/>
            <w:noWrap/>
            <w:vAlign w:val="bottom"/>
            <w:hideMark/>
          </w:tcPr>
          <w:p w14:paraId="5A17D302" w14:textId="77777777" w:rsidR="00A13708" w:rsidRPr="00E56DFA" w:rsidRDefault="00A13708" w:rsidP="00845009">
            <w:pPr>
              <w:jc w:val="right"/>
              <w:rPr>
                <w:rFonts w:ascii="Calibri" w:hAnsi="Calibri"/>
                <w:color w:val="000000"/>
              </w:rPr>
            </w:pPr>
            <w:r w:rsidRPr="00E56DFA">
              <w:rPr>
                <w:rFonts w:ascii="Calibri" w:hAnsi="Calibri"/>
                <w:color w:val="000000"/>
              </w:rPr>
              <w:t>Total</w:t>
            </w:r>
          </w:p>
        </w:tc>
        <w:tc>
          <w:tcPr>
            <w:tcW w:w="1348" w:type="dxa"/>
            <w:gridSpan w:val="5"/>
            <w:tcBorders>
              <w:top w:val="nil"/>
              <w:left w:val="nil"/>
              <w:bottom w:val="nil"/>
              <w:right w:val="nil"/>
            </w:tcBorders>
            <w:shd w:val="clear" w:color="auto" w:fill="auto"/>
            <w:noWrap/>
            <w:vAlign w:val="bottom"/>
            <w:hideMark/>
          </w:tcPr>
          <w:p w14:paraId="5F06E790" w14:textId="77777777" w:rsidR="00A13708" w:rsidRPr="00E56DFA" w:rsidRDefault="00A13708" w:rsidP="00845009">
            <w:pPr>
              <w:jc w:val="right"/>
              <w:rPr>
                <w:rFonts w:ascii="Calibri" w:hAnsi="Calibri"/>
                <w:color w:val="000000"/>
              </w:rPr>
            </w:pPr>
            <w:r w:rsidRPr="00E56DFA">
              <w:rPr>
                <w:rFonts w:ascii="Calibri" w:hAnsi="Calibri"/>
                <w:color w:val="000000"/>
              </w:rPr>
              <w:t>300</w:t>
            </w:r>
          </w:p>
        </w:tc>
        <w:tc>
          <w:tcPr>
            <w:tcW w:w="1444" w:type="dxa"/>
            <w:gridSpan w:val="2"/>
            <w:tcBorders>
              <w:top w:val="nil"/>
              <w:left w:val="nil"/>
              <w:bottom w:val="nil"/>
              <w:right w:val="nil"/>
            </w:tcBorders>
            <w:shd w:val="clear" w:color="auto" w:fill="auto"/>
            <w:noWrap/>
            <w:vAlign w:val="bottom"/>
            <w:hideMark/>
          </w:tcPr>
          <w:p w14:paraId="26EE7879" w14:textId="77777777" w:rsidR="00A13708" w:rsidRPr="00E56DFA" w:rsidRDefault="00A13708" w:rsidP="00845009">
            <w:pPr>
              <w:jc w:val="right"/>
              <w:rPr>
                <w:rFonts w:ascii="Calibri" w:hAnsi="Calibri"/>
                <w:color w:val="000000"/>
              </w:rPr>
            </w:pPr>
            <w:r>
              <w:rPr>
                <w:rFonts w:ascii="Calibri" w:hAnsi="Calibri"/>
                <w:color w:val="000000"/>
              </w:rPr>
              <w:t>61</w:t>
            </w:r>
          </w:p>
        </w:tc>
        <w:tc>
          <w:tcPr>
            <w:tcW w:w="1349" w:type="dxa"/>
            <w:tcBorders>
              <w:top w:val="single" w:sz="4" w:space="0" w:color="auto"/>
              <w:left w:val="nil"/>
              <w:bottom w:val="nil"/>
              <w:right w:val="nil"/>
            </w:tcBorders>
            <w:vAlign w:val="bottom"/>
          </w:tcPr>
          <w:p w14:paraId="259088C9" w14:textId="77777777" w:rsidR="00A13708" w:rsidRDefault="00A13708" w:rsidP="00845009">
            <w:pPr>
              <w:jc w:val="right"/>
              <w:rPr>
                <w:rFonts w:ascii="Calibri" w:hAnsi="Calibri"/>
                <w:color w:val="000000"/>
              </w:rPr>
            </w:pPr>
            <w:r>
              <w:rPr>
                <w:rFonts w:ascii="Calibri" w:hAnsi="Calibri"/>
                <w:color w:val="000000"/>
              </w:rPr>
              <w:t>239</w:t>
            </w:r>
          </w:p>
        </w:tc>
        <w:tc>
          <w:tcPr>
            <w:tcW w:w="2520" w:type="dxa"/>
            <w:gridSpan w:val="4"/>
            <w:tcBorders>
              <w:top w:val="nil"/>
              <w:left w:val="nil"/>
              <w:bottom w:val="nil"/>
              <w:right w:val="nil"/>
            </w:tcBorders>
            <w:shd w:val="clear" w:color="auto" w:fill="auto"/>
            <w:noWrap/>
            <w:vAlign w:val="bottom"/>
            <w:hideMark/>
          </w:tcPr>
          <w:p w14:paraId="34DC3DCB" w14:textId="77777777" w:rsidR="00A13708" w:rsidRPr="00E56DFA" w:rsidRDefault="00A13708" w:rsidP="00845009">
            <w:pPr>
              <w:rPr>
                <w:rFonts w:ascii="Calibri" w:hAnsi="Calibri"/>
                <w:color w:val="000000"/>
              </w:rPr>
            </w:pPr>
            <w:r>
              <w:rPr>
                <w:rFonts w:ascii="Calibri" w:hAnsi="Calibri"/>
                <w:color w:val="000000"/>
              </w:rPr>
              <w:t xml:space="preserve">        20%</w:t>
            </w:r>
          </w:p>
        </w:tc>
      </w:tr>
    </w:tbl>
    <w:p w14:paraId="01C970C8" w14:textId="26BFA1A0" w:rsidR="00A4168A" w:rsidRDefault="00A4168A" w:rsidP="00A4168A">
      <w:pPr>
        <w:pStyle w:val="NormalWeb"/>
      </w:pPr>
      <w:r>
        <w:t xml:space="preserve">As with a diagnostic test, creating </w:t>
      </w:r>
      <w:proofErr w:type="gramStart"/>
      <w:r>
        <w:t>an</w:t>
      </w:r>
      <w:proofErr w:type="gramEnd"/>
      <w:r>
        <w:t xml:space="preserve"> ROC table for a prediction means going vertically and calculating cumulative column percentages. (</w:t>
      </w:r>
      <w:r w:rsidRPr="006D1E57">
        <w:rPr>
          <w:highlight w:val="yellow"/>
        </w:rPr>
        <w:t>Table 6.</w:t>
      </w:r>
      <w:r w:rsidR="00D60030">
        <w:t>4</w:t>
      </w:r>
      <w:proofErr w:type="gramStart"/>
      <w:r>
        <w:t>)  If</w:t>
      </w:r>
      <w:proofErr w:type="gramEnd"/>
      <w:r>
        <w:t xml:space="preserve"> a risk prediction from </w:t>
      </w:r>
      <w:proofErr w:type="spellStart"/>
      <w:r>
        <w:t>Bleakhaus</w:t>
      </w:r>
      <w:proofErr w:type="spellEnd"/>
      <w:r>
        <w:t xml:space="preserve"> of 50% or greater is considered “positive”, the sensitivity is 33/61 = 54% and 1 – specificity is 67/239 = 28%.  If the threshold is 35%, then the values are (33+17)/61 = 82% and (67 + 83)/239 = 63%.  The corresponding ROC curve (</w:t>
      </w:r>
      <w:r w:rsidRPr="005A2A5E">
        <w:rPr>
          <w:highlight w:val="yellow"/>
        </w:rPr>
        <w:t>Figure 6.5</w:t>
      </w:r>
      <w:r>
        <w:t>) has AUROC = 0.65.</w:t>
      </w:r>
    </w:p>
    <w:p w14:paraId="27F86101" w14:textId="2E77FCD5" w:rsidR="00A4168A" w:rsidRDefault="00A4168A" w:rsidP="00A4168A">
      <w:pPr>
        <w:pStyle w:val="NormalWeb"/>
      </w:pPr>
      <w:r w:rsidRPr="006D1E57">
        <w:rPr>
          <w:highlight w:val="yellow"/>
        </w:rPr>
        <w:t>Table 6.</w:t>
      </w:r>
      <w:r w:rsidR="00D60030">
        <w:t xml:space="preserve">4 </w:t>
      </w:r>
      <w:r>
        <w:t xml:space="preserve">ROC Table for </w:t>
      </w:r>
      <w:proofErr w:type="spellStart"/>
      <w:r>
        <w:t>Bleakhaus</w:t>
      </w:r>
      <w:proofErr w:type="spellEnd"/>
    </w:p>
    <w:tbl>
      <w:tblPr>
        <w:tblW w:w="6229" w:type="dxa"/>
        <w:tblInd w:w="93" w:type="dxa"/>
        <w:tblLook w:val="04A0" w:firstRow="1" w:lastRow="0" w:firstColumn="1" w:lastColumn="0" w:noHBand="0" w:noVBand="1"/>
      </w:tblPr>
      <w:tblGrid>
        <w:gridCol w:w="1420"/>
        <w:gridCol w:w="940"/>
        <w:gridCol w:w="1209"/>
        <w:gridCol w:w="628"/>
        <w:gridCol w:w="2032"/>
      </w:tblGrid>
      <w:tr w:rsidR="00A4168A" w:rsidRPr="00474AE1" w14:paraId="1B6BC129" w14:textId="77777777" w:rsidTr="00845009">
        <w:trPr>
          <w:trHeight w:val="320"/>
        </w:trPr>
        <w:tc>
          <w:tcPr>
            <w:tcW w:w="1420" w:type="dxa"/>
            <w:tcBorders>
              <w:top w:val="nil"/>
              <w:left w:val="nil"/>
              <w:bottom w:val="nil"/>
              <w:right w:val="nil"/>
            </w:tcBorders>
            <w:shd w:val="clear" w:color="auto" w:fill="auto"/>
            <w:noWrap/>
            <w:vAlign w:val="bottom"/>
            <w:hideMark/>
          </w:tcPr>
          <w:p w14:paraId="7EAE3BFD" w14:textId="77777777" w:rsidR="00A4168A" w:rsidRPr="00474AE1" w:rsidRDefault="00A4168A" w:rsidP="00845009">
            <w:pPr>
              <w:rPr>
                <w:rFonts w:ascii="Calibri" w:hAnsi="Calibri"/>
                <w:color w:val="000000"/>
              </w:rPr>
            </w:pPr>
          </w:p>
        </w:tc>
        <w:tc>
          <w:tcPr>
            <w:tcW w:w="21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054A7" w14:textId="77777777" w:rsidR="00A4168A" w:rsidRPr="00474AE1" w:rsidRDefault="00A4168A" w:rsidP="00845009">
            <w:pPr>
              <w:jc w:val="center"/>
              <w:rPr>
                <w:rFonts w:ascii="Calibri" w:hAnsi="Calibri"/>
                <w:color w:val="000000"/>
              </w:rPr>
            </w:pPr>
            <w:r w:rsidRPr="00474AE1">
              <w:rPr>
                <w:rFonts w:ascii="Calibri" w:hAnsi="Calibri"/>
                <w:color w:val="000000"/>
              </w:rPr>
              <w:t>Outcome Positive</w:t>
            </w:r>
          </w:p>
        </w:tc>
        <w:tc>
          <w:tcPr>
            <w:tcW w:w="26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FC76F1" w14:textId="77777777" w:rsidR="00A4168A" w:rsidRPr="00474AE1" w:rsidRDefault="00A4168A" w:rsidP="00845009">
            <w:pPr>
              <w:jc w:val="center"/>
              <w:rPr>
                <w:rFonts w:ascii="Calibri" w:hAnsi="Calibri"/>
                <w:color w:val="000000"/>
              </w:rPr>
            </w:pPr>
            <w:r w:rsidRPr="00474AE1">
              <w:rPr>
                <w:rFonts w:ascii="Calibri" w:hAnsi="Calibri"/>
                <w:color w:val="000000"/>
              </w:rPr>
              <w:t>Outcome Negative</w:t>
            </w:r>
          </w:p>
        </w:tc>
      </w:tr>
      <w:tr w:rsidR="00A4168A" w:rsidRPr="00474AE1" w14:paraId="33CD754F" w14:textId="77777777" w:rsidTr="00845009">
        <w:trPr>
          <w:trHeight w:val="600"/>
        </w:trPr>
        <w:tc>
          <w:tcPr>
            <w:tcW w:w="1420" w:type="dxa"/>
            <w:tcBorders>
              <w:top w:val="nil"/>
              <w:left w:val="nil"/>
              <w:bottom w:val="nil"/>
              <w:right w:val="nil"/>
            </w:tcBorders>
            <w:shd w:val="clear" w:color="auto" w:fill="auto"/>
            <w:vAlign w:val="bottom"/>
            <w:hideMark/>
          </w:tcPr>
          <w:p w14:paraId="0FDE11EC" w14:textId="77777777" w:rsidR="00A4168A" w:rsidRPr="00474AE1" w:rsidRDefault="00A4168A" w:rsidP="00845009">
            <w:pPr>
              <w:jc w:val="center"/>
              <w:rPr>
                <w:rFonts w:ascii="Calibri" w:hAnsi="Calibri"/>
                <w:color w:val="000000"/>
              </w:rPr>
            </w:pPr>
            <w:proofErr w:type="spellStart"/>
            <w:r>
              <w:rPr>
                <w:rFonts w:ascii="Calibri" w:hAnsi="Calibri"/>
                <w:color w:val="000000"/>
              </w:rPr>
              <w:t>Bleakhaus</w:t>
            </w:r>
            <w:r w:rsidRPr="00474AE1">
              <w:rPr>
                <w:rFonts w:ascii="Calibri" w:hAnsi="Calibri"/>
                <w:color w:val="000000"/>
              </w:rPr>
              <w:t>'s</w:t>
            </w:r>
            <w:proofErr w:type="spellEnd"/>
            <w:r w:rsidRPr="00474AE1">
              <w:rPr>
                <w:rFonts w:ascii="Calibri" w:hAnsi="Calibri"/>
                <w:color w:val="000000"/>
              </w:rPr>
              <w:t xml:space="preserve"> Prediction</w:t>
            </w:r>
          </w:p>
        </w:tc>
        <w:tc>
          <w:tcPr>
            <w:tcW w:w="940" w:type="dxa"/>
            <w:tcBorders>
              <w:top w:val="nil"/>
              <w:left w:val="single" w:sz="4" w:space="0" w:color="auto"/>
              <w:bottom w:val="single" w:sz="4" w:space="0" w:color="auto"/>
              <w:right w:val="single" w:sz="4" w:space="0" w:color="auto"/>
            </w:tcBorders>
            <w:shd w:val="clear" w:color="auto" w:fill="auto"/>
            <w:vAlign w:val="bottom"/>
            <w:hideMark/>
          </w:tcPr>
          <w:p w14:paraId="55623DE9" w14:textId="77777777" w:rsidR="00A4168A" w:rsidRPr="00474AE1" w:rsidRDefault="00A4168A" w:rsidP="00845009">
            <w:pPr>
              <w:jc w:val="center"/>
              <w:rPr>
                <w:rFonts w:ascii="Calibri" w:hAnsi="Calibri"/>
                <w:color w:val="000000"/>
              </w:rPr>
            </w:pPr>
            <w:r w:rsidRPr="00474AE1">
              <w:rPr>
                <w:rFonts w:ascii="Calibri" w:hAnsi="Calibri"/>
                <w:color w:val="000000"/>
              </w:rPr>
              <w:t>N</w:t>
            </w:r>
          </w:p>
        </w:tc>
        <w:tc>
          <w:tcPr>
            <w:tcW w:w="1209" w:type="dxa"/>
            <w:tcBorders>
              <w:top w:val="nil"/>
              <w:left w:val="nil"/>
              <w:bottom w:val="single" w:sz="4" w:space="0" w:color="auto"/>
              <w:right w:val="single" w:sz="4" w:space="0" w:color="auto"/>
            </w:tcBorders>
            <w:shd w:val="clear" w:color="auto" w:fill="auto"/>
            <w:noWrap/>
            <w:vAlign w:val="bottom"/>
            <w:hideMark/>
          </w:tcPr>
          <w:p w14:paraId="34EDEFCF" w14:textId="77777777" w:rsidR="00A4168A" w:rsidRPr="00474AE1" w:rsidRDefault="00A4168A" w:rsidP="00845009">
            <w:pPr>
              <w:jc w:val="center"/>
              <w:rPr>
                <w:rFonts w:ascii="Calibri" w:hAnsi="Calibri"/>
                <w:color w:val="000000"/>
              </w:rPr>
            </w:pPr>
            <w:r w:rsidRPr="00474AE1">
              <w:rPr>
                <w:rFonts w:ascii="Calibri" w:hAnsi="Calibri"/>
                <w:color w:val="000000"/>
              </w:rPr>
              <w:t>Sensitivity</w:t>
            </w:r>
          </w:p>
        </w:tc>
        <w:tc>
          <w:tcPr>
            <w:tcW w:w="628" w:type="dxa"/>
            <w:tcBorders>
              <w:top w:val="nil"/>
              <w:left w:val="nil"/>
              <w:bottom w:val="single" w:sz="4" w:space="0" w:color="auto"/>
              <w:right w:val="single" w:sz="4" w:space="0" w:color="auto"/>
            </w:tcBorders>
            <w:shd w:val="clear" w:color="auto" w:fill="auto"/>
            <w:noWrap/>
            <w:vAlign w:val="bottom"/>
            <w:hideMark/>
          </w:tcPr>
          <w:p w14:paraId="27159BB6" w14:textId="77777777" w:rsidR="00A4168A" w:rsidRPr="00474AE1" w:rsidRDefault="00A4168A" w:rsidP="00845009">
            <w:pPr>
              <w:jc w:val="center"/>
              <w:rPr>
                <w:rFonts w:ascii="Calibri" w:hAnsi="Calibri"/>
                <w:color w:val="000000"/>
              </w:rPr>
            </w:pPr>
            <w:r w:rsidRPr="00474AE1">
              <w:rPr>
                <w:rFonts w:ascii="Calibri" w:hAnsi="Calibri"/>
                <w:color w:val="000000"/>
              </w:rPr>
              <w:t>N</w:t>
            </w:r>
          </w:p>
        </w:tc>
        <w:tc>
          <w:tcPr>
            <w:tcW w:w="2032" w:type="dxa"/>
            <w:tcBorders>
              <w:top w:val="nil"/>
              <w:left w:val="nil"/>
              <w:bottom w:val="single" w:sz="4" w:space="0" w:color="auto"/>
              <w:right w:val="single" w:sz="4" w:space="0" w:color="auto"/>
            </w:tcBorders>
            <w:shd w:val="clear" w:color="auto" w:fill="auto"/>
            <w:vAlign w:val="bottom"/>
            <w:hideMark/>
          </w:tcPr>
          <w:p w14:paraId="030361D9" w14:textId="77777777" w:rsidR="00A4168A" w:rsidRPr="00474AE1" w:rsidRDefault="00A4168A" w:rsidP="00845009">
            <w:pPr>
              <w:jc w:val="center"/>
              <w:rPr>
                <w:rFonts w:ascii="Calibri" w:hAnsi="Calibri"/>
                <w:color w:val="000000"/>
              </w:rPr>
            </w:pPr>
            <w:r w:rsidRPr="00474AE1">
              <w:rPr>
                <w:rFonts w:ascii="Calibri" w:hAnsi="Calibri"/>
                <w:color w:val="000000"/>
              </w:rPr>
              <w:t>1- Specificity</w:t>
            </w:r>
          </w:p>
        </w:tc>
      </w:tr>
      <w:tr w:rsidR="00A4168A" w:rsidRPr="00474AE1" w14:paraId="0320F33F" w14:textId="77777777" w:rsidTr="00845009">
        <w:trPr>
          <w:trHeight w:val="300"/>
        </w:trPr>
        <w:tc>
          <w:tcPr>
            <w:tcW w:w="1420" w:type="dxa"/>
            <w:tcBorders>
              <w:top w:val="nil"/>
              <w:left w:val="nil"/>
              <w:bottom w:val="nil"/>
              <w:right w:val="nil"/>
            </w:tcBorders>
            <w:shd w:val="clear" w:color="auto" w:fill="auto"/>
            <w:noWrap/>
            <w:vAlign w:val="bottom"/>
            <w:hideMark/>
          </w:tcPr>
          <w:p w14:paraId="6C1A295F" w14:textId="77777777" w:rsidR="00A4168A" w:rsidRPr="00474AE1" w:rsidRDefault="00A4168A" w:rsidP="00845009">
            <w:pPr>
              <w:jc w:val="center"/>
              <w:rPr>
                <w:rFonts w:ascii="Calibri" w:hAnsi="Calibri"/>
                <w:color w:val="000000"/>
              </w:rPr>
            </w:pPr>
            <w:r w:rsidRPr="00474AE1">
              <w:rPr>
                <w:rFonts w:ascii="Calibri" w:hAnsi="Calibri"/>
                <w:color w:val="000000"/>
              </w:rPr>
              <w:t>50%+</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2B211E8" w14:textId="77777777" w:rsidR="00A4168A" w:rsidRPr="00474AE1" w:rsidRDefault="00A4168A" w:rsidP="00845009">
            <w:pPr>
              <w:jc w:val="right"/>
              <w:rPr>
                <w:rFonts w:ascii="Calibri" w:hAnsi="Calibri"/>
                <w:color w:val="000000"/>
              </w:rPr>
            </w:pPr>
            <w:r w:rsidRPr="00474AE1">
              <w:rPr>
                <w:rFonts w:ascii="Calibri" w:hAnsi="Calibri"/>
                <w:color w:val="000000"/>
              </w:rPr>
              <w:t>33</w:t>
            </w:r>
          </w:p>
        </w:tc>
        <w:tc>
          <w:tcPr>
            <w:tcW w:w="1209" w:type="dxa"/>
            <w:tcBorders>
              <w:top w:val="nil"/>
              <w:left w:val="nil"/>
              <w:bottom w:val="single" w:sz="4" w:space="0" w:color="auto"/>
              <w:right w:val="single" w:sz="4" w:space="0" w:color="auto"/>
            </w:tcBorders>
            <w:shd w:val="clear" w:color="auto" w:fill="auto"/>
            <w:noWrap/>
            <w:vAlign w:val="bottom"/>
            <w:hideMark/>
          </w:tcPr>
          <w:p w14:paraId="4465B671" w14:textId="77777777" w:rsidR="00A4168A" w:rsidRPr="00474AE1" w:rsidRDefault="00A4168A" w:rsidP="00845009">
            <w:pPr>
              <w:jc w:val="right"/>
              <w:rPr>
                <w:rFonts w:ascii="Calibri" w:hAnsi="Calibri"/>
                <w:color w:val="000000"/>
              </w:rPr>
            </w:pPr>
            <w:r w:rsidRPr="00474AE1">
              <w:rPr>
                <w:rFonts w:ascii="Calibri" w:hAnsi="Calibri"/>
                <w:color w:val="000000"/>
              </w:rPr>
              <w:t>54%</w:t>
            </w:r>
          </w:p>
        </w:tc>
        <w:tc>
          <w:tcPr>
            <w:tcW w:w="628" w:type="dxa"/>
            <w:tcBorders>
              <w:top w:val="nil"/>
              <w:left w:val="nil"/>
              <w:bottom w:val="single" w:sz="4" w:space="0" w:color="auto"/>
              <w:right w:val="single" w:sz="4" w:space="0" w:color="auto"/>
            </w:tcBorders>
            <w:shd w:val="clear" w:color="auto" w:fill="auto"/>
            <w:noWrap/>
            <w:vAlign w:val="bottom"/>
            <w:hideMark/>
          </w:tcPr>
          <w:p w14:paraId="0D14D9A2" w14:textId="77777777" w:rsidR="00A4168A" w:rsidRPr="00474AE1" w:rsidRDefault="00A4168A" w:rsidP="00845009">
            <w:pPr>
              <w:jc w:val="right"/>
              <w:rPr>
                <w:rFonts w:ascii="Calibri" w:hAnsi="Calibri"/>
                <w:color w:val="000000"/>
              </w:rPr>
            </w:pPr>
            <w:r w:rsidRPr="00474AE1">
              <w:rPr>
                <w:rFonts w:ascii="Calibri" w:hAnsi="Calibri"/>
                <w:color w:val="000000"/>
              </w:rPr>
              <w:t>67</w:t>
            </w:r>
          </w:p>
        </w:tc>
        <w:tc>
          <w:tcPr>
            <w:tcW w:w="2032" w:type="dxa"/>
            <w:tcBorders>
              <w:top w:val="nil"/>
              <w:left w:val="nil"/>
              <w:bottom w:val="single" w:sz="4" w:space="0" w:color="auto"/>
              <w:right w:val="single" w:sz="4" w:space="0" w:color="auto"/>
            </w:tcBorders>
            <w:shd w:val="clear" w:color="auto" w:fill="auto"/>
            <w:noWrap/>
            <w:vAlign w:val="bottom"/>
            <w:hideMark/>
          </w:tcPr>
          <w:p w14:paraId="73EDC163" w14:textId="77777777" w:rsidR="00A4168A" w:rsidRPr="00474AE1" w:rsidRDefault="00A4168A" w:rsidP="00845009">
            <w:pPr>
              <w:jc w:val="right"/>
              <w:rPr>
                <w:rFonts w:ascii="Calibri" w:hAnsi="Calibri"/>
                <w:color w:val="000000"/>
              </w:rPr>
            </w:pPr>
            <w:r w:rsidRPr="00474AE1">
              <w:rPr>
                <w:rFonts w:ascii="Calibri" w:hAnsi="Calibri"/>
                <w:color w:val="000000"/>
              </w:rPr>
              <w:t>28%</w:t>
            </w:r>
          </w:p>
        </w:tc>
      </w:tr>
      <w:tr w:rsidR="00A4168A" w:rsidRPr="00474AE1" w14:paraId="488DA600" w14:textId="77777777" w:rsidTr="00845009">
        <w:trPr>
          <w:trHeight w:val="300"/>
        </w:trPr>
        <w:tc>
          <w:tcPr>
            <w:tcW w:w="1420" w:type="dxa"/>
            <w:tcBorders>
              <w:top w:val="nil"/>
              <w:left w:val="nil"/>
              <w:bottom w:val="nil"/>
              <w:right w:val="nil"/>
            </w:tcBorders>
            <w:shd w:val="clear" w:color="auto" w:fill="auto"/>
            <w:noWrap/>
            <w:vAlign w:val="bottom"/>
            <w:hideMark/>
          </w:tcPr>
          <w:p w14:paraId="22206A2A" w14:textId="77777777" w:rsidR="00A4168A" w:rsidRPr="00474AE1" w:rsidRDefault="00A4168A" w:rsidP="00845009">
            <w:pPr>
              <w:jc w:val="center"/>
              <w:rPr>
                <w:rFonts w:ascii="Calibri" w:hAnsi="Calibri"/>
                <w:color w:val="000000"/>
              </w:rPr>
            </w:pPr>
            <w:r w:rsidRPr="00474AE1">
              <w:rPr>
                <w:rFonts w:ascii="Calibri" w:hAnsi="Calibri"/>
                <w:color w:val="000000"/>
              </w:rPr>
              <w:t>35%+</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095A287" w14:textId="77777777" w:rsidR="00A4168A" w:rsidRPr="00474AE1" w:rsidRDefault="00A4168A" w:rsidP="00845009">
            <w:pPr>
              <w:jc w:val="right"/>
              <w:rPr>
                <w:rFonts w:ascii="Calibri" w:hAnsi="Calibri"/>
                <w:color w:val="000000"/>
              </w:rPr>
            </w:pPr>
            <w:r>
              <w:rPr>
                <w:rFonts w:ascii="Calibri" w:hAnsi="Calibri"/>
                <w:color w:val="000000"/>
              </w:rPr>
              <w:t>50</w:t>
            </w:r>
          </w:p>
        </w:tc>
        <w:tc>
          <w:tcPr>
            <w:tcW w:w="1209" w:type="dxa"/>
            <w:tcBorders>
              <w:top w:val="nil"/>
              <w:left w:val="nil"/>
              <w:bottom w:val="single" w:sz="4" w:space="0" w:color="auto"/>
              <w:right w:val="single" w:sz="4" w:space="0" w:color="auto"/>
            </w:tcBorders>
            <w:shd w:val="clear" w:color="auto" w:fill="auto"/>
            <w:noWrap/>
            <w:vAlign w:val="bottom"/>
            <w:hideMark/>
          </w:tcPr>
          <w:p w14:paraId="1788FAA6" w14:textId="77777777" w:rsidR="00A4168A" w:rsidRPr="00474AE1" w:rsidRDefault="00A4168A" w:rsidP="00845009">
            <w:pPr>
              <w:jc w:val="right"/>
              <w:rPr>
                <w:rFonts w:ascii="Calibri" w:hAnsi="Calibri"/>
                <w:color w:val="000000"/>
              </w:rPr>
            </w:pPr>
            <w:r w:rsidRPr="00474AE1">
              <w:rPr>
                <w:rFonts w:ascii="Calibri" w:hAnsi="Calibri"/>
                <w:color w:val="000000"/>
              </w:rPr>
              <w:t>82%</w:t>
            </w:r>
          </w:p>
        </w:tc>
        <w:tc>
          <w:tcPr>
            <w:tcW w:w="628" w:type="dxa"/>
            <w:tcBorders>
              <w:top w:val="nil"/>
              <w:left w:val="nil"/>
              <w:bottom w:val="single" w:sz="4" w:space="0" w:color="auto"/>
              <w:right w:val="single" w:sz="4" w:space="0" w:color="auto"/>
            </w:tcBorders>
            <w:shd w:val="clear" w:color="auto" w:fill="auto"/>
            <w:noWrap/>
            <w:vAlign w:val="bottom"/>
            <w:hideMark/>
          </w:tcPr>
          <w:p w14:paraId="7D047177" w14:textId="77777777" w:rsidR="00A4168A" w:rsidRPr="00474AE1" w:rsidRDefault="00A4168A" w:rsidP="00845009">
            <w:pPr>
              <w:jc w:val="right"/>
              <w:rPr>
                <w:rFonts w:ascii="Calibri" w:hAnsi="Calibri"/>
                <w:color w:val="000000"/>
              </w:rPr>
            </w:pPr>
            <w:r>
              <w:rPr>
                <w:rFonts w:ascii="Calibri" w:hAnsi="Calibri"/>
                <w:color w:val="000000"/>
              </w:rPr>
              <w:t>150</w:t>
            </w:r>
          </w:p>
        </w:tc>
        <w:tc>
          <w:tcPr>
            <w:tcW w:w="2032" w:type="dxa"/>
            <w:tcBorders>
              <w:top w:val="nil"/>
              <w:left w:val="nil"/>
              <w:bottom w:val="single" w:sz="4" w:space="0" w:color="auto"/>
              <w:right w:val="single" w:sz="4" w:space="0" w:color="auto"/>
            </w:tcBorders>
            <w:shd w:val="clear" w:color="auto" w:fill="auto"/>
            <w:noWrap/>
            <w:vAlign w:val="bottom"/>
            <w:hideMark/>
          </w:tcPr>
          <w:p w14:paraId="2E81E728" w14:textId="77777777" w:rsidR="00A4168A" w:rsidRPr="00474AE1" w:rsidRDefault="00A4168A" w:rsidP="00845009">
            <w:pPr>
              <w:jc w:val="right"/>
              <w:rPr>
                <w:rFonts w:ascii="Calibri" w:hAnsi="Calibri"/>
                <w:color w:val="000000"/>
              </w:rPr>
            </w:pPr>
            <w:r w:rsidRPr="00474AE1">
              <w:rPr>
                <w:rFonts w:ascii="Calibri" w:hAnsi="Calibri"/>
                <w:color w:val="000000"/>
              </w:rPr>
              <w:t>63%</w:t>
            </w:r>
          </w:p>
        </w:tc>
      </w:tr>
      <w:tr w:rsidR="00A4168A" w:rsidRPr="00474AE1" w14:paraId="3049602E" w14:textId="77777777" w:rsidTr="00845009">
        <w:trPr>
          <w:trHeight w:val="300"/>
        </w:trPr>
        <w:tc>
          <w:tcPr>
            <w:tcW w:w="1420" w:type="dxa"/>
            <w:tcBorders>
              <w:top w:val="nil"/>
              <w:left w:val="nil"/>
              <w:bottom w:val="nil"/>
              <w:right w:val="nil"/>
            </w:tcBorders>
            <w:shd w:val="clear" w:color="auto" w:fill="auto"/>
            <w:noWrap/>
            <w:vAlign w:val="bottom"/>
            <w:hideMark/>
          </w:tcPr>
          <w:p w14:paraId="7D2617E0" w14:textId="77777777" w:rsidR="00A4168A" w:rsidRPr="00474AE1" w:rsidRDefault="00A4168A" w:rsidP="00845009">
            <w:pPr>
              <w:jc w:val="center"/>
              <w:rPr>
                <w:rFonts w:ascii="Calibri" w:hAnsi="Calibri"/>
                <w:color w:val="000000"/>
              </w:rPr>
            </w:pPr>
            <w:r w:rsidRPr="00474AE1">
              <w:rPr>
                <w:rFonts w:ascii="Calibri" w:hAnsi="Calibri"/>
                <w:color w:val="000000"/>
              </w:rPr>
              <w:lastRenderedPageBreak/>
              <w:t>20%+</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96EF053" w14:textId="77777777" w:rsidR="00A4168A" w:rsidRPr="00474AE1" w:rsidRDefault="00A4168A" w:rsidP="00845009">
            <w:pPr>
              <w:jc w:val="right"/>
              <w:rPr>
                <w:rFonts w:ascii="Calibri" w:hAnsi="Calibri"/>
                <w:color w:val="000000"/>
              </w:rPr>
            </w:pPr>
            <w:r>
              <w:rPr>
                <w:rFonts w:ascii="Calibri" w:hAnsi="Calibri"/>
                <w:color w:val="000000"/>
              </w:rPr>
              <w:t>61</w:t>
            </w:r>
          </w:p>
        </w:tc>
        <w:tc>
          <w:tcPr>
            <w:tcW w:w="1209" w:type="dxa"/>
            <w:tcBorders>
              <w:top w:val="nil"/>
              <w:left w:val="nil"/>
              <w:bottom w:val="single" w:sz="4" w:space="0" w:color="auto"/>
              <w:right w:val="single" w:sz="4" w:space="0" w:color="auto"/>
            </w:tcBorders>
            <w:shd w:val="clear" w:color="auto" w:fill="auto"/>
            <w:noWrap/>
            <w:vAlign w:val="bottom"/>
            <w:hideMark/>
          </w:tcPr>
          <w:p w14:paraId="7006750B" w14:textId="77777777" w:rsidR="00A4168A" w:rsidRPr="00474AE1" w:rsidRDefault="00A4168A" w:rsidP="00845009">
            <w:pPr>
              <w:jc w:val="right"/>
              <w:rPr>
                <w:rFonts w:ascii="Calibri" w:hAnsi="Calibri"/>
                <w:color w:val="000000"/>
              </w:rPr>
            </w:pPr>
            <w:r w:rsidRPr="00474AE1">
              <w:rPr>
                <w:rFonts w:ascii="Calibri" w:hAnsi="Calibri"/>
                <w:color w:val="000000"/>
              </w:rPr>
              <w:t>100%</w:t>
            </w:r>
          </w:p>
        </w:tc>
        <w:tc>
          <w:tcPr>
            <w:tcW w:w="628" w:type="dxa"/>
            <w:tcBorders>
              <w:top w:val="nil"/>
              <w:left w:val="nil"/>
              <w:bottom w:val="single" w:sz="4" w:space="0" w:color="auto"/>
              <w:right w:val="single" w:sz="4" w:space="0" w:color="auto"/>
            </w:tcBorders>
            <w:shd w:val="clear" w:color="auto" w:fill="auto"/>
            <w:noWrap/>
            <w:vAlign w:val="bottom"/>
            <w:hideMark/>
          </w:tcPr>
          <w:p w14:paraId="42C51F7B" w14:textId="77777777" w:rsidR="00A4168A" w:rsidRPr="00474AE1" w:rsidRDefault="00A4168A" w:rsidP="00845009">
            <w:pPr>
              <w:jc w:val="right"/>
              <w:rPr>
                <w:rFonts w:ascii="Calibri" w:hAnsi="Calibri"/>
                <w:color w:val="000000"/>
              </w:rPr>
            </w:pPr>
            <w:r>
              <w:rPr>
                <w:rFonts w:ascii="Calibri" w:hAnsi="Calibri"/>
                <w:color w:val="000000"/>
              </w:rPr>
              <w:t>239</w:t>
            </w:r>
          </w:p>
        </w:tc>
        <w:tc>
          <w:tcPr>
            <w:tcW w:w="2032" w:type="dxa"/>
            <w:tcBorders>
              <w:top w:val="nil"/>
              <w:left w:val="nil"/>
              <w:bottom w:val="single" w:sz="4" w:space="0" w:color="auto"/>
              <w:right w:val="single" w:sz="4" w:space="0" w:color="auto"/>
            </w:tcBorders>
            <w:shd w:val="clear" w:color="auto" w:fill="auto"/>
            <w:noWrap/>
            <w:vAlign w:val="bottom"/>
            <w:hideMark/>
          </w:tcPr>
          <w:p w14:paraId="1F558E86" w14:textId="77777777" w:rsidR="00A4168A" w:rsidRPr="00474AE1" w:rsidRDefault="00A4168A" w:rsidP="00845009">
            <w:pPr>
              <w:jc w:val="right"/>
              <w:rPr>
                <w:rFonts w:ascii="Calibri" w:hAnsi="Calibri"/>
                <w:color w:val="000000"/>
              </w:rPr>
            </w:pPr>
            <w:r w:rsidRPr="00474AE1">
              <w:rPr>
                <w:rFonts w:ascii="Calibri" w:hAnsi="Calibri"/>
                <w:color w:val="000000"/>
              </w:rPr>
              <w:t>100%</w:t>
            </w:r>
          </w:p>
        </w:tc>
      </w:tr>
      <w:tr w:rsidR="00A4168A" w:rsidRPr="00474AE1" w14:paraId="457BBE10" w14:textId="77777777" w:rsidTr="00845009">
        <w:trPr>
          <w:trHeight w:val="460"/>
        </w:trPr>
        <w:tc>
          <w:tcPr>
            <w:tcW w:w="1420" w:type="dxa"/>
            <w:tcBorders>
              <w:top w:val="nil"/>
              <w:left w:val="nil"/>
              <w:bottom w:val="nil"/>
              <w:right w:val="nil"/>
            </w:tcBorders>
            <w:shd w:val="clear" w:color="auto" w:fill="auto"/>
            <w:noWrap/>
            <w:vAlign w:val="bottom"/>
          </w:tcPr>
          <w:p w14:paraId="09FB92B7" w14:textId="77777777" w:rsidR="00A4168A" w:rsidRPr="00474AE1" w:rsidRDefault="00A4168A" w:rsidP="00845009">
            <w:pPr>
              <w:jc w:val="right"/>
              <w:rPr>
                <w:rFonts w:ascii="Calibri" w:hAnsi="Calibri"/>
                <w:color w:val="000000"/>
              </w:rPr>
            </w:pPr>
          </w:p>
        </w:tc>
        <w:tc>
          <w:tcPr>
            <w:tcW w:w="940" w:type="dxa"/>
            <w:tcBorders>
              <w:top w:val="nil"/>
              <w:left w:val="nil"/>
              <w:bottom w:val="nil"/>
              <w:right w:val="nil"/>
            </w:tcBorders>
            <w:shd w:val="clear" w:color="auto" w:fill="auto"/>
            <w:noWrap/>
            <w:vAlign w:val="bottom"/>
          </w:tcPr>
          <w:p w14:paraId="13382D55" w14:textId="77777777" w:rsidR="00A4168A" w:rsidRPr="00474AE1" w:rsidRDefault="00A4168A" w:rsidP="00845009">
            <w:pPr>
              <w:jc w:val="right"/>
              <w:rPr>
                <w:rFonts w:ascii="Calibri" w:hAnsi="Calibri"/>
                <w:color w:val="000000"/>
              </w:rPr>
            </w:pPr>
          </w:p>
        </w:tc>
        <w:tc>
          <w:tcPr>
            <w:tcW w:w="1209" w:type="dxa"/>
            <w:tcBorders>
              <w:top w:val="nil"/>
              <w:left w:val="nil"/>
              <w:bottom w:val="nil"/>
              <w:right w:val="nil"/>
            </w:tcBorders>
            <w:shd w:val="clear" w:color="auto" w:fill="auto"/>
            <w:noWrap/>
            <w:vAlign w:val="bottom"/>
          </w:tcPr>
          <w:p w14:paraId="6D2FC7DB" w14:textId="77777777" w:rsidR="00A4168A" w:rsidRPr="00474AE1" w:rsidRDefault="00A4168A" w:rsidP="00845009">
            <w:pPr>
              <w:rPr>
                <w:rFonts w:ascii="Calibri" w:hAnsi="Calibri"/>
                <w:color w:val="000000"/>
              </w:rPr>
            </w:pPr>
          </w:p>
        </w:tc>
        <w:tc>
          <w:tcPr>
            <w:tcW w:w="628" w:type="dxa"/>
            <w:tcBorders>
              <w:top w:val="nil"/>
              <w:left w:val="nil"/>
              <w:bottom w:val="nil"/>
              <w:right w:val="nil"/>
            </w:tcBorders>
            <w:shd w:val="clear" w:color="auto" w:fill="auto"/>
            <w:noWrap/>
            <w:vAlign w:val="bottom"/>
          </w:tcPr>
          <w:p w14:paraId="5D12FC51" w14:textId="77777777" w:rsidR="00A4168A" w:rsidRPr="00474AE1" w:rsidRDefault="00A4168A" w:rsidP="00845009">
            <w:pPr>
              <w:jc w:val="right"/>
              <w:rPr>
                <w:rFonts w:ascii="Calibri" w:hAnsi="Calibri"/>
                <w:color w:val="000000"/>
              </w:rPr>
            </w:pPr>
          </w:p>
        </w:tc>
        <w:tc>
          <w:tcPr>
            <w:tcW w:w="2032" w:type="dxa"/>
            <w:tcBorders>
              <w:top w:val="nil"/>
              <w:left w:val="nil"/>
              <w:bottom w:val="nil"/>
              <w:right w:val="nil"/>
            </w:tcBorders>
            <w:shd w:val="clear" w:color="auto" w:fill="auto"/>
            <w:noWrap/>
            <w:vAlign w:val="bottom"/>
          </w:tcPr>
          <w:p w14:paraId="3C668EA9" w14:textId="77777777" w:rsidR="00A4168A" w:rsidRPr="00474AE1" w:rsidRDefault="00A4168A" w:rsidP="00845009">
            <w:pPr>
              <w:rPr>
                <w:rFonts w:ascii="Calibri" w:hAnsi="Calibri"/>
                <w:color w:val="000000"/>
              </w:rPr>
            </w:pPr>
          </w:p>
        </w:tc>
      </w:tr>
    </w:tbl>
    <w:p w14:paraId="37374F65" w14:textId="77777777" w:rsidR="00A4168A" w:rsidRDefault="00A4168A" w:rsidP="00A4168A">
      <w:pPr>
        <w:pStyle w:val="NormalWeb"/>
      </w:pPr>
      <w:r>
        <w:rPr>
          <w:noProof/>
        </w:rPr>
        <w:drawing>
          <wp:inline distT="0" distB="0" distL="0" distR="0" wp14:anchorId="453073E2" wp14:editId="6EDA8216">
            <wp:extent cx="4572000" cy="4002405"/>
            <wp:effectExtent l="0" t="0" r="12700" b="10795"/>
            <wp:docPr id="14" name="Pictur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FED9887" w14:textId="77777777" w:rsidR="00A4168A" w:rsidRDefault="00A4168A" w:rsidP="00A4168A">
      <w:pPr>
        <w:pStyle w:val="NormalWeb"/>
      </w:pPr>
      <w:r w:rsidRPr="008A46F6">
        <w:rPr>
          <w:highlight w:val="yellow"/>
        </w:rPr>
        <w:t>Figure 6.5</w:t>
      </w:r>
      <w:r>
        <w:t xml:space="preserve"> ROC Curve for </w:t>
      </w:r>
      <w:proofErr w:type="spellStart"/>
      <w:r>
        <w:t>Bleakhaus</w:t>
      </w:r>
      <w:proofErr w:type="spellEnd"/>
      <w:r>
        <w:t xml:space="preserve"> (or </w:t>
      </w:r>
      <w:proofErr w:type="spellStart"/>
      <w:r>
        <w:t>PolyANA</w:t>
      </w:r>
      <w:proofErr w:type="spellEnd"/>
      <w:r>
        <w:t>).  AUROC = 0.65.</w:t>
      </w:r>
    </w:p>
    <w:p w14:paraId="39014DC8" w14:textId="2373D211" w:rsidR="00A4168A" w:rsidRDefault="00A4168A" w:rsidP="00A4168A">
      <w:pPr>
        <w:pStyle w:val="NormalWeb"/>
      </w:pPr>
      <w:r>
        <w:t xml:space="preserve">Since </w:t>
      </w:r>
      <w:proofErr w:type="spellStart"/>
      <w:r>
        <w:t>PolyANA</w:t>
      </w:r>
      <w:proofErr w:type="spellEnd"/>
      <w:r>
        <w:t xml:space="preserve"> divided the population into exactly the same risk groups and ranked them the same way, we do not need to re-calculate </w:t>
      </w:r>
      <w:r w:rsidRPr="007B4083">
        <w:rPr>
          <w:highlight w:val="yellow"/>
        </w:rPr>
        <w:t>Table 6.</w:t>
      </w:r>
      <w:r w:rsidR="00D60030">
        <w:t xml:space="preserve">4 </w:t>
      </w:r>
      <w:r>
        <w:t xml:space="preserve">for </w:t>
      </w:r>
      <w:proofErr w:type="spellStart"/>
      <w:r>
        <w:t>PolyANA</w:t>
      </w:r>
      <w:proofErr w:type="spellEnd"/>
      <w:r>
        <w:t xml:space="preserve">; all we need to do is change the row labels to </w:t>
      </w:r>
      <w:proofErr w:type="spellStart"/>
      <w:r>
        <w:t>PolyANA’s</w:t>
      </w:r>
      <w:proofErr w:type="spellEnd"/>
      <w:r>
        <w:t xml:space="preserve"> risk predictions, substituting 25%, 10%, and 5% for 50%, 35%, and 20%.  The ROC curve and AUROC are the same.  Again, the ROC curve reflects only the risk </w:t>
      </w:r>
      <w:r w:rsidRPr="00413191">
        <w:rPr>
          <w:i/>
        </w:rPr>
        <w:t>rankings</w:t>
      </w:r>
      <w:r>
        <w:t xml:space="preserve">, not the calibration of the risk estimates.  Trying to create an ROC curve for </w:t>
      </w:r>
      <w:proofErr w:type="spellStart"/>
      <w:r>
        <w:t>AgnoSIA</w:t>
      </w:r>
      <w:proofErr w:type="spellEnd"/>
      <w:r>
        <w:t xml:space="preserve"> is pointless since it assigned the same risk to all members of the population; the only possible points are sensitivity = 0%, 1 – specificity = 0% and sensitivity = 100</w:t>
      </w:r>
      <w:proofErr w:type="gramStart"/>
      <w:r>
        <w:t>%,  1</w:t>
      </w:r>
      <w:proofErr w:type="gramEnd"/>
      <w:r>
        <w:t>-specificity = 100%.  Drawing the 45-degree diagonal line between these 2 points might imply that you could actually choose a cutoff that would allow say 50% sensitivity and</w:t>
      </w:r>
      <w:r w:rsidR="00E40E7D">
        <w:t xml:space="preserve"> 50%</w:t>
      </w:r>
      <w:r>
        <w:t xml:space="preserve"> </w:t>
      </w:r>
      <w:r w:rsidR="00E40E7D">
        <w:t>(</w:t>
      </w:r>
      <w:r>
        <w:t>1 – specificity</w:t>
      </w:r>
      <w:r w:rsidR="00E40E7D">
        <w:t>)</w:t>
      </w:r>
      <w:r>
        <w:t>.</w:t>
      </w:r>
    </w:p>
    <w:p w14:paraId="0211CA3A" w14:textId="77777777" w:rsidR="00A13708" w:rsidRDefault="00A13708" w:rsidP="00A13708">
      <w:pPr>
        <w:pStyle w:val="NormalWeb"/>
      </w:pPr>
    </w:p>
    <w:tbl>
      <w:tblPr>
        <w:tblW w:w="0" w:type="auto"/>
        <w:tblInd w:w="288" w:type="dxa"/>
        <w:tblLook w:val="04A0" w:firstRow="1" w:lastRow="0" w:firstColumn="1" w:lastColumn="0" w:noHBand="0" w:noVBand="1"/>
      </w:tblPr>
      <w:tblGrid>
        <w:gridCol w:w="8856"/>
      </w:tblGrid>
      <w:tr w:rsidR="00A72C03" w:rsidRPr="00046434" w14:paraId="151E0E74" w14:textId="77777777" w:rsidTr="00A13708">
        <w:trPr>
          <w:trHeight w:val="602"/>
        </w:trPr>
        <w:tc>
          <w:tcPr>
            <w:tcW w:w="8856" w:type="dxa"/>
            <w:shd w:val="clear" w:color="auto" w:fill="auto"/>
          </w:tcPr>
          <w:p w14:paraId="7F87BB01" w14:textId="77777777" w:rsidR="00A72C03" w:rsidRPr="00046434" w:rsidRDefault="00A72C03" w:rsidP="005B26AB">
            <w:pPr>
              <w:pStyle w:val="NormalWeb"/>
              <w:rPr>
                <w:rFonts w:ascii="Formata BQ-Medium" w:hAnsi="Formata BQ-Medium" w:cs="Formata BQ-Medium"/>
                <w:b/>
              </w:rPr>
            </w:pPr>
            <w:r w:rsidRPr="000855CF">
              <w:rPr>
                <w:b/>
                <w:highlight w:val="yellow"/>
              </w:rPr>
              <w:t>Box 6.1</w:t>
            </w:r>
            <w:r w:rsidRPr="00046434">
              <w:rPr>
                <w:b/>
              </w:rPr>
              <w:t xml:space="preserve">: Calibration and discrimination for prognosis of low back pain </w:t>
            </w:r>
          </w:p>
        </w:tc>
      </w:tr>
      <w:tr w:rsidR="00A72C03" w:rsidRPr="00046434" w14:paraId="6AF47223" w14:textId="77777777" w:rsidTr="00A13708">
        <w:tc>
          <w:tcPr>
            <w:tcW w:w="8856" w:type="dxa"/>
            <w:shd w:val="clear" w:color="auto" w:fill="auto"/>
          </w:tcPr>
          <w:p w14:paraId="3D1D30B6" w14:textId="5F676DB6" w:rsidR="00A72C03" w:rsidRDefault="00A72C03" w:rsidP="005B26AB">
            <w:pPr>
              <w:pStyle w:val="NormalWeb"/>
            </w:pPr>
            <w:r w:rsidRPr="00046434">
              <w:t xml:space="preserve">Dutch investigators studied predictors of prognosis in </w:t>
            </w:r>
            <w:r w:rsidR="0001538D">
              <w:t>patients</w:t>
            </w:r>
            <w:r w:rsidRPr="00046434">
              <w:t xml:space="preserve"> presenting to general practitioners with low back pain (</w:t>
            </w:r>
            <w:proofErr w:type="spellStart"/>
            <w:r w:rsidRPr="00046434">
              <w:t>Jellema</w:t>
            </w:r>
            <w:proofErr w:type="spellEnd"/>
            <w:r w:rsidRPr="00046434">
              <w:t xml:space="preserve"> et al. 2007). They developed a clinical prediction rule that provided an estimated probability of an “unfavorable course,” defined as back pain perceived by the </w:t>
            </w:r>
            <w:r w:rsidR="00C4431D">
              <w:t>subject</w:t>
            </w:r>
            <w:r w:rsidRPr="00046434">
              <w:t xml:space="preserve"> as at most “slightly improved,” at subsequent </w:t>
            </w:r>
            <w:r w:rsidRPr="00046434">
              <w:lastRenderedPageBreak/>
              <w:t xml:space="preserve">follow-up visits. The prediction rule was based on answers to a baseline questionnaire covering things like radiation of the pain, previous history of back pain, and general health. (Clinical prediction rules are discussed in Chapter </w:t>
            </w:r>
            <w:r>
              <w:t>7</w:t>
            </w:r>
            <w:r w:rsidRPr="00046434">
              <w:t xml:space="preserve">.) They also asked the general practitioners to estimate the probability of restricted functioning at 3 months to the nearest 10% (i.e., on an 11-point scale: 0%, 10%, 20%, 30% . . . 100%). The calibration of the two methods is illustrated in </w:t>
            </w:r>
            <w:r w:rsidRPr="00130133">
              <w:rPr>
                <w:highlight w:val="yellow"/>
              </w:rPr>
              <w:t>Figures 6.</w:t>
            </w:r>
            <w:r w:rsidR="00E40E7D">
              <w:rPr>
                <w:highlight w:val="yellow"/>
              </w:rPr>
              <w:t>6</w:t>
            </w:r>
            <w:r w:rsidR="00E40E7D" w:rsidRPr="00130133">
              <w:rPr>
                <w:highlight w:val="yellow"/>
              </w:rPr>
              <w:t xml:space="preserve">a </w:t>
            </w:r>
            <w:r w:rsidRPr="00130133">
              <w:rPr>
                <w:highlight w:val="yellow"/>
              </w:rPr>
              <w:t>and 6.</w:t>
            </w:r>
            <w:r w:rsidR="00E40E7D">
              <w:rPr>
                <w:highlight w:val="yellow"/>
              </w:rPr>
              <w:t>6</w:t>
            </w:r>
            <w:r w:rsidR="00E40E7D" w:rsidRPr="00130133">
              <w:rPr>
                <w:highlight w:val="yellow"/>
              </w:rPr>
              <w:t>b</w:t>
            </w:r>
            <w:r w:rsidRPr="00046434">
              <w:t xml:space="preserve">. </w:t>
            </w:r>
          </w:p>
          <w:p w14:paraId="23E29547" w14:textId="77777777" w:rsidR="00A72C03" w:rsidRDefault="00A72C03" w:rsidP="005B26AB">
            <w:pPr>
              <w:pStyle w:val="NormalWeb"/>
            </w:pPr>
          </w:p>
          <w:p w14:paraId="4685927E" w14:textId="77777777" w:rsidR="00A72C03" w:rsidRDefault="00A72C03" w:rsidP="005B26AB">
            <w:pPr>
              <w:pStyle w:val="NormalWeb"/>
            </w:pPr>
            <w:r>
              <w:rPr>
                <w:noProof/>
              </w:rPr>
              <w:drawing>
                <wp:inline distT="0" distB="0" distL="0" distR="0" wp14:anchorId="4FBD6FCA" wp14:editId="31768481">
                  <wp:extent cx="5486400" cy="2667000"/>
                  <wp:effectExtent l="0" t="0" r="0" b="0"/>
                  <wp:docPr id="20" name="Picture 20" descr="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667000"/>
                          </a:xfrm>
                          <a:prstGeom prst="rect">
                            <a:avLst/>
                          </a:prstGeom>
                          <a:noFill/>
                          <a:ln>
                            <a:noFill/>
                          </a:ln>
                        </pic:spPr>
                      </pic:pic>
                    </a:graphicData>
                  </a:graphic>
                </wp:inline>
              </w:drawing>
            </w:r>
          </w:p>
          <w:p w14:paraId="0D51D37A" w14:textId="08CF29D8" w:rsidR="00A72C03" w:rsidRDefault="00A72C03" w:rsidP="005B26AB">
            <w:pPr>
              <w:pStyle w:val="NormalWeb"/>
            </w:pPr>
            <w:r w:rsidRPr="00130133">
              <w:rPr>
                <w:highlight w:val="yellow"/>
              </w:rPr>
              <w:t>Figure 6.</w:t>
            </w:r>
            <w:r w:rsidR="00E40E7D">
              <w:t xml:space="preserve">6 </w:t>
            </w:r>
            <w:r w:rsidRPr="00046434">
              <w:t xml:space="preserve">Predicted probability plotted against observed frequency of continued low back pain among </w:t>
            </w:r>
            <w:r w:rsidR="00C4431D">
              <w:t>subject</w:t>
            </w:r>
            <w:r w:rsidRPr="00046434">
              <w:t xml:space="preserve">s seen by Dutch general practitioners. Both sets of predicted probabilities are well calibrated, but the clinical prediction rule discriminates better, as shown by </w:t>
            </w:r>
            <w:r>
              <w:t>the greater vertical spread in observed frequencies</w:t>
            </w:r>
            <w:r w:rsidRPr="00046434">
              <w:t xml:space="preserve">. From </w:t>
            </w:r>
            <w:proofErr w:type="spellStart"/>
            <w:r w:rsidRPr="00046434">
              <w:t>Jellema</w:t>
            </w:r>
            <w:proofErr w:type="spellEnd"/>
            <w:r w:rsidRPr="00046434">
              <w:t xml:space="preserve"> et al. (2007).</w:t>
            </w:r>
          </w:p>
          <w:p w14:paraId="172AB1C9" w14:textId="456D18DB" w:rsidR="00A72C03" w:rsidRDefault="00A72C03" w:rsidP="005B26AB">
            <w:pPr>
              <w:pStyle w:val="NormalWeb"/>
            </w:pPr>
            <w:r w:rsidRPr="00046434">
              <w:t>Calibration was good for both – most of the points are close to the line that represents perfect calibration. However, you can see that discrimination of the clinical prediction rule (Fig. 7.1a) was better than the practitioners’ estimates, because it yielded a wider range of predicted probabilities</w:t>
            </w:r>
            <w:r>
              <w:t xml:space="preserve"> with greater vertical spread in observed frequencies</w:t>
            </w:r>
            <w:r w:rsidRPr="00046434">
              <w:t xml:space="preserve">. Remember, discrimination is the ability to move probabilities away from the mean probability toward 0 and 1. This improved discrimination was reflected in a higher area under the ROC curve (AUROC): 0.75 (95% CI 0.69 to 0.81) for the clinical prediction rule, compared with 0.59 (95% CI 0.52 to 0.66) for the general practitioner’s estimate. </w:t>
            </w:r>
            <w:r>
              <w:t xml:space="preserve">  However, a major limitation, clearly acknowledged by the authors, is that the clinical prediction rule was evaluated in the same dataset used to develop it.  As we will see in Chapter 7, this overestimates the performance of a risk model.</w:t>
            </w:r>
            <w:r w:rsidR="001659E6">
              <w:t xml:space="preserve">  In addition, the clinical prediction rule and the clinicians were being asked to predict slightly different outcomes.</w:t>
            </w:r>
          </w:p>
          <w:p w14:paraId="5BF323EA" w14:textId="77777777" w:rsidR="00A72C03" w:rsidRDefault="00A72C03" w:rsidP="005B26AB">
            <w:pPr>
              <w:pStyle w:val="NormalWeb"/>
            </w:pPr>
            <w:r>
              <w:t>[End Box 6.1]</w:t>
            </w:r>
          </w:p>
          <w:p w14:paraId="19B5B52E" w14:textId="77777777" w:rsidR="00A72C03" w:rsidRPr="00046434" w:rsidRDefault="00A72C03" w:rsidP="005B26AB">
            <w:pPr>
              <w:pStyle w:val="NormalWeb"/>
            </w:pPr>
          </w:p>
        </w:tc>
      </w:tr>
    </w:tbl>
    <w:p w14:paraId="3ECB8D0B" w14:textId="77777777" w:rsidR="001F6BF7" w:rsidRDefault="001F6BF7" w:rsidP="00413191">
      <w:pPr>
        <w:pStyle w:val="Heading4"/>
      </w:pPr>
      <w:r w:rsidRPr="001F6BF7">
        <w:rPr>
          <w:b w:val="0"/>
        </w:rPr>
        <w:lastRenderedPageBreak/>
        <w:t>ROC Curves and Calibration Plots</w:t>
      </w:r>
    </w:p>
    <w:p w14:paraId="21EEC13B" w14:textId="33CEE828" w:rsidR="006F1CDB" w:rsidRDefault="00031EB4" w:rsidP="0056595C">
      <w:pPr>
        <w:pStyle w:val="NormalWeb"/>
      </w:pPr>
      <w:r>
        <w:t xml:space="preserve">Calibration plots like Figure 6.4 allow visual assessment of discrimination as the vertical spread of points. </w:t>
      </w:r>
      <w:r w:rsidRPr="00CA3B64">
        <w:rPr>
          <w:highlight w:val="yellow"/>
        </w:rPr>
        <w:t>(Box 6.1)</w:t>
      </w:r>
      <w:r>
        <w:t xml:space="preserve"> </w:t>
      </w:r>
      <w:r w:rsidR="00281515">
        <w:t>(</w:t>
      </w:r>
      <w:r>
        <w:t xml:space="preserve">In a </w:t>
      </w:r>
      <w:proofErr w:type="gramStart"/>
      <w:r>
        <w:t>modified  Bland</w:t>
      </w:r>
      <w:proofErr w:type="gramEnd"/>
      <w:r>
        <w:t xml:space="preserve">-Altman-like plot such as Figure 6.3, </w:t>
      </w:r>
      <w:r w:rsidR="002D643A">
        <w:t xml:space="preserve">it is </w:t>
      </w:r>
      <w:r>
        <w:t xml:space="preserve">the horizontal, not vertical, spread </w:t>
      </w:r>
      <w:r w:rsidR="002D643A">
        <w:t xml:space="preserve">that </w:t>
      </w:r>
      <w:r>
        <w:t>represents discrimination.</w:t>
      </w:r>
      <w:r w:rsidR="00281515">
        <w:t>)</w:t>
      </w:r>
      <w:r>
        <w:t xml:space="preserve"> </w:t>
      </w:r>
      <w:r w:rsidR="00475CBA">
        <w:t xml:space="preserve">Compare the calibration plots for </w:t>
      </w:r>
      <w:proofErr w:type="spellStart"/>
      <w:r w:rsidR="001F7480">
        <w:t>Bleakhaus</w:t>
      </w:r>
      <w:proofErr w:type="spellEnd"/>
      <w:r w:rsidR="001F7480">
        <w:t xml:space="preserve"> and </w:t>
      </w:r>
      <w:proofErr w:type="spellStart"/>
      <w:r w:rsidR="001F7480">
        <w:t>P</w:t>
      </w:r>
      <w:r w:rsidR="00E361E7">
        <w:t>o</w:t>
      </w:r>
      <w:r w:rsidR="001F7480">
        <w:t>laANA</w:t>
      </w:r>
      <w:proofErr w:type="spellEnd"/>
      <w:r w:rsidR="00475CBA">
        <w:t xml:space="preserve"> in </w:t>
      </w:r>
      <w:r w:rsidR="00475CBA" w:rsidRPr="00F43609">
        <w:rPr>
          <w:highlight w:val="yellow"/>
        </w:rPr>
        <w:t>Figure 6.4</w:t>
      </w:r>
      <w:r w:rsidR="00475CBA">
        <w:t xml:space="preserve"> with their common ROC curve in </w:t>
      </w:r>
      <w:r w:rsidR="00475CBA" w:rsidRPr="00F43609">
        <w:rPr>
          <w:highlight w:val="yellow"/>
        </w:rPr>
        <w:t>Figure 6.5</w:t>
      </w:r>
      <w:r w:rsidR="00475CBA">
        <w:t xml:space="preserve">.  Note that points on the calibration plot correspond to </w:t>
      </w:r>
      <w:r w:rsidR="00475CBA" w:rsidRPr="009976CC">
        <w:rPr>
          <w:i/>
        </w:rPr>
        <w:t>segments</w:t>
      </w:r>
      <w:r w:rsidR="00475CBA">
        <w:t xml:space="preserve"> on the ROC curve</w:t>
      </w:r>
      <w:r w:rsidR="009976CC">
        <w:t>,</w:t>
      </w:r>
      <w:r w:rsidR="00475CBA">
        <w:t xml:space="preserve"> and calibration points that are higher and to the right correspond to ROC segments that are lower and to the left.</w:t>
      </w:r>
      <w:r w:rsidR="00FC72BB">
        <w:t xml:space="preserve"> </w:t>
      </w:r>
      <w:r w:rsidR="009716FC">
        <w:t xml:space="preserve"> As mentioned in </w:t>
      </w:r>
      <w:r w:rsidR="009716FC" w:rsidRPr="00656747">
        <w:rPr>
          <w:highlight w:val="yellow"/>
        </w:rPr>
        <w:t>Box</w:t>
      </w:r>
      <w:r w:rsidR="00D8059E" w:rsidRPr="00656747">
        <w:rPr>
          <w:highlight w:val="yellow"/>
        </w:rPr>
        <w:t>es</w:t>
      </w:r>
      <w:r w:rsidR="009716FC" w:rsidRPr="00656747">
        <w:rPr>
          <w:highlight w:val="yellow"/>
        </w:rPr>
        <w:t xml:space="preserve"> 6.1</w:t>
      </w:r>
      <w:r w:rsidR="004B3947" w:rsidRPr="00656747">
        <w:t xml:space="preserve"> </w:t>
      </w:r>
      <w:r w:rsidR="004B3947" w:rsidRPr="004B3947">
        <w:rPr>
          <w:highlight w:val="yellow"/>
        </w:rPr>
        <w:t xml:space="preserve">and </w:t>
      </w:r>
      <w:r w:rsidR="004B3947" w:rsidRPr="00656747">
        <w:t>6.2</w:t>
      </w:r>
      <w:r w:rsidR="009716FC">
        <w:t xml:space="preserve">, the vertical spread of points on the calibration plot gives us a sense of the discrimination of the test, but this assumes that the points represent equal numbers of </w:t>
      </w:r>
      <w:r w:rsidR="007F5213">
        <w:t>individuals</w:t>
      </w:r>
      <w:r w:rsidR="009716FC">
        <w:t>.</w:t>
      </w:r>
      <w:r w:rsidR="007F5213">
        <w:t xml:space="preserve">  Under this assumption, it is possible to create a table like 6.</w:t>
      </w:r>
      <w:r w:rsidR="00D60030">
        <w:t xml:space="preserve">3 </w:t>
      </w:r>
      <w:r w:rsidR="007F5213">
        <w:t>from the calibration plot, convert it to a table like 6.</w:t>
      </w:r>
      <w:r w:rsidR="00D60030">
        <w:t>4</w:t>
      </w:r>
      <w:r w:rsidR="007F5213">
        <w:t xml:space="preserve">, and draw the ROC curve.  Going the other direction -- from the ROC curve to the calibration plot -- </w:t>
      </w:r>
      <w:r w:rsidR="00C2519A">
        <w:t>additionally</w:t>
      </w:r>
      <w:r w:rsidR="007F5213">
        <w:t xml:space="preserve"> requires the </w:t>
      </w:r>
      <w:r w:rsidR="00227E8A">
        <w:t xml:space="preserve">overall </w:t>
      </w:r>
      <w:r w:rsidR="007F5213">
        <w:t xml:space="preserve">proportion of </w:t>
      </w:r>
      <w:r w:rsidR="00C4431D">
        <w:t>subject</w:t>
      </w:r>
      <w:r w:rsidR="007F5213">
        <w:t>s with</w:t>
      </w:r>
      <w:r w:rsidR="00227E8A">
        <w:t xml:space="preserve"> </w:t>
      </w:r>
      <w:r w:rsidR="009976CC">
        <w:t xml:space="preserve">the </w:t>
      </w:r>
      <w:r w:rsidR="00227E8A">
        <w:t>outcome and the predicted risk associated with each segment of the curve (in order to get the calibration point’s X-axis coordinate).</w:t>
      </w:r>
    </w:p>
    <w:p w14:paraId="5F77ACEE" w14:textId="77777777" w:rsidR="003B79D2" w:rsidRDefault="003B79D2" w:rsidP="00DC6D71">
      <w:pPr>
        <w:pStyle w:val="FootnoteText"/>
        <w:rPr>
          <w:b/>
          <w:sz w:val="24"/>
          <w:szCs w:val="24"/>
        </w:rPr>
      </w:pPr>
    </w:p>
    <w:p w14:paraId="0D31FEA8" w14:textId="77777777" w:rsidR="006F1E83" w:rsidRDefault="006F1E83" w:rsidP="00DC6D71">
      <w:pPr>
        <w:pStyle w:val="FootnoteText"/>
        <w:rPr>
          <w:b/>
          <w:sz w:val="24"/>
          <w:szCs w:val="24"/>
        </w:rPr>
      </w:pPr>
    </w:p>
    <w:p w14:paraId="52031E7D" w14:textId="77777777" w:rsidR="00771923" w:rsidRPr="00771923" w:rsidRDefault="00771923" w:rsidP="00DC6D71">
      <w:pPr>
        <w:pStyle w:val="FootnoteText"/>
        <w:rPr>
          <w:b/>
          <w:sz w:val="24"/>
          <w:szCs w:val="24"/>
        </w:rPr>
      </w:pPr>
      <w:r w:rsidRPr="00771923">
        <w:rPr>
          <w:b/>
          <w:sz w:val="24"/>
          <w:szCs w:val="24"/>
          <w:highlight w:val="yellow"/>
        </w:rPr>
        <w:t>Box 6.</w:t>
      </w:r>
      <w:r>
        <w:rPr>
          <w:b/>
          <w:sz w:val="24"/>
          <w:szCs w:val="24"/>
        </w:rPr>
        <w:t>2</w:t>
      </w:r>
      <w:r w:rsidRPr="00771923">
        <w:rPr>
          <w:b/>
          <w:sz w:val="24"/>
          <w:szCs w:val="24"/>
        </w:rPr>
        <w:t xml:space="preserve">: </w:t>
      </w:r>
      <w:r>
        <w:rPr>
          <w:b/>
          <w:sz w:val="24"/>
          <w:szCs w:val="24"/>
        </w:rPr>
        <w:t>Calibration and Discrimination in the ICU Mortality Probability Model</w:t>
      </w:r>
      <w:r w:rsidRPr="00771923">
        <w:rPr>
          <w:b/>
          <w:sz w:val="24"/>
          <w:szCs w:val="24"/>
        </w:rPr>
        <w:t xml:space="preserve"> </w:t>
      </w:r>
    </w:p>
    <w:p w14:paraId="5CB588BC" w14:textId="77777777" w:rsidR="00771923" w:rsidRDefault="00771923" w:rsidP="00DC6D71">
      <w:pPr>
        <w:pStyle w:val="FootnoteText"/>
        <w:rPr>
          <w:b/>
          <w:sz w:val="24"/>
          <w:szCs w:val="24"/>
        </w:rPr>
      </w:pPr>
    </w:p>
    <w:p w14:paraId="3B4B80A5" w14:textId="71EE7988" w:rsidR="00771923" w:rsidRPr="00A31F05" w:rsidRDefault="00771923" w:rsidP="00771923">
      <w:pPr>
        <w:autoSpaceDE w:val="0"/>
        <w:autoSpaceDN w:val="0"/>
        <w:adjustRightInd w:val="0"/>
      </w:pPr>
      <w:r w:rsidRPr="00A31F05">
        <w:t>The Mortality Probability Model at ICU admission, MPM</w:t>
      </w:r>
      <w:r w:rsidRPr="00A31F05">
        <w:rPr>
          <w:vertAlign w:val="subscript"/>
        </w:rPr>
        <w:t>0</w:t>
      </w:r>
      <w:r w:rsidRPr="00A31F05">
        <w:t>, is a logistic regression model that predicts the risk of ICU death based on variables available within 1 hour of ICU admission.  MPM</w:t>
      </w:r>
      <w:r w:rsidRPr="00A31F05">
        <w:rPr>
          <w:vertAlign w:val="subscript"/>
        </w:rPr>
        <w:t>0</w:t>
      </w:r>
      <w:r w:rsidRPr="00A31F05">
        <w:t xml:space="preserve"> was developed using data on ICU </w:t>
      </w:r>
      <w:r w:rsidR="00FB3204">
        <w:t>patients</w:t>
      </w:r>
      <w:r w:rsidRPr="00A31F05">
        <w:t xml:space="preserve"> treated in 1989-1990 and </w:t>
      </w:r>
      <w:r w:rsidR="0063055D">
        <w:t xml:space="preserve">was </w:t>
      </w:r>
      <w:r w:rsidRPr="00A31F05">
        <w:t xml:space="preserve">updated </w:t>
      </w:r>
      <w:r>
        <w:t>in 2007</w:t>
      </w:r>
      <w:r w:rsidR="003D7459">
        <w:t>.</w:t>
      </w:r>
      <w:r w:rsidR="00F01991">
        <w:t xml:space="preserve"> </w:t>
      </w:r>
      <w:r w:rsidR="00E40A40">
        <w:rPr>
          <w:bCs/>
        </w:rPr>
        <w:t xml:space="preserve">In </w:t>
      </w:r>
      <w:r>
        <w:rPr>
          <w:bCs/>
        </w:rPr>
        <w:t>2007, the original model from the 1990s, “MPM-II”, and</w:t>
      </w:r>
      <w:r w:rsidR="00A50B87">
        <w:rPr>
          <w:bCs/>
        </w:rPr>
        <w:t xml:space="preserve"> the updated model, “MPM-III”, were evaluated in approximately 50,000 </w:t>
      </w:r>
      <w:r w:rsidR="00FB3204">
        <w:rPr>
          <w:bCs/>
        </w:rPr>
        <w:t>patients</w:t>
      </w:r>
      <w:r w:rsidR="00A50B87">
        <w:rPr>
          <w:bCs/>
        </w:rPr>
        <w:t xml:space="preserve"> from the</w:t>
      </w:r>
      <w:r w:rsidR="00A50B87" w:rsidRPr="00A50B87">
        <w:t xml:space="preserve"> </w:t>
      </w:r>
      <w:r w:rsidR="00A50B87" w:rsidRPr="00A31F05">
        <w:t xml:space="preserve">Project Impact dataset of ICU </w:t>
      </w:r>
      <w:r w:rsidR="00FB3204">
        <w:t>patients</w:t>
      </w:r>
      <w:r w:rsidR="00A50B87" w:rsidRPr="00A31F05">
        <w:t xml:space="preserve"> treated between 2001 and 2004</w:t>
      </w:r>
      <w:r w:rsidR="00A50B87">
        <w:t xml:space="preserve"> </w:t>
      </w:r>
      <w:r w:rsidR="00A50B87">
        <w:fldChar w:fldCharType="begin">
          <w:fldData xml:space="preserve">PEVuZE5vdGU+PENpdGU+PEF1dGhvcj5IaWdnaW5zPC9BdXRob3I+PFllYXI+MjAwNzwvWWVhcj48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</w:fldData>
        </w:fldChar>
      </w:r>
      <w:r w:rsidR="007A2979">
        <w:instrText xml:space="preserve"> ADDIN EN.CITE </w:instrText>
      </w:r>
      <w:r w:rsidR="007A2979">
        <w:fldChar w:fldCharType="begin">
          <w:fldData xml:space="preserve">PEVuZE5vdGU+PENpdGU+PEF1dGhvcj5IaWdnaW5zPC9BdXRob3I+PFllYXI+MjAwNzwvWWVhcj48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</w:fldData>
        </w:fldChar>
      </w:r>
      <w:r w:rsidR="007A2979">
        <w:instrText xml:space="preserve"> ADDIN EN.CITE.DATA </w:instrText>
      </w:r>
      <w:r w:rsidR="007A2979">
        <w:fldChar w:fldCharType="end"/>
      </w:r>
      <w:r w:rsidR="00A50B87">
        <w:fldChar w:fldCharType="separate"/>
      </w:r>
      <w:r w:rsidR="007A2979">
        <w:rPr>
          <w:noProof/>
        </w:rPr>
        <w:t>[2]</w:t>
      </w:r>
      <w:r w:rsidR="00A50B87">
        <w:fldChar w:fldCharType="end"/>
      </w:r>
      <w:r w:rsidR="00A50B87">
        <w:t xml:space="preserve">. </w:t>
      </w:r>
      <w:r w:rsidRPr="00A31F05">
        <w:t xml:space="preserve">Here </w:t>
      </w:r>
      <w:r w:rsidR="00E40A40">
        <w:t xml:space="preserve">(with the original caption) </w:t>
      </w:r>
      <w:r w:rsidRPr="00A31F05">
        <w:t xml:space="preserve">are the calibration plots of the original model (MPM II) </w:t>
      </w:r>
      <w:r w:rsidR="00A50B87">
        <w:t xml:space="preserve">and the updated model (MPM III).  </w:t>
      </w:r>
      <w:r w:rsidR="00E40A40" w:rsidRPr="00600A21">
        <w:t>Although the paper does not label the axes, this is</w:t>
      </w:r>
      <w:r w:rsidR="00E40A40">
        <w:t xml:space="preserve"> a traditional calibration plot in which the vertical axis represents observed mortality and the horizontal axis represents predicted mortality.</w:t>
      </w:r>
    </w:p>
    <w:p w14:paraId="5A930671" w14:textId="77777777" w:rsidR="00771923" w:rsidRDefault="00771923" w:rsidP="00771923">
      <w:pPr>
        <w:autoSpaceDE w:val="0"/>
        <w:autoSpaceDN w:val="0"/>
        <w:adjustRightInd w:val="0"/>
        <w:rPr>
          <w:rFonts w:ascii="HelveticaNeue-BoldCond" w:hAnsi="HelveticaNeue-BoldCond" w:cs="HelveticaNeue-BoldCond"/>
          <w:bCs/>
          <w:sz w:val="19"/>
          <w:szCs w:val="19"/>
        </w:rPr>
      </w:pPr>
    </w:p>
    <w:p w14:paraId="556B0859" w14:textId="77777777" w:rsidR="00A50B87" w:rsidRDefault="00A50B87" w:rsidP="00771923">
      <w:pPr>
        <w:autoSpaceDE w:val="0"/>
        <w:autoSpaceDN w:val="0"/>
        <w:adjustRightInd w:val="0"/>
        <w:rPr>
          <w:rFonts w:ascii="HelveticaNeue-BoldCond" w:hAnsi="HelveticaNeue-BoldCond" w:cs="HelveticaNeue-BoldCond"/>
          <w:bCs/>
          <w:sz w:val="19"/>
          <w:szCs w:val="19"/>
        </w:rPr>
      </w:pPr>
    </w:p>
    <w:p w14:paraId="062C1C5F" w14:textId="77777777" w:rsidR="00771923" w:rsidRPr="00E010F5" w:rsidRDefault="00771923" w:rsidP="00771923">
      <w:pPr>
        <w:autoSpaceDE w:val="0"/>
        <w:autoSpaceDN w:val="0"/>
        <w:adjustRightInd w:val="0"/>
        <w:rPr>
          <w:rFonts w:ascii="HelveticaNeue-BoldCond" w:hAnsi="HelveticaNeue-BoldCond" w:cs="HelveticaNeue-BoldCond"/>
          <w:bCs/>
          <w:sz w:val="19"/>
          <w:szCs w:val="19"/>
        </w:rPr>
      </w:pPr>
      <w:r w:rsidRPr="00294738">
        <w:rPr>
          <w:rFonts w:ascii="HelveticaNeue-BoldCond" w:hAnsi="HelveticaNeue-BoldCond" w:cs="HelveticaNeue-BoldCond"/>
          <w:bCs/>
          <w:noProof/>
          <w:sz w:val="19"/>
          <w:szCs w:val="19"/>
        </w:rPr>
        <w:drawing>
          <wp:inline distT="0" distB="0" distL="0" distR="0" wp14:anchorId="2AC626D3" wp14:editId="0ECC3DF4">
            <wp:extent cx="4324350" cy="2800350"/>
            <wp:effectExtent l="19050" t="19050" r="19050" b="19050"/>
            <wp:docPr id="23559" name="Picture 7" descr="Cover">
              <a:extLst xmlns:a="http://schemas.openxmlformats.org/drawingml/2006/main">
                <a:ext uri="{FF2B5EF4-FFF2-40B4-BE49-F238E27FC236}">
                  <a16:creationId xmlns:a16="http://schemas.microsoft.com/office/drawing/2014/main" id="{FE16CD48-C07B-45DA-9052-6063F890A4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9" name="Picture 7" descr="Cover">
                      <a:extLst>
                        <a:ext uri="{FF2B5EF4-FFF2-40B4-BE49-F238E27FC236}">
                          <a16:creationId xmlns:a16="http://schemas.microsoft.com/office/drawing/2014/main" id="{FE16CD48-C07B-45DA-9052-6063F890A43C}"/>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4350" cy="280035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pic:spPr>
                </pic:pic>
              </a:graphicData>
            </a:graphic>
          </wp:inline>
        </w:drawing>
      </w:r>
    </w:p>
    <w:p w14:paraId="65491A69" w14:textId="77777777" w:rsidR="00771923" w:rsidRDefault="00771923" w:rsidP="00771923">
      <w:r w:rsidRPr="00294738">
        <w:rPr>
          <w:noProof/>
        </w:rPr>
        <w:lastRenderedPageBreak/>
        <mc:AlternateContent>
          <mc:Choice Requires="wps">
            <w:drawing>
              <wp:inline distT="0" distB="0" distL="0" distR="0" wp14:anchorId="4C717030" wp14:editId="0D4CD9B5">
                <wp:extent cx="6248400" cy="1409700"/>
                <wp:effectExtent l="0" t="0" r="0" b="0"/>
                <wp:docPr id="23562" name="Rectangle 10">
                  <a:extLst xmlns:a="http://schemas.openxmlformats.org/drawingml/2006/main">
                    <a:ext uri="{FF2B5EF4-FFF2-40B4-BE49-F238E27FC236}">
                      <a16:creationId xmlns:a16="http://schemas.microsoft.com/office/drawing/2014/main" id="{3BC76521-08F4-4D56-9D9B-F5C265F6C0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14097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chemeClr val="accent1"/>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chemeClr val="tx1"/>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dist="35921" dir="2700000" algn="ctr" rotWithShape="0">
                                  <a:schemeClr val="bg2"/>
                                </a:outerShdw>
                              </a:effectLst>
                            </a14:hiddenEffects>
                          </a:ext>
                        </a:extLst>
                      </wps:spPr>
                      <wps:txbx>
                        <w:txbxContent>
                          <w:p w14:paraId="26CBD8E5" w14:textId="5CA7298D" w:rsidR="009F2045" w:rsidRPr="00A31F05" w:rsidRDefault="009F2045" w:rsidP="00771923">
                            <w:pPr>
                              <w:pStyle w:val="NormalWeb"/>
                              <w:spacing w:before="0" w:beforeAutospacing="0" w:after="0" w:afterAutospacing="0"/>
                              <w:textAlignment w:val="baseline"/>
                              <w:rPr>
                                <w:rFonts w:ascii="Calibri" w:hAnsi="Calibri" w:cstheme="minorBidi"/>
                                <w:color w:val="000000"/>
                                <w:kern w:val="24"/>
                                <w:sz w:val="22"/>
                                <w:szCs w:val="22"/>
                              </w:rPr>
                            </w:pPr>
                            <w:r>
                              <w:rPr>
                                <w:rFonts w:ascii="Calibri" w:hAnsi="Calibri" w:cstheme="minorBidi"/>
                                <w:color w:val="000000"/>
                                <w:kern w:val="24"/>
                                <w:sz w:val="22"/>
                                <w:szCs w:val="22"/>
                              </w:rPr>
                              <w:t>Figure and caption from Higgins et al (2007)</w:t>
                            </w:r>
                            <w:r w:rsidRPr="00A31F05">
                              <w:rPr>
                                <w:rFonts w:ascii="Calibri" w:hAnsi="Calibri" w:cstheme="minorBidi"/>
                                <w:color w:val="000000"/>
                                <w:kern w:val="24"/>
                                <w:sz w:val="22"/>
                                <w:szCs w:val="22"/>
                              </w:rPr>
                              <w:t>.  Calibration plot of Mortality Probability Admission Model (MPM-III) and Mortality Probability Model version 2 (MPM-II) on 2001-200</w:t>
                            </w:r>
                            <w:r>
                              <w:rPr>
                                <w:rFonts w:ascii="Calibri" w:hAnsi="Calibri" w:cstheme="minorBidi"/>
                                <w:color w:val="000000"/>
                                <w:kern w:val="24"/>
                                <w:sz w:val="22"/>
                                <w:szCs w:val="22"/>
                              </w:rPr>
                              <w:t>4</w:t>
                            </w:r>
                            <w:r w:rsidRPr="00A31F05">
                              <w:rPr>
                                <w:rFonts w:ascii="Calibri" w:hAnsi="Calibri" w:cstheme="minorBidi"/>
                                <w:color w:val="000000"/>
                                <w:kern w:val="24"/>
                                <w:sz w:val="22"/>
                                <w:szCs w:val="22"/>
                              </w:rPr>
                              <w:t xml:space="preserve"> Project IMPACT validation data. Graphic representation of calibration; database collapsed into ten equal sample sizes. Line at 45 degrees represents identity, circles represent population deciles. The MPM-III model (dark circles) calibrates well. The light circles define the relationship between predicted and actual mortality outcomes when MPM-II model is applied to the same dataset (2001-2004 data from Project IMPACT). Actual mortality is below the line of identity except at the lowest deciles of risk, demonstrating that MPM-II no longer calibrates.</w:t>
                            </w:r>
                          </w:p>
                        </w:txbxContent>
                      </wps:txbx>
                      <wps:bodyPr wrap="square" tIns="0" anchor="ctr">
                        <a:noAutofit/>
                      </wps:bodyPr>
                    </wps:wsp>
                  </a:graphicData>
                </a:graphic>
              </wp:inline>
            </w:drawing>
          </mc:Choice>
          <mc:Fallback>
            <w:pict>
              <v:rect w14:anchorId="4C717030" id="Rectangle 10" o:spid="_x0000_s1026" style="width:492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" filled="f" stroked="f">
                <v:textbox inset=",0">
                  <w:txbxContent>
                    <w:p w14:paraId="26CBD8E5" w14:textId="5CA7298D" w:rsidR="009F2045" w:rsidRPr="00A31F05" w:rsidRDefault="009F2045" w:rsidP="00771923">
                      <w:pPr>
                        <w:pStyle w:val="NormalWeb"/>
                        <w:spacing w:before="0" w:beforeAutospacing="0" w:after="0" w:afterAutospacing="0"/>
                        <w:textAlignment w:val="baseline"/>
                        <w:rPr>
                          <w:rFonts w:ascii="Calibri" w:hAnsi="Calibri" w:cstheme="minorBidi"/>
                          <w:color w:val="000000"/>
                          <w:kern w:val="24"/>
                          <w:sz w:val="22"/>
                          <w:szCs w:val="22"/>
                        </w:rPr>
                      </w:pPr>
                      <w:r>
                        <w:rPr>
                          <w:rFonts w:ascii="Calibri" w:hAnsi="Calibri" w:cstheme="minorBidi"/>
                          <w:color w:val="000000"/>
                          <w:kern w:val="24"/>
                          <w:sz w:val="22"/>
                          <w:szCs w:val="22"/>
                        </w:rPr>
                        <w:t>Figure and caption from Higgins et al (2007)</w:t>
                      </w:r>
                      <w:r w:rsidRPr="00A31F05">
                        <w:rPr>
                          <w:rFonts w:ascii="Calibri" w:hAnsi="Calibri" w:cstheme="minorBidi"/>
                          <w:color w:val="000000"/>
                          <w:kern w:val="24"/>
                          <w:sz w:val="22"/>
                          <w:szCs w:val="22"/>
                        </w:rPr>
                        <w:t>.  Calibration plot of Mortality Probability Admission Model (MPM-III) and Mortality Probability Model version 2 (MPM-II) on 2001-200</w:t>
                      </w:r>
                      <w:r>
                        <w:rPr>
                          <w:rFonts w:ascii="Calibri" w:hAnsi="Calibri" w:cstheme="minorBidi"/>
                          <w:color w:val="000000"/>
                          <w:kern w:val="24"/>
                          <w:sz w:val="22"/>
                          <w:szCs w:val="22"/>
                        </w:rPr>
                        <w:t>4</w:t>
                      </w:r>
                      <w:r w:rsidRPr="00A31F05">
                        <w:rPr>
                          <w:rFonts w:ascii="Calibri" w:hAnsi="Calibri" w:cstheme="minorBidi"/>
                          <w:color w:val="000000"/>
                          <w:kern w:val="24"/>
                          <w:sz w:val="22"/>
                          <w:szCs w:val="22"/>
                        </w:rPr>
                        <w:t xml:space="preserve"> Project IMPACT validation data. Graphic representation of calibration; database collapsed into ten equal sample sizes. Line at 45 degrees represents identity, circles represent population deciles. The MPM-III model (dark circles) calibrates well. The light circles define the relationship between predicted and actual mortality outcomes when MPM-II model is applied to the same dataset (2001-2004 data from Project IMPACT). Actual mortality is below the line of identity except at the lowest deciles of risk, demonstrating that MPM-II no longer calibrates.</w:t>
                      </w:r>
                    </w:p>
                  </w:txbxContent>
                </v:textbox>
                <w10:anchorlock/>
              </v:rect>
            </w:pict>
          </mc:Fallback>
        </mc:AlternateContent>
      </w:r>
    </w:p>
    <w:p w14:paraId="40872D4C" w14:textId="77777777" w:rsidR="00771923" w:rsidRDefault="00771923" w:rsidP="00771923"/>
    <w:p w14:paraId="1CE19FD1" w14:textId="77777777" w:rsidR="00771923" w:rsidRDefault="00AA0E90" w:rsidP="00DC6D71">
      <w:pPr>
        <w:pStyle w:val="FootnoteText"/>
        <w:rPr>
          <w:sz w:val="24"/>
          <w:szCs w:val="24"/>
        </w:rPr>
      </w:pPr>
      <w:r>
        <w:rPr>
          <w:sz w:val="24"/>
          <w:szCs w:val="24"/>
        </w:rPr>
        <w:t>Since the calibration points represent deciles of risk</w:t>
      </w:r>
      <w:r w:rsidR="00E141FB">
        <w:rPr>
          <w:sz w:val="24"/>
          <w:szCs w:val="24"/>
        </w:rPr>
        <w:t>,</w:t>
      </w:r>
      <w:r>
        <w:rPr>
          <w:sz w:val="24"/>
          <w:szCs w:val="24"/>
        </w:rPr>
        <w:t xml:space="preserve"> the vertical spread of points does provide a reasonable measure of discrimination.  On visual inspection, the vertical spread looks similar between MPM-II and MPM-III</w:t>
      </w:r>
      <w:r w:rsidR="009E7B80">
        <w:rPr>
          <w:sz w:val="24"/>
          <w:szCs w:val="24"/>
        </w:rPr>
        <w:t>, and the ranking is obviously the same, so the ROC curves and AUROC</w:t>
      </w:r>
      <w:r w:rsidR="008169BA">
        <w:rPr>
          <w:sz w:val="24"/>
          <w:szCs w:val="24"/>
        </w:rPr>
        <w:t>s</w:t>
      </w:r>
      <w:r w:rsidR="009E7B80">
        <w:rPr>
          <w:sz w:val="24"/>
          <w:szCs w:val="24"/>
        </w:rPr>
        <w:t xml:space="preserve"> for these 2 models will be very similar.</w:t>
      </w:r>
      <w:r w:rsidR="004201A8">
        <w:rPr>
          <w:rStyle w:val="FootnoteReference"/>
          <w:sz w:val="24"/>
          <w:szCs w:val="24"/>
        </w:rPr>
        <w:footnoteReference w:id="6"/>
      </w:r>
      <w:r w:rsidR="009E7B80">
        <w:rPr>
          <w:sz w:val="24"/>
          <w:szCs w:val="24"/>
        </w:rPr>
        <w:t xml:space="preserve"> </w:t>
      </w:r>
      <w:r w:rsidR="00B7014B">
        <w:rPr>
          <w:sz w:val="24"/>
          <w:szCs w:val="24"/>
        </w:rPr>
        <w:t>T</w:t>
      </w:r>
      <w:r w:rsidR="00625D34">
        <w:rPr>
          <w:sz w:val="24"/>
          <w:szCs w:val="24"/>
        </w:rPr>
        <w:t>he real difference between MPM-III and MPM-II is improved calibration, not improved discrimination.</w:t>
      </w:r>
    </w:p>
    <w:p w14:paraId="16BCDB49" w14:textId="77777777" w:rsidR="00E141FB" w:rsidRDefault="00E141FB" w:rsidP="00DC6D71">
      <w:pPr>
        <w:pStyle w:val="FootnoteText"/>
        <w:rPr>
          <w:sz w:val="24"/>
          <w:szCs w:val="24"/>
        </w:rPr>
      </w:pPr>
    </w:p>
    <w:p w14:paraId="6635487F" w14:textId="77777777" w:rsidR="00771923" w:rsidRDefault="00E141FB" w:rsidP="00DC6D71">
      <w:pPr>
        <w:pStyle w:val="FootnoteText"/>
        <w:rPr>
          <w:b/>
          <w:sz w:val="24"/>
          <w:szCs w:val="24"/>
        </w:rPr>
      </w:pPr>
      <w:r>
        <w:rPr>
          <w:b/>
          <w:sz w:val="24"/>
          <w:szCs w:val="24"/>
        </w:rPr>
        <w:t>End Box 6.2</w:t>
      </w:r>
    </w:p>
    <w:p w14:paraId="252B2D32" w14:textId="77777777" w:rsidR="00771923" w:rsidRDefault="00771923" w:rsidP="00DC6D71">
      <w:pPr>
        <w:pStyle w:val="FootnoteText"/>
        <w:rPr>
          <w:b/>
          <w:sz w:val="24"/>
          <w:szCs w:val="24"/>
        </w:rPr>
      </w:pPr>
    </w:p>
    <w:p w14:paraId="047190B7" w14:textId="77777777" w:rsidR="002C4C39" w:rsidRPr="002C030B" w:rsidRDefault="00DD228E" w:rsidP="000E0E20">
      <w:pPr>
        <w:pStyle w:val="Heading4"/>
        <w:rPr>
          <w:sz w:val="24"/>
        </w:rPr>
      </w:pPr>
      <w:r w:rsidRPr="00370668">
        <w:rPr>
          <w:sz w:val="24"/>
        </w:rPr>
        <w:t>Risk ratios, rate ratios, and hazard ratios</w:t>
      </w:r>
    </w:p>
    <w:p w14:paraId="13C95CC7" w14:textId="77777777" w:rsidR="003B79D2" w:rsidRPr="00046434" w:rsidRDefault="003B79D2" w:rsidP="003B79D2">
      <w:pPr>
        <w:pStyle w:val="NormalWeb"/>
      </w:pPr>
      <w:r w:rsidRPr="00046434">
        <w:t xml:space="preserve">Although use of the AUROC to quantify discrimination is common and easy to understand, </w:t>
      </w:r>
      <w:r>
        <w:t xml:space="preserve">choosing </w:t>
      </w:r>
      <w:r w:rsidRPr="00046434">
        <w:t xml:space="preserve">one </w:t>
      </w:r>
      <w:r>
        <w:t xml:space="preserve">time </w:t>
      </w:r>
      <w:r w:rsidRPr="00046434">
        <w:t xml:space="preserve">point </w:t>
      </w:r>
      <w:r>
        <w:t>to evaluate the outcome may lead</w:t>
      </w:r>
      <w:r w:rsidRPr="00046434">
        <w:t xml:space="preserve"> to loss of information. For example, </w:t>
      </w:r>
      <w:r>
        <w:t>making</w:t>
      </w:r>
      <w:r w:rsidRPr="00046434">
        <w:t xml:space="preserve"> survival </w:t>
      </w:r>
      <w:r>
        <w:t xml:space="preserve">dichotomous </w:t>
      </w:r>
      <w:r w:rsidRPr="00046434">
        <w:t xml:space="preserve">at </w:t>
      </w:r>
      <w:r w:rsidR="00604B7A">
        <w:t>10</w:t>
      </w:r>
      <w:r w:rsidRPr="00046434">
        <w:t xml:space="preserve"> years equates a death at 1 week with a death at</w:t>
      </w:r>
      <w:r>
        <w:t xml:space="preserve"> </w:t>
      </w:r>
      <w:r w:rsidR="00604B7A">
        <w:t>9</w:t>
      </w:r>
      <w:r w:rsidRPr="00046434">
        <w:t xml:space="preserve">.9 years, and a death at </w:t>
      </w:r>
      <w:r w:rsidR="00604B7A">
        <w:t>10</w:t>
      </w:r>
      <w:r w:rsidRPr="00046434">
        <w:t>.1 years with &gt;</w:t>
      </w:r>
      <w:r w:rsidR="00604B7A">
        <w:t>2</w:t>
      </w:r>
      <w:r w:rsidRPr="00046434">
        <w:t>0-year survival. One approach to this problem is to make a whole family of ROC curves for outcomes occurring at different time periods (e.g., 1-, 5</w:t>
      </w:r>
      <w:r>
        <w:t>-, 10</w:t>
      </w:r>
      <w:r w:rsidR="00E61EEA">
        <w:t>-</w:t>
      </w:r>
      <w:r w:rsidR="00604B7A">
        <w:t>, and 20</w:t>
      </w:r>
      <w:r w:rsidRPr="00046434">
        <w:t>-year survival</w:t>
      </w:r>
      <w:r>
        <w:t>).</w:t>
      </w:r>
    </w:p>
    <w:p w14:paraId="2EF8FCC9" w14:textId="0804BBD1" w:rsidR="007E6CC4" w:rsidRPr="00046434" w:rsidRDefault="00413191" w:rsidP="008C327B">
      <w:pPr>
        <w:widowControl w:val="0"/>
        <w:autoSpaceDE w:val="0"/>
        <w:autoSpaceDN w:val="0"/>
        <w:adjustRightInd w:val="0"/>
      </w:pPr>
      <w:r>
        <w:t xml:space="preserve">Some studies merely identify significant predictors of an outcome and report </w:t>
      </w:r>
      <w:r w:rsidR="003F348F" w:rsidRPr="003F348F">
        <w:rPr>
          <w:i/>
        </w:rPr>
        <w:t>relative</w:t>
      </w:r>
      <w:r w:rsidR="003F348F">
        <w:t xml:space="preserve"> measures like</w:t>
      </w:r>
      <w:r w:rsidR="00DD228E" w:rsidRPr="00046434">
        <w:t xml:space="preserve"> risk ratios, rate ratios, or hazard ratios. These measures all express the likelihood of developing the outcome in people who have a risk </w:t>
      </w:r>
      <w:r w:rsidR="00863345">
        <w:t>predictor</w:t>
      </w:r>
      <w:r w:rsidRPr="00046434">
        <w:t xml:space="preserve"> </w:t>
      </w:r>
      <w:r w:rsidR="00DD228E" w:rsidRPr="00046434">
        <w:t xml:space="preserve">compared with those who do not. As with the use of ROC curves, the use of risk ratios requires </w:t>
      </w:r>
      <w:r w:rsidR="00DC6D71">
        <w:t>evaluating for</w:t>
      </w:r>
      <w:r w:rsidR="00DD228E" w:rsidRPr="00046434">
        <w:t xml:space="preserve"> the outcome</w:t>
      </w:r>
      <w:r w:rsidR="00DC6D71">
        <w:t xml:space="preserve"> at a single time point</w:t>
      </w:r>
      <w:r w:rsidR="00DD228E" w:rsidRPr="00046434">
        <w:t>, which leads to loss of information about when the outcome occurred</w:t>
      </w:r>
      <w:r w:rsidR="00DC6D71">
        <w:t>.</w:t>
      </w:r>
      <w:r w:rsidR="00DD228E" w:rsidRPr="00046434">
        <w:t xml:space="preserve">  Rate ratios and hazard ratios can </w:t>
      </w:r>
      <w:proofErr w:type="gramStart"/>
      <w:r w:rsidR="00DD228E" w:rsidRPr="00046434">
        <w:t>take into account</w:t>
      </w:r>
      <w:proofErr w:type="gramEnd"/>
      <w:r w:rsidR="00DD228E" w:rsidRPr="00046434">
        <w:t xml:space="preserve"> variable times to the outcome</w:t>
      </w:r>
      <w:r w:rsidR="00DC6D71">
        <w:t xml:space="preserve">.   But </w:t>
      </w:r>
      <w:r w:rsidR="00863345">
        <w:t xml:space="preserve">the </w:t>
      </w:r>
      <w:r w:rsidR="00892ED0">
        <w:t>relative</w:t>
      </w:r>
      <w:r w:rsidR="00DD228E" w:rsidRPr="00046434">
        <w:t xml:space="preserve"> risk, rate</w:t>
      </w:r>
      <w:r w:rsidR="00863345">
        <w:t xml:space="preserve"> ratio</w:t>
      </w:r>
      <w:r w:rsidR="00DD228E" w:rsidRPr="00046434">
        <w:t xml:space="preserve">, or hazard ratio alone </w:t>
      </w:r>
      <w:r w:rsidR="008A5196">
        <w:t>is</w:t>
      </w:r>
      <w:r w:rsidR="008A5196" w:rsidRPr="00046434">
        <w:t xml:space="preserve"> </w:t>
      </w:r>
      <w:r w:rsidR="00710180">
        <w:t>not that</w:t>
      </w:r>
      <w:r w:rsidR="00DD228E" w:rsidRPr="00046434">
        <w:t xml:space="preserve"> useful</w:t>
      </w:r>
      <w:r w:rsidR="00CA63F0">
        <w:t xml:space="preserve"> for clinical decision making</w:t>
      </w:r>
      <w:r w:rsidR="00892ED0">
        <w:t xml:space="preserve">.  </w:t>
      </w:r>
      <w:r w:rsidR="003C4DE3">
        <w:t>Patients</w:t>
      </w:r>
      <w:r w:rsidR="00892ED0" w:rsidRPr="00892ED0">
        <w:t xml:space="preserve"> want to know their absolute risks. </w:t>
      </w:r>
      <w:r w:rsidR="00DD228E" w:rsidRPr="00046434">
        <w:t>They do not just want to know if their chance of dying in the next 5 years is half (or twice) as high as someone else</w:t>
      </w:r>
      <w:r w:rsidR="002C4C39" w:rsidRPr="00046434">
        <w:t>’</w:t>
      </w:r>
      <w:r w:rsidR="00DD228E" w:rsidRPr="00046434">
        <w:t>s; they want to know what their chance of dying</w:t>
      </w:r>
      <w:r w:rsidR="00CA63F0">
        <w:t xml:space="preserve"> (or expected survival time)</w:t>
      </w:r>
      <w:r w:rsidR="00DD228E" w:rsidRPr="00046434">
        <w:t xml:space="preserve"> actually</w:t>
      </w:r>
      <w:r w:rsidR="00DD228E" w:rsidRPr="008610D2">
        <w:t xml:space="preserve"> is</w:t>
      </w:r>
      <w:r w:rsidR="00DD228E" w:rsidRPr="00046434">
        <w:t xml:space="preserve"> – that is, their prognosis</w:t>
      </w:r>
      <w:r w:rsidR="00A903FF">
        <w:t>, and c</w:t>
      </w:r>
      <w:r w:rsidR="00892ED0" w:rsidRPr="00046434">
        <w:t>linical</w:t>
      </w:r>
      <w:r w:rsidR="00DD228E" w:rsidRPr="00046434">
        <w:t xml:space="preserve"> decisions should be based on absolute rather than relative risks.</w:t>
      </w:r>
    </w:p>
    <w:p w14:paraId="2106713B" w14:textId="77777777" w:rsidR="002C4C39" w:rsidRPr="00046434" w:rsidRDefault="00DD228E" w:rsidP="00413191">
      <w:pPr>
        <w:pStyle w:val="Heading4"/>
      </w:pPr>
      <w:r w:rsidRPr="00046434">
        <w:rPr>
          <w:rStyle w:val="Heading2Char"/>
        </w:rPr>
        <w:t xml:space="preserve">Assessing the value of </w:t>
      </w:r>
      <w:r w:rsidR="000E0E20">
        <w:rPr>
          <w:rStyle w:val="Heading2Char"/>
        </w:rPr>
        <w:t>predictions</w:t>
      </w:r>
    </w:p>
    <w:p w14:paraId="0F329F7B" w14:textId="27D545DD" w:rsidR="002C4C39" w:rsidRPr="00046434" w:rsidRDefault="000E0E20" w:rsidP="0056595C">
      <w:pPr>
        <w:pStyle w:val="NormalWeb"/>
      </w:pPr>
      <w:r>
        <w:t>Many predictors are</w:t>
      </w:r>
      <w:r w:rsidR="00DD228E" w:rsidRPr="00046434">
        <w:t xml:space="preserve"> available at little cost or risk; variables such as age, current symptom burden, extent of disease, and functional status are often highly predictive of </w:t>
      </w:r>
      <w:r>
        <w:t>outcome.</w:t>
      </w:r>
      <w:r w:rsidR="00DD228E" w:rsidRPr="00046434">
        <w:t xml:space="preserve"> </w:t>
      </w:r>
      <w:r w:rsidR="007B0FD4">
        <w:t xml:space="preserve"> W</w:t>
      </w:r>
      <w:r w:rsidR="007B0FD4" w:rsidRPr="00046434">
        <w:t xml:space="preserve">e should </w:t>
      </w:r>
      <w:r w:rsidR="007B0FD4">
        <w:t xml:space="preserve">use this information to help </w:t>
      </w:r>
      <w:r w:rsidR="003F6E63">
        <w:t>people</w:t>
      </w:r>
      <w:r w:rsidR="007B0FD4">
        <w:t xml:space="preserve"> obtain</w:t>
      </w:r>
      <w:r w:rsidR="007B0FD4" w:rsidRPr="00046434">
        <w:t xml:space="preserve"> an accurate </w:t>
      </w:r>
      <w:r>
        <w:t>assessment of their risk</w:t>
      </w:r>
      <w:r w:rsidR="00233A6A">
        <w:t xml:space="preserve">.  </w:t>
      </w:r>
      <w:r w:rsidR="003F6E63">
        <w:t xml:space="preserve">Patients </w:t>
      </w:r>
      <w:r w:rsidR="007B0FD4" w:rsidRPr="00046434">
        <w:t>may value prognostic information beyond its ability</w:t>
      </w:r>
      <w:r w:rsidR="007B0FD4">
        <w:t xml:space="preserve"> to help with clinical decision-</w:t>
      </w:r>
      <w:r w:rsidR="007B0FD4" w:rsidRPr="00046434">
        <w:t>making</w:t>
      </w:r>
      <w:r w:rsidR="00233A6A">
        <w:t xml:space="preserve"> because n</w:t>
      </w:r>
      <w:r w:rsidR="00A541B3">
        <w:t xml:space="preserve">ot all decisions </w:t>
      </w:r>
      <w:r w:rsidR="00896AC4">
        <w:t xml:space="preserve">are clinical </w:t>
      </w:r>
      <w:r w:rsidR="00A541B3">
        <w:t>(</w:t>
      </w:r>
      <w:r w:rsidR="00896AC4">
        <w:t xml:space="preserve">e.g., </w:t>
      </w:r>
      <w:r w:rsidR="00A541B3">
        <w:t xml:space="preserve">whether to take early retirement, sell the house, or </w:t>
      </w:r>
      <w:r w:rsidR="00A541B3">
        <w:lastRenderedPageBreak/>
        <w:t xml:space="preserve">move up the </w:t>
      </w:r>
      <w:r w:rsidR="00C06B55">
        <w:t xml:space="preserve">date of the </w:t>
      </w:r>
      <w:r w:rsidR="00A541B3">
        <w:t>family reunion)</w:t>
      </w:r>
      <w:r w:rsidR="00896AC4">
        <w:t>.</w:t>
      </w:r>
      <w:r w:rsidR="00A541B3">
        <w:t xml:space="preserve"> </w:t>
      </w:r>
      <w:r w:rsidR="00896AC4">
        <w:t xml:space="preserve"> </w:t>
      </w:r>
      <w:r w:rsidR="00DD228E" w:rsidRPr="00046434">
        <w:t xml:space="preserve">On the other hand, </w:t>
      </w:r>
      <w:r w:rsidR="00E74731">
        <w:t>some prognostic tests</w:t>
      </w:r>
      <w:r w:rsidR="00DD228E" w:rsidRPr="00046434">
        <w:t xml:space="preserve"> are risky or expensive</w:t>
      </w:r>
      <w:r w:rsidR="00E74731">
        <w:t>.</w:t>
      </w:r>
      <w:r w:rsidR="00DD228E" w:rsidRPr="00046434">
        <w:t xml:space="preserve"> </w:t>
      </w:r>
      <w:r w:rsidR="00A541B3">
        <w:t xml:space="preserve"> For the</w:t>
      </w:r>
      <w:r w:rsidR="007B0FD4">
        <w:t>se tests</w:t>
      </w:r>
      <w:r w:rsidR="00A541B3">
        <w:t xml:space="preserve">, value </w:t>
      </w:r>
      <w:r w:rsidR="00896AC4">
        <w:t xml:space="preserve">mainly </w:t>
      </w:r>
      <w:r w:rsidR="00A541B3">
        <w:t xml:space="preserve">depends on whether and </w:t>
      </w:r>
      <w:r w:rsidR="00233A6A">
        <w:t xml:space="preserve">to what </w:t>
      </w:r>
      <w:r w:rsidR="00A541B3">
        <w:t xml:space="preserve">extent they help </w:t>
      </w:r>
      <w:r w:rsidR="003D39CE">
        <w:t>improve</w:t>
      </w:r>
      <w:r w:rsidR="00A541B3">
        <w:t xml:space="preserve"> clinical decision</w:t>
      </w:r>
      <w:r w:rsidR="00233A6A">
        <w:t>s</w:t>
      </w:r>
      <w:r w:rsidR="00DD228E" w:rsidRPr="00046434">
        <w:t>.</w:t>
      </w:r>
    </w:p>
    <w:p w14:paraId="241CEA42" w14:textId="235F809D" w:rsidR="008E0E6B" w:rsidRDefault="003D0F08" w:rsidP="000D4CA2">
      <w:pPr>
        <w:pStyle w:val="NormalWeb"/>
      </w:pPr>
      <w:r>
        <w:t xml:space="preserve">The first step in evaluating </w:t>
      </w:r>
      <w:r w:rsidR="003D39CE">
        <w:t xml:space="preserve">a </w:t>
      </w:r>
      <w:r w:rsidR="005F1EA6">
        <w:t>risk</w:t>
      </w:r>
      <w:r>
        <w:t xml:space="preserve"> model is to identify the treatment or management decision the </w:t>
      </w:r>
      <w:r w:rsidR="006D6DB0">
        <w:t>risk estimate</w:t>
      </w:r>
      <w:r>
        <w:t xml:space="preserve"> is supposed to guide.  </w:t>
      </w:r>
      <w:r w:rsidR="003B4090">
        <w:t xml:space="preserve">In Chapter 2 we looked at how the value of doing a test varied with the prior probability of disease.  The answer depended on estimates of </w:t>
      </w:r>
      <w:r w:rsidR="00D87AD7">
        <w:t xml:space="preserve">C, </w:t>
      </w:r>
      <w:r w:rsidR="003B4090">
        <w:t>the cost or “regret” associated with t</w:t>
      </w:r>
      <w:r w:rsidR="00D87AD7">
        <w:t>reating someone without disease, and B, t</w:t>
      </w:r>
      <w:r w:rsidR="003B4090">
        <w:t>he cost of failing to</w:t>
      </w:r>
      <w:r w:rsidR="00D87AD7">
        <w:t xml:space="preserve"> treat someone with the disease.  These misclassification costs </w:t>
      </w:r>
      <w:r w:rsidR="003B4090">
        <w:t xml:space="preserve">determined the treatment threshold probability C/(C+B).  </w:t>
      </w:r>
      <w:r w:rsidR="00C20805">
        <w:t>Net benefit calculations and d</w:t>
      </w:r>
      <w:r w:rsidR="002B7795">
        <w:t>ecision curves</w:t>
      </w:r>
      <w:r w:rsidR="00A245C6">
        <w:t xml:space="preserve"> show </w:t>
      </w:r>
      <w:r w:rsidR="003B4090">
        <w:t>how the value of doing the</w:t>
      </w:r>
      <w:r w:rsidR="00D87AD7">
        <w:t xml:space="preserve"> predictive</w:t>
      </w:r>
      <w:r w:rsidR="003B4090">
        <w:t xml:space="preserve"> test varies with the treatment threshold in a population </w:t>
      </w:r>
      <w:r w:rsidR="002B7795">
        <w:t>that has a given</w:t>
      </w:r>
      <w:r w:rsidR="003B4090">
        <w:t xml:space="preserve"> overall proportion </w:t>
      </w:r>
      <w:r w:rsidR="002B7795">
        <w:t xml:space="preserve">P </w:t>
      </w:r>
      <w:r w:rsidR="00CA63F0">
        <w:t>that develops the outcome</w:t>
      </w:r>
      <w:r w:rsidR="003B4090">
        <w:t xml:space="preserve">.  </w:t>
      </w:r>
      <w:r w:rsidR="00C20805">
        <w:t xml:space="preserve">However, you may find understanding </w:t>
      </w:r>
      <w:r w:rsidR="00454D8A">
        <w:t xml:space="preserve">the next section on </w:t>
      </w:r>
      <w:r w:rsidR="00C20805">
        <w:t xml:space="preserve">net benefit calculations and decision curves more challenging than the other material in this chapter.  </w:t>
      </w:r>
      <w:r w:rsidR="00454D8A">
        <w:t xml:space="preserve">One </w:t>
      </w:r>
      <w:r w:rsidR="00C20805">
        <w:t>reason is that w</w:t>
      </w:r>
      <w:r w:rsidR="002B7795">
        <w:t xml:space="preserve">e will need to move from minimizing expected regret </w:t>
      </w:r>
      <w:r w:rsidR="00C20805">
        <w:t xml:space="preserve">(as in Chapters 2 and 3) </w:t>
      </w:r>
      <w:r w:rsidR="002B7795">
        <w:t>to maximizing expected net benefit.  This is</w:t>
      </w:r>
      <w:r w:rsidR="00F40BFC">
        <w:t xml:space="preserve"> just </w:t>
      </w:r>
      <w:r w:rsidR="002B7795">
        <w:t xml:space="preserve">a change in </w:t>
      </w:r>
      <w:r w:rsidR="00F40BFC">
        <w:t>terminology</w:t>
      </w:r>
      <w:r w:rsidR="002B7795">
        <w:t xml:space="preserve"> required for consistency </w:t>
      </w:r>
      <w:r w:rsidR="00E61EEA">
        <w:t>wi</w:t>
      </w:r>
      <w:r w:rsidR="007842AE">
        <w:t>th other risk-model discussions</w:t>
      </w:r>
      <w:r w:rsidR="00E61EEA">
        <w:t xml:space="preserve"> </w:t>
      </w:r>
      <w:r w:rsidR="007842AE">
        <w:fldChar w:fldCharType="begin"/>
      </w:r>
      <w:r w:rsidR="007A2979">
        <w:instrText xml:space="preserve"> ADDIN EN.CITE &lt;EndNote&gt;&lt;Cite&gt;&lt;Author&gt;Vickers&lt;/Author&gt;&lt;Year&gt;2016&lt;/Year&gt;&lt;RecNum&gt;1484&lt;/RecNum&gt;&lt;DisplayText&gt;[3]&lt;/DisplayText&gt;&lt;record&gt;&lt;rec-number&gt;1484&lt;/rec-number&gt;&lt;foreign-keys&gt;&lt;key app="EN" db-id="0ftvff9p80fp5few5s05f5fw9rd9fefrdzer" timestamp="1515387762"&gt;1484&lt;/key&gt;&lt;/foreign-keys&gt;&lt;ref-type name="Journal Article"&gt;17&lt;/ref-type&gt;&lt;contributors&gt;&lt;authors&gt;&lt;author&gt;Vickers, A. J.&lt;/author&gt;&lt;author&gt;Van Calster, B.&lt;/author&gt;&lt;author&gt;Steyerberg, E. W.&lt;/author&gt;&lt;/authors&gt;&lt;/contributors&gt;&lt;auth-address&gt;Department of Epidemiology and Biostatistics, Memorial Sloan Kettering Cancer Center, 485 Lexington Avenue, New York, NY 10017, USA vickersa@mskcc.org.&amp;#xD;KU Leuven, Department of Development and Regeneration, Leuven, Belgium Department of Public Health, Erasmus MC, &amp;apos;s-Gravendijkwal, Rotterdam, Netherlands.&amp;#xD;Department of Public Health, Erasmus MC, &amp;apos;s-Gravendijkwal, Rotterdam, Netherlands.&lt;/auth-address&gt;&lt;titles&gt;&lt;title&gt;Net benefit approaches to the evaluation of prediction models, molecular markers, and diagnostic tests&lt;/title&gt;&lt;secondary-title&gt;BMJ&lt;/secondary-title&gt;&lt;/titles&gt;&lt;periodical&gt;&lt;full-title&gt;BMJ&lt;/full-title&gt;&lt;/periodical&gt;&lt;pages&gt;i6&lt;/pages&gt;&lt;volume&gt;352&lt;/volume&gt;&lt;keywords&gt;&lt;keyword&gt;Biomarkers&lt;/keyword&gt;&lt;keyword&gt;*Decision Support Techniques&lt;/keyword&gt;&lt;keyword&gt;Diagnostic Tests, Routine/*methods&lt;/keyword&gt;&lt;keyword&gt;Humans&lt;/keyword&gt;&lt;keyword&gt;*Models, Statistical&lt;/keyword&gt;&lt;keyword&gt;*Predictive Value of Tests&lt;/keyword&gt;&lt;keyword&gt;ROC Curve&lt;/keyword&gt;&lt;/keywords&gt;&lt;dates&gt;&lt;year&gt;2016&lt;/year&gt;&lt;pub-dates&gt;&lt;date&gt;Jan 25&lt;/date&gt;&lt;/pub-dates&gt;&lt;/dates&gt;&lt;isbn&gt;1756-1833 (Electronic)&amp;#xD;0959-535X (Linking)&lt;/isbn&gt;&lt;accession-num&gt;26810254&lt;/accession-num&gt;&lt;urls&gt;&lt;related-urls&gt;&lt;url&gt;https://www.ncbi.nlm.nih.gov/pubmed/26810254&lt;/url&gt;&lt;/related-urls&gt;&lt;/urls&gt;&lt;custom2&gt;PMC4724785&lt;/custom2&gt;&lt;electronic-resource-num&gt;10.1136/bmj.i6&lt;/electronic-resource-num&gt;&lt;/record&gt;&lt;/Cite&gt;&lt;/EndNote&gt;</w:instrText>
      </w:r>
      <w:r w:rsidR="007842AE">
        <w:fldChar w:fldCharType="separate"/>
      </w:r>
      <w:r w:rsidR="007A2979">
        <w:rPr>
          <w:noProof/>
        </w:rPr>
        <w:t>[3]</w:t>
      </w:r>
      <w:r w:rsidR="007842AE">
        <w:fldChar w:fldCharType="end"/>
      </w:r>
      <w:r w:rsidR="002B7795">
        <w:t xml:space="preserve">. </w:t>
      </w:r>
      <w:r w:rsidR="00C20805">
        <w:t xml:space="preserve"> </w:t>
      </w:r>
      <w:r w:rsidR="00454D8A">
        <w:t xml:space="preserve">Another reason is that the discussion contains more algebra than we would have liked.  We have marked the next section with an asterisk, and you may want to skip it until you encounter a net benefit calculation or </w:t>
      </w:r>
      <w:r w:rsidR="00AB6C2B">
        <w:t>decision curve that you need to understand.</w:t>
      </w:r>
    </w:p>
    <w:p w14:paraId="058EDFDF" w14:textId="4B67DD3E" w:rsidR="00404788" w:rsidRPr="00F37640" w:rsidRDefault="00404788" w:rsidP="00A12FA2">
      <w:pPr>
        <w:pStyle w:val="Heading2"/>
        <w:rPr>
          <w:i/>
          <w:sz w:val="24"/>
          <w:szCs w:val="24"/>
        </w:rPr>
      </w:pPr>
      <w:r w:rsidRPr="00F37640">
        <w:rPr>
          <w:i/>
          <w:sz w:val="24"/>
          <w:szCs w:val="24"/>
        </w:rPr>
        <w:t>Beginning of Asterisked Section</w:t>
      </w:r>
    </w:p>
    <w:p w14:paraId="04539EC7" w14:textId="23C828FD" w:rsidR="00FB4354" w:rsidRPr="00FB4354" w:rsidRDefault="00FB4354" w:rsidP="00077310">
      <w:pPr>
        <w:pStyle w:val="Heading5"/>
      </w:pPr>
      <w:r w:rsidRPr="00FB4354">
        <w:t>Net Benefit</w:t>
      </w:r>
      <w:r w:rsidR="00CA63F0">
        <w:t xml:space="preserve"> Calculations</w:t>
      </w:r>
      <w:r w:rsidR="00AB6C2B">
        <w:t xml:space="preserve"> and Graphs*</w:t>
      </w:r>
    </w:p>
    <w:p w14:paraId="16FEDFA2" w14:textId="36535902" w:rsidR="00460CE7" w:rsidRDefault="00233A6A" w:rsidP="000D4CA2">
      <w:pPr>
        <w:pStyle w:val="NormalWeb"/>
      </w:pPr>
      <w:r>
        <w:t>Recall that the regret graph</w:t>
      </w:r>
      <w:r w:rsidR="00CA63F0">
        <w:t>s from Chapters 2 and 3</w:t>
      </w:r>
      <w:r>
        <w:t xml:space="preserve"> had probability of disease </w:t>
      </w:r>
      <w:r w:rsidR="00F475F7">
        <w:t xml:space="preserve">P(D+) </w:t>
      </w:r>
      <w:r>
        <w:t xml:space="preserve">on </w:t>
      </w:r>
      <w:r w:rsidR="003D0F08">
        <w:t xml:space="preserve">the </w:t>
      </w:r>
      <w:r w:rsidR="00347472">
        <w:t>X-</w:t>
      </w:r>
      <w:r>
        <w:t>ax</w:t>
      </w:r>
      <w:r w:rsidR="00347472">
        <w:t xml:space="preserve">is and expected </w:t>
      </w:r>
      <w:r w:rsidR="002E7C49">
        <w:t>cost</w:t>
      </w:r>
      <w:r w:rsidR="00F717E5">
        <w:rPr>
          <w:rStyle w:val="FootnoteReference"/>
        </w:rPr>
        <w:footnoteReference w:id="7"/>
      </w:r>
      <w:r w:rsidR="002E7C49">
        <w:t xml:space="preserve"> </w:t>
      </w:r>
      <w:r w:rsidR="00347472">
        <w:t>on the Y-</w:t>
      </w:r>
      <w:r>
        <w:t xml:space="preserve">axis.  B was the </w:t>
      </w:r>
      <w:r w:rsidR="00F717E5">
        <w:t xml:space="preserve">cost </w:t>
      </w:r>
      <w:r>
        <w:t xml:space="preserve">of failing to treat a D+ </w:t>
      </w:r>
      <w:r w:rsidR="00C4431D">
        <w:t>subject</w:t>
      </w:r>
      <w:r>
        <w:t xml:space="preserve"> and C was the </w:t>
      </w:r>
      <w:r w:rsidR="00F717E5">
        <w:t xml:space="preserve">cost </w:t>
      </w:r>
      <w:r w:rsidR="003D0F08">
        <w:t>of</w:t>
      </w:r>
      <w:r>
        <w:t xml:space="preserve"> treating a D- </w:t>
      </w:r>
      <w:r w:rsidR="00C4431D">
        <w:t>subject</w:t>
      </w:r>
      <w:r>
        <w:t xml:space="preserve"> unnecessarily. </w:t>
      </w:r>
      <w:r w:rsidR="008E0E6B">
        <w:t xml:space="preserve">  </w:t>
      </w:r>
      <w:r w:rsidR="0047280E">
        <w:t xml:space="preserve">“No Treat” was optimal as long as </w:t>
      </w:r>
      <w:r w:rsidR="0047280E" w:rsidRPr="00EF0B7F">
        <w:t>P</w:t>
      </w:r>
      <w:r w:rsidR="00EF0B7F" w:rsidRPr="00EF0B7F">
        <w:rPr>
          <w:rFonts w:eastAsia="MS Gothic"/>
        </w:rPr>
        <w:t>×</w:t>
      </w:r>
      <w:r w:rsidR="0047280E" w:rsidRPr="00EF0B7F">
        <w:rPr>
          <w:rFonts w:eastAsia="MS Gothic"/>
        </w:rPr>
        <w:t>B</w:t>
      </w:r>
      <w:r w:rsidR="0047280E">
        <w:rPr>
          <w:rFonts w:eastAsia="MS Gothic"/>
        </w:rPr>
        <w:t xml:space="preserve"> &lt; </w:t>
      </w:r>
      <w:r w:rsidR="00EF0B7F">
        <w:rPr>
          <w:rFonts w:eastAsia="MS Gothic"/>
        </w:rPr>
        <w:t xml:space="preserve">(1 – </w:t>
      </w:r>
      <w:proofErr w:type="gramStart"/>
      <w:r w:rsidR="00EF0B7F">
        <w:rPr>
          <w:rFonts w:eastAsia="MS Gothic"/>
        </w:rPr>
        <w:t>P)×</w:t>
      </w:r>
      <w:proofErr w:type="gramEnd"/>
      <w:r w:rsidR="00EF0B7F">
        <w:rPr>
          <w:rFonts w:eastAsia="MS Gothic"/>
        </w:rPr>
        <w:t xml:space="preserve">C.  </w:t>
      </w:r>
      <w:r w:rsidR="008E0E6B">
        <w:t>The threshold probability P</w:t>
      </w:r>
      <w:r w:rsidR="008E0E6B">
        <w:rPr>
          <w:vertAlign w:val="subscript"/>
        </w:rPr>
        <w:t>TT</w:t>
      </w:r>
      <w:r w:rsidR="008E0E6B">
        <w:t xml:space="preserve"> was C/(C+B).</w:t>
      </w:r>
      <w:r w:rsidR="0047280E">
        <w:t xml:space="preserve"> (</w:t>
      </w:r>
      <w:r w:rsidR="0047280E" w:rsidRPr="009100ED">
        <w:rPr>
          <w:highlight w:val="yellow"/>
        </w:rPr>
        <w:t>Figure 6.6.A</w:t>
      </w:r>
      <w:proofErr w:type="gramStart"/>
      <w:r w:rsidR="0047280E" w:rsidRPr="009100ED">
        <w:rPr>
          <w:highlight w:val="yellow"/>
        </w:rPr>
        <w:t>)</w:t>
      </w:r>
      <w:r w:rsidR="0047280E">
        <w:t xml:space="preserve">  </w:t>
      </w:r>
      <w:r w:rsidR="00EF0B7F">
        <w:t>Now</w:t>
      </w:r>
      <w:proofErr w:type="gramEnd"/>
      <w:r w:rsidR="00EF0B7F">
        <w:t xml:space="preserve">, </w:t>
      </w:r>
      <w:r w:rsidR="00CA63F0">
        <w:t xml:space="preserve">to create a net benefit graph, </w:t>
      </w:r>
      <w:r w:rsidR="00EF0B7F">
        <w:t xml:space="preserve">we compare everything relative to the “No Treat” strategy </w:t>
      </w:r>
      <w:r w:rsidR="007376A7">
        <w:t>(</w:t>
      </w:r>
      <w:r w:rsidR="00EF0B7F">
        <w:t>to which we assign expected regret = 0</w:t>
      </w:r>
      <w:r w:rsidR="007376A7">
        <w:t>)</w:t>
      </w:r>
      <w:r w:rsidR="00EF0B7F">
        <w:t xml:space="preserve">. </w:t>
      </w:r>
      <w:r w:rsidR="00972273">
        <w:t xml:space="preserve">“No Treat” is optimal as long as </w:t>
      </w:r>
      <w:r w:rsidR="00972273">
        <w:rPr>
          <w:rFonts w:eastAsia="MS Gothic"/>
        </w:rPr>
        <w:t xml:space="preserve">(1 – </w:t>
      </w:r>
      <w:proofErr w:type="gramStart"/>
      <w:r w:rsidR="00972273">
        <w:rPr>
          <w:rFonts w:eastAsia="MS Gothic"/>
        </w:rPr>
        <w:t>P)×</w:t>
      </w:r>
      <w:proofErr w:type="gramEnd"/>
      <w:r w:rsidR="00972273">
        <w:rPr>
          <w:rFonts w:eastAsia="MS Gothic"/>
        </w:rPr>
        <w:t>C -</w:t>
      </w:r>
      <w:r w:rsidR="00972273" w:rsidRPr="00972273">
        <w:t xml:space="preserve"> </w:t>
      </w:r>
      <w:r w:rsidR="00972273" w:rsidRPr="00EF0B7F">
        <w:t>P</w:t>
      </w:r>
      <w:r w:rsidR="00972273" w:rsidRPr="00EF0B7F">
        <w:rPr>
          <w:rFonts w:eastAsia="MS Gothic"/>
        </w:rPr>
        <w:t>×B</w:t>
      </w:r>
      <w:r w:rsidR="00972273">
        <w:rPr>
          <w:rFonts w:eastAsia="MS Gothic"/>
        </w:rPr>
        <w:t xml:space="preserve"> &gt; 0.</w:t>
      </w:r>
      <w:r w:rsidR="00EF0B7F">
        <w:t xml:space="preserve"> (</w:t>
      </w:r>
      <w:r w:rsidR="00EF0B7F" w:rsidRPr="009100ED">
        <w:rPr>
          <w:highlight w:val="yellow"/>
        </w:rPr>
        <w:t>Figure 6.6.B</w:t>
      </w:r>
      <w:proofErr w:type="gramStart"/>
      <w:r w:rsidR="00EF0B7F">
        <w:t>)  Next</w:t>
      </w:r>
      <w:proofErr w:type="gramEnd"/>
      <w:r w:rsidR="007376A7">
        <w:t>,</w:t>
      </w:r>
      <w:r w:rsidR="00EF0B7F">
        <w:t xml:space="preserve"> we flip everything over,</w:t>
      </w:r>
      <w:r w:rsidR="00F475F7">
        <w:t xml:space="preserve"> so that the Y-</w:t>
      </w:r>
      <w:r w:rsidR="00EF0B7F">
        <w:t xml:space="preserve">axis becomes expected net benefit and higher on the graph is better. </w:t>
      </w:r>
      <w:r w:rsidR="00972273">
        <w:t xml:space="preserve">“No Treat” is optimal as long </w:t>
      </w:r>
      <w:r w:rsidR="005D4F5B" w:rsidRPr="00EF0B7F">
        <w:t>P</w:t>
      </w:r>
      <w:r w:rsidR="005D4F5B" w:rsidRPr="00EF0B7F">
        <w:rPr>
          <w:rFonts w:eastAsia="MS Gothic"/>
        </w:rPr>
        <w:t>×B</w:t>
      </w:r>
      <w:r w:rsidR="005D4F5B">
        <w:rPr>
          <w:rFonts w:eastAsia="MS Gothic"/>
        </w:rPr>
        <w:t xml:space="preserve"> </w:t>
      </w:r>
      <w:r w:rsidR="005D4F5B">
        <w:t xml:space="preserve">- </w:t>
      </w:r>
      <w:r w:rsidR="005D4F5B">
        <w:rPr>
          <w:rFonts w:eastAsia="MS Gothic"/>
        </w:rPr>
        <w:t xml:space="preserve">(1 – </w:t>
      </w:r>
      <w:proofErr w:type="gramStart"/>
      <w:r w:rsidR="005D4F5B">
        <w:rPr>
          <w:rFonts w:eastAsia="MS Gothic"/>
        </w:rPr>
        <w:t>P)×</w:t>
      </w:r>
      <w:proofErr w:type="gramEnd"/>
      <w:r w:rsidR="005D4F5B">
        <w:rPr>
          <w:rFonts w:eastAsia="MS Gothic"/>
        </w:rPr>
        <w:t>C &gt; 0.</w:t>
      </w:r>
      <w:r w:rsidR="00972273">
        <w:t xml:space="preserve"> </w:t>
      </w:r>
      <w:r w:rsidR="00EF0B7F">
        <w:t>(</w:t>
      </w:r>
      <w:r w:rsidR="00EF0B7F" w:rsidRPr="009100ED">
        <w:rPr>
          <w:highlight w:val="yellow"/>
        </w:rPr>
        <w:t>Figure 6.6.C</w:t>
      </w:r>
      <w:r w:rsidR="00EF0B7F">
        <w:t xml:space="preserve">) Lastly, we divide through by B so that the net benefit of treating a D+ </w:t>
      </w:r>
      <w:r w:rsidR="00C4431D">
        <w:t>subject</w:t>
      </w:r>
      <w:r w:rsidR="00EF0B7F">
        <w:t xml:space="preserve"> is 1 and the net benefit of treating a D- </w:t>
      </w:r>
      <w:r w:rsidR="00C4431D">
        <w:t>subject</w:t>
      </w:r>
      <w:r w:rsidR="00EF0B7F">
        <w:t xml:space="preserve"> </w:t>
      </w:r>
      <w:r w:rsidR="00841AB4">
        <w:t xml:space="preserve">is </w:t>
      </w:r>
      <w:r w:rsidR="00EF0B7F">
        <w:t xml:space="preserve">–C/B.  </w:t>
      </w:r>
    </w:p>
    <w:p w14:paraId="4AD60B30" w14:textId="08FDB8CD" w:rsidR="00460CE7" w:rsidRDefault="00460CE7" w:rsidP="00841AB4">
      <w:pPr>
        <w:pStyle w:val="NormalWeb"/>
        <w:jc w:val="center"/>
      </w:pPr>
      <w:r>
        <w:t>Expected Net Benefit</w:t>
      </w:r>
      <w:r w:rsidR="00CA63F0">
        <w:t xml:space="preserve"> of treating</w:t>
      </w:r>
      <w:r>
        <w:t xml:space="preserve"> = P – (C/</w:t>
      </w:r>
      <w:proofErr w:type="gramStart"/>
      <w:r>
        <w:t>B)×</w:t>
      </w:r>
      <w:proofErr w:type="gramEnd"/>
      <w:r>
        <w:t>(1-P)</w:t>
      </w:r>
    </w:p>
    <w:p w14:paraId="10781944" w14:textId="77777777" w:rsidR="00F44153" w:rsidRPr="00496C29" w:rsidRDefault="005D4F5B" w:rsidP="00C06B55">
      <w:pPr>
        <w:pStyle w:val="NormalWeb"/>
      </w:pPr>
      <w:r>
        <w:t>“No Treat” is optimal as long as expected net benefit is &lt; 0.  (</w:t>
      </w:r>
      <w:r w:rsidRPr="009100ED">
        <w:rPr>
          <w:highlight w:val="yellow"/>
        </w:rPr>
        <w:t>Figure 6.6D</w:t>
      </w:r>
      <w:proofErr w:type="gramStart"/>
      <w:r>
        <w:t xml:space="preserve">)  </w:t>
      </w:r>
      <w:r w:rsidR="00460CE7">
        <w:t>Since</w:t>
      </w:r>
      <w:proofErr w:type="gramEnd"/>
      <w:r w:rsidR="00460CE7">
        <w:t xml:space="preserve"> all we have changed is the accounting, the treatment threshold probability P</w:t>
      </w:r>
      <w:r w:rsidR="00460CE7">
        <w:rPr>
          <w:vertAlign w:val="subscript"/>
        </w:rPr>
        <w:t>TT</w:t>
      </w:r>
      <w:r w:rsidR="00460CE7">
        <w:t xml:space="preserve"> remains C/(C+B).</w:t>
      </w:r>
      <w:r w:rsidR="00841AB4">
        <w:t xml:space="preserve">  </w:t>
      </w:r>
      <w:r w:rsidR="008B48E8">
        <w:t>Also, remember converting from probability to odds, so treatment threshold odds</w:t>
      </w:r>
      <w:r w:rsidR="00496C29">
        <w:t xml:space="preserve"> P</w:t>
      </w:r>
      <w:r w:rsidR="00496C29">
        <w:rPr>
          <w:vertAlign w:val="subscript"/>
        </w:rPr>
        <w:t>TT</w:t>
      </w:r>
      <w:proofErr w:type="gramStart"/>
      <w:r w:rsidR="00496C29">
        <w:t>/(</w:t>
      </w:r>
      <w:proofErr w:type="gramEnd"/>
      <w:r w:rsidR="00496C29">
        <w:t>1-</w:t>
      </w:r>
      <w:r w:rsidR="00496C29" w:rsidRPr="00496C29">
        <w:t xml:space="preserve"> </w:t>
      </w:r>
      <w:r w:rsidR="00496C29">
        <w:t>P</w:t>
      </w:r>
      <w:r w:rsidR="00496C29">
        <w:rPr>
          <w:vertAlign w:val="subscript"/>
        </w:rPr>
        <w:t>TT</w:t>
      </w:r>
      <w:r w:rsidR="00496C29">
        <w:t>) = C/B.</w:t>
      </w:r>
    </w:p>
    <w:p w14:paraId="6A6DFD99" w14:textId="77777777" w:rsidR="008E0E6B" w:rsidRPr="008E0E6B" w:rsidRDefault="00A222E2" w:rsidP="00F44153">
      <w:pPr>
        <w:pStyle w:val="NormalWeb"/>
        <w:ind w:right="-90"/>
      </w:pPr>
      <w:r>
        <w:rPr>
          <w:noProof/>
        </w:rPr>
        <w:lastRenderedPageBreak/>
        <w:drawing>
          <wp:inline distT="0" distB="0" distL="0" distR="0" wp14:anchorId="411B54F2" wp14:editId="5096A580">
            <wp:extent cx="2743200" cy="2205990"/>
            <wp:effectExtent l="0" t="0" r="0" b="3810"/>
            <wp:docPr id="13" name="Picture 2" descr="Fig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ig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2205990"/>
                    </a:xfrm>
                    <a:prstGeom prst="rect">
                      <a:avLst/>
                    </a:prstGeom>
                    <a:noFill/>
                    <a:ln>
                      <a:noFill/>
                    </a:ln>
                  </pic:spPr>
                </pic:pic>
              </a:graphicData>
            </a:graphic>
          </wp:inline>
        </w:drawing>
      </w:r>
      <w:r>
        <w:rPr>
          <w:noProof/>
        </w:rPr>
        <w:drawing>
          <wp:inline distT="0" distB="0" distL="0" distR="0" wp14:anchorId="3E57F452" wp14:editId="4F44B8F1">
            <wp:extent cx="2757805" cy="2256790"/>
            <wp:effectExtent l="0" t="0" r="0" b="3810"/>
            <wp:docPr id="12" name="Picture 3" descr="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7805" cy="2256790"/>
                    </a:xfrm>
                    <a:prstGeom prst="rect">
                      <a:avLst/>
                    </a:prstGeom>
                    <a:noFill/>
                    <a:ln>
                      <a:noFill/>
                    </a:ln>
                  </pic:spPr>
                </pic:pic>
              </a:graphicData>
            </a:graphic>
          </wp:inline>
        </w:drawing>
      </w:r>
    </w:p>
    <w:p w14:paraId="18A6C3C1" w14:textId="77777777" w:rsidR="00233A6A" w:rsidRDefault="00A222E2" w:rsidP="00F44153">
      <w:pPr>
        <w:pStyle w:val="NormalWeb"/>
        <w:ind w:right="-90"/>
      </w:pPr>
      <w:r>
        <w:rPr>
          <w:noProof/>
        </w:rPr>
        <w:drawing>
          <wp:inline distT="0" distB="0" distL="0" distR="0" wp14:anchorId="1A77D683" wp14:editId="026D14B8">
            <wp:extent cx="2670810" cy="2264410"/>
            <wp:effectExtent l="0" t="0" r="0" b="0"/>
            <wp:docPr id="11" name="Picture 4" descr="Figure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igure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0810" cy="2264410"/>
                    </a:xfrm>
                    <a:prstGeom prst="rect">
                      <a:avLst/>
                    </a:prstGeom>
                    <a:noFill/>
                    <a:ln>
                      <a:noFill/>
                    </a:ln>
                  </pic:spPr>
                </pic:pic>
              </a:graphicData>
            </a:graphic>
          </wp:inline>
        </w:drawing>
      </w:r>
      <w:r>
        <w:rPr>
          <w:noProof/>
        </w:rPr>
        <w:drawing>
          <wp:inline distT="0" distB="0" distL="0" distR="0" wp14:anchorId="2DC08201" wp14:editId="4D482BD1">
            <wp:extent cx="2757805" cy="2271395"/>
            <wp:effectExtent l="0" t="0" r="0" b="1905"/>
            <wp:docPr id="10" name="Picture 5" descr="Fig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Fig6"/>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7805" cy="2271395"/>
                    </a:xfrm>
                    <a:prstGeom prst="rect">
                      <a:avLst/>
                    </a:prstGeom>
                    <a:noFill/>
                    <a:ln>
                      <a:noFill/>
                    </a:ln>
                  </pic:spPr>
                </pic:pic>
              </a:graphicData>
            </a:graphic>
          </wp:inline>
        </w:drawing>
      </w:r>
    </w:p>
    <w:p w14:paraId="50B08F8A" w14:textId="77777777" w:rsidR="004C2522" w:rsidRDefault="00B82F3D" w:rsidP="000D4CA2">
      <w:pPr>
        <w:pStyle w:val="NormalWeb"/>
      </w:pPr>
      <w:r>
        <w:t xml:space="preserve">Figure </w:t>
      </w:r>
      <w:proofErr w:type="gramStart"/>
      <w:r>
        <w:t>6.6  Treatment</w:t>
      </w:r>
      <w:proofErr w:type="gramEnd"/>
      <w:r>
        <w:t xml:space="preserve"> threshold probability </w:t>
      </w:r>
      <w:r w:rsidR="0047280E">
        <w:t xml:space="preserve">(0.333 in these figures) </w:t>
      </w:r>
      <w:r>
        <w:t>stays the same whether minimizing expected regret (Panels A and B) or maximizing expected net benefit (Panels C and D).</w:t>
      </w:r>
      <w:r w:rsidR="007376A7">
        <w:t xml:space="preserve">  Panel A: Treat when (1-</w:t>
      </w:r>
      <w:proofErr w:type="gramStart"/>
      <w:r w:rsidR="007376A7">
        <w:t>P)×</w:t>
      </w:r>
      <w:proofErr w:type="gramEnd"/>
      <w:r w:rsidR="007376A7">
        <w:t>C &lt; P×B.  Panel B: Treat when (1-</w:t>
      </w:r>
      <w:proofErr w:type="gramStart"/>
      <w:r w:rsidR="007376A7">
        <w:t>P)×</w:t>
      </w:r>
      <w:proofErr w:type="gramEnd"/>
      <w:r w:rsidR="007376A7">
        <w:t>C - P×B &lt; 0.  Panel C: Treat when P×B - (1-</w:t>
      </w:r>
      <w:proofErr w:type="gramStart"/>
      <w:r w:rsidR="007376A7">
        <w:t>P)×</w:t>
      </w:r>
      <w:proofErr w:type="gramEnd"/>
      <w:r w:rsidR="007376A7">
        <w:t>C &gt; 0.  Panel D: Treat when P – (C/</w:t>
      </w:r>
      <w:proofErr w:type="gramStart"/>
      <w:r w:rsidR="007376A7">
        <w:t>B)×</w:t>
      </w:r>
      <w:proofErr w:type="gramEnd"/>
      <w:r w:rsidR="007376A7">
        <w:t>(1-P) &gt; 0.</w:t>
      </w:r>
    </w:p>
    <w:p w14:paraId="207F8577" w14:textId="77777777" w:rsidR="00ED0090" w:rsidRDefault="00ED0090" w:rsidP="000D4CA2">
      <w:pPr>
        <w:pStyle w:val="NormalWeb"/>
      </w:pPr>
      <w:r>
        <w:t xml:space="preserve">Now, we are ready to calculate the </w:t>
      </w:r>
      <w:r w:rsidR="00F475F7">
        <w:t xml:space="preserve">standardized </w:t>
      </w:r>
      <w:r>
        <w:t>net benefit associated with a risk model.  Here are the steps:</w:t>
      </w:r>
    </w:p>
    <w:p w14:paraId="572FE206" w14:textId="14709F42" w:rsidR="00C33462" w:rsidRDefault="00C33462" w:rsidP="00C33462">
      <w:pPr>
        <w:pStyle w:val="NormalWeb"/>
        <w:numPr>
          <w:ilvl w:val="0"/>
          <w:numId w:val="1"/>
        </w:numPr>
      </w:pPr>
      <w:r>
        <w:t>O</w:t>
      </w:r>
      <w:r w:rsidR="00ED0090">
        <w:t>btain the risk prediction</w:t>
      </w:r>
      <w:r w:rsidR="00CA63F0">
        <w:t xml:space="preserve"> </w:t>
      </w:r>
      <w:proofErr w:type="spellStart"/>
      <w:r w:rsidR="00CA63F0">
        <w:t>r</w:t>
      </w:r>
      <w:r w:rsidR="00CA63F0" w:rsidRPr="003F6E63">
        <w:rPr>
          <w:vertAlign w:val="subscript"/>
        </w:rPr>
        <w:t>i</w:t>
      </w:r>
      <w:proofErr w:type="spellEnd"/>
      <w:r w:rsidR="00ED0090">
        <w:t xml:space="preserve"> for each of the N individuals in </w:t>
      </w:r>
      <w:r w:rsidR="002140A7">
        <w:t xml:space="preserve">an untreated </w:t>
      </w:r>
      <w:r>
        <w:t xml:space="preserve">cohort </w:t>
      </w:r>
      <w:r w:rsidR="00ED0090">
        <w:t>(r</w:t>
      </w:r>
      <w:r w:rsidR="00ED0090">
        <w:rPr>
          <w:vertAlign w:val="subscript"/>
        </w:rPr>
        <w:t>1</w:t>
      </w:r>
      <w:r w:rsidR="00ED0090">
        <w:t>, r</w:t>
      </w:r>
      <w:r w:rsidR="00ED0090">
        <w:rPr>
          <w:vertAlign w:val="subscript"/>
        </w:rPr>
        <w:t>2</w:t>
      </w:r>
      <w:r w:rsidR="00ED0090">
        <w:t>, …, r</w:t>
      </w:r>
      <w:r w:rsidR="00ED0090">
        <w:rPr>
          <w:vertAlign w:val="subscript"/>
        </w:rPr>
        <w:t>N-</w:t>
      </w:r>
      <w:r>
        <w:rPr>
          <w:vertAlign w:val="subscript"/>
        </w:rPr>
        <w:t>1</w:t>
      </w:r>
      <w:r w:rsidR="00ED0090">
        <w:t xml:space="preserve">, </w:t>
      </w:r>
      <w:proofErr w:type="spellStart"/>
      <w:r w:rsidR="00ED0090">
        <w:t>r</w:t>
      </w:r>
      <w:r w:rsidR="00ED0090">
        <w:rPr>
          <w:vertAlign w:val="subscript"/>
        </w:rPr>
        <w:t>N</w:t>
      </w:r>
      <w:proofErr w:type="spellEnd"/>
      <w:r w:rsidR="00ED0090">
        <w:t>).</w:t>
      </w:r>
    </w:p>
    <w:p w14:paraId="65B406D9" w14:textId="77777777" w:rsidR="00C33462" w:rsidRDefault="00C33462" w:rsidP="00C33462">
      <w:pPr>
        <w:pStyle w:val="NormalWeb"/>
        <w:numPr>
          <w:ilvl w:val="0"/>
          <w:numId w:val="1"/>
        </w:numPr>
      </w:pPr>
      <w:r>
        <w:t xml:space="preserve">Choose a risk threshold </w:t>
      </w:r>
      <w:r w:rsidR="002140A7">
        <w:t xml:space="preserve">for treatment, </w:t>
      </w:r>
      <w:r w:rsidR="007165A2">
        <w:t>R</w:t>
      </w:r>
      <w:r>
        <w:rPr>
          <w:vertAlign w:val="subscript"/>
        </w:rPr>
        <w:t>TT</w:t>
      </w:r>
      <w:r>
        <w:t xml:space="preserve"> = C/(C+B).</w:t>
      </w:r>
    </w:p>
    <w:p w14:paraId="4677AAA4" w14:textId="77777777" w:rsidR="00C33462" w:rsidRDefault="00C33462" w:rsidP="00C33462">
      <w:pPr>
        <w:pStyle w:val="NormalWeb"/>
        <w:numPr>
          <w:ilvl w:val="0"/>
          <w:numId w:val="1"/>
        </w:numPr>
      </w:pPr>
      <w:r>
        <w:t xml:space="preserve">For individual </w:t>
      </w:r>
      <w:proofErr w:type="spellStart"/>
      <w:r>
        <w:t>i</w:t>
      </w:r>
      <w:proofErr w:type="spellEnd"/>
      <w:r>
        <w:t xml:space="preserve">, if </w:t>
      </w:r>
      <w:proofErr w:type="spellStart"/>
      <w:r>
        <w:t>r</w:t>
      </w:r>
      <w:r>
        <w:rPr>
          <w:vertAlign w:val="subscript"/>
        </w:rPr>
        <w:t>i</w:t>
      </w:r>
      <w:proofErr w:type="spellEnd"/>
      <w:r>
        <w:t xml:space="preserve"> &gt; </w:t>
      </w:r>
      <w:r w:rsidR="007165A2">
        <w:t>R</w:t>
      </w:r>
      <w:r>
        <w:rPr>
          <w:vertAlign w:val="subscript"/>
        </w:rPr>
        <w:t>TT</w:t>
      </w:r>
      <w:r>
        <w:t xml:space="preserve"> and the outcome occurred, classify as a true positive (TP); if </w:t>
      </w:r>
      <w:proofErr w:type="spellStart"/>
      <w:r>
        <w:t>r</w:t>
      </w:r>
      <w:r>
        <w:rPr>
          <w:vertAlign w:val="subscript"/>
        </w:rPr>
        <w:t>i</w:t>
      </w:r>
      <w:proofErr w:type="spellEnd"/>
      <w:r>
        <w:t xml:space="preserve"> &gt; </w:t>
      </w:r>
      <w:r w:rsidR="007165A2">
        <w:t>R</w:t>
      </w:r>
      <w:r>
        <w:rPr>
          <w:vertAlign w:val="subscript"/>
        </w:rPr>
        <w:t>TT</w:t>
      </w:r>
      <w:r>
        <w:t xml:space="preserve"> and the outcome did not occur, classify as a false positive (FP)</w:t>
      </w:r>
      <w:r w:rsidR="00456B6E">
        <w:t>.</w:t>
      </w:r>
    </w:p>
    <w:p w14:paraId="77DA406C" w14:textId="77777777" w:rsidR="00C33462" w:rsidRDefault="00C33462" w:rsidP="00C33462">
      <w:pPr>
        <w:pStyle w:val="NormalWeb"/>
        <w:numPr>
          <w:ilvl w:val="0"/>
          <w:numId w:val="1"/>
        </w:numPr>
      </w:pPr>
      <w:r>
        <w:t>Calculate the population net benefit</w:t>
      </w:r>
      <w:r w:rsidR="00202FA3">
        <w:t xml:space="preserve"> (NB)</w:t>
      </w:r>
      <w:r>
        <w:t xml:space="preserve">: </w:t>
      </w:r>
    </w:p>
    <w:p w14:paraId="0AE67031" w14:textId="77777777" w:rsidR="00C33462" w:rsidRPr="00F475F7" w:rsidRDefault="00C33462" w:rsidP="00C33462">
      <w:pPr>
        <w:pStyle w:val="NormalWeb"/>
      </w:pPr>
      <w:r>
        <w:tab/>
      </w:r>
      <w:r>
        <w:tab/>
      </w:r>
      <w:r w:rsidR="00202FA3" w:rsidRPr="00F475F7">
        <w:t>NB</w:t>
      </w:r>
      <w:r w:rsidRPr="00F475F7">
        <w:t xml:space="preserve"> = TP</w:t>
      </w:r>
      <w:r w:rsidR="0085486D" w:rsidRPr="00F475F7">
        <w:t>/N</w:t>
      </w:r>
      <w:r w:rsidRPr="00F475F7">
        <w:t xml:space="preserve"> </w:t>
      </w:r>
      <w:r w:rsidR="0085486D" w:rsidRPr="00F475F7">
        <w:t>–</w:t>
      </w:r>
      <w:r w:rsidRPr="00F475F7">
        <w:t xml:space="preserve"> </w:t>
      </w:r>
      <w:r w:rsidR="0085486D" w:rsidRPr="00F475F7">
        <w:t>(C/</w:t>
      </w:r>
      <w:proofErr w:type="gramStart"/>
      <w:r w:rsidR="0085486D" w:rsidRPr="00F475F7">
        <w:t>B)×</w:t>
      </w:r>
      <w:proofErr w:type="gramEnd"/>
      <w:r w:rsidR="0085486D" w:rsidRPr="00F475F7">
        <w:t>FP/N</w:t>
      </w:r>
    </w:p>
    <w:p w14:paraId="456AAC24" w14:textId="77777777" w:rsidR="0085486D" w:rsidRDefault="006F66E9" w:rsidP="005F62FE">
      <w:pPr>
        <w:pStyle w:val="NormalWeb"/>
        <w:spacing w:before="0" w:beforeAutospacing="0" w:after="0" w:afterAutospacing="0"/>
      </w:pPr>
      <w:r>
        <w:tab/>
      </w:r>
      <w:r>
        <w:tab/>
        <w:t>TP = true positives (depends on C/B)</w:t>
      </w:r>
    </w:p>
    <w:p w14:paraId="285ABE97" w14:textId="77777777" w:rsidR="006F66E9" w:rsidRDefault="006F66E9" w:rsidP="005F62FE">
      <w:pPr>
        <w:pStyle w:val="NormalWeb"/>
        <w:spacing w:before="0" w:beforeAutospacing="0" w:after="0" w:afterAutospacing="0"/>
      </w:pPr>
      <w:r>
        <w:lastRenderedPageBreak/>
        <w:tab/>
      </w:r>
      <w:r>
        <w:tab/>
        <w:t>FP = false positives (depends on C/B)</w:t>
      </w:r>
    </w:p>
    <w:p w14:paraId="3C4E74B5" w14:textId="77777777" w:rsidR="006F66E9" w:rsidRDefault="006F66E9" w:rsidP="005F62FE">
      <w:pPr>
        <w:pStyle w:val="NormalWeb"/>
        <w:spacing w:before="0" w:beforeAutospacing="0" w:after="0" w:afterAutospacing="0"/>
      </w:pPr>
      <w:r>
        <w:tab/>
      </w:r>
      <w:r>
        <w:tab/>
        <w:t>N = number of individuals in the population</w:t>
      </w:r>
    </w:p>
    <w:p w14:paraId="28E01308" w14:textId="77777777" w:rsidR="00F475F7" w:rsidRDefault="006F66E9" w:rsidP="00F475F7">
      <w:pPr>
        <w:pStyle w:val="NormalWeb"/>
        <w:spacing w:before="0" w:beforeAutospacing="0" w:after="0" w:afterAutospacing="0"/>
      </w:pPr>
      <w:r>
        <w:tab/>
      </w:r>
      <w:r>
        <w:tab/>
        <w:t xml:space="preserve">C/B = </w:t>
      </w:r>
      <w:r w:rsidR="000130D8">
        <w:t xml:space="preserve">treatment </w:t>
      </w:r>
      <w:r>
        <w:t xml:space="preserve">threshold odds = </w:t>
      </w:r>
      <w:r w:rsidR="007165A2">
        <w:t>R</w:t>
      </w:r>
      <w:r>
        <w:rPr>
          <w:vertAlign w:val="subscript"/>
        </w:rPr>
        <w:t>TT</w:t>
      </w:r>
      <w:proofErr w:type="gramStart"/>
      <w:r>
        <w:t>/(</w:t>
      </w:r>
      <w:proofErr w:type="gramEnd"/>
      <w:r>
        <w:t>1-</w:t>
      </w:r>
      <w:r w:rsidRPr="006F66E9">
        <w:t xml:space="preserve"> </w:t>
      </w:r>
      <w:r w:rsidR="007165A2">
        <w:t>R</w:t>
      </w:r>
      <w:r>
        <w:rPr>
          <w:vertAlign w:val="subscript"/>
        </w:rPr>
        <w:t>TT</w:t>
      </w:r>
      <w:r>
        <w:t>)</w:t>
      </w:r>
    </w:p>
    <w:p w14:paraId="3746D420" w14:textId="77777777" w:rsidR="001E0590" w:rsidRDefault="00F475F7" w:rsidP="00F475F7">
      <w:pPr>
        <w:pStyle w:val="NormalWeb"/>
        <w:numPr>
          <w:ilvl w:val="0"/>
          <w:numId w:val="1"/>
        </w:numPr>
      </w:pPr>
      <w:r>
        <w:t xml:space="preserve">Since the maximum possible value for NB is equal to the proportion </w:t>
      </w:r>
      <w:r w:rsidR="00F17971">
        <w:t xml:space="preserve">P </w:t>
      </w:r>
      <w:r>
        <w:t xml:space="preserve">of the population </w:t>
      </w:r>
      <w:r w:rsidR="00143876">
        <w:t xml:space="preserve">that ultimately has the outcome, </w:t>
      </w:r>
      <w:r w:rsidR="00F17971">
        <w:t xml:space="preserve">divide NB by P to </w:t>
      </w:r>
      <w:r>
        <w:t xml:space="preserve">calculate </w:t>
      </w:r>
      <w:r w:rsidR="001E0590">
        <w:t xml:space="preserve">the </w:t>
      </w:r>
      <w:r>
        <w:t>standardized net benefit (</w:t>
      </w:r>
      <w:proofErr w:type="spellStart"/>
      <w:r>
        <w:t>sNB</w:t>
      </w:r>
      <w:proofErr w:type="spellEnd"/>
      <w:r>
        <w:t>)</w:t>
      </w:r>
      <w:r w:rsidR="001E0590">
        <w:t>.  (</w:t>
      </w:r>
      <w:proofErr w:type="spellStart"/>
      <w:r w:rsidR="001E0590">
        <w:t>sNB</w:t>
      </w:r>
      <w:proofErr w:type="spellEnd"/>
      <w:r w:rsidR="001E0590">
        <w:t xml:space="preserve"> = NB/P</w:t>
      </w:r>
      <w:proofErr w:type="gramStart"/>
      <w:r w:rsidR="001E0590">
        <w:t>) :</w:t>
      </w:r>
      <w:proofErr w:type="gramEnd"/>
    </w:p>
    <w:p w14:paraId="3344AEA3" w14:textId="77777777" w:rsidR="001E0590" w:rsidRPr="003D6ECA" w:rsidRDefault="001E0590" w:rsidP="001E0590">
      <w:pPr>
        <w:pStyle w:val="NormalWeb"/>
        <w:rPr>
          <w:b/>
        </w:rPr>
      </w:pPr>
      <w:r>
        <w:tab/>
      </w:r>
      <w:r>
        <w:tab/>
      </w:r>
      <w:proofErr w:type="spellStart"/>
      <w:r w:rsidRPr="003D6ECA">
        <w:rPr>
          <w:b/>
        </w:rPr>
        <w:t>sNB</w:t>
      </w:r>
      <w:proofErr w:type="spellEnd"/>
      <w:r w:rsidRPr="003D6ECA">
        <w:rPr>
          <w:b/>
        </w:rPr>
        <w:t xml:space="preserve"> = TP/(P×N) – (C/</w:t>
      </w:r>
      <w:proofErr w:type="gramStart"/>
      <w:r w:rsidRPr="003D6ECA">
        <w:rPr>
          <w:b/>
        </w:rPr>
        <w:t>B)×</w:t>
      </w:r>
      <w:proofErr w:type="gramEnd"/>
      <w:r w:rsidRPr="003D6ECA">
        <w:rPr>
          <w:b/>
        </w:rPr>
        <w:t>FP/</w:t>
      </w:r>
      <w:r w:rsidR="00143876" w:rsidRPr="003D6ECA">
        <w:rPr>
          <w:b/>
        </w:rPr>
        <w:t>[</w:t>
      </w:r>
      <w:r w:rsidRPr="003D6ECA">
        <w:rPr>
          <w:b/>
        </w:rPr>
        <w:t>(1-P)</w:t>
      </w:r>
      <w:r w:rsidR="00143876" w:rsidRPr="003D6ECA">
        <w:rPr>
          <w:b/>
        </w:rPr>
        <w:t>×N]</w:t>
      </w:r>
      <w:r w:rsidRPr="003D6ECA">
        <w:rPr>
          <w:b/>
        </w:rPr>
        <w:t>×(1-P)/P</w:t>
      </w:r>
    </w:p>
    <w:p w14:paraId="6CEC62FA" w14:textId="77777777" w:rsidR="00F475F7" w:rsidRPr="006F66E9" w:rsidRDefault="00F475F7" w:rsidP="005F62FE">
      <w:pPr>
        <w:pStyle w:val="NormalWeb"/>
        <w:spacing w:before="0" w:beforeAutospacing="0" w:after="0" w:afterAutospacing="0"/>
      </w:pPr>
    </w:p>
    <w:p w14:paraId="439E00C3" w14:textId="77777777" w:rsidR="00456B6E" w:rsidRDefault="00F17971" w:rsidP="00F918CF">
      <w:pPr>
        <w:pStyle w:val="NormalWeb"/>
        <w:ind w:left="720"/>
      </w:pPr>
      <w:r>
        <w:t>An e</w:t>
      </w:r>
      <w:r w:rsidR="00456B6E">
        <w:t xml:space="preserve">quivalent expression for </w:t>
      </w:r>
      <w:proofErr w:type="spellStart"/>
      <w:r w:rsidR="001E0590">
        <w:t>sNB</w:t>
      </w:r>
      <w:proofErr w:type="spellEnd"/>
      <w:r w:rsidR="001E0590">
        <w:t xml:space="preserve"> use</w:t>
      </w:r>
      <w:r>
        <w:t>s</w:t>
      </w:r>
      <w:r w:rsidR="001E0590">
        <w:t xml:space="preserve"> </w:t>
      </w:r>
      <w:r>
        <w:t>“</w:t>
      </w:r>
      <w:r w:rsidR="001E0590">
        <w:t>TPR</w:t>
      </w:r>
      <w:r>
        <w:t>”</w:t>
      </w:r>
      <w:r w:rsidR="00456B6E">
        <w:t xml:space="preserve"> instead of TP/</w:t>
      </w:r>
      <w:r w:rsidR="001E0590">
        <w:t>(P×</w:t>
      </w:r>
      <w:r w:rsidR="00456B6E">
        <w:t>N</w:t>
      </w:r>
      <w:r w:rsidR="001E0590">
        <w:t>)</w:t>
      </w:r>
      <w:r w:rsidR="00456B6E">
        <w:t xml:space="preserve">, </w:t>
      </w:r>
      <w:r>
        <w:t>“</w:t>
      </w:r>
      <w:r w:rsidR="00456B6E">
        <w:t>FPR</w:t>
      </w:r>
      <w:r>
        <w:t>”</w:t>
      </w:r>
      <w:r w:rsidR="001E0590">
        <w:t xml:space="preserve"> </w:t>
      </w:r>
      <w:r w:rsidR="00456B6E">
        <w:t>instead of FP/</w:t>
      </w:r>
      <w:r w:rsidR="00143876">
        <w:t>[</w:t>
      </w:r>
      <w:r w:rsidR="001E0590">
        <w:t>(1-</w:t>
      </w:r>
      <w:proofErr w:type="gramStart"/>
      <w:r w:rsidR="001E0590">
        <w:t>P)</w:t>
      </w:r>
      <w:r w:rsidR="00143876">
        <w:t>×</w:t>
      </w:r>
      <w:proofErr w:type="gramEnd"/>
      <w:r w:rsidR="00143876">
        <w:t>N]</w:t>
      </w:r>
      <w:r w:rsidR="00456B6E">
        <w:t>, and R</w:t>
      </w:r>
      <w:r w:rsidR="00456B6E">
        <w:rPr>
          <w:vertAlign w:val="subscript"/>
        </w:rPr>
        <w:t>TT</w:t>
      </w:r>
      <w:r w:rsidR="00456B6E">
        <w:t>/(1-</w:t>
      </w:r>
      <w:r w:rsidR="00456B6E" w:rsidRPr="006F66E9">
        <w:t xml:space="preserve"> </w:t>
      </w:r>
      <w:r w:rsidR="00456B6E">
        <w:t>R</w:t>
      </w:r>
      <w:r w:rsidR="00456B6E">
        <w:rPr>
          <w:vertAlign w:val="subscript"/>
        </w:rPr>
        <w:t>TT</w:t>
      </w:r>
      <w:r w:rsidR="001E0590">
        <w:t>) instead of C/B, so you might see</w:t>
      </w:r>
    </w:p>
    <w:p w14:paraId="1F902111" w14:textId="77777777" w:rsidR="001E0590" w:rsidRPr="003D6ECA" w:rsidRDefault="001E0590" w:rsidP="000D4CA2">
      <w:pPr>
        <w:pStyle w:val="NormalWeb"/>
        <w:rPr>
          <w:b/>
        </w:rPr>
      </w:pPr>
      <w:r>
        <w:tab/>
      </w:r>
      <w:r>
        <w:tab/>
      </w:r>
      <w:proofErr w:type="spellStart"/>
      <w:r w:rsidRPr="003D6ECA">
        <w:rPr>
          <w:b/>
        </w:rPr>
        <w:t>sNB</w:t>
      </w:r>
      <w:proofErr w:type="spellEnd"/>
      <w:r w:rsidRPr="003D6ECA">
        <w:rPr>
          <w:b/>
        </w:rPr>
        <w:t xml:space="preserve"> = TPR - FPR</w:t>
      </w:r>
      <w:proofErr w:type="gramStart"/>
      <w:r w:rsidRPr="003D6ECA">
        <w:rPr>
          <w:b/>
        </w:rPr>
        <w:t>×</w:t>
      </w:r>
      <w:r w:rsidR="0022300D" w:rsidRPr="003D6ECA">
        <w:rPr>
          <w:b/>
        </w:rPr>
        <w:t>[</w:t>
      </w:r>
      <w:proofErr w:type="gramEnd"/>
      <w:r w:rsidRPr="003D6ECA">
        <w:rPr>
          <w:b/>
        </w:rPr>
        <w:t>R</w:t>
      </w:r>
      <w:r w:rsidRPr="003D6ECA">
        <w:rPr>
          <w:b/>
          <w:vertAlign w:val="subscript"/>
        </w:rPr>
        <w:t>TT</w:t>
      </w:r>
      <w:r w:rsidRPr="003D6ECA">
        <w:rPr>
          <w:b/>
        </w:rPr>
        <w:t>/(1- R</w:t>
      </w:r>
      <w:r w:rsidRPr="003D6ECA">
        <w:rPr>
          <w:b/>
          <w:vertAlign w:val="subscript"/>
        </w:rPr>
        <w:t>TT</w:t>
      </w:r>
      <w:r w:rsidRPr="003D6ECA">
        <w:rPr>
          <w:b/>
        </w:rPr>
        <w:t>)</w:t>
      </w:r>
      <w:r w:rsidR="0022300D" w:rsidRPr="003D6ECA">
        <w:rPr>
          <w:b/>
        </w:rPr>
        <w:t>]</w:t>
      </w:r>
      <w:r w:rsidRPr="003D6ECA">
        <w:rPr>
          <w:b/>
        </w:rPr>
        <w:t>×(1-P)/P</w:t>
      </w:r>
    </w:p>
    <w:p w14:paraId="7751560D" w14:textId="77777777" w:rsidR="00F17971" w:rsidRDefault="003D6ECA" w:rsidP="0022300D">
      <w:pPr>
        <w:pStyle w:val="NormalWeb"/>
        <w:numPr>
          <w:ilvl w:val="0"/>
          <w:numId w:val="1"/>
        </w:numPr>
      </w:pPr>
      <w:r>
        <w:t xml:space="preserve">The </w:t>
      </w:r>
      <w:proofErr w:type="spellStart"/>
      <w:r w:rsidR="00F17971">
        <w:t>sNB</w:t>
      </w:r>
      <w:proofErr w:type="spellEnd"/>
      <w:r w:rsidR="00F17971">
        <w:t xml:space="preserve"> calc</w:t>
      </w:r>
      <w:r w:rsidR="0022300D">
        <w:t>ulation is the standardized net benefit relative to not treating an</w:t>
      </w:r>
      <w:r w:rsidR="0095232E">
        <w:t xml:space="preserve">ybody (“Treat None”).  The </w:t>
      </w:r>
      <w:proofErr w:type="spellStart"/>
      <w:r w:rsidR="0095232E">
        <w:t>sNB</w:t>
      </w:r>
      <w:proofErr w:type="spellEnd"/>
      <w:r w:rsidR="0095232E">
        <w:t xml:space="preserve"> o</w:t>
      </w:r>
      <w:r w:rsidR="0022300D">
        <w:t>f treating everybody (“Treat All”) is</w:t>
      </w:r>
    </w:p>
    <w:p w14:paraId="065F1881" w14:textId="77777777" w:rsidR="0022300D" w:rsidRDefault="0022300D" w:rsidP="0022300D">
      <w:pPr>
        <w:pStyle w:val="NormalWeb"/>
      </w:pPr>
      <w:r>
        <w:tab/>
      </w:r>
      <w:r>
        <w:tab/>
      </w:r>
      <w:proofErr w:type="spellStart"/>
      <w:proofErr w:type="gramStart"/>
      <w:r>
        <w:t>sNB</w:t>
      </w:r>
      <w:proofErr w:type="spellEnd"/>
      <w:r>
        <w:t>(</w:t>
      </w:r>
      <w:proofErr w:type="gramEnd"/>
      <w:r>
        <w:t>Treat All) = 1 – R</w:t>
      </w:r>
      <w:r>
        <w:rPr>
          <w:vertAlign w:val="subscript"/>
        </w:rPr>
        <w:t>TT</w:t>
      </w:r>
      <w:r>
        <w:t>/(1-</w:t>
      </w:r>
      <w:r w:rsidRPr="006F66E9">
        <w:t xml:space="preserve"> </w:t>
      </w:r>
      <w:r>
        <w:t>R</w:t>
      </w:r>
      <w:r>
        <w:rPr>
          <w:vertAlign w:val="subscript"/>
        </w:rPr>
        <w:t>TT</w:t>
      </w:r>
      <w:r>
        <w:t>)×(1-P)/P</w:t>
      </w:r>
    </w:p>
    <w:p w14:paraId="093BB002" w14:textId="77777777" w:rsidR="0095232E" w:rsidRDefault="0095232E" w:rsidP="0022300D">
      <w:pPr>
        <w:pStyle w:val="NormalWeb"/>
      </w:pPr>
      <w:r>
        <w:tab/>
        <w:t>and should always be calculated.</w:t>
      </w:r>
    </w:p>
    <w:p w14:paraId="51DBF778" w14:textId="77777777" w:rsidR="0022300D" w:rsidRPr="00F17971" w:rsidRDefault="0022300D" w:rsidP="00456B6E">
      <w:pPr>
        <w:pStyle w:val="NormalWeb"/>
      </w:pPr>
    </w:p>
    <w:p w14:paraId="7EB1A004" w14:textId="77777777" w:rsidR="00FF4DFC" w:rsidRPr="00FF4DFC" w:rsidRDefault="00FF4DFC" w:rsidP="000130D8">
      <w:pPr>
        <w:pStyle w:val="Heading5"/>
      </w:pPr>
      <w:r w:rsidRPr="00FF4DFC">
        <w:rPr>
          <w:b w:val="0"/>
        </w:rPr>
        <w:t xml:space="preserve">Comments on the </w:t>
      </w:r>
      <w:r w:rsidR="0022300D">
        <w:rPr>
          <w:b w:val="0"/>
        </w:rPr>
        <w:t>S</w:t>
      </w:r>
      <w:r w:rsidR="00F544EF">
        <w:rPr>
          <w:b w:val="0"/>
        </w:rPr>
        <w:t xml:space="preserve">tandardized </w:t>
      </w:r>
      <w:r w:rsidRPr="00FF4DFC">
        <w:rPr>
          <w:b w:val="0"/>
        </w:rPr>
        <w:t>Net Benefit Calculation</w:t>
      </w:r>
    </w:p>
    <w:p w14:paraId="7F54A918" w14:textId="77777777" w:rsidR="00FF4DFC" w:rsidRDefault="00456B6E" w:rsidP="00FF4DFC">
      <w:pPr>
        <w:pStyle w:val="NormalWeb"/>
        <w:numPr>
          <w:ilvl w:val="0"/>
          <w:numId w:val="3"/>
        </w:numPr>
      </w:pPr>
      <w:r>
        <w:t xml:space="preserve">The population net benefit calculation assumes that </w:t>
      </w:r>
      <w:r w:rsidR="009D0380">
        <w:t xml:space="preserve">the risk threshold </w:t>
      </w:r>
      <w:r w:rsidR="007165A2">
        <w:t>R</w:t>
      </w:r>
      <w:r w:rsidR="007165A2">
        <w:rPr>
          <w:vertAlign w:val="subscript"/>
        </w:rPr>
        <w:t>TT</w:t>
      </w:r>
      <w:r w:rsidR="007165A2">
        <w:t xml:space="preserve"> </w:t>
      </w:r>
      <w:r w:rsidR="009D0380">
        <w:t>should be the same for every individual</w:t>
      </w:r>
      <w:r w:rsidR="0022300D">
        <w:t>, which is equivalent to assuming that C/B is the same.</w:t>
      </w:r>
    </w:p>
    <w:p w14:paraId="6DE7F06E" w14:textId="77777777" w:rsidR="00FF4DFC" w:rsidRDefault="00456B6E" w:rsidP="00FF4DFC">
      <w:pPr>
        <w:pStyle w:val="NormalWeb"/>
        <w:numPr>
          <w:ilvl w:val="0"/>
          <w:numId w:val="3"/>
        </w:numPr>
      </w:pPr>
      <w:r>
        <w:t>Since Step 4 above involves comparing each individual’s predicted risk to R</w:t>
      </w:r>
      <w:r>
        <w:rPr>
          <w:vertAlign w:val="subscript"/>
        </w:rPr>
        <w:t>TT</w:t>
      </w:r>
      <w:r>
        <w:t xml:space="preserve"> = C/(C+B), changing C/B changes </w:t>
      </w:r>
      <w:r w:rsidR="008C0F66">
        <w:t>the number of true positives (</w:t>
      </w:r>
      <w:r>
        <w:t>TP</w:t>
      </w:r>
      <w:r w:rsidR="008C0F66">
        <w:t>)</w:t>
      </w:r>
      <w:r>
        <w:t xml:space="preserve"> and </w:t>
      </w:r>
      <w:r w:rsidR="008C0F66">
        <w:t>false positives (</w:t>
      </w:r>
      <w:r>
        <w:t>FP</w:t>
      </w:r>
      <w:r w:rsidR="008C0F66">
        <w:t>)</w:t>
      </w:r>
      <w:r>
        <w:t xml:space="preserve">. </w:t>
      </w:r>
      <w:r w:rsidR="0077518B">
        <w:t xml:space="preserve"> Increasing C/B </w:t>
      </w:r>
      <w:r w:rsidR="00194908">
        <w:t xml:space="preserve">raises the treatment threshold, and thus </w:t>
      </w:r>
      <w:r w:rsidR="0077518B">
        <w:t>lowers both TP and FP</w:t>
      </w:r>
      <w:r w:rsidR="000130D8">
        <w:t>.  Since</w:t>
      </w:r>
      <w:r w:rsidR="0024054B">
        <w:t xml:space="preserve"> </w:t>
      </w:r>
      <w:r w:rsidR="003D6ECA">
        <w:t>the alternative expressions TPR and FPR above depend on</w:t>
      </w:r>
      <w:r w:rsidR="0077518B">
        <w:t xml:space="preserve"> TP and FP, they also decrease </w:t>
      </w:r>
      <w:r w:rsidR="000130D8">
        <w:t xml:space="preserve">as </w:t>
      </w:r>
      <w:r w:rsidR="0077518B">
        <w:t>C/B in</w:t>
      </w:r>
      <w:r w:rsidR="0024054B">
        <w:t>creases.</w:t>
      </w:r>
    </w:p>
    <w:p w14:paraId="75FFAFC2" w14:textId="77777777" w:rsidR="00AD4766" w:rsidRDefault="0022300D" w:rsidP="00C77D3B">
      <w:pPr>
        <w:pStyle w:val="NormalWeb"/>
        <w:numPr>
          <w:ilvl w:val="0"/>
          <w:numId w:val="3"/>
        </w:numPr>
      </w:pPr>
      <w:r>
        <w:t xml:space="preserve">The standardized net benefit of treating everybody, </w:t>
      </w:r>
      <w:proofErr w:type="spellStart"/>
      <w:proofErr w:type="gramStart"/>
      <w:r>
        <w:t>sNB</w:t>
      </w:r>
      <w:proofErr w:type="spellEnd"/>
      <w:r>
        <w:t>(</w:t>
      </w:r>
      <w:proofErr w:type="gramEnd"/>
      <w:r>
        <w:t xml:space="preserve">Treat All), </w:t>
      </w:r>
      <w:r w:rsidR="00E53544">
        <w:t xml:space="preserve">is </w:t>
      </w:r>
      <w:r>
        <w:t>zero</w:t>
      </w:r>
      <w:r w:rsidR="00E53544">
        <w:tab/>
      </w:r>
      <w:r>
        <w:t xml:space="preserve"> when R</w:t>
      </w:r>
      <w:r>
        <w:rPr>
          <w:vertAlign w:val="subscript"/>
        </w:rPr>
        <w:t>TT</w:t>
      </w:r>
      <w:r>
        <w:t xml:space="preserve"> = P, i.e., </w:t>
      </w:r>
      <w:r w:rsidR="0095232E">
        <w:t xml:space="preserve">when </w:t>
      </w:r>
      <w:r>
        <w:t>the risk threshold based on misclassification costs</w:t>
      </w:r>
      <w:r w:rsidR="0095232E">
        <w:t xml:space="preserve"> C/B equals the proportion in the population with the outcome.</w:t>
      </w:r>
      <w:r w:rsidR="00FF4DFC">
        <w:tab/>
      </w:r>
    </w:p>
    <w:p w14:paraId="6D0692CB" w14:textId="63E6A721" w:rsidR="00D25436" w:rsidRDefault="00614769" w:rsidP="00C77D3B">
      <w:pPr>
        <w:pStyle w:val="NormalWeb"/>
      </w:pPr>
      <w:r>
        <w:t xml:space="preserve">We can calculate NB and </w:t>
      </w:r>
      <w:proofErr w:type="spellStart"/>
      <w:r>
        <w:t>sNB</w:t>
      </w:r>
      <w:proofErr w:type="spellEnd"/>
      <w:r>
        <w:t xml:space="preserve"> for each </w:t>
      </w:r>
      <w:proofErr w:type="spellStart"/>
      <w:r w:rsidR="00B6515B">
        <w:t>mastate</w:t>
      </w:r>
      <w:proofErr w:type="spellEnd"/>
      <w:r w:rsidR="00B6515B">
        <w:t xml:space="preserve"> cancer DNA </w:t>
      </w:r>
      <w:r w:rsidR="00941282">
        <w:t>lab</w:t>
      </w:r>
      <w:r>
        <w:t>’s risk predictions. (</w:t>
      </w:r>
      <w:r w:rsidRPr="00614769">
        <w:rPr>
          <w:highlight w:val="yellow"/>
        </w:rPr>
        <w:t>Table 6.</w:t>
      </w:r>
      <w:r w:rsidR="00D60030">
        <w:t>5</w:t>
      </w:r>
      <w:r>
        <w:t>)</w:t>
      </w:r>
      <w:r w:rsidR="00845384">
        <w:t xml:space="preserve"> </w:t>
      </w:r>
      <w:r w:rsidR="00911853">
        <w:t xml:space="preserve">Assume that </w:t>
      </w:r>
      <w:r w:rsidR="00CB3BCC">
        <w:t xml:space="preserve">giving chemotherapy to </w:t>
      </w:r>
      <w:r w:rsidR="00911853">
        <w:t xml:space="preserve">someone who will </w:t>
      </w:r>
      <w:r w:rsidR="00CB3BCC">
        <w:t xml:space="preserve">otherwise die from a </w:t>
      </w:r>
      <w:proofErr w:type="spellStart"/>
      <w:r w:rsidR="00911853">
        <w:t>mastate</w:t>
      </w:r>
      <w:proofErr w:type="spellEnd"/>
      <w:r w:rsidR="00911853">
        <w:t xml:space="preserve"> cancer </w:t>
      </w:r>
      <w:r w:rsidR="00CB3BCC">
        <w:t xml:space="preserve">recurrence </w:t>
      </w:r>
      <w:r w:rsidR="00911853">
        <w:t xml:space="preserve">is worth </w:t>
      </w:r>
      <w:r w:rsidR="00CB3BCC">
        <w:t xml:space="preserve">giving chemotherapy to three </w:t>
      </w:r>
      <w:r w:rsidR="00911853">
        <w:t xml:space="preserve">people who will not </w:t>
      </w:r>
      <w:r w:rsidR="00CB3BCC">
        <w:t>die of a recurrence</w:t>
      </w:r>
      <w:r w:rsidR="00911853">
        <w:t>.  In other words, C/B = 1/3.  The risk threshold R</w:t>
      </w:r>
      <w:r w:rsidR="00911853">
        <w:rPr>
          <w:vertAlign w:val="subscript"/>
        </w:rPr>
        <w:t>TT</w:t>
      </w:r>
      <w:r w:rsidR="00911853">
        <w:t xml:space="preserve"> = C/(C+B) = 25%.  Since </w:t>
      </w:r>
      <w:proofErr w:type="spellStart"/>
      <w:r w:rsidR="00076A13">
        <w:t>Bleakhaus</w:t>
      </w:r>
      <w:r w:rsidR="00911853">
        <w:t>’s</w:t>
      </w:r>
      <w:proofErr w:type="spellEnd"/>
      <w:r w:rsidR="00911853">
        <w:t xml:space="preserve"> predicted risk</w:t>
      </w:r>
      <w:r w:rsidR="0077518B">
        <w:t>s</w:t>
      </w:r>
      <w:r w:rsidR="00911853">
        <w:t xml:space="preserve"> for Group A (50%) and Group B (35%) </w:t>
      </w:r>
      <w:r w:rsidR="0077518B">
        <w:t>are</w:t>
      </w:r>
      <w:r w:rsidR="00911853">
        <w:t xml:space="preserve"> </w:t>
      </w:r>
      <w:r w:rsidR="008B747B">
        <w:t xml:space="preserve">both </w:t>
      </w:r>
      <w:r w:rsidR="00911853">
        <w:t xml:space="preserve">greater than 25%, the </w:t>
      </w:r>
      <w:r w:rsidR="00D501A9">
        <w:t xml:space="preserve">50 </w:t>
      </w:r>
      <w:r w:rsidR="00911853">
        <w:t xml:space="preserve">outcomes in those </w:t>
      </w:r>
      <w:r w:rsidR="0077518B">
        <w:t xml:space="preserve">two </w:t>
      </w:r>
      <w:r w:rsidR="00911853">
        <w:t xml:space="preserve">groups are true positives and the other </w:t>
      </w:r>
      <w:r w:rsidR="00D501A9">
        <w:t xml:space="preserve">150 </w:t>
      </w:r>
      <w:r w:rsidR="00C4431D">
        <w:t>subject</w:t>
      </w:r>
      <w:r w:rsidR="00911853">
        <w:t xml:space="preserve">s in those groups are false positives. </w:t>
      </w:r>
      <w:r w:rsidR="00D501A9">
        <w:t xml:space="preserve"> </w:t>
      </w:r>
      <w:r w:rsidR="00911853">
        <w:t xml:space="preserve">Since </w:t>
      </w:r>
      <w:proofErr w:type="spellStart"/>
      <w:r w:rsidR="00076A13">
        <w:t>Bleakhaus</w:t>
      </w:r>
      <w:r w:rsidR="00911853">
        <w:t>’s</w:t>
      </w:r>
      <w:proofErr w:type="spellEnd"/>
      <w:r w:rsidR="00911853">
        <w:t xml:space="preserve"> predicted risk for Group C (20%) is less than 25%, </w:t>
      </w:r>
      <w:r w:rsidR="00843366">
        <w:t xml:space="preserve">the </w:t>
      </w:r>
      <w:r w:rsidR="00C4431D">
        <w:t>subject</w:t>
      </w:r>
      <w:r w:rsidR="00843366">
        <w:t>s in that group do not count as either true positives or false positives.</w:t>
      </w:r>
      <w:r w:rsidR="00D13694">
        <w:t xml:space="preserve">  </w:t>
      </w:r>
      <w:r w:rsidR="00D501A9">
        <w:t xml:space="preserve">At a tradeoff of 1:3, the </w:t>
      </w:r>
      <w:r w:rsidR="00D3713C">
        <w:t xml:space="preserve">150 </w:t>
      </w:r>
      <w:r w:rsidR="00D501A9">
        <w:t xml:space="preserve">false positives exactly balance out the </w:t>
      </w:r>
      <w:r w:rsidR="00D3713C">
        <w:t>50 true</w:t>
      </w:r>
      <w:r w:rsidR="00D501A9">
        <w:t xml:space="preserve"> positives and the net benefit for </w:t>
      </w:r>
      <w:proofErr w:type="spellStart"/>
      <w:r w:rsidR="00076A13">
        <w:t>Bleakhaus</w:t>
      </w:r>
      <w:proofErr w:type="spellEnd"/>
      <w:r w:rsidR="00D501A9">
        <w:t xml:space="preserve"> is 0. </w:t>
      </w:r>
      <w:r w:rsidR="00D13694">
        <w:t xml:space="preserve">Since </w:t>
      </w:r>
      <w:proofErr w:type="spellStart"/>
      <w:r w:rsidR="00076A13">
        <w:t>AgnoSIA</w:t>
      </w:r>
      <w:r w:rsidR="00D13694">
        <w:t>’s</w:t>
      </w:r>
      <w:proofErr w:type="spellEnd"/>
      <w:r w:rsidR="00D13694">
        <w:t xml:space="preserve"> predicted risk for all </w:t>
      </w:r>
      <w:r w:rsidR="00C4431D">
        <w:t>subject</w:t>
      </w:r>
      <w:r w:rsidR="00D13694">
        <w:t xml:space="preserve">s (20%) </w:t>
      </w:r>
      <w:r w:rsidR="00D3713C">
        <w:t xml:space="preserve">is </w:t>
      </w:r>
      <w:r w:rsidR="00D13694">
        <w:t xml:space="preserve">less than 25%, the net benefit for </w:t>
      </w:r>
      <w:proofErr w:type="spellStart"/>
      <w:r w:rsidR="00076A13">
        <w:t>AgnoSIA</w:t>
      </w:r>
      <w:proofErr w:type="spellEnd"/>
      <w:r w:rsidR="00D13694">
        <w:t xml:space="preserve"> is </w:t>
      </w:r>
      <w:r w:rsidR="00D13694">
        <w:lastRenderedPageBreak/>
        <w:t xml:space="preserve">the same as “Treat None”, which is 0. </w:t>
      </w:r>
      <w:r w:rsidR="00E0640C">
        <w:t xml:space="preserve"> Since </w:t>
      </w:r>
      <w:proofErr w:type="spellStart"/>
      <w:r w:rsidR="00593219">
        <w:t>PolyANA</w:t>
      </w:r>
      <w:r w:rsidR="00E0640C">
        <w:t>’s</w:t>
      </w:r>
      <w:proofErr w:type="spellEnd"/>
      <w:r w:rsidR="00E0640C">
        <w:t xml:space="preserve"> predicted risk </w:t>
      </w:r>
      <w:r w:rsidR="007A2279">
        <w:t>of</w:t>
      </w:r>
      <w:r w:rsidR="00E0640C">
        <w:t xml:space="preserve"> 25% for Group A is the same as R</w:t>
      </w:r>
      <w:r w:rsidR="00E0640C">
        <w:rPr>
          <w:vertAlign w:val="subscript"/>
        </w:rPr>
        <w:t>TT</w:t>
      </w:r>
      <w:r w:rsidR="00E0640C">
        <w:t xml:space="preserve">, we will count the 33 outcomes in the group as true positives and the 67 others as false positives leading to NB = </w:t>
      </w:r>
      <w:r w:rsidR="002D5DB4">
        <w:t>33/300 – (1/</w:t>
      </w:r>
      <w:proofErr w:type="gramStart"/>
      <w:r w:rsidR="002D5DB4">
        <w:t>3)×</w:t>
      </w:r>
      <w:proofErr w:type="gramEnd"/>
      <w:r w:rsidR="002D5DB4">
        <w:t xml:space="preserve">67/300 = 0.036 and </w:t>
      </w:r>
      <w:proofErr w:type="spellStart"/>
      <w:r w:rsidR="002D5DB4">
        <w:t>sNB</w:t>
      </w:r>
      <w:proofErr w:type="spellEnd"/>
      <w:r w:rsidR="002D5DB4">
        <w:t xml:space="preserve"> = 0.036/0.2 = 0.175.</w:t>
      </w:r>
      <w:r w:rsidR="007A2279">
        <w:t xml:space="preserve">  </w:t>
      </w:r>
      <w:r w:rsidR="00F13349">
        <w:t xml:space="preserve">The “Treat All” strategy </w:t>
      </w:r>
      <w:r w:rsidR="007A2279">
        <w:t xml:space="preserve">would result in 61 true positives and 239 false positives for NB and </w:t>
      </w:r>
      <w:proofErr w:type="spellStart"/>
      <w:r w:rsidR="007A2279">
        <w:t>sNB</w:t>
      </w:r>
      <w:proofErr w:type="spellEnd"/>
      <w:r w:rsidR="007A2279">
        <w:t xml:space="preserve"> of -0.062 and -0.306.</w:t>
      </w:r>
    </w:p>
    <w:p w14:paraId="303A768D" w14:textId="77777777" w:rsidR="00D12082" w:rsidRDefault="00D12082" w:rsidP="000130D8">
      <w:pPr>
        <w:pStyle w:val="Heading5"/>
        <w:rPr>
          <w:b w:val="0"/>
        </w:rPr>
        <w:sectPr w:rsidR="00D12082" w:rsidSect="00E801B5">
          <w:headerReference w:type="default" r:id="rId18"/>
          <w:footerReference w:type="even" r:id="rId19"/>
          <w:footerReference w:type="default" r:id="rId20"/>
          <w:pgSz w:w="12240" w:h="15840"/>
          <w:pgMar w:top="1440" w:right="1800" w:bottom="1440" w:left="1080" w:header="720" w:footer="720" w:gutter="0"/>
          <w:cols w:space="720"/>
          <w:noEndnote/>
        </w:sectPr>
      </w:pPr>
    </w:p>
    <w:p w14:paraId="4DE2BBFD" w14:textId="77777777" w:rsidR="002B1B1B" w:rsidRDefault="002B1B1B" w:rsidP="000130D8">
      <w:pPr>
        <w:pStyle w:val="Heading5"/>
        <w:rPr>
          <w:b w:val="0"/>
        </w:rPr>
      </w:pPr>
    </w:p>
    <w:p w14:paraId="0E52BEAB" w14:textId="2D7CB03F" w:rsidR="002B1B1B" w:rsidRPr="00AD4766" w:rsidRDefault="002B1B1B" w:rsidP="002B1B1B">
      <w:pPr>
        <w:pStyle w:val="NormalWeb"/>
        <w:rPr>
          <w:b/>
        </w:rPr>
      </w:pPr>
      <w:r w:rsidRPr="00614769">
        <w:rPr>
          <w:b/>
          <w:highlight w:val="yellow"/>
        </w:rPr>
        <w:t>Table 6.</w:t>
      </w:r>
      <w:r w:rsidR="00D60030">
        <w:rPr>
          <w:b/>
        </w:rPr>
        <w:t>5</w:t>
      </w:r>
      <w:r w:rsidRPr="00AD4766">
        <w:rPr>
          <w:b/>
        </w:rPr>
        <w:t>Net Benefit Calculations for 3 Different Risk Predictions</w:t>
      </w:r>
    </w:p>
    <w:p w14:paraId="17694CDD" w14:textId="77777777" w:rsidR="002B1B1B" w:rsidRPr="0019167F" w:rsidRDefault="002B1B1B" w:rsidP="002B1B1B">
      <w:pPr>
        <w:pStyle w:val="NormalWeb"/>
        <w:ind w:left="-720"/>
      </w:pPr>
    </w:p>
    <w:tbl>
      <w:tblPr>
        <w:tblW w:w="11761" w:type="dxa"/>
        <w:tblInd w:w="-400" w:type="dxa"/>
        <w:tblLook w:val="04A0" w:firstRow="1" w:lastRow="0" w:firstColumn="1" w:lastColumn="0" w:noHBand="0" w:noVBand="1"/>
      </w:tblPr>
      <w:tblGrid>
        <w:gridCol w:w="1011"/>
        <w:gridCol w:w="581"/>
        <w:gridCol w:w="1476"/>
        <w:gridCol w:w="1236"/>
        <w:gridCol w:w="460"/>
        <w:gridCol w:w="581"/>
        <w:gridCol w:w="1249"/>
        <w:gridCol w:w="457"/>
        <w:gridCol w:w="451"/>
        <w:gridCol w:w="1240"/>
        <w:gridCol w:w="460"/>
        <w:gridCol w:w="460"/>
        <w:gridCol w:w="271"/>
        <w:gridCol w:w="749"/>
        <w:gridCol w:w="1079"/>
      </w:tblGrid>
      <w:tr w:rsidR="002B1B1B" w:rsidRPr="0041259E" w14:paraId="4AA15DCD" w14:textId="77777777" w:rsidTr="00845009">
        <w:trPr>
          <w:trHeight w:val="300"/>
        </w:trPr>
        <w:tc>
          <w:tcPr>
            <w:tcW w:w="3068" w:type="dxa"/>
            <w:gridSpan w:val="3"/>
            <w:tcBorders>
              <w:top w:val="nil"/>
              <w:left w:val="nil"/>
              <w:bottom w:val="nil"/>
              <w:right w:val="single" w:sz="4" w:space="0" w:color="000000"/>
            </w:tcBorders>
            <w:shd w:val="clear" w:color="auto" w:fill="auto"/>
            <w:noWrap/>
            <w:vAlign w:val="bottom"/>
            <w:hideMark/>
          </w:tcPr>
          <w:p w14:paraId="3DB66A3D" w14:textId="77777777" w:rsidR="002B1B1B" w:rsidRPr="0041259E" w:rsidRDefault="002B1B1B" w:rsidP="00845009">
            <w:pPr>
              <w:jc w:val="center"/>
              <w:rPr>
                <w:rFonts w:ascii="Calibri" w:hAnsi="Calibri"/>
                <w:b/>
                <w:bCs/>
                <w:color w:val="000000"/>
              </w:rPr>
            </w:pPr>
            <w:proofErr w:type="spellStart"/>
            <w:r w:rsidRPr="0041259E">
              <w:rPr>
                <w:rFonts w:ascii="Calibri" w:hAnsi="Calibri"/>
                <w:b/>
                <w:bCs/>
                <w:color w:val="000000"/>
              </w:rPr>
              <w:t>Rtt</w:t>
            </w:r>
            <w:proofErr w:type="spellEnd"/>
            <w:r w:rsidRPr="0041259E">
              <w:rPr>
                <w:rFonts w:ascii="Calibri" w:hAnsi="Calibri"/>
                <w:b/>
                <w:bCs/>
                <w:color w:val="000000"/>
              </w:rPr>
              <w:t xml:space="preserve"> = 25% (C/B = 1/3)</w:t>
            </w:r>
          </w:p>
        </w:tc>
        <w:tc>
          <w:tcPr>
            <w:tcW w:w="2277" w:type="dxa"/>
            <w:gridSpan w:val="3"/>
            <w:tcBorders>
              <w:top w:val="single" w:sz="4" w:space="0" w:color="auto"/>
              <w:left w:val="nil"/>
              <w:bottom w:val="single" w:sz="4" w:space="0" w:color="auto"/>
              <w:right w:val="single" w:sz="4" w:space="0" w:color="auto"/>
            </w:tcBorders>
            <w:shd w:val="clear" w:color="auto" w:fill="auto"/>
            <w:noWrap/>
            <w:vAlign w:val="bottom"/>
            <w:hideMark/>
          </w:tcPr>
          <w:p w14:paraId="1A168998" w14:textId="77777777" w:rsidR="002B1B1B" w:rsidRPr="0041259E" w:rsidRDefault="002B1B1B" w:rsidP="00845009">
            <w:pPr>
              <w:jc w:val="center"/>
              <w:rPr>
                <w:rFonts w:ascii="Calibri" w:hAnsi="Calibri"/>
                <w:color w:val="000000"/>
              </w:rPr>
            </w:pPr>
            <w:proofErr w:type="spellStart"/>
            <w:r>
              <w:rPr>
                <w:rFonts w:ascii="Calibri" w:hAnsi="Calibri"/>
                <w:color w:val="000000"/>
              </w:rPr>
              <w:t>Bleakhaus</w:t>
            </w:r>
            <w:proofErr w:type="spellEnd"/>
          </w:p>
        </w:tc>
        <w:tc>
          <w:tcPr>
            <w:tcW w:w="2157" w:type="dxa"/>
            <w:gridSpan w:val="3"/>
            <w:tcBorders>
              <w:top w:val="single" w:sz="4" w:space="0" w:color="auto"/>
              <w:left w:val="nil"/>
              <w:bottom w:val="single" w:sz="4" w:space="0" w:color="auto"/>
              <w:right w:val="single" w:sz="4" w:space="0" w:color="auto"/>
            </w:tcBorders>
            <w:shd w:val="clear" w:color="auto" w:fill="auto"/>
            <w:noWrap/>
            <w:vAlign w:val="bottom"/>
            <w:hideMark/>
          </w:tcPr>
          <w:p w14:paraId="6DA9411E" w14:textId="77777777" w:rsidR="002B1B1B" w:rsidRPr="0041259E" w:rsidRDefault="002B1B1B" w:rsidP="00845009">
            <w:pPr>
              <w:jc w:val="center"/>
              <w:rPr>
                <w:rFonts w:ascii="Calibri" w:hAnsi="Calibri"/>
                <w:color w:val="000000"/>
              </w:rPr>
            </w:pPr>
            <w:proofErr w:type="spellStart"/>
            <w:r>
              <w:rPr>
                <w:rFonts w:ascii="Calibri" w:hAnsi="Calibri"/>
                <w:color w:val="000000"/>
              </w:rPr>
              <w:t>AgnoSIA</w:t>
            </w:r>
            <w:proofErr w:type="spellEnd"/>
          </w:p>
        </w:tc>
        <w:tc>
          <w:tcPr>
            <w:tcW w:w="2160" w:type="dxa"/>
            <w:gridSpan w:val="3"/>
            <w:tcBorders>
              <w:top w:val="single" w:sz="4" w:space="0" w:color="auto"/>
              <w:left w:val="nil"/>
              <w:bottom w:val="single" w:sz="4" w:space="0" w:color="auto"/>
              <w:right w:val="single" w:sz="4" w:space="0" w:color="auto"/>
            </w:tcBorders>
            <w:shd w:val="clear" w:color="auto" w:fill="auto"/>
            <w:noWrap/>
            <w:vAlign w:val="bottom"/>
            <w:hideMark/>
          </w:tcPr>
          <w:p w14:paraId="1133FEE2" w14:textId="77777777" w:rsidR="002B1B1B" w:rsidRPr="0041259E" w:rsidRDefault="002B1B1B" w:rsidP="00845009">
            <w:pPr>
              <w:jc w:val="center"/>
              <w:rPr>
                <w:rFonts w:ascii="Calibri" w:hAnsi="Calibri"/>
                <w:color w:val="000000"/>
              </w:rPr>
            </w:pPr>
            <w:proofErr w:type="spellStart"/>
            <w:r>
              <w:rPr>
                <w:rFonts w:ascii="Calibri" w:hAnsi="Calibri"/>
                <w:color w:val="000000"/>
              </w:rPr>
              <w:t>PolyANA</w:t>
            </w:r>
            <w:proofErr w:type="spellEnd"/>
          </w:p>
        </w:tc>
        <w:tc>
          <w:tcPr>
            <w:tcW w:w="2099" w:type="dxa"/>
            <w:gridSpan w:val="3"/>
            <w:tcBorders>
              <w:top w:val="single" w:sz="4" w:space="0" w:color="auto"/>
              <w:left w:val="nil"/>
              <w:bottom w:val="single" w:sz="4" w:space="0" w:color="auto"/>
              <w:right w:val="single" w:sz="4" w:space="0" w:color="auto"/>
            </w:tcBorders>
            <w:shd w:val="clear" w:color="auto" w:fill="auto"/>
            <w:noWrap/>
            <w:vAlign w:val="bottom"/>
            <w:hideMark/>
          </w:tcPr>
          <w:p w14:paraId="12C5D5A2" w14:textId="77777777" w:rsidR="002B1B1B" w:rsidRPr="0041259E" w:rsidRDefault="002B1B1B" w:rsidP="00845009">
            <w:pPr>
              <w:jc w:val="center"/>
              <w:rPr>
                <w:rFonts w:ascii="Calibri" w:hAnsi="Calibri"/>
                <w:color w:val="000000"/>
              </w:rPr>
            </w:pPr>
            <w:r w:rsidRPr="0041259E">
              <w:rPr>
                <w:rFonts w:ascii="Calibri" w:hAnsi="Calibri"/>
                <w:color w:val="000000"/>
              </w:rPr>
              <w:t>Treat All</w:t>
            </w:r>
          </w:p>
        </w:tc>
      </w:tr>
      <w:tr w:rsidR="002B1B1B" w:rsidRPr="0041259E" w14:paraId="5D336A09" w14:textId="77777777" w:rsidTr="00845009">
        <w:trPr>
          <w:trHeight w:val="580"/>
        </w:trPr>
        <w:tc>
          <w:tcPr>
            <w:tcW w:w="1011" w:type="dxa"/>
            <w:tcBorders>
              <w:top w:val="nil"/>
              <w:left w:val="nil"/>
              <w:bottom w:val="nil"/>
              <w:right w:val="nil"/>
            </w:tcBorders>
            <w:shd w:val="clear" w:color="auto" w:fill="auto"/>
            <w:noWrap/>
            <w:vAlign w:val="bottom"/>
            <w:hideMark/>
          </w:tcPr>
          <w:p w14:paraId="2B9852EC" w14:textId="77777777" w:rsidR="002B1B1B" w:rsidRPr="0041259E" w:rsidRDefault="002B1B1B" w:rsidP="00845009">
            <w:pPr>
              <w:rPr>
                <w:rFonts w:ascii="Calibri" w:hAnsi="Calibri"/>
                <w:b/>
                <w:bCs/>
                <w:color w:val="000000"/>
              </w:rPr>
            </w:pPr>
            <w:r w:rsidRPr="0041259E">
              <w:rPr>
                <w:rFonts w:ascii="Calibri" w:hAnsi="Calibri"/>
                <w:b/>
                <w:bCs/>
                <w:color w:val="000000"/>
              </w:rPr>
              <w:t>Group</w:t>
            </w:r>
          </w:p>
        </w:tc>
        <w:tc>
          <w:tcPr>
            <w:tcW w:w="581" w:type="dxa"/>
            <w:tcBorders>
              <w:top w:val="nil"/>
              <w:left w:val="nil"/>
              <w:bottom w:val="nil"/>
              <w:right w:val="nil"/>
            </w:tcBorders>
            <w:shd w:val="clear" w:color="auto" w:fill="auto"/>
            <w:noWrap/>
            <w:vAlign w:val="bottom"/>
            <w:hideMark/>
          </w:tcPr>
          <w:p w14:paraId="0DB1EC39" w14:textId="77777777" w:rsidR="002B1B1B" w:rsidRPr="0041259E" w:rsidRDefault="002B1B1B" w:rsidP="00845009">
            <w:pPr>
              <w:jc w:val="center"/>
              <w:rPr>
                <w:rFonts w:ascii="Calibri" w:hAnsi="Calibri"/>
                <w:b/>
                <w:bCs/>
                <w:color w:val="000000"/>
              </w:rPr>
            </w:pPr>
            <w:r w:rsidRPr="0041259E">
              <w:rPr>
                <w:rFonts w:ascii="Calibri" w:hAnsi="Calibri"/>
                <w:b/>
                <w:bCs/>
                <w:color w:val="000000"/>
              </w:rPr>
              <w:t>N</w:t>
            </w:r>
          </w:p>
        </w:tc>
        <w:tc>
          <w:tcPr>
            <w:tcW w:w="1476" w:type="dxa"/>
            <w:tcBorders>
              <w:top w:val="nil"/>
              <w:left w:val="nil"/>
              <w:bottom w:val="nil"/>
              <w:right w:val="nil"/>
            </w:tcBorders>
            <w:shd w:val="clear" w:color="auto" w:fill="auto"/>
            <w:vAlign w:val="bottom"/>
            <w:hideMark/>
          </w:tcPr>
          <w:p w14:paraId="7DBFFAEE" w14:textId="77777777" w:rsidR="002B1B1B" w:rsidRPr="0041259E" w:rsidRDefault="002B1B1B" w:rsidP="00845009">
            <w:pPr>
              <w:jc w:val="center"/>
              <w:rPr>
                <w:rFonts w:ascii="Calibri" w:hAnsi="Calibri"/>
                <w:b/>
                <w:bCs/>
                <w:color w:val="000000"/>
              </w:rPr>
            </w:pPr>
            <w:r w:rsidRPr="0041259E">
              <w:rPr>
                <w:rFonts w:ascii="Calibri" w:hAnsi="Calibri"/>
                <w:b/>
                <w:bCs/>
                <w:color w:val="000000"/>
              </w:rPr>
              <w:t>Outcomes</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14:paraId="490A6D74" w14:textId="77777777" w:rsidR="002B1B1B" w:rsidRPr="0041259E" w:rsidRDefault="002B1B1B" w:rsidP="00845009">
            <w:pPr>
              <w:rPr>
                <w:rFonts w:ascii="Calibri" w:hAnsi="Calibri"/>
                <w:color w:val="000000"/>
              </w:rPr>
            </w:pPr>
            <w:r w:rsidRPr="0041259E">
              <w:rPr>
                <w:rFonts w:ascii="Calibri" w:hAnsi="Calibri"/>
                <w:color w:val="000000"/>
              </w:rPr>
              <w:t>Prediction</w:t>
            </w:r>
          </w:p>
        </w:tc>
        <w:tc>
          <w:tcPr>
            <w:tcW w:w="460" w:type="dxa"/>
            <w:tcBorders>
              <w:top w:val="nil"/>
              <w:left w:val="nil"/>
              <w:bottom w:val="single" w:sz="4" w:space="0" w:color="auto"/>
              <w:right w:val="single" w:sz="4" w:space="0" w:color="auto"/>
            </w:tcBorders>
            <w:shd w:val="clear" w:color="auto" w:fill="auto"/>
            <w:noWrap/>
            <w:vAlign w:val="bottom"/>
            <w:hideMark/>
          </w:tcPr>
          <w:p w14:paraId="3015D1AF" w14:textId="77777777" w:rsidR="002B1B1B" w:rsidRPr="0041259E" w:rsidRDefault="002B1B1B" w:rsidP="00845009">
            <w:pPr>
              <w:jc w:val="center"/>
              <w:rPr>
                <w:rFonts w:ascii="Calibri" w:hAnsi="Calibri"/>
                <w:color w:val="000000"/>
              </w:rPr>
            </w:pPr>
            <w:r w:rsidRPr="0041259E">
              <w:rPr>
                <w:rFonts w:ascii="Calibri" w:hAnsi="Calibri"/>
                <w:color w:val="000000"/>
              </w:rPr>
              <w:t>TP</w:t>
            </w:r>
          </w:p>
        </w:tc>
        <w:tc>
          <w:tcPr>
            <w:tcW w:w="581" w:type="dxa"/>
            <w:tcBorders>
              <w:top w:val="nil"/>
              <w:left w:val="nil"/>
              <w:bottom w:val="single" w:sz="4" w:space="0" w:color="auto"/>
              <w:right w:val="single" w:sz="4" w:space="0" w:color="auto"/>
            </w:tcBorders>
            <w:shd w:val="clear" w:color="auto" w:fill="auto"/>
            <w:noWrap/>
            <w:vAlign w:val="bottom"/>
            <w:hideMark/>
          </w:tcPr>
          <w:p w14:paraId="5019F88C" w14:textId="77777777" w:rsidR="002B1B1B" w:rsidRPr="0041259E" w:rsidRDefault="002B1B1B" w:rsidP="00845009">
            <w:pPr>
              <w:jc w:val="center"/>
              <w:rPr>
                <w:rFonts w:ascii="Calibri" w:hAnsi="Calibri"/>
                <w:color w:val="000000"/>
              </w:rPr>
            </w:pPr>
            <w:r w:rsidRPr="0041259E">
              <w:rPr>
                <w:rFonts w:ascii="Calibri" w:hAnsi="Calibri"/>
                <w:color w:val="000000"/>
              </w:rPr>
              <w:t>FP</w:t>
            </w:r>
          </w:p>
        </w:tc>
        <w:tc>
          <w:tcPr>
            <w:tcW w:w="1249" w:type="dxa"/>
            <w:tcBorders>
              <w:top w:val="nil"/>
              <w:left w:val="nil"/>
              <w:bottom w:val="single" w:sz="4" w:space="0" w:color="auto"/>
              <w:right w:val="single" w:sz="4" w:space="0" w:color="auto"/>
            </w:tcBorders>
            <w:shd w:val="clear" w:color="auto" w:fill="auto"/>
            <w:noWrap/>
            <w:vAlign w:val="bottom"/>
            <w:hideMark/>
          </w:tcPr>
          <w:p w14:paraId="0F60E1C3" w14:textId="77777777" w:rsidR="002B1B1B" w:rsidRPr="0041259E" w:rsidRDefault="002B1B1B" w:rsidP="00845009">
            <w:pPr>
              <w:rPr>
                <w:rFonts w:ascii="Calibri" w:hAnsi="Calibri"/>
                <w:color w:val="000000"/>
              </w:rPr>
            </w:pPr>
            <w:r w:rsidRPr="0041259E">
              <w:rPr>
                <w:rFonts w:ascii="Calibri" w:hAnsi="Calibri"/>
                <w:color w:val="000000"/>
              </w:rPr>
              <w:t>Prediction</w:t>
            </w:r>
          </w:p>
        </w:tc>
        <w:tc>
          <w:tcPr>
            <w:tcW w:w="457" w:type="dxa"/>
            <w:tcBorders>
              <w:top w:val="nil"/>
              <w:left w:val="nil"/>
              <w:bottom w:val="single" w:sz="4" w:space="0" w:color="auto"/>
              <w:right w:val="single" w:sz="4" w:space="0" w:color="auto"/>
            </w:tcBorders>
            <w:shd w:val="clear" w:color="auto" w:fill="auto"/>
            <w:noWrap/>
            <w:vAlign w:val="bottom"/>
            <w:hideMark/>
          </w:tcPr>
          <w:p w14:paraId="12C1B395" w14:textId="77777777" w:rsidR="002B1B1B" w:rsidRPr="0041259E" w:rsidRDefault="002B1B1B" w:rsidP="00845009">
            <w:pPr>
              <w:jc w:val="center"/>
              <w:rPr>
                <w:rFonts w:ascii="Calibri" w:hAnsi="Calibri"/>
                <w:color w:val="000000"/>
              </w:rPr>
            </w:pPr>
            <w:r w:rsidRPr="0041259E">
              <w:rPr>
                <w:rFonts w:ascii="Calibri" w:hAnsi="Calibri"/>
                <w:color w:val="000000"/>
              </w:rPr>
              <w:t>TP</w:t>
            </w:r>
          </w:p>
        </w:tc>
        <w:tc>
          <w:tcPr>
            <w:tcW w:w="451" w:type="dxa"/>
            <w:tcBorders>
              <w:top w:val="nil"/>
              <w:left w:val="nil"/>
              <w:bottom w:val="single" w:sz="4" w:space="0" w:color="auto"/>
              <w:right w:val="single" w:sz="4" w:space="0" w:color="auto"/>
            </w:tcBorders>
            <w:shd w:val="clear" w:color="auto" w:fill="auto"/>
            <w:noWrap/>
            <w:vAlign w:val="bottom"/>
            <w:hideMark/>
          </w:tcPr>
          <w:p w14:paraId="2C132862" w14:textId="77777777" w:rsidR="002B1B1B" w:rsidRPr="0041259E" w:rsidRDefault="002B1B1B" w:rsidP="00845009">
            <w:pPr>
              <w:jc w:val="center"/>
              <w:rPr>
                <w:rFonts w:ascii="Calibri" w:hAnsi="Calibri"/>
                <w:color w:val="000000"/>
              </w:rPr>
            </w:pPr>
            <w:r w:rsidRPr="0041259E">
              <w:rPr>
                <w:rFonts w:ascii="Calibri" w:hAnsi="Calibri"/>
                <w:color w:val="000000"/>
              </w:rPr>
              <w:t>FP</w:t>
            </w:r>
          </w:p>
        </w:tc>
        <w:tc>
          <w:tcPr>
            <w:tcW w:w="1240" w:type="dxa"/>
            <w:tcBorders>
              <w:top w:val="nil"/>
              <w:left w:val="nil"/>
              <w:bottom w:val="single" w:sz="4" w:space="0" w:color="auto"/>
              <w:right w:val="single" w:sz="4" w:space="0" w:color="auto"/>
            </w:tcBorders>
            <w:shd w:val="clear" w:color="auto" w:fill="auto"/>
            <w:noWrap/>
            <w:vAlign w:val="bottom"/>
            <w:hideMark/>
          </w:tcPr>
          <w:p w14:paraId="7600F57D" w14:textId="77777777" w:rsidR="002B1B1B" w:rsidRPr="0041259E" w:rsidRDefault="002B1B1B" w:rsidP="00845009">
            <w:pPr>
              <w:rPr>
                <w:rFonts w:ascii="Calibri" w:hAnsi="Calibri"/>
                <w:color w:val="000000"/>
              </w:rPr>
            </w:pPr>
            <w:r w:rsidRPr="0041259E">
              <w:rPr>
                <w:rFonts w:ascii="Calibri" w:hAnsi="Calibri"/>
                <w:color w:val="000000"/>
              </w:rPr>
              <w:t>Prediction</w:t>
            </w:r>
          </w:p>
        </w:tc>
        <w:tc>
          <w:tcPr>
            <w:tcW w:w="460" w:type="dxa"/>
            <w:tcBorders>
              <w:top w:val="nil"/>
              <w:left w:val="nil"/>
              <w:bottom w:val="single" w:sz="4" w:space="0" w:color="auto"/>
              <w:right w:val="single" w:sz="4" w:space="0" w:color="auto"/>
            </w:tcBorders>
            <w:shd w:val="clear" w:color="auto" w:fill="auto"/>
            <w:noWrap/>
            <w:vAlign w:val="bottom"/>
            <w:hideMark/>
          </w:tcPr>
          <w:p w14:paraId="1DD6BDF7" w14:textId="77777777" w:rsidR="002B1B1B" w:rsidRPr="0041259E" w:rsidRDefault="002B1B1B" w:rsidP="00845009">
            <w:pPr>
              <w:jc w:val="center"/>
              <w:rPr>
                <w:rFonts w:ascii="Calibri" w:hAnsi="Calibri"/>
                <w:color w:val="000000"/>
              </w:rPr>
            </w:pPr>
            <w:r w:rsidRPr="0041259E">
              <w:rPr>
                <w:rFonts w:ascii="Calibri" w:hAnsi="Calibri"/>
                <w:color w:val="000000"/>
              </w:rPr>
              <w:t>TP</w:t>
            </w:r>
          </w:p>
        </w:tc>
        <w:tc>
          <w:tcPr>
            <w:tcW w:w="460" w:type="dxa"/>
            <w:tcBorders>
              <w:top w:val="nil"/>
              <w:left w:val="nil"/>
              <w:bottom w:val="single" w:sz="4" w:space="0" w:color="auto"/>
              <w:right w:val="single" w:sz="4" w:space="0" w:color="auto"/>
            </w:tcBorders>
            <w:shd w:val="clear" w:color="auto" w:fill="auto"/>
            <w:noWrap/>
            <w:vAlign w:val="bottom"/>
            <w:hideMark/>
          </w:tcPr>
          <w:p w14:paraId="52426274" w14:textId="77777777" w:rsidR="002B1B1B" w:rsidRPr="0041259E" w:rsidRDefault="002B1B1B" w:rsidP="00845009">
            <w:pPr>
              <w:jc w:val="center"/>
              <w:rPr>
                <w:rFonts w:ascii="Calibri" w:hAnsi="Calibri"/>
                <w:color w:val="000000"/>
              </w:rPr>
            </w:pPr>
            <w:r w:rsidRPr="0041259E">
              <w:rPr>
                <w:rFonts w:ascii="Calibri" w:hAnsi="Calibri"/>
                <w:color w:val="000000"/>
              </w:rPr>
              <w:t>FP</w:t>
            </w:r>
          </w:p>
        </w:tc>
        <w:tc>
          <w:tcPr>
            <w:tcW w:w="271" w:type="dxa"/>
            <w:tcBorders>
              <w:top w:val="nil"/>
              <w:left w:val="nil"/>
              <w:bottom w:val="single" w:sz="4" w:space="0" w:color="auto"/>
              <w:right w:val="single" w:sz="4" w:space="0" w:color="auto"/>
            </w:tcBorders>
            <w:shd w:val="clear" w:color="auto" w:fill="auto"/>
            <w:noWrap/>
            <w:vAlign w:val="bottom"/>
            <w:hideMark/>
          </w:tcPr>
          <w:p w14:paraId="57C7DF0B" w14:textId="77777777" w:rsidR="002B1B1B" w:rsidRPr="0041259E" w:rsidRDefault="002B1B1B" w:rsidP="00845009">
            <w:pPr>
              <w:rPr>
                <w:rFonts w:ascii="Calibri" w:hAnsi="Calibri"/>
                <w:color w:val="000000"/>
              </w:rPr>
            </w:pPr>
            <w:r w:rsidRPr="0041259E">
              <w:rPr>
                <w:rFonts w:ascii="Calibri" w:hAnsi="Calibri"/>
                <w:color w:val="000000"/>
              </w:rPr>
              <w:t> </w:t>
            </w:r>
          </w:p>
        </w:tc>
        <w:tc>
          <w:tcPr>
            <w:tcW w:w="749" w:type="dxa"/>
            <w:tcBorders>
              <w:top w:val="nil"/>
              <w:left w:val="nil"/>
              <w:bottom w:val="single" w:sz="4" w:space="0" w:color="auto"/>
              <w:right w:val="single" w:sz="4" w:space="0" w:color="auto"/>
            </w:tcBorders>
            <w:shd w:val="clear" w:color="auto" w:fill="auto"/>
            <w:noWrap/>
            <w:vAlign w:val="bottom"/>
            <w:hideMark/>
          </w:tcPr>
          <w:p w14:paraId="29C4A035" w14:textId="77777777" w:rsidR="002B1B1B" w:rsidRPr="0041259E" w:rsidRDefault="002B1B1B" w:rsidP="00845009">
            <w:pPr>
              <w:jc w:val="center"/>
              <w:rPr>
                <w:rFonts w:ascii="Calibri" w:hAnsi="Calibri"/>
                <w:color w:val="000000"/>
              </w:rPr>
            </w:pPr>
            <w:r w:rsidRPr="0041259E">
              <w:rPr>
                <w:rFonts w:ascii="Calibri" w:hAnsi="Calibri"/>
                <w:color w:val="000000"/>
              </w:rPr>
              <w:t>TP</w:t>
            </w:r>
          </w:p>
        </w:tc>
        <w:tc>
          <w:tcPr>
            <w:tcW w:w="1079" w:type="dxa"/>
            <w:tcBorders>
              <w:top w:val="nil"/>
              <w:left w:val="nil"/>
              <w:bottom w:val="single" w:sz="4" w:space="0" w:color="auto"/>
              <w:right w:val="single" w:sz="4" w:space="0" w:color="auto"/>
            </w:tcBorders>
            <w:shd w:val="clear" w:color="auto" w:fill="auto"/>
            <w:noWrap/>
            <w:vAlign w:val="bottom"/>
            <w:hideMark/>
          </w:tcPr>
          <w:p w14:paraId="7742EAB7" w14:textId="77777777" w:rsidR="002B1B1B" w:rsidRPr="0041259E" w:rsidRDefault="002B1B1B" w:rsidP="00845009">
            <w:pPr>
              <w:jc w:val="center"/>
              <w:rPr>
                <w:rFonts w:ascii="Calibri" w:hAnsi="Calibri"/>
                <w:color w:val="000000"/>
              </w:rPr>
            </w:pPr>
            <w:r w:rsidRPr="0041259E">
              <w:rPr>
                <w:rFonts w:ascii="Calibri" w:hAnsi="Calibri"/>
                <w:color w:val="000000"/>
              </w:rPr>
              <w:t>FP</w:t>
            </w:r>
          </w:p>
        </w:tc>
      </w:tr>
      <w:tr w:rsidR="002B1B1B" w:rsidRPr="0041259E" w14:paraId="3C7E3422" w14:textId="77777777" w:rsidTr="00845009">
        <w:trPr>
          <w:trHeight w:val="300"/>
        </w:trPr>
        <w:tc>
          <w:tcPr>
            <w:tcW w:w="1011" w:type="dxa"/>
            <w:tcBorders>
              <w:top w:val="nil"/>
              <w:left w:val="nil"/>
              <w:bottom w:val="nil"/>
              <w:right w:val="nil"/>
            </w:tcBorders>
            <w:shd w:val="clear" w:color="auto" w:fill="auto"/>
            <w:noWrap/>
            <w:vAlign w:val="bottom"/>
            <w:hideMark/>
          </w:tcPr>
          <w:p w14:paraId="1877C958" w14:textId="77777777" w:rsidR="002B1B1B" w:rsidRPr="0041259E" w:rsidRDefault="002B1B1B" w:rsidP="00845009">
            <w:pPr>
              <w:jc w:val="center"/>
              <w:rPr>
                <w:rFonts w:ascii="Calibri" w:hAnsi="Calibri"/>
                <w:b/>
                <w:bCs/>
                <w:color w:val="000000"/>
              </w:rPr>
            </w:pPr>
            <w:r w:rsidRPr="0041259E">
              <w:rPr>
                <w:rFonts w:ascii="Calibri" w:hAnsi="Calibri"/>
                <w:b/>
                <w:bCs/>
                <w:color w:val="000000"/>
              </w:rPr>
              <w:t>A</w:t>
            </w:r>
          </w:p>
        </w:tc>
        <w:tc>
          <w:tcPr>
            <w:tcW w:w="581" w:type="dxa"/>
            <w:tcBorders>
              <w:top w:val="nil"/>
              <w:left w:val="nil"/>
              <w:bottom w:val="nil"/>
              <w:right w:val="nil"/>
            </w:tcBorders>
            <w:shd w:val="clear" w:color="auto" w:fill="auto"/>
            <w:noWrap/>
            <w:vAlign w:val="bottom"/>
            <w:hideMark/>
          </w:tcPr>
          <w:p w14:paraId="4673E1ED" w14:textId="77777777" w:rsidR="002B1B1B" w:rsidRPr="0041259E" w:rsidRDefault="002B1B1B" w:rsidP="00845009">
            <w:pPr>
              <w:jc w:val="right"/>
              <w:rPr>
                <w:rFonts w:ascii="Calibri" w:hAnsi="Calibri"/>
                <w:b/>
                <w:bCs/>
                <w:color w:val="000000"/>
              </w:rPr>
            </w:pPr>
            <w:r w:rsidRPr="0041259E">
              <w:rPr>
                <w:rFonts w:ascii="Calibri" w:hAnsi="Calibri"/>
                <w:b/>
                <w:bCs/>
                <w:color w:val="000000"/>
              </w:rPr>
              <w:t>100</w:t>
            </w:r>
          </w:p>
        </w:tc>
        <w:tc>
          <w:tcPr>
            <w:tcW w:w="1476" w:type="dxa"/>
            <w:tcBorders>
              <w:top w:val="nil"/>
              <w:left w:val="nil"/>
              <w:bottom w:val="nil"/>
              <w:right w:val="nil"/>
            </w:tcBorders>
            <w:shd w:val="clear" w:color="auto" w:fill="auto"/>
            <w:noWrap/>
            <w:vAlign w:val="bottom"/>
            <w:hideMark/>
          </w:tcPr>
          <w:p w14:paraId="66AF1A56" w14:textId="77777777" w:rsidR="002B1B1B" w:rsidRPr="0041259E" w:rsidRDefault="002B1B1B" w:rsidP="00845009">
            <w:pPr>
              <w:jc w:val="right"/>
              <w:rPr>
                <w:rFonts w:ascii="Calibri" w:hAnsi="Calibri"/>
                <w:b/>
                <w:bCs/>
                <w:color w:val="000000"/>
              </w:rPr>
            </w:pPr>
            <w:r w:rsidRPr="0041259E">
              <w:rPr>
                <w:rFonts w:ascii="Calibri" w:hAnsi="Calibri"/>
                <w:b/>
                <w:bCs/>
                <w:color w:val="000000"/>
              </w:rPr>
              <w:t>33</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14:paraId="66923BE4" w14:textId="77777777" w:rsidR="002B1B1B" w:rsidRPr="0041259E" w:rsidRDefault="002B1B1B" w:rsidP="00845009">
            <w:pPr>
              <w:jc w:val="right"/>
              <w:rPr>
                <w:rFonts w:ascii="Calibri" w:hAnsi="Calibri"/>
                <w:color w:val="000000"/>
              </w:rPr>
            </w:pPr>
            <w:r w:rsidRPr="0041259E">
              <w:rPr>
                <w:rFonts w:ascii="Calibri" w:hAnsi="Calibri"/>
                <w:color w:val="000000"/>
              </w:rPr>
              <w:t>50%</w:t>
            </w:r>
          </w:p>
        </w:tc>
        <w:tc>
          <w:tcPr>
            <w:tcW w:w="460" w:type="dxa"/>
            <w:tcBorders>
              <w:top w:val="nil"/>
              <w:left w:val="nil"/>
              <w:bottom w:val="single" w:sz="4" w:space="0" w:color="auto"/>
              <w:right w:val="single" w:sz="4" w:space="0" w:color="auto"/>
            </w:tcBorders>
            <w:shd w:val="clear" w:color="auto" w:fill="auto"/>
            <w:noWrap/>
            <w:vAlign w:val="bottom"/>
            <w:hideMark/>
          </w:tcPr>
          <w:p w14:paraId="13109430" w14:textId="77777777" w:rsidR="002B1B1B" w:rsidRPr="0041259E" w:rsidRDefault="002B1B1B" w:rsidP="00845009">
            <w:pPr>
              <w:jc w:val="right"/>
              <w:rPr>
                <w:rFonts w:ascii="Calibri" w:hAnsi="Calibri"/>
                <w:color w:val="000000"/>
              </w:rPr>
            </w:pPr>
            <w:r w:rsidRPr="0041259E">
              <w:rPr>
                <w:rFonts w:ascii="Calibri" w:hAnsi="Calibri"/>
                <w:color w:val="000000"/>
              </w:rPr>
              <w:t>33</w:t>
            </w:r>
          </w:p>
        </w:tc>
        <w:tc>
          <w:tcPr>
            <w:tcW w:w="581" w:type="dxa"/>
            <w:tcBorders>
              <w:top w:val="nil"/>
              <w:left w:val="nil"/>
              <w:bottom w:val="single" w:sz="4" w:space="0" w:color="auto"/>
              <w:right w:val="single" w:sz="4" w:space="0" w:color="auto"/>
            </w:tcBorders>
            <w:shd w:val="clear" w:color="auto" w:fill="auto"/>
            <w:noWrap/>
            <w:vAlign w:val="bottom"/>
            <w:hideMark/>
          </w:tcPr>
          <w:p w14:paraId="7E11C0A9" w14:textId="77777777" w:rsidR="002B1B1B" w:rsidRPr="0041259E" w:rsidRDefault="002B1B1B" w:rsidP="00845009">
            <w:pPr>
              <w:jc w:val="right"/>
              <w:rPr>
                <w:rFonts w:ascii="Calibri" w:hAnsi="Calibri"/>
                <w:color w:val="000000"/>
              </w:rPr>
            </w:pPr>
            <w:r w:rsidRPr="0041259E">
              <w:rPr>
                <w:rFonts w:ascii="Calibri" w:hAnsi="Calibri"/>
                <w:color w:val="000000"/>
              </w:rPr>
              <w:t>67</w:t>
            </w:r>
          </w:p>
        </w:tc>
        <w:tc>
          <w:tcPr>
            <w:tcW w:w="1249" w:type="dxa"/>
            <w:tcBorders>
              <w:top w:val="nil"/>
              <w:left w:val="nil"/>
              <w:bottom w:val="single" w:sz="4" w:space="0" w:color="auto"/>
              <w:right w:val="single" w:sz="4" w:space="0" w:color="auto"/>
            </w:tcBorders>
            <w:shd w:val="clear" w:color="auto" w:fill="auto"/>
            <w:noWrap/>
            <w:vAlign w:val="bottom"/>
            <w:hideMark/>
          </w:tcPr>
          <w:p w14:paraId="0A1921B0" w14:textId="77777777" w:rsidR="002B1B1B" w:rsidRPr="0041259E" w:rsidRDefault="002B1B1B" w:rsidP="00845009">
            <w:pPr>
              <w:jc w:val="right"/>
              <w:rPr>
                <w:rFonts w:ascii="Calibri" w:hAnsi="Calibri"/>
                <w:color w:val="000000"/>
              </w:rPr>
            </w:pPr>
            <w:r w:rsidRPr="0041259E">
              <w:rPr>
                <w:rFonts w:ascii="Calibri" w:hAnsi="Calibri"/>
                <w:color w:val="000000"/>
              </w:rPr>
              <w:t>20%</w:t>
            </w:r>
          </w:p>
        </w:tc>
        <w:tc>
          <w:tcPr>
            <w:tcW w:w="457" w:type="dxa"/>
            <w:tcBorders>
              <w:top w:val="nil"/>
              <w:left w:val="nil"/>
              <w:bottom w:val="single" w:sz="4" w:space="0" w:color="auto"/>
              <w:right w:val="single" w:sz="4" w:space="0" w:color="auto"/>
            </w:tcBorders>
            <w:shd w:val="clear" w:color="auto" w:fill="auto"/>
            <w:noWrap/>
            <w:vAlign w:val="bottom"/>
            <w:hideMark/>
          </w:tcPr>
          <w:p w14:paraId="012E0E05" w14:textId="77777777" w:rsidR="002B1B1B" w:rsidRPr="0041259E" w:rsidRDefault="002B1B1B" w:rsidP="00845009">
            <w:pPr>
              <w:jc w:val="right"/>
              <w:rPr>
                <w:rFonts w:ascii="Calibri" w:hAnsi="Calibri"/>
                <w:color w:val="000000"/>
              </w:rPr>
            </w:pPr>
            <w:r w:rsidRPr="0041259E">
              <w:rPr>
                <w:rFonts w:ascii="Calibri" w:hAnsi="Calibri"/>
                <w:color w:val="000000"/>
              </w:rPr>
              <w:t>0</w:t>
            </w:r>
          </w:p>
        </w:tc>
        <w:tc>
          <w:tcPr>
            <w:tcW w:w="451" w:type="dxa"/>
            <w:tcBorders>
              <w:top w:val="nil"/>
              <w:left w:val="nil"/>
              <w:bottom w:val="single" w:sz="4" w:space="0" w:color="auto"/>
              <w:right w:val="single" w:sz="4" w:space="0" w:color="auto"/>
            </w:tcBorders>
            <w:shd w:val="clear" w:color="auto" w:fill="auto"/>
            <w:noWrap/>
            <w:vAlign w:val="bottom"/>
            <w:hideMark/>
          </w:tcPr>
          <w:p w14:paraId="5EDC8851" w14:textId="77777777" w:rsidR="002B1B1B" w:rsidRPr="0041259E" w:rsidRDefault="002B1B1B" w:rsidP="00845009">
            <w:pPr>
              <w:jc w:val="right"/>
              <w:rPr>
                <w:rFonts w:ascii="Calibri" w:hAnsi="Calibri"/>
                <w:color w:val="000000"/>
              </w:rPr>
            </w:pPr>
            <w:r w:rsidRPr="0041259E">
              <w:rPr>
                <w:rFonts w:ascii="Calibri" w:hAnsi="Calibri"/>
                <w:color w:val="000000"/>
              </w:rPr>
              <w:t>0</w:t>
            </w:r>
          </w:p>
        </w:tc>
        <w:tc>
          <w:tcPr>
            <w:tcW w:w="1240" w:type="dxa"/>
            <w:tcBorders>
              <w:top w:val="nil"/>
              <w:left w:val="nil"/>
              <w:bottom w:val="single" w:sz="4" w:space="0" w:color="auto"/>
              <w:right w:val="single" w:sz="4" w:space="0" w:color="auto"/>
            </w:tcBorders>
            <w:shd w:val="clear" w:color="auto" w:fill="auto"/>
            <w:noWrap/>
            <w:vAlign w:val="bottom"/>
            <w:hideMark/>
          </w:tcPr>
          <w:p w14:paraId="4D66759A" w14:textId="77777777" w:rsidR="002B1B1B" w:rsidRPr="0041259E" w:rsidRDefault="002B1B1B" w:rsidP="00845009">
            <w:pPr>
              <w:jc w:val="right"/>
              <w:rPr>
                <w:rFonts w:ascii="Calibri" w:hAnsi="Calibri"/>
                <w:color w:val="000000"/>
              </w:rPr>
            </w:pPr>
            <w:r w:rsidRPr="0041259E">
              <w:rPr>
                <w:rFonts w:ascii="Calibri" w:hAnsi="Calibri"/>
                <w:color w:val="000000"/>
              </w:rPr>
              <w:t>25%</w:t>
            </w:r>
          </w:p>
        </w:tc>
        <w:tc>
          <w:tcPr>
            <w:tcW w:w="460" w:type="dxa"/>
            <w:tcBorders>
              <w:top w:val="nil"/>
              <w:left w:val="nil"/>
              <w:bottom w:val="single" w:sz="4" w:space="0" w:color="auto"/>
              <w:right w:val="single" w:sz="4" w:space="0" w:color="auto"/>
            </w:tcBorders>
            <w:shd w:val="clear" w:color="auto" w:fill="auto"/>
            <w:noWrap/>
            <w:vAlign w:val="bottom"/>
            <w:hideMark/>
          </w:tcPr>
          <w:p w14:paraId="6EBA62A5" w14:textId="77777777" w:rsidR="002B1B1B" w:rsidRPr="0041259E" w:rsidRDefault="002B1B1B" w:rsidP="00845009">
            <w:pPr>
              <w:jc w:val="right"/>
              <w:rPr>
                <w:rFonts w:ascii="Calibri" w:hAnsi="Calibri"/>
                <w:color w:val="000000"/>
              </w:rPr>
            </w:pPr>
            <w:r w:rsidRPr="0041259E">
              <w:rPr>
                <w:rFonts w:ascii="Calibri" w:hAnsi="Calibri"/>
                <w:color w:val="000000"/>
              </w:rPr>
              <w:t>33</w:t>
            </w:r>
          </w:p>
        </w:tc>
        <w:tc>
          <w:tcPr>
            <w:tcW w:w="460" w:type="dxa"/>
            <w:tcBorders>
              <w:top w:val="nil"/>
              <w:left w:val="nil"/>
              <w:bottom w:val="single" w:sz="4" w:space="0" w:color="auto"/>
              <w:right w:val="single" w:sz="4" w:space="0" w:color="auto"/>
            </w:tcBorders>
            <w:shd w:val="clear" w:color="auto" w:fill="auto"/>
            <w:noWrap/>
            <w:vAlign w:val="bottom"/>
            <w:hideMark/>
          </w:tcPr>
          <w:p w14:paraId="7F673BA3" w14:textId="77777777" w:rsidR="002B1B1B" w:rsidRPr="0041259E" w:rsidRDefault="002B1B1B" w:rsidP="00845009">
            <w:pPr>
              <w:jc w:val="right"/>
              <w:rPr>
                <w:rFonts w:ascii="Calibri" w:hAnsi="Calibri"/>
                <w:color w:val="000000"/>
              </w:rPr>
            </w:pPr>
            <w:r w:rsidRPr="0041259E">
              <w:rPr>
                <w:rFonts w:ascii="Calibri" w:hAnsi="Calibri"/>
                <w:color w:val="000000"/>
              </w:rPr>
              <w:t>67</w:t>
            </w:r>
          </w:p>
        </w:tc>
        <w:tc>
          <w:tcPr>
            <w:tcW w:w="271" w:type="dxa"/>
            <w:tcBorders>
              <w:top w:val="nil"/>
              <w:left w:val="nil"/>
              <w:bottom w:val="single" w:sz="4" w:space="0" w:color="auto"/>
              <w:right w:val="single" w:sz="4" w:space="0" w:color="auto"/>
            </w:tcBorders>
            <w:shd w:val="clear" w:color="auto" w:fill="auto"/>
            <w:noWrap/>
            <w:vAlign w:val="bottom"/>
            <w:hideMark/>
          </w:tcPr>
          <w:p w14:paraId="3667EB67" w14:textId="77777777" w:rsidR="002B1B1B" w:rsidRPr="0041259E" w:rsidRDefault="002B1B1B" w:rsidP="00845009">
            <w:pPr>
              <w:rPr>
                <w:rFonts w:ascii="Calibri" w:hAnsi="Calibri"/>
                <w:color w:val="000000"/>
              </w:rPr>
            </w:pPr>
            <w:r w:rsidRPr="0041259E">
              <w:rPr>
                <w:rFonts w:ascii="Calibri" w:hAnsi="Calibri"/>
                <w:color w:val="000000"/>
              </w:rPr>
              <w:t> </w:t>
            </w:r>
          </w:p>
        </w:tc>
        <w:tc>
          <w:tcPr>
            <w:tcW w:w="749" w:type="dxa"/>
            <w:tcBorders>
              <w:top w:val="nil"/>
              <w:left w:val="nil"/>
              <w:bottom w:val="single" w:sz="4" w:space="0" w:color="auto"/>
              <w:right w:val="single" w:sz="4" w:space="0" w:color="auto"/>
            </w:tcBorders>
            <w:shd w:val="clear" w:color="auto" w:fill="auto"/>
            <w:noWrap/>
            <w:vAlign w:val="bottom"/>
            <w:hideMark/>
          </w:tcPr>
          <w:p w14:paraId="4BBEACC1" w14:textId="77777777" w:rsidR="002B1B1B" w:rsidRPr="0041259E" w:rsidRDefault="002B1B1B" w:rsidP="00845009">
            <w:pPr>
              <w:jc w:val="right"/>
              <w:rPr>
                <w:rFonts w:ascii="Calibri" w:hAnsi="Calibri"/>
                <w:color w:val="000000"/>
              </w:rPr>
            </w:pPr>
            <w:r w:rsidRPr="0041259E">
              <w:rPr>
                <w:rFonts w:ascii="Calibri" w:hAnsi="Calibri"/>
                <w:color w:val="000000"/>
              </w:rPr>
              <w:t>33</w:t>
            </w:r>
          </w:p>
        </w:tc>
        <w:tc>
          <w:tcPr>
            <w:tcW w:w="1079" w:type="dxa"/>
            <w:tcBorders>
              <w:top w:val="nil"/>
              <w:left w:val="nil"/>
              <w:bottom w:val="single" w:sz="4" w:space="0" w:color="auto"/>
              <w:right w:val="single" w:sz="4" w:space="0" w:color="auto"/>
            </w:tcBorders>
            <w:shd w:val="clear" w:color="auto" w:fill="auto"/>
            <w:noWrap/>
            <w:vAlign w:val="bottom"/>
            <w:hideMark/>
          </w:tcPr>
          <w:p w14:paraId="6CF635E3" w14:textId="77777777" w:rsidR="002B1B1B" w:rsidRPr="0041259E" w:rsidRDefault="002B1B1B" w:rsidP="00845009">
            <w:pPr>
              <w:jc w:val="right"/>
              <w:rPr>
                <w:rFonts w:ascii="Calibri" w:hAnsi="Calibri"/>
                <w:color w:val="000000"/>
              </w:rPr>
            </w:pPr>
            <w:r w:rsidRPr="0041259E">
              <w:rPr>
                <w:rFonts w:ascii="Calibri" w:hAnsi="Calibri"/>
                <w:color w:val="000000"/>
              </w:rPr>
              <w:t>67</w:t>
            </w:r>
          </w:p>
        </w:tc>
      </w:tr>
      <w:tr w:rsidR="002B1B1B" w:rsidRPr="0041259E" w14:paraId="292F041E" w14:textId="77777777" w:rsidTr="00845009">
        <w:trPr>
          <w:trHeight w:val="300"/>
        </w:trPr>
        <w:tc>
          <w:tcPr>
            <w:tcW w:w="1011" w:type="dxa"/>
            <w:tcBorders>
              <w:top w:val="nil"/>
              <w:left w:val="nil"/>
              <w:bottom w:val="nil"/>
              <w:right w:val="nil"/>
            </w:tcBorders>
            <w:shd w:val="clear" w:color="auto" w:fill="auto"/>
            <w:noWrap/>
            <w:vAlign w:val="bottom"/>
            <w:hideMark/>
          </w:tcPr>
          <w:p w14:paraId="50A2E121" w14:textId="77777777" w:rsidR="002B1B1B" w:rsidRPr="0041259E" w:rsidRDefault="002B1B1B" w:rsidP="00845009">
            <w:pPr>
              <w:jc w:val="center"/>
              <w:rPr>
                <w:rFonts w:ascii="Calibri" w:hAnsi="Calibri"/>
                <w:b/>
                <w:bCs/>
                <w:color w:val="000000"/>
              </w:rPr>
            </w:pPr>
            <w:r w:rsidRPr="0041259E">
              <w:rPr>
                <w:rFonts w:ascii="Calibri" w:hAnsi="Calibri"/>
                <w:b/>
                <w:bCs/>
                <w:color w:val="000000"/>
              </w:rPr>
              <w:t>B</w:t>
            </w:r>
          </w:p>
        </w:tc>
        <w:tc>
          <w:tcPr>
            <w:tcW w:w="581" w:type="dxa"/>
            <w:tcBorders>
              <w:top w:val="nil"/>
              <w:left w:val="nil"/>
              <w:bottom w:val="nil"/>
              <w:right w:val="nil"/>
            </w:tcBorders>
            <w:shd w:val="clear" w:color="auto" w:fill="auto"/>
            <w:noWrap/>
            <w:vAlign w:val="bottom"/>
            <w:hideMark/>
          </w:tcPr>
          <w:p w14:paraId="13A39498" w14:textId="77777777" w:rsidR="002B1B1B" w:rsidRPr="0041259E" w:rsidRDefault="002B1B1B" w:rsidP="00845009">
            <w:pPr>
              <w:jc w:val="right"/>
              <w:rPr>
                <w:rFonts w:ascii="Calibri" w:hAnsi="Calibri"/>
                <w:b/>
                <w:bCs/>
                <w:color w:val="000000"/>
              </w:rPr>
            </w:pPr>
            <w:r w:rsidRPr="0041259E">
              <w:rPr>
                <w:rFonts w:ascii="Calibri" w:hAnsi="Calibri"/>
                <w:b/>
                <w:bCs/>
                <w:color w:val="000000"/>
              </w:rPr>
              <w:t>100</w:t>
            </w:r>
          </w:p>
        </w:tc>
        <w:tc>
          <w:tcPr>
            <w:tcW w:w="1476" w:type="dxa"/>
            <w:tcBorders>
              <w:top w:val="nil"/>
              <w:left w:val="nil"/>
              <w:bottom w:val="nil"/>
              <w:right w:val="nil"/>
            </w:tcBorders>
            <w:shd w:val="clear" w:color="auto" w:fill="auto"/>
            <w:noWrap/>
            <w:vAlign w:val="bottom"/>
            <w:hideMark/>
          </w:tcPr>
          <w:p w14:paraId="05884A63" w14:textId="77777777" w:rsidR="002B1B1B" w:rsidRPr="0041259E" w:rsidRDefault="002B1B1B" w:rsidP="00845009">
            <w:pPr>
              <w:jc w:val="right"/>
              <w:rPr>
                <w:rFonts w:ascii="Calibri" w:hAnsi="Calibri"/>
                <w:b/>
                <w:bCs/>
                <w:color w:val="000000"/>
              </w:rPr>
            </w:pPr>
            <w:r w:rsidRPr="0041259E">
              <w:rPr>
                <w:rFonts w:ascii="Calibri" w:hAnsi="Calibri"/>
                <w:b/>
                <w:bCs/>
                <w:color w:val="000000"/>
              </w:rPr>
              <w:t>17</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14:paraId="589A7029" w14:textId="77777777" w:rsidR="002B1B1B" w:rsidRPr="0041259E" w:rsidRDefault="002B1B1B" w:rsidP="00845009">
            <w:pPr>
              <w:jc w:val="right"/>
              <w:rPr>
                <w:rFonts w:ascii="Calibri" w:hAnsi="Calibri"/>
                <w:color w:val="000000"/>
              </w:rPr>
            </w:pPr>
            <w:r w:rsidRPr="0041259E">
              <w:rPr>
                <w:rFonts w:ascii="Calibri" w:hAnsi="Calibri"/>
                <w:color w:val="000000"/>
              </w:rPr>
              <w:t>35%</w:t>
            </w:r>
          </w:p>
        </w:tc>
        <w:tc>
          <w:tcPr>
            <w:tcW w:w="460" w:type="dxa"/>
            <w:tcBorders>
              <w:top w:val="nil"/>
              <w:left w:val="nil"/>
              <w:bottom w:val="single" w:sz="4" w:space="0" w:color="auto"/>
              <w:right w:val="single" w:sz="4" w:space="0" w:color="auto"/>
            </w:tcBorders>
            <w:shd w:val="clear" w:color="auto" w:fill="auto"/>
            <w:noWrap/>
            <w:vAlign w:val="bottom"/>
            <w:hideMark/>
          </w:tcPr>
          <w:p w14:paraId="37CDB793" w14:textId="77777777" w:rsidR="002B1B1B" w:rsidRPr="0041259E" w:rsidRDefault="002B1B1B" w:rsidP="00845009">
            <w:pPr>
              <w:jc w:val="right"/>
              <w:rPr>
                <w:rFonts w:ascii="Calibri" w:hAnsi="Calibri"/>
                <w:color w:val="000000"/>
              </w:rPr>
            </w:pPr>
            <w:r w:rsidRPr="0041259E">
              <w:rPr>
                <w:rFonts w:ascii="Calibri" w:hAnsi="Calibri"/>
                <w:color w:val="000000"/>
              </w:rPr>
              <w:t>17</w:t>
            </w:r>
          </w:p>
        </w:tc>
        <w:tc>
          <w:tcPr>
            <w:tcW w:w="581" w:type="dxa"/>
            <w:tcBorders>
              <w:top w:val="nil"/>
              <w:left w:val="nil"/>
              <w:bottom w:val="single" w:sz="4" w:space="0" w:color="auto"/>
              <w:right w:val="single" w:sz="4" w:space="0" w:color="auto"/>
            </w:tcBorders>
            <w:shd w:val="clear" w:color="auto" w:fill="auto"/>
            <w:noWrap/>
            <w:vAlign w:val="bottom"/>
            <w:hideMark/>
          </w:tcPr>
          <w:p w14:paraId="6A0864B5" w14:textId="77777777" w:rsidR="002B1B1B" w:rsidRPr="0041259E" w:rsidRDefault="002B1B1B" w:rsidP="00845009">
            <w:pPr>
              <w:jc w:val="right"/>
              <w:rPr>
                <w:rFonts w:ascii="Calibri" w:hAnsi="Calibri"/>
                <w:color w:val="000000"/>
              </w:rPr>
            </w:pPr>
            <w:r w:rsidRPr="0041259E">
              <w:rPr>
                <w:rFonts w:ascii="Calibri" w:hAnsi="Calibri"/>
                <w:color w:val="000000"/>
              </w:rPr>
              <w:t>83</w:t>
            </w:r>
          </w:p>
        </w:tc>
        <w:tc>
          <w:tcPr>
            <w:tcW w:w="1249" w:type="dxa"/>
            <w:tcBorders>
              <w:top w:val="nil"/>
              <w:left w:val="nil"/>
              <w:bottom w:val="single" w:sz="4" w:space="0" w:color="auto"/>
              <w:right w:val="single" w:sz="4" w:space="0" w:color="auto"/>
            </w:tcBorders>
            <w:shd w:val="clear" w:color="auto" w:fill="auto"/>
            <w:noWrap/>
            <w:vAlign w:val="bottom"/>
            <w:hideMark/>
          </w:tcPr>
          <w:p w14:paraId="5F0C5994" w14:textId="77777777" w:rsidR="002B1B1B" w:rsidRPr="0041259E" w:rsidRDefault="002B1B1B" w:rsidP="00845009">
            <w:pPr>
              <w:jc w:val="right"/>
              <w:rPr>
                <w:rFonts w:ascii="Calibri" w:hAnsi="Calibri"/>
                <w:color w:val="000000"/>
              </w:rPr>
            </w:pPr>
            <w:r w:rsidRPr="0041259E">
              <w:rPr>
                <w:rFonts w:ascii="Calibri" w:hAnsi="Calibri"/>
                <w:color w:val="000000"/>
              </w:rPr>
              <w:t>20%</w:t>
            </w:r>
          </w:p>
        </w:tc>
        <w:tc>
          <w:tcPr>
            <w:tcW w:w="457" w:type="dxa"/>
            <w:tcBorders>
              <w:top w:val="nil"/>
              <w:left w:val="nil"/>
              <w:bottom w:val="single" w:sz="4" w:space="0" w:color="auto"/>
              <w:right w:val="single" w:sz="4" w:space="0" w:color="auto"/>
            </w:tcBorders>
            <w:shd w:val="clear" w:color="auto" w:fill="auto"/>
            <w:noWrap/>
            <w:vAlign w:val="bottom"/>
            <w:hideMark/>
          </w:tcPr>
          <w:p w14:paraId="77D57D32" w14:textId="77777777" w:rsidR="002B1B1B" w:rsidRPr="0041259E" w:rsidRDefault="002B1B1B" w:rsidP="00845009">
            <w:pPr>
              <w:jc w:val="right"/>
              <w:rPr>
                <w:rFonts w:ascii="Calibri" w:hAnsi="Calibri"/>
                <w:color w:val="000000"/>
              </w:rPr>
            </w:pPr>
            <w:r w:rsidRPr="0041259E">
              <w:rPr>
                <w:rFonts w:ascii="Calibri" w:hAnsi="Calibri"/>
                <w:color w:val="000000"/>
              </w:rPr>
              <w:t>0</w:t>
            </w:r>
          </w:p>
        </w:tc>
        <w:tc>
          <w:tcPr>
            <w:tcW w:w="451" w:type="dxa"/>
            <w:tcBorders>
              <w:top w:val="nil"/>
              <w:left w:val="nil"/>
              <w:bottom w:val="single" w:sz="4" w:space="0" w:color="auto"/>
              <w:right w:val="single" w:sz="4" w:space="0" w:color="auto"/>
            </w:tcBorders>
            <w:shd w:val="clear" w:color="auto" w:fill="auto"/>
            <w:noWrap/>
            <w:vAlign w:val="bottom"/>
            <w:hideMark/>
          </w:tcPr>
          <w:p w14:paraId="5430DFB9" w14:textId="77777777" w:rsidR="002B1B1B" w:rsidRPr="0041259E" w:rsidRDefault="002B1B1B" w:rsidP="00845009">
            <w:pPr>
              <w:jc w:val="right"/>
              <w:rPr>
                <w:rFonts w:ascii="Calibri" w:hAnsi="Calibri"/>
                <w:color w:val="000000"/>
              </w:rPr>
            </w:pPr>
            <w:r w:rsidRPr="0041259E">
              <w:rPr>
                <w:rFonts w:ascii="Calibri" w:hAnsi="Calibri"/>
                <w:color w:val="000000"/>
              </w:rPr>
              <w:t>0</w:t>
            </w:r>
          </w:p>
        </w:tc>
        <w:tc>
          <w:tcPr>
            <w:tcW w:w="1240" w:type="dxa"/>
            <w:tcBorders>
              <w:top w:val="nil"/>
              <w:left w:val="nil"/>
              <w:bottom w:val="single" w:sz="4" w:space="0" w:color="auto"/>
              <w:right w:val="single" w:sz="4" w:space="0" w:color="auto"/>
            </w:tcBorders>
            <w:shd w:val="clear" w:color="auto" w:fill="auto"/>
            <w:noWrap/>
            <w:vAlign w:val="bottom"/>
            <w:hideMark/>
          </w:tcPr>
          <w:p w14:paraId="7203A015" w14:textId="77777777" w:rsidR="002B1B1B" w:rsidRPr="0041259E" w:rsidRDefault="002B1B1B" w:rsidP="00845009">
            <w:pPr>
              <w:jc w:val="right"/>
              <w:rPr>
                <w:rFonts w:ascii="Calibri" w:hAnsi="Calibri"/>
                <w:color w:val="000000"/>
              </w:rPr>
            </w:pPr>
            <w:r w:rsidRPr="0041259E">
              <w:rPr>
                <w:rFonts w:ascii="Calibri" w:hAnsi="Calibri"/>
                <w:color w:val="000000"/>
              </w:rPr>
              <w:t>10%</w:t>
            </w:r>
          </w:p>
        </w:tc>
        <w:tc>
          <w:tcPr>
            <w:tcW w:w="460" w:type="dxa"/>
            <w:tcBorders>
              <w:top w:val="nil"/>
              <w:left w:val="nil"/>
              <w:bottom w:val="single" w:sz="4" w:space="0" w:color="auto"/>
              <w:right w:val="single" w:sz="4" w:space="0" w:color="auto"/>
            </w:tcBorders>
            <w:shd w:val="clear" w:color="auto" w:fill="auto"/>
            <w:noWrap/>
            <w:vAlign w:val="bottom"/>
            <w:hideMark/>
          </w:tcPr>
          <w:p w14:paraId="10214AB4" w14:textId="77777777" w:rsidR="002B1B1B" w:rsidRPr="0041259E" w:rsidRDefault="002B1B1B" w:rsidP="00845009">
            <w:pPr>
              <w:jc w:val="right"/>
              <w:rPr>
                <w:rFonts w:ascii="Calibri" w:hAnsi="Calibri"/>
                <w:color w:val="000000"/>
              </w:rPr>
            </w:pPr>
            <w:r w:rsidRPr="0041259E">
              <w:rPr>
                <w:rFonts w:ascii="Calibri" w:hAnsi="Calibri"/>
                <w:color w:val="000000"/>
              </w:rPr>
              <w:t>0</w:t>
            </w:r>
          </w:p>
        </w:tc>
        <w:tc>
          <w:tcPr>
            <w:tcW w:w="460" w:type="dxa"/>
            <w:tcBorders>
              <w:top w:val="nil"/>
              <w:left w:val="nil"/>
              <w:bottom w:val="single" w:sz="4" w:space="0" w:color="auto"/>
              <w:right w:val="single" w:sz="4" w:space="0" w:color="auto"/>
            </w:tcBorders>
            <w:shd w:val="clear" w:color="auto" w:fill="auto"/>
            <w:noWrap/>
            <w:vAlign w:val="bottom"/>
            <w:hideMark/>
          </w:tcPr>
          <w:p w14:paraId="683BA5A4" w14:textId="77777777" w:rsidR="002B1B1B" w:rsidRPr="0041259E" w:rsidRDefault="002B1B1B" w:rsidP="00845009">
            <w:pPr>
              <w:jc w:val="right"/>
              <w:rPr>
                <w:rFonts w:ascii="Calibri" w:hAnsi="Calibri"/>
                <w:color w:val="000000"/>
              </w:rPr>
            </w:pPr>
            <w:r w:rsidRPr="0041259E">
              <w:rPr>
                <w:rFonts w:ascii="Calibri" w:hAnsi="Calibri"/>
                <w:color w:val="000000"/>
              </w:rPr>
              <w:t>0</w:t>
            </w:r>
          </w:p>
        </w:tc>
        <w:tc>
          <w:tcPr>
            <w:tcW w:w="271" w:type="dxa"/>
            <w:tcBorders>
              <w:top w:val="nil"/>
              <w:left w:val="nil"/>
              <w:bottom w:val="single" w:sz="4" w:space="0" w:color="auto"/>
              <w:right w:val="single" w:sz="4" w:space="0" w:color="auto"/>
            </w:tcBorders>
            <w:shd w:val="clear" w:color="auto" w:fill="auto"/>
            <w:noWrap/>
            <w:vAlign w:val="bottom"/>
            <w:hideMark/>
          </w:tcPr>
          <w:p w14:paraId="534E8501" w14:textId="77777777" w:rsidR="002B1B1B" w:rsidRPr="0041259E" w:rsidRDefault="002B1B1B" w:rsidP="00845009">
            <w:pPr>
              <w:rPr>
                <w:rFonts w:ascii="Calibri" w:hAnsi="Calibri"/>
                <w:color w:val="000000"/>
              </w:rPr>
            </w:pPr>
            <w:r w:rsidRPr="0041259E">
              <w:rPr>
                <w:rFonts w:ascii="Calibri" w:hAnsi="Calibri"/>
                <w:color w:val="000000"/>
              </w:rPr>
              <w:t> </w:t>
            </w:r>
          </w:p>
        </w:tc>
        <w:tc>
          <w:tcPr>
            <w:tcW w:w="749" w:type="dxa"/>
            <w:tcBorders>
              <w:top w:val="nil"/>
              <w:left w:val="nil"/>
              <w:bottom w:val="single" w:sz="4" w:space="0" w:color="auto"/>
              <w:right w:val="single" w:sz="4" w:space="0" w:color="auto"/>
            </w:tcBorders>
            <w:shd w:val="clear" w:color="auto" w:fill="auto"/>
            <w:noWrap/>
            <w:vAlign w:val="bottom"/>
            <w:hideMark/>
          </w:tcPr>
          <w:p w14:paraId="06515DF2" w14:textId="77777777" w:rsidR="002B1B1B" w:rsidRPr="0041259E" w:rsidRDefault="002B1B1B" w:rsidP="00845009">
            <w:pPr>
              <w:jc w:val="right"/>
              <w:rPr>
                <w:rFonts w:ascii="Calibri" w:hAnsi="Calibri"/>
                <w:color w:val="000000"/>
              </w:rPr>
            </w:pPr>
            <w:r w:rsidRPr="0041259E">
              <w:rPr>
                <w:rFonts w:ascii="Calibri" w:hAnsi="Calibri"/>
                <w:color w:val="000000"/>
              </w:rPr>
              <w:t>17</w:t>
            </w:r>
          </w:p>
        </w:tc>
        <w:tc>
          <w:tcPr>
            <w:tcW w:w="1079" w:type="dxa"/>
            <w:tcBorders>
              <w:top w:val="nil"/>
              <w:left w:val="nil"/>
              <w:bottom w:val="single" w:sz="4" w:space="0" w:color="auto"/>
              <w:right w:val="single" w:sz="4" w:space="0" w:color="auto"/>
            </w:tcBorders>
            <w:shd w:val="clear" w:color="auto" w:fill="auto"/>
            <w:noWrap/>
            <w:vAlign w:val="bottom"/>
            <w:hideMark/>
          </w:tcPr>
          <w:p w14:paraId="7A8DB393" w14:textId="77777777" w:rsidR="002B1B1B" w:rsidRPr="0041259E" w:rsidRDefault="002B1B1B" w:rsidP="00845009">
            <w:pPr>
              <w:jc w:val="right"/>
              <w:rPr>
                <w:rFonts w:ascii="Calibri" w:hAnsi="Calibri"/>
                <w:color w:val="000000"/>
              </w:rPr>
            </w:pPr>
            <w:r w:rsidRPr="0041259E">
              <w:rPr>
                <w:rFonts w:ascii="Calibri" w:hAnsi="Calibri"/>
                <w:color w:val="000000"/>
              </w:rPr>
              <w:t>83</w:t>
            </w:r>
          </w:p>
        </w:tc>
      </w:tr>
      <w:tr w:rsidR="002B1B1B" w:rsidRPr="0041259E" w14:paraId="5176EAA7" w14:textId="77777777" w:rsidTr="00845009">
        <w:trPr>
          <w:trHeight w:val="300"/>
        </w:trPr>
        <w:tc>
          <w:tcPr>
            <w:tcW w:w="1011" w:type="dxa"/>
            <w:tcBorders>
              <w:top w:val="nil"/>
              <w:left w:val="nil"/>
              <w:bottom w:val="nil"/>
              <w:right w:val="nil"/>
            </w:tcBorders>
            <w:shd w:val="clear" w:color="auto" w:fill="auto"/>
            <w:noWrap/>
            <w:vAlign w:val="bottom"/>
            <w:hideMark/>
          </w:tcPr>
          <w:p w14:paraId="0BBDB42A" w14:textId="77777777" w:rsidR="002B1B1B" w:rsidRPr="0041259E" w:rsidRDefault="002B1B1B" w:rsidP="00845009">
            <w:pPr>
              <w:jc w:val="center"/>
              <w:rPr>
                <w:rFonts w:ascii="Calibri" w:hAnsi="Calibri"/>
                <w:b/>
                <w:bCs/>
                <w:color w:val="000000"/>
              </w:rPr>
            </w:pPr>
            <w:r w:rsidRPr="0041259E">
              <w:rPr>
                <w:rFonts w:ascii="Calibri" w:hAnsi="Calibri"/>
                <w:b/>
                <w:bCs/>
                <w:color w:val="000000"/>
              </w:rPr>
              <w:t>C</w:t>
            </w:r>
          </w:p>
        </w:tc>
        <w:tc>
          <w:tcPr>
            <w:tcW w:w="581" w:type="dxa"/>
            <w:tcBorders>
              <w:top w:val="nil"/>
              <w:left w:val="nil"/>
              <w:bottom w:val="nil"/>
              <w:right w:val="nil"/>
            </w:tcBorders>
            <w:shd w:val="clear" w:color="auto" w:fill="auto"/>
            <w:noWrap/>
            <w:vAlign w:val="bottom"/>
            <w:hideMark/>
          </w:tcPr>
          <w:p w14:paraId="07B56AC1" w14:textId="77777777" w:rsidR="002B1B1B" w:rsidRPr="0041259E" w:rsidRDefault="002B1B1B" w:rsidP="00845009">
            <w:pPr>
              <w:jc w:val="right"/>
              <w:rPr>
                <w:rFonts w:ascii="Calibri" w:hAnsi="Calibri"/>
                <w:b/>
                <w:bCs/>
                <w:color w:val="000000"/>
              </w:rPr>
            </w:pPr>
            <w:r w:rsidRPr="0041259E">
              <w:rPr>
                <w:rFonts w:ascii="Calibri" w:hAnsi="Calibri"/>
                <w:b/>
                <w:bCs/>
                <w:color w:val="000000"/>
              </w:rPr>
              <w:t>100</w:t>
            </w:r>
          </w:p>
        </w:tc>
        <w:tc>
          <w:tcPr>
            <w:tcW w:w="1476" w:type="dxa"/>
            <w:tcBorders>
              <w:top w:val="nil"/>
              <w:left w:val="nil"/>
              <w:bottom w:val="nil"/>
              <w:right w:val="nil"/>
            </w:tcBorders>
            <w:shd w:val="clear" w:color="auto" w:fill="auto"/>
            <w:noWrap/>
            <w:vAlign w:val="bottom"/>
            <w:hideMark/>
          </w:tcPr>
          <w:p w14:paraId="55CD2A21" w14:textId="77777777" w:rsidR="002B1B1B" w:rsidRPr="0041259E" w:rsidRDefault="002B1B1B" w:rsidP="00845009">
            <w:pPr>
              <w:jc w:val="right"/>
              <w:rPr>
                <w:rFonts w:ascii="Calibri" w:hAnsi="Calibri"/>
                <w:b/>
                <w:bCs/>
                <w:color w:val="000000"/>
              </w:rPr>
            </w:pPr>
            <w:r w:rsidRPr="0041259E">
              <w:rPr>
                <w:rFonts w:ascii="Calibri" w:hAnsi="Calibri"/>
                <w:b/>
                <w:bCs/>
                <w:color w:val="000000"/>
              </w:rPr>
              <w:t>11</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14:paraId="3AD620C9" w14:textId="77777777" w:rsidR="002B1B1B" w:rsidRPr="0041259E" w:rsidRDefault="002B1B1B" w:rsidP="00845009">
            <w:pPr>
              <w:jc w:val="right"/>
              <w:rPr>
                <w:rFonts w:ascii="Calibri" w:hAnsi="Calibri"/>
                <w:color w:val="000000"/>
              </w:rPr>
            </w:pPr>
            <w:r w:rsidRPr="0041259E">
              <w:rPr>
                <w:rFonts w:ascii="Calibri" w:hAnsi="Calibri"/>
                <w:color w:val="000000"/>
              </w:rPr>
              <w:t>20%</w:t>
            </w:r>
          </w:p>
        </w:tc>
        <w:tc>
          <w:tcPr>
            <w:tcW w:w="460" w:type="dxa"/>
            <w:tcBorders>
              <w:top w:val="nil"/>
              <w:left w:val="nil"/>
              <w:bottom w:val="single" w:sz="4" w:space="0" w:color="auto"/>
              <w:right w:val="single" w:sz="4" w:space="0" w:color="auto"/>
            </w:tcBorders>
            <w:shd w:val="clear" w:color="auto" w:fill="auto"/>
            <w:noWrap/>
            <w:vAlign w:val="bottom"/>
            <w:hideMark/>
          </w:tcPr>
          <w:p w14:paraId="43B48EF8" w14:textId="77777777" w:rsidR="002B1B1B" w:rsidRPr="0041259E" w:rsidRDefault="002B1B1B" w:rsidP="00845009">
            <w:pPr>
              <w:jc w:val="right"/>
              <w:rPr>
                <w:rFonts w:ascii="Calibri" w:hAnsi="Calibri"/>
                <w:color w:val="000000"/>
              </w:rPr>
            </w:pPr>
            <w:r w:rsidRPr="0041259E">
              <w:rPr>
                <w:rFonts w:ascii="Calibri" w:hAnsi="Calibri"/>
                <w:color w:val="000000"/>
              </w:rPr>
              <w:t>0</w:t>
            </w:r>
          </w:p>
        </w:tc>
        <w:tc>
          <w:tcPr>
            <w:tcW w:w="581" w:type="dxa"/>
            <w:tcBorders>
              <w:top w:val="nil"/>
              <w:left w:val="nil"/>
              <w:bottom w:val="single" w:sz="4" w:space="0" w:color="auto"/>
              <w:right w:val="single" w:sz="4" w:space="0" w:color="auto"/>
            </w:tcBorders>
            <w:shd w:val="clear" w:color="auto" w:fill="auto"/>
            <w:noWrap/>
            <w:vAlign w:val="bottom"/>
            <w:hideMark/>
          </w:tcPr>
          <w:p w14:paraId="00DD92AB" w14:textId="77777777" w:rsidR="002B1B1B" w:rsidRPr="0041259E" w:rsidRDefault="002B1B1B" w:rsidP="00845009">
            <w:pPr>
              <w:jc w:val="right"/>
              <w:rPr>
                <w:rFonts w:ascii="Calibri" w:hAnsi="Calibri"/>
                <w:color w:val="000000"/>
              </w:rPr>
            </w:pPr>
            <w:r w:rsidRPr="0041259E">
              <w:rPr>
                <w:rFonts w:ascii="Calibri" w:hAnsi="Calibri"/>
                <w:color w:val="000000"/>
              </w:rPr>
              <w:t>0</w:t>
            </w:r>
          </w:p>
        </w:tc>
        <w:tc>
          <w:tcPr>
            <w:tcW w:w="1249" w:type="dxa"/>
            <w:tcBorders>
              <w:top w:val="nil"/>
              <w:left w:val="nil"/>
              <w:bottom w:val="single" w:sz="4" w:space="0" w:color="auto"/>
              <w:right w:val="single" w:sz="4" w:space="0" w:color="auto"/>
            </w:tcBorders>
            <w:shd w:val="clear" w:color="auto" w:fill="auto"/>
            <w:noWrap/>
            <w:vAlign w:val="bottom"/>
            <w:hideMark/>
          </w:tcPr>
          <w:p w14:paraId="4F50640A" w14:textId="77777777" w:rsidR="002B1B1B" w:rsidRPr="0041259E" w:rsidRDefault="002B1B1B" w:rsidP="00845009">
            <w:pPr>
              <w:jc w:val="right"/>
              <w:rPr>
                <w:rFonts w:ascii="Calibri" w:hAnsi="Calibri"/>
                <w:color w:val="000000"/>
              </w:rPr>
            </w:pPr>
            <w:r w:rsidRPr="0041259E">
              <w:rPr>
                <w:rFonts w:ascii="Calibri" w:hAnsi="Calibri"/>
                <w:color w:val="000000"/>
              </w:rPr>
              <w:t>20%</w:t>
            </w:r>
          </w:p>
        </w:tc>
        <w:tc>
          <w:tcPr>
            <w:tcW w:w="457" w:type="dxa"/>
            <w:tcBorders>
              <w:top w:val="nil"/>
              <w:left w:val="nil"/>
              <w:bottom w:val="single" w:sz="4" w:space="0" w:color="auto"/>
              <w:right w:val="single" w:sz="4" w:space="0" w:color="auto"/>
            </w:tcBorders>
            <w:shd w:val="clear" w:color="auto" w:fill="auto"/>
            <w:noWrap/>
            <w:vAlign w:val="bottom"/>
            <w:hideMark/>
          </w:tcPr>
          <w:p w14:paraId="5A1ABD22" w14:textId="77777777" w:rsidR="002B1B1B" w:rsidRPr="0041259E" w:rsidRDefault="002B1B1B" w:rsidP="00845009">
            <w:pPr>
              <w:jc w:val="right"/>
              <w:rPr>
                <w:rFonts w:ascii="Calibri" w:hAnsi="Calibri"/>
                <w:color w:val="000000"/>
              </w:rPr>
            </w:pPr>
            <w:r w:rsidRPr="0041259E">
              <w:rPr>
                <w:rFonts w:ascii="Calibri" w:hAnsi="Calibri"/>
                <w:color w:val="000000"/>
              </w:rPr>
              <w:t>0</w:t>
            </w:r>
          </w:p>
        </w:tc>
        <w:tc>
          <w:tcPr>
            <w:tcW w:w="451" w:type="dxa"/>
            <w:tcBorders>
              <w:top w:val="nil"/>
              <w:left w:val="nil"/>
              <w:bottom w:val="single" w:sz="4" w:space="0" w:color="auto"/>
              <w:right w:val="single" w:sz="4" w:space="0" w:color="auto"/>
            </w:tcBorders>
            <w:shd w:val="clear" w:color="auto" w:fill="auto"/>
            <w:noWrap/>
            <w:vAlign w:val="bottom"/>
            <w:hideMark/>
          </w:tcPr>
          <w:p w14:paraId="4ED69D10" w14:textId="77777777" w:rsidR="002B1B1B" w:rsidRPr="0041259E" w:rsidRDefault="002B1B1B" w:rsidP="00845009">
            <w:pPr>
              <w:jc w:val="right"/>
              <w:rPr>
                <w:rFonts w:ascii="Calibri" w:hAnsi="Calibri"/>
                <w:color w:val="000000"/>
              </w:rPr>
            </w:pPr>
            <w:r w:rsidRPr="0041259E">
              <w:rPr>
                <w:rFonts w:ascii="Calibri" w:hAnsi="Calibri"/>
                <w:color w:val="000000"/>
              </w:rPr>
              <w:t>0</w:t>
            </w:r>
          </w:p>
        </w:tc>
        <w:tc>
          <w:tcPr>
            <w:tcW w:w="1240" w:type="dxa"/>
            <w:tcBorders>
              <w:top w:val="nil"/>
              <w:left w:val="nil"/>
              <w:bottom w:val="single" w:sz="4" w:space="0" w:color="auto"/>
              <w:right w:val="single" w:sz="4" w:space="0" w:color="auto"/>
            </w:tcBorders>
            <w:shd w:val="clear" w:color="auto" w:fill="auto"/>
            <w:noWrap/>
            <w:vAlign w:val="bottom"/>
            <w:hideMark/>
          </w:tcPr>
          <w:p w14:paraId="1A54553E" w14:textId="77777777" w:rsidR="002B1B1B" w:rsidRPr="0041259E" w:rsidRDefault="002B1B1B" w:rsidP="00845009">
            <w:pPr>
              <w:jc w:val="right"/>
              <w:rPr>
                <w:rFonts w:ascii="Calibri" w:hAnsi="Calibri"/>
                <w:color w:val="000000"/>
              </w:rPr>
            </w:pPr>
            <w:r w:rsidRPr="0041259E">
              <w:rPr>
                <w:rFonts w:ascii="Calibri" w:hAnsi="Calibri"/>
                <w:color w:val="000000"/>
              </w:rPr>
              <w:t>5%</w:t>
            </w:r>
          </w:p>
        </w:tc>
        <w:tc>
          <w:tcPr>
            <w:tcW w:w="460" w:type="dxa"/>
            <w:tcBorders>
              <w:top w:val="nil"/>
              <w:left w:val="nil"/>
              <w:bottom w:val="single" w:sz="4" w:space="0" w:color="auto"/>
              <w:right w:val="single" w:sz="4" w:space="0" w:color="auto"/>
            </w:tcBorders>
            <w:shd w:val="clear" w:color="auto" w:fill="auto"/>
            <w:noWrap/>
            <w:vAlign w:val="bottom"/>
            <w:hideMark/>
          </w:tcPr>
          <w:p w14:paraId="3056EA9D" w14:textId="77777777" w:rsidR="002B1B1B" w:rsidRPr="0041259E" w:rsidRDefault="002B1B1B" w:rsidP="00845009">
            <w:pPr>
              <w:jc w:val="right"/>
              <w:rPr>
                <w:rFonts w:ascii="Calibri" w:hAnsi="Calibri"/>
                <w:color w:val="000000"/>
              </w:rPr>
            </w:pPr>
            <w:r w:rsidRPr="0041259E">
              <w:rPr>
                <w:rFonts w:ascii="Calibri" w:hAnsi="Calibri"/>
                <w:color w:val="000000"/>
              </w:rPr>
              <w:t>0</w:t>
            </w:r>
          </w:p>
        </w:tc>
        <w:tc>
          <w:tcPr>
            <w:tcW w:w="460" w:type="dxa"/>
            <w:tcBorders>
              <w:top w:val="nil"/>
              <w:left w:val="nil"/>
              <w:bottom w:val="single" w:sz="4" w:space="0" w:color="auto"/>
              <w:right w:val="single" w:sz="4" w:space="0" w:color="auto"/>
            </w:tcBorders>
            <w:shd w:val="clear" w:color="auto" w:fill="auto"/>
            <w:noWrap/>
            <w:vAlign w:val="bottom"/>
            <w:hideMark/>
          </w:tcPr>
          <w:p w14:paraId="117360A1" w14:textId="77777777" w:rsidR="002B1B1B" w:rsidRPr="0041259E" w:rsidRDefault="002B1B1B" w:rsidP="00845009">
            <w:pPr>
              <w:jc w:val="right"/>
              <w:rPr>
                <w:rFonts w:ascii="Calibri" w:hAnsi="Calibri"/>
                <w:color w:val="000000"/>
              </w:rPr>
            </w:pPr>
            <w:r w:rsidRPr="0041259E">
              <w:rPr>
                <w:rFonts w:ascii="Calibri" w:hAnsi="Calibri"/>
                <w:color w:val="000000"/>
              </w:rPr>
              <w:t>0</w:t>
            </w:r>
          </w:p>
        </w:tc>
        <w:tc>
          <w:tcPr>
            <w:tcW w:w="271" w:type="dxa"/>
            <w:tcBorders>
              <w:top w:val="nil"/>
              <w:left w:val="nil"/>
              <w:bottom w:val="single" w:sz="4" w:space="0" w:color="auto"/>
              <w:right w:val="single" w:sz="4" w:space="0" w:color="auto"/>
            </w:tcBorders>
            <w:shd w:val="clear" w:color="auto" w:fill="auto"/>
            <w:noWrap/>
            <w:vAlign w:val="bottom"/>
            <w:hideMark/>
          </w:tcPr>
          <w:p w14:paraId="124EC0EE" w14:textId="77777777" w:rsidR="002B1B1B" w:rsidRPr="0041259E" w:rsidRDefault="002B1B1B" w:rsidP="00845009">
            <w:pPr>
              <w:rPr>
                <w:rFonts w:ascii="Calibri" w:hAnsi="Calibri"/>
                <w:color w:val="000000"/>
              </w:rPr>
            </w:pPr>
            <w:r w:rsidRPr="0041259E">
              <w:rPr>
                <w:rFonts w:ascii="Calibri" w:hAnsi="Calibri"/>
                <w:color w:val="000000"/>
              </w:rPr>
              <w:t> </w:t>
            </w:r>
          </w:p>
        </w:tc>
        <w:tc>
          <w:tcPr>
            <w:tcW w:w="749" w:type="dxa"/>
            <w:tcBorders>
              <w:top w:val="nil"/>
              <w:left w:val="nil"/>
              <w:bottom w:val="single" w:sz="4" w:space="0" w:color="auto"/>
              <w:right w:val="single" w:sz="4" w:space="0" w:color="auto"/>
            </w:tcBorders>
            <w:shd w:val="clear" w:color="auto" w:fill="auto"/>
            <w:noWrap/>
            <w:vAlign w:val="bottom"/>
            <w:hideMark/>
          </w:tcPr>
          <w:p w14:paraId="724C2607" w14:textId="77777777" w:rsidR="002B1B1B" w:rsidRPr="0041259E" w:rsidRDefault="002B1B1B" w:rsidP="00845009">
            <w:pPr>
              <w:jc w:val="right"/>
              <w:rPr>
                <w:rFonts w:ascii="Calibri" w:hAnsi="Calibri"/>
                <w:color w:val="000000"/>
              </w:rPr>
            </w:pPr>
            <w:r w:rsidRPr="0041259E">
              <w:rPr>
                <w:rFonts w:ascii="Calibri" w:hAnsi="Calibri"/>
                <w:color w:val="000000"/>
              </w:rPr>
              <w:t>11</w:t>
            </w:r>
          </w:p>
        </w:tc>
        <w:tc>
          <w:tcPr>
            <w:tcW w:w="1079" w:type="dxa"/>
            <w:tcBorders>
              <w:top w:val="nil"/>
              <w:left w:val="nil"/>
              <w:bottom w:val="single" w:sz="4" w:space="0" w:color="auto"/>
              <w:right w:val="single" w:sz="4" w:space="0" w:color="auto"/>
            </w:tcBorders>
            <w:shd w:val="clear" w:color="auto" w:fill="auto"/>
            <w:noWrap/>
            <w:vAlign w:val="bottom"/>
            <w:hideMark/>
          </w:tcPr>
          <w:p w14:paraId="6E5BC3E4" w14:textId="77777777" w:rsidR="002B1B1B" w:rsidRPr="0041259E" w:rsidRDefault="002B1B1B" w:rsidP="00845009">
            <w:pPr>
              <w:jc w:val="right"/>
              <w:rPr>
                <w:rFonts w:ascii="Calibri" w:hAnsi="Calibri"/>
                <w:color w:val="000000"/>
              </w:rPr>
            </w:pPr>
            <w:r w:rsidRPr="0041259E">
              <w:rPr>
                <w:rFonts w:ascii="Calibri" w:hAnsi="Calibri"/>
                <w:color w:val="000000"/>
              </w:rPr>
              <w:t>89</w:t>
            </w:r>
          </w:p>
        </w:tc>
      </w:tr>
      <w:tr w:rsidR="002B1B1B" w:rsidRPr="0041259E" w14:paraId="0587E395" w14:textId="77777777" w:rsidTr="00845009">
        <w:trPr>
          <w:trHeight w:val="480"/>
        </w:trPr>
        <w:tc>
          <w:tcPr>
            <w:tcW w:w="1011" w:type="dxa"/>
            <w:tcBorders>
              <w:top w:val="nil"/>
              <w:left w:val="nil"/>
              <w:bottom w:val="nil"/>
              <w:right w:val="nil"/>
            </w:tcBorders>
            <w:shd w:val="clear" w:color="auto" w:fill="auto"/>
            <w:noWrap/>
            <w:vAlign w:val="bottom"/>
            <w:hideMark/>
          </w:tcPr>
          <w:p w14:paraId="5A14E700" w14:textId="77777777" w:rsidR="002B1B1B" w:rsidRPr="0041259E" w:rsidRDefault="002B1B1B" w:rsidP="00845009">
            <w:pPr>
              <w:rPr>
                <w:rFonts w:ascii="Calibri" w:hAnsi="Calibri"/>
                <w:b/>
                <w:bCs/>
                <w:color w:val="000000"/>
              </w:rPr>
            </w:pPr>
            <w:r w:rsidRPr="0041259E">
              <w:rPr>
                <w:rFonts w:ascii="Calibri" w:hAnsi="Calibri"/>
                <w:b/>
                <w:bCs/>
                <w:color w:val="000000"/>
              </w:rPr>
              <w:t>Overall</w:t>
            </w:r>
          </w:p>
        </w:tc>
        <w:tc>
          <w:tcPr>
            <w:tcW w:w="581" w:type="dxa"/>
            <w:tcBorders>
              <w:top w:val="nil"/>
              <w:left w:val="nil"/>
              <w:bottom w:val="nil"/>
              <w:right w:val="nil"/>
            </w:tcBorders>
            <w:shd w:val="clear" w:color="auto" w:fill="auto"/>
            <w:noWrap/>
            <w:vAlign w:val="bottom"/>
            <w:hideMark/>
          </w:tcPr>
          <w:p w14:paraId="6EEEDF23" w14:textId="77777777" w:rsidR="002B1B1B" w:rsidRPr="0041259E" w:rsidRDefault="002B1B1B" w:rsidP="00845009">
            <w:pPr>
              <w:jc w:val="right"/>
              <w:rPr>
                <w:rFonts w:ascii="Calibri" w:hAnsi="Calibri"/>
                <w:b/>
                <w:bCs/>
                <w:color w:val="000000"/>
              </w:rPr>
            </w:pPr>
            <w:r w:rsidRPr="0041259E">
              <w:rPr>
                <w:rFonts w:ascii="Calibri" w:hAnsi="Calibri"/>
                <w:b/>
                <w:bCs/>
                <w:color w:val="000000"/>
              </w:rPr>
              <w:t>300</w:t>
            </w:r>
          </w:p>
        </w:tc>
        <w:tc>
          <w:tcPr>
            <w:tcW w:w="1476" w:type="dxa"/>
            <w:tcBorders>
              <w:top w:val="nil"/>
              <w:left w:val="nil"/>
              <w:bottom w:val="nil"/>
              <w:right w:val="nil"/>
            </w:tcBorders>
            <w:shd w:val="clear" w:color="auto" w:fill="auto"/>
            <w:noWrap/>
            <w:vAlign w:val="bottom"/>
            <w:hideMark/>
          </w:tcPr>
          <w:p w14:paraId="5CF33062" w14:textId="77777777" w:rsidR="002B1B1B" w:rsidRPr="0041259E" w:rsidRDefault="002B1B1B" w:rsidP="00845009">
            <w:pPr>
              <w:jc w:val="right"/>
              <w:rPr>
                <w:rFonts w:ascii="Calibri" w:hAnsi="Calibri"/>
                <w:b/>
                <w:bCs/>
                <w:color w:val="000000"/>
              </w:rPr>
            </w:pPr>
            <w:r w:rsidRPr="0041259E">
              <w:rPr>
                <w:rFonts w:ascii="Calibri" w:hAnsi="Calibri"/>
                <w:b/>
                <w:bCs/>
                <w:color w:val="000000"/>
              </w:rPr>
              <w:t>61</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14:paraId="78940461" w14:textId="77777777" w:rsidR="002B1B1B" w:rsidRPr="0041259E" w:rsidRDefault="002B1B1B" w:rsidP="00845009">
            <w:pPr>
              <w:rPr>
                <w:rFonts w:ascii="Calibri" w:hAnsi="Calibri"/>
                <w:color w:val="000000"/>
              </w:rPr>
            </w:pPr>
            <w:r w:rsidRPr="0041259E">
              <w:rPr>
                <w:rFonts w:ascii="Calibri" w:hAnsi="Calibri"/>
                <w:color w:val="000000"/>
              </w:rPr>
              <w:t> </w:t>
            </w:r>
          </w:p>
        </w:tc>
        <w:tc>
          <w:tcPr>
            <w:tcW w:w="460" w:type="dxa"/>
            <w:tcBorders>
              <w:top w:val="nil"/>
              <w:left w:val="nil"/>
              <w:bottom w:val="single" w:sz="4" w:space="0" w:color="auto"/>
              <w:right w:val="single" w:sz="4" w:space="0" w:color="auto"/>
            </w:tcBorders>
            <w:shd w:val="clear" w:color="auto" w:fill="auto"/>
            <w:noWrap/>
            <w:vAlign w:val="bottom"/>
            <w:hideMark/>
          </w:tcPr>
          <w:p w14:paraId="6178E2D7" w14:textId="77777777" w:rsidR="002B1B1B" w:rsidRPr="0041259E" w:rsidRDefault="002B1B1B" w:rsidP="00845009">
            <w:pPr>
              <w:jc w:val="right"/>
              <w:rPr>
                <w:rFonts w:ascii="Calibri" w:hAnsi="Calibri"/>
                <w:color w:val="000000"/>
              </w:rPr>
            </w:pPr>
            <w:r w:rsidRPr="0041259E">
              <w:rPr>
                <w:rFonts w:ascii="Calibri" w:hAnsi="Calibri"/>
                <w:color w:val="000000"/>
              </w:rPr>
              <w:t>50</w:t>
            </w:r>
          </w:p>
        </w:tc>
        <w:tc>
          <w:tcPr>
            <w:tcW w:w="581" w:type="dxa"/>
            <w:tcBorders>
              <w:top w:val="nil"/>
              <w:left w:val="nil"/>
              <w:bottom w:val="single" w:sz="4" w:space="0" w:color="auto"/>
              <w:right w:val="single" w:sz="4" w:space="0" w:color="auto"/>
            </w:tcBorders>
            <w:shd w:val="clear" w:color="auto" w:fill="auto"/>
            <w:noWrap/>
            <w:vAlign w:val="bottom"/>
            <w:hideMark/>
          </w:tcPr>
          <w:p w14:paraId="75A337A1" w14:textId="77777777" w:rsidR="002B1B1B" w:rsidRPr="0041259E" w:rsidRDefault="002B1B1B" w:rsidP="00845009">
            <w:pPr>
              <w:jc w:val="right"/>
              <w:rPr>
                <w:rFonts w:ascii="Calibri" w:hAnsi="Calibri"/>
                <w:color w:val="000000"/>
              </w:rPr>
            </w:pPr>
            <w:r w:rsidRPr="0041259E">
              <w:rPr>
                <w:rFonts w:ascii="Calibri" w:hAnsi="Calibri"/>
                <w:color w:val="000000"/>
              </w:rPr>
              <w:t>150</w:t>
            </w:r>
          </w:p>
        </w:tc>
        <w:tc>
          <w:tcPr>
            <w:tcW w:w="1249" w:type="dxa"/>
            <w:tcBorders>
              <w:top w:val="nil"/>
              <w:left w:val="nil"/>
              <w:bottom w:val="single" w:sz="4" w:space="0" w:color="auto"/>
              <w:right w:val="single" w:sz="4" w:space="0" w:color="auto"/>
            </w:tcBorders>
            <w:shd w:val="clear" w:color="auto" w:fill="auto"/>
            <w:noWrap/>
            <w:vAlign w:val="bottom"/>
            <w:hideMark/>
          </w:tcPr>
          <w:p w14:paraId="119A206A" w14:textId="77777777" w:rsidR="002B1B1B" w:rsidRPr="0041259E" w:rsidRDefault="002B1B1B" w:rsidP="00845009">
            <w:pPr>
              <w:rPr>
                <w:rFonts w:ascii="Calibri" w:hAnsi="Calibri"/>
                <w:color w:val="000000"/>
              </w:rPr>
            </w:pPr>
            <w:r w:rsidRPr="0041259E">
              <w:rPr>
                <w:rFonts w:ascii="Calibri" w:hAnsi="Calibri"/>
                <w:color w:val="000000"/>
              </w:rPr>
              <w:t> </w:t>
            </w:r>
          </w:p>
        </w:tc>
        <w:tc>
          <w:tcPr>
            <w:tcW w:w="457" w:type="dxa"/>
            <w:tcBorders>
              <w:top w:val="nil"/>
              <w:left w:val="nil"/>
              <w:bottom w:val="single" w:sz="4" w:space="0" w:color="auto"/>
              <w:right w:val="single" w:sz="4" w:space="0" w:color="auto"/>
            </w:tcBorders>
            <w:shd w:val="clear" w:color="auto" w:fill="auto"/>
            <w:noWrap/>
            <w:vAlign w:val="bottom"/>
            <w:hideMark/>
          </w:tcPr>
          <w:p w14:paraId="60DA3EF9" w14:textId="77777777" w:rsidR="002B1B1B" w:rsidRPr="0041259E" w:rsidRDefault="002B1B1B" w:rsidP="00845009">
            <w:pPr>
              <w:jc w:val="right"/>
              <w:rPr>
                <w:rFonts w:ascii="Calibri" w:hAnsi="Calibri"/>
                <w:color w:val="000000"/>
              </w:rPr>
            </w:pPr>
            <w:r w:rsidRPr="0041259E">
              <w:rPr>
                <w:rFonts w:ascii="Calibri" w:hAnsi="Calibri"/>
                <w:color w:val="000000"/>
              </w:rPr>
              <w:t>0</w:t>
            </w:r>
          </w:p>
        </w:tc>
        <w:tc>
          <w:tcPr>
            <w:tcW w:w="451" w:type="dxa"/>
            <w:tcBorders>
              <w:top w:val="nil"/>
              <w:left w:val="nil"/>
              <w:bottom w:val="single" w:sz="4" w:space="0" w:color="auto"/>
              <w:right w:val="single" w:sz="4" w:space="0" w:color="auto"/>
            </w:tcBorders>
            <w:shd w:val="clear" w:color="auto" w:fill="auto"/>
            <w:noWrap/>
            <w:vAlign w:val="bottom"/>
            <w:hideMark/>
          </w:tcPr>
          <w:p w14:paraId="2FAEC6B3" w14:textId="77777777" w:rsidR="002B1B1B" w:rsidRPr="0041259E" w:rsidRDefault="002B1B1B" w:rsidP="00845009">
            <w:pPr>
              <w:jc w:val="right"/>
              <w:rPr>
                <w:rFonts w:ascii="Calibri" w:hAnsi="Calibri"/>
                <w:color w:val="000000"/>
              </w:rPr>
            </w:pPr>
            <w:r w:rsidRPr="0041259E">
              <w:rPr>
                <w:rFonts w:ascii="Calibri" w:hAnsi="Calibri"/>
                <w:color w:val="000000"/>
              </w:rPr>
              <w:t>0</w:t>
            </w:r>
          </w:p>
        </w:tc>
        <w:tc>
          <w:tcPr>
            <w:tcW w:w="1240" w:type="dxa"/>
            <w:tcBorders>
              <w:top w:val="nil"/>
              <w:left w:val="nil"/>
              <w:bottom w:val="single" w:sz="4" w:space="0" w:color="auto"/>
              <w:right w:val="single" w:sz="4" w:space="0" w:color="auto"/>
            </w:tcBorders>
            <w:shd w:val="clear" w:color="auto" w:fill="auto"/>
            <w:noWrap/>
            <w:vAlign w:val="bottom"/>
            <w:hideMark/>
          </w:tcPr>
          <w:p w14:paraId="5F099E9C" w14:textId="77777777" w:rsidR="002B1B1B" w:rsidRPr="0041259E" w:rsidRDefault="002B1B1B" w:rsidP="00845009">
            <w:pPr>
              <w:rPr>
                <w:rFonts w:ascii="Calibri" w:hAnsi="Calibri"/>
                <w:color w:val="000000"/>
              </w:rPr>
            </w:pPr>
            <w:r w:rsidRPr="0041259E">
              <w:rPr>
                <w:rFonts w:ascii="Calibri" w:hAnsi="Calibri"/>
                <w:color w:val="000000"/>
              </w:rPr>
              <w:t> </w:t>
            </w:r>
          </w:p>
        </w:tc>
        <w:tc>
          <w:tcPr>
            <w:tcW w:w="460" w:type="dxa"/>
            <w:tcBorders>
              <w:top w:val="nil"/>
              <w:left w:val="nil"/>
              <w:bottom w:val="single" w:sz="4" w:space="0" w:color="auto"/>
              <w:right w:val="single" w:sz="4" w:space="0" w:color="auto"/>
            </w:tcBorders>
            <w:shd w:val="clear" w:color="auto" w:fill="auto"/>
            <w:noWrap/>
            <w:vAlign w:val="bottom"/>
            <w:hideMark/>
          </w:tcPr>
          <w:p w14:paraId="0F16C1DB" w14:textId="77777777" w:rsidR="002B1B1B" w:rsidRPr="0041259E" w:rsidRDefault="002B1B1B" w:rsidP="00845009">
            <w:pPr>
              <w:jc w:val="right"/>
              <w:rPr>
                <w:rFonts w:ascii="Calibri" w:hAnsi="Calibri"/>
                <w:color w:val="000000"/>
              </w:rPr>
            </w:pPr>
            <w:r w:rsidRPr="0041259E">
              <w:rPr>
                <w:rFonts w:ascii="Calibri" w:hAnsi="Calibri"/>
                <w:color w:val="000000"/>
              </w:rPr>
              <w:t>33</w:t>
            </w:r>
          </w:p>
        </w:tc>
        <w:tc>
          <w:tcPr>
            <w:tcW w:w="460" w:type="dxa"/>
            <w:tcBorders>
              <w:top w:val="nil"/>
              <w:left w:val="nil"/>
              <w:bottom w:val="single" w:sz="4" w:space="0" w:color="auto"/>
              <w:right w:val="single" w:sz="4" w:space="0" w:color="auto"/>
            </w:tcBorders>
            <w:shd w:val="clear" w:color="auto" w:fill="auto"/>
            <w:noWrap/>
            <w:vAlign w:val="bottom"/>
            <w:hideMark/>
          </w:tcPr>
          <w:p w14:paraId="7717B9B5" w14:textId="77777777" w:rsidR="002B1B1B" w:rsidRPr="0041259E" w:rsidRDefault="002B1B1B" w:rsidP="00845009">
            <w:pPr>
              <w:jc w:val="right"/>
              <w:rPr>
                <w:rFonts w:ascii="Calibri" w:hAnsi="Calibri"/>
                <w:color w:val="000000"/>
              </w:rPr>
            </w:pPr>
            <w:r w:rsidRPr="0041259E">
              <w:rPr>
                <w:rFonts w:ascii="Calibri" w:hAnsi="Calibri"/>
                <w:color w:val="000000"/>
              </w:rPr>
              <w:t>67</w:t>
            </w:r>
          </w:p>
        </w:tc>
        <w:tc>
          <w:tcPr>
            <w:tcW w:w="271" w:type="dxa"/>
            <w:tcBorders>
              <w:top w:val="nil"/>
              <w:left w:val="nil"/>
              <w:bottom w:val="single" w:sz="4" w:space="0" w:color="auto"/>
              <w:right w:val="single" w:sz="4" w:space="0" w:color="auto"/>
            </w:tcBorders>
            <w:shd w:val="clear" w:color="auto" w:fill="auto"/>
            <w:noWrap/>
            <w:vAlign w:val="bottom"/>
            <w:hideMark/>
          </w:tcPr>
          <w:p w14:paraId="643C5C13" w14:textId="77777777" w:rsidR="002B1B1B" w:rsidRPr="0041259E" w:rsidRDefault="002B1B1B" w:rsidP="00845009">
            <w:pPr>
              <w:rPr>
                <w:rFonts w:ascii="Calibri" w:hAnsi="Calibri"/>
                <w:color w:val="000000"/>
              </w:rPr>
            </w:pPr>
            <w:r w:rsidRPr="0041259E">
              <w:rPr>
                <w:rFonts w:ascii="Calibri" w:hAnsi="Calibri"/>
                <w:color w:val="000000"/>
              </w:rPr>
              <w:t> </w:t>
            </w:r>
          </w:p>
        </w:tc>
        <w:tc>
          <w:tcPr>
            <w:tcW w:w="749" w:type="dxa"/>
            <w:tcBorders>
              <w:top w:val="nil"/>
              <w:left w:val="nil"/>
              <w:bottom w:val="single" w:sz="4" w:space="0" w:color="auto"/>
              <w:right w:val="single" w:sz="4" w:space="0" w:color="auto"/>
            </w:tcBorders>
            <w:shd w:val="clear" w:color="auto" w:fill="auto"/>
            <w:noWrap/>
            <w:vAlign w:val="bottom"/>
            <w:hideMark/>
          </w:tcPr>
          <w:p w14:paraId="7AA52089" w14:textId="77777777" w:rsidR="002B1B1B" w:rsidRPr="0041259E" w:rsidRDefault="002B1B1B" w:rsidP="00845009">
            <w:pPr>
              <w:jc w:val="right"/>
              <w:rPr>
                <w:rFonts w:ascii="Calibri" w:hAnsi="Calibri"/>
                <w:color w:val="000000"/>
              </w:rPr>
            </w:pPr>
            <w:r w:rsidRPr="0041259E">
              <w:rPr>
                <w:rFonts w:ascii="Calibri" w:hAnsi="Calibri"/>
                <w:color w:val="000000"/>
              </w:rPr>
              <w:t>61</w:t>
            </w:r>
          </w:p>
        </w:tc>
        <w:tc>
          <w:tcPr>
            <w:tcW w:w="1079" w:type="dxa"/>
            <w:tcBorders>
              <w:top w:val="nil"/>
              <w:left w:val="nil"/>
              <w:bottom w:val="single" w:sz="4" w:space="0" w:color="auto"/>
              <w:right w:val="single" w:sz="4" w:space="0" w:color="auto"/>
            </w:tcBorders>
            <w:shd w:val="clear" w:color="auto" w:fill="auto"/>
            <w:noWrap/>
            <w:vAlign w:val="bottom"/>
            <w:hideMark/>
          </w:tcPr>
          <w:p w14:paraId="2BDE2D98" w14:textId="77777777" w:rsidR="002B1B1B" w:rsidRPr="0041259E" w:rsidRDefault="002B1B1B" w:rsidP="00845009">
            <w:pPr>
              <w:jc w:val="right"/>
              <w:rPr>
                <w:rFonts w:ascii="Calibri" w:hAnsi="Calibri"/>
                <w:color w:val="000000"/>
              </w:rPr>
            </w:pPr>
            <w:r w:rsidRPr="0041259E">
              <w:rPr>
                <w:rFonts w:ascii="Calibri" w:hAnsi="Calibri"/>
                <w:color w:val="000000"/>
              </w:rPr>
              <w:t>239</w:t>
            </w:r>
          </w:p>
        </w:tc>
      </w:tr>
      <w:tr w:rsidR="002B1B1B" w:rsidRPr="0041259E" w14:paraId="7580CA25" w14:textId="77777777" w:rsidTr="00845009">
        <w:trPr>
          <w:trHeight w:val="540"/>
        </w:trPr>
        <w:tc>
          <w:tcPr>
            <w:tcW w:w="1011" w:type="dxa"/>
            <w:tcBorders>
              <w:top w:val="nil"/>
              <w:left w:val="nil"/>
              <w:bottom w:val="nil"/>
              <w:right w:val="nil"/>
            </w:tcBorders>
            <w:shd w:val="clear" w:color="auto" w:fill="auto"/>
            <w:noWrap/>
            <w:vAlign w:val="bottom"/>
            <w:hideMark/>
          </w:tcPr>
          <w:p w14:paraId="493289EB" w14:textId="77777777" w:rsidR="002B1B1B" w:rsidRPr="0041259E" w:rsidRDefault="002B1B1B" w:rsidP="00845009">
            <w:pPr>
              <w:rPr>
                <w:rFonts w:ascii="Calibri" w:hAnsi="Calibri"/>
                <w:color w:val="000000"/>
              </w:rPr>
            </w:pPr>
          </w:p>
        </w:tc>
        <w:tc>
          <w:tcPr>
            <w:tcW w:w="3293" w:type="dxa"/>
            <w:gridSpan w:val="3"/>
            <w:tcBorders>
              <w:top w:val="nil"/>
              <w:left w:val="nil"/>
              <w:bottom w:val="nil"/>
              <w:right w:val="nil"/>
            </w:tcBorders>
            <w:shd w:val="clear" w:color="auto" w:fill="auto"/>
            <w:noWrap/>
            <w:vAlign w:val="bottom"/>
            <w:hideMark/>
          </w:tcPr>
          <w:p w14:paraId="32E1DE74" w14:textId="77777777" w:rsidR="002B1B1B" w:rsidRPr="0041259E" w:rsidRDefault="002B1B1B" w:rsidP="00845009">
            <w:pPr>
              <w:jc w:val="center"/>
              <w:rPr>
                <w:rFonts w:ascii="Calibri" w:hAnsi="Calibri"/>
                <w:b/>
                <w:bCs/>
                <w:color w:val="000000"/>
              </w:rPr>
            </w:pPr>
            <w:r w:rsidRPr="0041259E">
              <w:rPr>
                <w:rFonts w:ascii="Calibri" w:hAnsi="Calibri"/>
                <w:b/>
                <w:bCs/>
                <w:color w:val="000000"/>
              </w:rPr>
              <w:t>NB = TP/N - (C/</w:t>
            </w:r>
            <w:proofErr w:type="gramStart"/>
            <w:r w:rsidRPr="0041259E">
              <w:rPr>
                <w:rFonts w:ascii="Calibri" w:hAnsi="Calibri"/>
                <w:b/>
                <w:bCs/>
                <w:color w:val="000000"/>
              </w:rPr>
              <w:t>B)×</w:t>
            </w:r>
            <w:proofErr w:type="gramEnd"/>
            <w:r w:rsidRPr="0041259E">
              <w:rPr>
                <w:rFonts w:ascii="Calibri" w:hAnsi="Calibri"/>
                <w:b/>
                <w:bCs/>
                <w:color w:val="000000"/>
              </w:rPr>
              <w:t>FP/N</w:t>
            </w:r>
          </w:p>
        </w:tc>
        <w:tc>
          <w:tcPr>
            <w:tcW w:w="1041" w:type="dxa"/>
            <w:gridSpan w:val="2"/>
            <w:tcBorders>
              <w:top w:val="nil"/>
              <w:left w:val="nil"/>
              <w:bottom w:val="nil"/>
              <w:right w:val="nil"/>
            </w:tcBorders>
            <w:shd w:val="clear" w:color="auto" w:fill="auto"/>
            <w:noWrap/>
            <w:vAlign w:val="bottom"/>
            <w:hideMark/>
          </w:tcPr>
          <w:p w14:paraId="1E1FD911" w14:textId="77777777" w:rsidR="002B1B1B" w:rsidRPr="0041259E" w:rsidRDefault="002B1B1B" w:rsidP="00845009">
            <w:pPr>
              <w:jc w:val="center"/>
              <w:rPr>
                <w:rFonts w:ascii="Calibri" w:hAnsi="Calibri"/>
                <w:b/>
                <w:bCs/>
                <w:color w:val="000000"/>
              </w:rPr>
            </w:pPr>
            <w:r w:rsidRPr="0041259E">
              <w:rPr>
                <w:rFonts w:ascii="Calibri" w:hAnsi="Calibri"/>
                <w:b/>
                <w:bCs/>
                <w:color w:val="000000"/>
              </w:rPr>
              <w:t>0.00</w:t>
            </w:r>
          </w:p>
        </w:tc>
        <w:tc>
          <w:tcPr>
            <w:tcW w:w="1249" w:type="dxa"/>
            <w:tcBorders>
              <w:top w:val="nil"/>
              <w:left w:val="nil"/>
              <w:bottom w:val="nil"/>
              <w:right w:val="nil"/>
            </w:tcBorders>
            <w:shd w:val="clear" w:color="auto" w:fill="auto"/>
            <w:noWrap/>
            <w:vAlign w:val="bottom"/>
            <w:hideMark/>
          </w:tcPr>
          <w:p w14:paraId="46D71B3F" w14:textId="77777777" w:rsidR="002B1B1B" w:rsidRPr="0041259E" w:rsidRDefault="002B1B1B" w:rsidP="00845009">
            <w:pPr>
              <w:rPr>
                <w:rFonts w:ascii="Calibri" w:hAnsi="Calibri"/>
                <w:b/>
                <w:bCs/>
                <w:color w:val="000000"/>
              </w:rPr>
            </w:pPr>
          </w:p>
        </w:tc>
        <w:tc>
          <w:tcPr>
            <w:tcW w:w="908" w:type="dxa"/>
            <w:gridSpan w:val="2"/>
            <w:tcBorders>
              <w:top w:val="nil"/>
              <w:left w:val="nil"/>
              <w:bottom w:val="nil"/>
              <w:right w:val="nil"/>
            </w:tcBorders>
            <w:shd w:val="clear" w:color="auto" w:fill="auto"/>
            <w:noWrap/>
            <w:vAlign w:val="bottom"/>
            <w:hideMark/>
          </w:tcPr>
          <w:p w14:paraId="453D10F6" w14:textId="77777777" w:rsidR="002B1B1B" w:rsidRPr="0041259E" w:rsidRDefault="002B1B1B" w:rsidP="00845009">
            <w:pPr>
              <w:jc w:val="center"/>
              <w:rPr>
                <w:rFonts w:ascii="Calibri" w:hAnsi="Calibri"/>
                <w:b/>
                <w:bCs/>
                <w:color w:val="000000"/>
              </w:rPr>
            </w:pPr>
            <w:r w:rsidRPr="0041259E">
              <w:rPr>
                <w:rFonts w:ascii="Calibri" w:hAnsi="Calibri"/>
                <w:b/>
                <w:bCs/>
                <w:color w:val="000000"/>
              </w:rPr>
              <w:t>0.00</w:t>
            </w:r>
          </w:p>
        </w:tc>
        <w:tc>
          <w:tcPr>
            <w:tcW w:w="1240" w:type="dxa"/>
            <w:tcBorders>
              <w:top w:val="nil"/>
              <w:left w:val="nil"/>
              <w:bottom w:val="nil"/>
              <w:right w:val="nil"/>
            </w:tcBorders>
            <w:shd w:val="clear" w:color="auto" w:fill="auto"/>
            <w:noWrap/>
            <w:vAlign w:val="bottom"/>
            <w:hideMark/>
          </w:tcPr>
          <w:p w14:paraId="52C0755F" w14:textId="77777777" w:rsidR="002B1B1B" w:rsidRPr="0041259E" w:rsidRDefault="002B1B1B" w:rsidP="00845009">
            <w:pPr>
              <w:rPr>
                <w:rFonts w:ascii="Calibri" w:hAnsi="Calibri"/>
                <w:b/>
                <w:bCs/>
                <w:color w:val="000000"/>
              </w:rPr>
            </w:pPr>
          </w:p>
        </w:tc>
        <w:tc>
          <w:tcPr>
            <w:tcW w:w="920" w:type="dxa"/>
            <w:gridSpan w:val="2"/>
            <w:tcBorders>
              <w:top w:val="nil"/>
              <w:left w:val="nil"/>
              <w:bottom w:val="nil"/>
              <w:right w:val="nil"/>
            </w:tcBorders>
            <w:shd w:val="clear" w:color="auto" w:fill="auto"/>
            <w:noWrap/>
            <w:vAlign w:val="bottom"/>
            <w:hideMark/>
          </w:tcPr>
          <w:p w14:paraId="3C63ACB5" w14:textId="77777777" w:rsidR="002B1B1B" w:rsidRPr="0041259E" w:rsidRDefault="002B1B1B" w:rsidP="00845009">
            <w:pPr>
              <w:jc w:val="center"/>
              <w:rPr>
                <w:rFonts w:ascii="Calibri" w:hAnsi="Calibri"/>
                <w:b/>
                <w:bCs/>
                <w:color w:val="000000"/>
              </w:rPr>
            </w:pPr>
            <w:r w:rsidRPr="0041259E">
              <w:rPr>
                <w:rFonts w:ascii="Calibri" w:hAnsi="Calibri"/>
                <w:b/>
                <w:bCs/>
                <w:color w:val="000000"/>
              </w:rPr>
              <w:t>0.0</w:t>
            </w:r>
            <w:r>
              <w:rPr>
                <w:rFonts w:ascii="Calibri" w:hAnsi="Calibri"/>
                <w:b/>
                <w:bCs/>
                <w:color w:val="000000"/>
              </w:rPr>
              <w:t>36</w:t>
            </w:r>
          </w:p>
        </w:tc>
        <w:tc>
          <w:tcPr>
            <w:tcW w:w="271" w:type="dxa"/>
            <w:tcBorders>
              <w:top w:val="nil"/>
              <w:left w:val="nil"/>
              <w:bottom w:val="nil"/>
              <w:right w:val="nil"/>
            </w:tcBorders>
            <w:shd w:val="clear" w:color="auto" w:fill="auto"/>
            <w:noWrap/>
            <w:vAlign w:val="bottom"/>
            <w:hideMark/>
          </w:tcPr>
          <w:p w14:paraId="56E56482" w14:textId="77777777" w:rsidR="002B1B1B" w:rsidRPr="0041259E" w:rsidRDefault="002B1B1B" w:rsidP="00845009">
            <w:pPr>
              <w:rPr>
                <w:rFonts w:ascii="Calibri" w:hAnsi="Calibri"/>
                <w:b/>
                <w:bCs/>
                <w:color w:val="000000"/>
              </w:rPr>
            </w:pPr>
          </w:p>
        </w:tc>
        <w:tc>
          <w:tcPr>
            <w:tcW w:w="1828" w:type="dxa"/>
            <w:gridSpan w:val="2"/>
            <w:tcBorders>
              <w:top w:val="nil"/>
              <w:left w:val="nil"/>
              <w:bottom w:val="nil"/>
              <w:right w:val="nil"/>
            </w:tcBorders>
            <w:shd w:val="clear" w:color="auto" w:fill="auto"/>
            <w:noWrap/>
            <w:vAlign w:val="bottom"/>
            <w:hideMark/>
          </w:tcPr>
          <w:p w14:paraId="394DB761" w14:textId="77777777" w:rsidR="002B1B1B" w:rsidRPr="0041259E" w:rsidRDefault="002B1B1B" w:rsidP="00845009">
            <w:pPr>
              <w:jc w:val="center"/>
              <w:rPr>
                <w:rFonts w:ascii="Calibri" w:hAnsi="Calibri"/>
                <w:b/>
                <w:bCs/>
                <w:color w:val="000000"/>
              </w:rPr>
            </w:pPr>
            <w:r w:rsidRPr="0041259E">
              <w:rPr>
                <w:rFonts w:ascii="Calibri" w:hAnsi="Calibri"/>
                <w:b/>
                <w:bCs/>
                <w:color w:val="000000"/>
              </w:rPr>
              <w:t>-0.06</w:t>
            </w:r>
            <w:r>
              <w:rPr>
                <w:rFonts w:ascii="Calibri" w:hAnsi="Calibri"/>
                <w:b/>
                <w:bCs/>
                <w:color w:val="000000"/>
              </w:rPr>
              <w:t>2</w:t>
            </w:r>
          </w:p>
        </w:tc>
      </w:tr>
      <w:tr w:rsidR="002B1B1B" w:rsidRPr="0041259E" w14:paraId="4DD0F869" w14:textId="77777777" w:rsidTr="00845009">
        <w:trPr>
          <w:trHeight w:val="300"/>
        </w:trPr>
        <w:tc>
          <w:tcPr>
            <w:tcW w:w="1011" w:type="dxa"/>
            <w:tcBorders>
              <w:top w:val="nil"/>
              <w:left w:val="nil"/>
              <w:bottom w:val="nil"/>
              <w:right w:val="nil"/>
            </w:tcBorders>
            <w:shd w:val="clear" w:color="auto" w:fill="auto"/>
            <w:noWrap/>
            <w:vAlign w:val="bottom"/>
            <w:hideMark/>
          </w:tcPr>
          <w:p w14:paraId="68D7D956" w14:textId="77777777" w:rsidR="002B1B1B" w:rsidRPr="0041259E" w:rsidRDefault="002B1B1B" w:rsidP="00845009">
            <w:pPr>
              <w:rPr>
                <w:rFonts w:ascii="Calibri" w:hAnsi="Calibri"/>
                <w:color w:val="000000"/>
              </w:rPr>
            </w:pPr>
          </w:p>
        </w:tc>
        <w:tc>
          <w:tcPr>
            <w:tcW w:w="3293" w:type="dxa"/>
            <w:gridSpan w:val="3"/>
            <w:tcBorders>
              <w:top w:val="nil"/>
              <w:left w:val="nil"/>
              <w:bottom w:val="nil"/>
              <w:right w:val="nil"/>
            </w:tcBorders>
            <w:shd w:val="clear" w:color="auto" w:fill="auto"/>
            <w:noWrap/>
            <w:vAlign w:val="bottom"/>
            <w:hideMark/>
          </w:tcPr>
          <w:p w14:paraId="3BB9A7A9" w14:textId="77777777" w:rsidR="002B1B1B" w:rsidRPr="0041259E" w:rsidRDefault="002B1B1B" w:rsidP="00845009">
            <w:pPr>
              <w:jc w:val="center"/>
              <w:rPr>
                <w:rFonts w:ascii="Calibri" w:hAnsi="Calibri"/>
                <w:b/>
                <w:bCs/>
                <w:color w:val="000000"/>
              </w:rPr>
            </w:pPr>
            <w:proofErr w:type="spellStart"/>
            <w:r w:rsidRPr="0041259E">
              <w:rPr>
                <w:rFonts w:ascii="Calibri" w:hAnsi="Calibri"/>
                <w:b/>
                <w:bCs/>
                <w:color w:val="000000"/>
              </w:rPr>
              <w:t>sNB</w:t>
            </w:r>
            <w:proofErr w:type="spellEnd"/>
            <w:r w:rsidRPr="0041259E">
              <w:rPr>
                <w:rFonts w:ascii="Calibri" w:hAnsi="Calibri"/>
                <w:b/>
                <w:bCs/>
                <w:color w:val="000000"/>
              </w:rPr>
              <w:t xml:space="preserve"> = NB/P</w:t>
            </w:r>
          </w:p>
        </w:tc>
        <w:tc>
          <w:tcPr>
            <w:tcW w:w="1041" w:type="dxa"/>
            <w:gridSpan w:val="2"/>
            <w:tcBorders>
              <w:top w:val="nil"/>
              <w:left w:val="nil"/>
              <w:bottom w:val="nil"/>
              <w:right w:val="nil"/>
            </w:tcBorders>
            <w:shd w:val="clear" w:color="auto" w:fill="auto"/>
            <w:noWrap/>
            <w:vAlign w:val="bottom"/>
            <w:hideMark/>
          </w:tcPr>
          <w:p w14:paraId="5C61DC0E" w14:textId="77777777" w:rsidR="002B1B1B" w:rsidRPr="0041259E" w:rsidRDefault="002B1B1B" w:rsidP="00845009">
            <w:pPr>
              <w:jc w:val="center"/>
              <w:rPr>
                <w:rFonts w:ascii="Calibri" w:hAnsi="Calibri"/>
                <w:b/>
                <w:bCs/>
                <w:color w:val="000000"/>
              </w:rPr>
            </w:pPr>
            <w:r w:rsidRPr="0041259E">
              <w:rPr>
                <w:rFonts w:ascii="Calibri" w:hAnsi="Calibri"/>
                <w:b/>
                <w:bCs/>
                <w:color w:val="000000"/>
              </w:rPr>
              <w:t>0</w:t>
            </w:r>
          </w:p>
        </w:tc>
        <w:tc>
          <w:tcPr>
            <w:tcW w:w="1249" w:type="dxa"/>
            <w:tcBorders>
              <w:top w:val="nil"/>
              <w:left w:val="nil"/>
              <w:bottom w:val="nil"/>
              <w:right w:val="nil"/>
            </w:tcBorders>
            <w:shd w:val="clear" w:color="auto" w:fill="auto"/>
            <w:noWrap/>
            <w:vAlign w:val="bottom"/>
            <w:hideMark/>
          </w:tcPr>
          <w:p w14:paraId="3143E0E0" w14:textId="77777777" w:rsidR="002B1B1B" w:rsidRPr="0041259E" w:rsidRDefault="002B1B1B" w:rsidP="00845009">
            <w:pPr>
              <w:rPr>
                <w:rFonts w:ascii="Calibri" w:hAnsi="Calibri"/>
                <w:b/>
                <w:bCs/>
                <w:color w:val="000000"/>
              </w:rPr>
            </w:pPr>
          </w:p>
        </w:tc>
        <w:tc>
          <w:tcPr>
            <w:tcW w:w="908" w:type="dxa"/>
            <w:gridSpan w:val="2"/>
            <w:tcBorders>
              <w:top w:val="nil"/>
              <w:left w:val="nil"/>
              <w:bottom w:val="nil"/>
              <w:right w:val="nil"/>
            </w:tcBorders>
            <w:shd w:val="clear" w:color="auto" w:fill="auto"/>
            <w:noWrap/>
            <w:vAlign w:val="bottom"/>
            <w:hideMark/>
          </w:tcPr>
          <w:p w14:paraId="1416B869" w14:textId="77777777" w:rsidR="002B1B1B" w:rsidRPr="0041259E" w:rsidRDefault="002B1B1B" w:rsidP="00845009">
            <w:pPr>
              <w:jc w:val="center"/>
              <w:rPr>
                <w:rFonts w:ascii="Calibri" w:hAnsi="Calibri"/>
                <w:b/>
                <w:bCs/>
                <w:color w:val="000000"/>
              </w:rPr>
            </w:pPr>
            <w:r w:rsidRPr="0041259E">
              <w:rPr>
                <w:rFonts w:ascii="Calibri" w:hAnsi="Calibri"/>
                <w:b/>
                <w:bCs/>
                <w:color w:val="000000"/>
              </w:rPr>
              <w:t>0</w:t>
            </w:r>
          </w:p>
        </w:tc>
        <w:tc>
          <w:tcPr>
            <w:tcW w:w="1240" w:type="dxa"/>
            <w:tcBorders>
              <w:top w:val="nil"/>
              <w:left w:val="nil"/>
              <w:bottom w:val="nil"/>
              <w:right w:val="nil"/>
            </w:tcBorders>
            <w:shd w:val="clear" w:color="auto" w:fill="auto"/>
            <w:noWrap/>
            <w:vAlign w:val="bottom"/>
            <w:hideMark/>
          </w:tcPr>
          <w:p w14:paraId="46AD4F1D" w14:textId="77777777" w:rsidR="002B1B1B" w:rsidRPr="0041259E" w:rsidRDefault="002B1B1B" w:rsidP="00845009">
            <w:pPr>
              <w:rPr>
                <w:rFonts w:ascii="Calibri" w:hAnsi="Calibri"/>
                <w:b/>
                <w:bCs/>
                <w:color w:val="000000"/>
              </w:rPr>
            </w:pPr>
          </w:p>
        </w:tc>
        <w:tc>
          <w:tcPr>
            <w:tcW w:w="920" w:type="dxa"/>
            <w:gridSpan w:val="2"/>
            <w:tcBorders>
              <w:top w:val="nil"/>
              <w:left w:val="nil"/>
              <w:bottom w:val="nil"/>
              <w:right w:val="nil"/>
            </w:tcBorders>
            <w:shd w:val="clear" w:color="auto" w:fill="auto"/>
            <w:noWrap/>
            <w:vAlign w:val="bottom"/>
            <w:hideMark/>
          </w:tcPr>
          <w:p w14:paraId="01C0E381" w14:textId="77777777" w:rsidR="002B1B1B" w:rsidRPr="0041259E" w:rsidRDefault="002B1B1B" w:rsidP="00845009">
            <w:pPr>
              <w:jc w:val="center"/>
              <w:rPr>
                <w:rFonts w:ascii="Calibri" w:hAnsi="Calibri"/>
                <w:b/>
                <w:bCs/>
                <w:color w:val="000000"/>
              </w:rPr>
            </w:pPr>
            <w:r w:rsidRPr="0041259E">
              <w:rPr>
                <w:rFonts w:ascii="Calibri" w:hAnsi="Calibri"/>
                <w:b/>
                <w:bCs/>
                <w:color w:val="000000"/>
              </w:rPr>
              <w:t>0.1</w:t>
            </w:r>
            <w:r>
              <w:rPr>
                <w:rFonts w:ascii="Calibri" w:hAnsi="Calibri"/>
                <w:b/>
                <w:bCs/>
                <w:color w:val="000000"/>
              </w:rPr>
              <w:t>75</w:t>
            </w:r>
          </w:p>
        </w:tc>
        <w:tc>
          <w:tcPr>
            <w:tcW w:w="271" w:type="dxa"/>
            <w:tcBorders>
              <w:top w:val="nil"/>
              <w:left w:val="nil"/>
              <w:bottom w:val="nil"/>
              <w:right w:val="nil"/>
            </w:tcBorders>
            <w:shd w:val="clear" w:color="auto" w:fill="auto"/>
            <w:noWrap/>
            <w:vAlign w:val="bottom"/>
            <w:hideMark/>
          </w:tcPr>
          <w:p w14:paraId="5FE488C7" w14:textId="77777777" w:rsidR="002B1B1B" w:rsidRPr="0041259E" w:rsidRDefault="002B1B1B" w:rsidP="00845009">
            <w:pPr>
              <w:rPr>
                <w:rFonts w:ascii="Calibri" w:hAnsi="Calibri"/>
                <w:b/>
                <w:bCs/>
                <w:color w:val="000000"/>
              </w:rPr>
            </w:pPr>
          </w:p>
        </w:tc>
        <w:tc>
          <w:tcPr>
            <w:tcW w:w="1828" w:type="dxa"/>
            <w:gridSpan w:val="2"/>
            <w:tcBorders>
              <w:top w:val="nil"/>
              <w:left w:val="nil"/>
              <w:bottom w:val="nil"/>
              <w:right w:val="nil"/>
            </w:tcBorders>
            <w:shd w:val="clear" w:color="auto" w:fill="auto"/>
            <w:noWrap/>
            <w:vAlign w:val="bottom"/>
            <w:hideMark/>
          </w:tcPr>
          <w:p w14:paraId="5D602DFC" w14:textId="77777777" w:rsidR="002B1B1B" w:rsidRPr="0041259E" w:rsidRDefault="002B1B1B" w:rsidP="00845009">
            <w:pPr>
              <w:jc w:val="center"/>
              <w:rPr>
                <w:rFonts w:ascii="Calibri" w:hAnsi="Calibri"/>
                <w:b/>
                <w:bCs/>
                <w:color w:val="000000"/>
              </w:rPr>
            </w:pPr>
            <w:r w:rsidRPr="0041259E">
              <w:rPr>
                <w:rFonts w:ascii="Calibri" w:hAnsi="Calibri"/>
                <w:b/>
                <w:bCs/>
                <w:color w:val="000000"/>
              </w:rPr>
              <w:t>-0.3</w:t>
            </w:r>
            <w:r>
              <w:rPr>
                <w:rFonts w:ascii="Calibri" w:hAnsi="Calibri"/>
                <w:b/>
                <w:bCs/>
                <w:color w:val="000000"/>
              </w:rPr>
              <w:t>06</w:t>
            </w:r>
          </w:p>
        </w:tc>
      </w:tr>
    </w:tbl>
    <w:p w14:paraId="64D6A225" w14:textId="77777777" w:rsidR="002B1B1B" w:rsidRDefault="002B1B1B" w:rsidP="002B1B1B">
      <w:pPr>
        <w:pStyle w:val="NormalWeb"/>
        <w:ind w:left="-720"/>
      </w:pPr>
    </w:p>
    <w:p w14:paraId="191742A8" w14:textId="77777777" w:rsidR="00D12082" w:rsidRDefault="00D12082" w:rsidP="000130D8">
      <w:pPr>
        <w:pStyle w:val="Heading5"/>
        <w:rPr>
          <w:b w:val="0"/>
        </w:rPr>
        <w:sectPr w:rsidR="00D12082" w:rsidSect="00D12082">
          <w:pgSz w:w="15840" w:h="12240" w:orient="landscape"/>
          <w:pgMar w:top="1800" w:right="1440" w:bottom="1080" w:left="1440" w:header="720" w:footer="720" w:gutter="0"/>
          <w:cols w:space="720"/>
          <w:noEndnote/>
          <w:docGrid w:linePitch="326"/>
        </w:sectPr>
      </w:pPr>
    </w:p>
    <w:p w14:paraId="2C64D903" w14:textId="77777777" w:rsidR="002B1B1B" w:rsidRDefault="002B1B1B" w:rsidP="000130D8">
      <w:pPr>
        <w:pStyle w:val="Heading5"/>
        <w:rPr>
          <w:b w:val="0"/>
        </w:rPr>
      </w:pPr>
    </w:p>
    <w:p w14:paraId="33E6017C" w14:textId="77777777" w:rsidR="002B1B1B" w:rsidRDefault="002B1B1B" w:rsidP="000130D8">
      <w:pPr>
        <w:pStyle w:val="Heading5"/>
        <w:rPr>
          <w:b w:val="0"/>
        </w:rPr>
      </w:pPr>
    </w:p>
    <w:p w14:paraId="6E0ACC15" w14:textId="60692E3D" w:rsidR="00940FC3" w:rsidRPr="00CD236F" w:rsidRDefault="00940FC3" w:rsidP="00C77D3B">
      <w:pPr>
        <w:pStyle w:val="NormalWeb"/>
      </w:pPr>
      <w:r>
        <w:t>At a misclassification cost ratio (</w:t>
      </w:r>
      <w:proofErr w:type="gramStart"/>
      <w:r>
        <w:t>C</w:t>
      </w:r>
      <w:r w:rsidR="008B747B">
        <w:t>:</w:t>
      </w:r>
      <w:r>
        <w:t>B</w:t>
      </w:r>
      <w:proofErr w:type="gramEnd"/>
      <w:r>
        <w:t xml:space="preserve">) of 1:3, </w:t>
      </w:r>
      <w:proofErr w:type="spellStart"/>
      <w:r w:rsidR="00593219">
        <w:t>PolyANA</w:t>
      </w:r>
      <w:r>
        <w:t>’s</w:t>
      </w:r>
      <w:proofErr w:type="spellEnd"/>
      <w:r>
        <w:t xml:space="preserve"> predictions had the highest net benefit. </w:t>
      </w:r>
      <w:r w:rsidR="00CD236F">
        <w:t xml:space="preserve">However, if we are willing to </w:t>
      </w:r>
      <w:r w:rsidR="00EA16EA">
        <w:t>treat</w:t>
      </w:r>
      <w:r w:rsidR="00CD236F">
        <w:t xml:space="preserve"> 9 </w:t>
      </w:r>
      <w:r w:rsidR="00EA16EA">
        <w:t>with chemotherapy unnecessarily</w:t>
      </w:r>
      <w:r w:rsidR="00CD236F">
        <w:t xml:space="preserve"> to </w:t>
      </w:r>
      <w:r w:rsidR="00EA16EA">
        <w:t>treat one who would die otherwise</w:t>
      </w:r>
      <w:r w:rsidR="00CD236F">
        <w:t xml:space="preserve"> (</w:t>
      </w:r>
      <w:proofErr w:type="gramStart"/>
      <w:r w:rsidR="00CD236F">
        <w:t>C</w:t>
      </w:r>
      <w:r w:rsidR="008B747B">
        <w:t>:</w:t>
      </w:r>
      <w:r w:rsidR="00CD236F">
        <w:t>B</w:t>
      </w:r>
      <w:proofErr w:type="gramEnd"/>
      <w:r w:rsidR="00CD236F">
        <w:t xml:space="preserve"> = 1:9), the risk threshold R</w:t>
      </w:r>
      <w:r w:rsidR="00CD236F">
        <w:rPr>
          <w:vertAlign w:val="subscript"/>
        </w:rPr>
        <w:t>TT</w:t>
      </w:r>
      <w:r w:rsidR="00CD236F">
        <w:t xml:space="preserve"> is 10%.  Given that all of their risk predictions are greater than 10%, </w:t>
      </w:r>
      <w:proofErr w:type="spellStart"/>
      <w:r w:rsidR="001F7480">
        <w:t>Bleakhaus</w:t>
      </w:r>
      <w:proofErr w:type="spellEnd"/>
      <w:r w:rsidR="001F7480">
        <w:t xml:space="preserve"> and </w:t>
      </w:r>
      <w:proofErr w:type="spellStart"/>
      <w:r w:rsidR="001F7480">
        <w:t>AgnoSIA</w:t>
      </w:r>
      <w:proofErr w:type="spellEnd"/>
      <w:r w:rsidR="00CD236F">
        <w:t xml:space="preserve"> have the same NB and </w:t>
      </w:r>
      <w:proofErr w:type="spellStart"/>
      <w:r w:rsidR="00CD236F">
        <w:t>sNB</w:t>
      </w:r>
      <w:proofErr w:type="spellEnd"/>
      <w:r w:rsidR="00CD236F">
        <w:t xml:space="preserve"> as Treat All, which turn out to be 0.115 and 0.565.  Meanwhile, the values for </w:t>
      </w:r>
      <w:proofErr w:type="spellStart"/>
      <w:r w:rsidR="00593219">
        <w:t>PolyANA</w:t>
      </w:r>
      <w:proofErr w:type="spellEnd"/>
      <w:r w:rsidR="00CD236F">
        <w:t xml:space="preserve"> are lower (0.111 and 0.546).  </w:t>
      </w:r>
      <w:proofErr w:type="gramStart"/>
      <w:r w:rsidR="00257E63">
        <w:t>So</w:t>
      </w:r>
      <w:proofErr w:type="gramEnd"/>
      <w:r w:rsidR="00257E63">
        <w:t xml:space="preserve"> while </w:t>
      </w:r>
      <w:proofErr w:type="spellStart"/>
      <w:r w:rsidR="00593219">
        <w:t>PolyANA</w:t>
      </w:r>
      <w:r w:rsidR="00257E63">
        <w:t>’s</w:t>
      </w:r>
      <w:proofErr w:type="spellEnd"/>
      <w:r w:rsidR="00257E63">
        <w:t xml:space="preserve"> predictions had</w:t>
      </w:r>
      <w:r w:rsidR="008B747B">
        <w:t xml:space="preserve"> the highest net benefit with one misclassification cost</w:t>
      </w:r>
      <w:r w:rsidR="00257E63">
        <w:t xml:space="preserve"> ratio, they had the </w:t>
      </w:r>
      <w:r w:rsidR="008B747B">
        <w:t xml:space="preserve">lowest net benefit with another.  </w:t>
      </w:r>
      <w:r w:rsidR="00CA63F0">
        <w:t>In the next section we will cover d</w:t>
      </w:r>
      <w:r w:rsidR="00CD236F">
        <w:t>ecision curves</w:t>
      </w:r>
      <w:r w:rsidR="00CA63F0">
        <w:t>, which</w:t>
      </w:r>
      <w:r w:rsidR="00CD236F">
        <w:t xml:space="preserve"> display </w:t>
      </w:r>
      <w:r w:rsidR="000643F3">
        <w:t xml:space="preserve">net benefit over a range of </w:t>
      </w:r>
      <w:r w:rsidR="00C5777F">
        <w:t>misclassification cost ratios.</w:t>
      </w:r>
      <w:r w:rsidR="0007036D">
        <w:t xml:space="preserve"> (</w:t>
      </w:r>
      <w:r w:rsidR="0007036D" w:rsidRPr="0007036D">
        <w:rPr>
          <w:highlight w:val="yellow"/>
        </w:rPr>
        <w:t>Figure 6.7</w:t>
      </w:r>
      <w:r w:rsidR="0007036D">
        <w:t>)</w:t>
      </w:r>
    </w:p>
    <w:p w14:paraId="2F442D74" w14:textId="77777777" w:rsidR="00D25436" w:rsidRDefault="00D25436" w:rsidP="00C77D3B">
      <w:pPr>
        <w:pStyle w:val="NormalWeb"/>
      </w:pPr>
    </w:p>
    <w:p w14:paraId="4CA3F8FC" w14:textId="77777777" w:rsidR="00CA63F0" w:rsidRDefault="00CA63F0" w:rsidP="00CA63F0">
      <w:pPr>
        <w:pStyle w:val="Heading5"/>
      </w:pPr>
      <w:r>
        <w:rPr>
          <w:b w:val="0"/>
        </w:rPr>
        <w:t>Decision Curves</w:t>
      </w:r>
    </w:p>
    <w:p w14:paraId="65907D4D" w14:textId="77777777" w:rsidR="00D12082" w:rsidRPr="00E0640C" w:rsidRDefault="00D12082" w:rsidP="00C77D3B">
      <w:pPr>
        <w:pStyle w:val="NormalWeb"/>
        <w:sectPr w:rsidR="00D12082" w:rsidRPr="00E0640C" w:rsidSect="00D12082">
          <w:pgSz w:w="12240" w:h="15840"/>
          <w:pgMar w:top="1440" w:right="1800" w:bottom="1440" w:left="1080" w:header="720" w:footer="720" w:gutter="0"/>
          <w:cols w:space="720"/>
          <w:noEndnote/>
          <w:docGrid w:linePitch="326"/>
        </w:sectPr>
      </w:pPr>
    </w:p>
    <w:p w14:paraId="7323DBB8" w14:textId="77777777" w:rsidR="00E23145" w:rsidRDefault="00A222E2" w:rsidP="00E801B5">
      <w:pPr>
        <w:pStyle w:val="NormalWeb"/>
        <w:ind w:left="-720"/>
      </w:pPr>
      <w:r>
        <w:rPr>
          <w:noProof/>
        </w:rPr>
        <w:lastRenderedPageBreak/>
        <w:drawing>
          <wp:inline distT="0" distB="0" distL="0" distR="0" wp14:anchorId="64C5DE65" wp14:editId="15F1B0FF">
            <wp:extent cx="3824605" cy="4477385"/>
            <wp:effectExtent l="0" t="0" r="0" b="5715"/>
            <wp:docPr id="6" name="Picture 6" descr="Fig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g6"/>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24605" cy="4477385"/>
                    </a:xfrm>
                    <a:prstGeom prst="rect">
                      <a:avLst/>
                    </a:prstGeom>
                    <a:noFill/>
                    <a:ln>
                      <a:noFill/>
                    </a:ln>
                  </pic:spPr>
                </pic:pic>
              </a:graphicData>
            </a:graphic>
          </wp:inline>
        </w:drawing>
      </w:r>
      <w:r w:rsidR="008E237B">
        <w:t xml:space="preserve">    </w:t>
      </w:r>
      <w:r>
        <w:rPr>
          <w:noProof/>
        </w:rPr>
        <w:drawing>
          <wp:inline distT="0" distB="0" distL="0" distR="0" wp14:anchorId="741FD41E" wp14:editId="0419668F">
            <wp:extent cx="3824605" cy="4470400"/>
            <wp:effectExtent l="0" t="0" r="0" b="0"/>
            <wp:docPr id="7" name="Picture 7" descr="Fig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Fig6"/>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4605" cy="4470400"/>
                    </a:xfrm>
                    <a:prstGeom prst="rect">
                      <a:avLst/>
                    </a:prstGeom>
                    <a:noFill/>
                    <a:ln>
                      <a:noFill/>
                    </a:ln>
                  </pic:spPr>
                </pic:pic>
              </a:graphicData>
            </a:graphic>
          </wp:inline>
        </w:drawing>
      </w:r>
    </w:p>
    <w:p w14:paraId="41B11F80" w14:textId="77777777" w:rsidR="00FE3E16" w:rsidRDefault="00FE3E16" w:rsidP="00E801B5">
      <w:pPr>
        <w:pStyle w:val="NormalWeb"/>
        <w:ind w:left="-720"/>
      </w:pPr>
    </w:p>
    <w:p w14:paraId="43123C81" w14:textId="77777777" w:rsidR="00FE3E16" w:rsidRPr="0019167F" w:rsidRDefault="00A222E2" w:rsidP="00E801B5">
      <w:pPr>
        <w:pStyle w:val="NormalWeb"/>
        <w:ind w:left="-720"/>
      </w:pPr>
      <w:r>
        <w:rPr>
          <w:noProof/>
        </w:rPr>
        <w:lastRenderedPageBreak/>
        <w:drawing>
          <wp:inline distT="0" distB="0" distL="0" distR="0" wp14:anchorId="5D801F8A" wp14:editId="1746D5B0">
            <wp:extent cx="3679190" cy="4318000"/>
            <wp:effectExtent l="0" t="0" r="3810" b="0"/>
            <wp:docPr id="8" name="Picture 8" descr="Fig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ig6"/>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79190" cy="4318000"/>
                    </a:xfrm>
                    <a:prstGeom prst="rect">
                      <a:avLst/>
                    </a:prstGeom>
                    <a:noFill/>
                    <a:ln>
                      <a:noFill/>
                    </a:ln>
                  </pic:spPr>
                </pic:pic>
              </a:graphicData>
            </a:graphic>
          </wp:inline>
        </w:drawing>
      </w:r>
      <w:r w:rsidR="00FE3E16">
        <w:t xml:space="preserve">   </w:t>
      </w:r>
      <w:r>
        <w:rPr>
          <w:noProof/>
        </w:rPr>
        <w:drawing>
          <wp:inline distT="0" distB="0" distL="0" distR="0" wp14:anchorId="138091A3" wp14:editId="465FE5BE">
            <wp:extent cx="3679190" cy="4318000"/>
            <wp:effectExtent l="0" t="0" r="3810" b="0"/>
            <wp:docPr id="9" name="Picture 9" descr="Fig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Fig6"/>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79190" cy="4318000"/>
                    </a:xfrm>
                    <a:prstGeom prst="rect">
                      <a:avLst/>
                    </a:prstGeom>
                    <a:noFill/>
                    <a:ln>
                      <a:noFill/>
                    </a:ln>
                  </pic:spPr>
                </pic:pic>
              </a:graphicData>
            </a:graphic>
          </wp:inline>
        </w:drawing>
      </w:r>
    </w:p>
    <w:p w14:paraId="2DA7F3E3" w14:textId="77777777" w:rsidR="0041259E" w:rsidRPr="0029218C" w:rsidRDefault="00FE3E16" w:rsidP="00C77D3B">
      <w:pPr>
        <w:pStyle w:val="NormalWeb"/>
        <w:rPr>
          <w:b/>
          <w:i/>
        </w:rPr>
      </w:pPr>
      <w:r w:rsidRPr="0007036D">
        <w:rPr>
          <w:b/>
          <w:highlight w:val="yellow"/>
        </w:rPr>
        <w:t xml:space="preserve">Figure </w:t>
      </w:r>
      <w:proofErr w:type="gramStart"/>
      <w:r w:rsidRPr="0007036D">
        <w:rPr>
          <w:b/>
          <w:highlight w:val="yellow"/>
        </w:rPr>
        <w:t>6.7</w:t>
      </w:r>
      <w:r>
        <w:rPr>
          <w:b/>
        </w:rPr>
        <w:t xml:space="preserve"> </w:t>
      </w:r>
      <w:r>
        <w:t xml:space="preserve"> </w:t>
      </w:r>
      <w:r w:rsidR="002978B6">
        <w:t>MAK</w:t>
      </w:r>
      <w:proofErr w:type="gramEnd"/>
      <w:r w:rsidR="002978B6">
        <w:t xml:space="preserve"> </w:t>
      </w:r>
      <w:r w:rsidR="00922C3C">
        <w:t xml:space="preserve">Note:  Legend error --  “Robot 1” = </w:t>
      </w:r>
      <w:proofErr w:type="spellStart"/>
      <w:r w:rsidR="00922C3C">
        <w:t>Bleakhaus</w:t>
      </w:r>
      <w:proofErr w:type="spellEnd"/>
      <w:r w:rsidR="00922C3C">
        <w:t xml:space="preserve"> and “Robot 3” = </w:t>
      </w:r>
      <w:proofErr w:type="spellStart"/>
      <w:r w:rsidR="00922C3C">
        <w:t>PolyANA</w:t>
      </w:r>
      <w:proofErr w:type="spellEnd"/>
      <w:r w:rsidR="00922C3C">
        <w:t xml:space="preserve">.  </w:t>
      </w:r>
      <w:r>
        <w:t>Decision curves display the standardized net benefit (</w:t>
      </w:r>
      <w:proofErr w:type="spellStart"/>
      <w:r>
        <w:t>sNB</w:t>
      </w:r>
      <w:proofErr w:type="spellEnd"/>
      <w:r>
        <w:t>) of a risk model in a sample population as a function of the treatment threshold risk R</w:t>
      </w:r>
      <w:r>
        <w:rPr>
          <w:vertAlign w:val="subscript"/>
        </w:rPr>
        <w:t>TT</w:t>
      </w:r>
      <w:r>
        <w:t xml:space="preserve"> = C/(C+B). </w:t>
      </w:r>
      <w:r w:rsidR="0029218C">
        <w:t xml:space="preserve">In this example, the population only has 3 recognizable risk groups and the proportion who developed the outcome, P is 0.2.  </w:t>
      </w:r>
      <w:r>
        <w:t>Panel A</w:t>
      </w:r>
      <w:r w:rsidR="002976B9">
        <w:t>:</w:t>
      </w:r>
      <w:r>
        <w:t xml:space="preserve"> The </w:t>
      </w:r>
      <w:proofErr w:type="spellStart"/>
      <w:r>
        <w:t>sNB</w:t>
      </w:r>
      <w:proofErr w:type="spellEnd"/>
      <w:r>
        <w:t xml:space="preserve"> of the “Treat None” strategy is defined to be 0.  The </w:t>
      </w:r>
      <w:proofErr w:type="spellStart"/>
      <w:r>
        <w:t>sNB</w:t>
      </w:r>
      <w:proofErr w:type="spellEnd"/>
      <w:r>
        <w:t xml:space="preserve"> of the “Treat All” strategy is 1 – R</w:t>
      </w:r>
      <w:r>
        <w:rPr>
          <w:vertAlign w:val="subscript"/>
        </w:rPr>
        <w:t>TT</w:t>
      </w:r>
      <w:proofErr w:type="gramStart"/>
      <w:r>
        <w:t>/(</w:t>
      </w:r>
      <w:proofErr w:type="gramEnd"/>
      <w:r>
        <w:t>1-</w:t>
      </w:r>
      <w:r w:rsidRPr="006F66E9">
        <w:t xml:space="preserve"> </w:t>
      </w:r>
      <w:r>
        <w:t>R</w:t>
      </w:r>
      <w:r>
        <w:rPr>
          <w:vertAlign w:val="subscript"/>
        </w:rPr>
        <w:t>TT</w:t>
      </w:r>
      <w:r w:rsidR="002976B9">
        <w:t>)×(1-P)/P</w:t>
      </w:r>
      <w:r w:rsidR="00986AEF">
        <w:t xml:space="preserve">.  </w:t>
      </w:r>
      <w:r w:rsidR="002976B9">
        <w:t xml:space="preserve">Note that </w:t>
      </w:r>
      <w:proofErr w:type="spellStart"/>
      <w:proofErr w:type="gramStart"/>
      <w:r w:rsidR="002976B9">
        <w:t>sNB</w:t>
      </w:r>
      <w:proofErr w:type="spellEnd"/>
      <w:r w:rsidR="002976B9">
        <w:t>(</w:t>
      </w:r>
      <w:proofErr w:type="gramEnd"/>
      <w:r w:rsidR="002976B9">
        <w:t>Treat All) = 0 when R</w:t>
      </w:r>
      <w:r w:rsidR="002976B9">
        <w:rPr>
          <w:vertAlign w:val="subscript"/>
        </w:rPr>
        <w:t xml:space="preserve">TT </w:t>
      </w:r>
      <w:r w:rsidR="002976B9">
        <w:t xml:space="preserve">= P.  Panel B: </w:t>
      </w:r>
      <w:r w:rsidR="00255D18">
        <w:t>A perfectly calibrated model that only divides the population into 3 risk groups will have two R</w:t>
      </w:r>
      <w:r w:rsidR="00255D18">
        <w:rPr>
          <w:vertAlign w:val="subscript"/>
        </w:rPr>
        <w:t>TT</w:t>
      </w:r>
      <w:r w:rsidR="00255D18">
        <w:t xml:space="preserve"> ranges where it has </w:t>
      </w:r>
      <w:proofErr w:type="spellStart"/>
      <w:r w:rsidR="00255D18">
        <w:t>sNB</w:t>
      </w:r>
      <w:proofErr w:type="spellEnd"/>
      <w:r w:rsidR="00255D18">
        <w:t xml:space="preserve"> &gt; </w:t>
      </w:r>
      <w:proofErr w:type="spellStart"/>
      <w:proofErr w:type="gramStart"/>
      <w:r w:rsidR="00255D18">
        <w:t>sNB</w:t>
      </w:r>
      <w:proofErr w:type="spellEnd"/>
      <w:r w:rsidR="00255D18">
        <w:t>(</w:t>
      </w:r>
      <w:proofErr w:type="gramEnd"/>
      <w:r w:rsidR="00255D18">
        <w:t xml:space="preserve">Treat All) and </w:t>
      </w:r>
      <w:proofErr w:type="spellStart"/>
      <w:r w:rsidR="00255D18">
        <w:t>sNB</w:t>
      </w:r>
      <w:proofErr w:type="spellEnd"/>
      <w:r w:rsidR="00255D18">
        <w:t xml:space="preserve"> &gt; 0 .  As R</w:t>
      </w:r>
      <w:r w:rsidR="00255D18">
        <w:rPr>
          <w:vertAlign w:val="subscript"/>
        </w:rPr>
        <w:t>TT</w:t>
      </w:r>
      <w:r w:rsidR="00255D18">
        <w:t xml:space="preserve"> increases, false positives (FPs) first outweigh true positives </w:t>
      </w:r>
      <w:r w:rsidR="00313976">
        <w:t xml:space="preserve">(TPs) </w:t>
      </w:r>
      <w:r w:rsidR="00255D18">
        <w:t>in the lowest risk group</w:t>
      </w:r>
      <w:r w:rsidR="00313976">
        <w:t>, then in both the lowest and the intermediate risk group</w:t>
      </w:r>
      <w:r w:rsidR="009C61A6">
        <w:t>s</w:t>
      </w:r>
      <w:r w:rsidR="00313976">
        <w:t>.  When R</w:t>
      </w:r>
      <w:r w:rsidR="00313976">
        <w:rPr>
          <w:vertAlign w:val="subscript"/>
        </w:rPr>
        <w:t>TT</w:t>
      </w:r>
      <w:r w:rsidR="00313976">
        <w:t xml:space="preserve"> increases above the risk in the </w:t>
      </w:r>
      <w:r w:rsidR="00313976">
        <w:lastRenderedPageBreak/>
        <w:t xml:space="preserve">highest risk group, the </w:t>
      </w:r>
      <w:proofErr w:type="spellStart"/>
      <w:r w:rsidR="00313976">
        <w:t>sNB</w:t>
      </w:r>
      <w:proofErr w:type="spellEnd"/>
      <w:r w:rsidR="00313976">
        <w:t xml:space="preserve"> is 0.  </w:t>
      </w:r>
      <w:r w:rsidR="00BD5D2D">
        <w:t>Panel C:</w:t>
      </w:r>
      <w:r w:rsidR="0029218C">
        <w:t xml:space="preserve"> A model </w:t>
      </w:r>
      <w:r w:rsidR="00983962">
        <w:t>(</w:t>
      </w:r>
      <w:proofErr w:type="spellStart"/>
      <w:r w:rsidR="00076A13">
        <w:t>Bleakhaus</w:t>
      </w:r>
      <w:proofErr w:type="spellEnd"/>
      <w:r w:rsidR="00983962">
        <w:t xml:space="preserve">) </w:t>
      </w:r>
      <w:r w:rsidR="0029218C">
        <w:t xml:space="preserve">that consistently overestimates risk can have a negative </w:t>
      </w:r>
      <w:proofErr w:type="spellStart"/>
      <w:r w:rsidR="0029218C">
        <w:t>sNB</w:t>
      </w:r>
      <w:proofErr w:type="spellEnd"/>
      <w:r w:rsidR="0029218C">
        <w:t xml:space="preserve"> when R</w:t>
      </w:r>
      <w:r w:rsidR="0029218C">
        <w:rPr>
          <w:vertAlign w:val="subscript"/>
        </w:rPr>
        <w:t>TT</w:t>
      </w:r>
      <w:r w:rsidR="0029218C">
        <w:t xml:space="preserve"> is high.  </w:t>
      </w:r>
      <w:r w:rsidR="00983962">
        <w:t>Panel D: A model th</w:t>
      </w:r>
      <w:r w:rsidR="00105E45">
        <w:t>at</w:t>
      </w:r>
      <w:r w:rsidR="00983962">
        <w:t xml:space="preserve"> consistently underestimates risk (</w:t>
      </w:r>
      <w:proofErr w:type="spellStart"/>
      <w:r w:rsidR="00593219">
        <w:t>PolyANA</w:t>
      </w:r>
      <w:proofErr w:type="spellEnd"/>
      <w:r w:rsidR="00983962">
        <w:t xml:space="preserve">) </w:t>
      </w:r>
      <w:r w:rsidR="005C0767">
        <w:t xml:space="preserve">can have </w:t>
      </w:r>
      <w:proofErr w:type="spellStart"/>
      <w:r w:rsidR="005C0767">
        <w:t>sNB</w:t>
      </w:r>
      <w:proofErr w:type="spellEnd"/>
      <w:r w:rsidR="005C0767">
        <w:t xml:space="preserve"> &lt; </w:t>
      </w:r>
      <w:proofErr w:type="spellStart"/>
      <w:proofErr w:type="gramStart"/>
      <w:r w:rsidR="005C0767">
        <w:t>sNB</w:t>
      </w:r>
      <w:proofErr w:type="spellEnd"/>
      <w:r w:rsidR="005C0767">
        <w:t>(</w:t>
      </w:r>
      <w:proofErr w:type="gramEnd"/>
      <w:r w:rsidR="005C0767">
        <w:t>“Treat All”)</w:t>
      </w:r>
      <w:r w:rsidR="009C61A6">
        <w:t xml:space="preserve"> when R</w:t>
      </w:r>
      <w:r w:rsidR="009C61A6">
        <w:rPr>
          <w:vertAlign w:val="subscript"/>
        </w:rPr>
        <w:t>TT</w:t>
      </w:r>
      <w:r w:rsidR="009C61A6">
        <w:t xml:space="preserve"> is low</w:t>
      </w:r>
      <w:r w:rsidR="005C0767">
        <w:t>.</w:t>
      </w:r>
    </w:p>
    <w:p w14:paraId="1F4408D5" w14:textId="77777777" w:rsidR="00B93485" w:rsidRDefault="00B93485" w:rsidP="00C77D3B">
      <w:pPr>
        <w:pStyle w:val="NormalWeb"/>
        <w:rPr>
          <w:b/>
          <w:i/>
        </w:rPr>
        <w:sectPr w:rsidR="00B93485" w:rsidSect="00B93485">
          <w:pgSz w:w="15840" w:h="12240" w:orient="landscape"/>
          <w:pgMar w:top="1800" w:right="1440" w:bottom="1080" w:left="1440" w:header="720" w:footer="720" w:gutter="0"/>
          <w:cols w:space="720"/>
          <w:noEndnote/>
          <w:docGrid w:linePitch="326"/>
        </w:sectPr>
      </w:pPr>
    </w:p>
    <w:p w14:paraId="1013A428" w14:textId="77777777" w:rsidR="00FE3E16" w:rsidRDefault="00FE3E16" w:rsidP="00C77D3B">
      <w:pPr>
        <w:pStyle w:val="NormalWeb"/>
        <w:rPr>
          <w:b/>
          <w:i/>
        </w:rPr>
      </w:pPr>
    </w:p>
    <w:p w14:paraId="5C8D3EAA" w14:textId="77777777" w:rsidR="00C1328E" w:rsidRDefault="00727FDE" w:rsidP="00C77D3B">
      <w:pPr>
        <w:pStyle w:val="NormalWeb"/>
      </w:pPr>
      <w:r>
        <w:t>Decision curves display the standardized net benefit (</w:t>
      </w:r>
      <w:proofErr w:type="spellStart"/>
      <w:r>
        <w:t>sNB</w:t>
      </w:r>
      <w:proofErr w:type="spellEnd"/>
      <w:r>
        <w:t>) of a risk model in a sample population as a function of the treatment threshold risk R</w:t>
      </w:r>
      <w:r>
        <w:rPr>
          <w:vertAlign w:val="subscript"/>
        </w:rPr>
        <w:t>TT</w:t>
      </w:r>
      <w:r>
        <w:t xml:space="preserve"> = C/(C+B).  The appearance of the decision curve depends on P, the proportion </w:t>
      </w:r>
      <w:r w:rsidR="007D515E">
        <w:t xml:space="preserve">of </w:t>
      </w:r>
      <w:r>
        <w:t xml:space="preserve">the sample population that developed the outcome.  For reference, the plot always includes the </w:t>
      </w:r>
      <w:proofErr w:type="spellStart"/>
      <w:r>
        <w:t>sNB</w:t>
      </w:r>
      <w:proofErr w:type="spellEnd"/>
      <w:r>
        <w:t xml:space="preserve"> of the “Treat All” strategy (1 – R</w:t>
      </w:r>
      <w:r>
        <w:rPr>
          <w:vertAlign w:val="subscript"/>
        </w:rPr>
        <w:t>TT</w:t>
      </w:r>
      <w:proofErr w:type="gramStart"/>
      <w:r>
        <w:t>/(</w:t>
      </w:r>
      <w:proofErr w:type="gramEnd"/>
      <w:r>
        <w:t>1-</w:t>
      </w:r>
      <w:r w:rsidRPr="006F66E9">
        <w:t xml:space="preserve"> </w:t>
      </w:r>
      <w:r>
        <w:t>R</w:t>
      </w:r>
      <w:r>
        <w:rPr>
          <w:vertAlign w:val="subscript"/>
        </w:rPr>
        <w:t>TT</w:t>
      </w:r>
      <w:r>
        <w:t xml:space="preserve">)×(1-P)/P) which crosses the </w:t>
      </w:r>
      <w:r w:rsidR="00601F84">
        <w:t>X-</w:t>
      </w:r>
      <w:r w:rsidR="00801ECD">
        <w:t>axis (</w:t>
      </w:r>
      <w:proofErr w:type="spellStart"/>
      <w:r w:rsidR="00801ECD">
        <w:t>sNB</w:t>
      </w:r>
      <w:proofErr w:type="spellEnd"/>
      <w:r w:rsidR="00801ECD">
        <w:t xml:space="preserve"> = 0) at R</w:t>
      </w:r>
      <w:r w:rsidR="00801ECD">
        <w:rPr>
          <w:vertAlign w:val="subscript"/>
        </w:rPr>
        <w:t>TT</w:t>
      </w:r>
      <w:r w:rsidR="00801ECD">
        <w:t xml:space="preserve"> = P.  (</w:t>
      </w:r>
      <w:r w:rsidR="00801ECD" w:rsidRPr="00801ECD">
        <w:rPr>
          <w:highlight w:val="yellow"/>
        </w:rPr>
        <w:t>Figure 6.7 A</w:t>
      </w:r>
      <w:r w:rsidR="00801ECD">
        <w:t xml:space="preserve">)  </w:t>
      </w:r>
    </w:p>
    <w:p w14:paraId="31A9D913" w14:textId="77777777" w:rsidR="00C1328E" w:rsidRDefault="00C1328E" w:rsidP="00C77D3B">
      <w:pPr>
        <w:pStyle w:val="NormalWeb"/>
      </w:pPr>
      <w:r>
        <w:t xml:space="preserve">Net benefit calculations and decision curves can reflect discrimination.  </w:t>
      </w:r>
      <w:r w:rsidR="00727FDE">
        <w:t xml:space="preserve">In </w:t>
      </w:r>
      <w:r w:rsidR="00801ECD">
        <w:t xml:space="preserve">our contrived example, the population has only 3 recognizable risk groups: low, intermediate, and high.  This is like using a 3-level variable to predict risk. </w:t>
      </w:r>
      <w:r>
        <w:t>A</w:t>
      </w:r>
      <w:r w:rsidR="00801ECD">
        <w:t xml:space="preserve"> perfectly calibrated model (</w:t>
      </w:r>
      <w:r w:rsidR="00801ECD" w:rsidRPr="00801ECD">
        <w:rPr>
          <w:highlight w:val="yellow"/>
        </w:rPr>
        <w:t>Figure 6.7 B</w:t>
      </w:r>
      <w:r w:rsidR="00801ECD">
        <w:t xml:space="preserve">) can improve over both “Treat None” </w:t>
      </w:r>
      <w:r>
        <w:t xml:space="preserve">and “Treat All” </w:t>
      </w:r>
      <w:r w:rsidR="00801ECD">
        <w:t xml:space="preserve">strategies for two ranges of risk thresholds.  Reading </w:t>
      </w:r>
      <w:r w:rsidR="007D515E">
        <w:t>the</w:t>
      </w:r>
      <w:r w:rsidR="00801ECD">
        <w:t xml:space="preserve"> decision curve from </w:t>
      </w:r>
      <w:r>
        <w:t>right to left</w:t>
      </w:r>
      <w:r w:rsidR="00801ECD">
        <w:t>, a</w:t>
      </w:r>
      <w:r>
        <w:t>t a high</w:t>
      </w:r>
      <w:r w:rsidR="00801ECD">
        <w:t xml:space="preserve"> </w:t>
      </w:r>
      <w:r w:rsidR="00727FDE">
        <w:t>R</w:t>
      </w:r>
      <w:r w:rsidR="00727FDE">
        <w:rPr>
          <w:vertAlign w:val="subscript"/>
        </w:rPr>
        <w:t>TT</w:t>
      </w:r>
      <w:r w:rsidR="00301F8A">
        <w:t xml:space="preserve">, </w:t>
      </w:r>
      <w:r>
        <w:t xml:space="preserve">the </w:t>
      </w:r>
      <w:proofErr w:type="spellStart"/>
      <w:r>
        <w:t>sNB</w:t>
      </w:r>
      <w:proofErr w:type="spellEnd"/>
      <w:r>
        <w:t xml:space="preserve"> </w:t>
      </w:r>
      <w:r w:rsidR="00301F8A">
        <w:t xml:space="preserve">is the same as “Treat None”, i.e., </w:t>
      </w:r>
      <w:proofErr w:type="spellStart"/>
      <w:r w:rsidR="00301F8A">
        <w:t>sNB</w:t>
      </w:r>
      <w:proofErr w:type="spellEnd"/>
      <w:r w:rsidR="00301F8A">
        <w:t xml:space="preserve"> = 0.  At a certain </w:t>
      </w:r>
      <w:proofErr w:type="gramStart"/>
      <w:r w:rsidR="00301F8A">
        <w:t>R</w:t>
      </w:r>
      <w:r w:rsidR="00301F8A">
        <w:rPr>
          <w:vertAlign w:val="subscript"/>
        </w:rPr>
        <w:t>TT</w:t>
      </w:r>
      <w:r w:rsidR="00301F8A">
        <w:t xml:space="preserve">  (</w:t>
      </w:r>
      <w:proofErr w:type="gramEnd"/>
      <w:r w:rsidR="00301F8A">
        <w:t xml:space="preserve">0.33 in this example), </w:t>
      </w:r>
      <w:r>
        <w:t xml:space="preserve">true positives (TPs) first outweigh </w:t>
      </w:r>
      <w:r w:rsidR="00727FDE">
        <w:t xml:space="preserve">false positives (FPs) </w:t>
      </w:r>
      <w:r>
        <w:t xml:space="preserve">in the highest risk group </w:t>
      </w:r>
      <w:r w:rsidR="00301F8A">
        <w:t>yielding</w:t>
      </w:r>
      <w:r>
        <w:t xml:space="preserve"> an </w:t>
      </w:r>
      <w:proofErr w:type="spellStart"/>
      <w:r>
        <w:t>sNB</w:t>
      </w:r>
      <w:proofErr w:type="spellEnd"/>
      <w:r>
        <w:t xml:space="preserve"> &gt; 0.  Then</w:t>
      </w:r>
      <w:r w:rsidR="00301F8A">
        <w:t xml:space="preserve"> at a lower R</w:t>
      </w:r>
      <w:r w:rsidR="00301F8A">
        <w:rPr>
          <w:vertAlign w:val="subscript"/>
        </w:rPr>
        <w:t xml:space="preserve">TT </w:t>
      </w:r>
      <w:r w:rsidR="00301F8A">
        <w:t>(0.17 in this example)</w:t>
      </w:r>
      <w:r>
        <w:t xml:space="preserve">, </w:t>
      </w:r>
      <w:r w:rsidR="00727FDE">
        <w:t xml:space="preserve">TPs </w:t>
      </w:r>
      <w:r>
        <w:t xml:space="preserve">outweigh FPs in </w:t>
      </w:r>
      <w:r w:rsidR="00727FDE">
        <w:t xml:space="preserve">both the </w:t>
      </w:r>
      <w:r>
        <w:t>high</w:t>
      </w:r>
      <w:r w:rsidR="00727FDE">
        <w:t xml:space="preserve"> and the intermediate risk group</w:t>
      </w:r>
      <w:r w:rsidR="00801ECD">
        <w:t>s</w:t>
      </w:r>
      <w:r w:rsidR="00727FDE">
        <w:t xml:space="preserve">.  </w:t>
      </w:r>
      <w:r w:rsidR="00301F8A">
        <w:t xml:space="preserve">Finally, for </w:t>
      </w:r>
      <w:r w:rsidR="00727FDE">
        <w:t>R</w:t>
      </w:r>
      <w:r w:rsidR="00727FDE">
        <w:rPr>
          <w:vertAlign w:val="subscript"/>
        </w:rPr>
        <w:t>TT</w:t>
      </w:r>
      <w:r w:rsidR="00727FDE">
        <w:t xml:space="preserve"> </w:t>
      </w:r>
      <w:r>
        <w:t>below</w:t>
      </w:r>
      <w:r w:rsidR="00727FDE">
        <w:t xml:space="preserve"> the risk in the </w:t>
      </w:r>
      <w:r>
        <w:t xml:space="preserve">lowest </w:t>
      </w:r>
      <w:r w:rsidR="00727FDE">
        <w:t xml:space="preserve">risk group, the </w:t>
      </w:r>
      <w:proofErr w:type="spellStart"/>
      <w:r w:rsidR="00727FDE">
        <w:t>sNB</w:t>
      </w:r>
      <w:proofErr w:type="spellEnd"/>
      <w:r w:rsidR="00727FDE">
        <w:t xml:space="preserve"> </w:t>
      </w:r>
      <w:r w:rsidR="00E44B7C">
        <w:t xml:space="preserve">of the model </w:t>
      </w:r>
      <w:r w:rsidR="00727FDE">
        <w:t xml:space="preserve">is </w:t>
      </w:r>
      <w:r w:rsidR="00E44B7C">
        <w:t xml:space="preserve">the same as “Treat </w:t>
      </w:r>
      <w:r>
        <w:t>All</w:t>
      </w:r>
      <w:r w:rsidR="00E44B7C">
        <w:t>”</w:t>
      </w:r>
      <w:r w:rsidR="00301F8A">
        <w:t xml:space="preserve">.  A well-calibrated model that divided the population into more widely separated risk groups or a greater number of risk groups, would provide greater </w:t>
      </w:r>
      <w:proofErr w:type="spellStart"/>
      <w:r w:rsidR="00301F8A">
        <w:t>sNB</w:t>
      </w:r>
      <w:proofErr w:type="spellEnd"/>
      <w:r w:rsidR="00301F8A">
        <w:t xml:space="preserve"> at a wider range of risk thresholds.</w:t>
      </w:r>
    </w:p>
    <w:p w14:paraId="5BF97528" w14:textId="77777777" w:rsidR="00C1328E" w:rsidRPr="00BA508D" w:rsidRDefault="00301F8A" w:rsidP="00C77D3B">
      <w:pPr>
        <w:pStyle w:val="NormalWeb"/>
        <w:rPr>
          <w:rFonts w:asciiTheme="majorHAnsi" w:hAnsiTheme="majorHAnsi"/>
        </w:rPr>
      </w:pPr>
      <w:r>
        <w:t xml:space="preserve">Net benefit calculations and decision curves can </w:t>
      </w:r>
      <w:r w:rsidR="00601F84">
        <w:t xml:space="preserve">also </w:t>
      </w:r>
      <w:r>
        <w:t xml:space="preserve">reflect calibration.  </w:t>
      </w:r>
      <w:r w:rsidR="00727FDE">
        <w:t>A model (</w:t>
      </w:r>
      <w:proofErr w:type="spellStart"/>
      <w:r w:rsidR="00076A13">
        <w:t>Bleakhaus</w:t>
      </w:r>
      <w:proofErr w:type="spellEnd"/>
      <w:r w:rsidR="00727FDE">
        <w:t xml:space="preserve">) that consistently overestimates risk can have a negative </w:t>
      </w:r>
      <w:proofErr w:type="spellStart"/>
      <w:r w:rsidR="00727FDE">
        <w:t>sNB</w:t>
      </w:r>
      <w:proofErr w:type="spellEnd"/>
      <w:r w:rsidR="00727FDE">
        <w:t xml:space="preserve"> when R</w:t>
      </w:r>
      <w:r w:rsidR="00727FDE">
        <w:rPr>
          <w:vertAlign w:val="subscript"/>
        </w:rPr>
        <w:t>TT</w:t>
      </w:r>
      <w:r w:rsidR="00E44B7C">
        <w:t xml:space="preserve"> is high.  This </w:t>
      </w:r>
      <w:r w:rsidR="00EE2A92">
        <w:t>corresponds</w:t>
      </w:r>
      <w:r w:rsidR="00E44B7C">
        <w:t xml:space="preserve"> to the idea that overestimating risk leads to overtreatment. (</w:t>
      </w:r>
      <w:r w:rsidR="00E44B7C" w:rsidRPr="00EE2A92">
        <w:rPr>
          <w:highlight w:val="yellow"/>
        </w:rPr>
        <w:t>Figure 6.7 C).</w:t>
      </w:r>
      <w:r w:rsidR="00E44B7C">
        <w:t xml:space="preserve"> </w:t>
      </w:r>
      <w:r w:rsidR="00FC6289">
        <w:t xml:space="preserve"> </w:t>
      </w:r>
      <w:r w:rsidR="00FC6289" w:rsidRPr="00BA508D">
        <w:rPr>
          <w:highlight w:val="yellow"/>
        </w:rPr>
        <w:t>Box 6.3</w:t>
      </w:r>
      <w:r w:rsidR="00FC6289">
        <w:t xml:space="preserve"> </w:t>
      </w:r>
      <w:r w:rsidR="00BA508D">
        <w:t>shows how</w:t>
      </w:r>
      <w:r w:rsidR="00FC6289">
        <w:t xml:space="preserve"> a decision curve reflects </w:t>
      </w:r>
      <w:r w:rsidR="00BA508D">
        <w:t xml:space="preserve">overestimation of cardiovascular risk by the NICE-Framingham equation.  </w:t>
      </w:r>
      <w:r w:rsidR="00727FDE">
        <w:t>A model</w:t>
      </w:r>
      <w:r w:rsidR="00E44B7C">
        <w:t xml:space="preserve"> that</w:t>
      </w:r>
      <w:r w:rsidR="00727FDE">
        <w:t xml:space="preserve"> consistently underestimates risk (</w:t>
      </w:r>
      <w:proofErr w:type="spellStart"/>
      <w:r w:rsidR="00593219">
        <w:t>PolyANA</w:t>
      </w:r>
      <w:proofErr w:type="spellEnd"/>
      <w:r w:rsidR="00727FDE">
        <w:t xml:space="preserve">) can have </w:t>
      </w:r>
      <w:proofErr w:type="spellStart"/>
      <w:r w:rsidR="00727FDE">
        <w:t>sNB</w:t>
      </w:r>
      <w:proofErr w:type="spellEnd"/>
      <w:r w:rsidR="00727FDE">
        <w:t xml:space="preserve"> &lt; </w:t>
      </w:r>
      <w:proofErr w:type="spellStart"/>
      <w:proofErr w:type="gramStart"/>
      <w:r w:rsidR="00727FDE">
        <w:t>sNB</w:t>
      </w:r>
      <w:proofErr w:type="spellEnd"/>
      <w:r w:rsidR="00727FDE">
        <w:t>(</w:t>
      </w:r>
      <w:proofErr w:type="gramEnd"/>
      <w:r w:rsidR="00727FDE">
        <w:t>“Treat All”)</w:t>
      </w:r>
      <w:r w:rsidR="00E44B7C">
        <w:t xml:space="preserve"> </w:t>
      </w:r>
      <w:r w:rsidR="009C61A6">
        <w:t>when R</w:t>
      </w:r>
      <w:r w:rsidR="009C61A6">
        <w:rPr>
          <w:vertAlign w:val="subscript"/>
        </w:rPr>
        <w:t>TT</w:t>
      </w:r>
      <w:r w:rsidR="009C61A6">
        <w:t xml:space="preserve"> is low</w:t>
      </w:r>
      <w:r>
        <w:t>,</w:t>
      </w:r>
      <w:r w:rsidR="009C61A6">
        <w:t xml:space="preserve"> </w:t>
      </w:r>
      <w:r w:rsidR="00E44B7C">
        <w:t>corresponding to the idea that underestimating risk leads to undertreatment.</w:t>
      </w:r>
      <w:r w:rsidR="00EE2A92" w:rsidRPr="00EE2A92">
        <w:rPr>
          <w:highlight w:val="yellow"/>
        </w:rPr>
        <w:t xml:space="preserve"> Figure 6.7 </w:t>
      </w:r>
      <w:r w:rsidR="00EE2A92">
        <w:rPr>
          <w:highlight w:val="yellow"/>
        </w:rPr>
        <w:t>D</w:t>
      </w:r>
      <w:r w:rsidR="00EE2A92" w:rsidRPr="00EE2A92">
        <w:rPr>
          <w:highlight w:val="yellow"/>
        </w:rPr>
        <w:t>).</w:t>
      </w:r>
      <w:r w:rsidR="00EE2A92">
        <w:t xml:space="preserve"> </w:t>
      </w:r>
    </w:p>
    <w:p w14:paraId="0C1075C6" w14:textId="7836AE39" w:rsidR="009C61A6" w:rsidRPr="00132B6F" w:rsidRDefault="00132B6F" w:rsidP="000F76A7">
      <w:pPr>
        <w:pStyle w:val="Heading5"/>
      </w:pPr>
      <w:r>
        <w:rPr>
          <w:b w:val="0"/>
        </w:rPr>
        <w:t>Recalibration</w:t>
      </w:r>
    </w:p>
    <w:p w14:paraId="6E82D22B" w14:textId="77777777" w:rsidR="00F517DF" w:rsidRDefault="00601F84" w:rsidP="00C77D3B">
      <w:pPr>
        <w:pStyle w:val="NormalWeb"/>
      </w:pPr>
      <w:r>
        <w:t xml:space="preserve">Recalibration means keeping the </w:t>
      </w:r>
      <w:r w:rsidR="00111B3D">
        <w:t xml:space="preserve">same </w:t>
      </w:r>
      <w:r>
        <w:t xml:space="preserve">model-defined risk groups but adjusting each group’s risk estimate to the observed proportion with the outcome in that group.  We did that in Figure 6.7 B to show how the decision curve for a well-calibrated model can reflect discrimination. </w:t>
      </w:r>
      <w:r w:rsidR="00111B3D">
        <w:t xml:space="preserve">  I</w:t>
      </w:r>
      <w:r>
        <w:t xml:space="preserve">t </w:t>
      </w:r>
      <w:r w:rsidR="00111B3D">
        <w:t>seems circular</w:t>
      </w:r>
      <w:r>
        <w:t xml:space="preserve"> to </w:t>
      </w:r>
      <w:r w:rsidR="00111B3D">
        <w:t xml:space="preserve">recalibrate a model before </w:t>
      </w:r>
      <w:r>
        <w:t>evaluat</w:t>
      </w:r>
      <w:r w:rsidR="00111B3D">
        <w:t>ing</w:t>
      </w:r>
      <w:r>
        <w:t xml:space="preserve"> </w:t>
      </w:r>
      <w:r w:rsidR="00111B3D">
        <w:t>its</w:t>
      </w:r>
      <w:r>
        <w:t xml:space="preserve"> performance or compar</w:t>
      </w:r>
      <w:r w:rsidR="00111B3D">
        <w:t xml:space="preserve">ing it to other models using net benefit calculations or decision curves.  You can’t see how well a model predicts the risk of an outcome by peeking to see who had the outcome and then changing the model’s risk estimates.   </w:t>
      </w:r>
      <w:r w:rsidR="00EF2CC3">
        <w:t>As demonstrated by the ICU Mortality Probability Model (</w:t>
      </w:r>
      <w:r w:rsidR="00EF2CC3" w:rsidRPr="004B3947">
        <w:rPr>
          <w:highlight w:val="yellow"/>
        </w:rPr>
        <w:t>Box 6.2</w:t>
      </w:r>
      <w:r w:rsidR="00EF2CC3">
        <w:t>), the difference between two models may reside almost entirely in better calibration.  After recalibrating, the models will look equivalent.  I</w:t>
      </w:r>
      <w:r w:rsidR="0016142B">
        <w:t xml:space="preserve">f you want to focus on discrimination alone, use the ROC curve.  </w:t>
      </w:r>
      <w:r w:rsidR="00111B3D">
        <w:t>On the other hand, once you have evaluated your models and chosen the one to use going forward, it makes perfect sense to recalibrate it.</w:t>
      </w:r>
    </w:p>
    <w:p w14:paraId="2BC5A007" w14:textId="77777777" w:rsidR="00C77D3B" w:rsidRPr="00D444E8" w:rsidRDefault="00B748E8" w:rsidP="00DC03AC">
      <w:pPr>
        <w:pStyle w:val="Heading2"/>
        <w:rPr>
          <w:sz w:val="24"/>
          <w:szCs w:val="24"/>
        </w:rPr>
      </w:pPr>
      <w:r>
        <w:rPr>
          <w:sz w:val="24"/>
          <w:szCs w:val="24"/>
        </w:rPr>
        <w:br/>
      </w:r>
      <w:r w:rsidRPr="00FC6289">
        <w:rPr>
          <w:sz w:val="24"/>
          <w:szCs w:val="24"/>
          <w:highlight w:val="yellow"/>
        </w:rPr>
        <w:t xml:space="preserve">Box </w:t>
      </w:r>
      <w:proofErr w:type="gramStart"/>
      <w:r w:rsidRPr="00FC6289">
        <w:rPr>
          <w:sz w:val="24"/>
          <w:szCs w:val="24"/>
          <w:highlight w:val="yellow"/>
        </w:rPr>
        <w:t>6.3</w:t>
      </w:r>
      <w:r w:rsidR="00D444E8" w:rsidRPr="00D444E8">
        <w:rPr>
          <w:sz w:val="24"/>
          <w:szCs w:val="24"/>
        </w:rPr>
        <w:t xml:space="preserve">  QRISK</w:t>
      </w:r>
      <w:proofErr w:type="gramEnd"/>
      <w:r w:rsidR="00D444E8" w:rsidRPr="00D444E8">
        <w:rPr>
          <w:sz w:val="24"/>
          <w:szCs w:val="24"/>
        </w:rPr>
        <w:t>2 vs. NICE Framingham Risk model</w:t>
      </w:r>
    </w:p>
    <w:p w14:paraId="5798EF4E" w14:textId="1EEFA5CA" w:rsidR="00D444E8" w:rsidRPr="008C5FC3" w:rsidRDefault="00D444E8" w:rsidP="00D444E8">
      <w:r>
        <w:t xml:space="preserve">Collins and Altman </w:t>
      </w:r>
      <w:r>
        <w:fldChar w:fldCharType="begin"/>
      </w:r>
      <w:r w:rsidR="007A2979">
        <w:instrText xml:space="preserve"> ADDIN EN.CITE &lt;EndNote&gt;&lt;Cite&gt;&lt;Author&gt;Collins&lt;/Author&gt;&lt;Year&gt;2012&lt;/Year&gt;&lt;RecNum&gt;1452&lt;/RecNum&gt;&lt;DisplayText&gt;[4]&lt;/DisplayText&gt;&lt;record&gt;&lt;rec-number&gt;1452&lt;/rec-number&gt;&lt;foreign-keys&gt;&lt;key app="EN" db-id="0ftvff9p80fp5few5s05f5fw9rd9fefrdzer" timestamp="1507767010"&gt;1452&lt;/key&gt;&lt;/foreign-keys&gt;&lt;ref-type name="Journal Article"&gt;17&lt;/ref-type&gt;&lt;contributors&gt;&lt;authors&gt;&lt;author&gt;Collins, G. S.&lt;/author&gt;&lt;author&gt;Altman, D. G.&lt;/author&gt;&lt;/authors&gt;&lt;/contributors&gt;&lt;auth-address&gt;Centre for Statistics in Medicine, Wolfson College Annexe, University of Oxford, Oxford OX2 6UD, UK. gary.collins@csm.ox.ac.uk&lt;/auth-address&gt;&lt;titles&gt;&lt;title&gt;Predicting the 10 year risk of cardiovascular disease in the United Kingdom: independent and external validation of an updated version of QRISK2&lt;/title&gt;&lt;secondary-title&gt;BMJ&lt;/secondary-title&gt;&lt;/titles&gt;&lt;periodical&gt;&lt;full-title&gt;BMJ&lt;/full-title&gt;&lt;/periodical&gt;&lt;pages&gt;e4181&lt;/pages&gt;&lt;volume&gt;344&lt;/volume&gt;&lt;keywords&gt;&lt;keyword&gt;Adult&lt;/keyword&gt;&lt;keyword&gt;Aged&lt;/keyword&gt;&lt;keyword&gt;Aged, 80 and over&lt;/keyword&gt;&lt;keyword&gt;Cardiovascular Diseases/*epidemiology&lt;/keyword&gt;&lt;keyword&gt;Female&lt;/keyword&gt;&lt;keyword&gt;Forecasting/methods&lt;/keyword&gt;&lt;keyword&gt;Humans&lt;/keyword&gt;&lt;keyword&gt;Male&lt;/keyword&gt;&lt;keyword&gt;Middle Aged&lt;/keyword&gt;&lt;keyword&gt;Prospective Studies&lt;/keyword&gt;&lt;keyword&gt;*Risk Assessment/standards&lt;/keyword&gt;&lt;keyword&gt;Risk Factors&lt;/keyword&gt;&lt;keyword&gt;United Kingdom/epidemiology&lt;/keyword&gt;&lt;/keywords&gt;&lt;dates&gt;&lt;year&gt;2012&lt;/year&gt;&lt;pub-dates&gt;&lt;date&gt;Jun 21&lt;/date&gt;&lt;/pub-dates&gt;&lt;/dates&gt;&lt;isbn&gt;1756-1833 (Electronic)&amp;#xD;0959-535X (Linking)&lt;/isbn&gt;&lt;accession-num&gt;22723603&lt;/accession-num&gt;&lt;urls&gt;&lt;related-urls&gt;&lt;url&gt;https://www.ncbi.nlm.nih.gov/pubmed/22723603&lt;/url&gt;&lt;/related-urls&gt;&lt;/urls&gt;&lt;custom2&gt;PMC3380799&lt;/custom2&gt;&lt;electronic-resource-num&gt;10.1136/bmj.e4181&lt;/electronic-resource-num&gt;&lt;/record&gt;&lt;/Cite&gt;&lt;/EndNote&gt;</w:instrText>
      </w:r>
      <w:r>
        <w:fldChar w:fldCharType="separate"/>
      </w:r>
      <w:r w:rsidR="007A2979">
        <w:rPr>
          <w:noProof/>
        </w:rPr>
        <w:t>[4]</w:t>
      </w:r>
      <w:r>
        <w:fldChar w:fldCharType="end"/>
      </w:r>
      <w:r>
        <w:t xml:space="preserve"> compared </w:t>
      </w:r>
      <w:r w:rsidRPr="004532BE">
        <w:t>the performance of the QRISK2</w:t>
      </w:r>
      <w:r>
        <w:t xml:space="preserve"> score for predicting the 10-</w:t>
      </w:r>
      <w:r w:rsidRPr="004532BE">
        <w:t xml:space="preserve">year risk of cardiovascular </w:t>
      </w:r>
      <w:r>
        <w:t>events</w:t>
      </w:r>
      <w:r w:rsidRPr="004532BE">
        <w:t xml:space="preserve"> with </w:t>
      </w:r>
      <w:r>
        <w:t>the NICE (</w:t>
      </w:r>
      <w:r w:rsidRPr="004532BE">
        <w:t>National Institute for Health and Clinical Excellence</w:t>
      </w:r>
      <w:r>
        <w:t>)</w:t>
      </w:r>
      <w:r w:rsidRPr="004532BE">
        <w:t xml:space="preserve"> version of the Framingham equation</w:t>
      </w:r>
      <w:r>
        <w:t xml:space="preserve">.  </w:t>
      </w:r>
      <w:r w:rsidR="00843AD3">
        <w:t xml:space="preserve">Presumably, these risk estimates would guide </w:t>
      </w:r>
      <w:r w:rsidR="00843AD3">
        <w:lastRenderedPageBreak/>
        <w:t xml:space="preserve">an intervention such as statin therapy.  </w:t>
      </w:r>
      <w:r>
        <w:t xml:space="preserve">They applied both models </w:t>
      </w:r>
      <w:r w:rsidRPr="004532BE">
        <w:t>in an independent UK cohort of</w:t>
      </w:r>
      <w:r>
        <w:t xml:space="preserve"> </w:t>
      </w:r>
      <w:r w:rsidR="00C4431D">
        <w:t>subject</w:t>
      </w:r>
      <w:r>
        <w:t xml:space="preserve">s from general practice that included more than 2 million </w:t>
      </w:r>
      <w:r w:rsidR="00C4431D">
        <w:t>subject</w:t>
      </w:r>
      <w:r>
        <w:t>s (11.8 million person-years) with more than 90,000 cardiovascular events.  The models were applied separately to men and women.  Below are the decision curves for women and men aged 34 – 75 years.</w:t>
      </w:r>
    </w:p>
    <w:p w14:paraId="2121571C" w14:textId="77777777" w:rsidR="00B748E8" w:rsidRPr="00B748E8" w:rsidRDefault="00B748E8" w:rsidP="00D444E8"/>
    <w:p w14:paraId="1717837F" w14:textId="77777777" w:rsidR="00D14888" w:rsidRDefault="00D444E8" w:rsidP="00DC03AC">
      <w:pPr>
        <w:pStyle w:val="Heading2"/>
      </w:pPr>
      <w:r w:rsidRPr="008C5FC3">
        <w:rPr>
          <w:noProof/>
        </w:rPr>
        <w:drawing>
          <wp:inline distT="0" distB="0" distL="0" distR="0" wp14:anchorId="67FD8775" wp14:editId="044280C1">
            <wp:extent cx="4375150" cy="539432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75150" cy="539432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blipFill dpi="0" rotWithShape="0">
                            <a:blip/>
                            <a:srcRect/>
                            <a:stretch>
                              <a:fillRect/>
                            </a:stretch>
                          </a:blip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FFFFFF"/>
                          </a:solidFill>
                          <a:round/>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000000">
                                <a:alpha val="74998"/>
                              </a:srgbClr>
                            </a:outerShdw>
                          </a:effectLst>
                        </a14:hiddenEffects>
                      </a:ext>
                    </a:extLst>
                  </pic:spPr>
                </pic:pic>
              </a:graphicData>
            </a:graphic>
          </wp:inline>
        </w:drawing>
      </w:r>
    </w:p>
    <w:p w14:paraId="7C1C6D0F" w14:textId="5250103C" w:rsidR="001B1282" w:rsidRDefault="00D14888" w:rsidP="001B1282">
      <w:pPr>
        <w:pStyle w:val="Heading2"/>
        <w:rPr>
          <w:b w:val="0"/>
          <w:sz w:val="24"/>
          <w:szCs w:val="24"/>
        </w:rPr>
      </w:pPr>
      <w:r>
        <w:rPr>
          <w:sz w:val="24"/>
          <w:szCs w:val="24"/>
        </w:rPr>
        <w:t>Figure 6.</w:t>
      </w:r>
      <w:r w:rsidR="001B1282">
        <w:rPr>
          <w:sz w:val="24"/>
          <w:szCs w:val="24"/>
        </w:rPr>
        <w:t xml:space="preserve">8 </w:t>
      </w:r>
      <w:r w:rsidRPr="00D14888">
        <w:rPr>
          <w:b w:val="0"/>
          <w:sz w:val="24"/>
          <w:szCs w:val="24"/>
        </w:rPr>
        <w:t>Decision</w:t>
      </w:r>
      <w:r>
        <w:rPr>
          <w:b w:val="0"/>
          <w:sz w:val="24"/>
          <w:szCs w:val="24"/>
        </w:rPr>
        <w:t xml:space="preserve"> curves for NICE-Framingham equation, QRISK2-2008, and QRISK2-2011 in predicting 10-year risk of cardiovascular events in participants aged 34-75 years in </w:t>
      </w:r>
      <w:r w:rsidR="00547972">
        <w:rPr>
          <w:b w:val="0"/>
          <w:sz w:val="24"/>
          <w:szCs w:val="24"/>
        </w:rPr>
        <w:t xml:space="preserve">an independent UK cohort of </w:t>
      </w:r>
      <w:r w:rsidR="00C4431D">
        <w:rPr>
          <w:b w:val="0"/>
          <w:sz w:val="24"/>
          <w:szCs w:val="24"/>
        </w:rPr>
        <w:t>subject</w:t>
      </w:r>
      <w:r w:rsidR="00547972">
        <w:rPr>
          <w:b w:val="0"/>
          <w:sz w:val="24"/>
          <w:szCs w:val="24"/>
        </w:rPr>
        <w:t>s from general practice.</w:t>
      </w:r>
      <w:r>
        <w:rPr>
          <w:b w:val="0"/>
          <w:sz w:val="24"/>
          <w:szCs w:val="24"/>
        </w:rPr>
        <w:tab/>
      </w:r>
      <w:r w:rsidR="00547972">
        <w:rPr>
          <w:b w:val="0"/>
          <w:sz w:val="24"/>
          <w:szCs w:val="24"/>
        </w:rPr>
        <w:t xml:space="preserve">QRISK2-2011 is a refinement of QRISK2-2008 with a richer characterization of smoking status. </w:t>
      </w:r>
      <w:r w:rsidR="00547972" w:rsidRPr="00547972">
        <w:rPr>
          <w:b w:val="0"/>
          <w:sz w:val="24"/>
          <w:szCs w:val="24"/>
        </w:rPr>
        <w:fldChar w:fldCharType="begin"/>
      </w:r>
      <w:r w:rsidR="007A2979">
        <w:rPr>
          <w:b w:val="0"/>
          <w:sz w:val="24"/>
          <w:szCs w:val="24"/>
        </w:rPr>
        <w:instrText xml:space="preserve"> ADDIN EN.CITE &lt;EndNote&gt;&lt;Cite&gt;&lt;Author&gt;Collins&lt;/Author&gt;&lt;Year&gt;2012&lt;/Year&gt;&lt;RecNum&gt;1452&lt;/RecNum&gt;&lt;DisplayText&gt;[4]&lt;/DisplayText&gt;&lt;record&gt;&lt;rec-number&gt;1452&lt;/rec-number&gt;&lt;foreign-keys&gt;&lt;key app="EN" db-id="0ftvff9p80fp5few5s05f5fw9rd9fefrdzer" timestamp="1507767010"&gt;1452&lt;/key&gt;&lt;/foreign-keys&gt;&lt;ref-type name="Journal Article"&gt;17&lt;/ref-type&gt;&lt;contributors&gt;&lt;authors&gt;&lt;author&gt;Collins, G. S.&lt;/author&gt;&lt;author&gt;Altman, D. G.&lt;/author&gt;&lt;/authors&gt;&lt;/contributors&gt;&lt;auth-address&gt;Centre for Statistics in Medicine, Wolfson College Annexe, University of Oxford, Oxford OX2 6UD, UK. gary.collins@csm.ox.ac.uk&lt;/auth-address&gt;&lt;titles&gt;&lt;title&gt;Predicting the 10 year risk of cardiovascular disease in the United Kingdom: independent and external validation of an updated version of QRISK2&lt;/title&gt;&lt;secondary-title&gt;BMJ&lt;/secondary-title&gt;&lt;/titles&gt;&lt;periodical&gt;&lt;full-title&gt;BMJ&lt;/full-title&gt;&lt;/periodical&gt;&lt;pages&gt;e4181&lt;/pages&gt;&lt;volume&gt;344&lt;/volume&gt;&lt;keywords&gt;&lt;keyword&gt;Adult&lt;/keyword&gt;&lt;keyword&gt;Aged&lt;/keyword&gt;&lt;keyword&gt;Aged, 80 and over&lt;/keyword&gt;&lt;keyword&gt;Cardiovascular Diseases/*epidemiology&lt;/keyword&gt;&lt;keyword&gt;Female&lt;/keyword&gt;&lt;keyword&gt;Forecasting/methods&lt;/keyword&gt;&lt;keyword&gt;Humans&lt;/keyword&gt;&lt;keyword&gt;Male&lt;/keyword&gt;&lt;keyword&gt;Middle Aged&lt;/keyword&gt;&lt;keyword&gt;Prospective Studies&lt;/keyword&gt;&lt;keyword&gt;*Risk Assessment/standards&lt;/keyword&gt;&lt;keyword&gt;Risk Factors&lt;/keyword&gt;&lt;keyword&gt;United Kingdom/epidemiology&lt;/keyword&gt;&lt;/keywords&gt;&lt;dates&gt;&lt;year&gt;2012&lt;/year&gt;&lt;pub-dates&gt;&lt;date&gt;Jun 21&lt;/date&gt;&lt;/pub-dates&gt;&lt;/dates&gt;&lt;isbn&gt;1756-1833 (Electronic)&amp;#xD;0959-535X (Linking)&lt;/isbn&gt;&lt;accession-num&gt;22723603&lt;/accession-num&gt;&lt;urls&gt;&lt;related-urls&gt;&lt;url&gt;https://www.ncbi.nlm.nih.gov/pubmed/22723603&lt;/url&gt;&lt;/related-urls&gt;&lt;/urls&gt;&lt;custom2&gt;PMC3380799&lt;/custom2&gt;&lt;electronic-resource-num&gt;10.1136/bmj.e4181&lt;/electronic-resource-num&gt;&lt;/record&gt;&lt;/Cite&gt;&lt;/EndNote&gt;</w:instrText>
      </w:r>
      <w:r w:rsidR="00547972" w:rsidRPr="00547972">
        <w:rPr>
          <w:b w:val="0"/>
          <w:sz w:val="24"/>
          <w:szCs w:val="24"/>
        </w:rPr>
        <w:fldChar w:fldCharType="separate"/>
      </w:r>
      <w:r w:rsidR="007A2979">
        <w:rPr>
          <w:b w:val="0"/>
          <w:noProof/>
          <w:sz w:val="24"/>
          <w:szCs w:val="24"/>
        </w:rPr>
        <w:t>[4]</w:t>
      </w:r>
      <w:r w:rsidR="00547972" w:rsidRPr="00547972">
        <w:rPr>
          <w:b w:val="0"/>
          <w:sz w:val="24"/>
          <w:szCs w:val="24"/>
        </w:rPr>
        <w:fldChar w:fldCharType="end"/>
      </w:r>
      <w:r w:rsidR="00547972" w:rsidRPr="00547972">
        <w:rPr>
          <w:b w:val="0"/>
          <w:sz w:val="24"/>
          <w:szCs w:val="24"/>
        </w:rPr>
        <w:t xml:space="preserve"> </w:t>
      </w:r>
      <w:r w:rsidR="00CA63F0">
        <w:rPr>
          <w:b w:val="0"/>
          <w:sz w:val="24"/>
          <w:szCs w:val="24"/>
        </w:rPr>
        <w:t>Used with permission.</w:t>
      </w:r>
    </w:p>
    <w:p w14:paraId="744A569F" w14:textId="77777777" w:rsidR="00D00336" w:rsidRDefault="00547972" w:rsidP="00DC03AC">
      <w:pPr>
        <w:pStyle w:val="Heading2"/>
        <w:rPr>
          <w:b w:val="0"/>
          <w:sz w:val="24"/>
          <w:szCs w:val="24"/>
        </w:rPr>
      </w:pPr>
      <w:r w:rsidRPr="009D66F6">
        <w:rPr>
          <w:b w:val="0"/>
          <w:sz w:val="24"/>
          <w:szCs w:val="24"/>
        </w:rPr>
        <w:t xml:space="preserve">The Y-axis on these curves is net benefit, not standardized net benefit. </w:t>
      </w:r>
      <w:r w:rsidR="00A92B6A">
        <w:rPr>
          <w:b w:val="0"/>
          <w:sz w:val="24"/>
          <w:szCs w:val="24"/>
        </w:rPr>
        <w:t xml:space="preserve"> Therefore, even when C=0</w:t>
      </w:r>
      <w:r w:rsidR="00182BF7">
        <w:rPr>
          <w:b w:val="0"/>
          <w:sz w:val="24"/>
          <w:szCs w:val="24"/>
        </w:rPr>
        <w:t>,</w:t>
      </w:r>
      <w:r w:rsidR="00A92B6A">
        <w:rPr>
          <w:b w:val="0"/>
          <w:sz w:val="24"/>
          <w:szCs w:val="24"/>
        </w:rPr>
        <w:t xml:space="preserve"> the best </w:t>
      </w:r>
      <w:r w:rsidR="00A07AE8">
        <w:rPr>
          <w:b w:val="0"/>
          <w:sz w:val="24"/>
          <w:szCs w:val="24"/>
        </w:rPr>
        <w:t>y</w:t>
      </w:r>
      <w:r w:rsidR="00A92B6A">
        <w:rPr>
          <w:b w:val="0"/>
          <w:sz w:val="24"/>
          <w:szCs w:val="24"/>
        </w:rPr>
        <w:t xml:space="preserve">ou can do by treating all is P. </w:t>
      </w:r>
      <w:r w:rsidRPr="009D66F6">
        <w:rPr>
          <w:b w:val="0"/>
          <w:sz w:val="24"/>
          <w:szCs w:val="24"/>
        </w:rPr>
        <w:t xml:space="preserve"> </w:t>
      </w:r>
      <w:r w:rsidR="002E412F" w:rsidRPr="009D66F6">
        <w:rPr>
          <w:b w:val="0"/>
          <w:sz w:val="24"/>
          <w:szCs w:val="24"/>
        </w:rPr>
        <w:t xml:space="preserve">In the legend, the “Treat All” curve is labeled “Strategy with all at high risk”.  </w:t>
      </w:r>
      <w:r w:rsidR="002C3804" w:rsidRPr="009D66F6">
        <w:rPr>
          <w:b w:val="0"/>
          <w:sz w:val="24"/>
          <w:szCs w:val="24"/>
        </w:rPr>
        <w:t xml:space="preserve">Based on where the “Treat All” curves cross the X-axis, </w:t>
      </w:r>
      <w:r w:rsidRPr="009D66F6">
        <w:rPr>
          <w:b w:val="0"/>
          <w:sz w:val="24"/>
          <w:szCs w:val="24"/>
        </w:rPr>
        <w:t xml:space="preserve">the proportion of women with a cardiovascular event </w:t>
      </w:r>
      <w:r w:rsidR="002E412F" w:rsidRPr="009D66F6">
        <w:rPr>
          <w:b w:val="0"/>
          <w:sz w:val="24"/>
          <w:szCs w:val="24"/>
        </w:rPr>
        <w:t xml:space="preserve">at 10 years </w:t>
      </w:r>
      <w:r w:rsidRPr="009D66F6">
        <w:rPr>
          <w:b w:val="0"/>
          <w:sz w:val="24"/>
          <w:szCs w:val="24"/>
        </w:rPr>
        <w:t xml:space="preserve">was about </w:t>
      </w:r>
      <w:r w:rsidR="007222DE" w:rsidRPr="009D66F6">
        <w:rPr>
          <w:b w:val="0"/>
          <w:sz w:val="24"/>
          <w:szCs w:val="24"/>
        </w:rPr>
        <w:t xml:space="preserve">6%, while the proportion </w:t>
      </w:r>
      <w:r w:rsidR="007222DE" w:rsidRPr="009D66F6">
        <w:rPr>
          <w:b w:val="0"/>
          <w:sz w:val="24"/>
          <w:szCs w:val="24"/>
        </w:rPr>
        <w:lastRenderedPageBreak/>
        <w:t>of men was about 9%.</w:t>
      </w:r>
      <w:r w:rsidR="007222DE" w:rsidRPr="009D66F6">
        <w:rPr>
          <w:rStyle w:val="FootnoteReference"/>
          <w:b w:val="0"/>
          <w:sz w:val="24"/>
          <w:szCs w:val="24"/>
        </w:rPr>
        <w:footnoteReference w:id="8"/>
      </w:r>
      <w:r w:rsidR="002E412F" w:rsidRPr="009D66F6">
        <w:rPr>
          <w:b w:val="0"/>
          <w:sz w:val="24"/>
          <w:szCs w:val="24"/>
        </w:rPr>
        <w:t xml:space="preserve">  </w:t>
      </w:r>
      <w:r w:rsidR="00843AD3" w:rsidRPr="009D66F6">
        <w:rPr>
          <w:b w:val="0"/>
          <w:sz w:val="24"/>
          <w:szCs w:val="24"/>
        </w:rPr>
        <w:t xml:space="preserve">We can also see that the NICE-Framingham equation over-estimates risk because at </w:t>
      </w:r>
      <w:r w:rsidR="00D00336">
        <w:rPr>
          <w:b w:val="0"/>
          <w:sz w:val="24"/>
          <w:szCs w:val="24"/>
        </w:rPr>
        <w:t xml:space="preserve">high </w:t>
      </w:r>
      <w:r w:rsidR="00D00336" w:rsidRPr="009D66F6">
        <w:rPr>
          <w:b w:val="0"/>
          <w:sz w:val="24"/>
          <w:szCs w:val="24"/>
        </w:rPr>
        <w:t>risk</w:t>
      </w:r>
      <w:r w:rsidR="00843AD3" w:rsidRPr="009D66F6">
        <w:rPr>
          <w:b w:val="0"/>
          <w:sz w:val="24"/>
          <w:szCs w:val="24"/>
        </w:rPr>
        <w:t xml:space="preserve"> thresholds it has negative net benefit, i.e. it would lead to over-treatment.  Both models would increase net benefit at a risk threshold greater than about 4% by identifying low-risk individuals for whom </w:t>
      </w:r>
      <w:r w:rsidR="00D00336">
        <w:rPr>
          <w:b w:val="0"/>
          <w:sz w:val="24"/>
          <w:szCs w:val="24"/>
        </w:rPr>
        <w:t>the costs and risks of treatment outweigh the benefits.</w:t>
      </w:r>
    </w:p>
    <w:p w14:paraId="62E9F81D" w14:textId="77777777" w:rsidR="007D5B46" w:rsidRDefault="00D00336" w:rsidP="00DC03AC">
      <w:pPr>
        <w:pStyle w:val="Heading2"/>
        <w:rPr>
          <w:sz w:val="24"/>
          <w:szCs w:val="24"/>
        </w:rPr>
      </w:pPr>
      <w:r>
        <w:rPr>
          <w:sz w:val="24"/>
          <w:szCs w:val="24"/>
        </w:rPr>
        <w:t>End Box 6.3</w:t>
      </w:r>
    </w:p>
    <w:p w14:paraId="44E04F2B" w14:textId="2E7B6042" w:rsidR="00D72219" w:rsidRPr="00F37640" w:rsidRDefault="00404788" w:rsidP="00DC03AC">
      <w:pPr>
        <w:pStyle w:val="Heading2"/>
        <w:rPr>
          <w:i/>
          <w:sz w:val="24"/>
          <w:szCs w:val="24"/>
        </w:rPr>
      </w:pPr>
      <w:r>
        <w:rPr>
          <w:i/>
          <w:sz w:val="24"/>
          <w:szCs w:val="24"/>
        </w:rPr>
        <w:t>End of asterisked section.</w:t>
      </w:r>
    </w:p>
    <w:p w14:paraId="6C4A0E45" w14:textId="77777777" w:rsidR="002C4C39" w:rsidRPr="0047626D" w:rsidRDefault="00DD228E" w:rsidP="00DC03AC">
      <w:pPr>
        <w:pStyle w:val="Heading2"/>
        <w:rPr>
          <w:sz w:val="36"/>
          <w:szCs w:val="36"/>
        </w:rPr>
      </w:pPr>
      <w:r w:rsidRPr="0047626D">
        <w:rPr>
          <w:sz w:val="36"/>
          <w:szCs w:val="36"/>
        </w:rPr>
        <w:t xml:space="preserve">Critical appraisal of studies of </w:t>
      </w:r>
      <w:r w:rsidR="00D04AB7">
        <w:rPr>
          <w:sz w:val="36"/>
          <w:szCs w:val="36"/>
        </w:rPr>
        <w:t>prediction</w:t>
      </w:r>
    </w:p>
    <w:p w14:paraId="70124B40" w14:textId="77777777" w:rsidR="002C4C39" w:rsidRPr="00046434" w:rsidRDefault="0027643A" w:rsidP="008C327B">
      <w:r>
        <w:t xml:space="preserve">We have seen that the prototypical study of a </w:t>
      </w:r>
      <w:r w:rsidR="00D04AB7">
        <w:t xml:space="preserve">predictive </w:t>
      </w:r>
      <w:r>
        <w:t>test or risk model is a cohort study</w:t>
      </w:r>
      <w:r w:rsidR="00AE69D7">
        <w:t>.  T</w:t>
      </w:r>
      <w:r>
        <w:t xml:space="preserve">he risk predictions </w:t>
      </w:r>
      <w:r w:rsidR="00AE69D7">
        <w:t xml:space="preserve">should be </w:t>
      </w:r>
      <w:r>
        <w:t>based on information that was available at inception</w:t>
      </w:r>
      <w:r w:rsidR="00AE69D7">
        <w:t>, and s</w:t>
      </w:r>
      <w:r w:rsidR="00912BFB">
        <w:t xml:space="preserve">ubjects </w:t>
      </w:r>
      <w:r w:rsidR="00AE69D7">
        <w:t xml:space="preserve">should be </w:t>
      </w:r>
      <w:r w:rsidR="00912BFB">
        <w:t xml:space="preserve">treated similarly and </w:t>
      </w:r>
      <w:r>
        <w:t xml:space="preserve">followed for occurrence of the outcome. We now highlight </w:t>
      </w:r>
      <w:r w:rsidR="00DD228E" w:rsidRPr="00046434">
        <w:t xml:space="preserve">several issues that arise </w:t>
      </w:r>
      <w:proofErr w:type="gramStart"/>
      <w:r w:rsidR="00DD228E" w:rsidRPr="00046434">
        <w:t>commonly in</w:t>
      </w:r>
      <w:proofErr w:type="gramEnd"/>
      <w:r w:rsidR="00DD228E" w:rsidRPr="00046434">
        <w:t xml:space="preserve"> evaluating studies of </w:t>
      </w:r>
      <w:r w:rsidR="00D04AB7">
        <w:t>prediction</w:t>
      </w:r>
      <w:r w:rsidR="00DD228E" w:rsidRPr="00046434">
        <w:t>.</w:t>
      </w:r>
    </w:p>
    <w:p w14:paraId="08DDBC88" w14:textId="77777777" w:rsidR="00F14E11" w:rsidRPr="00046434" w:rsidRDefault="00F14E11" w:rsidP="00AA465C"/>
    <w:p w14:paraId="3D965EA2" w14:textId="77777777" w:rsidR="002C4C39" w:rsidRPr="00046434" w:rsidRDefault="00DD228E" w:rsidP="00766FB5">
      <w:pPr>
        <w:pStyle w:val="Heading4"/>
      </w:pPr>
      <w:r w:rsidRPr="00046434">
        <w:t>Effects of treatment</w:t>
      </w:r>
    </w:p>
    <w:p w14:paraId="4CB953A7" w14:textId="4F7AC788" w:rsidR="002C4C39" w:rsidRPr="00046434" w:rsidRDefault="00DD228E" w:rsidP="00DC03AC">
      <w:pPr>
        <w:pStyle w:val="NormalWeb"/>
      </w:pPr>
      <w:r w:rsidRPr="00046434">
        <w:t xml:space="preserve">If the </w:t>
      </w:r>
      <w:r w:rsidR="008B79C8">
        <w:t>outcome</w:t>
      </w:r>
      <w:r w:rsidR="008B79C8" w:rsidRPr="00046434">
        <w:t xml:space="preserve"> </w:t>
      </w:r>
      <w:r w:rsidRPr="00046434">
        <w:t xml:space="preserve">being </w:t>
      </w:r>
      <w:r w:rsidR="008B79C8">
        <w:t>predicted</w:t>
      </w:r>
      <w:r w:rsidR="008B79C8" w:rsidRPr="00046434">
        <w:t xml:space="preserve"> </w:t>
      </w:r>
      <w:r w:rsidRPr="00046434">
        <w:t xml:space="preserve">is </w:t>
      </w:r>
      <w:r w:rsidR="008B79C8">
        <w:t>preventable</w:t>
      </w:r>
      <w:r w:rsidRPr="00046434">
        <w:t xml:space="preserve">, then its </w:t>
      </w:r>
      <w:r w:rsidR="008B79C8">
        <w:t>likelihood</w:t>
      </w:r>
      <w:r w:rsidR="008B79C8" w:rsidRPr="00046434">
        <w:t xml:space="preserve"> </w:t>
      </w:r>
      <w:r w:rsidRPr="00046434">
        <w:t>will be affected</w:t>
      </w:r>
      <w:r w:rsidR="00C42D8F">
        <w:t xml:space="preserve"> by </w:t>
      </w:r>
      <w:r w:rsidRPr="00046434">
        <w:t>treat</w:t>
      </w:r>
      <w:r w:rsidR="00C42D8F">
        <w:t xml:space="preserve">ment.  </w:t>
      </w:r>
      <w:r w:rsidR="00F14E11">
        <w:t xml:space="preserve">If </w:t>
      </w:r>
      <w:r w:rsidR="00C4431D">
        <w:t>subject</w:t>
      </w:r>
      <w:r w:rsidR="00F14E11">
        <w:t xml:space="preserve">s at highest risk receive more aggressive treatment and the treatment is effective, the discrimination of the risk model is </w:t>
      </w:r>
      <w:proofErr w:type="gramStart"/>
      <w:r w:rsidR="00F14E11">
        <w:t>attenuated</w:t>
      </w:r>
      <w:proofErr w:type="gramEnd"/>
      <w:r w:rsidR="00F14E11">
        <w:t xml:space="preserve"> and the </w:t>
      </w:r>
      <w:r w:rsidR="00D04AB7">
        <w:t>predicted risks</w:t>
      </w:r>
      <w:r w:rsidR="00F14E11">
        <w:t xml:space="preserve"> may be too high.  There is also the possibility of a self-fulfilling prophecy.  </w:t>
      </w:r>
      <w:r w:rsidRPr="00046434">
        <w:t xml:space="preserve">A study of prognostic factors in elderly ICU </w:t>
      </w:r>
      <w:r w:rsidR="00C4431D">
        <w:t>subject</w:t>
      </w:r>
      <w:r w:rsidRPr="00046434">
        <w:t xml:space="preserve">s would likely </w:t>
      </w:r>
      <w:r w:rsidR="00831DE8" w:rsidRPr="00046434">
        <w:t>fi</w:t>
      </w:r>
      <w:r w:rsidRPr="00046434">
        <w:t>nd associations with mortality either for factors that really do predict mortality or for factors that treating physicians strongly believe predict mortality, because having many of the latter factors may lead to withdrawal of life support.</w:t>
      </w:r>
    </w:p>
    <w:p w14:paraId="7CCB0F99" w14:textId="77777777" w:rsidR="002C4C39" w:rsidRDefault="00DD228E" w:rsidP="00766FB5">
      <w:pPr>
        <w:pStyle w:val="Heading4"/>
      </w:pPr>
      <w:r w:rsidRPr="00046434">
        <w:t>Loss to follow-up</w:t>
      </w:r>
    </w:p>
    <w:p w14:paraId="152249EF" w14:textId="75B3E255" w:rsidR="002C4C39" w:rsidRPr="00046434" w:rsidRDefault="00C4431D" w:rsidP="00DC03AC">
      <w:pPr>
        <w:pStyle w:val="NormalWeb"/>
      </w:pPr>
      <w:r>
        <w:t>Subject</w:t>
      </w:r>
      <w:r w:rsidR="00DD228E" w:rsidRPr="00046434">
        <w:t xml:space="preserve">s lost to follow-up add uncertainty to estimates of </w:t>
      </w:r>
      <w:r w:rsidR="005313CE">
        <w:t>predictive accuracy</w:t>
      </w:r>
      <w:r w:rsidR="00DD228E" w:rsidRPr="00046434">
        <w:t xml:space="preserve">. This is a particular problem if there is reason to believe </w:t>
      </w:r>
      <w:r w:rsidR="00CA63F0">
        <w:t>they differ in important ways</w:t>
      </w:r>
      <w:r w:rsidR="00DD228E" w:rsidRPr="00046434">
        <w:t xml:space="preserve"> from </w:t>
      </w:r>
      <w:r>
        <w:t>subject</w:t>
      </w:r>
      <w:r w:rsidR="00D17BBD">
        <w:t xml:space="preserve">s with complete follow-up.  </w:t>
      </w:r>
      <w:r w:rsidR="00DD228E" w:rsidRPr="00046434">
        <w:t xml:space="preserve">One way to get some limits on the degree to which subjects lost to follow-up could affect the study results is to recalculate the proportion with the outcome (e.g., </w:t>
      </w:r>
      <w:r w:rsidR="005313CE">
        <w:t>death</w:t>
      </w:r>
      <w:r w:rsidR="00DD228E" w:rsidRPr="00046434">
        <w:t xml:space="preserve">) </w:t>
      </w:r>
      <w:r w:rsidR="00831DE8" w:rsidRPr="00046434">
        <w:t>fi</w:t>
      </w:r>
      <w:r w:rsidR="00DD228E" w:rsidRPr="00046434">
        <w:t xml:space="preserve">rst assuming that all those missing had the outcome and then assuming none did. For example, consider a follow-up study of 200 </w:t>
      </w:r>
      <w:r>
        <w:t>subject</w:t>
      </w:r>
      <w:r w:rsidR="00DD228E" w:rsidRPr="00046434">
        <w:t xml:space="preserve">s, of whom </w:t>
      </w:r>
      <w:r w:rsidR="005313CE" w:rsidRPr="00046434">
        <w:t xml:space="preserve">60 died, </w:t>
      </w:r>
      <w:r w:rsidR="00DD228E" w:rsidRPr="00046434">
        <w:t xml:space="preserve">120 survived, and 20 could not be accounted for at 5 years. If the subjects lost to follow-up are simply not counted, </w:t>
      </w:r>
      <w:r w:rsidR="005313CE">
        <w:t>mortality</w:t>
      </w:r>
      <w:r w:rsidR="005313CE" w:rsidRPr="00046434">
        <w:t xml:space="preserve"> </w:t>
      </w:r>
      <w:r w:rsidR="00DD228E" w:rsidRPr="00046434">
        <w:t xml:space="preserve">would be </w:t>
      </w:r>
      <w:r w:rsidR="005313CE">
        <w:t>60</w:t>
      </w:r>
      <w:r w:rsidR="00DD228E" w:rsidRPr="00046434">
        <w:t xml:space="preserve">/180 = </w:t>
      </w:r>
      <w:r w:rsidR="005313CE">
        <w:t>33</w:t>
      </w:r>
      <w:r w:rsidR="00DD228E" w:rsidRPr="00046434">
        <w:t xml:space="preserve">%. If all 20 </w:t>
      </w:r>
      <w:r>
        <w:t>subject</w:t>
      </w:r>
      <w:r w:rsidR="00DD228E" w:rsidRPr="00046434">
        <w:t xml:space="preserve">s lost to follow-up are assumed to have died, the observed </w:t>
      </w:r>
      <w:r w:rsidR="005313CE">
        <w:t xml:space="preserve">mortality </w:t>
      </w:r>
      <w:r w:rsidR="00DD228E" w:rsidRPr="00046434">
        <w:t xml:space="preserve">would be </w:t>
      </w:r>
      <w:r w:rsidR="005313CE">
        <w:t>80</w:t>
      </w:r>
      <w:r w:rsidR="00DD228E" w:rsidRPr="00046434">
        <w:t xml:space="preserve">/200 = </w:t>
      </w:r>
      <w:r w:rsidR="005313CE">
        <w:t>4</w:t>
      </w:r>
      <w:r w:rsidR="00DD228E" w:rsidRPr="00046434">
        <w:t xml:space="preserve">0%, and if none had died, it would be </w:t>
      </w:r>
      <w:r w:rsidR="005313CE">
        <w:t>60</w:t>
      </w:r>
      <w:r w:rsidR="00DD228E" w:rsidRPr="00046434">
        <w:t xml:space="preserve">/200 = </w:t>
      </w:r>
      <w:r w:rsidR="005313CE">
        <w:t>3</w:t>
      </w:r>
      <w:r w:rsidR="005313CE" w:rsidRPr="00046434">
        <w:t>0</w:t>
      </w:r>
      <w:r w:rsidR="00DD228E" w:rsidRPr="00046434">
        <w:t xml:space="preserve">%. Thus, the largest effect of loss-to-follow-up in this example would be to </w:t>
      </w:r>
      <w:r w:rsidR="00F90EAF">
        <w:t>de</w:t>
      </w:r>
      <w:r w:rsidR="00DD228E" w:rsidRPr="00046434">
        <w:t xml:space="preserve">crease apparent </w:t>
      </w:r>
      <w:r w:rsidR="005313CE">
        <w:t>mortality</w:t>
      </w:r>
      <w:r w:rsidR="005313CE" w:rsidRPr="00046434">
        <w:t xml:space="preserve"> </w:t>
      </w:r>
      <w:r w:rsidR="00DD228E" w:rsidRPr="00046434">
        <w:t xml:space="preserve">from </w:t>
      </w:r>
      <w:r w:rsidR="00F90EAF">
        <w:t>40</w:t>
      </w:r>
      <w:r w:rsidR="00DD228E" w:rsidRPr="00046434">
        <w:t xml:space="preserve">% to </w:t>
      </w:r>
      <w:r w:rsidR="00F90EAF">
        <w:t>33</w:t>
      </w:r>
      <w:r w:rsidR="00DD228E" w:rsidRPr="00046434">
        <w:t xml:space="preserve">% or </w:t>
      </w:r>
      <w:r w:rsidR="00F90EAF">
        <w:t>in</w:t>
      </w:r>
      <w:r w:rsidR="00DD228E" w:rsidRPr="00046434">
        <w:t xml:space="preserve">crease it from </w:t>
      </w:r>
      <w:r w:rsidR="00F90EAF">
        <w:t>30</w:t>
      </w:r>
      <w:r w:rsidR="00DD228E" w:rsidRPr="00046434">
        <w:t xml:space="preserve">% to </w:t>
      </w:r>
      <w:r w:rsidR="005313CE">
        <w:t>3</w:t>
      </w:r>
      <w:r w:rsidR="00F90EAF">
        <w:t>3</w:t>
      </w:r>
      <w:r w:rsidR="00DD228E" w:rsidRPr="00046434">
        <w:t xml:space="preserve">%. If this very conservative approach still yields useful </w:t>
      </w:r>
      <w:r w:rsidR="005313CE">
        <w:t>predictive</w:t>
      </w:r>
      <w:r w:rsidR="005313CE" w:rsidRPr="00046434">
        <w:t xml:space="preserve"> </w:t>
      </w:r>
      <w:r w:rsidR="00DD228E" w:rsidRPr="00046434">
        <w:t xml:space="preserve">information, you are on </w:t>
      </w:r>
      <w:r w:rsidR="00831DE8" w:rsidRPr="00046434">
        <w:t>fi</w:t>
      </w:r>
      <w:r w:rsidR="00DD228E" w:rsidRPr="00046434">
        <w:t>rm ground. A less conservative approach would be to assign the missing subjects the lowest and highest plausible event rates (rather than the rates of 0% and 100% used above).</w:t>
      </w:r>
      <w:r w:rsidR="002113EE">
        <w:t xml:space="preserve">  </w:t>
      </w:r>
      <w:r w:rsidR="002113EE">
        <w:t xml:space="preserve">For more on the sensitivity of study results to incomplete follow-up, see Chapter </w:t>
      </w:r>
      <w:r w:rsidR="002113EE">
        <w:t>8</w:t>
      </w:r>
      <w:r w:rsidR="002113EE">
        <w:t>.</w:t>
      </w:r>
    </w:p>
    <w:p w14:paraId="5F7B1849" w14:textId="77777777" w:rsidR="002C4C39" w:rsidRPr="00046434" w:rsidRDefault="00DD228E" w:rsidP="00766FB5">
      <w:pPr>
        <w:pStyle w:val="Heading4"/>
      </w:pPr>
      <w:r w:rsidRPr="00046434">
        <w:lastRenderedPageBreak/>
        <w:t>Overfitting</w:t>
      </w:r>
    </w:p>
    <w:p w14:paraId="105F86C8" w14:textId="01FAFAB1" w:rsidR="002B490B" w:rsidRDefault="005317EC" w:rsidP="004C0F4D">
      <w:pPr>
        <w:pStyle w:val="NormalWeb"/>
      </w:pPr>
      <w:r>
        <w:t xml:space="preserve">With the exception of the clinical prediction model for </w:t>
      </w:r>
      <w:r w:rsidR="00C4431D">
        <w:t>subject</w:t>
      </w:r>
      <w:r>
        <w:t xml:space="preserve">s with low back pain discussed in Box 6.1, all the examples in this chapter have been about evaluating risk models in samples separate from the ones in which they were developed.  </w:t>
      </w:r>
      <w:r w:rsidR="00311C4C">
        <w:t xml:space="preserve">In the next chapter, we will discuss developing a risk model in </w:t>
      </w:r>
      <w:r w:rsidR="00622BC8">
        <w:t>a</w:t>
      </w:r>
      <w:r w:rsidR="00311C4C">
        <w:t xml:space="preserve"> derivation sample and testing it in </w:t>
      </w:r>
      <w:r w:rsidR="00622BC8">
        <w:t xml:space="preserve">a </w:t>
      </w:r>
      <w:r w:rsidR="00311C4C">
        <w:t xml:space="preserve">validation sample. Testing a model in the sample in which it was developed overestimates performance even more severely than recalibrating prior to evaluation. If </w:t>
      </w:r>
      <w:r w:rsidR="00DD228E" w:rsidRPr="00046434">
        <w:t xml:space="preserve">you look at enough variables, you are bound to </w:t>
      </w:r>
      <w:r w:rsidR="00831DE8" w:rsidRPr="00046434">
        <w:t>fi</w:t>
      </w:r>
      <w:r w:rsidR="00DD228E" w:rsidRPr="00046434">
        <w:t>nd some combination that is associated with adverse outcome</w:t>
      </w:r>
      <w:r w:rsidR="00311C4C">
        <w:t>s</w:t>
      </w:r>
      <w:r w:rsidR="00DD228E" w:rsidRPr="00046434">
        <w:t xml:space="preserve"> in one particular sample. </w:t>
      </w:r>
      <w:r>
        <w:t xml:space="preserve">You can also find the best weighting scheme for the variables and </w:t>
      </w:r>
      <w:r w:rsidR="00DD228E" w:rsidRPr="00046434">
        <w:t>select the cut-off</w:t>
      </w:r>
      <w:r>
        <w:t>s</w:t>
      </w:r>
      <w:r w:rsidR="00DD228E" w:rsidRPr="00046434">
        <w:t xml:space="preserve"> that </w:t>
      </w:r>
      <w:r>
        <w:t xml:space="preserve">best separate those who develop the outcome from those who don’t.  </w:t>
      </w:r>
      <w:r w:rsidR="00DD228E" w:rsidRPr="00046434">
        <w:t xml:space="preserve">To be convincing, the </w:t>
      </w:r>
      <w:r w:rsidR="00CC0500">
        <w:t>risk</w:t>
      </w:r>
      <w:r w:rsidR="00CC0500" w:rsidRPr="00046434">
        <w:t xml:space="preserve"> </w:t>
      </w:r>
      <w:r w:rsidR="00311C4C">
        <w:t>model</w:t>
      </w:r>
      <w:r w:rsidR="00DD228E" w:rsidRPr="00046434">
        <w:t xml:space="preserve"> </w:t>
      </w:r>
      <w:r w:rsidR="00311C4C">
        <w:t>developed</w:t>
      </w:r>
      <w:r w:rsidR="00311C4C" w:rsidRPr="00046434">
        <w:t xml:space="preserve"> </w:t>
      </w:r>
      <w:r w:rsidR="00DD228E" w:rsidRPr="00046434">
        <w:t>in one study need</w:t>
      </w:r>
      <w:r w:rsidR="00311C4C">
        <w:t>s</w:t>
      </w:r>
      <w:r w:rsidR="00DD228E" w:rsidRPr="00046434">
        <w:t xml:space="preserve"> to be restudied in another dataset, separate from the one </w:t>
      </w:r>
      <w:r w:rsidR="00311C4C">
        <w:t xml:space="preserve">in which it was </w:t>
      </w:r>
      <w:r w:rsidR="00DD228E" w:rsidRPr="00046434">
        <w:t xml:space="preserve">derived, using the same </w:t>
      </w:r>
      <w:r w:rsidR="00311C4C">
        <w:t xml:space="preserve">variable weights and </w:t>
      </w:r>
      <w:r w:rsidR="00DD228E" w:rsidRPr="00046434">
        <w:t>cut-offs to de</w:t>
      </w:r>
      <w:r w:rsidR="00831DE8" w:rsidRPr="00046434">
        <w:t>fi</w:t>
      </w:r>
      <w:r w:rsidR="00DD228E" w:rsidRPr="00046434">
        <w:t>ne abnormal results (</w:t>
      </w:r>
      <w:proofErr w:type="spellStart"/>
      <w:r w:rsidR="00DD228E" w:rsidRPr="00046434">
        <w:t>Hilsenbeck</w:t>
      </w:r>
      <w:proofErr w:type="spellEnd"/>
      <w:r w:rsidR="00DD228E" w:rsidRPr="00046434">
        <w:t xml:space="preserve"> et al. 1992). </w:t>
      </w:r>
    </w:p>
    <w:p w14:paraId="3BC26D77" w14:textId="77777777" w:rsidR="002C4C39" w:rsidRPr="00046434" w:rsidRDefault="00DD228E" w:rsidP="00766FB5">
      <w:pPr>
        <w:pStyle w:val="Heading4"/>
      </w:pPr>
      <w:r w:rsidRPr="00046434">
        <w:t>Publication bias</w:t>
      </w:r>
    </w:p>
    <w:p w14:paraId="2CEE3AA9" w14:textId="693BFD38" w:rsidR="002C4C39" w:rsidRPr="00046434" w:rsidRDefault="00DD228E" w:rsidP="00DC03AC">
      <w:pPr>
        <w:pStyle w:val="NormalWeb"/>
      </w:pPr>
      <w:r w:rsidRPr="00046434">
        <w:t xml:space="preserve">Publication bias occurs when studies that have favorable results are published preferentially over those that do not. Although publication bias is a problem for all types of studies, it may be a particular problem for studies of </w:t>
      </w:r>
      <w:r w:rsidR="00A95F06">
        <w:t>risk markers</w:t>
      </w:r>
      <w:r w:rsidRPr="00046434">
        <w:t xml:space="preserve">. This is fairly understandable – it is hard to get very excited about submitting or reading a paper about factors that are worthless for predicting </w:t>
      </w:r>
      <w:r w:rsidR="00A95F06">
        <w:t>an outcome</w:t>
      </w:r>
      <w:r w:rsidRPr="00046434">
        <w:t xml:space="preserve">. On the other hand, if you look at enough possible </w:t>
      </w:r>
      <w:r w:rsidR="00A95F06">
        <w:t>risk predictors</w:t>
      </w:r>
      <w:r w:rsidRPr="00046434">
        <w:t xml:space="preserve"> in enough different ways, it is easy to </w:t>
      </w:r>
      <w:r w:rsidR="00831DE8" w:rsidRPr="00046434">
        <w:t>fi</w:t>
      </w:r>
      <w:r w:rsidRPr="00046434">
        <w:t xml:space="preserve">nd </w:t>
      </w:r>
      <w:r w:rsidR="00A95F06">
        <w:t>a few that are strongly associated with the outcome.</w:t>
      </w:r>
      <w:r w:rsidRPr="00046434">
        <w:t xml:space="preserve"> These </w:t>
      </w:r>
      <w:r w:rsidR="00A95F06">
        <w:t xml:space="preserve">few predictors </w:t>
      </w:r>
      <w:r w:rsidRPr="00046434">
        <w:t xml:space="preserve">may be mentioned in the abstract of a paper, </w:t>
      </w:r>
      <w:r w:rsidR="00A95F06">
        <w:t xml:space="preserve">so a </w:t>
      </w:r>
      <w:r w:rsidR="00A95F06" w:rsidRPr="00046434">
        <w:t>PubMed</w:t>
      </w:r>
      <w:r w:rsidR="00A95F06">
        <w:t xml:space="preserve"> or Google Scholar search should identify prior studies that mention them.  </w:t>
      </w:r>
      <w:r w:rsidRPr="00046434">
        <w:t xml:space="preserve"> In contrast, all of the possible </w:t>
      </w:r>
      <w:r w:rsidR="00A95F06">
        <w:t>candidate predictors</w:t>
      </w:r>
      <w:r w:rsidRPr="00046434">
        <w:t xml:space="preserve"> that were </w:t>
      </w:r>
      <w:r w:rsidRPr="00046434">
        <w:rPr>
          <w:i/>
        </w:rPr>
        <w:t>not</w:t>
      </w:r>
      <w:r w:rsidRPr="00046434">
        <w:t xml:space="preserve"> associated with outcome in</w:t>
      </w:r>
      <w:r w:rsidR="004A5726" w:rsidRPr="00046434">
        <w:t xml:space="preserve"> </w:t>
      </w:r>
      <w:r w:rsidRPr="00046434">
        <w:t>a</w:t>
      </w:r>
      <w:r w:rsidR="004A5726" w:rsidRPr="00046434">
        <w:t xml:space="preserve"> </w:t>
      </w:r>
      <w:r w:rsidRPr="00046434">
        <w:t>study</w:t>
      </w:r>
      <w:r w:rsidR="004A5726" w:rsidRPr="00046434">
        <w:t xml:space="preserve"> </w:t>
      </w:r>
      <w:r w:rsidRPr="00046434">
        <w:t>will</w:t>
      </w:r>
      <w:r w:rsidR="004A5726" w:rsidRPr="00046434">
        <w:t xml:space="preserve"> </w:t>
      </w:r>
      <w:r w:rsidRPr="00046434">
        <w:t>be</w:t>
      </w:r>
      <w:r w:rsidR="004A5726" w:rsidRPr="00046434">
        <w:t xml:space="preserve"> </w:t>
      </w:r>
      <w:r w:rsidRPr="00046434">
        <w:t>harder</w:t>
      </w:r>
      <w:r w:rsidR="004A5726" w:rsidRPr="00046434">
        <w:t xml:space="preserve"> </w:t>
      </w:r>
      <w:r w:rsidRPr="00046434">
        <w:t>to</w:t>
      </w:r>
      <w:r w:rsidR="004A5726" w:rsidRPr="00046434">
        <w:t xml:space="preserve"> </w:t>
      </w:r>
      <w:r w:rsidR="00831DE8" w:rsidRPr="00046434">
        <w:t>fi</w:t>
      </w:r>
      <w:r w:rsidRPr="00046434">
        <w:t>nd.</w:t>
      </w:r>
      <w:r w:rsidR="004A5726" w:rsidRPr="00046434">
        <w:t xml:space="preserve"> </w:t>
      </w:r>
      <w:r w:rsidRPr="00046434">
        <w:t>They</w:t>
      </w:r>
      <w:r w:rsidR="004A5726" w:rsidRPr="00046434">
        <w:t xml:space="preserve"> </w:t>
      </w:r>
      <w:r w:rsidRPr="00046434">
        <w:t>may</w:t>
      </w:r>
      <w:r w:rsidR="004A5726" w:rsidRPr="00046434">
        <w:t xml:space="preserve"> </w:t>
      </w:r>
      <w:r w:rsidRPr="00046434">
        <w:t>or</w:t>
      </w:r>
      <w:r w:rsidR="004A5726" w:rsidRPr="00046434">
        <w:t xml:space="preserve"> </w:t>
      </w:r>
      <w:r w:rsidRPr="00046434">
        <w:t>may</w:t>
      </w:r>
      <w:r w:rsidR="004A5726" w:rsidRPr="00046434">
        <w:t xml:space="preserve"> </w:t>
      </w:r>
      <w:r w:rsidRPr="00046434">
        <w:t>not</w:t>
      </w:r>
      <w:r w:rsidR="004A5726" w:rsidRPr="00046434">
        <w:t xml:space="preserve"> </w:t>
      </w:r>
      <w:r w:rsidRPr="00046434">
        <w:t>be</w:t>
      </w:r>
      <w:r w:rsidR="004A5726" w:rsidRPr="00046434">
        <w:t xml:space="preserve"> </w:t>
      </w:r>
      <w:r w:rsidRPr="00046434">
        <w:t>listed</w:t>
      </w:r>
      <w:r w:rsidR="004A5726" w:rsidRPr="00046434">
        <w:t xml:space="preserve"> </w:t>
      </w:r>
      <w:r w:rsidRPr="00046434">
        <w:t>in</w:t>
      </w:r>
      <w:r w:rsidR="004A5726" w:rsidRPr="00046434">
        <w:t xml:space="preserve"> </w:t>
      </w:r>
      <w:r w:rsidRPr="00046434">
        <w:t>a</w:t>
      </w:r>
      <w:r w:rsidR="004A5726" w:rsidRPr="00046434">
        <w:t xml:space="preserve"> </w:t>
      </w:r>
      <w:r w:rsidRPr="00046434">
        <w:t>table</w:t>
      </w:r>
      <w:r w:rsidR="004A5726" w:rsidRPr="00046434">
        <w:t xml:space="preserve"> </w:t>
      </w:r>
      <w:r w:rsidRPr="00046434">
        <w:t>or</w:t>
      </w:r>
      <w:r w:rsidR="004A5726" w:rsidRPr="00046434">
        <w:t xml:space="preserve"> </w:t>
      </w:r>
      <w:r w:rsidRPr="00046434">
        <w:t xml:space="preserve">mentioned in the </w:t>
      </w:r>
      <w:r w:rsidR="002C4C39" w:rsidRPr="00046434">
        <w:t>“</w:t>
      </w:r>
      <w:r w:rsidRPr="00046434">
        <w:t>Methods</w:t>
      </w:r>
      <w:r w:rsidR="002C4C39" w:rsidRPr="00046434">
        <w:t>”</w:t>
      </w:r>
      <w:r w:rsidRPr="00046434">
        <w:t xml:space="preserve"> section of the current paper, but more signi</w:t>
      </w:r>
      <w:r w:rsidR="00831DE8" w:rsidRPr="00046434">
        <w:t>fi</w:t>
      </w:r>
      <w:r w:rsidRPr="00046434">
        <w:t>cantly, evidence of their lack of association with outcome is unlikely to be found with a search. Publication bias is a signi</w:t>
      </w:r>
      <w:r w:rsidR="00831DE8" w:rsidRPr="00046434">
        <w:t>fi</w:t>
      </w:r>
      <w:r w:rsidRPr="00046434">
        <w:t xml:space="preserve">cant problem for meta-analyses of studies of </w:t>
      </w:r>
      <w:r w:rsidR="00A95F06">
        <w:t>prediction</w:t>
      </w:r>
      <w:r w:rsidRPr="00046434">
        <w:t xml:space="preserve"> (</w:t>
      </w:r>
      <w:proofErr w:type="spellStart"/>
      <w:r w:rsidRPr="00046434">
        <w:t>Kyzas</w:t>
      </w:r>
      <w:proofErr w:type="spellEnd"/>
      <w:r w:rsidRPr="00046434">
        <w:t xml:space="preserve"> et al. 2005).</w:t>
      </w:r>
    </w:p>
    <w:p w14:paraId="4A4D235C" w14:textId="2AD99373" w:rsidR="002C4C39" w:rsidRPr="00046434" w:rsidRDefault="00DD228E" w:rsidP="00DC03AC">
      <w:pPr>
        <w:pStyle w:val="NormalWeb"/>
      </w:pPr>
      <w:r w:rsidRPr="00046434">
        <w:t xml:space="preserve">Keep in mind that clinically useful information about </w:t>
      </w:r>
      <w:r w:rsidR="000C5F60">
        <w:t>risk</w:t>
      </w:r>
      <w:r w:rsidR="000C5F60" w:rsidRPr="00046434">
        <w:t xml:space="preserve"> </w:t>
      </w:r>
      <w:r w:rsidRPr="00046434">
        <w:t xml:space="preserve">does not just come from studies that focus primarily on </w:t>
      </w:r>
      <w:r w:rsidR="000C5F60">
        <w:t>prediction</w:t>
      </w:r>
      <w:r w:rsidRPr="00046434">
        <w:t xml:space="preserve">. Much valuable information can be obtained from the outcomes in either control or treated groups in randomized trials (depending on whether the </w:t>
      </w:r>
      <w:r w:rsidR="00C4431D">
        <w:t>subject</w:t>
      </w:r>
      <w:r w:rsidRPr="00046434">
        <w:t xml:space="preserve"> of interest will be treated or not). Randomized trials (as discussed in Chapter </w:t>
      </w:r>
      <w:r w:rsidR="000C5F60">
        <w:t>8</w:t>
      </w:r>
      <w:r w:rsidRPr="00046434">
        <w:t>) have the advantages that ascertainment of outcome is more complete and more objective than is typical of less rigorous designs.</w:t>
      </w:r>
    </w:p>
    <w:p w14:paraId="0C526295" w14:textId="77777777" w:rsidR="004C0F4D" w:rsidRPr="00046434" w:rsidRDefault="004C0F4D" w:rsidP="004C0F4D">
      <w:pPr>
        <w:pStyle w:val="Heading3"/>
      </w:pPr>
      <w:r w:rsidRPr="00046434">
        <w:t>Quantifying new information</w:t>
      </w:r>
    </w:p>
    <w:p w14:paraId="4F9C9FA8" w14:textId="02FD228F" w:rsidR="004C0F4D" w:rsidRPr="00957889" w:rsidRDefault="004C0F4D" w:rsidP="004C0F4D">
      <w:pPr>
        <w:pStyle w:val="NormalWeb"/>
      </w:pPr>
      <w:r>
        <w:t>Many studies</w:t>
      </w:r>
      <w:r w:rsidRPr="00046434">
        <w:t xml:space="preserve"> identify findings and markers that statistically significantly predict </w:t>
      </w:r>
      <w:r>
        <w:t>outcome</w:t>
      </w:r>
      <w:r w:rsidRPr="00046434">
        <w:t>. However, the key questions are how much new information a test provides beyond what was already known, and how valuable that information is. Watch out for two ways the apparent predictive ability of a test can be in</w:t>
      </w:r>
      <w:r>
        <w:t>fl</w:t>
      </w:r>
      <w:r w:rsidRPr="00046434">
        <w:t xml:space="preserve">ated. First, if measurements of other variables that predict </w:t>
      </w:r>
      <w:r>
        <w:t>risk</w:t>
      </w:r>
      <w:r w:rsidRPr="00046434">
        <w:t xml:space="preserve"> are</w:t>
      </w:r>
      <w:r w:rsidR="00CA63F0">
        <w:t xml:space="preserve"> absent,</w:t>
      </w:r>
      <w:r w:rsidRPr="00046434">
        <w:t xml:space="preserve"> coarse or imprecise, the apparent contribution of the new test will be larger, because information from the other variables will be incompletely </w:t>
      </w:r>
      <w:proofErr w:type="gramStart"/>
      <w:r w:rsidRPr="00046434">
        <w:t>taken into account</w:t>
      </w:r>
      <w:proofErr w:type="gramEnd"/>
      <w:r w:rsidRPr="00046434">
        <w:t xml:space="preserve"> in multivariate models. Second, the apparent predictive ability of a test can be in</w:t>
      </w:r>
      <w:r>
        <w:t>fl</w:t>
      </w:r>
      <w:r w:rsidRPr="00046434">
        <w:t xml:space="preserve">ated by </w:t>
      </w:r>
      <w:r w:rsidRPr="00046434">
        <w:lastRenderedPageBreak/>
        <w:t xml:space="preserve">comparing risk at extremes of the test, such as reporting the hazard ratio for a comparison between the highest and lowest quintiles of the measurement. Box </w:t>
      </w:r>
      <w:r w:rsidRPr="008610D2">
        <w:rPr>
          <w:highlight w:val="yellow"/>
        </w:rPr>
        <w:t>6.</w:t>
      </w:r>
      <w:r>
        <w:t>4</w:t>
      </w:r>
      <w:r w:rsidRPr="00046434">
        <w:t xml:space="preserve"> illustrates both of these problems.</w:t>
      </w:r>
    </w:p>
    <w:p w14:paraId="46A5CC58" w14:textId="41C974BB" w:rsidR="004C0F4D" w:rsidRPr="00766FB5" w:rsidRDefault="004C0F4D" w:rsidP="00DC03AC">
      <w:pPr>
        <w:pStyle w:val="Heading2"/>
        <w:rPr>
          <w:b w:val="0"/>
          <w:sz w:val="24"/>
          <w:szCs w:val="24"/>
        </w:rPr>
      </w:pPr>
      <w:r>
        <w:rPr>
          <w:b w:val="0"/>
          <w:sz w:val="24"/>
          <w:szCs w:val="24"/>
        </w:rPr>
        <w:t>Comparing a risk model with and without a new predictor requires using the two models to predict risk in a cohort (with data available at inception) and then comparing the risk predictions to the actual outcomes.  We can compare calibration using calibration plots and possibly the measures (Mean Bias, Mean Absolute Error, and Brier Score) described in Appendix 6.1.  We can compare discrimination using ROC curves and the area under them.  Comparing standardized net benefit (</w:t>
      </w:r>
      <w:proofErr w:type="spellStart"/>
      <w:r>
        <w:rPr>
          <w:b w:val="0"/>
          <w:sz w:val="24"/>
          <w:szCs w:val="24"/>
        </w:rPr>
        <w:t>sNB</w:t>
      </w:r>
      <w:proofErr w:type="spellEnd"/>
      <w:r>
        <w:rPr>
          <w:b w:val="0"/>
          <w:sz w:val="24"/>
          <w:szCs w:val="24"/>
        </w:rPr>
        <w:t>) requires specifying the treatment threshold (P</w:t>
      </w:r>
      <w:r>
        <w:rPr>
          <w:b w:val="0"/>
          <w:sz w:val="24"/>
          <w:szCs w:val="24"/>
          <w:vertAlign w:val="subscript"/>
        </w:rPr>
        <w:t>TT</w:t>
      </w:r>
      <w:r>
        <w:rPr>
          <w:b w:val="0"/>
          <w:sz w:val="24"/>
          <w:szCs w:val="24"/>
        </w:rPr>
        <w:t xml:space="preserve">) or, equivalently, the relative misclassification costs (C/B), but decision curves </w:t>
      </w:r>
      <w:r w:rsidR="00766FB5">
        <w:rPr>
          <w:b w:val="0"/>
          <w:sz w:val="24"/>
          <w:szCs w:val="24"/>
        </w:rPr>
        <w:t xml:space="preserve">can </w:t>
      </w:r>
      <w:r>
        <w:rPr>
          <w:b w:val="0"/>
          <w:sz w:val="24"/>
          <w:szCs w:val="24"/>
        </w:rPr>
        <w:t>demonstrat</w:t>
      </w:r>
      <w:r w:rsidR="00766FB5">
        <w:rPr>
          <w:b w:val="0"/>
          <w:sz w:val="24"/>
          <w:szCs w:val="24"/>
        </w:rPr>
        <w:t xml:space="preserve">e the sensitivity of </w:t>
      </w:r>
      <w:proofErr w:type="spellStart"/>
      <w:r w:rsidR="00766FB5">
        <w:rPr>
          <w:b w:val="0"/>
          <w:sz w:val="24"/>
          <w:szCs w:val="24"/>
        </w:rPr>
        <w:t>sNB</w:t>
      </w:r>
      <w:proofErr w:type="spellEnd"/>
      <w:r w:rsidR="00766FB5">
        <w:rPr>
          <w:b w:val="0"/>
          <w:sz w:val="24"/>
          <w:szCs w:val="24"/>
        </w:rPr>
        <w:t xml:space="preserve"> to </w:t>
      </w:r>
      <w:r>
        <w:rPr>
          <w:b w:val="0"/>
          <w:sz w:val="24"/>
          <w:szCs w:val="24"/>
        </w:rPr>
        <w:t>P</w:t>
      </w:r>
      <w:r>
        <w:rPr>
          <w:b w:val="0"/>
          <w:sz w:val="24"/>
          <w:szCs w:val="24"/>
          <w:vertAlign w:val="subscript"/>
        </w:rPr>
        <w:t>TT</w:t>
      </w:r>
      <w:r>
        <w:rPr>
          <w:b w:val="0"/>
          <w:sz w:val="24"/>
          <w:szCs w:val="24"/>
        </w:rPr>
        <w:t>.  Two additional measures, the net reclassification index (NRI) and integrated discrimination improvement (IDI), have be</w:t>
      </w:r>
      <w:r w:rsidR="00766FB5">
        <w:rPr>
          <w:b w:val="0"/>
          <w:sz w:val="24"/>
          <w:szCs w:val="24"/>
        </w:rPr>
        <w:t xml:space="preserve">en proposed to quantify the </w:t>
      </w:r>
      <w:r>
        <w:rPr>
          <w:b w:val="0"/>
          <w:sz w:val="24"/>
          <w:szCs w:val="24"/>
        </w:rPr>
        <w:t xml:space="preserve">difference in predictive accuracy between two models.  As explained in Appendix 6.2, we join several other authors </w:t>
      </w:r>
      <w:r w:rsidR="00B07635">
        <w:rPr>
          <w:b w:val="0"/>
          <w:sz w:val="24"/>
          <w:szCs w:val="24"/>
        </w:rPr>
        <w:fldChar w:fldCharType="begin">
          <w:fldData xml:space="preserve">PEVuZE5vdGU+PENpdGU+PEF1dGhvcj5IaWxkZW48L0F1dGhvcj48WWVhcj4yMDE0PC9ZZWFyPjxS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=
</w:fldData>
        </w:fldChar>
      </w:r>
      <w:r w:rsidR="007A2979">
        <w:rPr>
          <w:b w:val="0"/>
          <w:sz w:val="24"/>
          <w:szCs w:val="24"/>
        </w:rPr>
        <w:instrText xml:space="preserve"> ADDIN EN.CITE </w:instrText>
      </w:r>
      <w:r w:rsidR="007A2979">
        <w:rPr>
          <w:b w:val="0"/>
          <w:sz w:val="24"/>
          <w:szCs w:val="24"/>
        </w:rPr>
        <w:fldChar w:fldCharType="begin">
          <w:fldData xml:space="preserve">PEVuZE5vdGU+PENpdGU+PEF1dGhvcj5IaWxkZW48L0F1dGhvcj48WWVhcj4yMDE0PC9ZZWFyPjxS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=
</w:fldData>
        </w:fldChar>
      </w:r>
      <w:r w:rsidR="007A2979">
        <w:rPr>
          <w:b w:val="0"/>
          <w:sz w:val="24"/>
          <w:szCs w:val="24"/>
        </w:rPr>
        <w:instrText xml:space="preserve"> ADDIN EN.CITE.DATA </w:instrText>
      </w:r>
      <w:r w:rsidR="007A2979">
        <w:rPr>
          <w:b w:val="0"/>
          <w:sz w:val="24"/>
          <w:szCs w:val="24"/>
        </w:rPr>
      </w:r>
      <w:r w:rsidR="007A2979">
        <w:rPr>
          <w:b w:val="0"/>
          <w:sz w:val="24"/>
          <w:szCs w:val="24"/>
        </w:rPr>
        <w:fldChar w:fldCharType="end"/>
      </w:r>
      <w:r w:rsidR="00B07635">
        <w:rPr>
          <w:b w:val="0"/>
          <w:sz w:val="24"/>
          <w:szCs w:val="24"/>
        </w:rPr>
      </w:r>
      <w:r w:rsidR="00B07635">
        <w:rPr>
          <w:b w:val="0"/>
          <w:sz w:val="24"/>
          <w:szCs w:val="24"/>
        </w:rPr>
        <w:fldChar w:fldCharType="separate"/>
      </w:r>
      <w:r w:rsidR="007A2979">
        <w:rPr>
          <w:b w:val="0"/>
          <w:noProof/>
          <w:sz w:val="24"/>
          <w:szCs w:val="24"/>
        </w:rPr>
        <w:t>[5-7]</w:t>
      </w:r>
      <w:r w:rsidR="00B07635">
        <w:rPr>
          <w:b w:val="0"/>
          <w:sz w:val="24"/>
          <w:szCs w:val="24"/>
        </w:rPr>
        <w:fldChar w:fldCharType="end"/>
      </w:r>
      <w:r w:rsidR="00B07635">
        <w:rPr>
          <w:b w:val="0"/>
          <w:sz w:val="24"/>
          <w:szCs w:val="24"/>
        </w:rPr>
        <w:t xml:space="preserve"> </w:t>
      </w:r>
      <w:r>
        <w:rPr>
          <w:b w:val="0"/>
          <w:sz w:val="24"/>
          <w:szCs w:val="24"/>
        </w:rPr>
        <w:t>in discouraging the use of the NRI and IDI.</w:t>
      </w:r>
    </w:p>
    <w:p w14:paraId="619D1D6A" w14:textId="77777777" w:rsidR="002C4C39" w:rsidRPr="00046434" w:rsidRDefault="00DD228E" w:rsidP="00DC03AC">
      <w:pPr>
        <w:pStyle w:val="Heading2"/>
      </w:pPr>
      <w:r w:rsidRPr="00046434">
        <w:t>Genetic tests</w:t>
      </w:r>
    </w:p>
    <w:p w14:paraId="637E565B" w14:textId="77777777" w:rsidR="002C4C39" w:rsidRPr="00046434" w:rsidRDefault="00DD228E" w:rsidP="00DC03AC">
      <w:pPr>
        <w:pStyle w:val="NormalWeb"/>
      </w:pPr>
      <w:r w:rsidRPr="00046434">
        <w:t>Because there seems to be so much interest and excitement (and hype!) about new genetic tests, we should clarify how they differ from other tests discussed in this book. A large part of the excitement about genetic tests relates to the possibility of greater understanding of underlying molecular mechanisms of disease. The hope is</w:t>
      </w:r>
      <w:r w:rsidR="00023D0F" w:rsidRPr="00046434">
        <w:t xml:space="preserve"> that, by identifying alleles of speci</w:t>
      </w:r>
      <w:r w:rsidR="00831DE8" w:rsidRPr="00046434">
        <w:t>fi</w:t>
      </w:r>
      <w:r w:rsidR="00023D0F" w:rsidRPr="00046434">
        <w:t xml:space="preserve">c genes that cause or predispose to disease, we may be able to learn what these genes do and understand how variations in their expression can lead to ill health. Although so </w:t>
      </w:r>
      <w:proofErr w:type="gramStart"/>
      <w:r w:rsidR="00023D0F" w:rsidRPr="00046434">
        <w:t>far</w:t>
      </w:r>
      <w:proofErr w:type="gramEnd"/>
      <w:r w:rsidR="00023D0F" w:rsidRPr="00046434">
        <w:t xml:space="preserve"> the track record of success in this area is underwhelming, </w:t>
      </w:r>
      <w:r w:rsidR="00107CBA">
        <w:t xml:space="preserve">undoubtedly </w:t>
      </w:r>
      <w:r w:rsidR="00023D0F" w:rsidRPr="00046434">
        <w:t xml:space="preserve">some genetic tests have value for this purpose. Because the goal in </w:t>
      </w:r>
      <w:r w:rsidR="00107CBA">
        <w:t>this</w:t>
      </w:r>
      <w:r w:rsidR="00107CBA" w:rsidRPr="00046434">
        <w:t xml:space="preserve"> </w:t>
      </w:r>
      <w:r w:rsidR="00023D0F" w:rsidRPr="00046434">
        <w:t>situation is improved understanding of disease rather than assisting with clinical decisions, assessment of these tests and the studies that describe them requires speci</w:t>
      </w:r>
      <w:r w:rsidR="00831DE8" w:rsidRPr="00046434">
        <w:t>fi</w:t>
      </w:r>
      <w:r w:rsidR="00023D0F" w:rsidRPr="00046434">
        <w:t>c content knowledge about the underlying biology and is not covered in this book.</w:t>
      </w:r>
    </w:p>
    <w:tbl>
      <w:tblPr>
        <w:tblW w:w="0" w:type="auto"/>
        <w:tblInd w:w="198" w:type="dxa"/>
        <w:tblLook w:val="04A0" w:firstRow="1" w:lastRow="0" w:firstColumn="1" w:lastColumn="0" w:noHBand="0" w:noVBand="1"/>
      </w:tblPr>
      <w:tblGrid>
        <w:gridCol w:w="8460"/>
      </w:tblGrid>
      <w:tr w:rsidR="00DC03AC" w:rsidRPr="00046434" w14:paraId="700299EE" w14:textId="77777777">
        <w:tc>
          <w:tcPr>
            <w:tcW w:w="8460" w:type="dxa"/>
            <w:shd w:val="clear" w:color="auto" w:fill="auto"/>
          </w:tcPr>
          <w:p w14:paraId="00C3BBA7" w14:textId="77777777" w:rsidR="00DC03AC" w:rsidRPr="00046434" w:rsidRDefault="00DC03AC" w:rsidP="00BA508D">
            <w:pPr>
              <w:pStyle w:val="NormalWeb"/>
              <w:rPr>
                <w:rStyle w:val="eBol"/>
              </w:rPr>
            </w:pPr>
            <w:r w:rsidRPr="00046434">
              <w:rPr>
                <w:b/>
              </w:rPr>
              <w:t xml:space="preserve">Box </w:t>
            </w:r>
            <w:r w:rsidR="006066F7">
              <w:rPr>
                <w:b/>
              </w:rPr>
              <w:t>6</w:t>
            </w:r>
            <w:r w:rsidRPr="00046434">
              <w:rPr>
                <w:b/>
              </w:rPr>
              <w:t>.</w:t>
            </w:r>
            <w:r w:rsidR="00BA508D">
              <w:rPr>
                <w:b/>
              </w:rPr>
              <w:t>4</w:t>
            </w:r>
            <w:r w:rsidRPr="00046434">
              <w:t>:</w:t>
            </w:r>
            <w:r w:rsidRPr="00046434">
              <w:rPr>
                <w:b/>
              </w:rPr>
              <w:t xml:space="preserve"> Example of a prognostic test study</w:t>
            </w:r>
          </w:p>
        </w:tc>
      </w:tr>
      <w:tr w:rsidR="00DC03AC" w:rsidRPr="00046434" w14:paraId="2418641E" w14:textId="77777777">
        <w:tc>
          <w:tcPr>
            <w:tcW w:w="8460" w:type="dxa"/>
            <w:shd w:val="clear" w:color="auto" w:fill="auto"/>
          </w:tcPr>
          <w:p w14:paraId="2ED83C5E" w14:textId="4F530ED3" w:rsidR="00DC03AC" w:rsidRPr="00046434" w:rsidRDefault="00DC03AC" w:rsidP="001D4F94">
            <w:pPr>
              <w:pStyle w:val="NormalWeb"/>
            </w:pPr>
            <w:r w:rsidRPr="00046434">
              <w:t>Paik et al. (2004) reported on the ability of a multigene assay</w:t>
            </w:r>
            <w:r w:rsidR="00CA63F0">
              <w:t xml:space="preserve"> (much like </w:t>
            </w:r>
            <w:proofErr w:type="spellStart"/>
            <w:r w:rsidR="00CA63F0">
              <w:t>OncoType</w:t>
            </w:r>
            <w:proofErr w:type="spellEnd"/>
            <w:r w:rsidR="00CA63F0">
              <w:t xml:space="preserve"> </w:t>
            </w:r>
            <w:proofErr w:type="spellStart"/>
            <w:r w:rsidR="00CA63F0">
              <w:t>Dx</w:t>
            </w:r>
            <w:proofErr w:type="spellEnd"/>
            <w:r w:rsidR="00CA63F0">
              <w:t xml:space="preserve"> or the </w:t>
            </w:r>
            <w:proofErr w:type="spellStart"/>
            <w:r w:rsidR="00CA63F0">
              <w:t>mastate</w:t>
            </w:r>
            <w:proofErr w:type="spellEnd"/>
            <w:r w:rsidR="00CA63F0">
              <w:t xml:space="preserve"> cancer example)</w:t>
            </w:r>
            <w:r w:rsidRPr="00046434">
              <w:t xml:space="preserve"> to predict recurrence of tamoxifen-treated, node-negative breast cancer. They used the assay to create a “recurrence index,” which they then classified as low-, intermediate-, or high-risk. The 10-year Kaplan–Meier estimates of distant recurrence rates were 6.8%, 14.3%, and 30.5% in the three groups, respectively. When entered into a Cox proportional hazard model, the recurrence index was a strong, independent predictor of prognosis, with a hazard ratio of 3.21 per 50-point change in the index (P &lt; 0.001).</w:t>
            </w:r>
          </w:p>
          <w:p w14:paraId="3890BFBC" w14:textId="69C6D0DE" w:rsidR="00DC03AC" w:rsidRPr="00CA63F0" w:rsidRDefault="00DC03AC" w:rsidP="00083706">
            <w:pPr>
              <w:pStyle w:val="NormalWeb"/>
              <w:ind w:firstLine="405"/>
              <w:rPr>
                <w:rStyle w:val="eBol"/>
              </w:rPr>
            </w:pPr>
            <w:r w:rsidRPr="00046434">
              <w:t xml:space="preserve">A strength of this study is that all of the decisions about how to create the index from the results of individual gene tests, including the cut-offs, were made in advance. This should reduce overfitting. However, the reported hazard ratio of 3.2 is impossible to interpret without knowledge of the meaning of a 50-point change in the index. (The hazard ratio for a 25-point change would be √3.2, or about 1.8.) In this study, a 50-point difference in the index was a large difference: 51% of the subjects had scores less than 18 and only 12% had scores over 50. On the other hand, the </w:t>
            </w:r>
            <w:r w:rsidRPr="00046434">
              <w:lastRenderedPageBreak/>
              <w:t>authors simply dichotomized age (at 50 years) and tumor size (at 2 cm).</w:t>
            </w:r>
            <w:r w:rsidR="00AF2098" w:rsidRPr="00046434">
              <w:rPr>
                <w:rStyle w:val="FootnoteReference"/>
              </w:rPr>
              <w:footnoteReference w:id="9"/>
            </w:r>
            <w:r w:rsidRPr="00046434">
              <w:t xml:space="preserve"> By failing to capture all information in these covariates, they may have inflated the apparent predictive power of their new index. A Letter to the Editor by Goodson (2005) brings up a similar point with respect to the pathological grading of the tumors. Again, if the pathologists grading the tumors are not very good at that task, the recurrence index will look better in comparison. Supplementary appendices to the paper indicate that the agreement on tumor differentiation (in three categories) was only fair (kappa = 0.34–0.37), supporting Goodson’s concern. Finally, the authors do not indicate the degree to which adding their test to what was already available improved discrimination, how this would improve decisions, or how these better decisions might improve outcomes. These are relevant considerations because, at the time of the study, the test (patented and/or owned by many authors of the study; Paik et al. 2004) was being sold for $3,500 (</w:t>
            </w:r>
            <w:proofErr w:type="spellStart"/>
            <w:r w:rsidRPr="00046434">
              <w:t>Tanvetyanon</w:t>
            </w:r>
            <w:proofErr w:type="spellEnd"/>
            <w:r w:rsidRPr="00046434">
              <w:t xml:space="preserve"> 2005).</w:t>
            </w:r>
            <w:r w:rsidR="00CA63F0">
              <w:br/>
            </w:r>
            <w:r w:rsidR="00CA63F0">
              <w:br/>
            </w:r>
            <w:r w:rsidR="00CA63F0" w:rsidRPr="00CA63F0">
              <w:rPr>
                <w:b/>
              </w:rPr>
              <w:t>End of Box 6.4</w:t>
            </w:r>
          </w:p>
        </w:tc>
      </w:tr>
    </w:tbl>
    <w:p w14:paraId="56C59E0D" w14:textId="5DCDFF1D" w:rsidR="002C4C39" w:rsidRPr="00046434" w:rsidRDefault="00DD228E" w:rsidP="00AF2098">
      <w:pPr>
        <w:pStyle w:val="NormalWeb"/>
      </w:pPr>
      <w:r w:rsidRPr="00046434">
        <w:lastRenderedPageBreak/>
        <w:t xml:space="preserve">In contrast, other genetic tests may have the potential to improve health by allowing better estimates of the probability of various diseases either being present already or developing in the future. The evaluation and interpretation of these genetic tests is the same as for any other test – it involves asking the same questions about the information different test results provide: how likely a particular </w:t>
      </w:r>
      <w:r w:rsidR="00C4431D">
        <w:t>subject</w:t>
      </w:r>
      <w:r w:rsidRPr="00046434">
        <w:t xml:space="preserve"> is to have a result that is informative, how the test will improve clinical decisions, and the estimated impact of these improved decisions on clinically relevant outcomes.</w:t>
      </w:r>
    </w:p>
    <w:p w14:paraId="764D39AD" w14:textId="77777777" w:rsidR="004B5730" w:rsidRPr="00766FB5" w:rsidRDefault="00DD228E" w:rsidP="004B5730">
      <w:pPr>
        <w:pStyle w:val="NormalWeb"/>
      </w:pPr>
      <w:r w:rsidRPr="00046434">
        <w:t>In interpreting studies of genetic tests, and gauging which of the two purposes above may be most relevant, it is helpful to ignore low P-values and look for clinically meaningful measures of effect size. For example, consider a report of risk alleles for multiple sclerosis (MS) identi</w:t>
      </w:r>
      <w:r w:rsidR="00831DE8" w:rsidRPr="00046434">
        <w:t>fi</w:t>
      </w:r>
      <w:r w:rsidRPr="00046434">
        <w:t>ed by a genome-wide study (</w:t>
      </w:r>
      <w:proofErr w:type="spellStart"/>
      <w:r w:rsidRPr="00046434">
        <w:t>Ha</w:t>
      </w:r>
      <w:r w:rsidR="00231F07">
        <w:t>fl</w:t>
      </w:r>
      <w:r w:rsidRPr="00046434">
        <w:t>er</w:t>
      </w:r>
      <w:proofErr w:type="spellEnd"/>
      <w:r w:rsidRPr="00046434">
        <w:t xml:space="preserve"> et al. 2007). No disease-causing mutations for MS have been identi</w:t>
      </w:r>
      <w:r w:rsidR="00831DE8" w:rsidRPr="00046434">
        <w:t>fi</w:t>
      </w:r>
      <w:r w:rsidRPr="00046434">
        <w:t>ed; it is thought that multiple common polymorphisms work in concert to increase susceptibility to the disease. The investigators reported associations between MS and multiple single-nucleotide polymorphisms. Most P values for the single-nucleotide polymorphisms they found were in the 10</w:t>
      </w:r>
      <w:r w:rsidRPr="00046434">
        <w:rPr>
          <w:vertAlign w:val="superscript"/>
        </w:rPr>
        <w:t>–4</w:t>
      </w:r>
      <w:r w:rsidRPr="00046434">
        <w:t xml:space="preserve"> to 10</w:t>
      </w:r>
      <w:r w:rsidRPr="00046434">
        <w:rPr>
          <w:vertAlign w:val="superscript"/>
        </w:rPr>
        <w:t>–8</w:t>
      </w:r>
      <w:r w:rsidRPr="00046434">
        <w:t xml:space="preserve"> range, although the authors reported a P-value of 8.94 × 10</w:t>
      </w:r>
      <w:r w:rsidRPr="00046434">
        <w:rPr>
          <w:vertAlign w:val="superscript"/>
        </w:rPr>
        <w:t>–81</w:t>
      </w:r>
      <w:r w:rsidRPr="00046434">
        <w:t xml:space="preserve"> for the HLA-DRA locus.</w:t>
      </w:r>
      <w:r w:rsidR="00AF2098" w:rsidRPr="00046434">
        <w:rPr>
          <w:rStyle w:val="FootnoteReference"/>
        </w:rPr>
        <w:footnoteReference w:id="10"/>
      </w:r>
      <w:r w:rsidRPr="00046434">
        <w:t xml:space="preserve"> However, the corresponding odds ratios for most of the risk alleles were only 1.08 to 1.25, and the odds ratio for the HLA-DRA locus was only 1.99. It is hard to make a case that odds ratios of this magnitude could be helpful clinically, and the authors do not do so. Rather, the hope is that these results may contribute to better understanding of the pathogenesis of MS.</w:t>
      </w:r>
    </w:p>
    <w:p w14:paraId="0BAAA3B4" w14:textId="77777777" w:rsidR="004B5730" w:rsidRPr="006C001C" w:rsidRDefault="004B5730" w:rsidP="006C001C">
      <w:pPr>
        <w:pStyle w:val="Heading3"/>
      </w:pPr>
      <w:r w:rsidRPr="006C001C">
        <w:t>Predicting Con</w:t>
      </w:r>
      <w:r w:rsidR="00773AF3" w:rsidRPr="006C001C">
        <w:t>t</w:t>
      </w:r>
      <w:r w:rsidRPr="006C001C">
        <w:t>inuous Outcomes</w:t>
      </w:r>
    </w:p>
    <w:p w14:paraId="2C56DBA0" w14:textId="1B9D04A2" w:rsidR="004B5730" w:rsidRDefault="00DD228E" w:rsidP="000C49E8">
      <w:pPr>
        <w:pStyle w:val="NormalWeb"/>
      </w:pPr>
      <w:r w:rsidRPr="00046434">
        <w:t xml:space="preserve">It is also possible to assess the accuracy of a </w:t>
      </w:r>
      <w:r w:rsidR="00FD6637">
        <w:t>prediction</w:t>
      </w:r>
      <w:r w:rsidRPr="00046434">
        <w:t xml:space="preserve"> in individual </w:t>
      </w:r>
      <w:r w:rsidR="00C4431D">
        <w:t>subject</w:t>
      </w:r>
      <w:r w:rsidRPr="00046434">
        <w:t xml:space="preserve">s when the outcome variable of interest is continuous. For example, you might predict that a woman with osteoporosis will lose 0.5 cm of height per year, or that a pregnant woman with diabetes will have a 4-kg baby. For </w:t>
      </w:r>
      <w:r w:rsidR="00C4431D">
        <w:t>subject</w:t>
      </w:r>
      <w:r w:rsidRPr="00046434">
        <w:t xml:space="preserve">s with incurable disease, an estimated survival time (typically in months) is also a continuous outcome. In the case of a continuous outcome, the accuracy in </w:t>
      </w:r>
      <w:r w:rsidRPr="00046434">
        <w:lastRenderedPageBreak/>
        <w:t xml:space="preserve">individual </w:t>
      </w:r>
      <w:r w:rsidR="00C4431D">
        <w:t>subject</w:t>
      </w:r>
      <w:r w:rsidRPr="00046434">
        <w:t xml:space="preserve">s can be assessed by the difference between what was predicted and what was observed, and the mean and distribution of these differences can be studied in groups of </w:t>
      </w:r>
      <w:r w:rsidR="00C4431D">
        <w:t>subject</w:t>
      </w:r>
      <w:r w:rsidRPr="00046434">
        <w:t xml:space="preserve">s. </w:t>
      </w:r>
      <w:r w:rsidR="004B5730" w:rsidRPr="00046434">
        <w:t xml:space="preserve">A graph with the difference between </w:t>
      </w:r>
      <w:r w:rsidR="004B5730">
        <w:t>predicted and observed</w:t>
      </w:r>
      <w:r w:rsidR="004B5730" w:rsidRPr="00046434">
        <w:t xml:space="preserve"> outcomes on the </w:t>
      </w:r>
      <w:r w:rsidR="004B5730">
        <w:t>Y</w:t>
      </w:r>
      <w:r w:rsidR="004B5730" w:rsidRPr="00046434">
        <w:t xml:space="preserve">-axis versus observed outcome on the </w:t>
      </w:r>
      <w:r w:rsidR="004B5730">
        <w:t>X</w:t>
      </w:r>
      <w:r w:rsidR="004B5730" w:rsidRPr="00046434">
        <w:t xml:space="preserve">-axis produces a </w:t>
      </w:r>
      <w:r w:rsidR="004B5730">
        <w:t xml:space="preserve">modified Bland-Altman </w:t>
      </w:r>
      <w:r w:rsidR="00B26AC6">
        <w:t xml:space="preserve">plot </w:t>
      </w:r>
      <w:r w:rsidR="004B5730">
        <w:t>similar to those discussed in Chapter 5</w:t>
      </w:r>
      <w:r w:rsidR="004B5730" w:rsidRPr="00046434">
        <w:t>.</w:t>
      </w:r>
    </w:p>
    <w:p w14:paraId="1B345B8C" w14:textId="77777777" w:rsidR="000C49E8" w:rsidRDefault="000C49E8" w:rsidP="000C49E8">
      <w:pPr>
        <w:pStyle w:val="NormalWeb"/>
      </w:pPr>
    </w:p>
    <w:p w14:paraId="42A8DC35" w14:textId="77777777" w:rsidR="002C4C39" w:rsidRPr="00046434" w:rsidRDefault="00DD228E" w:rsidP="00AF2098">
      <w:pPr>
        <w:pStyle w:val="Heading2"/>
      </w:pPr>
      <w:r w:rsidRPr="00046434">
        <w:t>Summary of key points</w:t>
      </w:r>
    </w:p>
    <w:p w14:paraId="6314A8A1" w14:textId="77777777" w:rsidR="00AF2098" w:rsidRPr="00046434" w:rsidRDefault="00DD228E" w:rsidP="00AF2098">
      <w:pPr>
        <w:pStyle w:val="NormalWeb"/>
        <w:tabs>
          <w:tab w:val="left" w:pos="270"/>
        </w:tabs>
        <w:ind w:left="270" w:hanging="270"/>
      </w:pPr>
      <w:r w:rsidRPr="00046434">
        <w:t xml:space="preserve">1. </w:t>
      </w:r>
      <w:r w:rsidR="00FD6637">
        <w:t>Risk predictions</w:t>
      </w:r>
      <w:r w:rsidRPr="00046434">
        <w:t xml:space="preserve"> differ from diagnostic tests because their goal is to predict events that may happen in the future rather than to identify conditions already present.</w:t>
      </w:r>
    </w:p>
    <w:p w14:paraId="2A961E5A" w14:textId="0D30838D" w:rsidR="00AF2098" w:rsidRPr="00046434" w:rsidRDefault="00DD228E" w:rsidP="00AF2098">
      <w:pPr>
        <w:pStyle w:val="NormalWeb"/>
        <w:tabs>
          <w:tab w:val="left" w:pos="270"/>
        </w:tabs>
        <w:ind w:left="270" w:hanging="270"/>
      </w:pPr>
      <w:r w:rsidRPr="00046434">
        <w:t xml:space="preserve">2. Studies of the value and accuracy of </w:t>
      </w:r>
      <w:r w:rsidR="00FD6637">
        <w:t>risk predictions</w:t>
      </w:r>
      <w:r w:rsidRPr="00046434">
        <w:t xml:space="preserve"> generally require longitudinal follow-up of groups of </w:t>
      </w:r>
      <w:r w:rsidR="00C4431D">
        <w:t>subject</w:t>
      </w:r>
      <w:r w:rsidRPr="00046434">
        <w:t>s.</w:t>
      </w:r>
    </w:p>
    <w:p w14:paraId="5C1731D1" w14:textId="77777777" w:rsidR="00AF2098" w:rsidRDefault="00FD6637" w:rsidP="00AF2098">
      <w:pPr>
        <w:pStyle w:val="NormalWeb"/>
        <w:tabs>
          <w:tab w:val="left" w:pos="270"/>
        </w:tabs>
        <w:ind w:left="270" w:hanging="270"/>
      </w:pPr>
      <w:r>
        <w:t>3</w:t>
      </w:r>
      <w:r w:rsidR="00DD228E" w:rsidRPr="00046434">
        <w:t xml:space="preserve">. The potential value of </w:t>
      </w:r>
      <w:r>
        <w:t>risk predictions</w:t>
      </w:r>
      <w:r w:rsidR="00DD228E" w:rsidRPr="00046434">
        <w:t xml:space="preserve"> is related to both their</w:t>
      </w:r>
      <w:r w:rsidR="00DD228E" w:rsidRPr="00046434">
        <w:rPr>
          <w:i/>
        </w:rPr>
        <w:t xml:space="preserve"> calibration</w:t>
      </w:r>
      <w:r w:rsidR="00DD228E" w:rsidRPr="00046434">
        <w:t xml:space="preserve"> to the actual </w:t>
      </w:r>
      <w:r>
        <w:t xml:space="preserve">proportions with the outcome </w:t>
      </w:r>
      <w:r w:rsidR="00DD228E" w:rsidRPr="00046434">
        <w:t>and their</w:t>
      </w:r>
      <w:r w:rsidR="00DD228E" w:rsidRPr="00046434">
        <w:rPr>
          <w:i/>
        </w:rPr>
        <w:t xml:space="preserve"> discrimination</w:t>
      </w:r>
      <w:r w:rsidR="00DD228E" w:rsidRPr="00046434">
        <w:t xml:space="preserve"> between those more and less likely to develop the outcome.</w:t>
      </w:r>
    </w:p>
    <w:p w14:paraId="00DF17F0" w14:textId="77777777" w:rsidR="00E919A4" w:rsidRPr="00046434" w:rsidRDefault="00E919A4" w:rsidP="00AF2098">
      <w:pPr>
        <w:pStyle w:val="NormalWeb"/>
        <w:tabs>
          <w:tab w:val="left" w:pos="270"/>
        </w:tabs>
        <w:ind w:left="270" w:hanging="270"/>
      </w:pPr>
      <w:r>
        <w:t>4. Calibration plots and ROC curves are useful in evaluating risk predictions.</w:t>
      </w:r>
    </w:p>
    <w:p w14:paraId="09A61314" w14:textId="77777777" w:rsidR="00E919A4" w:rsidRDefault="00E919A4" w:rsidP="00AF2098">
      <w:pPr>
        <w:pStyle w:val="NormalWeb"/>
        <w:tabs>
          <w:tab w:val="left" w:pos="270"/>
        </w:tabs>
        <w:ind w:left="270" w:hanging="270"/>
      </w:pPr>
      <w:r>
        <w:t>5</w:t>
      </w:r>
      <w:r w:rsidR="00FD6637">
        <w:t>. The Standardized Net Benefit (</w:t>
      </w:r>
      <w:proofErr w:type="spellStart"/>
      <w:r w:rsidR="00FD6637">
        <w:t>sNB</w:t>
      </w:r>
      <w:proofErr w:type="spellEnd"/>
      <w:r w:rsidR="00FD6637">
        <w:t xml:space="preserve">) </w:t>
      </w:r>
      <w:r>
        <w:t>estimates the value of treating a population according to a risk mo</w:t>
      </w:r>
      <w:r w:rsidR="004F78CA">
        <w:t xml:space="preserve">del relative to not treating </w:t>
      </w:r>
      <w:r>
        <w:t>anyone.  It requires specification of relative misclassification costs, which is equivalent to specifying a treatment threshold risk.</w:t>
      </w:r>
    </w:p>
    <w:p w14:paraId="4336A548" w14:textId="77777777" w:rsidR="00FD6637" w:rsidRDefault="00E919A4" w:rsidP="00AF2098">
      <w:pPr>
        <w:pStyle w:val="NormalWeb"/>
        <w:tabs>
          <w:tab w:val="left" w:pos="270"/>
        </w:tabs>
        <w:ind w:left="270" w:hanging="270"/>
      </w:pPr>
      <w:r>
        <w:t xml:space="preserve">6. Decision curves plot the </w:t>
      </w:r>
      <w:proofErr w:type="spellStart"/>
      <w:r>
        <w:t>sNB</w:t>
      </w:r>
      <w:proofErr w:type="spellEnd"/>
      <w:r>
        <w:t xml:space="preserve"> of treating according to the risk model over a range of misclassification cost ratios (risk thresholds).  They should always include a curve representing the </w:t>
      </w:r>
      <w:proofErr w:type="spellStart"/>
      <w:r>
        <w:t>sNB</w:t>
      </w:r>
      <w:proofErr w:type="spellEnd"/>
      <w:r>
        <w:t xml:space="preserve"> of the “Treat All” strategy.</w:t>
      </w:r>
    </w:p>
    <w:p w14:paraId="226F9748" w14:textId="77777777" w:rsidR="00FD6637" w:rsidRPr="00046434" w:rsidRDefault="00E919A4" w:rsidP="00FD6637">
      <w:pPr>
        <w:pStyle w:val="NormalWeb"/>
        <w:tabs>
          <w:tab w:val="left" w:pos="270"/>
        </w:tabs>
        <w:ind w:left="270" w:hanging="270"/>
      </w:pPr>
      <w:r>
        <w:t xml:space="preserve">7. </w:t>
      </w:r>
      <w:r w:rsidR="00E47FDA">
        <w:t>I</w:t>
      </w:r>
      <w:r w:rsidR="004F78CA">
        <w:t xml:space="preserve">n appraising </w:t>
      </w:r>
      <w:r w:rsidR="00E47FDA">
        <w:t>a study of a risk model</w:t>
      </w:r>
      <w:r w:rsidR="004F78CA">
        <w:t xml:space="preserve">, we should assess </w:t>
      </w:r>
      <w:r w:rsidR="00E47FDA">
        <w:t xml:space="preserve">whether the study sample was separate from the one used to develop the model, </w:t>
      </w:r>
      <w:r w:rsidR="004F78CA">
        <w:t xml:space="preserve">treatment was independent of predicted risk, </w:t>
      </w:r>
      <w:r w:rsidR="00E47FDA">
        <w:t>and follow-up was adequate.</w:t>
      </w:r>
    </w:p>
    <w:p w14:paraId="2E0B7854" w14:textId="77777777" w:rsidR="00AF2098" w:rsidRPr="00046434" w:rsidRDefault="00E919A4" w:rsidP="00AF2098">
      <w:pPr>
        <w:pStyle w:val="NormalWeb"/>
        <w:tabs>
          <w:tab w:val="left" w:pos="270"/>
        </w:tabs>
        <w:ind w:left="270" w:hanging="270"/>
      </w:pPr>
      <w:r>
        <w:t>8</w:t>
      </w:r>
      <w:r w:rsidR="00DD228E" w:rsidRPr="00046434">
        <w:t>. Genetic tests whose purpose is to inform clinical decision making are critically appraised and used in the same way as other prognostic tests.</w:t>
      </w:r>
    </w:p>
    <w:p w14:paraId="13B7C566" w14:textId="5A4A6222" w:rsidR="00CD318C" w:rsidRDefault="008E1436" w:rsidP="00F37640">
      <w:pPr>
        <w:pStyle w:val="Heading2"/>
      </w:pPr>
      <w:r>
        <w:br w:type="page"/>
      </w:r>
      <w:r w:rsidR="00D60030" w:rsidRPr="008E1436" w:rsidDel="00D60030">
        <w:lastRenderedPageBreak/>
        <w:t xml:space="preserve"> </w:t>
      </w:r>
    </w:p>
    <w:p w14:paraId="0C1C8E82" w14:textId="77777777" w:rsidR="00C17B5C" w:rsidRDefault="005E291F" w:rsidP="00C17B5C">
      <w:pPr>
        <w:rPr>
          <w:bCs/>
          <w:iCs/>
        </w:rPr>
      </w:pPr>
      <w:r>
        <w:br w:type="page"/>
      </w:r>
    </w:p>
    <w:p w14:paraId="3E93CA66" w14:textId="77777777" w:rsidR="00C17B5C" w:rsidRDefault="00C17B5C" w:rsidP="00C17B5C">
      <w:pPr>
        <w:rPr>
          <w:bCs/>
          <w:iCs/>
        </w:rPr>
      </w:pPr>
    </w:p>
    <w:p w14:paraId="46C8753C" w14:textId="493F35DE" w:rsidR="00C17B5C" w:rsidRDefault="00C17B5C" w:rsidP="00C17B5C">
      <w:pPr>
        <w:pStyle w:val="Heading2"/>
      </w:pPr>
      <w:r>
        <w:t xml:space="preserve">Appendix </w:t>
      </w:r>
      <w:proofErr w:type="gramStart"/>
      <w:r>
        <w:t>6.</w:t>
      </w:r>
      <w:r w:rsidR="00D60030">
        <w:t xml:space="preserve">1  </w:t>
      </w:r>
      <w:r w:rsidRPr="00114653">
        <w:t>Net</w:t>
      </w:r>
      <w:proofErr w:type="gramEnd"/>
      <w:r w:rsidRPr="00114653">
        <w:t xml:space="preserve"> Reclassification Index</w:t>
      </w:r>
      <w:r>
        <w:t xml:space="preserve"> and Integrated Discrimination Improvement</w:t>
      </w:r>
    </w:p>
    <w:p w14:paraId="134651E5" w14:textId="2C3B8776" w:rsidR="00C17B5C" w:rsidRDefault="00C17B5C" w:rsidP="00C17B5C">
      <w:pPr>
        <w:pStyle w:val="Heading5"/>
        <w:rPr>
          <w:b w:val="0"/>
          <w:sz w:val="24"/>
          <w:szCs w:val="24"/>
        </w:rPr>
      </w:pPr>
      <w:r>
        <w:rPr>
          <w:b w:val="0"/>
          <w:sz w:val="24"/>
          <w:szCs w:val="24"/>
        </w:rPr>
        <w:t xml:space="preserve">The net reclassification index (NRI) was proposed to quantify the difference in predictive accuracy between two risk models, often a base model with and without an added predictor. The first use of the NRI was to quantify the improvement in accuracy from adding HDL cholesterol to the Framingham risk model for coronary heart disease events.  </w:t>
      </w:r>
      <w:r>
        <w:rPr>
          <w:b w:val="0"/>
          <w:sz w:val="24"/>
          <w:szCs w:val="24"/>
        </w:rPr>
        <w:fldChar w:fldCharType="begin"/>
      </w:r>
      <w:r w:rsidR="007A2979">
        <w:rPr>
          <w:b w:val="0"/>
          <w:sz w:val="24"/>
          <w:szCs w:val="24"/>
        </w:rPr>
        <w:instrText xml:space="preserve"> ADDIN EN.CITE &lt;EndNote&gt;&lt;Cite&gt;&lt;Author&gt;Pencina&lt;/Author&gt;&lt;Year&gt;2008&lt;/Year&gt;&lt;RecNum&gt;1050&lt;/RecNum&gt;&lt;DisplayText&gt;[8]&lt;/DisplayText&gt;&lt;record&gt;&lt;rec-number&gt;1050&lt;/rec-number&gt;&lt;foreign-keys&gt;&lt;key app="EN" db-id="0ftvff9p80fp5few5s05f5fw9rd9fefrdzer" timestamp="0"&gt;1050&lt;/key&gt;&lt;/foreign-keys&gt;&lt;ref-type name="Journal Article"&gt;17&lt;/ref-type&gt;&lt;contributors&gt;&lt;authors&gt;&lt;author&gt;Pencina, M. J.&lt;/author&gt;&lt;author&gt;D&amp;apos;Agostino, R. B., Sr.&lt;/author&gt;&lt;author&gt;D&amp;apos;Agostino, R. B., Jr.&lt;/author&gt;&lt;author&gt;Vasan, R. S.&lt;/author&gt;&lt;/authors&gt;&lt;/contributors&gt;&lt;auth-address&gt;Department of Mathematics and Statistics, Framingham Heart Study, Boston University, Boston, MA 02215, USA. mpencina@bu.edu&lt;/auth-address&gt;&lt;titles&gt;&lt;title&gt;Evaluating the added predictive ability of a new marker: from area under the ROC curve to reclassification and beyond&lt;/title&gt;&lt;secondary-title&gt;Stat Med&lt;/secondary-title&gt;&lt;/titles&gt;&lt;periodical&gt;&lt;full-title&gt;Stat Med&lt;/full-title&gt;&lt;/periodical&gt;&lt;pages&gt;157-72; discussion 207-12&lt;/pages&gt;&lt;volume&gt;27&lt;/volume&gt;&lt;number&gt;2&lt;/number&gt;&lt;keywords&gt;&lt;keyword&gt;Area Under Curve&lt;/keyword&gt;&lt;keyword&gt;Cardiovascular Diseases/*etiology&lt;/keyword&gt;&lt;keyword&gt;Humans&lt;/keyword&gt;&lt;keyword&gt;Models, Statistical&lt;/keyword&gt;&lt;keyword&gt;*ROC Curve&lt;/keyword&gt;&lt;keyword&gt;Risk Assessment/*classification/statistics &amp;amp; numerical data&lt;/keyword&gt;&lt;keyword&gt;*Risk Factors&lt;/keyword&gt;&lt;keyword&gt;United States&lt;/keyword&gt;&lt;/keywords&gt;&lt;dates&gt;&lt;year&gt;2008&lt;/year&gt;&lt;pub-dates&gt;&lt;date&gt;Jan 30&lt;/date&gt;&lt;/pub-dates&gt;&lt;/dates&gt;&lt;accession-num&gt;17569110&lt;/accession-num&gt;&lt;urls&gt;&lt;related-urls&gt;&lt;url&gt;http://www.ncbi.nlm.nih.gov/entrez/query.fcgi?cmd=Retrieve&amp;amp;db=PubMed&amp;amp;dopt=Citation&amp;amp;list_uids=17569110&lt;/url&gt;&lt;/related-urls&gt;&lt;/urls&gt;&lt;electronic-resource-num&gt;10.1002/sim.2929&lt;/electronic-resource-num&gt;&lt;language&gt;eng&lt;/language&gt;&lt;/record&gt;&lt;/Cite&gt;&lt;/EndNote&gt;</w:instrText>
      </w:r>
      <w:r>
        <w:rPr>
          <w:b w:val="0"/>
          <w:sz w:val="24"/>
          <w:szCs w:val="24"/>
        </w:rPr>
        <w:fldChar w:fldCharType="separate"/>
      </w:r>
      <w:r w:rsidR="007A2979">
        <w:rPr>
          <w:b w:val="0"/>
          <w:noProof/>
          <w:sz w:val="24"/>
          <w:szCs w:val="24"/>
        </w:rPr>
        <w:t>[8]</w:t>
      </w:r>
      <w:r>
        <w:rPr>
          <w:b w:val="0"/>
          <w:sz w:val="24"/>
          <w:szCs w:val="24"/>
        </w:rPr>
        <w:fldChar w:fldCharType="end"/>
      </w:r>
      <w:r>
        <w:rPr>
          <w:b w:val="0"/>
          <w:sz w:val="24"/>
          <w:szCs w:val="24"/>
        </w:rPr>
        <w:t xml:space="preserve">  Assume </w:t>
      </w:r>
      <w:r w:rsidR="00037F4B">
        <w:rPr>
          <w:b w:val="0"/>
          <w:sz w:val="24"/>
          <w:szCs w:val="24"/>
        </w:rPr>
        <w:t xml:space="preserve">that </w:t>
      </w:r>
      <w:r>
        <w:rPr>
          <w:b w:val="0"/>
          <w:sz w:val="24"/>
          <w:szCs w:val="24"/>
        </w:rPr>
        <w:t>a single risk threshold divides the population into a low-risk and a high-risk group.  TPR (= sensitivity) is the proportion of outcome-positive individuals assigned to the high-risk group and FPR (= 1 – specificity) is the proportion of outcome-negative individuals assigned to the high-risk group.  The risk model without the added predictor has TPR</w:t>
      </w:r>
      <w:r>
        <w:rPr>
          <w:b w:val="0"/>
          <w:sz w:val="24"/>
          <w:szCs w:val="24"/>
          <w:vertAlign w:val="subscript"/>
        </w:rPr>
        <w:t>0</w:t>
      </w:r>
      <w:r>
        <w:rPr>
          <w:b w:val="0"/>
          <w:sz w:val="24"/>
          <w:szCs w:val="24"/>
        </w:rPr>
        <w:t xml:space="preserve"> and FPR</w:t>
      </w:r>
      <w:r>
        <w:rPr>
          <w:b w:val="0"/>
          <w:sz w:val="24"/>
          <w:szCs w:val="24"/>
          <w:vertAlign w:val="subscript"/>
        </w:rPr>
        <w:t>0</w:t>
      </w:r>
      <w:r>
        <w:rPr>
          <w:b w:val="0"/>
          <w:sz w:val="24"/>
          <w:szCs w:val="24"/>
        </w:rPr>
        <w:t>; with the added predictor, it has TPR</w:t>
      </w:r>
      <w:r>
        <w:rPr>
          <w:b w:val="0"/>
          <w:sz w:val="24"/>
          <w:szCs w:val="24"/>
          <w:vertAlign w:val="subscript"/>
        </w:rPr>
        <w:t>1</w:t>
      </w:r>
      <w:r>
        <w:rPr>
          <w:b w:val="0"/>
          <w:sz w:val="24"/>
          <w:szCs w:val="24"/>
        </w:rPr>
        <w:t xml:space="preserve"> and FPR</w:t>
      </w:r>
      <w:r>
        <w:rPr>
          <w:b w:val="0"/>
          <w:sz w:val="24"/>
          <w:szCs w:val="24"/>
          <w:vertAlign w:val="subscript"/>
        </w:rPr>
        <w:t>1</w:t>
      </w:r>
      <w:r>
        <w:rPr>
          <w:b w:val="0"/>
          <w:sz w:val="24"/>
          <w:szCs w:val="24"/>
        </w:rPr>
        <w:t>.  The two-category NRI is given by</w:t>
      </w:r>
    </w:p>
    <w:p w14:paraId="0BC08288" w14:textId="0DEA5D0E" w:rsidR="00C17B5C" w:rsidRDefault="00C17B5C" w:rsidP="00C17B5C">
      <w:pPr>
        <w:pStyle w:val="Heading5"/>
        <w:rPr>
          <w:b w:val="0"/>
          <w:sz w:val="24"/>
          <w:szCs w:val="24"/>
        </w:rPr>
      </w:pPr>
      <w:r>
        <w:rPr>
          <w:b w:val="0"/>
          <w:sz w:val="24"/>
          <w:szCs w:val="24"/>
        </w:rPr>
        <w:tab/>
      </w:r>
      <w:r>
        <w:rPr>
          <w:b w:val="0"/>
          <w:sz w:val="24"/>
          <w:szCs w:val="24"/>
        </w:rPr>
        <w:tab/>
        <w:t>NRI = (TPR</w:t>
      </w:r>
      <w:r>
        <w:rPr>
          <w:b w:val="0"/>
          <w:sz w:val="24"/>
          <w:szCs w:val="24"/>
          <w:vertAlign w:val="subscript"/>
        </w:rPr>
        <w:t>1</w:t>
      </w:r>
      <w:r>
        <w:rPr>
          <w:b w:val="0"/>
          <w:sz w:val="24"/>
          <w:szCs w:val="24"/>
        </w:rPr>
        <w:t xml:space="preserve"> - TPR</w:t>
      </w:r>
      <w:r>
        <w:rPr>
          <w:b w:val="0"/>
          <w:sz w:val="24"/>
          <w:szCs w:val="24"/>
          <w:vertAlign w:val="subscript"/>
        </w:rPr>
        <w:t>0</w:t>
      </w:r>
      <w:r>
        <w:rPr>
          <w:b w:val="0"/>
          <w:sz w:val="24"/>
          <w:szCs w:val="24"/>
        </w:rPr>
        <w:t>) - (FPR</w:t>
      </w:r>
      <w:r>
        <w:rPr>
          <w:b w:val="0"/>
          <w:sz w:val="24"/>
          <w:szCs w:val="24"/>
          <w:vertAlign w:val="subscript"/>
        </w:rPr>
        <w:t>1</w:t>
      </w:r>
      <w:r>
        <w:rPr>
          <w:b w:val="0"/>
          <w:sz w:val="24"/>
          <w:szCs w:val="24"/>
        </w:rPr>
        <w:t xml:space="preserve"> - FPR</w:t>
      </w:r>
      <w:r>
        <w:rPr>
          <w:b w:val="0"/>
          <w:sz w:val="24"/>
          <w:szCs w:val="24"/>
          <w:vertAlign w:val="subscript"/>
        </w:rPr>
        <w:t>0</w:t>
      </w:r>
      <w:r>
        <w:rPr>
          <w:b w:val="0"/>
          <w:sz w:val="24"/>
          <w:szCs w:val="24"/>
        </w:rPr>
        <w:t>)</w:t>
      </w:r>
    </w:p>
    <w:p w14:paraId="735C41B1" w14:textId="77777777" w:rsidR="00C17B5C" w:rsidRDefault="00C17B5C" w:rsidP="00C17B5C">
      <w:pPr>
        <w:pStyle w:val="Heading5"/>
        <w:rPr>
          <w:b w:val="0"/>
          <w:sz w:val="24"/>
          <w:szCs w:val="24"/>
        </w:rPr>
      </w:pPr>
      <w:r>
        <w:rPr>
          <w:b w:val="0"/>
          <w:sz w:val="24"/>
          <w:szCs w:val="24"/>
        </w:rPr>
        <w:t>In Chapter 3 we briefly mentioned Youden’s Index: sensitivity + specificity – 1.  The two-category NRI is the difference in Youden’s Index between the model with and without the added predictor.</w:t>
      </w:r>
    </w:p>
    <w:p w14:paraId="35511C89" w14:textId="77777777" w:rsidR="00C17B5C" w:rsidRDefault="00C17B5C" w:rsidP="00C17B5C">
      <w:pPr>
        <w:pStyle w:val="Heading5"/>
        <w:rPr>
          <w:b w:val="0"/>
          <w:sz w:val="24"/>
          <w:szCs w:val="24"/>
        </w:rPr>
      </w:pPr>
      <w:r>
        <w:rPr>
          <w:b w:val="0"/>
          <w:sz w:val="24"/>
          <w:szCs w:val="24"/>
        </w:rPr>
        <w:t>If the new model with the added predictor is perfect (TPR</w:t>
      </w:r>
      <w:r>
        <w:rPr>
          <w:b w:val="0"/>
          <w:sz w:val="24"/>
          <w:szCs w:val="24"/>
          <w:vertAlign w:val="subscript"/>
        </w:rPr>
        <w:t>1</w:t>
      </w:r>
      <w:r>
        <w:rPr>
          <w:b w:val="0"/>
          <w:sz w:val="24"/>
          <w:szCs w:val="24"/>
        </w:rPr>
        <w:t xml:space="preserve"> = 1, FPR</w:t>
      </w:r>
      <w:r>
        <w:rPr>
          <w:b w:val="0"/>
          <w:sz w:val="24"/>
          <w:szCs w:val="24"/>
          <w:vertAlign w:val="subscript"/>
        </w:rPr>
        <w:t>1</w:t>
      </w:r>
      <w:r>
        <w:rPr>
          <w:b w:val="0"/>
          <w:sz w:val="24"/>
          <w:szCs w:val="24"/>
        </w:rPr>
        <w:t xml:space="preserve"> = 0) and the base model is equivalent to the “Treat None” strategy (TPR</w:t>
      </w:r>
      <w:r>
        <w:rPr>
          <w:b w:val="0"/>
          <w:sz w:val="24"/>
          <w:szCs w:val="24"/>
          <w:vertAlign w:val="subscript"/>
        </w:rPr>
        <w:t>0</w:t>
      </w:r>
      <w:r>
        <w:rPr>
          <w:b w:val="0"/>
          <w:sz w:val="24"/>
          <w:szCs w:val="24"/>
        </w:rPr>
        <w:t xml:space="preserve"> = 0, FPR</w:t>
      </w:r>
      <w:r>
        <w:rPr>
          <w:b w:val="0"/>
          <w:sz w:val="24"/>
          <w:szCs w:val="24"/>
          <w:vertAlign w:val="subscript"/>
        </w:rPr>
        <w:t>0</w:t>
      </w:r>
      <w:r>
        <w:rPr>
          <w:b w:val="0"/>
          <w:sz w:val="24"/>
          <w:szCs w:val="24"/>
        </w:rPr>
        <w:t xml:space="preserve"> = 0), then the NRI = 1.  Although an NRI of 2 is a mathematical possibility, it would require that the base model be perfectly wrong (TPR</w:t>
      </w:r>
      <w:r>
        <w:rPr>
          <w:b w:val="0"/>
          <w:sz w:val="24"/>
          <w:szCs w:val="24"/>
          <w:vertAlign w:val="subscript"/>
        </w:rPr>
        <w:t>0</w:t>
      </w:r>
      <w:r>
        <w:rPr>
          <w:b w:val="0"/>
          <w:sz w:val="24"/>
          <w:szCs w:val="24"/>
        </w:rPr>
        <w:t xml:space="preserve"> = 0, FPR</w:t>
      </w:r>
      <w:r>
        <w:rPr>
          <w:b w:val="0"/>
          <w:sz w:val="24"/>
          <w:szCs w:val="24"/>
          <w:vertAlign w:val="subscript"/>
        </w:rPr>
        <w:t>0</w:t>
      </w:r>
      <w:r>
        <w:rPr>
          <w:b w:val="0"/>
          <w:sz w:val="24"/>
          <w:szCs w:val="24"/>
        </w:rPr>
        <w:t xml:space="preserve"> = 1).  If that were the case, you could use either the base model or the new model, since both discriminate perfectly.  If you use the base model, just treat whenever it says not to treat and vice versa.</w:t>
      </w:r>
    </w:p>
    <w:p w14:paraId="03C089B7" w14:textId="77777777" w:rsidR="00C17B5C" w:rsidRDefault="00C17B5C" w:rsidP="00C17B5C">
      <w:pPr>
        <w:pStyle w:val="Heading5"/>
        <w:rPr>
          <w:b w:val="0"/>
          <w:sz w:val="24"/>
          <w:szCs w:val="24"/>
        </w:rPr>
      </w:pPr>
      <w:r>
        <w:rPr>
          <w:b w:val="0"/>
          <w:sz w:val="24"/>
          <w:szCs w:val="24"/>
        </w:rPr>
        <w:t>It is instructive to compare the two-category NRI to the difference in standardized net benefit (</w:t>
      </w:r>
      <w:proofErr w:type="spellStart"/>
      <w:r>
        <w:rPr>
          <w:b w:val="0"/>
          <w:sz w:val="24"/>
          <w:szCs w:val="24"/>
        </w:rPr>
        <w:t>sNB</w:t>
      </w:r>
      <w:proofErr w:type="spellEnd"/>
      <w:r>
        <w:rPr>
          <w:b w:val="0"/>
          <w:sz w:val="24"/>
          <w:szCs w:val="24"/>
        </w:rPr>
        <w:t xml:space="preserve">) between two risk models.  Recall that the </w:t>
      </w:r>
      <w:proofErr w:type="spellStart"/>
      <w:r>
        <w:rPr>
          <w:b w:val="0"/>
          <w:sz w:val="24"/>
          <w:szCs w:val="24"/>
        </w:rPr>
        <w:t>sNB</w:t>
      </w:r>
      <w:proofErr w:type="spellEnd"/>
      <w:r>
        <w:rPr>
          <w:b w:val="0"/>
          <w:sz w:val="24"/>
          <w:szCs w:val="24"/>
        </w:rPr>
        <w:t xml:space="preserve"> is given by:</w:t>
      </w:r>
    </w:p>
    <w:p w14:paraId="0C6FF212" w14:textId="77777777" w:rsidR="00C17B5C" w:rsidRDefault="00C17B5C" w:rsidP="00C17B5C">
      <w:pPr>
        <w:pStyle w:val="Heading5"/>
        <w:rPr>
          <w:b w:val="0"/>
          <w:sz w:val="24"/>
          <w:szCs w:val="24"/>
        </w:rPr>
      </w:pPr>
      <w:r>
        <w:rPr>
          <w:b w:val="0"/>
        </w:rPr>
        <w:tab/>
      </w:r>
      <w:r>
        <w:rPr>
          <w:b w:val="0"/>
        </w:rPr>
        <w:tab/>
      </w:r>
      <w:proofErr w:type="spellStart"/>
      <w:r w:rsidRPr="002E4A3B">
        <w:rPr>
          <w:b w:val="0"/>
          <w:sz w:val="24"/>
          <w:szCs w:val="24"/>
        </w:rPr>
        <w:t>sNB</w:t>
      </w:r>
      <w:proofErr w:type="spellEnd"/>
      <w:r w:rsidRPr="002E4A3B">
        <w:rPr>
          <w:b w:val="0"/>
          <w:sz w:val="24"/>
          <w:szCs w:val="24"/>
        </w:rPr>
        <w:t xml:space="preserve"> = TPR - FPR</w:t>
      </w:r>
      <w:proofErr w:type="gramStart"/>
      <w:r w:rsidRPr="002E4A3B">
        <w:rPr>
          <w:b w:val="0"/>
          <w:sz w:val="24"/>
          <w:szCs w:val="24"/>
        </w:rPr>
        <w:t>×[</w:t>
      </w:r>
      <w:proofErr w:type="gramEnd"/>
      <w:r w:rsidRPr="002E4A3B">
        <w:rPr>
          <w:b w:val="0"/>
          <w:sz w:val="24"/>
          <w:szCs w:val="24"/>
        </w:rPr>
        <w:t>R</w:t>
      </w:r>
      <w:r w:rsidRPr="002E4A3B">
        <w:rPr>
          <w:b w:val="0"/>
          <w:sz w:val="24"/>
          <w:szCs w:val="24"/>
          <w:vertAlign w:val="subscript"/>
        </w:rPr>
        <w:t>TT</w:t>
      </w:r>
      <w:r w:rsidRPr="002E4A3B">
        <w:rPr>
          <w:b w:val="0"/>
          <w:sz w:val="24"/>
          <w:szCs w:val="24"/>
        </w:rPr>
        <w:t>/(1- R</w:t>
      </w:r>
      <w:r w:rsidRPr="002E4A3B">
        <w:rPr>
          <w:b w:val="0"/>
          <w:sz w:val="24"/>
          <w:szCs w:val="24"/>
          <w:vertAlign w:val="subscript"/>
        </w:rPr>
        <w:t>TT</w:t>
      </w:r>
      <w:r w:rsidRPr="002E4A3B">
        <w:rPr>
          <w:b w:val="0"/>
          <w:sz w:val="24"/>
          <w:szCs w:val="24"/>
        </w:rPr>
        <w:t>)]×(1-P)/P</w:t>
      </w:r>
    </w:p>
    <w:p w14:paraId="3DA6660B" w14:textId="77777777" w:rsidR="00C17B5C" w:rsidRDefault="00C17B5C" w:rsidP="00C17B5C">
      <w:pPr>
        <w:pStyle w:val="Heading5"/>
        <w:rPr>
          <w:b w:val="0"/>
          <w:sz w:val="24"/>
          <w:szCs w:val="24"/>
        </w:rPr>
      </w:pPr>
      <w:r>
        <w:rPr>
          <w:b w:val="0"/>
          <w:sz w:val="24"/>
          <w:szCs w:val="24"/>
        </w:rPr>
        <w:tab/>
      </w:r>
      <w:r>
        <w:rPr>
          <w:b w:val="0"/>
          <w:sz w:val="24"/>
          <w:szCs w:val="24"/>
        </w:rPr>
        <w:tab/>
      </w:r>
      <w:r w:rsidRPr="002E4A3B">
        <w:rPr>
          <w:b w:val="0"/>
          <w:sz w:val="24"/>
          <w:szCs w:val="24"/>
        </w:rPr>
        <w:t>R</w:t>
      </w:r>
      <w:r w:rsidRPr="002E4A3B">
        <w:rPr>
          <w:b w:val="0"/>
          <w:sz w:val="24"/>
          <w:szCs w:val="24"/>
          <w:vertAlign w:val="subscript"/>
        </w:rPr>
        <w:t>TT</w:t>
      </w:r>
      <w:r>
        <w:rPr>
          <w:b w:val="0"/>
          <w:sz w:val="24"/>
          <w:szCs w:val="24"/>
        </w:rPr>
        <w:t xml:space="preserve"> = risk threshold = C/(C+B)</w:t>
      </w:r>
    </w:p>
    <w:p w14:paraId="33A5951B" w14:textId="77777777" w:rsidR="00C17B5C" w:rsidRDefault="00C17B5C" w:rsidP="00C17B5C">
      <w:pPr>
        <w:pStyle w:val="Heading5"/>
        <w:rPr>
          <w:b w:val="0"/>
          <w:sz w:val="24"/>
          <w:szCs w:val="24"/>
        </w:rPr>
      </w:pPr>
      <w:r>
        <w:rPr>
          <w:b w:val="0"/>
          <w:sz w:val="24"/>
          <w:szCs w:val="24"/>
        </w:rPr>
        <w:tab/>
      </w:r>
      <w:r>
        <w:rPr>
          <w:b w:val="0"/>
          <w:sz w:val="24"/>
          <w:szCs w:val="24"/>
        </w:rPr>
        <w:tab/>
        <w:t xml:space="preserve">TPR = sensitivity (at </w:t>
      </w:r>
      <w:r w:rsidRPr="002E4A3B">
        <w:rPr>
          <w:b w:val="0"/>
          <w:sz w:val="24"/>
          <w:szCs w:val="24"/>
        </w:rPr>
        <w:t>R</w:t>
      </w:r>
      <w:r w:rsidRPr="002E4A3B">
        <w:rPr>
          <w:b w:val="0"/>
          <w:sz w:val="24"/>
          <w:szCs w:val="24"/>
          <w:vertAlign w:val="subscript"/>
        </w:rPr>
        <w:t>TT</w:t>
      </w:r>
      <w:r>
        <w:rPr>
          <w:b w:val="0"/>
          <w:sz w:val="24"/>
          <w:szCs w:val="24"/>
        </w:rPr>
        <w:t>)</w:t>
      </w:r>
    </w:p>
    <w:p w14:paraId="7255EFDE" w14:textId="77777777" w:rsidR="00C17B5C" w:rsidRDefault="00C17B5C" w:rsidP="00C17B5C">
      <w:pPr>
        <w:pStyle w:val="Heading5"/>
        <w:rPr>
          <w:b w:val="0"/>
          <w:sz w:val="24"/>
          <w:szCs w:val="24"/>
        </w:rPr>
      </w:pPr>
      <w:r>
        <w:rPr>
          <w:b w:val="0"/>
          <w:sz w:val="24"/>
          <w:szCs w:val="24"/>
        </w:rPr>
        <w:tab/>
      </w:r>
      <w:r>
        <w:rPr>
          <w:b w:val="0"/>
          <w:sz w:val="24"/>
          <w:szCs w:val="24"/>
        </w:rPr>
        <w:tab/>
        <w:t xml:space="preserve">FPR = 1 – specificity (at </w:t>
      </w:r>
      <w:r w:rsidRPr="002E4A3B">
        <w:rPr>
          <w:b w:val="0"/>
          <w:sz w:val="24"/>
          <w:szCs w:val="24"/>
        </w:rPr>
        <w:t>R</w:t>
      </w:r>
      <w:r w:rsidRPr="002E4A3B">
        <w:rPr>
          <w:b w:val="0"/>
          <w:sz w:val="24"/>
          <w:szCs w:val="24"/>
          <w:vertAlign w:val="subscript"/>
        </w:rPr>
        <w:t>TT</w:t>
      </w:r>
      <w:r>
        <w:rPr>
          <w:b w:val="0"/>
          <w:sz w:val="24"/>
          <w:szCs w:val="24"/>
        </w:rPr>
        <w:t>)</w:t>
      </w:r>
    </w:p>
    <w:p w14:paraId="65E0074A" w14:textId="77777777" w:rsidR="00C17B5C" w:rsidRDefault="00C17B5C" w:rsidP="00C17B5C">
      <w:pPr>
        <w:pStyle w:val="Heading5"/>
        <w:rPr>
          <w:b w:val="0"/>
          <w:sz w:val="24"/>
          <w:szCs w:val="24"/>
        </w:rPr>
      </w:pPr>
      <w:r>
        <w:rPr>
          <w:b w:val="0"/>
          <w:sz w:val="24"/>
          <w:szCs w:val="24"/>
        </w:rPr>
        <w:tab/>
      </w:r>
      <w:r>
        <w:rPr>
          <w:b w:val="0"/>
          <w:sz w:val="24"/>
          <w:szCs w:val="24"/>
        </w:rPr>
        <w:tab/>
        <w:t>P = proportion of the population with the outcome</w:t>
      </w:r>
    </w:p>
    <w:p w14:paraId="5E849499" w14:textId="77777777" w:rsidR="00C17B5C" w:rsidRDefault="00C17B5C" w:rsidP="00C17B5C">
      <w:pPr>
        <w:pStyle w:val="Heading5"/>
        <w:rPr>
          <w:b w:val="0"/>
          <w:sz w:val="24"/>
          <w:szCs w:val="24"/>
        </w:rPr>
      </w:pPr>
      <w:r>
        <w:rPr>
          <w:b w:val="0"/>
          <w:sz w:val="24"/>
          <w:szCs w:val="24"/>
        </w:rPr>
        <w:t xml:space="preserve">The difference in </w:t>
      </w:r>
      <w:proofErr w:type="spellStart"/>
      <w:r>
        <w:rPr>
          <w:b w:val="0"/>
          <w:sz w:val="24"/>
          <w:szCs w:val="24"/>
        </w:rPr>
        <w:t>sNB</w:t>
      </w:r>
      <w:proofErr w:type="spellEnd"/>
      <w:r>
        <w:rPr>
          <w:b w:val="0"/>
          <w:sz w:val="24"/>
          <w:szCs w:val="24"/>
        </w:rPr>
        <w:t xml:space="preserve"> is given by</w:t>
      </w:r>
    </w:p>
    <w:p w14:paraId="1F458EF2" w14:textId="77777777" w:rsidR="00C17B5C" w:rsidRDefault="00C17B5C" w:rsidP="00C17B5C">
      <w:pPr>
        <w:pStyle w:val="Heading5"/>
        <w:rPr>
          <w:b w:val="0"/>
          <w:sz w:val="24"/>
          <w:szCs w:val="24"/>
        </w:rPr>
      </w:pPr>
      <w:r>
        <w:rPr>
          <w:b w:val="0"/>
          <w:sz w:val="24"/>
          <w:szCs w:val="24"/>
        </w:rPr>
        <w:tab/>
      </w:r>
      <w:r>
        <w:rPr>
          <w:b w:val="0"/>
          <w:sz w:val="24"/>
          <w:szCs w:val="24"/>
        </w:rPr>
        <w:tab/>
      </w:r>
      <w:proofErr w:type="spellStart"/>
      <w:r>
        <w:rPr>
          <w:b w:val="0"/>
          <w:sz w:val="24"/>
          <w:szCs w:val="24"/>
        </w:rPr>
        <w:t>ΔsNB</w:t>
      </w:r>
      <w:proofErr w:type="spellEnd"/>
      <w:r>
        <w:rPr>
          <w:b w:val="0"/>
          <w:sz w:val="24"/>
          <w:szCs w:val="24"/>
        </w:rPr>
        <w:t xml:space="preserve"> </w:t>
      </w:r>
      <w:proofErr w:type="gramStart"/>
      <w:r>
        <w:rPr>
          <w:b w:val="0"/>
          <w:sz w:val="24"/>
          <w:szCs w:val="24"/>
        </w:rPr>
        <w:t>=  (</w:t>
      </w:r>
      <w:proofErr w:type="gramEnd"/>
      <w:r>
        <w:rPr>
          <w:b w:val="0"/>
          <w:sz w:val="24"/>
          <w:szCs w:val="24"/>
        </w:rPr>
        <w:t>TPR</w:t>
      </w:r>
      <w:r>
        <w:rPr>
          <w:b w:val="0"/>
          <w:sz w:val="24"/>
          <w:szCs w:val="24"/>
          <w:vertAlign w:val="subscript"/>
        </w:rPr>
        <w:t>1</w:t>
      </w:r>
      <w:r>
        <w:rPr>
          <w:b w:val="0"/>
          <w:sz w:val="24"/>
          <w:szCs w:val="24"/>
        </w:rPr>
        <w:t xml:space="preserve"> - TPR</w:t>
      </w:r>
      <w:r>
        <w:rPr>
          <w:b w:val="0"/>
          <w:sz w:val="24"/>
          <w:szCs w:val="24"/>
          <w:vertAlign w:val="subscript"/>
        </w:rPr>
        <w:t>0</w:t>
      </w:r>
      <w:r>
        <w:rPr>
          <w:b w:val="0"/>
          <w:sz w:val="24"/>
          <w:szCs w:val="24"/>
        </w:rPr>
        <w:t>) - (FPR</w:t>
      </w:r>
      <w:r>
        <w:rPr>
          <w:b w:val="0"/>
          <w:sz w:val="24"/>
          <w:szCs w:val="24"/>
          <w:vertAlign w:val="subscript"/>
        </w:rPr>
        <w:t>1</w:t>
      </w:r>
      <w:r>
        <w:rPr>
          <w:b w:val="0"/>
          <w:sz w:val="24"/>
          <w:szCs w:val="24"/>
        </w:rPr>
        <w:t xml:space="preserve"> - FPR</w:t>
      </w:r>
      <w:r>
        <w:rPr>
          <w:b w:val="0"/>
          <w:sz w:val="24"/>
          <w:szCs w:val="24"/>
          <w:vertAlign w:val="subscript"/>
        </w:rPr>
        <w:t>0</w:t>
      </w:r>
      <w:r>
        <w:rPr>
          <w:b w:val="0"/>
          <w:sz w:val="24"/>
          <w:szCs w:val="24"/>
        </w:rPr>
        <w:t xml:space="preserve">) </w:t>
      </w:r>
      <w:r w:rsidRPr="002E4A3B">
        <w:rPr>
          <w:b w:val="0"/>
          <w:sz w:val="24"/>
          <w:szCs w:val="24"/>
        </w:rPr>
        <w:t>×[R</w:t>
      </w:r>
      <w:r w:rsidRPr="002E4A3B">
        <w:rPr>
          <w:b w:val="0"/>
          <w:sz w:val="24"/>
          <w:szCs w:val="24"/>
          <w:vertAlign w:val="subscript"/>
        </w:rPr>
        <w:t>TT</w:t>
      </w:r>
      <w:r w:rsidRPr="002E4A3B">
        <w:rPr>
          <w:b w:val="0"/>
          <w:sz w:val="24"/>
          <w:szCs w:val="24"/>
        </w:rPr>
        <w:t>/(1- R</w:t>
      </w:r>
      <w:r w:rsidRPr="002E4A3B">
        <w:rPr>
          <w:b w:val="0"/>
          <w:sz w:val="24"/>
          <w:szCs w:val="24"/>
          <w:vertAlign w:val="subscript"/>
        </w:rPr>
        <w:t>TT</w:t>
      </w:r>
      <w:r w:rsidRPr="002E4A3B">
        <w:rPr>
          <w:b w:val="0"/>
          <w:sz w:val="24"/>
          <w:szCs w:val="24"/>
        </w:rPr>
        <w:t>)]×(1-P)/P</w:t>
      </w:r>
    </w:p>
    <w:p w14:paraId="4A8999D4" w14:textId="77777777" w:rsidR="00C17B5C" w:rsidRDefault="00C17B5C" w:rsidP="00C17B5C">
      <w:pPr>
        <w:pStyle w:val="Heading5"/>
        <w:rPr>
          <w:b w:val="0"/>
          <w:sz w:val="24"/>
          <w:szCs w:val="24"/>
        </w:rPr>
      </w:pPr>
      <w:r>
        <w:rPr>
          <w:b w:val="0"/>
          <w:sz w:val="24"/>
          <w:szCs w:val="24"/>
        </w:rPr>
        <w:t xml:space="preserve">Remember that </w:t>
      </w:r>
      <w:r w:rsidRPr="002E4A3B">
        <w:rPr>
          <w:b w:val="0"/>
          <w:sz w:val="24"/>
          <w:szCs w:val="24"/>
        </w:rPr>
        <w:t>R</w:t>
      </w:r>
      <w:r w:rsidRPr="002E4A3B">
        <w:rPr>
          <w:b w:val="0"/>
          <w:sz w:val="24"/>
          <w:szCs w:val="24"/>
          <w:vertAlign w:val="subscript"/>
        </w:rPr>
        <w:t>TT</w:t>
      </w:r>
      <w:proofErr w:type="gramStart"/>
      <w:r w:rsidRPr="002E4A3B">
        <w:rPr>
          <w:b w:val="0"/>
          <w:sz w:val="24"/>
          <w:szCs w:val="24"/>
        </w:rPr>
        <w:t>/(</w:t>
      </w:r>
      <w:proofErr w:type="gramEnd"/>
      <w:r w:rsidRPr="002E4A3B">
        <w:rPr>
          <w:b w:val="0"/>
          <w:sz w:val="24"/>
          <w:szCs w:val="24"/>
        </w:rPr>
        <w:t>1- R</w:t>
      </w:r>
      <w:r w:rsidRPr="002E4A3B">
        <w:rPr>
          <w:b w:val="0"/>
          <w:sz w:val="24"/>
          <w:szCs w:val="24"/>
          <w:vertAlign w:val="subscript"/>
        </w:rPr>
        <w:t>TT</w:t>
      </w:r>
      <w:r>
        <w:rPr>
          <w:b w:val="0"/>
          <w:sz w:val="24"/>
          <w:szCs w:val="24"/>
        </w:rPr>
        <w:t>) = C/B, the misclassification cost ratio.</w:t>
      </w:r>
    </w:p>
    <w:p w14:paraId="1BDF3189" w14:textId="77777777" w:rsidR="00C17B5C" w:rsidRDefault="00C17B5C" w:rsidP="00C17B5C">
      <w:pPr>
        <w:pStyle w:val="Heading5"/>
        <w:rPr>
          <w:b w:val="0"/>
          <w:sz w:val="24"/>
          <w:szCs w:val="24"/>
        </w:rPr>
      </w:pPr>
      <w:r>
        <w:rPr>
          <w:b w:val="0"/>
          <w:sz w:val="24"/>
          <w:szCs w:val="24"/>
        </w:rPr>
        <w:tab/>
      </w:r>
      <w:r>
        <w:rPr>
          <w:b w:val="0"/>
          <w:sz w:val="24"/>
          <w:szCs w:val="24"/>
        </w:rPr>
        <w:tab/>
      </w:r>
      <w:proofErr w:type="spellStart"/>
      <w:r>
        <w:rPr>
          <w:b w:val="0"/>
          <w:sz w:val="24"/>
          <w:szCs w:val="24"/>
        </w:rPr>
        <w:t>ΔsNB</w:t>
      </w:r>
      <w:proofErr w:type="spellEnd"/>
      <w:r>
        <w:rPr>
          <w:b w:val="0"/>
          <w:sz w:val="24"/>
          <w:szCs w:val="24"/>
        </w:rPr>
        <w:t xml:space="preserve"> </w:t>
      </w:r>
      <w:proofErr w:type="gramStart"/>
      <w:r>
        <w:rPr>
          <w:b w:val="0"/>
          <w:sz w:val="24"/>
          <w:szCs w:val="24"/>
        </w:rPr>
        <w:t>=  (</w:t>
      </w:r>
      <w:proofErr w:type="gramEnd"/>
      <w:r>
        <w:rPr>
          <w:b w:val="0"/>
          <w:sz w:val="24"/>
          <w:szCs w:val="24"/>
        </w:rPr>
        <w:t>TPR</w:t>
      </w:r>
      <w:r>
        <w:rPr>
          <w:b w:val="0"/>
          <w:sz w:val="24"/>
          <w:szCs w:val="24"/>
          <w:vertAlign w:val="subscript"/>
        </w:rPr>
        <w:t>1</w:t>
      </w:r>
      <w:r>
        <w:rPr>
          <w:b w:val="0"/>
          <w:sz w:val="24"/>
          <w:szCs w:val="24"/>
        </w:rPr>
        <w:t xml:space="preserve"> - TPR</w:t>
      </w:r>
      <w:r>
        <w:rPr>
          <w:b w:val="0"/>
          <w:sz w:val="24"/>
          <w:szCs w:val="24"/>
          <w:vertAlign w:val="subscript"/>
        </w:rPr>
        <w:t>0</w:t>
      </w:r>
      <w:r>
        <w:rPr>
          <w:b w:val="0"/>
          <w:sz w:val="24"/>
          <w:szCs w:val="24"/>
        </w:rPr>
        <w:t>) - (FPR</w:t>
      </w:r>
      <w:r>
        <w:rPr>
          <w:b w:val="0"/>
          <w:sz w:val="24"/>
          <w:szCs w:val="24"/>
          <w:vertAlign w:val="subscript"/>
        </w:rPr>
        <w:t>1</w:t>
      </w:r>
      <w:r>
        <w:rPr>
          <w:b w:val="0"/>
          <w:sz w:val="24"/>
          <w:szCs w:val="24"/>
        </w:rPr>
        <w:t xml:space="preserve"> - FPR</w:t>
      </w:r>
      <w:r>
        <w:rPr>
          <w:b w:val="0"/>
          <w:sz w:val="24"/>
          <w:szCs w:val="24"/>
          <w:vertAlign w:val="subscript"/>
        </w:rPr>
        <w:t>0</w:t>
      </w:r>
      <w:r>
        <w:rPr>
          <w:b w:val="0"/>
          <w:sz w:val="24"/>
          <w:szCs w:val="24"/>
        </w:rPr>
        <w:t xml:space="preserve">) </w:t>
      </w:r>
      <w:r w:rsidRPr="002E4A3B">
        <w:rPr>
          <w:b w:val="0"/>
          <w:sz w:val="24"/>
          <w:szCs w:val="24"/>
        </w:rPr>
        <w:t>×[</w:t>
      </w:r>
      <w:r>
        <w:rPr>
          <w:b w:val="0"/>
          <w:sz w:val="24"/>
          <w:szCs w:val="24"/>
        </w:rPr>
        <w:t>C/B]</w:t>
      </w:r>
      <w:r w:rsidRPr="00804E48">
        <w:rPr>
          <w:b w:val="0"/>
          <w:sz w:val="24"/>
          <w:szCs w:val="24"/>
        </w:rPr>
        <w:t xml:space="preserve"> </w:t>
      </w:r>
      <w:r w:rsidRPr="002E4A3B">
        <w:rPr>
          <w:b w:val="0"/>
          <w:sz w:val="24"/>
          <w:szCs w:val="24"/>
        </w:rPr>
        <w:t>×</w:t>
      </w:r>
      <w:r>
        <w:rPr>
          <w:b w:val="0"/>
          <w:sz w:val="24"/>
          <w:szCs w:val="24"/>
        </w:rPr>
        <w:t xml:space="preserve"> (</w:t>
      </w:r>
      <w:r w:rsidRPr="002E4A3B">
        <w:rPr>
          <w:b w:val="0"/>
          <w:sz w:val="24"/>
          <w:szCs w:val="24"/>
        </w:rPr>
        <w:t>1-P)/P</w:t>
      </w:r>
    </w:p>
    <w:p w14:paraId="5C7C0E3D" w14:textId="77777777" w:rsidR="00C17B5C" w:rsidRDefault="00C17B5C" w:rsidP="00C17B5C"/>
    <w:p w14:paraId="1E3B2037" w14:textId="77777777" w:rsidR="00C17B5C" w:rsidRPr="0013649E" w:rsidRDefault="00C17B5C" w:rsidP="00C17B5C">
      <w:r w:rsidRPr="00C0449E">
        <w:lastRenderedPageBreak/>
        <w:t xml:space="preserve">Comparing the NRI to </w:t>
      </w:r>
      <w:proofErr w:type="spellStart"/>
      <w:r w:rsidRPr="00C0449E">
        <w:t>ΔsNB</w:t>
      </w:r>
      <w:proofErr w:type="spellEnd"/>
      <w:r w:rsidRPr="00C0449E">
        <w:t xml:space="preserve">, we see that </w:t>
      </w:r>
      <w:proofErr w:type="spellStart"/>
      <w:r w:rsidRPr="00C0449E">
        <w:t>ΔsNB</w:t>
      </w:r>
      <w:proofErr w:type="spellEnd"/>
      <w:r w:rsidRPr="00C0449E">
        <w:t xml:space="preserve"> weights the change in FPR by both C/B and the odds of </w:t>
      </w:r>
      <w:r w:rsidRPr="00C0449E">
        <w:rPr>
          <w:i/>
        </w:rPr>
        <w:t>not</w:t>
      </w:r>
      <w:r w:rsidRPr="00C0449E">
        <w:t xml:space="preserve"> having the outcome</w:t>
      </w:r>
      <w:r>
        <w:t xml:space="preserve">, </w:t>
      </w:r>
      <w:r w:rsidRPr="006F3088">
        <w:t xml:space="preserve">(1-P)/P.  </w:t>
      </w:r>
      <w:r w:rsidRPr="00C0449E">
        <w:t xml:space="preserve">This weighting makes sense to us, since the effect of a change in the FPR should depend on what proportion of the population will be affected by a false positive and by the relative cost of treating someone unnecessarily.   Consider a situation in which the proportion of the population who develop the outcome is high and it is much worse to fail to treat than to treat unnecessarily.  In such a case, a </w:t>
      </w:r>
      <w:r>
        <w:t>change that leads to a small de</w:t>
      </w:r>
      <w:r w:rsidRPr="00C0449E">
        <w:t xml:space="preserve">crease in the TPR </w:t>
      </w:r>
      <w:r>
        <w:t>may not be</w:t>
      </w:r>
      <w:r w:rsidRPr="00C0449E">
        <w:t xml:space="preserve"> worth </w:t>
      </w:r>
      <w:r>
        <w:t xml:space="preserve">even a large decrease in the FPR.  </w:t>
      </w:r>
      <w:proofErr w:type="spellStart"/>
      <w:r w:rsidRPr="00C0449E">
        <w:t>ΔsNB</w:t>
      </w:r>
      <w:proofErr w:type="spellEnd"/>
      <w:r w:rsidRPr="00C0449E">
        <w:t xml:space="preserve"> will reflect this and be </w:t>
      </w:r>
      <w:r>
        <w:t>negative</w:t>
      </w:r>
      <w:r w:rsidRPr="00C0449E">
        <w:t xml:space="preserve">, but the NRI will be </w:t>
      </w:r>
      <w:r>
        <w:t xml:space="preserve">positive, because </w:t>
      </w:r>
      <w:proofErr w:type="gramStart"/>
      <w:r>
        <w:t>it</w:t>
      </w:r>
      <w:proofErr w:type="gramEnd"/>
      <w:r>
        <w:t xml:space="preserve"> weights decreases in the TPR and the FPR equally</w:t>
      </w:r>
      <w:r w:rsidRPr="00C0449E">
        <w:t xml:space="preserve">. </w:t>
      </w:r>
      <w:r>
        <w:t xml:space="preserve">  Above we said that, when </w:t>
      </w:r>
      <w:proofErr w:type="gramStart"/>
      <w:r>
        <w:t>C:B</w:t>
      </w:r>
      <w:proofErr w:type="gramEnd"/>
      <w:r>
        <w:t xml:space="preserve"> = 1:9 (</w:t>
      </w:r>
      <w:r w:rsidRPr="0013649E">
        <w:t>R</w:t>
      </w:r>
      <w:r w:rsidRPr="0013649E">
        <w:rPr>
          <w:vertAlign w:val="subscript"/>
        </w:rPr>
        <w:t>TT</w:t>
      </w:r>
      <w:r>
        <w:t xml:space="preserve"> = 0.1), </w:t>
      </w:r>
      <w:proofErr w:type="spellStart"/>
      <w:r>
        <w:t>PolyANA’s</w:t>
      </w:r>
      <w:proofErr w:type="spellEnd"/>
      <w:r>
        <w:t xml:space="preserve"> risk prediction has a lower </w:t>
      </w:r>
      <w:proofErr w:type="spellStart"/>
      <w:r>
        <w:t>sNB</w:t>
      </w:r>
      <w:proofErr w:type="spellEnd"/>
      <w:r>
        <w:t xml:space="preserve"> than the “Treat All” strategy (</w:t>
      </w:r>
      <w:proofErr w:type="spellStart"/>
      <w:r w:rsidRPr="00893C7A">
        <w:t>ΔsNB</w:t>
      </w:r>
      <w:proofErr w:type="spellEnd"/>
      <w:r w:rsidRPr="00893C7A">
        <w:t xml:space="preserve"> =  -0.0</w:t>
      </w:r>
      <w:r>
        <w:t xml:space="preserve">19), but </w:t>
      </w:r>
      <w:proofErr w:type="spellStart"/>
      <w:r>
        <w:t>PolyANA’s</w:t>
      </w:r>
      <w:proofErr w:type="spellEnd"/>
      <w:r>
        <w:t xml:space="preserve"> NRI is 0.19.</w:t>
      </w:r>
      <w:r>
        <w:rPr>
          <w:rStyle w:val="FootnoteReference"/>
        </w:rPr>
        <w:footnoteReference w:id="11"/>
      </w:r>
    </w:p>
    <w:p w14:paraId="5D4FA097" w14:textId="77777777" w:rsidR="00C17B5C" w:rsidRDefault="00C17B5C" w:rsidP="00C17B5C"/>
    <w:p w14:paraId="52D0AD0D" w14:textId="77777777" w:rsidR="00C17B5C" w:rsidRDefault="00C17B5C" w:rsidP="00C17B5C">
      <w:r>
        <w:t xml:space="preserve">The NRI is also defined when there are more than two risk groups.  For example, there might be low-, medium-, and high-risk groups.  The NRI still does not weight errors by the proportion of the population affected or by relative misclassification costs, but presumably it is worse to misclassify an outcome-positive individual as low risk than it is to misclassify him as medium risk.  Similarly, it is worse to misclassify an outcome-negative person as high risk than to </w:t>
      </w:r>
      <w:r w:rsidR="00972582">
        <w:t>misclassify</w:t>
      </w:r>
      <w:r>
        <w:t xml:space="preserve"> him as medium risk.  </w:t>
      </w:r>
    </w:p>
    <w:p w14:paraId="2A8BB0A7" w14:textId="77777777" w:rsidR="00C17B5C" w:rsidRDefault="00C17B5C" w:rsidP="00C17B5C"/>
    <w:p w14:paraId="4C04C3D8" w14:textId="7300A718" w:rsidR="00C17B5C" w:rsidRDefault="00C17B5C" w:rsidP="00C17B5C">
      <w:r>
        <w:t xml:space="preserve">Two additional proposed measures to quantify the improvement in predictive accuracy are the “Category-free” NRI and Integrated Discrimination Improvement (IDI), which are calculated as follows: </w:t>
      </w:r>
    </w:p>
    <w:p w14:paraId="6DDA12C1" w14:textId="77777777" w:rsidR="00C17B5C" w:rsidRDefault="00C17B5C" w:rsidP="00C17B5C"/>
    <w:p w14:paraId="620E556C" w14:textId="77777777" w:rsidR="00C17B5C" w:rsidRDefault="00C17B5C" w:rsidP="00C17B5C">
      <w:pPr>
        <w:pStyle w:val="NormalWeb"/>
        <w:numPr>
          <w:ilvl w:val="0"/>
          <w:numId w:val="5"/>
        </w:numPr>
      </w:pPr>
      <w:r>
        <w:t xml:space="preserve">For each individual in the population, obtain the risk predictions </w:t>
      </w:r>
      <w:r w:rsidRPr="00F821EE">
        <w:rPr>
          <w:b/>
        </w:rPr>
        <w:t>r</w:t>
      </w:r>
      <w:r>
        <w:rPr>
          <w:vertAlign w:val="subscript"/>
        </w:rPr>
        <w:t>0</w:t>
      </w:r>
      <w:r>
        <w:t xml:space="preserve"> without the new predictor and </w:t>
      </w:r>
      <w:r w:rsidRPr="00F821EE">
        <w:rPr>
          <w:b/>
        </w:rPr>
        <w:t>r</w:t>
      </w:r>
      <w:r>
        <w:rPr>
          <w:vertAlign w:val="subscript"/>
        </w:rPr>
        <w:t>1</w:t>
      </w:r>
      <w:r>
        <w:t xml:space="preserve"> with the new predictor.</w:t>
      </w:r>
    </w:p>
    <w:p w14:paraId="5AEFEBDF" w14:textId="77777777" w:rsidR="00C17B5C" w:rsidRDefault="00C17B5C" w:rsidP="00C17B5C">
      <w:pPr>
        <w:pStyle w:val="NormalWeb"/>
        <w:numPr>
          <w:ilvl w:val="0"/>
          <w:numId w:val="5"/>
        </w:numPr>
      </w:pPr>
      <w:r>
        <w:t xml:space="preserve">Determine the proportion Q+ of the outcome-positive population with </w:t>
      </w:r>
      <w:r w:rsidRPr="00F821EE">
        <w:rPr>
          <w:b/>
        </w:rPr>
        <w:t>r</w:t>
      </w:r>
      <w:r>
        <w:rPr>
          <w:vertAlign w:val="subscript"/>
        </w:rPr>
        <w:t xml:space="preserve">1 </w:t>
      </w:r>
      <w:r>
        <w:t xml:space="preserve">&gt; </w:t>
      </w:r>
      <w:r w:rsidRPr="00F821EE">
        <w:rPr>
          <w:b/>
        </w:rPr>
        <w:t>r</w:t>
      </w:r>
      <w:r>
        <w:rPr>
          <w:vertAlign w:val="subscript"/>
        </w:rPr>
        <w:t xml:space="preserve">0 </w:t>
      </w:r>
      <w:r>
        <w:t xml:space="preserve">and the corresponding proportion Q- of the outcome-negative population (with </w:t>
      </w:r>
      <w:r w:rsidRPr="00F821EE">
        <w:rPr>
          <w:b/>
        </w:rPr>
        <w:t>r</w:t>
      </w:r>
      <w:r>
        <w:rPr>
          <w:vertAlign w:val="subscript"/>
        </w:rPr>
        <w:t xml:space="preserve">1 </w:t>
      </w:r>
      <w:r>
        <w:t xml:space="preserve">&gt; </w:t>
      </w:r>
      <w:r w:rsidRPr="00F821EE">
        <w:rPr>
          <w:b/>
        </w:rPr>
        <w:t>r</w:t>
      </w:r>
      <w:r>
        <w:rPr>
          <w:vertAlign w:val="subscript"/>
        </w:rPr>
        <w:t>0</w:t>
      </w:r>
      <w:r>
        <w:t>).</w:t>
      </w:r>
    </w:p>
    <w:p w14:paraId="4138A978" w14:textId="1379F6F0" w:rsidR="00C17B5C" w:rsidRDefault="00C17B5C" w:rsidP="00C17B5C">
      <w:pPr>
        <w:pStyle w:val="NormalWeb"/>
        <w:numPr>
          <w:ilvl w:val="0"/>
          <w:numId w:val="5"/>
        </w:numPr>
      </w:pPr>
      <w:r>
        <w:t xml:space="preserve">Calculate the mean predicted risks in the outcome-positive and outcome negative populations: </w:t>
      </w:r>
      <w:r w:rsidRPr="00F821EE">
        <w:rPr>
          <w:b/>
        </w:rPr>
        <w:t>r</w:t>
      </w:r>
      <w:r>
        <w:rPr>
          <w:vertAlign w:val="subscript"/>
        </w:rPr>
        <w:t>0</w:t>
      </w:r>
      <w:r>
        <w:t xml:space="preserve">+, </w:t>
      </w:r>
      <w:r w:rsidRPr="00F821EE">
        <w:rPr>
          <w:b/>
        </w:rPr>
        <w:t>r</w:t>
      </w:r>
      <w:r>
        <w:rPr>
          <w:vertAlign w:val="subscript"/>
        </w:rPr>
        <w:t>1</w:t>
      </w:r>
      <w:r>
        <w:t xml:space="preserve">+, </w:t>
      </w:r>
      <w:r w:rsidRPr="00F821EE">
        <w:rPr>
          <w:b/>
        </w:rPr>
        <w:t>r</w:t>
      </w:r>
      <w:r>
        <w:rPr>
          <w:vertAlign w:val="subscript"/>
        </w:rPr>
        <w:t>0</w:t>
      </w:r>
      <w:r>
        <w:t xml:space="preserve">-, </w:t>
      </w:r>
      <w:r w:rsidRPr="00F821EE">
        <w:rPr>
          <w:b/>
        </w:rPr>
        <w:t>r</w:t>
      </w:r>
      <w:r>
        <w:rPr>
          <w:vertAlign w:val="subscript"/>
        </w:rPr>
        <w:t>1</w:t>
      </w:r>
      <w:proofErr w:type="gramStart"/>
      <w:r>
        <w:t>-  .</w:t>
      </w:r>
      <w:proofErr w:type="gramEnd"/>
    </w:p>
    <w:p w14:paraId="35CA4A2B" w14:textId="77777777" w:rsidR="00C17B5C" w:rsidRDefault="00C17B5C" w:rsidP="00C17B5C">
      <w:r>
        <w:t>For the new model to be better than the old, we would like to</w:t>
      </w:r>
      <w:bookmarkStart w:id="0" w:name="_GoBack"/>
      <w:bookmarkEnd w:id="0"/>
      <w:r>
        <w:t xml:space="preserve"> see </w:t>
      </w:r>
      <w:r w:rsidRPr="00F821EE">
        <w:rPr>
          <w:b/>
        </w:rPr>
        <w:t>r</w:t>
      </w:r>
      <w:r>
        <w:rPr>
          <w:vertAlign w:val="subscript"/>
        </w:rPr>
        <w:t xml:space="preserve">1 </w:t>
      </w:r>
      <w:r>
        <w:t xml:space="preserve">&gt; </w:t>
      </w:r>
      <w:r w:rsidRPr="00F821EE">
        <w:rPr>
          <w:b/>
        </w:rPr>
        <w:t>r</w:t>
      </w:r>
      <w:r>
        <w:rPr>
          <w:vertAlign w:val="subscript"/>
        </w:rPr>
        <w:t xml:space="preserve">0 </w:t>
      </w:r>
      <w:r>
        <w:t xml:space="preserve">in people who ultimately have the outcome but not in people who don’t have the outcome, so the category-free NRI is defined as </w:t>
      </w:r>
    </w:p>
    <w:p w14:paraId="2C8C2AD7" w14:textId="77777777" w:rsidR="00C17B5C" w:rsidRDefault="00C17B5C" w:rsidP="00C17B5C"/>
    <w:p w14:paraId="18543E11" w14:textId="77777777" w:rsidR="00C17B5C" w:rsidRDefault="00C17B5C" w:rsidP="00C17B5C">
      <w:r>
        <w:tab/>
        <w:t>Category-free NRI = 2</w:t>
      </w:r>
      <w:proofErr w:type="gramStart"/>
      <w:r>
        <w:t>×(</w:t>
      </w:r>
      <w:proofErr w:type="gramEnd"/>
      <w:r>
        <w:t>Q+ - Q-)</w:t>
      </w:r>
    </w:p>
    <w:p w14:paraId="72DDE259" w14:textId="77777777" w:rsidR="00C17B5C" w:rsidRDefault="00C17B5C" w:rsidP="00C17B5C"/>
    <w:p w14:paraId="454157CF" w14:textId="007AE837" w:rsidR="00C17B5C" w:rsidRDefault="00C17B5C" w:rsidP="00C17B5C">
      <w:r w:rsidRPr="00C0449E">
        <w:t>Even without considering relative misclassification costs and the proportion with the outcome, Pepe and colleagues showed that</w:t>
      </w:r>
      <w:r>
        <w:rPr>
          <w:b/>
        </w:rPr>
        <w:t xml:space="preserve"> </w:t>
      </w:r>
      <w:r>
        <w:t xml:space="preserve">a new model </w:t>
      </w:r>
      <w:r w:rsidRPr="00E623D6">
        <w:t>specifically designed to contain no additional information</w:t>
      </w:r>
      <w:r>
        <w:t xml:space="preserve"> beyond the base model will have a positive category-free </w:t>
      </w:r>
      <w:r w:rsidRPr="00C0449E">
        <w:t>NRI</w:t>
      </w:r>
      <w:r>
        <w:t>.</w:t>
      </w:r>
      <w:r>
        <w:fldChar w:fldCharType="begin"/>
      </w:r>
      <w:r w:rsidR="007A2979">
        <w:instrText xml:space="preserve"> ADDIN EN.CITE &lt;EndNote&gt;&lt;Cite&gt;&lt;Author&gt;Pepe&lt;/Author&gt;&lt;Year&gt;2015&lt;/Year&gt;&lt;RecNum&gt;1531&lt;/RecNum&gt;&lt;DisplayText&gt;[7]&lt;/DisplayText&gt;&lt;record&gt;&lt;rec-number&gt;1531&lt;/rec-number&gt;&lt;foreign-keys&gt;&lt;key app="EN" db-id="0ftvff9p80fp5few5s05f5fw9rd9fefrdzer" timestamp="1520150143"&gt;1531&lt;/key&gt;&lt;/foreign-keys&gt;&lt;ref-type name="Journal Article"&gt;17&lt;/ref-type&gt;&lt;contributors&gt;&lt;authors&gt;&lt;author&gt;Pepe, M. S.&lt;/author&gt;&lt;author&gt;Fan, J.&lt;/author&gt;&lt;author&gt;Feng, Z.&lt;/author&gt;&lt;author&gt;Gerds, T.&lt;/author&gt;&lt;author&gt;Hilden, J.&lt;/author&gt;&lt;/authors&gt;&lt;/contributors&gt;&lt;auth-address&gt;Biostatistics and Biomathematics Program, Fred Hutchinson Cancer Research Center, 1100 Fairview Ave N, M2B500, Seattle, WA 98109 USA.&amp;#xD;The University of Texas MD Anderson Cancer Center, 1515 Holcombe Blvd. Houston, TX 77030 USA.&amp;#xD;Department of Biostatistics, University of Copenhagen, Oster Farimsgade 5, Denmark.&lt;/auth-address&gt;&lt;titles&gt;&lt;title&gt;The Net Reclassification Index (NRI): a Misleading Measure of Prediction Improvement Even with Independent Test Data Sets&lt;/title&gt;&lt;secondary-title&gt;Stat Biosci&lt;/secondary-title&gt;&lt;/titles&gt;&lt;periodical&gt;&lt;full-title&gt;Stat Biosci&lt;/full-title&gt;&lt;/periodical&gt;&lt;pages&gt;282-295&lt;/pages&gt;&lt;volume&gt;7&lt;/volume&gt;&lt;number&gt;2&lt;/number&gt;&lt;keywords&gt;&lt;keyword&gt;biomarkers&lt;/keyword&gt;&lt;keyword&gt;classification&lt;/keyword&gt;&lt;keyword&gt;diagnostic test&lt;/keyword&gt;&lt;keyword&gt;receiver operating characteristic&lt;/keyword&gt;&lt;keyword&gt;risk prediction&lt;/keyword&gt;&lt;/keywords&gt;&lt;dates&gt;&lt;year&gt;2015&lt;/year&gt;&lt;pub-dates&gt;&lt;date&gt;Oct 1&lt;/date&gt;&lt;/pub-dates&gt;&lt;/dates&gt;&lt;isbn&gt;1867-1764 (Print)&amp;#xD;1867-1764 (Linking)&lt;/isbn&gt;&lt;accession-num&gt;26504496&lt;/accession-num&gt;&lt;urls&gt;&lt;related-urls&gt;&lt;url&gt;https://www.ncbi.nlm.nih.gov/pubmed/26504496&lt;/url&gt;&lt;/related-urls&gt;&lt;/urls&gt;&lt;custom2&gt;PMC4615606&lt;/custom2&gt;&lt;electronic-resource-num&gt;10.1007/s12561-014-9118-0&lt;/electronic-resource-num&gt;&lt;/record&gt;&lt;/Cite&gt;&lt;/EndNote&gt;</w:instrText>
      </w:r>
      <w:r>
        <w:fldChar w:fldCharType="separate"/>
      </w:r>
      <w:r w:rsidR="007A2979">
        <w:rPr>
          <w:noProof/>
        </w:rPr>
        <w:t>[7]</w:t>
      </w:r>
      <w:r>
        <w:fldChar w:fldCharType="end"/>
      </w:r>
    </w:p>
    <w:p w14:paraId="76D27431" w14:textId="77777777" w:rsidR="00C17B5C" w:rsidRDefault="00C17B5C" w:rsidP="00C17B5C"/>
    <w:p w14:paraId="02C06D65" w14:textId="77777777" w:rsidR="00C17B5C" w:rsidRDefault="00C17B5C" w:rsidP="00C17B5C">
      <w:r>
        <w:t>Similarly, we would like the new model to have higher average risk in the outcome positive group and lower average risk in the outcome-negative group, so the Integrated Discrimination Improvement is defined as</w:t>
      </w:r>
    </w:p>
    <w:p w14:paraId="2B317D41" w14:textId="77777777" w:rsidR="00C17B5C" w:rsidRDefault="00C17B5C" w:rsidP="00C17B5C"/>
    <w:p w14:paraId="249EFDFC" w14:textId="026E699C" w:rsidR="00C17B5C" w:rsidRDefault="00C17B5C" w:rsidP="00C17B5C">
      <w:r>
        <w:tab/>
        <w:t>IDI = (</w:t>
      </w:r>
      <w:r w:rsidRPr="00F821EE">
        <w:rPr>
          <w:b/>
        </w:rPr>
        <w:t>r</w:t>
      </w:r>
      <w:r>
        <w:rPr>
          <w:vertAlign w:val="subscript"/>
        </w:rPr>
        <w:t>1</w:t>
      </w:r>
      <w:r>
        <w:t xml:space="preserve">+ </w:t>
      </w:r>
      <w:r w:rsidR="00BD6AE0">
        <w:sym w:font="Symbol" w:char="F02D"/>
      </w:r>
      <w:r>
        <w:t xml:space="preserve">  </w:t>
      </w:r>
      <w:r w:rsidRPr="00F821EE">
        <w:rPr>
          <w:b/>
        </w:rPr>
        <w:t>r</w:t>
      </w:r>
      <w:r>
        <w:rPr>
          <w:vertAlign w:val="subscript"/>
        </w:rPr>
        <w:t>0</w:t>
      </w:r>
      <w:r>
        <w:t>+</w:t>
      </w:r>
      <w:proofErr w:type="gramStart"/>
      <w:r>
        <w:t>)  -</w:t>
      </w:r>
      <w:proofErr w:type="gramEnd"/>
      <w:r>
        <w:t xml:space="preserve"> (</w:t>
      </w:r>
      <w:r w:rsidRPr="00F821EE">
        <w:rPr>
          <w:b/>
        </w:rPr>
        <w:t>r</w:t>
      </w:r>
      <w:r>
        <w:rPr>
          <w:vertAlign w:val="subscript"/>
        </w:rPr>
        <w:t>1</w:t>
      </w:r>
      <w:r>
        <w:t xml:space="preserve">-  </w:t>
      </w:r>
      <w:r w:rsidR="00BD6AE0">
        <w:sym w:font="Symbol" w:char="F02D"/>
      </w:r>
      <w:r>
        <w:t xml:space="preserve">  </w:t>
      </w:r>
      <w:r w:rsidRPr="00F821EE">
        <w:rPr>
          <w:b/>
        </w:rPr>
        <w:t>r</w:t>
      </w:r>
      <w:r>
        <w:rPr>
          <w:vertAlign w:val="subscript"/>
        </w:rPr>
        <w:t>0</w:t>
      </w:r>
      <w:r>
        <w:t>-)</w:t>
      </w:r>
    </w:p>
    <w:p w14:paraId="02826F16" w14:textId="77777777" w:rsidR="00C17B5C" w:rsidRDefault="00C17B5C" w:rsidP="00C17B5C"/>
    <w:p w14:paraId="60EC5DDB" w14:textId="77777777" w:rsidR="00C17B5C" w:rsidRDefault="00C17B5C" w:rsidP="00C17B5C">
      <w:r>
        <w:t>Mean bias is given by</w:t>
      </w:r>
    </w:p>
    <w:p w14:paraId="66D9839C" w14:textId="77777777" w:rsidR="00C17B5C" w:rsidRDefault="00C17B5C" w:rsidP="00C17B5C"/>
    <w:p w14:paraId="419ADB7A" w14:textId="12E894AD" w:rsidR="00C17B5C" w:rsidRDefault="00C17B5C" w:rsidP="00C17B5C">
      <w:pPr>
        <w:numPr>
          <w:ilvl w:val="0"/>
          <w:numId w:val="6"/>
        </w:numPr>
      </w:pPr>
      <w:r w:rsidRPr="00F821EE">
        <w:rPr>
          <w:b/>
        </w:rPr>
        <w:t>r</w:t>
      </w:r>
      <w:r>
        <w:t>+) ×</w:t>
      </w:r>
      <w:proofErr w:type="gramStart"/>
      <w:r>
        <w:t>P  +</w:t>
      </w:r>
      <w:proofErr w:type="gramEnd"/>
      <w:r>
        <w:t xml:space="preserve">  (0 </w:t>
      </w:r>
      <w:r w:rsidR="00BD6AE0">
        <w:sym w:font="Symbol" w:char="F02D"/>
      </w:r>
      <w:r>
        <w:t xml:space="preserve"> </w:t>
      </w:r>
      <w:r w:rsidRPr="00F821EE">
        <w:rPr>
          <w:b/>
        </w:rPr>
        <w:t>r</w:t>
      </w:r>
      <w:r>
        <w:rPr>
          <w:vertAlign w:val="subscript"/>
        </w:rPr>
        <w:t>1</w:t>
      </w:r>
      <w:r>
        <w:t>-)  × (1</w:t>
      </w:r>
      <w:r w:rsidR="00BD6AE0">
        <w:sym w:font="Symbol" w:char="F02D"/>
      </w:r>
      <w:r>
        <w:t>P)</w:t>
      </w:r>
    </w:p>
    <w:p w14:paraId="6CE2AF0F" w14:textId="77777777" w:rsidR="00C17B5C" w:rsidRDefault="00C17B5C" w:rsidP="00C17B5C"/>
    <w:p w14:paraId="4F62C730" w14:textId="77777777" w:rsidR="00C17B5C" w:rsidRDefault="00C17B5C" w:rsidP="00C17B5C">
      <w:r>
        <w:t>where P is the proportion with the outcome.</w:t>
      </w:r>
    </w:p>
    <w:p w14:paraId="1B805647" w14:textId="77777777" w:rsidR="00C17B5C" w:rsidRDefault="00C17B5C" w:rsidP="00C17B5C"/>
    <w:p w14:paraId="257AB377" w14:textId="77777777" w:rsidR="00C17B5C" w:rsidRDefault="00C17B5C" w:rsidP="00C17B5C">
      <w:r>
        <w:t>Difference in mean bias is given by</w:t>
      </w:r>
    </w:p>
    <w:p w14:paraId="6F43B59E" w14:textId="77777777" w:rsidR="00C17B5C" w:rsidRDefault="00C17B5C" w:rsidP="00C17B5C"/>
    <w:p w14:paraId="139B62FD" w14:textId="20ECD9B4" w:rsidR="00C17B5C" w:rsidRDefault="00C17B5C" w:rsidP="00C17B5C">
      <w:r>
        <w:tab/>
      </w:r>
      <w:r w:rsidR="00BD6AE0">
        <w:sym w:font="Symbol" w:char="F02D"/>
      </w:r>
      <w:r>
        <w:t xml:space="preserve"> [(</w:t>
      </w:r>
      <w:r w:rsidRPr="00F821EE">
        <w:rPr>
          <w:b/>
        </w:rPr>
        <w:t>r</w:t>
      </w:r>
      <w:r>
        <w:rPr>
          <w:vertAlign w:val="subscript"/>
        </w:rPr>
        <w:t>1</w:t>
      </w:r>
      <w:r>
        <w:t xml:space="preserve">+ </w:t>
      </w:r>
      <w:r w:rsidR="00BD6AE0">
        <w:sym w:font="Symbol" w:char="F02D"/>
      </w:r>
      <w:r>
        <w:t xml:space="preserve">  </w:t>
      </w:r>
      <w:r w:rsidRPr="00F821EE">
        <w:rPr>
          <w:b/>
        </w:rPr>
        <w:t>r</w:t>
      </w:r>
      <w:r>
        <w:rPr>
          <w:vertAlign w:val="subscript"/>
        </w:rPr>
        <w:t>0</w:t>
      </w:r>
      <w:r>
        <w:t>+</w:t>
      </w:r>
      <w:proofErr w:type="gramStart"/>
      <w:r>
        <w:t>)  ×</w:t>
      </w:r>
      <w:proofErr w:type="gramEnd"/>
      <w:r>
        <w:t xml:space="preserve"> P  -  (</w:t>
      </w:r>
      <w:r w:rsidRPr="00F821EE">
        <w:rPr>
          <w:b/>
        </w:rPr>
        <w:t>r</w:t>
      </w:r>
      <w:r>
        <w:rPr>
          <w:vertAlign w:val="subscript"/>
        </w:rPr>
        <w:t>1</w:t>
      </w:r>
      <w:r>
        <w:t xml:space="preserve">-  </w:t>
      </w:r>
      <w:r w:rsidR="00BD6AE0">
        <w:sym w:font="Symbol" w:char="F02D"/>
      </w:r>
      <w:r>
        <w:t xml:space="preserve">  </w:t>
      </w:r>
      <w:r w:rsidRPr="00F821EE">
        <w:rPr>
          <w:b/>
        </w:rPr>
        <w:t>r</w:t>
      </w:r>
      <w:r>
        <w:rPr>
          <w:vertAlign w:val="subscript"/>
        </w:rPr>
        <w:t>0</w:t>
      </w:r>
      <w:r>
        <w:t>-) × (1</w:t>
      </w:r>
      <w:r w:rsidR="00BD6AE0">
        <w:sym w:font="Symbol" w:char="F02D"/>
      </w:r>
      <w:r>
        <w:t>P)]</w:t>
      </w:r>
    </w:p>
    <w:p w14:paraId="4B314FAA" w14:textId="77777777" w:rsidR="00C17B5C" w:rsidRDefault="00C17B5C" w:rsidP="00C17B5C">
      <w:r>
        <w:t xml:space="preserve"> </w:t>
      </w:r>
    </w:p>
    <w:p w14:paraId="0198FAF5" w14:textId="10DA12D2" w:rsidR="00BD6AE0" w:rsidRDefault="00C17B5C">
      <w:pPr>
        <w:pStyle w:val="NormalWeb"/>
      </w:pPr>
      <w:r>
        <w:t>If the proportion with the outcome is 0.5, then the IDI is the same as the decrease in the mean bias that results from adding the new predictor.</w:t>
      </w:r>
      <w:r w:rsidR="00BD6AE0">
        <w:t xml:space="preserve"> </w:t>
      </w:r>
    </w:p>
    <w:p w14:paraId="3DC9F8BC" w14:textId="3FB2FE0D" w:rsidR="00C17B5C" w:rsidRDefault="00BD6AE0" w:rsidP="00C17B5C">
      <w:r>
        <w:t xml:space="preserve"> </w:t>
      </w:r>
    </w:p>
    <w:p w14:paraId="0858252F" w14:textId="77777777" w:rsidR="00C17B5C" w:rsidRDefault="00C17B5C" w:rsidP="00C17B5C"/>
    <w:p w14:paraId="38972A3B" w14:textId="7FA37120" w:rsidR="00C17B5C" w:rsidRDefault="00C17B5C" w:rsidP="00C17B5C">
      <w:r>
        <w:t>The categorical NRI, category-free NRI, and IDI ar</w:t>
      </w:r>
      <w:r w:rsidR="00B07635">
        <w:t>e problematic</w:t>
      </w:r>
      <w:r>
        <w:t xml:space="preserve"> metrics</w:t>
      </w:r>
      <w:r w:rsidR="00B07635">
        <w:t>.  They do not account for the proportion of the population affected by a classification error or the relative costs of different types of error.  They have been shown to yield results favorable to a new risk marker even when the risk marker was specifically designed to contain no new information.</w:t>
      </w:r>
      <w:r w:rsidR="00B07635">
        <w:fldChar w:fldCharType="begin">
          <w:fldData xml:space="preserve">PEVuZE5vdGU+PENpdGU+PEF1dGhvcj5IaWxkZW48L0F1dGhvcj48WWVhcj4yMDE0PC9ZZWFyPjxS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=
</w:fldData>
        </w:fldChar>
      </w:r>
      <w:r w:rsidR="007A2979">
        <w:instrText xml:space="preserve"> ADDIN EN.CITE </w:instrText>
      </w:r>
      <w:r w:rsidR="007A2979">
        <w:fldChar w:fldCharType="begin">
          <w:fldData xml:space="preserve">PEVuZE5vdGU+PENpdGU+PEF1dGhvcj5IaWxkZW48L0F1dGhvcj48WWVhcj4yMDE0PC9ZZWFyPjxS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=
</w:fldData>
        </w:fldChar>
      </w:r>
      <w:r w:rsidR="007A2979">
        <w:instrText xml:space="preserve"> ADDIN EN.CITE.DATA </w:instrText>
      </w:r>
      <w:r w:rsidR="007A2979">
        <w:fldChar w:fldCharType="end"/>
      </w:r>
      <w:r w:rsidR="00B07635">
        <w:fldChar w:fldCharType="separate"/>
      </w:r>
      <w:r w:rsidR="007A2979">
        <w:rPr>
          <w:noProof/>
        </w:rPr>
        <w:t>[5-7]</w:t>
      </w:r>
      <w:r w:rsidR="00B07635">
        <w:fldChar w:fldCharType="end"/>
      </w:r>
      <w:r w:rsidR="00BD6AE0">
        <w:t xml:space="preserve">  That's why, even though they are more widely used than </w:t>
      </w:r>
      <w:proofErr w:type="spellStart"/>
      <w:r w:rsidR="00BD6AE0">
        <w:t>sNB</w:t>
      </w:r>
      <w:proofErr w:type="spellEnd"/>
      <w:r w:rsidR="00BD6AE0">
        <w:t>, we've relegated them to an appendix in this chapter.</w:t>
      </w:r>
    </w:p>
    <w:p w14:paraId="1A3BEF14" w14:textId="77777777" w:rsidR="00C17B5C" w:rsidRDefault="00C17B5C" w:rsidP="00C17B5C"/>
    <w:p w14:paraId="084F9D59" w14:textId="77777777" w:rsidR="00C17B5C" w:rsidRDefault="00C17B5C" w:rsidP="00C17B5C"/>
    <w:p w14:paraId="715412F4" w14:textId="77777777" w:rsidR="00C17B5C" w:rsidRPr="00C0449E" w:rsidRDefault="00C17B5C" w:rsidP="00C17B5C"/>
    <w:p w14:paraId="4168209D" w14:textId="77777777" w:rsidR="00C17B5C" w:rsidRDefault="00C17B5C" w:rsidP="00C17B5C">
      <w:pPr>
        <w:pStyle w:val="Heading2"/>
        <w:rPr>
          <w:rFonts w:cs="Times New Roman"/>
          <w:b w:val="0"/>
          <w:sz w:val="24"/>
          <w:szCs w:val="24"/>
        </w:rPr>
      </w:pPr>
    </w:p>
    <w:p w14:paraId="52B7F82F" w14:textId="77777777" w:rsidR="00C17B5C" w:rsidRDefault="00C17B5C" w:rsidP="00C17B5C">
      <w:pPr>
        <w:pStyle w:val="Heading2"/>
        <w:rPr>
          <w:b w:val="0"/>
          <w:sz w:val="24"/>
          <w:szCs w:val="24"/>
        </w:rPr>
      </w:pPr>
      <w:r>
        <w:rPr>
          <w:b w:val="0"/>
          <w:sz w:val="24"/>
          <w:szCs w:val="24"/>
        </w:rPr>
        <w:tab/>
      </w:r>
    </w:p>
    <w:p w14:paraId="76B8F20C" w14:textId="77777777" w:rsidR="008E1436" w:rsidRDefault="00C17B5C" w:rsidP="00C17B5C">
      <w:pPr>
        <w:pStyle w:val="Heading2"/>
      </w:pPr>
      <w:r w:rsidRPr="009D66F6">
        <w:br w:type="page"/>
      </w:r>
    </w:p>
    <w:p w14:paraId="302AA16F" w14:textId="77777777" w:rsidR="008E1436" w:rsidRDefault="008E1436" w:rsidP="00AF2098">
      <w:pPr>
        <w:pStyle w:val="Heading2"/>
      </w:pPr>
    </w:p>
    <w:p w14:paraId="6E7FE887" w14:textId="77777777" w:rsidR="008E1436" w:rsidRDefault="008E1436" w:rsidP="00AF2098">
      <w:pPr>
        <w:pStyle w:val="Heading2"/>
      </w:pPr>
    </w:p>
    <w:p w14:paraId="3C086EA4" w14:textId="77777777" w:rsidR="008E1436" w:rsidRDefault="008E1436" w:rsidP="00AF2098">
      <w:pPr>
        <w:pStyle w:val="Heading2"/>
      </w:pPr>
    </w:p>
    <w:p w14:paraId="2A895D20" w14:textId="77777777" w:rsidR="002C4C39" w:rsidRPr="00046434" w:rsidRDefault="00DD228E" w:rsidP="00AF2098">
      <w:pPr>
        <w:pStyle w:val="Heading2"/>
      </w:pPr>
      <w:r w:rsidRPr="00046434">
        <w:t>References</w:t>
      </w:r>
    </w:p>
    <w:p w14:paraId="63655622" w14:textId="77777777" w:rsidR="00316BA0" w:rsidRDefault="00316BA0" w:rsidP="004B4056">
      <w:pPr>
        <w:pStyle w:val="NormalWeb"/>
      </w:pPr>
    </w:p>
    <w:p w14:paraId="0627EE35" w14:textId="63E88D02" w:rsidR="007A2979" w:rsidRPr="007A2979" w:rsidRDefault="00316BA0" w:rsidP="007A2979">
      <w:pPr>
        <w:pStyle w:val="EndNoteBibliography"/>
        <w:rPr>
          <w:noProof/>
        </w:rPr>
      </w:pPr>
      <w:r>
        <w:fldChar w:fldCharType="begin"/>
      </w:r>
      <w:r>
        <w:instrText xml:space="preserve"> ADDIN EN.REFLIST </w:instrText>
      </w:r>
      <w:r>
        <w:fldChar w:fldCharType="separate"/>
      </w:r>
      <w:r w:rsidR="007A2979" w:rsidRPr="007A2979">
        <w:rPr>
          <w:noProof/>
        </w:rPr>
        <w:t>1.</w:t>
      </w:r>
      <w:r w:rsidR="007A2979" w:rsidRPr="007A2979">
        <w:rPr>
          <w:noProof/>
        </w:rPr>
        <w:tab/>
        <w:t xml:space="preserve">May MT, Vehreschild JJ, Trickey A, Obel N, Reiss P, Bonnet F, et al. Mortality According to CD4 Count at Start of Combination Antiretroviral Therapy Among HIV-infected </w:t>
      </w:r>
      <w:r w:rsidR="00C4431D">
        <w:rPr>
          <w:noProof/>
        </w:rPr>
        <w:t>Subject</w:t>
      </w:r>
      <w:r w:rsidR="007A2979" w:rsidRPr="007A2979">
        <w:rPr>
          <w:noProof/>
        </w:rPr>
        <w:t>s Followed for up to 15 Years After Start of Treatment: Collaborative Cohort Study. Clin Infect Dis. 2016;62(12):1571-7.</w:t>
      </w:r>
    </w:p>
    <w:p w14:paraId="094AAB53" w14:textId="77777777" w:rsidR="007A2979" w:rsidRPr="007A2979" w:rsidRDefault="007A2979" w:rsidP="007A2979">
      <w:pPr>
        <w:pStyle w:val="EndNoteBibliography"/>
        <w:rPr>
          <w:noProof/>
        </w:rPr>
      </w:pPr>
      <w:r w:rsidRPr="007A2979">
        <w:rPr>
          <w:noProof/>
        </w:rPr>
        <w:t>2.</w:t>
      </w:r>
      <w:r w:rsidRPr="007A2979">
        <w:rPr>
          <w:noProof/>
        </w:rPr>
        <w:tab/>
        <w:t>Higgins TL, Teres D, Copes WS, Nathanson BH, Stark M, Kramer AA. Assessing contemporary intensive care unit outcome: an updated Mortality Probability Admission Model (MPM0-III). Crit Care Med. 2007;35(3):827-35.</w:t>
      </w:r>
    </w:p>
    <w:p w14:paraId="32012D83" w14:textId="77777777" w:rsidR="007A2979" w:rsidRPr="007A2979" w:rsidRDefault="007A2979" w:rsidP="007A2979">
      <w:pPr>
        <w:pStyle w:val="EndNoteBibliography"/>
        <w:rPr>
          <w:noProof/>
        </w:rPr>
      </w:pPr>
      <w:r w:rsidRPr="007A2979">
        <w:rPr>
          <w:noProof/>
        </w:rPr>
        <w:t>3.</w:t>
      </w:r>
      <w:r w:rsidRPr="007A2979">
        <w:rPr>
          <w:noProof/>
        </w:rPr>
        <w:tab/>
        <w:t>Vickers AJ, Van Calster B, Steyerberg EW. Net benefit approaches to the evaluation of prediction models, molecular markers, and diagnostic tests. BMJ. 2016;352:i6.</w:t>
      </w:r>
    </w:p>
    <w:p w14:paraId="066BDDAC" w14:textId="77777777" w:rsidR="007A2979" w:rsidRPr="007A2979" w:rsidRDefault="007A2979" w:rsidP="007A2979">
      <w:pPr>
        <w:pStyle w:val="EndNoteBibliography"/>
        <w:rPr>
          <w:noProof/>
        </w:rPr>
      </w:pPr>
      <w:r w:rsidRPr="007A2979">
        <w:rPr>
          <w:noProof/>
        </w:rPr>
        <w:t>4.</w:t>
      </w:r>
      <w:r w:rsidRPr="007A2979">
        <w:rPr>
          <w:noProof/>
        </w:rPr>
        <w:tab/>
        <w:t>Collins GS, Altman DG. Predicting the 10 year risk of cardiovascular disease in the United Kingdom: independent and external validation of an updated version of QRISK2. BMJ. 2012;344:e4181.</w:t>
      </w:r>
    </w:p>
    <w:p w14:paraId="28D2247C" w14:textId="77777777" w:rsidR="007A2979" w:rsidRPr="007A2979" w:rsidRDefault="007A2979" w:rsidP="007A2979">
      <w:pPr>
        <w:pStyle w:val="EndNoteBibliography"/>
        <w:rPr>
          <w:noProof/>
        </w:rPr>
      </w:pPr>
      <w:r w:rsidRPr="007A2979">
        <w:rPr>
          <w:noProof/>
        </w:rPr>
        <w:t>5.</w:t>
      </w:r>
      <w:r w:rsidRPr="007A2979">
        <w:rPr>
          <w:noProof/>
        </w:rPr>
        <w:tab/>
        <w:t>Hilden J, Gerds TA. A note on the evaluation of novel biomarkers: do not rely on integrated discrimination improvement and net reclassification index. Stat Med. 2014;33(19):3405-14.</w:t>
      </w:r>
    </w:p>
    <w:p w14:paraId="29ABDC3D" w14:textId="77777777" w:rsidR="007A2979" w:rsidRPr="007A2979" w:rsidRDefault="007A2979" w:rsidP="007A2979">
      <w:pPr>
        <w:pStyle w:val="EndNoteBibliography"/>
        <w:rPr>
          <w:noProof/>
        </w:rPr>
      </w:pPr>
      <w:r w:rsidRPr="007A2979">
        <w:rPr>
          <w:noProof/>
        </w:rPr>
        <w:t>6.</w:t>
      </w:r>
      <w:r w:rsidRPr="007A2979">
        <w:rPr>
          <w:noProof/>
        </w:rPr>
        <w:tab/>
        <w:t>Kerr KF, Janes H. First things first: risk model performance metrics should reflect the clinical application. Stat Med. 2017;36(28):4503-8.</w:t>
      </w:r>
    </w:p>
    <w:p w14:paraId="41379E32" w14:textId="77777777" w:rsidR="007A2979" w:rsidRPr="007A2979" w:rsidRDefault="007A2979" w:rsidP="007A2979">
      <w:pPr>
        <w:pStyle w:val="EndNoteBibliography"/>
        <w:rPr>
          <w:noProof/>
        </w:rPr>
      </w:pPr>
      <w:r w:rsidRPr="007A2979">
        <w:rPr>
          <w:noProof/>
        </w:rPr>
        <w:t>7.</w:t>
      </w:r>
      <w:r w:rsidRPr="007A2979">
        <w:rPr>
          <w:noProof/>
        </w:rPr>
        <w:tab/>
        <w:t>Pepe MS, Fan J, Feng Z, Gerds T, Hilden J. The Net Reclassification Index (NRI): a Misleading Measure of Prediction Improvement Even with Independent Test Data Sets. Stat Biosci. 2015;7(2):282-95.</w:t>
      </w:r>
    </w:p>
    <w:p w14:paraId="72707407" w14:textId="77777777" w:rsidR="007A2979" w:rsidRPr="007A2979" w:rsidRDefault="007A2979" w:rsidP="007A2979">
      <w:pPr>
        <w:pStyle w:val="EndNoteBibliography"/>
        <w:rPr>
          <w:noProof/>
        </w:rPr>
      </w:pPr>
      <w:r w:rsidRPr="007A2979">
        <w:rPr>
          <w:noProof/>
        </w:rPr>
        <w:t>8.</w:t>
      </w:r>
      <w:r w:rsidRPr="007A2979">
        <w:rPr>
          <w:noProof/>
        </w:rPr>
        <w:tab/>
        <w:t>Pencina MJ, D'Agostino RB, Sr., D'Agostino RB, Jr., Vasan RS. Evaluating the added predictive ability of a new marker: from area under the ROC curve to reclassification and beyond. Stat Med. 2008;27(2):157-72; discussion 207-12.</w:t>
      </w:r>
    </w:p>
    <w:p w14:paraId="4AEBB2C7" w14:textId="0062A373" w:rsidR="002C4C39" w:rsidRPr="002C4C39" w:rsidRDefault="00316BA0" w:rsidP="008A5FD9">
      <w:pPr>
        <w:pStyle w:val="Indenthanginga"/>
        <w:spacing w:before="0" w:beforeAutospacing="0" w:after="120" w:afterAutospacing="0"/>
        <w:ind w:firstLine="720"/>
      </w:pPr>
      <w:r>
        <w:fldChar w:fldCharType="end"/>
      </w:r>
    </w:p>
    <w:sectPr w:rsidR="002C4C39" w:rsidRPr="002C4C39" w:rsidSect="00B93485">
      <w:pgSz w:w="12240" w:h="15840"/>
      <w:pgMar w:top="1440" w:right="1800" w:bottom="1440" w:left="108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FA4E5E" w14:textId="77777777" w:rsidR="00202F3C" w:rsidRDefault="00202F3C" w:rsidP="003F2F7B">
      <w:r>
        <w:separator/>
      </w:r>
    </w:p>
  </w:endnote>
  <w:endnote w:type="continuationSeparator" w:id="0">
    <w:p w14:paraId="2D25BD02" w14:textId="77777777" w:rsidR="00202F3C" w:rsidRDefault="00202F3C" w:rsidP="003F2F7B">
      <w:r>
        <w:continuationSeparator/>
      </w:r>
    </w:p>
  </w:endnote>
  <w:endnote w:type="continuationNotice" w:id="1">
    <w:p w14:paraId="329877CB" w14:textId="77777777" w:rsidR="00202F3C" w:rsidRDefault="00202F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Minion-Regular">
    <w:altName w:val="Times New Roman"/>
    <w:panose1 w:val="020B0604020202020204"/>
    <w:charset w:val="00"/>
    <w:family w:val="roman"/>
    <w:notTrueType/>
    <w:pitch w:val="default"/>
    <w:sig w:usb0="00000003" w:usb1="00000000" w:usb2="00000000" w:usb3="00000000" w:csb0="00000001" w:csb1="00000000"/>
  </w:font>
  <w:font w:name="Minion-Italic">
    <w:panose1 w:val="020B0604020202020204"/>
    <w:charset w:val="00"/>
    <w:family w:val="swiss"/>
    <w:notTrueType/>
    <w:pitch w:val="default"/>
    <w:sig w:usb0="00000003" w:usb1="00000000" w:usb2="00000000" w:usb3="00000000" w:csb0="00000001" w:csb1="00000000"/>
  </w:font>
  <w:font w:name="MTSY">
    <w:altName w:val="Times New Roman"/>
    <w:panose1 w:val="020B0604020202020204"/>
    <w:charset w:val="00"/>
    <w:family w:val="swiss"/>
    <w:notTrueType/>
    <w:pitch w:val="default"/>
    <w:sig w:usb0="00000003" w:usb1="00000000" w:usb2="00000000" w:usb3="00000000" w:csb0="00000001" w:csb1="00000000"/>
  </w:font>
  <w:font w:name="Formata BQ-Regular">
    <w:altName w:val="Calibri"/>
    <w:panose1 w:val="020B0604020202020204"/>
    <w:charset w:val="00"/>
    <w:family w:val="roman"/>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New Roman PS">
    <w:panose1 w:val="02020603050405020304"/>
    <w:charset w:val="00"/>
    <w:family w:val="roman"/>
    <w:notTrueType/>
    <w:pitch w:val="default"/>
    <w:sig w:usb0="00000003" w:usb1="00000000" w:usb2="00000000" w:usb3="00000000" w:csb0="00000001" w:csb1="00000000"/>
  </w:font>
  <w:font w:name="Formata BQ-Italic">
    <w:panose1 w:val="020B0604020202020204"/>
    <w:charset w:val="00"/>
    <w:family w:val="roman"/>
    <w:notTrueType/>
    <w:pitch w:val="default"/>
    <w:sig w:usb0="00000003" w:usb1="00000000" w:usb2="00000000" w:usb3="00000000" w:csb0="00000001" w:csb1="00000000"/>
  </w:font>
  <w:font w:name="Formata BQ-Bold">
    <w:altName w:val="Calibri"/>
    <w:panose1 w:val="020B0604020202020204"/>
    <w:charset w:val="00"/>
    <w:family w:val="roman"/>
    <w:notTrueType/>
    <w:pitch w:val="default"/>
    <w:sig w:usb0="00000003" w:usb1="00000000" w:usb2="00000000" w:usb3="00000000" w:csb0="00000001" w:csb1="00000000"/>
  </w:font>
  <w:font w:name="Minion-Bold">
    <w:altName w:val="Cambria"/>
    <w:panose1 w:val="020B0604020202020204"/>
    <w:charset w:val="00"/>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Formata BQ-Medium">
    <w:altName w:val="Cambria"/>
    <w:panose1 w:val="020B0604020202020204"/>
    <w:charset w:val="00"/>
    <w:family w:val="roman"/>
    <w:notTrueType/>
    <w:pitch w:val="default"/>
    <w:sig w:usb0="00000003" w:usb1="00000000" w:usb2="00000000" w:usb3="00000000" w:csb0="00000001" w:csb1="00000000"/>
  </w:font>
  <w:font w:name="HelveticaNeue-BoldCond">
    <w:altName w:val="Arial"/>
    <w:panose1 w:val="020B06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55DBB" w14:textId="77777777" w:rsidR="009F2045" w:rsidRDefault="009F2045" w:rsidP="00FB2D0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29C026" w14:textId="77777777" w:rsidR="009F2045" w:rsidRDefault="009F2045" w:rsidP="008A5FD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22C2B" w14:textId="441D81EA" w:rsidR="009F2045" w:rsidRDefault="009F2045" w:rsidP="00FB2D0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31</w:t>
    </w:r>
    <w:r>
      <w:rPr>
        <w:rStyle w:val="PageNumber"/>
      </w:rPr>
      <w:fldChar w:fldCharType="end"/>
    </w:r>
  </w:p>
  <w:p w14:paraId="0255407F" w14:textId="77777777" w:rsidR="009F2045" w:rsidRDefault="009F2045" w:rsidP="0025726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C60522" w14:textId="77777777" w:rsidR="00202F3C" w:rsidRDefault="00202F3C" w:rsidP="003F2F7B">
      <w:r>
        <w:separator/>
      </w:r>
    </w:p>
  </w:footnote>
  <w:footnote w:type="continuationSeparator" w:id="0">
    <w:p w14:paraId="27DB4A0B" w14:textId="77777777" w:rsidR="00202F3C" w:rsidRDefault="00202F3C" w:rsidP="003F2F7B">
      <w:r>
        <w:continuationSeparator/>
      </w:r>
    </w:p>
  </w:footnote>
  <w:footnote w:type="continuationNotice" w:id="1">
    <w:p w14:paraId="7CBE248D" w14:textId="77777777" w:rsidR="00202F3C" w:rsidRDefault="00202F3C"/>
  </w:footnote>
  <w:footnote w:id="2">
    <w:p w14:paraId="3D34C50D" w14:textId="77777777" w:rsidR="009F2045" w:rsidRDefault="009F2045">
      <w:pPr>
        <w:pStyle w:val="FootnoteText"/>
      </w:pPr>
      <w:r>
        <w:rPr>
          <w:rStyle w:val="FootnoteReference"/>
        </w:rPr>
        <w:footnoteRef/>
      </w:r>
      <w:r>
        <w:t xml:space="preserve"> Epidemiologists and statisticians sometimes use the term “prediction” to describe studies that relate predictor variables to outcome variables without seeking to draw causal inferences.  Cross-sectional studies of diagnostic tests would be included under that prediction rubric because they are not concerned with causality. (In fact, causality is from disease to test.)  In this text we use prediction in the usual way, to refer to prediction of future outcomes. </w:t>
      </w:r>
    </w:p>
  </w:footnote>
  <w:footnote w:id="3">
    <w:p w14:paraId="2C785B04" w14:textId="2D9329FA" w:rsidR="009F2045" w:rsidRDefault="009F2045">
      <w:pPr>
        <w:pStyle w:val="FootnoteText"/>
      </w:pPr>
      <w:r>
        <w:rPr>
          <w:rStyle w:val="FootnoteReference"/>
        </w:rPr>
        <w:footnoteRef/>
      </w:r>
      <w:r>
        <w:t xml:space="preserve"> Quantiles are population groups of equal size.  If you divide the population into 10 risk groups, they are </w:t>
      </w:r>
      <w:proofErr w:type="gramStart"/>
      <w:r>
        <w:t>called  deciles</w:t>
      </w:r>
      <w:proofErr w:type="gramEnd"/>
      <w:r>
        <w:t xml:space="preserve">; 5 groups, quintiles; 3 groups, </w:t>
      </w:r>
      <w:proofErr w:type="spellStart"/>
      <w:r>
        <w:t>tertiles</w:t>
      </w:r>
      <w:proofErr w:type="spellEnd"/>
      <w:r>
        <w:t>; floor groups, floor tiles; etc.</w:t>
      </w:r>
    </w:p>
  </w:footnote>
  <w:footnote w:id="4">
    <w:p w14:paraId="20487362" w14:textId="77777777" w:rsidR="009F2045" w:rsidRDefault="009F2045">
      <w:pPr>
        <w:pStyle w:val="FootnoteText"/>
      </w:pPr>
      <w:r>
        <w:rPr>
          <w:rStyle w:val="FootnoteReference"/>
        </w:rPr>
        <w:footnoteRef/>
      </w:r>
      <w:r>
        <w:t xml:space="preserve"> The 45-degree diagonal makes an isosceles right triangle, so the horizontal and vertical distances are the same.</w:t>
      </w:r>
    </w:p>
  </w:footnote>
  <w:footnote w:id="5">
    <w:p w14:paraId="167F42A8" w14:textId="77777777" w:rsidR="009F2045" w:rsidRDefault="009F2045" w:rsidP="00482677">
      <w:pPr>
        <w:pStyle w:val="FootnoteText"/>
      </w:pPr>
      <w:r>
        <w:rPr>
          <w:rStyle w:val="FootnoteReference"/>
        </w:rPr>
        <w:footnoteRef/>
      </w:r>
      <w:r>
        <w:t xml:space="preserve"> In a cohort study, sampling separately on outcome is called a nested case-control sampling.</w:t>
      </w:r>
    </w:p>
  </w:footnote>
  <w:footnote w:id="6">
    <w:p w14:paraId="2B2CE885" w14:textId="77777777" w:rsidR="009F2045" w:rsidRDefault="009F2045">
      <w:pPr>
        <w:pStyle w:val="FootnoteText"/>
      </w:pPr>
      <w:r>
        <w:rPr>
          <w:rStyle w:val="FootnoteReference"/>
        </w:rPr>
        <w:footnoteRef/>
      </w:r>
      <w:r>
        <w:t xml:space="preserve"> The AUROC would be the same if the scores were only in deciles, but each subject's actual risk prediction (rather than just the decile) was used to calculate the AUROC. </w:t>
      </w:r>
    </w:p>
  </w:footnote>
  <w:footnote w:id="7">
    <w:p w14:paraId="74E106B6" w14:textId="77777777" w:rsidR="009F2045" w:rsidRDefault="009F2045">
      <w:pPr>
        <w:pStyle w:val="FootnoteText"/>
      </w:pPr>
      <w:r>
        <w:rPr>
          <w:rStyle w:val="FootnoteReference"/>
        </w:rPr>
        <w:footnoteRef/>
      </w:r>
      <w:r>
        <w:t xml:space="preserve"> Recall that we used “cost” to include everything bad about the test, not just the dollar cost.</w:t>
      </w:r>
    </w:p>
  </w:footnote>
  <w:footnote w:id="8">
    <w:p w14:paraId="77CB707F" w14:textId="77777777" w:rsidR="009F2045" w:rsidRDefault="009F2045">
      <w:pPr>
        <w:pStyle w:val="FootnoteText"/>
      </w:pPr>
      <w:r>
        <w:rPr>
          <w:rStyle w:val="FootnoteReference"/>
        </w:rPr>
        <w:footnoteRef/>
      </w:r>
      <w:r>
        <w:t xml:space="preserve"> In fact, these decision curves were adjusted for varying lengths of follow-up using Kaplan-Meier methods, so these aren’t actually the proportions with the outcome at 10 years, but the proportion who would have the outcome at 10 years assuming those who were followed for shorter than 10 years (censored observations) would have had the same pattern of CV event occurrence as those who were followed longer.</w:t>
      </w:r>
    </w:p>
  </w:footnote>
  <w:footnote w:id="9">
    <w:p w14:paraId="52A7A60E" w14:textId="77777777" w:rsidR="009F2045" w:rsidRPr="00046434" w:rsidRDefault="009F2045" w:rsidP="000F4649">
      <w:pPr>
        <w:pStyle w:val="FootnoteText"/>
        <w:ind w:left="162" w:hanging="162"/>
      </w:pPr>
      <w:r w:rsidRPr="00046434">
        <w:rPr>
          <w:rStyle w:val="FootnoteReference"/>
        </w:rPr>
        <w:footnoteRef/>
      </w:r>
      <w:r w:rsidRPr="00046434">
        <w:t xml:space="preserve"> </w:t>
      </w:r>
      <w:r w:rsidRPr="00046434">
        <w:rPr>
          <w:rFonts w:ascii="Minion-Regular" w:hAnsi="Minion-Regular" w:cs="Minion-Regular"/>
        </w:rPr>
        <w:t>The investigators could have treated tumor size the way they treated their recurrence index, as a continuous variable, and reported the hazard ratio per 10-cm increase in tumor size!</w:t>
      </w:r>
    </w:p>
  </w:footnote>
  <w:footnote w:id="10">
    <w:p w14:paraId="049A52E9" w14:textId="77777777" w:rsidR="009F2045" w:rsidRPr="00046434" w:rsidRDefault="009F2045">
      <w:pPr>
        <w:pStyle w:val="FootnoteText"/>
      </w:pPr>
      <w:r w:rsidRPr="00046434">
        <w:rPr>
          <w:rStyle w:val="FootnoteReference"/>
        </w:rPr>
        <w:footnoteRef/>
      </w:r>
      <w:r w:rsidRPr="00046434">
        <w:t xml:space="preserve"> </w:t>
      </w:r>
      <w:r w:rsidRPr="00046434">
        <w:rPr>
          <w:rFonts w:ascii="Minion-Regular" w:hAnsi="Minion-Regular" w:cs="Minion-Regular"/>
        </w:rPr>
        <w:t>We find it amusing that the significance was reported with 3 digits when the exponent was</w:t>
      </w:r>
      <w:r w:rsidRPr="00046434">
        <w:rPr>
          <w:rFonts w:ascii="MTSY" w:hAnsi="MTSY" w:cs="MTSY"/>
        </w:rPr>
        <w:t xml:space="preserve"> −</w:t>
      </w:r>
      <w:r w:rsidRPr="00046434">
        <w:rPr>
          <w:rFonts w:ascii="Minion-Regular" w:hAnsi="Minion-Regular" w:cs="Minion-Regular"/>
        </w:rPr>
        <w:t xml:space="preserve"> 81!</w:t>
      </w:r>
    </w:p>
  </w:footnote>
  <w:footnote w:id="11">
    <w:p w14:paraId="2F6B76BC" w14:textId="77777777" w:rsidR="009F2045" w:rsidRDefault="009F2045" w:rsidP="00C17B5C">
      <w:pPr>
        <w:pStyle w:val="FootnoteText"/>
      </w:pPr>
      <w:r>
        <w:rPr>
          <w:rStyle w:val="FootnoteReference"/>
        </w:rPr>
        <w:footnoteRef/>
      </w:r>
      <w:r>
        <w:t xml:space="preserve"> At a risk threshold </w:t>
      </w:r>
      <w:r w:rsidRPr="0013649E">
        <w:rPr>
          <w:sz w:val="24"/>
          <w:szCs w:val="24"/>
        </w:rPr>
        <w:t>R</w:t>
      </w:r>
      <w:r w:rsidRPr="0013649E">
        <w:rPr>
          <w:sz w:val="24"/>
          <w:szCs w:val="24"/>
          <w:vertAlign w:val="subscript"/>
        </w:rPr>
        <w:t>TT</w:t>
      </w:r>
      <w:r>
        <w:t xml:space="preserve"> = 0.1, </w:t>
      </w:r>
      <w:proofErr w:type="spellStart"/>
      <w:r>
        <w:t>PolyANA’s</w:t>
      </w:r>
      <w:proofErr w:type="spellEnd"/>
      <w:r>
        <w:t xml:space="preserve"> TPR = 0.82 and FPR = 0.63, so Youden’s Index = 0.82- 0.63 = 0.19.  For “Treat All”, TPR = 1, FPR = 1, so Youden’s Index = 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5AA33" w14:textId="77777777" w:rsidR="009F2045" w:rsidRPr="0025726E" w:rsidRDefault="009F2045" w:rsidP="002717A6">
    <w:pPr>
      <w:pStyle w:val="Heading1"/>
      <w:rPr>
        <w:sz w:val="16"/>
      </w:rPr>
    </w:pPr>
    <w:r w:rsidRPr="002717A6">
      <w:rPr>
        <w:b w:val="0"/>
        <w:sz w:val="18"/>
        <w:szCs w:val="18"/>
      </w:rPr>
      <w:t>From: Evidence-Based Diagnosis, 2</w:t>
    </w:r>
    <w:r w:rsidRPr="002717A6">
      <w:rPr>
        <w:b w:val="0"/>
        <w:sz w:val="18"/>
        <w:szCs w:val="18"/>
        <w:vertAlign w:val="superscript"/>
      </w:rPr>
      <w:t>nd</w:t>
    </w:r>
    <w:r w:rsidRPr="002717A6">
      <w:rPr>
        <w:b w:val="0"/>
        <w:sz w:val="18"/>
        <w:szCs w:val="18"/>
      </w:rPr>
      <w:t xml:space="preserve"> Edition. Cambridge University Press, Forthcoming, by T. Newman, M. Kohn, Illustrated by M </w:t>
    </w:r>
    <w:proofErr w:type="spellStart"/>
    <w:r w:rsidRPr="002717A6">
      <w:rPr>
        <w:b w:val="0"/>
        <w:sz w:val="18"/>
        <w:szCs w:val="18"/>
      </w:rPr>
      <w:t>Steurer</w:t>
    </w:r>
    <w:proofErr w:type="spellEnd"/>
    <w:r w:rsidRPr="002717A6">
      <w:rPr>
        <w:b w:val="0"/>
        <w:sz w:val="18"/>
        <w:szCs w:val="18"/>
      </w:rPr>
      <w:t xml:space="preserve"> © Thomas B. Newman and Michael A. Kohn, 2018</w:t>
    </w:r>
    <w:r>
      <w:rPr>
        <w:b w:val="0"/>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9867A4"/>
    <w:multiLevelType w:val="hybridMultilevel"/>
    <w:tmpl w:val="E3689D6A"/>
    <w:lvl w:ilvl="0" w:tplc="E34EB2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DB3562E"/>
    <w:multiLevelType w:val="hybridMultilevel"/>
    <w:tmpl w:val="52AE3F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2A39B9"/>
    <w:multiLevelType w:val="hybridMultilevel"/>
    <w:tmpl w:val="A782BF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1357B9"/>
    <w:multiLevelType w:val="hybridMultilevel"/>
    <w:tmpl w:val="4C0CC2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54F7454"/>
    <w:multiLevelType w:val="hybridMultilevel"/>
    <w:tmpl w:val="1AFCB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612272"/>
    <w:multiLevelType w:val="hybridMultilevel"/>
    <w:tmpl w:val="A782BF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embedSystemFonts/>
  <w:bordersDoNotSurroundHeader/>
  <w:bordersDoNotSurroundFooter/>
  <w:proofState w:spelling="clean" w:grammar="clean"/>
  <w:attachedTemplate r:id="rId1"/>
  <w:linkStyles/>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Square bracket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ftvff9p80fp5few5s05f5fw9rd9fefrdzer&quot;&gt;EBD-MAK&lt;record-ids&gt;&lt;item&gt;1050&lt;/item&gt;&lt;item&gt;1452&lt;/item&gt;&lt;item&gt;1474&lt;/item&gt;&lt;item&gt;1481&lt;/item&gt;&lt;item&gt;1484&lt;/item&gt;&lt;item&gt;1531&lt;/item&gt;&lt;item&gt;1537&lt;/item&gt;&lt;item&gt;1538&lt;/item&gt;&lt;/record-ids&gt;&lt;/item&gt;&lt;/Libraries&gt;"/>
  </w:docVars>
  <w:rsids>
    <w:rsidRoot w:val="002C4C39"/>
    <w:rsid w:val="0000114C"/>
    <w:rsid w:val="00001877"/>
    <w:rsid w:val="00002ED7"/>
    <w:rsid w:val="000042FA"/>
    <w:rsid w:val="00006FA0"/>
    <w:rsid w:val="000130D8"/>
    <w:rsid w:val="0001538D"/>
    <w:rsid w:val="00016E68"/>
    <w:rsid w:val="00017480"/>
    <w:rsid w:val="00017EB9"/>
    <w:rsid w:val="00020EAC"/>
    <w:rsid w:val="00021672"/>
    <w:rsid w:val="000223BA"/>
    <w:rsid w:val="00023D0F"/>
    <w:rsid w:val="0002666B"/>
    <w:rsid w:val="00030515"/>
    <w:rsid w:val="00031EB4"/>
    <w:rsid w:val="00032F0A"/>
    <w:rsid w:val="00033BF4"/>
    <w:rsid w:val="00035C8E"/>
    <w:rsid w:val="0003633E"/>
    <w:rsid w:val="00037F4B"/>
    <w:rsid w:val="00040507"/>
    <w:rsid w:val="0004156C"/>
    <w:rsid w:val="00042961"/>
    <w:rsid w:val="00046434"/>
    <w:rsid w:val="0004678E"/>
    <w:rsid w:val="000530BE"/>
    <w:rsid w:val="00053956"/>
    <w:rsid w:val="0005401F"/>
    <w:rsid w:val="00054978"/>
    <w:rsid w:val="00061BA0"/>
    <w:rsid w:val="000643F3"/>
    <w:rsid w:val="0007036D"/>
    <w:rsid w:val="000712F7"/>
    <w:rsid w:val="00071E87"/>
    <w:rsid w:val="000728ED"/>
    <w:rsid w:val="00074B66"/>
    <w:rsid w:val="00076A13"/>
    <w:rsid w:val="00076D76"/>
    <w:rsid w:val="00077310"/>
    <w:rsid w:val="00080B27"/>
    <w:rsid w:val="00083706"/>
    <w:rsid w:val="00083B1B"/>
    <w:rsid w:val="00084EB9"/>
    <w:rsid w:val="000855CF"/>
    <w:rsid w:val="0008764A"/>
    <w:rsid w:val="00087D04"/>
    <w:rsid w:val="00090B6F"/>
    <w:rsid w:val="000912B6"/>
    <w:rsid w:val="000912D6"/>
    <w:rsid w:val="000935DB"/>
    <w:rsid w:val="000A0E08"/>
    <w:rsid w:val="000A0EBE"/>
    <w:rsid w:val="000A608F"/>
    <w:rsid w:val="000B78B3"/>
    <w:rsid w:val="000B7987"/>
    <w:rsid w:val="000C10FF"/>
    <w:rsid w:val="000C33F8"/>
    <w:rsid w:val="000C3DFC"/>
    <w:rsid w:val="000C49E8"/>
    <w:rsid w:val="000C4F98"/>
    <w:rsid w:val="000C5F60"/>
    <w:rsid w:val="000C7DD9"/>
    <w:rsid w:val="000D0169"/>
    <w:rsid w:val="000D2BFB"/>
    <w:rsid w:val="000D4CA2"/>
    <w:rsid w:val="000E0E20"/>
    <w:rsid w:val="000E1793"/>
    <w:rsid w:val="000E194D"/>
    <w:rsid w:val="000E505B"/>
    <w:rsid w:val="000F1674"/>
    <w:rsid w:val="000F3BA0"/>
    <w:rsid w:val="000F4649"/>
    <w:rsid w:val="000F76A7"/>
    <w:rsid w:val="00101233"/>
    <w:rsid w:val="00105154"/>
    <w:rsid w:val="00105E45"/>
    <w:rsid w:val="00105F3A"/>
    <w:rsid w:val="00106EC1"/>
    <w:rsid w:val="001078C0"/>
    <w:rsid w:val="00107CBA"/>
    <w:rsid w:val="00111B3D"/>
    <w:rsid w:val="00112391"/>
    <w:rsid w:val="00113BF4"/>
    <w:rsid w:val="00113D7B"/>
    <w:rsid w:val="00113F94"/>
    <w:rsid w:val="00114653"/>
    <w:rsid w:val="00114A7A"/>
    <w:rsid w:val="0011667E"/>
    <w:rsid w:val="00122177"/>
    <w:rsid w:val="00126095"/>
    <w:rsid w:val="00126680"/>
    <w:rsid w:val="001271A3"/>
    <w:rsid w:val="001275E7"/>
    <w:rsid w:val="0012763C"/>
    <w:rsid w:val="00130133"/>
    <w:rsid w:val="00130760"/>
    <w:rsid w:val="00132B6F"/>
    <w:rsid w:val="00133DA7"/>
    <w:rsid w:val="00134E2A"/>
    <w:rsid w:val="00134E3F"/>
    <w:rsid w:val="0013649E"/>
    <w:rsid w:val="0013786A"/>
    <w:rsid w:val="0014346A"/>
    <w:rsid w:val="00143876"/>
    <w:rsid w:val="00144A13"/>
    <w:rsid w:val="001461DC"/>
    <w:rsid w:val="00147968"/>
    <w:rsid w:val="00150DF8"/>
    <w:rsid w:val="00151491"/>
    <w:rsid w:val="0015658C"/>
    <w:rsid w:val="00156DA9"/>
    <w:rsid w:val="0016142B"/>
    <w:rsid w:val="001659E6"/>
    <w:rsid w:val="00167819"/>
    <w:rsid w:val="00174333"/>
    <w:rsid w:val="00182546"/>
    <w:rsid w:val="00182BF7"/>
    <w:rsid w:val="00182FB0"/>
    <w:rsid w:val="0018583F"/>
    <w:rsid w:val="0018642A"/>
    <w:rsid w:val="00186CE2"/>
    <w:rsid w:val="00187DD0"/>
    <w:rsid w:val="0019167F"/>
    <w:rsid w:val="00192AA6"/>
    <w:rsid w:val="00194908"/>
    <w:rsid w:val="00194A89"/>
    <w:rsid w:val="00195E42"/>
    <w:rsid w:val="001A07CC"/>
    <w:rsid w:val="001A2A00"/>
    <w:rsid w:val="001A5F9F"/>
    <w:rsid w:val="001A77E1"/>
    <w:rsid w:val="001B0B31"/>
    <w:rsid w:val="001B1282"/>
    <w:rsid w:val="001B1F83"/>
    <w:rsid w:val="001B3142"/>
    <w:rsid w:val="001C168D"/>
    <w:rsid w:val="001C3605"/>
    <w:rsid w:val="001D25D8"/>
    <w:rsid w:val="001D2F0F"/>
    <w:rsid w:val="001D3F56"/>
    <w:rsid w:val="001D4F94"/>
    <w:rsid w:val="001D4FD4"/>
    <w:rsid w:val="001E0590"/>
    <w:rsid w:val="001E0987"/>
    <w:rsid w:val="001E2786"/>
    <w:rsid w:val="001E313B"/>
    <w:rsid w:val="001E693E"/>
    <w:rsid w:val="001F438C"/>
    <w:rsid w:val="001F6BF7"/>
    <w:rsid w:val="001F7480"/>
    <w:rsid w:val="00202F3C"/>
    <w:rsid w:val="00202FA3"/>
    <w:rsid w:val="002113EE"/>
    <w:rsid w:val="002137BA"/>
    <w:rsid w:val="002138A2"/>
    <w:rsid w:val="00214065"/>
    <w:rsid w:val="002140A7"/>
    <w:rsid w:val="00215566"/>
    <w:rsid w:val="00216C60"/>
    <w:rsid w:val="0022300D"/>
    <w:rsid w:val="0022317E"/>
    <w:rsid w:val="0022532B"/>
    <w:rsid w:val="00225EAD"/>
    <w:rsid w:val="00227017"/>
    <w:rsid w:val="00227E8A"/>
    <w:rsid w:val="00231F07"/>
    <w:rsid w:val="00233A6A"/>
    <w:rsid w:val="0024054B"/>
    <w:rsid w:val="00242445"/>
    <w:rsid w:val="002426EB"/>
    <w:rsid w:val="00242AF6"/>
    <w:rsid w:val="00243551"/>
    <w:rsid w:val="00246416"/>
    <w:rsid w:val="00250500"/>
    <w:rsid w:val="00255D18"/>
    <w:rsid w:val="0025726E"/>
    <w:rsid w:val="00257B42"/>
    <w:rsid w:val="00257E63"/>
    <w:rsid w:val="00260B88"/>
    <w:rsid w:val="00261A1F"/>
    <w:rsid w:val="00262241"/>
    <w:rsid w:val="00264D6C"/>
    <w:rsid w:val="002653BD"/>
    <w:rsid w:val="002717A6"/>
    <w:rsid w:val="00271F9D"/>
    <w:rsid w:val="00274265"/>
    <w:rsid w:val="0027643A"/>
    <w:rsid w:val="00281515"/>
    <w:rsid w:val="002835CC"/>
    <w:rsid w:val="00284A63"/>
    <w:rsid w:val="0029023A"/>
    <w:rsid w:val="00290F24"/>
    <w:rsid w:val="0029218C"/>
    <w:rsid w:val="00292B97"/>
    <w:rsid w:val="0029570F"/>
    <w:rsid w:val="002976B9"/>
    <w:rsid w:val="002978B6"/>
    <w:rsid w:val="002A0F81"/>
    <w:rsid w:val="002A46B6"/>
    <w:rsid w:val="002A50B5"/>
    <w:rsid w:val="002B0927"/>
    <w:rsid w:val="002B0CEC"/>
    <w:rsid w:val="002B1B1B"/>
    <w:rsid w:val="002B2B44"/>
    <w:rsid w:val="002B3984"/>
    <w:rsid w:val="002B490B"/>
    <w:rsid w:val="002B7795"/>
    <w:rsid w:val="002C030B"/>
    <w:rsid w:val="002C3804"/>
    <w:rsid w:val="002C4169"/>
    <w:rsid w:val="002C4C39"/>
    <w:rsid w:val="002C6B38"/>
    <w:rsid w:val="002D21CD"/>
    <w:rsid w:val="002D466E"/>
    <w:rsid w:val="002D5DB4"/>
    <w:rsid w:val="002D643A"/>
    <w:rsid w:val="002D6B69"/>
    <w:rsid w:val="002D6D0B"/>
    <w:rsid w:val="002E3428"/>
    <w:rsid w:val="002E412F"/>
    <w:rsid w:val="002E44A9"/>
    <w:rsid w:val="002E4676"/>
    <w:rsid w:val="002E4A3B"/>
    <w:rsid w:val="002E5B6A"/>
    <w:rsid w:val="002E681E"/>
    <w:rsid w:val="002E7380"/>
    <w:rsid w:val="002E7C49"/>
    <w:rsid w:val="002F3816"/>
    <w:rsid w:val="002F55FC"/>
    <w:rsid w:val="002F6B34"/>
    <w:rsid w:val="00300792"/>
    <w:rsid w:val="00301F8A"/>
    <w:rsid w:val="00302942"/>
    <w:rsid w:val="00306790"/>
    <w:rsid w:val="00306CE6"/>
    <w:rsid w:val="00306FBC"/>
    <w:rsid w:val="00307937"/>
    <w:rsid w:val="003103A4"/>
    <w:rsid w:val="00311C4C"/>
    <w:rsid w:val="00311EC8"/>
    <w:rsid w:val="00313976"/>
    <w:rsid w:val="00316BA0"/>
    <w:rsid w:val="0032242C"/>
    <w:rsid w:val="00322708"/>
    <w:rsid w:val="00322EDC"/>
    <w:rsid w:val="00326AD7"/>
    <w:rsid w:val="00327695"/>
    <w:rsid w:val="0033201C"/>
    <w:rsid w:val="00337B05"/>
    <w:rsid w:val="0034485E"/>
    <w:rsid w:val="003455CC"/>
    <w:rsid w:val="003467F5"/>
    <w:rsid w:val="003470E4"/>
    <w:rsid w:val="00347472"/>
    <w:rsid w:val="00347C62"/>
    <w:rsid w:val="0035484B"/>
    <w:rsid w:val="0035593B"/>
    <w:rsid w:val="00357843"/>
    <w:rsid w:val="00363631"/>
    <w:rsid w:val="00363875"/>
    <w:rsid w:val="00364FCB"/>
    <w:rsid w:val="003672A1"/>
    <w:rsid w:val="00370668"/>
    <w:rsid w:val="00370A6C"/>
    <w:rsid w:val="00371B94"/>
    <w:rsid w:val="003724CB"/>
    <w:rsid w:val="00372DAD"/>
    <w:rsid w:val="00373C20"/>
    <w:rsid w:val="00375F8A"/>
    <w:rsid w:val="00382B1B"/>
    <w:rsid w:val="00382F97"/>
    <w:rsid w:val="00386A12"/>
    <w:rsid w:val="00387756"/>
    <w:rsid w:val="00392302"/>
    <w:rsid w:val="00393C3E"/>
    <w:rsid w:val="00394A5B"/>
    <w:rsid w:val="00395EC6"/>
    <w:rsid w:val="00397227"/>
    <w:rsid w:val="00397B28"/>
    <w:rsid w:val="003A0412"/>
    <w:rsid w:val="003A0838"/>
    <w:rsid w:val="003A1AA0"/>
    <w:rsid w:val="003A4A2C"/>
    <w:rsid w:val="003A5F54"/>
    <w:rsid w:val="003B0139"/>
    <w:rsid w:val="003B4090"/>
    <w:rsid w:val="003B6546"/>
    <w:rsid w:val="003B79D2"/>
    <w:rsid w:val="003C1B20"/>
    <w:rsid w:val="003C3255"/>
    <w:rsid w:val="003C37B8"/>
    <w:rsid w:val="003C4DE3"/>
    <w:rsid w:val="003D0F08"/>
    <w:rsid w:val="003D10E8"/>
    <w:rsid w:val="003D150F"/>
    <w:rsid w:val="003D1FA6"/>
    <w:rsid w:val="003D39CE"/>
    <w:rsid w:val="003D48AF"/>
    <w:rsid w:val="003D504F"/>
    <w:rsid w:val="003D6ECA"/>
    <w:rsid w:val="003D7459"/>
    <w:rsid w:val="003D75E5"/>
    <w:rsid w:val="003E091B"/>
    <w:rsid w:val="003E2FD3"/>
    <w:rsid w:val="003E466A"/>
    <w:rsid w:val="003E52A7"/>
    <w:rsid w:val="003F1816"/>
    <w:rsid w:val="003F2B34"/>
    <w:rsid w:val="003F2F7B"/>
    <w:rsid w:val="003F32AB"/>
    <w:rsid w:val="003F348F"/>
    <w:rsid w:val="003F6B2C"/>
    <w:rsid w:val="003F6E63"/>
    <w:rsid w:val="004020BE"/>
    <w:rsid w:val="00404743"/>
    <w:rsid w:val="00404788"/>
    <w:rsid w:val="0041259E"/>
    <w:rsid w:val="00412690"/>
    <w:rsid w:val="00413191"/>
    <w:rsid w:val="00415FEB"/>
    <w:rsid w:val="0041646A"/>
    <w:rsid w:val="004201A8"/>
    <w:rsid w:val="0042592A"/>
    <w:rsid w:val="004263AE"/>
    <w:rsid w:val="00427E9E"/>
    <w:rsid w:val="00430BD9"/>
    <w:rsid w:val="00431B69"/>
    <w:rsid w:val="00435085"/>
    <w:rsid w:val="0043614C"/>
    <w:rsid w:val="00437527"/>
    <w:rsid w:val="004412AE"/>
    <w:rsid w:val="00441487"/>
    <w:rsid w:val="00443EB6"/>
    <w:rsid w:val="00444888"/>
    <w:rsid w:val="00445C24"/>
    <w:rsid w:val="00445F50"/>
    <w:rsid w:val="00451960"/>
    <w:rsid w:val="004524A9"/>
    <w:rsid w:val="0045343F"/>
    <w:rsid w:val="0045403B"/>
    <w:rsid w:val="00454D8A"/>
    <w:rsid w:val="00456B6E"/>
    <w:rsid w:val="00456FE8"/>
    <w:rsid w:val="00457BDF"/>
    <w:rsid w:val="00460CE7"/>
    <w:rsid w:val="0046250C"/>
    <w:rsid w:val="00470A25"/>
    <w:rsid w:val="0047280E"/>
    <w:rsid w:val="00474AE1"/>
    <w:rsid w:val="00475CBA"/>
    <w:rsid w:val="0047626D"/>
    <w:rsid w:val="004769F1"/>
    <w:rsid w:val="00482677"/>
    <w:rsid w:val="00492E64"/>
    <w:rsid w:val="00496C29"/>
    <w:rsid w:val="004A00C8"/>
    <w:rsid w:val="004A058B"/>
    <w:rsid w:val="004A1DAA"/>
    <w:rsid w:val="004A2118"/>
    <w:rsid w:val="004A5726"/>
    <w:rsid w:val="004A5DFB"/>
    <w:rsid w:val="004A73F8"/>
    <w:rsid w:val="004B09E4"/>
    <w:rsid w:val="004B3947"/>
    <w:rsid w:val="004B4056"/>
    <w:rsid w:val="004B5730"/>
    <w:rsid w:val="004B71C3"/>
    <w:rsid w:val="004B7EB1"/>
    <w:rsid w:val="004C0F4D"/>
    <w:rsid w:val="004C2522"/>
    <w:rsid w:val="004C677F"/>
    <w:rsid w:val="004C6B12"/>
    <w:rsid w:val="004D1601"/>
    <w:rsid w:val="004D1C59"/>
    <w:rsid w:val="004D2078"/>
    <w:rsid w:val="004D24A8"/>
    <w:rsid w:val="004D36CD"/>
    <w:rsid w:val="004D5B26"/>
    <w:rsid w:val="004D7EBF"/>
    <w:rsid w:val="004E5D8E"/>
    <w:rsid w:val="004F283D"/>
    <w:rsid w:val="004F5070"/>
    <w:rsid w:val="004F78CA"/>
    <w:rsid w:val="005000F8"/>
    <w:rsid w:val="00502ECA"/>
    <w:rsid w:val="00503CEA"/>
    <w:rsid w:val="005041C4"/>
    <w:rsid w:val="00504A48"/>
    <w:rsid w:val="00510716"/>
    <w:rsid w:val="00512E73"/>
    <w:rsid w:val="00513F7D"/>
    <w:rsid w:val="005162BF"/>
    <w:rsid w:val="0051668C"/>
    <w:rsid w:val="005166A6"/>
    <w:rsid w:val="005167D4"/>
    <w:rsid w:val="005168D6"/>
    <w:rsid w:val="00516EDD"/>
    <w:rsid w:val="00522BDE"/>
    <w:rsid w:val="0052339E"/>
    <w:rsid w:val="005313CE"/>
    <w:rsid w:val="005317EC"/>
    <w:rsid w:val="005343D1"/>
    <w:rsid w:val="005365A2"/>
    <w:rsid w:val="0053754B"/>
    <w:rsid w:val="005415B4"/>
    <w:rsid w:val="005445B7"/>
    <w:rsid w:val="00544666"/>
    <w:rsid w:val="00547664"/>
    <w:rsid w:val="00547972"/>
    <w:rsid w:val="00547FE4"/>
    <w:rsid w:val="0055036C"/>
    <w:rsid w:val="00550665"/>
    <w:rsid w:val="0055072F"/>
    <w:rsid w:val="00554655"/>
    <w:rsid w:val="00556ACE"/>
    <w:rsid w:val="00557AC3"/>
    <w:rsid w:val="00564F32"/>
    <w:rsid w:val="0056595C"/>
    <w:rsid w:val="00567908"/>
    <w:rsid w:val="00567DCB"/>
    <w:rsid w:val="00570F38"/>
    <w:rsid w:val="005742C7"/>
    <w:rsid w:val="005751E7"/>
    <w:rsid w:val="0058185F"/>
    <w:rsid w:val="0058274A"/>
    <w:rsid w:val="00590B6A"/>
    <w:rsid w:val="00590C60"/>
    <w:rsid w:val="00593219"/>
    <w:rsid w:val="00593844"/>
    <w:rsid w:val="0059609E"/>
    <w:rsid w:val="005975A5"/>
    <w:rsid w:val="005A1133"/>
    <w:rsid w:val="005A2A5E"/>
    <w:rsid w:val="005A6362"/>
    <w:rsid w:val="005B0D1F"/>
    <w:rsid w:val="005B2182"/>
    <w:rsid w:val="005B26AB"/>
    <w:rsid w:val="005B3943"/>
    <w:rsid w:val="005B4D49"/>
    <w:rsid w:val="005B6105"/>
    <w:rsid w:val="005B7F59"/>
    <w:rsid w:val="005C0767"/>
    <w:rsid w:val="005C23D4"/>
    <w:rsid w:val="005C3D4F"/>
    <w:rsid w:val="005C48A2"/>
    <w:rsid w:val="005C6CBC"/>
    <w:rsid w:val="005D4F5B"/>
    <w:rsid w:val="005D6D0B"/>
    <w:rsid w:val="005E291F"/>
    <w:rsid w:val="005E7B74"/>
    <w:rsid w:val="005F1DCF"/>
    <w:rsid w:val="005F1EA6"/>
    <w:rsid w:val="005F410A"/>
    <w:rsid w:val="005F47CA"/>
    <w:rsid w:val="005F62FE"/>
    <w:rsid w:val="005F6F65"/>
    <w:rsid w:val="00601F84"/>
    <w:rsid w:val="00604B7A"/>
    <w:rsid w:val="00604C2A"/>
    <w:rsid w:val="006066F7"/>
    <w:rsid w:val="006079BE"/>
    <w:rsid w:val="00607BED"/>
    <w:rsid w:val="006133E7"/>
    <w:rsid w:val="00614769"/>
    <w:rsid w:val="00622295"/>
    <w:rsid w:val="00622BC8"/>
    <w:rsid w:val="006233D7"/>
    <w:rsid w:val="00625D34"/>
    <w:rsid w:val="00625DF8"/>
    <w:rsid w:val="0062768F"/>
    <w:rsid w:val="0063055D"/>
    <w:rsid w:val="006409A8"/>
    <w:rsid w:val="00641463"/>
    <w:rsid w:val="00644A1D"/>
    <w:rsid w:val="00644D17"/>
    <w:rsid w:val="006478E2"/>
    <w:rsid w:val="00650361"/>
    <w:rsid w:val="00651021"/>
    <w:rsid w:val="006513B1"/>
    <w:rsid w:val="00652EC5"/>
    <w:rsid w:val="00653A05"/>
    <w:rsid w:val="00653C43"/>
    <w:rsid w:val="00655387"/>
    <w:rsid w:val="00655875"/>
    <w:rsid w:val="00656747"/>
    <w:rsid w:val="00663165"/>
    <w:rsid w:val="00664CD1"/>
    <w:rsid w:val="0066537F"/>
    <w:rsid w:val="0066587D"/>
    <w:rsid w:val="006674CC"/>
    <w:rsid w:val="00680B1F"/>
    <w:rsid w:val="00682CBA"/>
    <w:rsid w:val="00685A9D"/>
    <w:rsid w:val="006863D2"/>
    <w:rsid w:val="0069241A"/>
    <w:rsid w:val="00695911"/>
    <w:rsid w:val="006A4AB5"/>
    <w:rsid w:val="006A64CF"/>
    <w:rsid w:val="006A695B"/>
    <w:rsid w:val="006A7A09"/>
    <w:rsid w:val="006B0295"/>
    <w:rsid w:val="006B10DC"/>
    <w:rsid w:val="006B3191"/>
    <w:rsid w:val="006B7463"/>
    <w:rsid w:val="006B7B76"/>
    <w:rsid w:val="006C001C"/>
    <w:rsid w:val="006C0C81"/>
    <w:rsid w:val="006C19A9"/>
    <w:rsid w:val="006C32F3"/>
    <w:rsid w:val="006C37AB"/>
    <w:rsid w:val="006C4560"/>
    <w:rsid w:val="006C6D2D"/>
    <w:rsid w:val="006D1E57"/>
    <w:rsid w:val="006D3367"/>
    <w:rsid w:val="006D3B50"/>
    <w:rsid w:val="006D49C5"/>
    <w:rsid w:val="006D5B3A"/>
    <w:rsid w:val="006D6DB0"/>
    <w:rsid w:val="006E236A"/>
    <w:rsid w:val="006E3DF9"/>
    <w:rsid w:val="006F1CDB"/>
    <w:rsid w:val="006F1E83"/>
    <w:rsid w:val="006F3088"/>
    <w:rsid w:val="006F37BD"/>
    <w:rsid w:val="006F3BAF"/>
    <w:rsid w:val="006F4039"/>
    <w:rsid w:val="006F5300"/>
    <w:rsid w:val="006F6355"/>
    <w:rsid w:val="006F66E9"/>
    <w:rsid w:val="00704900"/>
    <w:rsid w:val="00704B8E"/>
    <w:rsid w:val="00705BD4"/>
    <w:rsid w:val="007061CF"/>
    <w:rsid w:val="00707D8F"/>
    <w:rsid w:val="00707FB4"/>
    <w:rsid w:val="00710180"/>
    <w:rsid w:val="007165A2"/>
    <w:rsid w:val="00716B41"/>
    <w:rsid w:val="00716BFD"/>
    <w:rsid w:val="00717204"/>
    <w:rsid w:val="00717D1B"/>
    <w:rsid w:val="00721225"/>
    <w:rsid w:val="007222DE"/>
    <w:rsid w:val="007229C6"/>
    <w:rsid w:val="00727C58"/>
    <w:rsid w:val="00727FDE"/>
    <w:rsid w:val="00730148"/>
    <w:rsid w:val="007302DC"/>
    <w:rsid w:val="007344DB"/>
    <w:rsid w:val="007376A7"/>
    <w:rsid w:val="00737734"/>
    <w:rsid w:val="0074284E"/>
    <w:rsid w:val="00744726"/>
    <w:rsid w:val="007513D6"/>
    <w:rsid w:val="0075289B"/>
    <w:rsid w:val="007536DE"/>
    <w:rsid w:val="00754CD0"/>
    <w:rsid w:val="00754FED"/>
    <w:rsid w:val="00762015"/>
    <w:rsid w:val="00762277"/>
    <w:rsid w:val="00762FD5"/>
    <w:rsid w:val="00763CA3"/>
    <w:rsid w:val="00763F65"/>
    <w:rsid w:val="00765B33"/>
    <w:rsid w:val="00766FB5"/>
    <w:rsid w:val="00771923"/>
    <w:rsid w:val="00771C4F"/>
    <w:rsid w:val="00773AF3"/>
    <w:rsid w:val="0077518B"/>
    <w:rsid w:val="00775C66"/>
    <w:rsid w:val="007842AE"/>
    <w:rsid w:val="00786AF0"/>
    <w:rsid w:val="00792650"/>
    <w:rsid w:val="00793319"/>
    <w:rsid w:val="0079597C"/>
    <w:rsid w:val="007A2279"/>
    <w:rsid w:val="007A2979"/>
    <w:rsid w:val="007A3B2C"/>
    <w:rsid w:val="007A7525"/>
    <w:rsid w:val="007B0FD4"/>
    <w:rsid w:val="007B14A9"/>
    <w:rsid w:val="007B4083"/>
    <w:rsid w:val="007B49EB"/>
    <w:rsid w:val="007C3C99"/>
    <w:rsid w:val="007C4209"/>
    <w:rsid w:val="007C4500"/>
    <w:rsid w:val="007C5253"/>
    <w:rsid w:val="007D130A"/>
    <w:rsid w:val="007D16BF"/>
    <w:rsid w:val="007D4691"/>
    <w:rsid w:val="007D515E"/>
    <w:rsid w:val="007D54D6"/>
    <w:rsid w:val="007D5B46"/>
    <w:rsid w:val="007D7EB6"/>
    <w:rsid w:val="007E1CA9"/>
    <w:rsid w:val="007E231B"/>
    <w:rsid w:val="007E59B1"/>
    <w:rsid w:val="007E60FE"/>
    <w:rsid w:val="007E65B3"/>
    <w:rsid w:val="007E6CC4"/>
    <w:rsid w:val="007E7F9C"/>
    <w:rsid w:val="007F1C01"/>
    <w:rsid w:val="007F5213"/>
    <w:rsid w:val="007F7536"/>
    <w:rsid w:val="007F767E"/>
    <w:rsid w:val="007F7F29"/>
    <w:rsid w:val="00801ECD"/>
    <w:rsid w:val="008021AF"/>
    <w:rsid w:val="00804E48"/>
    <w:rsid w:val="00807056"/>
    <w:rsid w:val="00810849"/>
    <w:rsid w:val="00811F17"/>
    <w:rsid w:val="008130FD"/>
    <w:rsid w:val="00813E6F"/>
    <w:rsid w:val="0081481F"/>
    <w:rsid w:val="00814BEC"/>
    <w:rsid w:val="008150C1"/>
    <w:rsid w:val="00815B3E"/>
    <w:rsid w:val="008169BA"/>
    <w:rsid w:val="00817854"/>
    <w:rsid w:val="00820325"/>
    <w:rsid w:val="008263FD"/>
    <w:rsid w:val="00827B02"/>
    <w:rsid w:val="00830ECD"/>
    <w:rsid w:val="00831CA2"/>
    <w:rsid w:val="00831DE8"/>
    <w:rsid w:val="008356F9"/>
    <w:rsid w:val="00841AB4"/>
    <w:rsid w:val="00841CE2"/>
    <w:rsid w:val="00842544"/>
    <w:rsid w:val="00842F58"/>
    <w:rsid w:val="00843366"/>
    <w:rsid w:val="00843AD3"/>
    <w:rsid w:val="00843F4E"/>
    <w:rsid w:val="008444AD"/>
    <w:rsid w:val="00844A60"/>
    <w:rsid w:val="00844BC9"/>
    <w:rsid w:val="00845009"/>
    <w:rsid w:val="0084525F"/>
    <w:rsid w:val="00845384"/>
    <w:rsid w:val="008470D0"/>
    <w:rsid w:val="0084735B"/>
    <w:rsid w:val="008509B9"/>
    <w:rsid w:val="0085486D"/>
    <w:rsid w:val="00856E03"/>
    <w:rsid w:val="008610D2"/>
    <w:rsid w:val="00863345"/>
    <w:rsid w:val="008664C2"/>
    <w:rsid w:val="00867973"/>
    <w:rsid w:val="00871DA9"/>
    <w:rsid w:val="00876472"/>
    <w:rsid w:val="008802C2"/>
    <w:rsid w:val="00880DBA"/>
    <w:rsid w:val="0088109E"/>
    <w:rsid w:val="00881947"/>
    <w:rsid w:val="008824C3"/>
    <w:rsid w:val="008928BE"/>
    <w:rsid w:val="00892ED0"/>
    <w:rsid w:val="00893C7A"/>
    <w:rsid w:val="0089442A"/>
    <w:rsid w:val="00896AC4"/>
    <w:rsid w:val="008A06BB"/>
    <w:rsid w:val="008A2E86"/>
    <w:rsid w:val="008A46F6"/>
    <w:rsid w:val="008A5196"/>
    <w:rsid w:val="008A5FD9"/>
    <w:rsid w:val="008B0247"/>
    <w:rsid w:val="008B48E8"/>
    <w:rsid w:val="008B501A"/>
    <w:rsid w:val="008B5B74"/>
    <w:rsid w:val="008B747B"/>
    <w:rsid w:val="008B79C8"/>
    <w:rsid w:val="008C0680"/>
    <w:rsid w:val="008C0BD3"/>
    <w:rsid w:val="008C0C85"/>
    <w:rsid w:val="008C0F66"/>
    <w:rsid w:val="008C25BF"/>
    <w:rsid w:val="008C2E69"/>
    <w:rsid w:val="008C327B"/>
    <w:rsid w:val="008C3922"/>
    <w:rsid w:val="008C7E9F"/>
    <w:rsid w:val="008D0B5F"/>
    <w:rsid w:val="008D5C79"/>
    <w:rsid w:val="008E0D32"/>
    <w:rsid w:val="008E0E6B"/>
    <w:rsid w:val="008E1436"/>
    <w:rsid w:val="008E15AE"/>
    <w:rsid w:val="008E237B"/>
    <w:rsid w:val="008E5B24"/>
    <w:rsid w:val="009100ED"/>
    <w:rsid w:val="00911853"/>
    <w:rsid w:val="00912BFB"/>
    <w:rsid w:val="00913A06"/>
    <w:rsid w:val="00922C3C"/>
    <w:rsid w:val="009235CA"/>
    <w:rsid w:val="0092598C"/>
    <w:rsid w:val="0092615D"/>
    <w:rsid w:val="00927394"/>
    <w:rsid w:val="0093646E"/>
    <w:rsid w:val="00940CAF"/>
    <w:rsid w:val="00940DA2"/>
    <w:rsid w:val="00940FC3"/>
    <w:rsid w:val="00941282"/>
    <w:rsid w:val="009419E1"/>
    <w:rsid w:val="00945961"/>
    <w:rsid w:val="00946B84"/>
    <w:rsid w:val="00946EEC"/>
    <w:rsid w:val="00947DA0"/>
    <w:rsid w:val="009508A1"/>
    <w:rsid w:val="0095232E"/>
    <w:rsid w:val="00957889"/>
    <w:rsid w:val="00957A07"/>
    <w:rsid w:val="009626BA"/>
    <w:rsid w:val="009716FC"/>
    <w:rsid w:val="00972273"/>
    <w:rsid w:val="00972582"/>
    <w:rsid w:val="00977E57"/>
    <w:rsid w:val="0098200A"/>
    <w:rsid w:val="00982B73"/>
    <w:rsid w:val="00983962"/>
    <w:rsid w:val="00986AEF"/>
    <w:rsid w:val="00991370"/>
    <w:rsid w:val="009976CC"/>
    <w:rsid w:val="009A1F64"/>
    <w:rsid w:val="009A2316"/>
    <w:rsid w:val="009A35F1"/>
    <w:rsid w:val="009A7E45"/>
    <w:rsid w:val="009B3FE6"/>
    <w:rsid w:val="009C543A"/>
    <w:rsid w:val="009C57FB"/>
    <w:rsid w:val="009C61A6"/>
    <w:rsid w:val="009C76DF"/>
    <w:rsid w:val="009C7B70"/>
    <w:rsid w:val="009D0380"/>
    <w:rsid w:val="009D19D3"/>
    <w:rsid w:val="009D4A8B"/>
    <w:rsid w:val="009D66F6"/>
    <w:rsid w:val="009D7B96"/>
    <w:rsid w:val="009E00D9"/>
    <w:rsid w:val="009E0706"/>
    <w:rsid w:val="009E159A"/>
    <w:rsid w:val="009E3E71"/>
    <w:rsid w:val="009E3F72"/>
    <w:rsid w:val="009E6D5B"/>
    <w:rsid w:val="009E710C"/>
    <w:rsid w:val="009E7B80"/>
    <w:rsid w:val="009F1388"/>
    <w:rsid w:val="009F2045"/>
    <w:rsid w:val="009F26AE"/>
    <w:rsid w:val="009F3CC4"/>
    <w:rsid w:val="009F6304"/>
    <w:rsid w:val="009F69EC"/>
    <w:rsid w:val="00A00906"/>
    <w:rsid w:val="00A02F78"/>
    <w:rsid w:val="00A05B94"/>
    <w:rsid w:val="00A07AE8"/>
    <w:rsid w:val="00A07E40"/>
    <w:rsid w:val="00A12FA2"/>
    <w:rsid w:val="00A13708"/>
    <w:rsid w:val="00A148BD"/>
    <w:rsid w:val="00A168EE"/>
    <w:rsid w:val="00A222E2"/>
    <w:rsid w:val="00A24031"/>
    <w:rsid w:val="00A245C6"/>
    <w:rsid w:val="00A25096"/>
    <w:rsid w:val="00A2530B"/>
    <w:rsid w:val="00A326B7"/>
    <w:rsid w:val="00A33DF6"/>
    <w:rsid w:val="00A35E80"/>
    <w:rsid w:val="00A37F8D"/>
    <w:rsid w:val="00A40164"/>
    <w:rsid w:val="00A4168A"/>
    <w:rsid w:val="00A41A42"/>
    <w:rsid w:val="00A41CA7"/>
    <w:rsid w:val="00A43093"/>
    <w:rsid w:val="00A43F99"/>
    <w:rsid w:val="00A44043"/>
    <w:rsid w:val="00A47025"/>
    <w:rsid w:val="00A50B87"/>
    <w:rsid w:val="00A541B3"/>
    <w:rsid w:val="00A557B6"/>
    <w:rsid w:val="00A621F7"/>
    <w:rsid w:val="00A62873"/>
    <w:rsid w:val="00A62FD5"/>
    <w:rsid w:val="00A6677B"/>
    <w:rsid w:val="00A67CD4"/>
    <w:rsid w:val="00A71103"/>
    <w:rsid w:val="00A72C03"/>
    <w:rsid w:val="00A76164"/>
    <w:rsid w:val="00A779B0"/>
    <w:rsid w:val="00A77A67"/>
    <w:rsid w:val="00A82602"/>
    <w:rsid w:val="00A84EBB"/>
    <w:rsid w:val="00A85459"/>
    <w:rsid w:val="00A86103"/>
    <w:rsid w:val="00A903FF"/>
    <w:rsid w:val="00A9130C"/>
    <w:rsid w:val="00A9143F"/>
    <w:rsid w:val="00A9223B"/>
    <w:rsid w:val="00A925B1"/>
    <w:rsid w:val="00A92B6A"/>
    <w:rsid w:val="00A92D06"/>
    <w:rsid w:val="00A953F9"/>
    <w:rsid w:val="00A95F06"/>
    <w:rsid w:val="00A96034"/>
    <w:rsid w:val="00A96699"/>
    <w:rsid w:val="00A96F8D"/>
    <w:rsid w:val="00AA0CE5"/>
    <w:rsid w:val="00AA0E90"/>
    <w:rsid w:val="00AA181E"/>
    <w:rsid w:val="00AA3A69"/>
    <w:rsid w:val="00AA465C"/>
    <w:rsid w:val="00AA4DF9"/>
    <w:rsid w:val="00AA7E3A"/>
    <w:rsid w:val="00AB1CA5"/>
    <w:rsid w:val="00AB3B14"/>
    <w:rsid w:val="00AB595F"/>
    <w:rsid w:val="00AB6C2B"/>
    <w:rsid w:val="00AC0DB5"/>
    <w:rsid w:val="00AC6287"/>
    <w:rsid w:val="00AC76C1"/>
    <w:rsid w:val="00AD1AAF"/>
    <w:rsid w:val="00AD4095"/>
    <w:rsid w:val="00AD4766"/>
    <w:rsid w:val="00AD49DC"/>
    <w:rsid w:val="00AD680B"/>
    <w:rsid w:val="00AD7D5C"/>
    <w:rsid w:val="00AE112E"/>
    <w:rsid w:val="00AE2BA0"/>
    <w:rsid w:val="00AE5AA8"/>
    <w:rsid w:val="00AE64EE"/>
    <w:rsid w:val="00AE69D7"/>
    <w:rsid w:val="00AF2098"/>
    <w:rsid w:val="00AF376C"/>
    <w:rsid w:val="00AF56D5"/>
    <w:rsid w:val="00AF6B43"/>
    <w:rsid w:val="00B00442"/>
    <w:rsid w:val="00B01124"/>
    <w:rsid w:val="00B02B58"/>
    <w:rsid w:val="00B0364C"/>
    <w:rsid w:val="00B06466"/>
    <w:rsid w:val="00B07068"/>
    <w:rsid w:val="00B07635"/>
    <w:rsid w:val="00B10FB8"/>
    <w:rsid w:val="00B15406"/>
    <w:rsid w:val="00B15E4E"/>
    <w:rsid w:val="00B20387"/>
    <w:rsid w:val="00B216B9"/>
    <w:rsid w:val="00B237AD"/>
    <w:rsid w:val="00B238D3"/>
    <w:rsid w:val="00B23C61"/>
    <w:rsid w:val="00B255AF"/>
    <w:rsid w:val="00B25791"/>
    <w:rsid w:val="00B26AC6"/>
    <w:rsid w:val="00B2717A"/>
    <w:rsid w:val="00B271CB"/>
    <w:rsid w:val="00B31A28"/>
    <w:rsid w:val="00B43186"/>
    <w:rsid w:val="00B45059"/>
    <w:rsid w:val="00B4676D"/>
    <w:rsid w:val="00B4684C"/>
    <w:rsid w:val="00B52B45"/>
    <w:rsid w:val="00B5596F"/>
    <w:rsid w:val="00B61B7D"/>
    <w:rsid w:val="00B6310E"/>
    <w:rsid w:val="00B64A19"/>
    <w:rsid w:val="00B6515B"/>
    <w:rsid w:val="00B6554B"/>
    <w:rsid w:val="00B666BB"/>
    <w:rsid w:val="00B66939"/>
    <w:rsid w:val="00B66A3E"/>
    <w:rsid w:val="00B7014B"/>
    <w:rsid w:val="00B73F7C"/>
    <w:rsid w:val="00B748E8"/>
    <w:rsid w:val="00B757A5"/>
    <w:rsid w:val="00B82F3D"/>
    <w:rsid w:val="00B90C0B"/>
    <w:rsid w:val="00B92E4E"/>
    <w:rsid w:val="00B9301E"/>
    <w:rsid w:val="00B93485"/>
    <w:rsid w:val="00B952E0"/>
    <w:rsid w:val="00BA0E54"/>
    <w:rsid w:val="00BA0F2B"/>
    <w:rsid w:val="00BA26B0"/>
    <w:rsid w:val="00BA3366"/>
    <w:rsid w:val="00BA3C60"/>
    <w:rsid w:val="00BA508D"/>
    <w:rsid w:val="00BB28BA"/>
    <w:rsid w:val="00BB3C03"/>
    <w:rsid w:val="00BC093C"/>
    <w:rsid w:val="00BC3401"/>
    <w:rsid w:val="00BC5B87"/>
    <w:rsid w:val="00BC6C3F"/>
    <w:rsid w:val="00BC7946"/>
    <w:rsid w:val="00BD405A"/>
    <w:rsid w:val="00BD49C2"/>
    <w:rsid w:val="00BD5D2D"/>
    <w:rsid w:val="00BD6AE0"/>
    <w:rsid w:val="00BE3267"/>
    <w:rsid w:val="00BE4945"/>
    <w:rsid w:val="00BF2135"/>
    <w:rsid w:val="00BF4D7B"/>
    <w:rsid w:val="00BF4D83"/>
    <w:rsid w:val="00BF6269"/>
    <w:rsid w:val="00C0449E"/>
    <w:rsid w:val="00C048B9"/>
    <w:rsid w:val="00C06A3F"/>
    <w:rsid w:val="00C06AD2"/>
    <w:rsid w:val="00C06B05"/>
    <w:rsid w:val="00C06B55"/>
    <w:rsid w:val="00C078F2"/>
    <w:rsid w:val="00C11924"/>
    <w:rsid w:val="00C11E15"/>
    <w:rsid w:val="00C1328E"/>
    <w:rsid w:val="00C1362E"/>
    <w:rsid w:val="00C14D25"/>
    <w:rsid w:val="00C14F9D"/>
    <w:rsid w:val="00C151DE"/>
    <w:rsid w:val="00C168AF"/>
    <w:rsid w:val="00C17111"/>
    <w:rsid w:val="00C17B5C"/>
    <w:rsid w:val="00C20260"/>
    <w:rsid w:val="00C20805"/>
    <w:rsid w:val="00C22121"/>
    <w:rsid w:val="00C222FB"/>
    <w:rsid w:val="00C2323F"/>
    <w:rsid w:val="00C24776"/>
    <w:rsid w:val="00C2519A"/>
    <w:rsid w:val="00C26AAA"/>
    <w:rsid w:val="00C30156"/>
    <w:rsid w:val="00C3021A"/>
    <w:rsid w:val="00C33462"/>
    <w:rsid w:val="00C35A2D"/>
    <w:rsid w:val="00C37006"/>
    <w:rsid w:val="00C3718F"/>
    <w:rsid w:val="00C42D8F"/>
    <w:rsid w:val="00C43CEC"/>
    <w:rsid w:val="00C4431D"/>
    <w:rsid w:val="00C45626"/>
    <w:rsid w:val="00C4683A"/>
    <w:rsid w:val="00C54402"/>
    <w:rsid w:val="00C54887"/>
    <w:rsid w:val="00C56982"/>
    <w:rsid w:val="00C5777F"/>
    <w:rsid w:val="00C629AF"/>
    <w:rsid w:val="00C63C70"/>
    <w:rsid w:val="00C701A1"/>
    <w:rsid w:val="00C70D29"/>
    <w:rsid w:val="00C71419"/>
    <w:rsid w:val="00C73253"/>
    <w:rsid w:val="00C77D3B"/>
    <w:rsid w:val="00C80C02"/>
    <w:rsid w:val="00C83696"/>
    <w:rsid w:val="00C83BB9"/>
    <w:rsid w:val="00C84DE5"/>
    <w:rsid w:val="00C95F99"/>
    <w:rsid w:val="00C963A5"/>
    <w:rsid w:val="00CA0E61"/>
    <w:rsid w:val="00CA176E"/>
    <w:rsid w:val="00CA1BD6"/>
    <w:rsid w:val="00CA3B64"/>
    <w:rsid w:val="00CA63F0"/>
    <w:rsid w:val="00CA77D8"/>
    <w:rsid w:val="00CA7BB4"/>
    <w:rsid w:val="00CB05A8"/>
    <w:rsid w:val="00CB3BCC"/>
    <w:rsid w:val="00CB40C2"/>
    <w:rsid w:val="00CB5352"/>
    <w:rsid w:val="00CC0500"/>
    <w:rsid w:val="00CC3200"/>
    <w:rsid w:val="00CC786F"/>
    <w:rsid w:val="00CD236F"/>
    <w:rsid w:val="00CD24BA"/>
    <w:rsid w:val="00CD318C"/>
    <w:rsid w:val="00CD3EFC"/>
    <w:rsid w:val="00CD42E7"/>
    <w:rsid w:val="00CD517F"/>
    <w:rsid w:val="00CE024A"/>
    <w:rsid w:val="00CE2086"/>
    <w:rsid w:val="00CF02BD"/>
    <w:rsid w:val="00CF132B"/>
    <w:rsid w:val="00CF2F15"/>
    <w:rsid w:val="00CF6547"/>
    <w:rsid w:val="00CF6D4C"/>
    <w:rsid w:val="00CF716F"/>
    <w:rsid w:val="00D00336"/>
    <w:rsid w:val="00D023A6"/>
    <w:rsid w:val="00D02FA4"/>
    <w:rsid w:val="00D04528"/>
    <w:rsid w:val="00D04AB7"/>
    <w:rsid w:val="00D0656C"/>
    <w:rsid w:val="00D07F02"/>
    <w:rsid w:val="00D10AEB"/>
    <w:rsid w:val="00D12082"/>
    <w:rsid w:val="00D13694"/>
    <w:rsid w:val="00D14888"/>
    <w:rsid w:val="00D150E4"/>
    <w:rsid w:val="00D161D3"/>
    <w:rsid w:val="00D17BBD"/>
    <w:rsid w:val="00D20962"/>
    <w:rsid w:val="00D227DF"/>
    <w:rsid w:val="00D237FE"/>
    <w:rsid w:val="00D253C5"/>
    <w:rsid w:val="00D25436"/>
    <w:rsid w:val="00D25DA4"/>
    <w:rsid w:val="00D27096"/>
    <w:rsid w:val="00D302CE"/>
    <w:rsid w:val="00D322D3"/>
    <w:rsid w:val="00D33154"/>
    <w:rsid w:val="00D35B9C"/>
    <w:rsid w:val="00D3713C"/>
    <w:rsid w:val="00D3727E"/>
    <w:rsid w:val="00D42D68"/>
    <w:rsid w:val="00D43AE6"/>
    <w:rsid w:val="00D444E8"/>
    <w:rsid w:val="00D459B9"/>
    <w:rsid w:val="00D463FD"/>
    <w:rsid w:val="00D46AF7"/>
    <w:rsid w:val="00D479B9"/>
    <w:rsid w:val="00D501A9"/>
    <w:rsid w:val="00D50C1E"/>
    <w:rsid w:val="00D50C7D"/>
    <w:rsid w:val="00D50CF1"/>
    <w:rsid w:val="00D5372A"/>
    <w:rsid w:val="00D60030"/>
    <w:rsid w:val="00D62EFA"/>
    <w:rsid w:val="00D63A43"/>
    <w:rsid w:val="00D671A9"/>
    <w:rsid w:val="00D673F7"/>
    <w:rsid w:val="00D70918"/>
    <w:rsid w:val="00D72219"/>
    <w:rsid w:val="00D7484D"/>
    <w:rsid w:val="00D749B0"/>
    <w:rsid w:val="00D75746"/>
    <w:rsid w:val="00D8059E"/>
    <w:rsid w:val="00D823F7"/>
    <w:rsid w:val="00D87573"/>
    <w:rsid w:val="00D87AD7"/>
    <w:rsid w:val="00D952C5"/>
    <w:rsid w:val="00D962BC"/>
    <w:rsid w:val="00DA1061"/>
    <w:rsid w:val="00DA35F3"/>
    <w:rsid w:val="00DB10E3"/>
    <w:rsid w:val="00DB5A5F"/>
    <w:rsid w:val="00DB5D1E"/>
    <w:rsid w:val="00DB6F16"/>
    <w:rsid w:val="00DC03AC"/>
    <w:rsid w:val="00DC1857"/>
    <w:rsid w:val="00DC1F3C"/>
    <w:rsid w:val="00DC6C79"/>
    <w:rsid w:val="00DC6D71"/>
    <w:rsid w:val="00DD1586"/>
    <w:rsid w:val="00DD228E"/>
    <w:rsid w:val="00DD2ADC"/>
    <w:rsid w:val="00DD43D6"/>
    <w:rsid w:val="00DD5E59"/>
    <w:rsid w:val="00DD66BC"/>
    <w:rsid w:val="00DD71D0"/>
    <w:rsid w:val="00DE302A"/>
    <w:rsid w:val="00DE711A"/>
    <w:rsid w:val="00DE7C40"/>
    <w:rsid w:val="00DF2665"/>
    <w:rsid w:val="00DF4A8C"/>
    <w:rsid w:val="00DF4FD9"/>
    <w:rsid w:val="00E0203A"/>
    <w:rsid w:val="00E0640C"/>
    <w:rsid w:val="00E06FE7"/>
    <w:rsid w:val="00E1039F"/>
    <w:rsid w:val="00E1041A"/>
    <w:rsid w:val="00E12166"/>
    <w:rsid w:val="00E1341F"/>
    <w:rsid w:val="00E13E9F"/>
    <w:rsid w:val="00E141FB"/>
    <w:rsid w:val="00E20570"/>
    <w:rsid w:val="00E20748"/>
    <w:rsid w:val="00E215EC"/>
    <w:rsid w:val="00E23145"/>
    <w:rsid w:val="00E26E0F"/>
    <w:rsid w:val="00E31635"/>
    <w:rsid w:val="00E361E7"/>
    <w:rsid w:val="00E40A40"/>
    <w:rsid w:val="00E40E7D"/>
    <w:rsid w:val="00E437AA"/>
    <w:rsid w:val="00E441E2"/>
    <w:rsid w:val="00E44B7C"/>
    <w:rsid w:val="00E47F67"/>
    <w:rsid w:val="00E47FDA"/>
    <w:rsid w:val="00E52008"/>
    <w:rsid w:val="00E53544"/>
    <w:rsid w:val="00E54985"/>
    <w:rsid w:val="00E5672A"/>
    <w:rsid w:val="00E56DFA"/>
    <w:rsid w:val="00E61EEA"/>
    <w:rsid w:val="00E62374"/>
    <w:rsid w:val="00E623D6"/>
    <w:rsid w:val="00E74731"/>
    <w:rsid w:val="00E801B5"/>
    <w:rsid w:val="00E80381"/>
    <w:rsid w:val="00E837AF"/>
    <w:rsid w:val="00E865A7"/>
    <w:rsid w:val="00E86652"/>
    <w:rsid w:val="00E90A70"/>
    <w:rsid w:val="00E917AA"/>
    <w:rsid w:val="00E919A4"/>
    <w:rsid w:val="00E91D68"/>
    <w:rsid w:val="00E9217C"/>
    <w:rsid w:val="00E94121"/>
    <w:rsid w:val="00E94217"/>
    <w:rsid w:val="00EA16EA"/>
    <w:rsid w:val="00EA2A7C"/>
    <w:rsid w:val="00EA3836"/>
    <w:rsid w:val="00EB1E74"/>
    <w:rsid w:val="00EB22AD"/>
    <w:rsid w:val="00EB301E"/>
    <w:rsid w:val="00EB3652"/>
    <w:rsid w:val="00EB3E2A"/>
    <w:rsid w:val="00EB5E3E"/>
    <w:rsid w:val="00EB5FEE"/>
    <w:rsid w:val="00EC0DAF"/>
    <w:rsid w:val="00EC1AC6"/>
    <w:rsid w:val="00EC2E88"/>
    <w:rsid w:val="00EC58DB"/>
    <w:rsid w:val="00EC5F49"/>
    <w:rsid w:val="00EC6CD8"/>
    <w:rsid w:val="00ED0090"/>
    <w:rsid w:val="00ED43EF"/>
    <w:rsid w:val="00ED63F2"/>
    <w:rsid w:val="00ED6D62"/>
    <w:rsid w:val="00EE2A92"/>
    <w:rsid w:val="00EE2DDF"/>
    <w:rsid w:val="00EE68FE"/>
    <w:rsid w:val="00EE6DE5"/>
    <w:rsid w:val="00EE7372"/>
    <w:rsid w:val="00EF03F2"/>
    <w:rsid w:val="00EF0B7F"/>
    <w:rsid w:val="00EF2CC3"/>
    <w:rsid w:val="00EF39B7"/>
    <w:rsid w:val="00EF444A"/>
    <w:rsid w:val="00EF60E4"/>
    <w:rsid w:val="00EF638B"/>
    <w:rsid w:val="00F01919"/>
    <w:rsid w:val="00F01991"/>
    <w:rsid w:val="00F043F2"/>
    <w:rsid w:val="00F05DB0"/>
    <w:rsid w:val="00F06C66"/>
    <w:rsid w:val="00F07B8F"/>
    <w:rsid w:val="00F1061C"/>
    <w:rsid w:val="00F13349"/>
    <w:rsid w:val="00F1336D"/>
    <w:rsid w:val="00F14906"/>
    <w:rsid w:val="00F14E11"/>
    <w:rsid w:val="00F161AA"/>
    <w:rsid w:val="00F17971"/>
    <w:rsid w:val="00F209F8"/>
    <w:rsid w:val="00F221AA"/>
    <w:rsid w:val="00F22992"/>
    <w:rsid w:val="00F274E2"/>
    <w:rsid w:val="00F27669"/>
    <w:rsid w:val="00F32212"/>
    <w:rsid w:val="00F347A2"/>
    <w:rsid w:val="00F37131"/>
    <w:rsid w:val="00F373DE"/>
    <w:rsid w:val="00F37640"/>
    <w:rsid w:val="00F40BFC"/>
    <w:rsid w:val="00F43609"/>
    <w:rsid w:val="00F44153"/>
    <w:rsid w:val="00F44FEF"/>
    <w:rsid w:val="00F463D9"/>
    <w:rsid w:val="00F475F7"/>
    <w:rsid w:val="00F5050F"/>
    <w:rsid w:val="00F51261"/>
    <w:rsid w:val="00F517DF"/>
    <w:rsid w:val="00F52480"/>
    <w:rsid w:val="00F54177"/>
    <w:rsid w:val="00F54407"/>
    <w:rsid w:val="00F544EF"/>
    <w:rsid w:val="00F55CFE"/>
    <w:rsid w:val="00F577CB"/>
    <w:rsid w:val="00F61C64"/>
    <w:rsid w:val="00F61F21"/>
    <w:rsid w:val="00F67CAB"/>
    <w:rsid w:val="00F7052C"/>
    <w:rsid w:val="00F70F55"/>
    <w:rsid w:val="00F717E5"/>
    <w:rsid w:val="00F726B6"/>
    <w:rsid w:val="00F73E2E"/>
    <w:rsid w:val="00F74299"/>
    <w:rsid w:val="00F774C1"/>
    <w:rsid w:val="00F77E2B"/>
    <w:rsid w:val="00F821EE"/>
    <w:rsid w:val="00F8327F"/>
    <w:rsid w:val="00F83D1E"/>
    <w:rsid w:val="00F90EAF"/>
    <w:rsid w:val="00F918CF"/>
    <w:rsid w:val="00F9321A"/>
    <w:rsid w:val="00F96666"/>
    <w:rsid w:val="00FA2676"/>
    <w:rsid w:val="00FA507A"/>
    <w:rsid w:val="00FA5905"/>
    <w:rsid w:val="00FA610D"/>
    <w:rsid w:val="00FA6592"/>
    <w:rsid w:val="00FA6A33"/>
    <w:rsid w:val="00FB2D07"/>
    <w:rsid w:val="00FB3204"/>
    <w:rsid w:val="00FB4354"/>
    <w:rsid w:val="00FB4550"/>
    <w:rsid w:val="00FB4AE4"/>
    <w:rsid w:val="00FC028A"/>
    <w:rsid w:val="00FC6289"/>
    <w:rsid w:val="00FC72BB"/>
    <w:rsid w:val="00FD0FA1"/>
    <w:rsid w:val="00FD2B2B"/>
    <w:rsid w:val="00FD6637"/>
    <w:rsid w:val="00FE3C53"/>
    <w:rsid w:val="00FE3E16"/>
    <w:rsid w:val="00FE4A36"/>
    <w:rsid w:val="00FE7962"/>
    <w:rsid w:val="00FF2000"/>
    <w:rsid w:val="00FF39D7"/>
    <w:rsid w:val="00FF4DFC"/>
    <w:rsid w:val="00FF55BE"/>
    <w:rsid w:val="00FF5D90"/>
    <w:rsid w:val="00FF6908"/>
    <w:rsid w:val="00FF75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8E309A"/>
  <w14:defaultImageDpi w14:val="300"/>
  <w15:docId w15:val="{37F3939C-7C86-42F3-90A9-75F7FFDFB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64EE"/>
    <w:rPr>
      <w:rFonts w:ascii="Times New Roman" w:hAnsi="Times New Roman"/>
      <w:sz w:val="24"/>
      <w:szCs w:val="24"/>
    </w:rPr>
  </w:style>
  <w:style w:type="paragraph" w:styleId="Heading1">
    <w:name w:val="heading 1"/>
    <w:basedOn w:val="NormalWeb"/>
    <w:link w:val="Heading1Char"/>
    <w:qFormat/>
    <w:rsid w:val="00AE64EE"/>
    <w:pPr>
      <w:keepNext/>
      <w:outlineLvl w:val="0"/>
    </w:pPr>
    <w:rPr>
      <w:rFonts w:cs="Arial"/>
      <w:b/>
      <w:bCs/>
      <w:kern w:val="32"/>
      <w:sz w:val="43"/>
      <w:szCs w:val="32"/>
    </w:rPr>
  </w:style>
  <w:style w:type="paragraph" w:styleId="Heading2">
    <w:name w:val="heading 2"/>
    <w:basedOn w:val="NormalWeb"/>
    <w:link w:val="Heading2Char"/>
    <w:qFormat/>
    <w:rsid w:val="00AE64EE"/>
    <w:pPr>
      <w:keepNext/>
      <w:outlineLvl w:val="1"/>
    </w:pPr>
    <w:rPr>
      <w:rFonts w:cs="Arial"/>
      <w:b/>
      <w:bCs/>
      <w:iCs/>
      <w:sz w:val="38"/>
      <w:szCs w:val="28"/>
    </w:rPr>
  </w:style>
  <w:style w:type="paragraph" w:styleId="Heading3">
    <w:name w:val="heading 3"/>
    <w:basedOn w:val="NormalWeb"/>
    <w:link w:val="Heading3Char"/>
    <w:qFormat/>
    <w:rsid w:val="00AE64EE"/>
    <w:pPr>
      <w:keepNext/>
      <w:outlineLvl w:val="2"/>
    </w:pPr>
    <w:rPr>
      <w:rFonts w:cs="Arial"/>
      <w:b/>
      <w:bCs/>
      <w:sz w:val="34"/>
      <w:szCs w:val="26"/>
    </w:rPr>
  </w:style>
  <w:style w:type="paragraph" w:styleId="Heading4">
    <w:name w:val="heading 4"/>
    <w:basedOn w:val="NormalWeb"/>
    <w:link w:val="Heading4Char"/>
    <w:qFormat/>
    <w:rsid w:val="00AE64EE"/>
    <w:pPr>
      <w:keepNext/>
      <w:outlineLvl w:val="3"/>
    </w:pPr>
    <w:rPr>
      <w:b/>
      <w:bCs/>
      <w:sz w:val="31"/>
      <w:szCs w:val="28"/>
    </w:rPr>
  </w:style>
  <w:style w:type="paragraph" w:styleId="Heading5">
    <w:name w:val="heading 5"/>
    <w:basedOn w:val="NormalWeb"/>
    <w:link w:val="Heading5Char"/>
    <w:qFormat/>
    <w:rsid w:val="00AE64EE"/>
    <w:pPr>
      <w:outlineLvl w:val="4"/>
    </w:pPr>
    <w:rPr>
      <w:b/>
      <w:bCs/>
      <w:iCs/>
      <w:sz w:val="29"/>
      <w:szCs w:val="26"/>
    </w:rPr>
  </w:style>
  <w:style w:type="paragraph" w:styleId="Heading6">
    <w:name w:val="heading 6"/>
    <w:basedOn w:val="NormalWeb"/>
    <w:link w:val="Heading6Char"/>
    <w:qFormat/>
    <w:rsid w:val="00AE64EE"/>
    <w:pPr>
      <w:outlineLvl w:val="5"/>
    </w:pPr>
    <w:rPr>
      <w:b/>
      <w:bCs/>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0">
    <w:name w:val="Style0"/>
    <w:basedOn w:val="Normal"/>
    <w:next w:val="Normal"/>
    <w:uiPriority w:val="99"/>
  </w:style>
  <w:style w:type="paragraph" w:customStyle="1" w:styleId="Style1">
    <w:name w:val="Style1"/>
    <w:basedOn w:val="Normal"/>
    <w:next w:val="Normal"/>
    <w:uiPriority w:val="99"/>
    <w:rPr>
      <w:rFonts w:ascii="Minion-Regular" w:hAnsi="Minion-Regular" w:cs="Minion-Regular"/>
      <w:sz w:val="32"/>
      <w:szCs w:val="32"/>
    </w:rPr>
  </w:style>
  <w:style w:type="paragraph" w:customStyle="1" w:styleId="Style2">
    <w:name w:val="Style2"/>
    <w:basedOn w:val="Normal"/>
    <w:next w:val="Normal"/>
    <w:uiPriority w:val="99"/>
    <w:rPr>
      <w:rFonts w:ascii="Minion-Italic" w:hAnsi="Minion-Italic" w:cs="Minion-Italic"/>
    </w:rPr>
  </w:style>
  <w:style w:type="paragraph" w:customStyle="1" w:styleId="Style3">
    <w:name w:val="Style3"/>
    <w:basedOn w:val="Normal"/>
    <w:next w:val="Normal"/>
    <w:uiPriority w:val="99"/>
    <w:rPr>
      <w:rFonts w:ascii="MTSY" w:hAnsi="MTSY" w:cs="MTSY"/>
    </w:rPr>
  </w:style>
  <w:style w:type="character" w:customStyle="1" w:styleId="NormalWebChar">
    <w:name w:val="Normal (Web) Char"/>
    <w:basedOn w:val="DefaultParagraphFont"/>
    <w:link w:val="NormalWeb"/>
    <w:uiPriority w:val="99"/>
    <w:rsid w:val="00EB1E74"/>
    <w:rPr>
      <w:sz w:val="24"/>
      <w:szCs w:val="24"/>
      <w:lang w:val="en-US" w:eastAsia="en-US" w:bidi="ar-SA"/>
    </w:rPr>
  </w:style>
  <w:style w:type="paragraph" w:customStyle="1" w:styleId="Style5">
    <w:name w:val="Style5"/>
    <w:basedOn w:val="Normal"/>
    <w:next w:val="Normal"/>
    <w:uiPriority w:val="99"/>
    <w:rPr>
      <w:rFonts w:ascii="Formata BQ-Regular" w:hAnsi="Formata BQ-Regular" w:cs="Formata BQ-Regular"/>
      <w:sz w:val="15"/>
      <w:szCs w:val="15"/>
    </w:rPr>
  </w:style>
  <w:style w:type="paragraph" w:customStyle="1" w:styleId="Style6">
    <w:name w:val="Style6"/>
    <w:basedOn w:val="Normal"/>
    <w:next w:val="Normal"/>
    <w:uiPriority w:val="99"/>
    <w:rPr>
      <w:rFonts w:ascii="Helvetica" w:hAnsi="Helvetica" w:cs="Helvetica"/>
    </w:rPr>
  </w:style>
  <w:style w:type="paragraph" w:customStyle="1" w:styleId="Style7">
    <w:name w:val="Style7"/>
    <w:basedOn w:val="Normal"/>
    <w:next w:val="Normal"/>
    <w:uiPriority w:val="99"/>
    <w:rPr>
      <w:rFonts w:ascii="Times New Roman PS" w:hAnsi="Times New Roman PS" w:cs="Times New Roman PS"/>
    </w:rPr>
  </w:style>
  <w:style w:type="paragraph" w:customStyle="1" w:styleId="Style8">
    <w:name w:val="Style8"/>
    <w:basedOn w:val="Normal"/>
    <w:next w:val="Normal"/>
    <w:uiPriority w:val="99"/>
    <w:rPr>
      <w:rFonts w:ascii="Formata BQ-Italic" w:hAnsi="Formata BQ-Italic" w:cs="Formata BQ-Italic"/>
    </w:rPr>
  </w:style>
  <w:style w:type="paragraph" w:customStyle="1" w:styleId="Style9">
    <w:name w:val="Style9"/>
    <w:basedOn w:val="Normal"/>
    <w:next w:val="Normal"/>
    <w:uiPriority w:val="99"/>
    <w:rPr>
      <w:rFonts w:ascii="Formata BQ-Bold" w:hAnsi="Formata BQ-Bold" w:cs="Formata BQ-Bold"/>
      <w:sz w:val="12"/>
      <w:szCs w:val="12"/>
    </w:rPr>
  </w:style>
  <w:style w:type="paragraph" w:customStyle="1" w:styleId="Style10">
    <w:name w:val="Style10"/>
    <w:basedOn w:val="Normal"/>
    <w:next w:val="Normal"/>
    <w:uiPriority w:val="99"/>
    <w:rPr>
      <w:rFonts w:ascii="Minion-Bold" w:hAnsi="Minion-Bold" w:cs="Minion-Bold"/>
      <w:sz w:val="16"/>
      <w:szCs w:val="16"/>
    </w:rPr>
  </w:style>
  <w:style w:type="paragraph" w:customStyle="1" w:styleId="Style11">
    <w:name w:val="Style11"/>
    <w:basedOn w:val="Normal"/>
    <w:next w:val="Normal"/>
    <w:uiPriority w:val="99"/>
    <w:rPr>
      <w:rFonts w:ascii="Symbol" w:hAnsi="Symbol" w:cs="Symbol"/>
      <w:sz w:val="17"/>
      <w:szCs w:val="17"/>
    </w:rPr>
  </w:style>
  <w:style w:type="paragraph" w:customStyle="1" w:styleId="Style12">
    <w:name w:val="Style12"/>
    <w:basedOn w:val="Normal"/>
    <w:next w:val="Normal"/>
    <w:uiPriority w:val="99"/>
    <w:rPr>
      <w:sz w:val="14"/>
      <w:szCs w:val="14"/>
    </w:rPr>
  </w:style>
  <w:style w:type="paragraph" w:customStyle="1" w:styleId="Style13">
    <w:name w:val="Style13"/>
    <w:basedOn w:val="Normal"/>
    <w:next w:val="Normal"/>
    <w:uiPriority w:val="99"/>
    <w:rPr>
      <w:sz w:val="19"/>
      <w:szCs w:val="19"/>
    </w:rPr>
  </w:style>
  <w:style w:type="paragraph" w:customStyle="1" w:styleId="Style14">
    <w:name w:val="Style14"/>
    <w:basedOn w:val="Normal"/>
    <w:next w:val="Normal"/>
    <w:uiPriority w:val="99"/>
    <w:rPr>
      <w:sz w:val="17"/>
      <w:szCs w:val="17"/>
    </w:rPr>
  </w:style>
  <w:style w:type="paragraph" w:customStyle="1" w:styleId="Style15">
    <w:name w:val="Style15"/>
    <w:basedOn w:val="Normal"/>
    <w:next w:val="Normal"/>
    <w:uiPriority w:val="99"/>
    <w:rPr>
      <w:sz w:val="18"/>
      <w:szCs w:val="18"/>
    </w:rPr>
  </w:style>
  <w:style w:type="paragraph" w:customStyle="1" w:styleId="Style16">
    <w:name w:val="Style16"/>
    <w:basedOn w:val="Normal"/>
    <w:next w:val="Normal"/>
    <w:uiPriority w:val="99"/>
    <w:rPr>
      <w:sz w:val="20"/>
      <w:szCs w:val="20"/>
    </w:rPr>
  </w:style>
  <w:style w:type="paragraph" w:customStyle="1" w:styleId="Style17">
    <w:name w:val="Style17"/>
    <w:basedOn w:val="Normal"/>
    <w:next w:val="Normal"/>
    <w:uiPriority w:val="99"/>
    <w:rPr>
      <w:sz w:val="16"/>
      <w:szCs w:val="16"/>
    </w:rPr>
  </w:style>
  <w:style w:type="paragraph" w:customStyle="1" w:styleId="Style18">
    <w:name w:val="Style18"/>
    <w:basedOn w:val="Normal"/>
    <w:next w:val="Normal"/>
    <w:uiPriority w:val="99"/>
    <w:rPr>
      <w:sz w:val="12"/>
      <w:szCs w:val="12"/>
    </w:rPr>
  </w:style>
  <w:style w:type="paragraph" w:customStyle="1" w:styleId="Style19">
    <w:name w:val="Style19"/>
    <w:basedOn w:val="Normal"/>
    <w:next w:val="Normal"/>
    <w:uiPriority w:val="99"/>
    <w:rPr>
      <w:sz w:val="19"/>
      <w:szCs w:val="19"/>
    </w:rPr>
  </w:style>
  <w:style w:type="paragraph" w:customStyle="1" w:styleId="Style20">
    <w:name w:val="Style20"/>
    <w:basedOn w:val="Normal"/>
    <w:next w:val="Normal"/>
    <w:uiPriority w:val="99"/>
    <w:rPr>
      <w:sz w:val="18"/>
      <w:szCs w:val="18"/>
    </w:rPr>
  </w:style>
  <w:style w:type="paragraph" w:customStyle="1" w:styleId="Style21">
    <w:name w:val="Style21"/>
    <w:basedOn w:val="Normal"/>
    <w:next w:val="Normal"/>
    <w:uiPriority w:val="99"/>
    <w:rPr>
      <w:sz w:val="17"/>
      <w:szCs w:val="17"/>
    </w:rPr>
  </w:style>
  <w:style w:type="paragraph" w:customStyle="1" w:styleId="Style22">
    <w:name w:val="Style22"/>
    <w:basedOn w:val="Normal"/>
    <w:next w:val="Normal"/>
    <w:uiPriority w:val="99"/>
    <w:rPr>
      <w:sz w:val="17"/>
      <w:szCs w:val="17"/>
    </w:rPr>
  </w:style>
  <w:style w:type="paragraph" w:customStyle="1" w:styleId="Style23">
    <w:name w:val="Style23"/>
    <w:basedOn w:val="Normal"/>
    <w:next w:val="Normal"/>
    <w:uiPriority w:val="99"/>
    <w:rPr>
      <w:sz w:val="12"/>
      <w:szCs w:val="12"/>
    </w:rPr>
  </w:style>
  <w:style w:type="paragraph" w:customStyle="1" w:styleId="Style24">
    <w:name w:val="Style24"/>
    <w:basedOn w:val="Normal"/>
    <w:next w:val="Normal"/>
    <w:uiPriority w:val="99"/>
    <w:rPr>
      <w:sz w:val="18"/>
      <w:szCs w:val="18"/>
    </w:rPr>
  </w:style>
  <w:style w:type="paragraph" w:customStyle="1" w:styleId="Style25">
    <w:name w:val="Style25"/>
    <w:basedOn w:val="Normal"/>
    <w:next w:val="Normal"/>
    <w:uiPriority w:val="99"/>
    <w:rPr>
      <w:sz w:val="18"/>
      <w:szCs w:val="18"/>
    </w:rPr>
  </w:style>
  <w:style w:type="paragraph" w:customStyle="1" w:styleId="Style26">
    <w:name w:val="Style26"/>
    <w:basedOn w:val="Normal"/>
    <w:next w:val="Normal"/>
    <w:uiPriority w:val="99"/>
    <w:rPr>
      <w:sz w:val="18"/>
      <w:szCs w:val="18"/>
    </w:rPr>
  </w:style>
  <w:style w:type="paragraph" w:customStyle="1" w:styleId="Style27">
    <w:name w:val="Style27"/>
    <w:basedOn w:val="Normal"/>
    <w:next w:val="Normal"/>
    <w:uiPriority w:val="99"/>
    <w:rPr>
      <w:sz w:val="16"/>
      <w:szCs w:val="16"/>
    </w:rPr>
  </w:style>
  <w:style w:type="paragraph" w:customStyle="1" w:styleId="Style28">
    <w:name w:val="Style28"/>
    <w:basedOn w:val="Normal"/>
    <w:next w:val="Normal"/>
    <w:uiPriority w:val="99"/>
    <w:rPr>
      <w:sz w:val="14"/>
      <w:szCs w:val="14"/>
    </w:rPr>
  </w:style>
  <w:style w:type="paragraph" w:customStyle="1" w:styleId="Style29">
    <w:name w:val="Style29"/>
    <w:basedOn w:val="Normal"/>
    <w:next w:val="Normal"/>
    <w:uiPriority w:val="99"/>
    <w:rPr>
      <w:sz w:val="18"/>
      <w:szCs w:val="18"/>
    </w:rPr>
  </w:style>
  <w:style w:type="paragraph" w:customStyle="1" w:styleId="Style30">
    <w:name w:val="Style30"/>
    <w:basedOn w:val="Normal"/>
    <w:next w:val="Normal"/>
    <w:uiPriority w:val="99"/>
    <w:rPr>
      <w:sz w:val="18"/>
      <w:szCs w:val="18"/>
    </w:rPr>
  </w:style>
  <w:style w:type="paragraph" w:customStyle="1" w:styleId="Style31">
    <w:name w:val="Style31"/>
    <w:basedOn w:val="Normal"/>
    <w:next w:val="Normal"/>
    <w:uiPriority w:val="99"/>
  </w:style>
  <w:style w:type="character" w:customStyle="1" w:styleId="Heading3Char">
    <w:name w:val="Heading 3 Char"/>
    <w:link w:val="Heading3"/>
    <w:rPr>
      <w:rFonts w:cs="Arial"/>
      <w:b/>
      <w:bCs/>
      <w:sz w:val="34"/>
      <w:szCs w:val="26"/>
      <w:lang w:val="en-US" w:eastAsia="en-US" w:bidi="ar-SA"/>
    </w:rPr>
  </w:style>
  <w:style w:type="character" w:customStyle="1" w:styleId="Heading2Char">
    <w:name w:val="Heading 2 Char"/>
    <w:link w:val="Heading2"/>
    <w:rPr>
      <w:rFonts w:cs="Arial"/>
      <w:b/>
      <w:bCs/>
      <w:iCs/>
      <w:sz w:val="38"/>
      <w:szCs w:val="28"/>
      <w:lang w:val="en-US" w:eastAsia="en-US" w:bidi="ar-SA"/>
    </w:rPr>
  </w:style>
  <w:style w:type="character" w:customStyle="1" w:styleId="Heading1Char">
    <w:name w:val="Heading 1 Char"/>
    <w:link w:val="Heading1"/>
    <w:rPr>
      <w:rFonts w:cs="Arial"/>
      <w:b/>
      <w:bCs/>
      <w:kern w:val="32"/>
      <w:sz w:val="43"/>
      <w:szCs w:val="32"/>
      <w:lang w:val="en-US" w:eastAsia="en-US" w:bidi="ar-SA"/>
    </w:rPr>
  </w:style>
  <w:style w:type="character" w:customStyle="1" w:styleId="Heading4Char">
    <w:name w:val="Heading 4 Char"/>
    <w:link w:val="Heading4"/>
    <w:rsid w:val="002C4C39"/>
    <w:rPr>
      <w:b/>
      <w:bCs/>
      <w:sz w:val="31"/>
      <w:szCs w:val="28"/>
      <w:lang w:val="en-US" w:eastAsia="en-US" w:bidi="ar-SA"/>
    </w:rPr>
  </w:style>
  <w:style w:type="character" w:customStyle="1" w:styleId="Heading5Char">
    <w:name w:val="Heading 5 Char"/>
    <w:link w:val="Heading5"/>
    <w:rsid w:val="002C4C39"/>
    <w:rPr>
      <w:b/>
      <w:bCs/>
      <w:iCs/>
      <w:sz w:val="29"/>
      <w:szCs w:val="26"/>
      <w:lang w:val="en-US" w:eastAsia="en-US" w:bidi="ar-SA"/>
    </w:rPr>
  </w:style>
  <w:style w:type="character" w:customStyle="1" w:styleId="Heading6Char">
    <w:name w:val="Heading 6 Char"/>
    <w:link w:val="Heading6"/>
    <w:rsid w:val="002C4C39"/>
    <w:rPr>
      <w:b/>
      <w:bCs/>
      <w:sz w:val="26"/>
      <w:szCs w:val="22"/>
      <w:lang w:val="en-US" w:eastAsia="en-US" w:bidi="ar-SA"/>
    </w:rPr>
  </w:style>
  <w:style w:type="paragraph" w:styleId="NormalWeb">
    <w:name w:val="Normal (Web)"/>
    <w:basedOn w:val="Normal"/>
    <w:link w:val="NormalWebChar"/>
    <w:uiPriority w:val="99"/>
    <w:rsid w:val="00AE64EE"/>
    <w:pPr>
      <w:spacing w:before="100" w:beforeAutospacing="1" w:after="100" w:afterAutospacing="1"/>
    </w:pPr>
  </w:style>
  <w:style w:type="paragraph" w:customStyle="1" w:styleId="Affiliation">
    <w:name w:val="Affiliation"/>
    <w:basedOn w:val="NormalWeb"/>
    <w:rsid w:val="00AE64EE"/>
  </w:style>
  <w:style w:type="paragraph" w:customStyle="1" w:styleId="Author">
    <w:name w:val="Author"/>
    <w:basedOn w:val="NormalWeb"/>
    <w:rsid w:val="00AE64EE"/>
    <w:rPr>
      <w:sz w:val="26"/>
    </w:rPr>
  </w:style>
  <w:style w:type="paragraph" w:customStyle="1" w:styleId="Editor">
    <w:name w:val="Editor"/>
    <w:basedOn w:val="NormalWeb"/>
    <w:rsid w:val="00AE64EE"/>
    <w:rPr>
      <w:sz w:val="26"/>
    </w:rPr>
  </w:style>
  <w:style w:type="paragraph" w:customStyle="1" w:styleId="Edition">
    <w:name w:val="Edition"/>
    <w:basedOn w:val="NormalWeb"/>
    <w:rsid w:val="00AE64EE"/>
  </w:style>
  <w:style w:type="paragraph" w:customStyle="1" w:styleId="Dedication">
    <w:name w:val="Dedication"/>
    <w:basedOn w:val="NormalWeb"/>
    <w:rsid w:val="00AE64EE"/>
  </w:style>
  <w:style w:type="paragraph" w:customStyle="1" w:styleId="Half-title">
    <w:name w:val="Half-title"/>
    <w:basedOn w:val="NormalWeb"/>
    <w:rsid w:val="00AE64EE"/>
  </w:style>
  <w:style w:type="paragraph" w:customStyle="1" w:styleId="Copyright">
    <w:name w:val="Copyright"/>
    <w:basedOn w:val="NormalWeb"/>
    <w:rsid w:val="00AE64EE"/>
  </w:style>
  <w:style w:type="paragraph" w:customStyle="1" w:styleId="LOC">
    <w:name w:val="LOC"/>
    <w:basedOn w:val="NormalWeb"/>
    <w:rsid w:val="00AE64EE"/>
  </w:style>
  <w:style w:type="paragraph" w:customStyle="1" w:styleId="Publisher">
    <w:name w:val="Publisher"/>
    <w:basedOn w:val="NormalWeb"/>
    <w:rsid w:val="00AE64EE"/>
  </w:style>
  <w:style w:type="paragraph" w:styleId="Subtitle">
    <w:name w:val="Subtitle"/>
    <w:basedOn w:val="NormalWeb"/>
    <w:link w:val="SubtitleChar"/>
    <w:qFormat/>
    <w:rsid w:val="00AE64EE"/>
    <w:pPr>
      <w:outlineLvl w:val="1"/>
    </w:pPr>
    <w:rPr>
      <w:rFonts w:cs="Arial"/>
    </w:rPr>
  </w:style>
  <w:style w:type="character" w:customStyle="1" w:styleId="SubtitleChar">
    <w:name w:val="Subtitle Char"/>
    <w:link w:val="Subtitle"/>
    <w:rsid w:val="002C4C39"/>
    <w:rPr>
      <w:rFonts w:cs="Arial"/>
      <w:sz w:val="24"/>
      <w:szCs w:val="24"/>
      <w:lang w:val="en-US" w:eastAsia="en-US" w:bidi="ar-SA"/>
    </w:rPr>
  </w:style>
  <w:style w:type="paragraph" w:customStyle="1" w:styleId="TOCpart">
    <w:name w:val="TOCpart"/>
    <w:basedOn w:val="NormalWeb"/>
    <w:rsid w:val="00AE64EE"/>
  </w:style>
  <w:style w:type="paragraph" w:customStyle="1" w:styleId="TOCChapter">
    <w:name w:val="TOCChapter"/>
    <w:basedOn w:val="NormalWeb"/>
    <w:rsid w:val="00AE64EE"/>
  </w:style>
  <w:style w:type="paragraph" w:customStyle="1" w:styleId="TOCpagenumber">
    <w:name w:val="TOCpagenumber"/>
    <w:basedOn w:val="NormalWeb"/>
    <w:rsid w:val="00AE64EE"/>
  </w:style>
  <w:style w:type="paragraph" w:customStyle="1" w:styleId="TOCsubchapter">
    <w:name w:val="TOCsubchapter"/>
    <w:basedOn w:val="NormalWeb"/>
    <w:rsid w:val="00AE64EE"/>
  </w:style>
  <w:style w:type="paragraph" w:customStyle="1" w:styleId="TOCsubsubchapter">
    <w:name w:val="TOCsubsubchapter"/>
    <w:basedOn w:val="NormalWeb"/>
    <w:rsid w:val="00AE64EE"/>
  </w:style>
  <w:style w:type="paragraph" w:customStyle="1" w:styleId="TOCsubsubsubchapter">
    <w:name w:val="TOCsubsubsubchapter"/>
    <w:basedOn w:val="NormalWeb"/>
    <w:rsid w:val="00AE64EE"/>
  </w:style>
  <w:style w:type="paragraph" w:styleId="Caption">
    <w:name w:val="caption"/>
    <w:basedOn w:val="NormalWeb"/>
    <w:qFormat/>
    <w:rsid w:val="00AE64EE"/>
    <w:rPr>
      <w:bCs/>
      <w:szCs w:val="20"/>
    </w:rPr>
  </w:style>
  <w:style w:type="paragraph" w:customStyle="1" w:styleId="Blockquote">
    <w:name w:val="Blockquote"/>
    <w:basedOn w:val="NormalWeb"/>
    <w:rsid w:val="00AE64EE"/>
    <w:pPr>
      <w:ind w:left="432" w:right="432"/>
    </w:pPr>
  </w:style>
  <w:style w:type="paragraph" w:customStyle="1" w:styleId="Extract">
    <w:name w:val="Extract"/>
    <w:basedOn w:val="NormalWeb"/>
    <w:rsid w:val="00AE64EE"/>
    <w:pPr>
      <w:ind w:left="432" w:right="432"/>
    </w:pPr>
  </w:style>
  <w:style w:type="paragraph" w:customStyle="1" w:styleId="Indentblock">
    <w:name w:val="Indentblock"/>
    <w:basedOn w:val="NormalWeb"/>
    <w:rsid w:val="00AE64EE"/>
    <w:pPr>
      <w:ind w:left="432"/>
    </w:pPr>
  </w:style>
  <w:style w:type="paragraph" w:customStyle="1" w:styleId="Indenthanginga">
    <w:name w:val="Indenthanginga"/>
    <w:basedOn w:val="NormalWeb"/>
    <w:rsid w:val="00AE64EE"/>
    <w:pPr>
      <w:ind w:left="432" w:hanging="432"/>
    </w:pPr>
  </w:style>
  <w:style w:type="paragraph" w:customStyle="1" w:styleId="Indenthanging1">
    <w:name w:val="Indenthanging1"/>
    <w:basedOn w:val="NormalWeb"/>
    <w:rsid w:val="00AE64EE"/>
    <w:pPr>
      <w:ind w:left="190" w:hanging="190"/>
    </w:pPr>
  </w:style>
  <w:style w:type="paragraph" w:customStyle="1" w:styleId="Indenthangingb">
    <w:name w:val="Indenthangingb"/>
    <w:basedOn w:val="NormalWeb"/>
    <w:rsid w:val="00AE64EE"/>
    <w:pPr>
      <w:ind w:left="432" w:hanging="432"/>
    </w:pPr>
  </w:style>
  <w:style w:type="paragraph" w:customStyle="1" w:styleId="Table">
    <w:name w:val="Table"/>
    <w:basedOn w:val="NormalWeb"/>
    <w:rsid w:val="00AE64EE"/>
    <w:pPr>
      <w:spacing w:before="48" w:beforeAutospacing="0" w:after="48" w:afterAutospacing="0"/>
      <w:ind w:left="144"/>
    </w:pPr>
  </w:style>
  <w:style w:type="paragraph" w:customStyle="1" w:styleId="NlTable">
    <w:name w:val="NlTable"/>
    <w:basedOn w:val="Table"/>
    <w:rsid w:val="00AE64EE"/>
  </w:style>
  <w:style w:type="paragraph" w:customStyle="1" w:styleId="Note">
    <w:name w:val="Note"/>
    <w:basedOn w:val="Table"/>
    <w:rsid w:val="00AE64EE"/>
  </w:style>
  <w:style w:type="paragraph" w:customStyle="1" w:styleId="Sidebar">
    <w:name w:val="Sidebar"/>
    <w:basedOn w:val="Table"/>
    <w:rsid w:val="00AE64EE"/>
  </w:style>
  <w:style w:type="paragraph" w:customStyle="1" w:styleId="Indexmain">
    <w:name w:val="Indexmain"/>
    <w:basedOn w:val="NormalWeb"/>
    <w:rsid w:val="00AE64EE"/>
    <w:pPr>
      <w:spacing w:before="24" w:beforeAutospacing="0" w:after="24" w:afterAutospacing="0"/>
      <w:ind w:left="360" w:hanging="360"/>
    </w:pPr>
  </w:style>
  <w:style w:type="paragraph" w:customStyle="1" w:styleId="Indexsub">
    <w:name w:val="Indexsub"/>
    <w:basedOn w:val="NormalWeb"/>
    <w:rsid w:val="00AE64EE"/>
    <w:pPr>
      <w:spacing w:before="24" w:beforeAutospacing="0" w:after="24" w:afterAutospacing="0"/>
      <w:ind w:left="619" w:hanging="360"/>
    </w:pPr>
  </w:style>
  <w:style w:type="paragraph" w:customStyle="1" w:styleId="Indexsubsub">
    <w:name w:val="Indexsubsub"/>
    <w:basedOn w:val="NormalWeb"/>
    <w:rsid w:val="00AE64EE"/>
    <w:pPr>
      <w:spacing w:before="24" w:beforeAutospacing="0" w:after="24" w:afterAutospacing="0"/>
      <w:ind w:left="907" w:hanging="360"/>
    </w:pPr>
  </w:style>
  <w:style w:type="paragraph" w:customStyle="1" w:styleId="Indexsubsubsub">
    <w:name w:val="Indexsubsubsub"/>
    <w:basedOn w:val="NormalWeb"/>
    <w:rsid w:val="00AE64EE"/>
    <w:pPr>
      <w:spacing w:before="24" w:beforeAutospacing="0" w:after="24" w:afterAutospacing="0"/>
      <w:ind w:left="1080" w:hanging="360"/>
    </w:pPr>
  </w:style>
  <w:style w:type="character" w:customStyle="1" w:styleId="eBol">
    <w:name w:val="eBol"/>
    <w:rsid w:val="00AE64EE"/>
    <w:rPr>
      <w:rFonts w:ascii="Times New Roman" w:hAnsi="Times New Roman"/>
      <w:b/>
    </w:rPr>
  </w:style>
  <w:style w:type="character" w:customStyle="1" w:styleId="eIta">
    <w:name w:val="eIta"/>
    <w:rsid w:val="00AE64EE"/>
    <w:rPr>
      <w:rFonts w:ascii="Times New Roman" w:hAnsi="Times New Roman"/>
      <w:i/>
    </w:rPr>
  </w:style>
  <w:style w:type="character" w:customStyle="1" w:styleId="eBolIta">
    <w:name w:val="eBolIta"/>
    <w:rsid w:val="00AE64EE"/>
    <w:rPr>
      <w:rFonts w:ascii="Times New Roman" w:hAnsi="Times New Roman"/>
      <w:b/>
      <w:i/>
    </w:rPr>
  </w:style>
  <w:style w:type="paragraph" w:customStyle="1" w:styleId="TOC-Chapter">
    <w:name w:val="TOC-Chapter"/>
    <w:basedOn w:val="NormalWeb"/>
    <w:rsid w:val="00AE64EE"/>
    <w:pPr>
      <w:spacing w:before="48" w:beforeAutospacing="0" w:after="48" w:afterAutospacing="0"/>
    </w:pPr>
  </w:style>
  <w:style w:type="paragraph" w:customStyle="1" w:styleId="TOC-pagenumber">
    <w:name w:val="TOC-pagenumber"/>
    <w:basedOn w:val="NormalWeb"/>
    <w:rsid w:val="00AE64EE"/>
    <w:pPr>
      <w:spacing w:before="48" w:beforeAutospacing="0" w:after="48" w:afterAutospacing="0"/>
    </w:pPr>
  </w:style>
  <w:style w:type="paragraph" w:customStyle="1" w:styleId="TOC-part">
    <w:name w:val="TOC-part"/>
    <w:basedOn w:val="NormalWeb"/>
    <w:rsid w:val="00AE64EE"/>
    <w:pPr>
      <w:spacing w:before="48" w:beforeAutospacing="0" w:after="48" w:afterAutospacing="0"/>
    </w:pPr>
  </w:style>
  <w:style w:type="paragraph" w:customStyle="1" w:styleId="TOC-subchapter">
    <w:name w:val="TOC-subchapter"/>
    <w:basedOn w:val="NormalWeb"/>
    <w:rsid w:val="00AE64EE"/>
    <w:pPr>
      <w:spacing w:before="48" w:beforeAutospacing="0" w:after="48" w:afterAutospacing="0"/>
    </w:pPr>
  </w:style>
  <w:style w:type="paragraph" w:customStyle="1" w:styleId="TOC-subsubchapter">
    <w:name w:val="TOC-subsubchapter"/>
    <w:basedOn w:val="NormalWeb"/>
    <w:rsid w:val="00AE64EE"/>
    <w:pPr>
      <w:spacing w:before="48" w:beforeAutospacing="0" w:after="48" w:afterAutospacing="0"/>
    </w:pPr>
  </w:style>
  <w:style w:type="paragraph" w:customStyle="1" w:styleId="TOC-subsubsubchapter">
    <w:name w:val="TOC-subsubsubchapter"/>
    <w:basedOn w:val="NormalWeb"/>
    <w:rsid w:val="00AE64EE"/>
    <w:pPr>
      <w:spacing w:before="48" w:beforeAutospacing="0" w:after="48" w:afterAutospacing="0"/>
    </w:pPr>
  </w:style>
  <w:style w:type="paragraph" w:customStyle="1" w:styleId="TOC-Chapauthor">
    <w:name w:val="TOC-Chapauthor"/>
    <w:basedOn w:val="NormalWeb"/>
    <w:rsid w:val="00AE64EE"/>
    <w:pPr>
      <w:spacing w:before="48" w:beforeAutospacing="0" w:after="48" w:afterAutospacing="0"/>
    </w:pPr>
  </w:style>
  <w:style w:type="paragraph" w:customStyle="1" w:styleId="Table-H">
    <w:name w:val="Table-H"/>
    <w:basedOn w:val="NormalWeb"/>
    <w:rsid w:val="00AE64EE"/>
    <w:pPr>
      <w:spacing w:before="48" w:beforeAutospacing="0" w:after="48" w:afterAutospacing="0"/>
      <w:ind w:left="432" w:hanging="288"/>
    </w:pPr>
  </w:style>
  <w:style w:type="paragraph" w:customStyle="1" w:styleId="N1Table-H">
    <w:name w:val="N1Table-H"/>
    <w:basedOn w:val="Table-H"/>
    <w:rsid w:val="00AE64EE"/>
  </w:style>
  <w:style w:type="paragraph" w:customStyle="1" w:styleId="NlTable-H">
    <w:name w:val="NlTable-H"/>
    <w:basedOn w:val="Table-H"/>
    <w:rsid w:val="00AE64EE"/>
  </w:style>
  <w:style w:type="paragraph" w:customStyle="1" w:styleId="Note-H">
    <w:name w:val="Note-H"/>
    <w:basedOn w:val="Table-H"/>
    <w:rsid w:val="00AE64EE"/>
  </w:style>
  <w:style w:type="paragraph" w:customStyle="1" w:styleId="Sidebar-H">
    <w:name w:val="Sidebar-H"/>
    <w:basedOn w:val="Table-H"/>
    <w:rsid w:val="00AE64EE"/>
  </w:style>
  <w:style w:type="paragraph" w:customStyle="1" w:styleId="Poem">
    <w:name w:val="Poem"/>
    <w:basedOn w:val="Extract"/>
    <w:qFormat/>
    <w:rsid w:val="00AE64EE"/>
    <w:pPr>
      <w:spacing w:before="0" w:beforeAutospacing="0" w:after="0" w:afterAutospacing="0"/>
    </w:pPr>
  </w:style>
  <w:style w:type="paragraph" w:customStyle="1" w:styleId="Poem1">
    <w:name w:val="Poem 1"/>
    <w:basedOn w:val="Poem"/>
    <w:rsid w:val="00AE64EE"/>
    <w:pPr>
      <w:ind w:left="864"/>
    </w:pPr>
  </w:style>
  <w:style w:type="paragraph" w:customStyle="1" w:styleId="indent1">
    <w:name w:val="indent1"/>
    <w:basedOn w:val="Normal"/>
    <w:next w:val="NormalWeb"/>
    <w:qFormat/>
    <w:rsid w:val="00AE64EE"/>
    <w:pPr>
      <w:ind w:left="288" w:hanging="288"/>
    </w:pPr>
  </w:style>
  <w:style w:type="paragraph" w:styleId="FootnoteText">
    <w:name w:val="footnote text"/>
    <w:basedOn w:val="Normal"/>
    <w:link w:val="FootnoteTextChar"/>
    <w:uiPriority w:val="99"/>
    <w:unhideWhenUsed/>
    <w:rsid w:val="003F2F7B"/>
    <w:rPr>
      <w:sz w:val="20"/>
      <w:szCs w:val="20"/>
    </w:rPr>
  </w:style>
  <w:style w:type="character" w:customStyle="1" w:styleId="FootnoteTextChar">
    <w:name w:val="Footnote Text Char"/>
    <w:link w:val="FootnoteText"/>
    <w:uiPriority w:val="99"/>
    <w:rsid w:val="003F2F7B"/>
    <w:rPr>
      <w:rFonts w:ascii="Times New Roman" w:hAnsi="Times New Roman"/>
      <w:lang w:val="en-US" w:eastAsia="en-US"/>
    </w:rPr>
  </w:style>
  <w:style w:type="character" w:styleId="FootnoteReference">
    <w:name w:val="footnote reference"/>
    <w:uiPriority w:val="99"/>
    <w:unhideWhenUsed/>
    <w:rsid w:val="003F2F7B"/>
    <w:rPr>
      <w:vertAlign w:val="superscript"/>
    </w:rPr>
  </w:style>
  <w:style w:type="table" w:styleId="TableGrid">
    <w:name w:val="Table Grid"/>
    <w:basedOn w:val="TableNormal"/>
    <w:uiPriority w:val="59"/>
    <w:rsid w:val="003F2F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rsid w:val="00144A13"/>
    <w:pPr>
      <w:jc w:val="center"/>
    </w:pPr>
  </w:style>
  <w:style w:type="paragraph" w:customStyle="1" w:styleId="EndNoteBibliography">
    <w:name w:val="EndNote Bibliography"/>
    <w:basedOn w:val="Normal"/>
    <w:rsid w:val="00144A13"/>
  </w:style>
  <w:style w:type="paragraph" w:styleId="BalloonText">
    <w:name w:val="Balloon Text"/>
    <w:basedOn w:val="Normal"/>
    <w:link w:val="BalloonTextChar"/>
    <w:uiPriority w:val="99"/>
    <w:semiHidden/>
    <w:unhideWhenUsed/>
    <w:rsid w:val="00144A1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4A13"/>
    <w:rPr>
      <w:rFonts w:ascii="Lucida Grande" w:hAnsi="Lucida Grande" w:cs="Lucida Grande"/>
      <w:sz w:val="18"/>
      <w:szCs w:val="18"/>
    </w:rPr>
  </w:style>
  <w:style w:type="paragraph" w:styleId="Footer">
    <w:name w:val="footer"/>
    <w:basedOn w:val="Normal"/>
    <w:link w:val="FooterChar"/>
    <w:uiPriority w:val="99"/>
    <w:unhideWhenUsed/>
    <w:rsid w:val="00144A13"/>
    <w:pPr>
      <w:tabs>
        <w:tab w:val="center" w:pos="4320"/>
        <w:tab w:val="right" w:pos="8640"/>
      </w:tabs>
    </w:pPr>
  </w:style>
  <w:style w:type="character" w:customStyle="1" w:styleId="FooterChar">
    <w:name w:val="Footer Char"/>
    <w:basedOn w:val="DefaultParagraphFont"/>
    <w:link w:val="Footer"/>
    <w:uiPriority w:val="99"/>
    <w:rsid w:val="00144A13"/>
    <w:rPr>
      <w:rFonts w:ascii="Times New Roman" w:hAnsi="Times New Roman"/>
      <w:sz w:val="24"/>
      <w:szCs w:val="24"/>
    </w:rPr>
  </w:style>
  <w:style w:type="character" w:styleId="PageNumber">
    <w:name w:val="page number"/>
    <w:uiPriority w:val="99"/>
    <w:semiHidden/>
    <w:unhideWhenUsed/>
    <w:rsid w:val="00144A13"/>
  </w:style>
  <w:style w:type="character" w:styleId="CommentReference">
    <w:name w:val="annotation reference"/>
    <w:uiPriority w:val="99"/>
    <w:semiHidden/>
    <w:unhideWhenUsed/>
    <w:rsid w:val="00144A13"/>
    <w:rPr>
      <w:sz w:val="18"/>
      <w:szCs w:val="18"/>
    </w:rPr>
  </w:style>
  <w:style w:type="paragraph" w:styleId="CommentText">
    <w:name w:val="annotation text"/>
    <w:basedOn w:val="Normal"/>
    <w:link w:val="CommentTextChar"/>
    <w:uiPriority w:val="99"/>
    <w:unhideWhenUsed/>
    <w:rsid w:val="00144A13"/>
  </w:style>
  <w:style w:type="character" w:customStyle="1" w:styleId="CommentTextChar">
    <w:name w:val="Comment Text Char"/>
    <w:basedOn w:val="DefaultParagraphFont"/>
    <w:link w:val="CommentText"/>
    <w:uiPriority w:val="99"/>
    <w:rsid w:val="00144A13"/>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144A13"/>
    <w:rPr>
      <w:b/>
      <w:bCs/>
      <w:sz w:val="20"/>
      <w:szCs w:val="20"/>
    </w:rPr>
  </w:style>
  <w:style w:type="character" w:customStyle="1" w:styleId="CommentSubjectChar">
    <w:name w:val="Comment Subject Char"/>
    <w:basedOn w:val="CommentTextChar"/>
    <w:link w:val="CommentSubject"/>
    <w:uiPriority w:val="99"/>
    <w:semiHidden/>
    <w:rsid w:val="00144A13"/>
    <w:rPr>
      <w:rFonts w:ascii="Times New Roman" w:hAnsi="Times New Roman"/>
      <w:b/>
      <w:bCs/>
      <w:sz w:val="24"/>
      <w:szCs w:val="24"/>
    </w:rPr>
  </w:style>
  <w:style w:type="paragraph" w:styleId="Header">
    <w:name w:val="header"/>
    <w:basedOn w:val="Normal"/>
    <w:link w:val="HeaderChar"/>
    <w:uiPriority w:val="99"/>
    <w:unhideWhenUsed/>
    <w:rsid w:val="00144A13"/>
    <w:pPr>
      <w:tabs>
        <w:tab w:val="center" w:pos="4320"/>
        <w:tab w:val="right" w:pos="8640"/>
      </w:tabs>
    </w:pPr>
  </w:style>
  <w:style w:type="character" w:customStyle="1" w:styleId="HeaderChar">
    <w:name w:val="Header Char"/>
    <w:basedOn w:val="DefaultParagraphFont"/>
    <w:link w:val="Header"/>
    <w:uiPriority w:val="99"/>
    <w:rsid w:val="00144A13"/>
    <w:rPr>
      <w:rFonts w:ascii="Times New Roman" w:hAnsi="Times New Roman"/>
      <w:sz w:val="24"/>
      <w:szCs w:val="24"/>
    </w:rPr>
  </w:style>
  <w:style w:type="paragraph" w:styleId="Revision">
    <w:name w:val="Revision"/>
    <w:hidden/>
    <w:uiPriority w:val="99"/>
    <w:semiHidden/>
    <w:rsid w:val="00EF2CC3"/>
    <w:rPr>
      <w:rFonts w:ascii="Times New Roman" w:hAnsi="Times New Roman"/>
      <w:sz w:val="24"/>
      <w:szCs w:val="24"/>
    </w:rPr>
  </w:style>
  <w:style w:type="paragraph" w:styleId="DocumentMap">
    <w:name w:val="Document Map"/>
    <w:basedOn w:val="Normal"/>
    <w:link w:val="DocumentMapChar"/>
    <w:uiPriority w:val="99"/>
    <w:semiHidden/>
    <w:unhideWhenUsed/>
    <w:rsid w:val="00A9143F"/>
    <w:rPr>
      <w:rFonts w:ascii="Lucida Grande" w:hAnsi="Lucida Grande"/>
    </w:rPr>
  </w:style>
  <w:style w:type="character" w:customStyle="1" w:styleId="DocumentMapChar">
    <w:name w:val="Document Map Char"/>
    <w:basedOn w:val="DefaultParagraphFont"/>
    <w:link w:val="DocumentMap"/>
    <w:uiPriority w:val="99"/>
    <w:semiHidden/>
    <w:rsid w:val="00A9143F"/>
    <w:rPr>
      <w:rFonts w:ascii="Lucida Grande" w:hAnsi="Lucida Grande"/>
      <w:sz w:val="24"/>
      <w:szCs w:val="24"/>
    </w:rPr>
  </w:style>
  <w:style w:type="character" w:styleId="Hyperlink">
    <w:name w:val="Hyperlink"/>
    <w:basedOn w:val="DefaultParagraphFont"/>
    <w:uiPriority w:val="99"/>
    <w:semiHidden/>
    <w:unhideWhenUsed/>
    <w:rsid w:val="00C0449E"/>
    <w:rPr>
      <w:color w:val="0000FF"/>
      <w:u w:val="single"/>
    </w:rPr>
  </w:style>
  <w:style w:type="paragraph" w:styleId="ListParagraph">
    <w:name w:val="List Paragraph"/>
    <w:basedOn w:val="Normal"/>
    <w:uiPriority w:val="34"/>
    <w:qFormat/>
    <w:rsid w:val="00BD6A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275053">
      <w:bodyDiv w:val="1"/>
      <w:marLeft w:val="0"/>
      <w:marRight w:val="0"/>
      <w:marTop w:val="0"/>
      <w:marBottom w:val="0"/>
      <w:divBdr>
        <w:top w:val="none" w:sz="0" w:space="0" w:color="auto"/>
        <w:left w:val="none" w:sz="0" w:space="0" w:color="auto"/>
        <w:bottom w:val="none" w:sz="0" w:space="0" w:color="auto"/>
        <w:right w:val="none" w:sz="0" w:space="0" w:color="auto"/>
      </w:divBdr>
    </w:div>
    <w:div w:id="193619081">
      <w:bodyDiv w:val="1"/>
      <w:marLeft w:val="0"/>
      <w:marRight w:val="0"/>
      <w:marTop w:val="0"/>
      <w:marBottom w:val="0"/>
      <w:divBdr>
        <w:top w:val="none" w:sz="0" w:space="0" w:color="auto"/>
        <w:left w:val="none" w:sz="0" w:space="0" w:color="auto"/>
        <w:bottom w:val="none" w:sz="0" w:space="0" w:color="auto"/>
        <w:right w:val="none" w:sz="0" w:space="0" w:color="auto"/>
      </w:divBdr>
    </w:div>
    <w:div w:id="590626683">
      <w:bodyDiv w:val="1"/>
      <w:marLeft w:val="0"/>
      <w:marRight w:val="0"/>
      <w:marTop w:val="0"/>
      <w:marBottom w:val="0"/>
      <w:divBdr>
        <w:top w:val="none" w:sz="0" w:space="0" w:color="auto"/>
        <w:left w:val="none" w:sz="0" w:space="0" w:color="auto"/>
        <w:bottom w:val="none" w:sz="0" w:space="0" w:color="auto"/>
        <w:right w:val="none" w:sz="0" w:space="0" w:color="auto"/>
      </w:divBdr>
    </w:div>
    <w:div w:id="603152487">
      <w:bodyDiv w:val="1"/>
      <w:marLeft w:val="0"/>
      <w:marRight w:val="0"/>
      <w:marTop w:val="0"/>
      <w:marBottom w:val="0"/>
      <w:divBdr>
        <w:top w:val="none" w:sz="0" w:space="0" w:color="auto"/>
        <w:left w:val="none" w:sz="0" w:space="0" w:color="auto"/>
        <w:bottom w:val="none" w:sz="0" w:space="0" w:color="auto"/>
        <w:right w:val="none" w:sz="0" w:space="0" w:color="auto"/>
      </w:divBdr>
    </w:div>
    <w:div w:id="603919295">
      <w:bodyDiv w:val="1"/>
      <w:marLeft w:val="0"/>
      <w:marRight w:val="0"/>
      <w:marTop w:val="0"/>
      <w:marBottom w:val="0"/>
      <w:divBdr>
        <w:top w:val="none" w:sz="0" w:space="0" w:color="auto"/>
        <w:left w:val="none" w:sz="0" w:space="0" w:color="auto"/>
        <w:bottom w:val="none" w:sz="0" w:space="0" w:color="auto"/>
        <w:right w:val="none" w:sz="0" w:space="0" w:color="auto"/>
      </w:divBdr>
    </w:div>
    <w:div w:id="701396771">
      <w:bodyDiv w:val="1"/>
      <w:marLeft w:val="0"/>
      <w:marRight w:val="0"/>
      <w:marTop w:val="0"/>
      <w:marBottom w:val="0"/>
      <w:divBdr>
        <w:top w:val="none" w:sz="0" w:space="0" w:color="auto"/>
        <w:left w:val="none" w:sz="0" w:space="0" w:color="auto"/>
        <w:bottom w:val="none" w:sz="0" w:space="0" w:color="auto"/>
        <w:right w:val="none" w:sz="0" w:space="0" w:color="auto"/>
      </w:divBdr>
    </w:div>
    <w:div w:id="772171508">
      <w:bodyDiv w:val="1"/>
      <w:marLeft w:val="0"/>
      <w:marRight w:val="0"/>
      <w:marTop w:val="0"/>
      <w:marBottom w:val="0"/>
      <w:divBdr>
        <w:top w:val="none" w:sz="0" w:space="0" w:color="auto"/>
        <w:left w:val="none" w:sz="0" w:space="0" w:color="auto"/>
        <w:bottom w:val="none" w:sz="0" w:space="0" w:color="auto"/>
        <w:right w:val="none" w:sz="0" w:space="0" w:color="auto"/>
      </w:divBdr>
    </w:div>
    <w:div w:id="816722140">
      <w:bodyDiv w:val="1"/>
      <w:marLeft w:val="0"/>
      <w:marRight w:val="0"/>
      <w:marTop w:val="0"/>
      <w:marBottom w:val="0"/>
      <w:divBdr>
        <w:top w:val="none" w:sz="0" w:space="0" w:color="auto"/>
        <w:left w:val="none" w:sz="0" w:space="0" w:color="auto"/>
        <w:bottom w:val="none" w:sz="0" w:space="0" w:color="auto"/>
        <w:right w:val="none" w:sz="0" w:space="0" w:color="auto"/>
      </w:divBdr>
    </w:div>
    <w:div w:id="858470080">
      <w:bodyDiv w:val="1"/>
      <w:marLeft w:val="0"/>
      <w:marRight w:val="0"/>
      <w:marTop w:val="0"/>
      <w:marBottom w:val="0"/>
      <w:divBdr>
        <w:top w:val="none" w:sz="0" w:space="0" w:color="auto"/>
        <w:left w:val="none" w:sz="0" w:space="0" w:color="auto"/>
        <w:bottom w:val="none" w:sz="0" w:space="0" w:color="auto"/>
        <w:right w:val="none" w:sz="0" w:space="0" w:color="auto"/>
      </w:divBdr>
    </w:div>
    <w:div w:id="1053457281">
      <w:bodyDiv w:val="1"/>
      <w:marLeft w:val="0"/>
      <w:marRight w:val="0"/>
      <w:marTop w:val="0"/>
      <w:marBottom w:val="0"/>
      <w:divBdr>
        <w:top w:val="none" w:sz="0" w:space="0" w:color="auto"/>
        <w:left w:val="none" w:sz="0" w:space="0" w:color="auto"/>
        <w:bottom w:val="none" w:sz="0" w:space="0" w:color="auto"/>
        <w:right w:val="none" w:sz="0" w:space="0" w:color="auto"/>
      </w:divBdr>
    </w:div>
    <w:div w:id="1190491000">
      <w:bodyDiv w:val="1"/>
      <w:marLeft w:val="0"/>
      <w:marRight w:val="0"/>
      <w:marTop w:val="0"/>
      <w:marBottom w:val="0"/>
      <w:divBdr>
        <w:top w:val="none" w:sz="0" w:space="0" w:color="auto"/>
        <w:left w:val="none" w:sz="0" w:space="0" w:color="auto"/>
        <w:bottom w:val="none" w:sz="0" w:space="0" w:color="auto"/>
        <w:right w:val="none" w:sz="0" w:space="0" w:color="auto"/>
      </w:divBdr>
    </w:div>
    <w:div w:id="1214736308">
      <w:bodyDiv w:val="1"/>
      <w:marLeft w:val="0"/>
      <w:marRight w:val="0"/>
      <w:marTop w:val="0"/>
      <w:marBottom w:val="0"/>
      <w:divBdr>
        <w:top w:val="none" w:sz="0" w:space="0" w:color="auto"/>
        <w:left w:val="none" w:sz="0" w:space="0" w:color="auto"/>
        <w:bottom w:val="none" w:sz="0" w:space="0" w:color="auto"/>
        <w:right w:val="none" w:sz="0" w:space="0" w:color="auto"/>
      </w:divBdr>
    </w:div>
    <w:div w:id="1505313840">
      <w:bodyDiv w:val="1"/>
      <w:marLeft w:val="0"/>
      <w:marRight w:val="0"/>
      <w:marTop w:val="0"/>
      <w:marBottom w:val="0"/>
      <w:divBdr>
        <w:top w:val="none" w:sz="0" w:space="0" w:color="auto"/>
        <w:left w:val="none" w:sz="0" w:space="0" w:color="auto"/>
        <w:bottom w:val="none" w:sz="0" w:space="0" w:color="auto"/>
        <w:right w:val="none" w:sz="0" w:space="0" w:color="auto"/>
      </w:divBdr>
    </w:div>
    <w:div w:id="1545172445">
      <w:bodyDiv w:val="1"/>
      <w:marLeft w:val="0"/>
      <w:marRight w:val="0"/>
      <w:marTop w:val="0"/>
      <w:marBottom w:val="0"/>
      <w:divBdr>
        <w:top w:val="none" w:sz="0" w:space="0" w:color="auto"/>
        <w:left w:val="none" w:sz="0" w:space="0" w:color="auto"/>
        <w:bottom w:val="none" w:sz="0" w:space="0" w:color="auto"/>
        <w:right w:val="none" w:sz="0" w:space="0" w:color="auto"/>
      </w:divBdr>
    </w:div>
    <w:div w:id="1555963231">
      <w:bodyDiv w:val="1"/>
      <w:marLeft w:val="0"/>
      <w:marRight w:val="0"/>
      <w:marTop w:val="0"/>
      <w:marBottom w:val="0"/>
      <w:divBdr>
        <w:top w:val="none" w:sz="0" w:space="0" w:color="auto"/>
        <w:left w:val="none" w:sz="0" w:space="0" w:color="auto"/>
        <w:bottom w:val="none" w:sz="0" w:space="0" w:color="auto"/>
        <w:right w:val="none" w:sz="0" w:space="0" w:color="auto"/>
      </w:divBdr>
    </w:div>
    <w:div w:id="1700204887">
      <w:bodyDiv w:val="1"/>
      <w:marLeft w:val="0"/>
      <w:marRight w:val="0"/>
      <w:marTop w:val="0"/>
      <w:marBottom w:val="0"/>
      <w:divBdr>
        <w:top w:val="none" w:sz="0" w:space="0" w:color="auto"/>
        <w:left w:val="none" w:sz="0" w:space="0" w:color="auto"/>
        <w:bottom w:val="none" w:sz="0" w:space="0" w:color="auto"/>
        <w:right w:val="none" w:sz="0" w:space="0" w:color="auto"/>
      </w:divBdr>
    </w:div>
    <w:div w:id="1724525087">
      <w:bodyDiv w:val="1"/>
      <w:marLeft w:val="0"/>
      <w:marRight w:val="0"/>
      <w:marTop w:val="0"/>
      <w:marBottom w:val="0"/>
      <w:divBdr>
        <w:top w:val="none" w:sz="0" w:space="0" w:color="auto"/>
        <w:left w:val="none" w:sz="0" w:space="0" w:color="auto"/>
        <w:bottom w:val="none" w:sz="0" w:space="0" w:color="auto"/>
        <w:right w:val="none" w:sz="0" w:space="0" w:color="auto"/>
      </w:divBdr>
    </w:div>
    <w:div w:id="1744790267">
      <w:bodyDiv w:val="1"/>
      <w:marLeft w:val="0"/>
      <w:marRight w:val="0"/>
      <w:marTop w:val="0"/>
      <w:marBottom w:val="0"/>
      <w:divBdr>
        <w:top w:val="none" w:sz="0" w:space="0" w:color="auto"/>
        <w:left w:val="none" w:sz="0" w:space="0" w:color="auto"/>
        <w:bottom w:val="none" w:sz="0" w:space="0" w:color="auto"/>
        <w:right w:val="none" w:sz="0" w:space="0" w:color="auto"/>
      </w:divBdr>
    </w:div>
    <w:div w:id="1806384716">
      <w:bodyDiv w:val="1"/>
      <w:marLeft w:val="0"/>
      <w:marRight w:val="0"/>
      <w:marTop w:val="0"/>
      <w:marBottom w:val="0"/>
      <w:divBdr>
        <w:top w:val="none" w:sz="0" w:space="0" w:color="auto"/>
        <w:left w:val="none" w:sz="0" w:space="0" w:color="auto"/>
        <w:bottom w:val="none" w:sz="0" w:space="0" w:color="auto"/>
        <w:right w:val="none" w:sz="0" w:space="0" w:color="auto"/>
      </w:divBdr>
    </w:div>
    <w:div w:id="20398126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10" Type="http://schemas.openxmlformats.org/officeDocument/2006/relationships/chart" Target="charts/chart2.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WordTemplateforMcGrawHill.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Users/makohn/Box%20Sync/EBD/EBD-2/EBD2-Chapter%206/MastateCanc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koh\Box%20Sync\EBD\EBD-2\EBD2-Chapter%206\MastateCancer.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Users\makohn\Box%20Sync\EBD\EBD-2\EBD2-Chapter%206\MastateCancer.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70006323691404"/>
          <c:y val="4.1811846689895502E-2"/>
          <c:w val="0.78543551874668505"/>
          <c:h val="0.77351916376306595"/>
        </c:manualLayout>
      </c:layout>
      <c:scatterChart>
        <c:scatterStyle val="lineMarker"/>
        <c:varyColors val="0"/>
        <c:ser>
          <c:idx val="0"/>
          <c:order val="0"/>
          <c:tx>
            <c:strRef>
              <c:f>Calibration!$D$10</c:f>
              <c:strCache>
                <c:ptCount val="1"/>
                <c:pt idx="0">
                  <c:v>Bleakhaus</c:v>
                </c:pt>
              </c:strCache>
            </c:strRef>
          </c:tx>
          <c:spPr>
            <a:ln w="47625">
              <a:noFill/>
            </a:ln>
          </c:spPr>
          <c:marker>
            <c:symbol val="circle"/>
            <c:size val="10"/>
            <c:spPr>
              <a:solidFill>
                <a:srgbClr val="3366FF"/>
              </a:solidFill>
            </c:spPr>
          </c:marker>
          <c:xVal>
            <c:numRef>
              <c:f>Calibration!$C$12:$C$14</c:f>
              <c:numCache>
                <c:formatCode>0%</c:formatCode>
                <c:ptCount val="3"/>
                <c:pt idx="0">
                  <c:v>0.33</c:v>
                </c:pt>
                <c:pt idx="1">
                  <c:v>0.17</c:v>
                </c:pt>
                <c:pt idx="2">
                  <c:v>0.11</c:v>
                </c:pt>
              </c:numCache>
            </c:numRef>
          </c:xVal>
          <c:yVal>
            <c:numRef>
              <c:f>Calibration!$E$12:$E$14</c:f>
              <c:numCache>
                <c:formatCode>0%</c:formatCode>
                <c:ptCount val="3"/>
                <c:pt idx="0">
                  <c:v>0.16999999999999998</c:v>
                </c:pt>
                <c:pt idx="1">
                  <c:v>0.17999999999999997</c:v>
                </c:pt>
                <c:pt idx="2">
                  <c:v>9.0000000000000011E-2</c:v>
                </c:pt>
              </c:numCache>
            </c:numRef>
          </c:yVal>
          <c:smooth val="0"/>
          <c:extLst>
            <c:ext xmlns:c16="http://schemas.microsoft.com/office/drawing/2014/chart" uri="{C3380CC4-5D6E-409C-BE32-E72D297353CC}">
              <c16:uniqueId val="{00000000-1483-C540-9AFD-9AC72A58E431}"/>
            </c:ext>
          </c:extLst>
        </c:ser>
        <c:ser>
          <c:idx val="1"/>
          <c:order val="1"/>
          <c:tx>
            <c:strRef>
              <c:f>Calibration!$F$10</c:f>
              <c:strCache>
                <c:ptCount val="1"/>
                <c:pt idx="0">
                  <c:v>AgnoSIA</c:v>
                </c:pt>
              </c:strCache>
            </c:strRef>
          </c:tx>
          <c:spPr>
            <a:ln w="47625">
              <a:noFill/>
            </a:ln>
          </c:spPr>
          <c:marker>
            <c:symbol val="square"/>
            <c:size val="10"/>
            <c:spPr>
              <a:solidFill>
                <a:srgbClr val="FF0000"/>
              </a:solidFill>
              <a:ln>
                <a:solidFill>
                  <a:srgbClr val="FF0000"/>
                </a:solidFill>
              </a:ln>
            </c:spPr>
          </c:marker>
          <c:xVal>
            <c:numRef>
              <c:f>Calibration!$F$15</c:f>
              <c:numCache>
                <c:formatCode>0%</c:formatCode>
                <c:ptCount val="1"/>
                <c:pt idx="0">
                  <c:v>0.20000000000000004</c:v>
                </c:pt>
              </c:numCache>
            </c:numRef>
          </c:xVal>
          <c:yVal>
            <c:numRef>
              <c:f>Calibration!$G$15</c:f>
              <c:numCache>
                <c:formatCode>0.000%</c:formatCode>
                <c:ptCount val="1"/>
                <c:pt idx="0">
                  <c:v>0</c:v>
                </c:pt>
              </c:numCache>
            </c:numRef>
          </c:yVal>
          <c:smooth val="0"/>
          <c:extLst>
            <c:ext xmlns:c16="http://schemas.microsoft.com/office/drawing/2014/chart" uri="{C3380CC4-5D6E-409C-BE32-E72D297353CC}">
              <c16:uniqueId val="{00000001-1483-C540-9AFD-9AC72A58E431}"/>
            </c:ext>
          </c:extLst>
        </c:ser>
        <c:ser>
          <c:idx val="2"/>
          <c:order val="2"/>
          <c:tx>
            <c:strRef>
              <c:f>Calibration!$H$10</c:f>
              <c:strCache>
                <c:ptCount val="1"/>
                <c:pt idx="0">
                  <c:v>PolyANA</c:v>
                </c:pt>
              </c:strCache>
            </c:strRef>
          </c:tx>
          <c:spPr>
            <a:ln w="47625">
              <a:noFill/>
            </a:ln>
          </c:spPr>
          <c:marker>
            <c:symbol val="diamond"/>
            <c:size val="10"/>
            <c:spPr>
              <a:solidFill>
                <a:srgbClr val="660066"/>
              </a:solidFill>
            </c:spPr>
          </c:marker>
          <c:xVal>
            <c:numRef>
              <c:f>Calibration!$C$12:$C$14</c:f>
              <c:numCache>
                <c:formatCode>0%</c:formatCode>
                <c:ptCount val="3"/>
                <c:pt idx="0">
                  <c:v>0.33</c:v>
                </c:pt>
                <c:pt idx="1">
                  <c:v>0.17</c:v>
                </c:pt>
                <c:pt idx="2">
                  <c:v>0.11</c:v>
                </c:pt>
              </c:numCache>
            </c:numRef>
          </c:xVal>
          <c:yVal>
            <c:numRef>
              <c:f>Calibration!$I$12:$I$14</c:f>
              <c:numCache>
                <c:formatCode>0%</c:formatCode>
                <c:ptCount val="3"/>
                <c:pt idx="0">
                  <c:v>-8.0000000000000016E-2</c:v>
                </c:pt>
                <c:pt idx="1">
                  <c:v>-7.0000000000000007E-2</c:v>
                </c:pt>
                <c:pt idx="2">
                  <c:v>-0.06</c:v>
                </c:pt>
              </c:numCache>
            </c:numRef>
          </c:yVal>
          <c:smooth val="0"/>
          <c:extLst>
            <c:ext xmlns:c16="http://schemas.microsoft.com/office/drawing/2014/chart" uri="{C3380CC4-5D6E-409C-BE32-E72D297353CC}">
              <c16:uniqueId val="{00000002-1483-C540-9AFD-9AC72A58E431}"/>
            </c:ext>
          </c:extLst>
        </c:ser>
        <c:ser>
          <c:idx val="3"/>
          <c:order val="3"/>
          <c:spPr>
            <a:ln w="12700" cmpd="sng">
              <a:solidFill>
                <a:schemeClr val="tx1"/>
              </a:solidFill>
            </a:ln>
          </c:spPr>
          <c:marker>
            <c:symbol val="none"/>
          </c:marker>
          <c:xVal>
            <c:numRef>
              <c:f>Calibration!$K$12:$K$13</c:f>
              <c:numCache>
                <c:formatCode>0%</c:formatCode>
                <c:ptCount val="2"/>
                <c:pt idx="0">
                  <c:v>0</c:v>
                </c:pt>
                <c:pt idx="1">
                  <c:v>0.5</c:v>
                </c:pt>
              </c:numCache>
            </c:numRef>
          </c:xVal>
          <c:yVal>
            <c:numRef>
              <c:f>Calibration!$L$12:$L$13</c:f>
              <c:numCache>
                <c:formatCode>General</c:formatCode>
                <c:ptCount val="2"/>
                <c:pt idx="0">
                  <c:v>0</c:v>
                </c:pt>
                <c:pt idx="1">
                  <c:v>0</c:v>
                </c:pt>
              </c:numCache>
            </c:numRef>
          </c:yVal>
          <c:smooth val="0"/>
          <c:extLst>
            <c:ext xmlns:c16="http://schemas.microsoft.com/office/drawing/2014/chart" uri="{C3380CC4-5D6E-409C-BE32-E72D297353CC}">
              <c16:uniqueId val="{00000003-1483-C540-9AFD-9AC72A58E431}"/>
            </c:ext>
          </c:extLst>
        </c:ser>
        <c:dLbls>
          <c:showLegendKey val="0"/>
          <c:showVal val="0"/>
          <c:showCatName val="0"/>
          <c:showSerName val="0"/>
          <c:showPercent val="0"/>
          <c:showBubbleSize val="0"/>
        </c:dLbls>
        <c:axId val="-2137511928"/>
        <c:axId val="-2137505096"/>
      </c:scatterChart>
      <c:valAx>
        <c:axId val="-2137511928"/>
        <c:scaling>
          <c:orientation val="minMax"/>
          <c:max val="0.5"/>
        </c:scaling>
        <c:delete val="0"/>
        <c:axPos val="b"/>
        <c:title>
          <c:tx>
            <c:rich>
              <a:bodyPr/>
              <a:lstStyle/>
              <a:p>
                <a:pPr>
                  <a:defRPr sz="1200"/>
                </a:pPr>
                <a:r>
                  <a:rPr lang="en-US" sz="1200"/>
                  <a:t>Observed Outcome Proportion</a:t>
                </a:r>
              </a:p>
            </c:rich>
          </c:tx>
          <c:layout>
            <c:manualLayout>
              <c:xMode val="edge"/>
              <c:yMode val="edge"/>
              <c:x val="0.40143874178940098"/>
              <c:y val="0.90592334494773497"/>
            </c:manualLayout>
          </c:layout>
          <c:overlay val="0"/>
        </c:title>
        <c:numFmt formatCode="0%" sourceLinked="1"/>
        <c:majorTickMark val="out"/>
        <c:minorTickMark val="none"/>
        <c:tickLblPos val="nextTo"/>
        <c:crossAx val="-2137505096"/>
        <c:crossesAt val="-0.15"/>
        <c:crossBetween val="midCat"/>
      </c:valAx>
      <c:valAx>
        <c:axId val="-2137505096"/>
        <c:scaling>
          <c:orientation val="minMax"/>
        </c:scaling>
        <c:delete val="0"/>
        <c:axPos val="l"/>
        <c:title>
          <c:tx>
            <c:rich>
              <a:bodyPr rot="-5400000" vert="horz"/>
              <a:lstStyle/>
              <a:p>
                <a:pPr>
                  <a:defRPr sz="1200"/>
                </a:pPr>
                <a:r>
                  <a:rPr lang="en-US" sz="1200"/>
                  <a:t>Predicted</a:t>
                </a:r>
                <a:r>
                  <a:rPr lang="en-US" sz="1200" baseline="0"/>
                  <a:t> - Observed</a:t>
                </a:r>
                <a:endParaRPr lang="en-US" sz="1200"/>
              </a:p>
            </c:rich>
          </c:tx>
          <c:layout>
            <c:manualLayout>
              <c:xMode val="edge"/>
              <c:yMode val="edge"/>
              <c:x val="2.74611398963731E-2"/>
              <c:y val="0.23580400010974201"/>
            </c:manualLayout>
          </c:layout>
          <c:overlay val="0"/>
        </c:title>
        <c:numFmt formatCode="0%" sourceLinked="1"/>
        <c:majorTickMark val="out"/>
        <c:minorTickMark val="none"/>
        <c:tickLblPos val="nextTo"/>
        <c:crossAx val="-2137511928"/>
        <c:crossesAt val="-0.15"/>
        <c:crossBetween val="midCat"/>
      </c:valAx>
    </c:plotArea>
    <c:legend>
      <c:legendPos val="r"/>
      <c:legendEntry>
        <c:idx val="3"/>
        <c:delete val="1"/>
      </c:legendEntry>
      <c:layout>
        <c:manualLayout>
          <c:xMode val="edge"/>
          <c:yMode val="edge"/>
          <c:x val="0.171024641997471"/>
          <c:y val="8.2773189936623699E-3"/>
          <c:w val="0.23532895446468619"/>
          <c:h val="0.21291959561837101"/>
        </c:manualLayout>
      </c:layout>
      <c:overlay val="0"/>
      <c:txPr>
        <a:bodyPr/>
        <a:lstStyle/>
        <a:p>
          <a:pPr>
            <a:defRPr sz="1200"/>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70006323691404"/>
          <c:y val="4.1811846689895502E-2"/>
          <c:w val="0.78543551874668505"/>
          <c:h val="0.77351916376306595"/>
        </c:manualLayout>
      </c:layout>
      <c:scatterChart>
        <c:scatterStyle val="lineMarker"/>
        <c:varyColors val="0"/>
        <c:ser>
          <c:idx val="0"/>
          <c:order val="0"/>
          <c:tx>
            <c:strRef>
              <c:f>Calibration!$D$10</c:f>
              <c:strCache>
                <c:ptCount val="1"/>
                <c:pt idx="0">
                  <c:v>Bleakhaus</c:v>
                </c:pt>
              </c:strCache>
            </c:strRef>
          </c:tx>
          <c:spPr>
            <a:ln w="47625">
              <a:noFill/>
            </a:ln>
          </c:spPr>
          <c:marker>
            <c:symbol val="circle"/>
            <c:size val="9"/>
            <c:spPr>
              <a:solidFill>
                <a:schemeClr val="accent1"/>
              </a:solidFill>
              <a:ln>
                <a:solidFill>
                  <a:schemeClr val="accent1"/>
                </a:solidFill>
              </a:ln>
            </c:spPr>
          </c:marker>
          <c:errBars>
            <c:errDir val="y"/>
            <c:errBarType val="both"/>
            <c:errValType val="cust"/>
            <c:noEndCap val="0"/>
            <c:plus>
              <c:numRef>
                <c:f>Calibration!$J$12:$J$14</c:f>
                <c:numCache>
                  <c:formatCode>General</c:formatCode>
                  <c:ptCount val="3"/>
                  <c:pt idx="0">
                    <c:v>9.2161692692788594E-2</c:v>
                  </c:pt>
                  <c:pt idx="1">
                    <c:v>7.3624028686292295E-2</c:v>
                  </c:pt>
                  <c:pt idx="2">
                    <c:v>6.1326392360875101E-2</c:v>
                  </c:pt>
                </c:numCache>
              </c:numRef>
            </c:plus>
            <c:minus>
              <c:numRef>
                <c:f>Calibration!$J$12:$J$14</c:f>
                <c:numCache>
                  <c:formatCode>General</c:formatCode>
                  <c:ptCount val="3"/>
                  <c:pt idx="0">
                    <c:v>9.2161692692788594E-2</c:v>
                  </c:pt>
                  <c:pt idx="1">
                    <c:v>7.3624028686292295E-2</c:v>
                  </c:pt>
                  <c:pt idx="2">
                    <c:v>6.1326392360875101E-2</c:v>
                  </c:pt>
                </c:numCache>
              </c:numRef>
            </c:minus>
          </c:errBars>
          <c:errBars>
            <c:errDir val="x"/>
            <c:errBarType val="both"/>
            <c:errValType val="cust"/>
            <c:noEndCap val="0"/>
            <c:plus>
              <c:numLit>
                <c:formatCode>General</c:formatCode>
                <c:ptCount val="1"/>
                <c:pt idx="0">
                  <c:v>0</c:v>
                </c:pt>
              </c:numLit>
            </c:plus>
            <c:minus>
              <c:numLit>
                <c:formatCode>General</c:formatCode>
                <c:ptCount val="1"/>
                <c:pt idx="0">
                  <c:v>0</c:v>
                </c:pt>
              </c:numLit>
            </c:minus>
          </c:errBars>
          <c:xVal>
            <c:numRef>
              <c:f>Calibration!$D$12:$D$14</c:f>
              <c:numCache>
                <c:formatCode>0%</c:formatCode>
                <c:ptCount val="3"/>
                <c:pt idx="0">
                  <c:v>0.5</c:v>
                </c:pt>
                <c:pt idx="1">
                  <c:v>0.35</c:v>
                </c:pt>
                <c:pt idx="2">
                  <c:v>0.2</c:v>
                </c:pt>
              </c:numCache>
            </c:numRef>
          </c:xVal>
          <c:yVal>
            <c:numRef>
              <c:f>Calibration!$C$12:$C$14</c:f>
              <c:numCache>
                <c:formatCode>0%</c:formatCode>
                <c:ptCount val="3"/>
                <c:pt idx="0">
                  <c:v>0.33</c:v>
                </c:pt>
                <c:pt idx="1">
                  <c:v>0.17</c:v>
                </c:pt>
                <c:pt idx="2">
                  <c:v>0.11</c:v>
                </c:pt>
              </c:numCache>
            </c:numRef>
          </c:yVal>
          <c:smooth val="0"/>
          <c:extLst>
            <c:ext xmlns:c16="http://schemas.microsoft.com/office/drawing/2014/chart" uri="{C3380CC4-5D6E-409C-BE32-E72D297353CC}">
              <c16:uniqueId val="{00000000-06AC-43B1-AA95-492277CC5030}"/>
            </c:ext>
          </c:extLst>
        </c:ser>
        <c:ser>
          <c:idx val="1"/>
          <c:order val="1"/>
          <c:tx>
            <c:strRef>
              <c:f>Calibration!$F$10</c:f>
              <c:strCache>
                <c:ptCount val="1"/>
                <c:pt idx="0">
                  <c:v>AgnoSIA</c:v>
                </c:pt>
              </c:strCache>
            </c:strRef>
          </c:tx>
          <c:spPr>
            <a:ln w="47625">
              <a:noFill/>
            </a:ln>
          </c:spPr>
          <c:marker>
            <c:symbol val="square"/>
            <c:size val="9"/>
            <c:spPr>
              <a:solidFill>
                <a:srgbClr val="FF0000"/>
              </a:solidFill>
              <a:ln>
                <a:solidFill>
                  <a:srgbClr val="FF0000"/>
                </a:solidFill>
              </a:ln>
            </c:spPr>
          </c:marker>
          <c:errBars>
            <c:errDir val="y"/>
            <c:errBarType val="both"/>
            <c:errValType val="cust"/>
            <c:noEndCap val="0"/>
            <c:plus>
              <c:numRef>
                <c:f>Calibration!$K$16</c:f>
                <c:numCache>
                  <c:formatCode>General</c:formatCode>
                  <c:ptCount val="1"/>
                  <c:pt idx="0">
                    <c:v>3.0362037700611199E-2</c:v>
                  </c:pt>
                </c:numCache>
              </c:numRef>
            </c:plus>
            <c:minus>
              <c:numRef>
                <c:f>Calibration!$K$16</c:f>
                <c:numCache>
                  <c:formatCode>General</c:formatCode>
                  <c:ptCount val="1"/>
                  <c:pt idx="0">
                    <c:v>3.0362037700611199E-2</c:v>
                  </c:pt>
                </c:numCache>
              </c:numRef>
            </c:minus>
          </c:errBars>
          <c:errBars>
            <c:errDir val="x"/>
            <c:errBarType val="both"/>
            <c:errValType val="fixedVal"/>
            <c:noEndCap val="0"/>
            <c:val val="0"/>
          </c:errBars>
          <c:xVal>
            <c:numRef>
              <c:f>Calibration!$F$15</c:f>
              <c:numCache>
                <c:formatCode>0%</c:formatCode>
                <c:ptCount val="1"/>
                <c:pt idx="0">
                  <c:v>0.2</c:v>
                </c:pt>
              </c:numCache>
            </c:numRef>
          </c:xVal>
          <c:yVal>
            <c:numRef>
              <c:f>Calibration!$C$15</c:f>
              <c:numCache>
                <c:formatCode>0%</c:formatCode>
                <c:ptCount val="1"/>
                <c:pt idx="0">
                  <c:v>0.20333333333333301</c:v>
                </c:pt>
              </c:numCache>
            </c:numRef>
          </c:yVal>
          <c:smooth val="0"/>
          <c:extLst>
            <c:ext xmlns:c16="http://schemas.microsoft.com/office/drawing/2014/chart" uri="{C3380CC4-5D6E-409C-BE32-E72D297353CC}">
              <c16:uniqueId val="{00000001-06AC-43B1-AA95-492277CC5030}"/>
            </c:ext>
          </c:extLst>
        </c:ser>
        <c:ser>
          <c:idx val="2"/>
          <c:order val="2"/>
          <c:tx>
            <c:strRef>
              <c:f>Calibration!$H$10</c:f>
              <c:strCache>
                <c:ptCount val="1"/>
                <c:pt idx="0">
                  <c:v>PolyANA</c:v>
                </c:pt>
              </c:strCache>
            </c:strRef>
          </c:tx>
          <c:spPr>
            <a:ln w="47625">
              <a:noFill/>
            </a:ln>
          </c:spPr>
          <c:marker>
            <c:symbol val="diamond"/>
            <c:size val="9"/>
            <c:spPr>
              <a:solidFill>
                <a:schemeClr val="tx1"/>
              </a:solidFill>
            </c:spPr>
          </c:marker>
          <c:errBars>
            <c:errDir val="y"/>
            <c:errBarType val="both"/>
            <c:errValType val="cust"/>
            <c:noEndCap val="0"/>
            <c:plus>
              <c:numRef>
                <c:f>Calibration!$J$12:$J$14</c:f>
                <c:numCache>
                  <c:formatCode>General</c:formatCode>
                  <c:ptCount val="3"/>
                  <c:pt idx="0">
                    <c:v>9.2161692692788594E-2</c:v>
                  </c:pt>
                  <c:pt idx="1">
                    <c:v>7.3624028686292295E-2</c:v>
                  </c:pt>
                  <c:pt idx="2">
                    <c:v>6.1326392360875101E-2</c:v>
                  </c:pt>
                </c:numCache>
              </c:numRef>
            </c:plus>
            <c:minus>
              <c:numRef>
                <c:f>Calibration!$J$12:$J$14</c:f>
                <c:numCache>
                  <c:formatCode>General</c:formatCode>
                  <c:ptCount val="3"/>
                  <c:pt idx="0">
                    <c:v>9.2161692692788594E-2</c:v>
                  </c:pt>
                  <c:pt idx="1">
                    <c:v>7.3624028686292295E-2</c:v>
                  </c:pt>
                  <c:pt idx="2">
                    <c:v>6.1326392360875101E-2</c:v>
                  </c:pt>
                </c:numCache>
              </c:numRef>
            </c:minus>
          </c:errBars>
          <c:errBars>
            <c:errDir val="x"/>
            <c:errBarType val="both"/>
            <c:errValType val="fixedVal"/>
            <c:noEndCap val="0"/>
            <c:val val="0"/>
          </c:errBars>
          <c:xVal>
            <c:numRef>
              <c:f>Calibration!$H$12:$H$14</c:f>
              <c:numCache>
                <c:formatCode>0%</c:formatCode>
                <c:ptCount val="3"/>
                <c:pt idx="0">
                  <c:v>0.25</c:v>
                </c:pt>
                <c:pt idx="1">
                  <c:v>0.1</c:v>
                </c:pt>
                <c:pt idx="2">
                  <c:v>0.05</c:v>
                </c:pt>
              </c:numCache>
            </c:numRef>
          </c:xVal>
          <c:yVal>
            <c:numRef>
              <c:f>Calibration!$C$12:$C$14</c:f>
              <c:numCache>
                <c:formatCode>0%</c:formatCode>
                <c:ptCount val="3"/>
                <c:pt idx="0">
                  <c:v>0.33</c:v>
                </c:pt>
                <c:pt idx="1">
                  <c:v>0.17</c:v>
                </c:pt>
                <c:pt idx="2">
                  <c:v>0.11</c:v>
                </c:pt>
              </c:numCache>
            </c:numRef>
          </c:yVal>
          <c:smooth val="0"/>
          <c:extLst>
            <c:ext xmlns:c16="http://schemas.microsoft.com/office/drawing/2014/chart" uri="{C3380CC4-5D6E-409C-BE32-E72D297353CC}">
              <c16:uniqueId val="{00000002-06AC-43B1-AA95-492277CC5030}"/>
            </c:ext>
          </c:extLst>
        </c:ser>
        <c:ser>
          <c:idx val="3"/>
          <c:order val="3"/>
          <c:spPr>
            <a:ln w="12700" cmpd="sng">
              <a:solidFill>
                <a:schemeClr val="tx1"/>
              </a:solidFill>
            </a:ln>
          </c:spPr>
          <c:marker>
            <c:symbol val="none"/>
          </c:marker>
          <c:xVal>
            <c:numRef>
              <c:f>Calibration!$K$43:$K$44</c:f>
              <c:numCache>
                <c:formatCode>0%</c:formatCode>
                <c:ptCount val="2"/>
                <c:pt idx="0">
                  <c:v>0</c:v>
                </c:pt>
                <c:pt idx="1">
                  <c:v>0.5</c:v>
                </c:pt>
              </c:numCache>
            </c:numRef>
          </c:xVal>
          <c:yVal>
            <c:numRef>
              <c:f>Calibration!$L$43:$L$44</c:f>
              <c:numCache>
                <c:formatCode>General</c:formatCode>
                <c:ptCount val="2"/>
                <c:pt idx="0">
                  <c:v>0</c:v>
                </c:pt>
                <c:pt idx="1">
                  <c:v>0.5</c:v>
                </c:pt>
              </c:numCache>
            </c:numRef>
          </c:yVal>
          <c:smooth val="0"/>
          <c:extLst>
            <c:ext xmlns:c16="http://schemas.microsoft.com/office/drawing/2014/chart" uri="{C3380CC4-5D6E-409C-BE32-E72D297353CC}">
              <c16:uniqueId val="{00000003-06AC-43B1-AA95-492277CC5030}"/>
            </c:ext>
          </c:extLst>
        </c:ser>
        <c:dLbls>
          <c:showLegendKey val="0"/>
          <c:showVal val="0"/>
          <c:showCatName val="0"/>
          <c:showSerName val="0"/>
          <c:showPercent val="0"/>
          <c:showBubbleSize val="0"/>
        </c:dLbls>
        <c:axId val="31399168"/>
        <c:axId val="252264656"/>
      </c:scatterChart>
      <c:valAx>
        <c:axId val="31399168"/>
        <c:scaling>
          <c:orientation val="minMax"/>
          <c:max val="0.5"/>
        </c:scaling>
        <c:delete val="0"/>
        <c:axPos val="b"/>
        <c:title>
          <c:tx>
            <c:rich>
              <a:bodyPr/>
              <a:lstStyle/>
              <a:p>
                <a:pPr>
                  <a:defRPr sz="1200"/>
                </a:pPr>
                <a:r>
                  <a:rPr lang="en-US" sz="1200"/>
                  <a:t>Predicted Risk</a:t>
                </a:r>
              </a:p>
            </c:rich>
          </c:tx>
          <c:layout>
            <c:manualLayout>
              <c:xMode val="edge"/>
              <c:yMode val="edge"/>
              <c:x val="0.40143874178940098"/>
              <c:y val="0.90592334494773497"/>
            </c:manualLayout>
          </c:layout>
          <c:overlay val="0"/>
        </c:title>
        <c:numFmt formatCode="0%" sourceLinked="1"/>
        <c:majorTickMark val="out"/>
        <c:minorTickMark val="none"/>
        <c:tickLblPos val="nextTo"/>
        <c:crossAx val="252264656"/>
        <c:crossesAt val="-0.15"/>
        <c:crossBetween val="midCat"/>
      </c:valAx>
      <c:valAx>
        <c:axId val="252264656"/>
        <c:scaling>
          <c:orientation val="minMax"/>
          <c:max val="0.5"/>
        </c:scaling>
        <c:delete val="0"/>
        <c:axPos val="l"/>
        <c:title>
          <c:tx>
            <c:rich>
              <a:bodyPr rot="-5400000" vert="horz"/>
              <a:lstStyle/>
              <a:p>
                <a:pPr>
                  <a:defRPr sz="1200"/>
                </a:pPr>
                <a:r>
                  <a:rPr lang="en-US" sz="1200"/>
                  <a:t>Observed</a:t>
                </a:r>
                <a:r>
                  <a:rPr lang="en-US" sz="1200" baseline="0"/>
                  <a:t> Outcome Proportion</a:t>
                </a:r>
                <a:endParaRPr lang="en-US" sz="1200"/>
              </a:p>
            </c:rich>
          </c:tx>
          <c:layout>
            <c:manualLayout>
              <c:xMode val="edge"/>
              <c:yMode val="edge"/>
              <c:x val="4.04145077720207E-2"/>
              <c:y val="0.11733710115503899"/>
            </c:manualLayout>
          </c:layout>
          <c:overlay val="0"/>
        </c:title>
        <c:numFmt formatCode="0%" sourceLinked="1"/>
        <c:majorTickMark val="out"/>
        <c:minorTickMark val="none"/>
        <c:tickLblPos val="nextTo"/>
        <c:crossAx val="31399168"/>
        <c:crossesAt val="-0.15"/>
        <c:crossBetween val="midCat"/>
        <c:majorUnit val="0.1"/>
      </c:valAx>
    </c:plotArea>
    <c:legend>
      <c:legendPos val="r"/>
      <c:legendEntry>
        <c:idx val="3"/>
        <c:delete val="1"/>
      </c:legendEntry>
      <c:layout>
        <c:manualLayout>
          <c:xMode val="edge"/>
          <c:yMode val="edge"/>
          <c:x val="0.18656868344824801"/>
          <c:y val="4.6604845126066601E-2"/>
          <c:w val="0.25739210273992502"/>
          <c:h val="0.23517599934154601"/>
        </c:manualLayout>
      </c:layout>
      <c:overlay val="0"/>
      <c:txPr>
        <a:bodyPr/>
        <a:lstStyle/>
        <a:p>
          <a:pPr>
            <a:defRPr sz="1200"/>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dLbls>
            <c:dLbl>
              <c:idx val="0"/>
              <c:delete val="1"/>
              <c:extLst>
                <c:ext xmlns:c15="http://schemas.microsoft.com/office/drawing/2012/chart" uri="{CE6537A1-D6FC-4f65-9D91-7224C49458BB}"/>
                <c:ext xmlns:c16="http://schemas.microsoft.com/office/drawing/2014/chart" uri="{C3380CC4-5D6E-409C-BE32-E72D297353CC}">
                  <c16:uniqueId val="{00000000-6EF3-3C4A-8BB3-DC1D430B4AC4}"/>
                </c:ext>
              </c:extLst>
            </c:dLbl>
            <c:dLbl>
              <c:idx val="1"/>
              <c:layout>
                <c:manualLayout>
                  <c:x val="1.94444444444444E-2"/>
                  <c:y val="2.2222222222222199E-2"/>
                </c:manualLayout>
              </c:layout>
              <c:tx>
                <c:rich>
                  <a:bodyPr/>
                  <a:lstStyle/>
                  <a:p>
                    <a:r>
                      <a:rPr lang="en-US"/>
                      <a:t>50%+</a:t>
                    </a:r>
                    <a:r>
                      <a:rPr lang="en-US" baseline="0"/>
                      <a:t> </a:t>
                    </a:r>
                    <a:r>
                      <a:rPr lang="en-US"/>
                      <a:t>Risk</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EF3-3C4A-8BB3-DC1D430B4AC4}"/>
                </c:ext>
              </c:extLst>
            </c:dLbl>
            <c:dLbl>
              <c:idx val="2"/>
              <c:tx>
                <c:rich>
                  <a:bodyPr/>
                  <a:lstStyle/>
                  <a:p>
                    <a:r>
                      <a:rPr lang="en-US"/>
                      <a:t>35%+</a:t>
                    </a:r>
                    <a:r>
                      <a:rPr lang="en-US" baseline="0"/>
                      <a:t> </a:t>
                    </a:r>
                    <a:r>
                      <a:rPr lang="en-US"/>
                      <a:t>Risk</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EF3-3C4A-8BB3-DC1D430B4AC4}"/>
                </c:ext>
              </c:extLst>
            </c:dLbl>
            <c:dLbl>
              <c:idx val="3"/>
              <c:delete val="1"/>
              <c:extLst>
                <c:ext xmlns:c15="http://schemas.microsoft.com/office/drawing/2012/chart" uri="{CE6537A1-D6FC-4f65-9D91-7224C49458BB}"/>
                <c:ext xmlns:c16="http://schemas.microsoft.com/office/drawing/2014/chart" uri="{C3380CC4-5D6E-409C-BE32-E72D297353CC}">
                  <c16:uniqueId val="{00000003-6EF3-3C4A-8BB3-DC1D430B4AC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Discrimination!$F$33:$F$36</c:f>
              <c:numCache>
                <c:formatCode>0%</c:formatCode>
                <c:ptCount val="4"/>
                <c:pt idx="0">
                  <c:v>0</c:v>
                </c:pt>
                <c:pt idx="1">
                  <c:v>0.28033472803347298</c:v>
                </c:pt>
                <c:pt idx="2">
                  <c:v>0.62761506276150603</c:v>
                </c:pt>
                <c:pt idx="3">
                  <c:v>1</c:v>
                </c:pt>
              </c:numCache>
            </c:numRef>
          </c:xVal>
          <c:yVal>
            <c:numRef>
              <c:f>Discrimination!$D$33:$D$36</c:f>
              <c:numCache>
                <c:formatCode>0%</c:formatCode>
                <c:ptCount val="4"/>
                <c:pt idx="0">
                  <c:v>0</c:v>
                </c:pt>
                <c:pt idx="1">
                  <c:v>0.54098360655737698</c:v>
                </c:pt>
                <c:pt idx="2">
                  <c:v>0.81967213114754101</c:v>
                </c:pt>
                <c:pt idx="3">
                  <c:v>1</c:v>
                </c:pt>
              </c:numCache>
            </c:numRef>
          </c:yVal>
          <c:smooth val="0"/>
          <c:extLst>
            <c:ext xmlns:c16="http://schemas.microsoft.com/office/drawing/2014/chart" uri="{C3380CC4-5D6E-409C-BE32-E72D297353CC}">
              <c16:uniqueId val="{00000004-6EF3-3C4A-8BB3-DC1D430B4AC4}"/>
            </c:ext>
          </c:extLst>
        </c:ser>
        <c:dLbls>
          <c:showLegendKey val="0"/>
          <c:showVal val="0"/>
          <c:showCatName val="0"/>
          <c:showSerName val="0"/>
          <c:showPercent val="0"/>
          <c:showBubbleSize val="0"/>
        </c:dLbls>
        <c:axId val="2145942536"/>
        <c:axId val="2127239544"/>
      </c:scatterChart>
      <c:valAx>
        <c:axId val="2145942536"/>
        <c:scaling>
          <c:orientation val="minMax"/>
          <c:max val="1"/>
        </c:scaling>
        <c:delete val="0"/>
        <c:axPos val="b"/>
        <c:title>
          <c:tx>
            <c:rich>
              <a:bodyPr/>
              <a:lstStyle/>
              <a:p>
                <a:pPr>
                  <a:defRPr/>
                </a:pPr>
                <a:r>
                  <a:rPr lang="en-US"/>
                  <a:t>1 - Specificity</a:t>
                </a:r>
              </a:p>
            </c:rich>
          </c:tx>
          <c:overlay val="0"/>
        </c:title>
        <c:numFmt formatCode="0%" sourceLinked="1"/>
        <c:majorTickMark val="out"/>
        <c:minorTickMark val="none"/>
        <c:tickLblPos val="nextTo"/>
        <c:crossAx val="2127239544"/>
        <c:crosses val="autoZero"/>
        <c:crossBetween val="midCat"/>
      </c:valAx>
      <c:valAx>
        <c:axId val="2127239544"/>
        <c:scaling>
          <c:orientation val="minMax"/>
          <c:max val="1"/>
        </c:scaling>
        <c:delete val="0"/>
        <c:axPos val="l"/>
        <c:title>
          <c:tx>
            <c:rich>
              <a:bodyPr rot="-5400000" vert="horz"/>
              <a:lstStyle/>
              <a:p>
                <a:pPr>
                  <a:defRPr/>
                </a:pPr>
                <a:r>
                  <a:rPr lang="en-US"/>
                  <a:t>Sensitivity</a:t>
                </a:r>
              </a:p>
            </c:rich>
          </c:tx>
          <c:overlay val="0"/>
        </c:title>
        <c:numFmt formatCode="0%" sourceLinked="1"/>
        <c:majorTickMark val="out"/>
        <c:minorTickMark val="none"/>
        <c:tickLblPos val="nextTo"/>
        <c:crossAx val="2145942536"/>
        <c:crosses val="autoZero"/>
        <c:crossBetween val="midCat"/>
      </c:valAx>
      <c:spPr>
        <a:ln>
          <a:solidFill>
            <a:schemeClr val="tx1"/>
          </a:solidFill>
        </a:ln>
      </c:spPr>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6B390A-D1EB-6441-B199-7DE080FCB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C:\temp\WordTemplateforMcGrawHill.dot</Template>
  <TotalTime>7</TotalTime>
  <Pages>33</Pages>
  <Words>10334</Words>
  <Characters>58906</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CUUS430-07_p138-155</vt:lpstr>
    </vt:vector>
  </TitlesOfParts>
  <Company/>
  <LinksUpToDate>false</LinksUpToDate>
  <CharactersWithSpaces>69102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CUUS430-07_p138-155</dc:title>
  <dc:subject/>
  <dc:creator>s113</dc:creator>
  <cp:keywords/>
  <cp:lastModifiedBy>Michael Kohn</cp:lastModifiedBy>
  <cp:revision>3</cp:revision>
  <cp:lastPrinted>2018-02-06T20:07:00Z</cp:lastPrinted>
  <dcterms:created xsi:type="dcterms:W3CDTF">2018-10-01T05:56:00Z</dcterms:created>
  <dcterms:modified xsi:type="dcterms:W3CDTF">2018-10-01T06:15:00Z</dcterms:modified>
</cp:coreProperties>
</file>