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1D6E4" w14:textId="2987D3DF" w:rsidR="007B7C0F" w:rsidRDefault="007B7C0F" w:rsidP="00E86D17">
      <w:pPr>
        <w:jc w:val="center"/>
        <w:rPr>
          <w:rFonts w:asciiTheme="majorHAnsi" w:hAnsiTheme="majorHAnsi"/>
          <w:b/>
        </w:rPr>
      </w:pPr>
      <w:bookmarkStart w:id="0" w:name="_GoBack"/>
      <w:bookmarkEnd w:id="0"/>
      <w:r>
        <w:rPr>
          <w:rFonts w:asciiTheme="majorHAnsi" w:hAnsiTheme="majorHAnsi"/>
          <w:b/>
        </w:rPr>
        <w:t>Epi 204 -- Problem Set #</w:t>
      </w:r>
      <w:r w:rsidR="00AB2A80">
        <w:rPr>
          <w:rFonts w:asciiTheme="majorHAnsi" w:hAnsiTheme="majorHAnsi"/>
          <w:b/>
        </w:rPr>
        <w:t>6</w:t>
      </w:r>
    </w:p>
    <w:p w14:paraId="1B60BDE4" w14:textId="1BB9803A" w:rsidR="006E09C0" w:rsidRDefault="00E86D17" w:rsidP="00E86D17">
      <w:pPr>
        <w:jc w:val="center"/>
        <w:rPr>
          <w:rFonts w:asciiTheme="majorHAnsi" w:hAnsiTheme="majorHAnsi"/>
          <w:b/>
        </w:rPr>
      </w:pPr>
      <w:r w:rsidRPr="007C390C">
        <w:rPr>
          <w:rFonts w:asciiTheme="majorHAnsi" w:hAnsiTheme="majorHAnsi"/>
          <w:b/>
        </w:rPr>
        <w:t xml:space="preserve">Chapter </w:t>
      </w:r>
      <w:r w:rsidR="00AB2A80">
        <w:rPr>
          <w:rFonts w:asciiTheme="majorHAnsi" w:hAnsiTheme="majorHAnsi"/>
          <w:b/>
        </w:rPr>
        <w:t>7</w:t>
      </w:r>
      <w:r w:rsidR="00D932D5">
        <w:rPr>
          <w:rFonts w:asciiTheme="majorHAnsi" w:hAnsiTheme="majorHAnsi"/>
          <w:b/>
        </w:rPr>
        <w:t xml:space="preserve"> </w:t>
      </w:r>
      <w:r w:rsidR="007B7C0F">
        <w:rPr>
          <w:rFonts w:asciiTheme="majorHAnsi" w:hAnsiTheme="majorHAnsi"/>
          <w:b/>
        </w:rPr>
        <w:t>P</w:t>
      </w:r>
      <w:r w:rsidRPr="007C390C">
        <w:rPr>
          <w:rFonts w:asciiTheme="majorHAnsi" w:hAnsiTheme="majorHAnsi"/>
          <w:b/>
        </w:rPr>
        <w:t xml:space="preserve">roblems </w:t>
      </w:r>
      <w:r w:rsidR="007B7C0F">
        <w:rPr>
          <w:rFonts w:asciiTheme="majorHAnsi" w:hAnsiTheme="majorHAnsi"/>
          <w:b/>
        </w:rPr>
        <w:t xml:space="preserve"> (</w:t>
      </w:r>
      <w:r w:rsidR="00AB2A80">
        <w:rPr>
          <w:rFonts w:asciiTheme="majorHAnsi" w:hAnsiTheme="majorHAnsi"/>
          <w:b/>
        </w:rPr>
        <w:t>Multiple Tests</w:t>
      </w:r>
      <w:r w:rsidR="007B7C0F">
        <w:rPr>
          <w:rFonts w:asciiTheme="majorHAnsi" w:hAnsiTheme="majorHAnsi"/>
          <w:b/>
        </w:rPr>
        <w:t>)</w:t>
      </w:r>
      <w:r w:rsidR="003D586A">
        <w:rPr>
          <w:rFonts w:asciiTheme="majorHAnsi" w:hAnsiTheme="majorHAnsi"/>
          <w:b/>
        </w:rPr>
        <w:t xml:space="preserve"> [34 points]</w:t>
      </w:r>
    </w:p>
    <w:p w14:paraId="514437E1" w14:textId="2907B3A4" w:rsidR="0023171E" w:rsidRDefault="0023171E" w:rsidP="00E86D17">
      <w:pPr>
        <w:jc w:val="center"/>
        <w:rPr>
          <w:rFonts w:asciiTheme="majorHAnsi" w:hAnsiTheme="majorHAnsi"/>
          <w:b/>
        </w:rPr>
      </w:pPr>
      <w:r>
        <w:rPr>
          <w:rFonts w:asciiTheme="majorHAnsi" w:hAnsiTheme="majorHAnsi"/>
          <w:b/>
        </w:rPr>
        <w:t xml:space="preserve">Due </w:t>
      </w:r>
      <w:r w:rsidR="00D932D5">
        <w:rPr>
          <w:rFonts w:asciiTheme="majorHAnsi" w:hAnsiTheme="majorHAnsi"/>
          <w:b/>
        </w:rPr>
        <w:t>1</w:t>
      </w:r>
      <w:r w:rsidR="00AB2A80">
        <w:rPr>
          <w:rFonts w:asciiTheme="majorHAnsi" w:hAnsiTheme="majorHAnsi"/>
          <w:b/>
        </w:rPr>
        <w:t>1</w:t>
      </w:r>
      <w:r w:rsidR="00D932D5">
        <w:rPr>
          <w:rFonts w:asciiTheme="majorHAnsi" w:hAnsiTheme="majorHAnsi"/>
          <w:b/>
        </w:rPr>
        <w:t>/</w:t>
      </w:r>
      <w:r w:rsidR="00AB2A80">
        <w:rPr>
          <w:rFonts w:asciiTheme="majorHAnsi" w:hAnsiTheme="majorHAnsi"/>
          <w:b/>
        </w:rPr>
        <w:t>1</w:t>
      </w:r>
      <w:r w:rsidR="003A6CFF">
        <w:rPr>
          <w:rFonts w:asciiTheme="majorHAnsi" w:hAnsiTheme="majorHAnsi"/>
          <w:b/>
        </w:rPr>
        <w:t>/2018</w:t>
      </w:r>
      <w:r>
        <w:rPr>
          <w:rFonts w:asciiTheme="majorHAnsi" w:hAnsiTheme="majorHAnsi"/>
          <w:b/>
        </w:rPr>
        <w:t xml:space="preserve"> </w:t>
      </w:r>
      <w:r w:rsidR="003A6CFF">
        <w:rPr>
          <w:rFonts w:asciiTheme="majorHAnsi" w:hAnsiTheme="majorHAnsi"/>
          <w:b/>
        </w:rPr>
        <w:t xml:space="preserve"> </w:t>
      </w:r>
      <w:r>
        <w:rPr>
          <w:rFonts w:asciiTheme="majorHAnsi" w:hAnsiTheme="majorHAnsi"/>
          <w:b/>
        </w:rPr>
        <w:t>1 pm</w:t>
      </w:r>
    </w:p>
    <w:p w14:paraId="788924E0" w14:textId="6BB481A5" w:rsidR="00E31AE0" w:rsidRDefault="00E31AE0" w:rsidP="00E31AE0">
      <w:pPr>
        <w:rPr>
          <w:rFonts w:asciiTheme="majorHAnsi" w:hAnsiTheme="majorHAnsi"/>
          <w:b/>
          <w:i/>
        </w:rPr>
      </w:pPr>
      <w:r>
        <w:rPr>
          <w:rFonts w:asciiTheme="majorHAnsi" w:hAnsiTheme="majorHAnsi"/>
          <w:b/>
          <w:i/>
        </w:rPr>
        <w:t>Do problems #1 – #4 below. The “Ch07.XX” numbering is for our problem database; please ignore.</w:t>
      </w:r>
    </w:p>
    <w:p w14:paraId="4058AF3E" w14:textId="77777777" w:rsidR="00E31AE0" w:rsidRDefault="00E31AE0" w:rsidP="00E31AE0">
      <w:pPr>
        <w:rPr>
          <w:b/>
        </w:rPr>
      </w:pPr>
      <w:r>
        <w:rPr>
          <w:b/>
        </w:rPr>
        <w:t>You may use whatever tools you like, including Excel, an online calculator, and Stata.  But please respond clearly and directly to the questions.</w:t>
      </w:r>
    </w:p>
    <w:p w14:paraId="2547BFC2" w14:textId="77777777" w:rsidR="00E31AE0" w:rsidRDefault="00E31AE0" w:rsidP="00E31AE0">
      <w:pPr>
        <w:rPr>
          <w:b/>
        </w:rPr>
      </w:pPr>
      <w:r>
        <w:rPr>
          <w:b/>
        </w:rPr>
        <w:t>Collaboration with your classmates is fine, but answer the question in your own words and acknowledge your colleagues.</w:t>
      </w:r>
    </w:p>
    <w:p w14:paraId="0208182E" w14:textId="1C326884" w:rsidR="00E31AE0" w:rsidRPr="00E31AE0" w:rsidRDefault="00E31AE0" w:rsidP="00E31AE0">
      <w:pPr>
        <w:pStyle w:val="ListParagraph"/>
        <w:numPr>
          <w:ilvl w:val="0"/>
          <w:numId w:val="13"/>
        </w:numPr>
        <w:tabs>
          <w:tab w:val="left" w:pos="-720"/>
        </w:tabs>
        <w:suppressAutoHyphens/>
        <w:rPr>
          <w:rFonts w:ascii="Times New Roman" w:hAnsi="Times New Roman"/>
          <w:b/>
        </w:rPr>
      </w:pPr>
      <w:r w:rsidRPr="00E31AE0">
        <w:rPr>
          <w:rFonts w:ascii="Times New Roman" w:hAnsi="Times New Roman"/>
          <w:b/>
        </w:rPr>
        <w:t>Kawasaki Disease</w:t>
      </w:r>
      <w:r>
        <w:rPr>
          <w:rFonts w:ascii="Times New Roman" w:hAnsi="Times New Roman"/>
          <w:b/>
        </w:rPr>
        <w:t xml:space="preserve"> (</w:t>
      </w:r>
      <w:r w:rsidRPr="00E31AE0">
        <w:rPr>
          <w:rFonts w:ascii="Times New Roman" w:hAnsi="Times New Roman"/>
          <w:b/>
        </w:rPr>
        <w:t>Ch07.02.</w:t>
      </w:r>
      <w:r>
        <w:rPr>
          <w:rFonts w:ascii="Times New Roman" w:hAnsi="Times New Roman"/>
          <w:b/>
        </w:rPr>
        <w:t>). [6 points]</w:t>
      </w:r>
    </w:p>
    <w:p w14:paraId="60D06C2F" w14:textId="77777777" w:rsidR="00E31AE0" w:rsidRDefault="00E31AE0" w:rsidP="00E31AE0">
      <w:pPr>
        <w:tabs>
          <w:tab w:val="left" w:pos="-720"/>
        </w:tabs>
        <w:suppressAutoHyphens/>
        <w:ind w:left="180"/>
        <w:rPr>
          <w:rFonts w:ascii="Times New Roman" w:hAnsi="Times New Roman"/>
          <w:sz w:val="24"/>
        </w:rPr>
      </w:pPr>
    </w:p>
    <w:p w14:paraId="55EBBB0E" w14:textId="5BB76E6F" w:rsidR="00E31AE0" w:rsidRDefault="00E31AE0" w:rsidP="00E31AE0">
      <w:pPr>
        <w:tabs>
          <w:tab w:val="left" w:pos="-720"/>
        </w:tabs>
        <w:suppressAutoHyphens/>
        <w:ind w:left="180"/>
        <w:rPr>
          <w:rFonts w:ascii="Times New Roman" w:hAnsi="Times New Roman"/>
          <w:sz w:val="24"/>
        </w:rPr>
      </w:pPr>
      <w:r>
        <w:rPr>
          <w:rFonts w:ascii="Times New Roman" w:hAnsi="Times New Roman"/>
          <w:sz w:val="24"/>
        </w:rPr>
        <w:t xml:space="preserve">Kawasaki disease is an acute febrile illness in children of unknown cause that includes a rash, conjunctivitis, inflammation of mucous membranes of the mouth, swollen lymph nodes and swelling of hands and feet.  Affected children are treated with intravenous immunoglobulin (IVIG) to prevent coronary artery aneurysms, the most serious complication of the disease.  Using data from the intervention groups of two randomized controlled trials of IVIG, </w:t>
      </w:r>
      <w:proofErr w:type="spellStart"/>
      <w:r>
        <w:rPr>
          <w:rFonts w:ascii="Times New Roman" w:hAnsi="Times New Roman"/>
          <w:sz w:val="24"/>
        </w:rPr>
        <w:t>Beiser</w:t>
      </w:r>
      <w:proofErr w:type="spellEnd"/>
      <w:r>
        <w:rPr>
          <w:rFonts w:ascii="Times New Roman" w:hAnsi="Times New Roman"/>
          <w:sz w:val="24"/>
        </w:rPr>
        <w:t xml:space="preserve"> et al</w:t>
      </w:r>
      <w:r>
        <w:rPr>
          <w:rFonts w:ascii="Times New Roman" w:hAnsi="Times New Roman"/>
          <w:sz w:val="24"/>
        </w:rPr>
        <w:fldChar w:fldCharType="begin"/>
      </w:r>
      <w:r w:rsidR="00C27547">
        <w:rPr>
          <w:rFonts w:ascii="Times New Roman" w:hAnsi="Times New Roman"/>
          <w:sz w:val="24"/>
        </w:rPr>
        <w:instrText xml:space="preserve"> ADDIN EN.CITE &lt;EndNote&gt;&lt;Cite&gt;&lt;Author&gt;Beiser&lt;/Author&gt;&lt;Year&gt;1998&lt;/Year&gt;&lt;RecNum&gt;942&lt;/RecNum&gt;&lt;DisplayText&gt;(Beiser, Takahashi et al. 1998)&lt;/DisplayText&gt;&lt;record&gt;&lt;rec-number&gt;942&lt;/rec-number&gt;&lt;foreign-keys&gt;&lt;key app="EN" db-id="0ftvff9p80fp5few5s05f5fw9rd9fefrdzer" timestamp="0"&gt;942&lt;/key&gt;&lt;/foreign-keys&gt;&lt;ref-type name="Journal Article"&gt;17&lt;/ref-type&gt;&lt;contributors&gt;&lt;authors&gt;&lt;author&gt;Beiser, A. S.&lt;/author&gt;&lt;author&gt;Takahashi, M.&lt;/author&gt;&lt;author&gt;Baker, A. L.&lt;/author&gt;&lt;author&gt;Sundel, R. P.&lt;/author&gt;&lt;author&gt;Newburger, J. W.&lt;/author&gt;&lt;/authors&gt;&lt;/contributors&gt;&lt;auth-address&gt;Department of Epidemiology and Biostatistics, Boston University School of Public Health, Massachusetts, USA.&lt;/auth-address&gt;&lt;titles&gt;&lt;title&gt;A predictive instrument for coronary artery aneurysms in Kawasaki disease. US Multicenter Kawasaki Disease Study Group&lt;/title&gt;&lt;secondary-title&gt;Am J Cardiol&lt;/secondary-title&gt;&lt;/titles&gt;&lt;pages&gt;1116-20&lt;/pages&gt;&lt;volume&gt;81&lt;/volume&gt;&lt;number&gt;9&lt;/number&gt;&lt;keywords&gt;&lt;keyword&gt;Coronary Aneurysm/*etiology/prevention &amp;amp; control&lt;/keyword&gt;&lt;keyword&gt;Female&lt;/keyword&gt;&lt;keyword&gt;Humans&lt;/keyword&gt;&lt;keyword&gt;Immunoglobulins, Intravenous/therapeutic use&lt;/keyword&gt;&lt;keyword&gt;Male&lt;/keyword&gt;&lt;keyword&gt;Mucocutaneous Lymph Node Syndrome/*complications/drug therapy&lt;/keyword&gt;&lt;keyword&gt;Predictive Value of Tests&lt;/keyword&gt;&lt;keyword&gt;Prognosis&lt;/keyword&gt;&lt;keyword&gt;Randomized Controlled Trials&lt;/keyword&gt;&lt;keyword&gt;Risk Assessment&lt;/keyword&gt;&lt;/keywords&gt;&lt;dates&gt;&lt;year&gt;1998&lt;/year&gt;&lt;pub-dates&gt;&lt;date&gt;May 1&lt;/date&gt;&lt;/pub-dates&gt;&lt;/dates&gt;&lt;accession-num&gt;9605052&lt;/accession-num&gt;&lt;urls&gt;&lt;related-urls&gt;&lt;url&gt;http://www.ncbi.nlm.nih.gov/entrez/query.fcgi?cmd=Retrieve&amp;amp;db=PubMed&amp;amp;dopt=Citation&amp;amp;list_uids=9605052 &lt;/url&gt;&lt;/related-urls&gt;&lt;/urls&gt;&lt;/record&gt;&lt;/Cite&gt;&lt;/EndNote&gt;</w:instrText>
      </w:r>
      <w:r>
        <w:rPr>
          <w:rFonts w:ascii="Times New Roman" w:hAnsi="Times New Roman"/>
          <w:sz w:val="24"/>
        </w:rPr>
        <w:fldChar w:fldCharType="separate"/>
      </w:r>
      <w:r w:rsidR="00C27547">
        <w:rPr>
          <w:rFonts w:ascii="Times New Roman" w:hAnsi="Times New Roman"/>
          <w:noProof/>
          <w:sz w:val="24"/>
        </w:rPr>
        <w:t>(</w:t>
      </w:r>
      <w:proofErr w:type="spellStart"/>
      <w:r w:rsidR="00C27547">
        <w:rPr>
          <w:rFonts w:ascii="Times New Roman" w:hAnsi="Times New Roman"/>
          <w:noProof/>
          <w:sz w:val="24"/>
        </w:rPr>
        <w:t>Beiser</w:t>
      </w:r>
      <w:proofErr w:type="spellEnd"/>
      <w:r w:rsidR="00C27547">
        <w:rPr>
          <w:rFonts w:ascii="Times New Roman" w:hAnsi="Times New Roman"/>
          <w:noProof/>
          <w:sz w:val="24"/>
        </w:rPr>
        <w:t>, Takahashi et al. 1998)</w:t>
      </w:r>
      <w:r>
        <w:rPr>
          <w:rFonts w:ascii="Times New Roman" w:hAnsi="Times New Roman"/>
          <w:sz w:val="24"/>
        </w:rPr>
        <w:fldChar w:fldCharType="end"/>
      </w:r>
      <w:r>
        <w:rPr>
          <w:rFonts w:ascii="Times New Roman" w:hAnsi="Times New Roman"/>
          <w:sz w:val="24"/>
        </w:rPr>
        <w:t xml:space="preserve"> developed an instrument to predict which children with Kawasaki disease would develop coronary artery aneurysms. The predictive instrument they developed is shown below:</w:t>
      </w:r>
    </w:p>
    <w:p w14:paraId="4F73F938" w14:textId="77777777" w:rsidR="00E31AE0" w:rsidRDefault="00E31AE0" w:rsidP="00E31AE0">
      <w:pPr>
        <w:tabs>
          <w:tab w:val="left" w:pos="-720"/>
        </w:tabs>
        <w:suppressAutoHyphens/>
        <w:ind w:left="180"/>
        <w:rPr>
          <w:rFonts w:ascii="Times New Roman" w:hAnsi="Times New Roman"/>
          <w:sz w:val="24"/>
        </w:rPr>
      </w:pPr>
      <w:r>
        <w:rPr>
          <w:rFonts w:ascii="Times New Roman" w:hAnsi="Times New Roman"/>
          <w:noProof/>
          <w:sz w:val="24"/>
        </w:rPr>
        <w:lastRenderedPageBreak/>
        <w:drawing>
          <wp:anchor distT="0" distB="0" distL="114300" distR="114300" simplePos="0" relativeHeight="251659264" behindDoc="1" locked="0" layoutInCell="1" allowOverlap="1" wp14:anchorId="7E451B79" wp14:editId="3C3BF3DB">
            <wp:simplePos x="0" y="0"/>
            <wp:positionH relativeFrom="column">
              <wp:posOffset>228600</wp:posOffset>
            </wp:positionH>
            <wp:positionV relativeFrom="paragraph">
              <wp:posOffset>115570</wp:posOffset>
            </wp:positionV>
            <wp:extent cx="3306445" cy="4986655"/>
            <wp:effectExtent l="0" t="0" r="8255" b="4445"/>
            <wp:wrapTight wrapText="bothSides">
              <wp:wrapPolygon edited="0">
                <wp:start x="0" y="0"/>
                <wp:lineTo x="0" y="21537"/>
                <wp:lineTo x="21529" y="21537"/>
                <wp:lineTo x="21529" y="0"/>
                <wp:lineTo x="0" y="0"/>
              </wp:wrapPolygon>
            </wp:wrapTight>
            <wp:docPr id="1" name="Picture 1" descr="Kawasali Disease C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wasali Disease CA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6445" cy="4986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2CAE8A" w14:textId="77777777" w:rsidR="00E31AE0" w:rsidRDefault="00E31AE0" w:rsidP="00E31AE0">
      <w:pPr>
        <w:tabs>
          <w:tab w:val="left" w:pos="-720"/>
        </w:tabs>
        <w:suppressAutoHyphens/>
        <w:ind w:left="180"/>
        <w:rPr>
          <w:rFonts w:ascii="Times New Roman" w:hAnsi="Times New Roman"/>
          <w:sz w:val="24"/>
        </w:rPr>
      </w:pPr>
    </w:p>
    <w:p w14:paraId="6030ABC3" w14:textId="77777777" w:rsidR="00E31AE0" w:rsidRDefault="00E31AE0" w:rsidP="00E31AE0">
      <w:pPr>
        <w:tabs>
          <w:tab w:val="left" w:pos="-720"/>
        </w:tabs>
        <w:suppressAutoHyphens/>
        <w:ind w:left="180"/>
        <w:rPr>
          <w:rFonts w:ascii="Times New Roman" w:hAnsi="Times New Roman"/>
          <w:sz w:val="24"/>
        </w:rPr>
      </w:pPr>
    </w:p>
    <w:p w14:paraId="463A4A8E" w14:textId="77777777" w:rsidR="00E31AE0" w:rsidRDefault="00E31AE0" w:rsidP="00E31AE0">
      <w:pPr>
        <w:tabs>
          <w:tab w:val="left" w:pos="-720"/>
        </w:tabs>
        <w:suppressAutoHyphens/>
        <w:ind w:left="180"/>
        <w:rPr>
          <w:rFonts w:ascii="Times New Roman" w:hAnsi="Times New Roman"/>
          <w:sz w:val="24"/>
        </w:rPr>
      </w:pPr>
    </w:p>
    <w:p w14:paraId="454B06F2" w14:textId="77777777" w:rsidR="00E31AE0" w:rsidRDefault="00E31AE0" w:rsidP="00E31AE0">
      <w:pPr>
        <w:tabs>
          <w:tab w:val="left" w:pos="-720"/>
        </w:tabs>
        <w:suppressAutoHyphens/>
        <w:ind w:left="180"/>
        <w:rPr>
          <w:rFonts w:ascii="Times New Roman" w:hAnsi="Times New Roman"/>
          <w:sz w:val="24"/>
        </w:rPr>
      </w:pPr>
    </w:p>
    <w:p w14:paraId="6A565830" w14:textId="77777777" w:rsidR="00E31AE0" w:rsidRDefault="00E31AE0" w:rsidP="00E31AE0">
      <w:pPr>
        <w:tabs>
          <w:tab w:val="left" w:pos="-720"/>
        </w:tabs>
        <w:suppressAutoHyphens/>
        <w:ind w:left="180"/>
        <w:rPr>
          <w:rFonts w:ascii="Times New Roman" w:hAnsi="Times New Roman"/>
          <w:sz w:val="24"/>
        </w:rPr>
      </w:pPr>
    </w:p>
    <w:p w14:paraId="0D822752" w14:textId="77777777" w:rsidR="00E31AE0" w:rsidRDefault="00E31AE0" w:rsidP="00E31AE0">
      <w:pPr>
        <w:tabs>
          <w:tab w:val="left" w:pos="-720"/>
        </w:tabs>
        <w:suppressAutoHyphens/>
        <w:ind w:left="180"/>
        <w:rPr>
          <w:rFonts w:ascii="Times New Roman" w:hAnsi="Times New Roman"/>
          <w:sz w:val="24"/>
        </w:rPr>
      </w:pPr>
    </w:p>
    <w:p w14:paraId="552B2E42" w14:textId="77777777" w:rsidR="00E31AE0" w:rsidRDefault="00E31AE0" w:rsidP="00E31AE0">
      <w:pPr>
        <w:tabs>
          <w:tab w:val="left" w:pos="-720"/>
        </w:tabs>
        <w:suppressAutoHyphens/>
        <w:ind w:left="180"/>
        <w:rPr>
          <w:rFonts w:ascii="Times New Roman" w:hAnsi="Times New Roman"/>
          <w:sz w:val="24"/>
        </w:rPr>
      </w:pPr>
    </w:p>
    <w:p w14:paraId="749A8007" w14:textId="77777777" w:rsidR="00E31AE0" w:rsidRDefault="00E31AE0" w:rsidP="00E31AE0">
      <w:pPr>
        <w:tabs>
          <w:tab w:val="left" w:pos="-720"/>
        </w:tabs>
        <w:suppressAutoHyphens/>
        <w:ind w:left="180"/>
        <w:rPr>
          <w:rFonts w:ascii="Times New Roman" w:hAnsi="Times New Roman"/>
          <w:sz w:val="24"/>
        </w:rPr>
      </w:pPr>
    </w:p>
    <w:p w14:paraId="662E7584" w14:textId="77777777" w:rsidR="00E31AE0" w:rsidRDefault="00E31AE0" w:rsidP="00E31AE0">
      <w:pPr>
        <w:tabs>
          <w:tab w:val="left" w:pos="-720"/>
        </w:tabs>
        <w:suppressAutoHyphens/>
        <w:ind w:left="180"/>
        <w:rPr>
          <w:rFonts w:ascii="Times New Roman" w:hAnsi="Times New Roman"/>
          <w:sz w:val="24"/>
        </w:rPr>
      </w:pPr>
    </w:p>
    <w:p w14:paraId="1F5F353A" w14:textId="77777777" w:rsidR="00E31AE0" w:rsidRDefault="00E31AE0" w:rsidP="00E31AE0">
      <w:pPr>
        <w:tabs>
          <w:tab w:val="left" w:pos="-720"/>
        </w:tabs>
        <w:suppressAutoHyphens/>
        <w:ind w:left="180"/>
        <w:rPr>
          <w:rFonts w:ascii="Times New Roman" w:hAnsi="Times New Roman"/>
          <w:sz w:val="24"/>
        </w:rPr>
      </w:pPr>
    </w:p>
    <w:p w14:paraId="2289B79B" w14:textId="77777777" w:rsidR="00E31AE0" w:rsidRDefault="00E31AE0" w:rsidP="00E31AE0">
      <w:pPr>
        <w:tabs>
          <w:tab w:val="left" w:pos="-720"/>
        </w:tabs>
        <w:suppressAutoHyphens/>
        <w:ind w:left="180"/>
        <w:rPr>
          <w:rFonts w:ascii="Times New Roman" w:hAnsi="Times New Roman"/>
          <w:sz w:val="24"/>
        </w:rPr>
      </w:pPr>
    </w:p>
    <w:p w14:paraId="18557E5E" w14:textId="77777777" w:rsidR="00E31AE0" w:rsidRDefault="00E31AE0" w:rsidP="00E31AE0">
      <w:pPr>
        <w:tabs>
          <w:tab w:val="left" w:pos="-720"/>
        </w:tabs>
        <w:suppressAutoHyphens/>
        <w:ind w:left="180"/>
        <w:rPr>
          <w:rFonts w:ascii="Times New Roman" w:hAnsi="Times New Roman"/>
          <w:sz w:val="24"/>
        </w:rPr>
      </w:pPr>
    </w:p>
    <w:p w14:paraId="22DD9373" w14:textId="77777777" w:rsidR="00E31AE0" w:rsidRDefault="00E31AE0" w:rsidP="00E31AE0">
      <w:pPr>
        <w:tabs>
          <w:tab w:val="left" w:pos="-720"/>
        </w:tabs>
        <w:suppressAutoHyphens/>
        <w:ind w:left="180"/>
        <w:rPr>
          <w:rFonts w:ascii="Times New Roman" w:hAnsi="Times New Roman"/>
          <w:sz w:val="24"/>
        </w:rPr>
      </w:pPr>
    </w:p>
    <w:p w14:paraId="296E5834" w14:textId="77777777" w:rsidR="00E31AE0" w:rsidRDefault="00E31AE0" w:rsidP="00E31AE0">
      <w:pPr>
        <w:tabs>
          <w:tab w:val="left" w:pos="-720"/>
        </w:tabs>
        <w:suppressAutoHyphens/>
        <w:ind w:left="180"/>
        <w:rPr>
          <w:rFonts w:ascii="Times New Roman" w:hAnsi="Times New Roman"/>
          <w:sz w:val="24"/>
        </w:rPr>
      </w:pPr>
    </w:p>
    <w:p w14:paraId="093A89ED" w14:textId="77777777" w:rsidR="00E31AE0" w:rsidRDefault="00E31AE0" w:rsidP="00E31AE0">
      <w:pPr>
        <w:tabs>
          <w:tab w:val="left" w:pos="-720"/>
        </w:tabs>
        <w:suppressAutoHyphens/>
        <w:ind w:left="180"/>
        <w:rPr>
          <w:rFonts w:ascii="Times New Roman" w:hAnsi="Times New Roman"/>
          <w:sz w:val="24"/>
        </w:rPr>
      </w:pPr>
    </w:p>
    <w:p w14:paraId="03A72763" w14:textId="77777777" w:rsidR="00E31AE0" w:rsidRPr="009E3043" w:rsidRDefault="00E31AE0" w:rsidP="00E31AE0">
      <w:pPr>
        <w:autoSpaceDE w:val="0"/>
        <w:autoSpaceDN w:val="0"/>
        <w:adjustRightInd w:val="0"/>
        <w:rPr>
          <w:rFonts w:ascii="Arial" w:hAnsi="Arial" w:cs="Arial"/>
          <w:sz w:val="24"/>
          <w:szCs w:val="24"/>
        </w:rPr>
      </w:pPr>
      <w:r>
        <w:rPr>
          <w:rFonts w:ascii="Times New Roman" w:hAnsi="Times New Roman"/>
          <w:sz w:val="24"/>
        </w:rPr>
        <w:t xml:space="preserve">From Figure 1. </w:t>
      </w:r>
      <w:proofErr w:type="spellStart"/>
      <w:r>
        <w:rPr>
          <w:rFonts w:ascii="Arial" w:hAnsi="Arial" w:cs="Arial"/>
          <w:sz w:val="24"/>
          <w:szCs w:val="24"/>
        </w:rPr>
        <w:t>Beiser</w:t>
      </w:r>
      <w:proofErr w:type="spellEnd"/>
      <w:r>
        <w:rPr>
          <w:rFonts w:ascii="Arial" w:hAnsi="Arial" w:cs="Arial"/>
          <w:sz w:val="24"/>
          <w:szCs w:val="24"/>
        </w:rPr>
        <w:t xml:space="preserve"> AS, et al.  Am J </w:t>
      </w:r>
      <w:proofErr w:type="spellStart"/>
      <w:r>
        <w:rPr>
          <w:rFonts w:ascii="Arial" w:hAnsi="Arial" w:cs="Arial"/>
          <w:sz w:val="24"/>
          <w:szCs w:val="24"/>
        </w:rPr>
        <w:t>Cardiol</w:t>
      </w:r>
      <w:proofErr w:type="spellEnd"/>
      <w:r>
        <w:rPr>
          <w:rFonts w:ascii="Arial" w:hAnsi="Arial" w:cs="Arial"/>
          <w:sz w:val="24"/>
          <w:szCs w:val="24"/>
        </w:rPr>
        <w:t xml:space="preserve">. 1998 May 1;81(9):1116-20. </w:t>
      </w:r>
      <w:r w:rsidRPr="002A4FD1">
        <w:rPr>
          <w:rFonts w:ascii="Arial" w:hAnsi="Arial" w:cs="Arial"/>
          <w:b/>
          <w:i/>
          <w:sz w:val="24"/>
          <w:szCs w:val="24"/>
        </w:rPr>
        <w:t>Need Permission</w:t>
      </w:r>
      <w:r>
        <w:rPr>
          <w:rFonts w:ascii="Arial" w:hAnsi="Arial" w:cs="Arial"/>
          <w:sz w:val="24"/>
          <w:szCs w:val="24"/>
        </w:rPr>
        <w:t>.  Neutrophils (also known as polymorphonuclear leukocytes) are one kind of white blood cell.  Bands are immature neutrophils.  “Neutrophils &lt; 0.5” means that, based on the white blood cell count differential, less than 50% of the white cells are neutrophils.  “Bands/neutrophils &lt; .5” means that, of all the neutrophils, fewer than 50% are bands.</w:t>
      </w:r>
    </w:p>
    <w:p w14:paraId="5B5C96BF" w14:textId="1677631D" w:rsidR="00E31AE0" w:rsidRDefault="00E31AE0" w:rsidP="00E31AE0">
      <w:pPr>
        <w:tabs>
          <w:tab w:val="left" w:pos="-720"/>
        </w:tabs>
        <w:suppressAutoHyphens/>
        <w:rPr>
          <w:rFonts w:ascii="Times New Roman" w:hAnsi="Times New Roman"/>
          <w:sz w:val="24"/>
        </w:rPr>
      </w:pPr>
      <w:r>
        <w:rPr>
          <w:rFonts w:ascii="Times New Roman" w:hAnsi="Times New Roman"/>
          <w:sz w:val="24"/>
        </w:rPr>
        <w:t>a.)  Do you think the predictive instrument was developed using Classification Trees? Why or why not? [2]</w:t>
      </w:r>
      <w:r>
        <w:rPr>
          <w:rFonts w:ascii="Times New Roman" w:hAnsi="Times New Roman"/>
          <w:sz w:val="24"/>
        </w:rPr>
        <w:br/>
      </w:r>
      <w:r>
        <w:rPr>
          <w:rFonts w:ascii="Times New Roman" w:hAnsi="Times New Roman"/>
          <w:sz w:val="24"/>
        </w:rPr>
        <w:br/>
      </w:r>
    </w:p>
    <w:p w14:paraId="230D836B" w14:textId="7D21FF43" w:rsidR="00E31AE0" w:rsidRDefault="00E31AE0" w:rsidP="00E31AE0">
      <w:pPr>
        <w:tabs>
          <w:tab w:val="left" w:pos="-720"/>
        </w:tabs>
        <w:suppressAutoHyphens/>
        <w:rPr>
          <w:rFonts w:ascii="Times New Roman" w:hAnsi="Times New Roman"/>
          <w:sz w:val="24"/>
        </w:rPr>
      </w:pPr>
      <w:r>
        <w:rPr>
          <w:rFonts w:ascii="Times New Roman" w:hAnsi="Times New Roman"/>
          <w:sz w:val="24"/>
        </w:rPr>
        <w:t>b.)  Assume you are treating a child like those included in the study.  His initial complete blood count shows a hemoglobin of 11.2 g/</w:t>
      </w:r>
      <w:proofErr w:type="spellStart"/>
      <w:r>
        <w:rPr>
          <w:rFonts w:ascii="Times New Roman" w:hAnsi="Times New Roman"/>
          <w:sz w:val="24"/>
        </w:rPr>
        <w:t>dL</w:t>
      </w:r>
      <w:proofErr w:type="spellEnd"/>
      <w:r>
        <w:rPr>
          <w:rFonts w:ascii="Times New Roman" w:hAnsi="Times New Roman"/>
          <w:sz w:val="24"/>
        </w:rPr>
        <w:t>, 600,000 platelets and 13,000 white blood cells/mm</w:t>
      </w:r>
      <w:r w:rsidRPr="00F2573D">
        <w:rPr>
          <w:rFonts w:ascii="Times New Roman" w:hAnsi="Times New Roman"/>
          <w:sz w:val="24"/>
          <w:vertAlign w:val="superscript"/>
        </w:rPr>
        <w:t>3</w:t>
      </w:r>
      <w:r>
        <w:rPr>
          <w:rFonts w:ascii="Times New Roman" w:hAnsi="Times New Roman"/>
          <w:sz w:val="24"/>
        </w:rPr>
        <w:t>, with 8,000 (61.5%) neutrophils of which 1,000 (1000/8000 = 12.5%) are bands.  On day 2 of the illness his temperature is 38.1</w:t>
      </w:r>
      <w:r>
        <w:rPr>
          <w:rFonts w:ascii="Times New Roman" w:hAnsi="Times New Roman"/>
          <w:sz w:val="24"/>
        </w:rPr>
        <w:sym w:font="Symbol" w:char="F0B0"/>
      </w:r>
      <w:r>
        <w:rPr>
          <w:rFonts w:ascii="Times New Roman" w:hAnsi="Times New Roman"/>
          <w:sz w:val="24"/>
        </w:rPr>
        <w:t xml:space="preserve"> C.  Would you classify him as high- or low- risk ? [1]</w:t>
      </w:r>
      <w:r>
        <w:rPr>
          <w:rFonts w:ascii="Times New Roman" w:hAnsi="Times New Roman"/>
          <w:sz w:val="24"/>
        </w:rPr>
        <w:br/>
      </w:r>
      <w:r>
        <w:rPr>
          <w:rFonts w:ascii="Times New Roman" w:hAnsi="Times New Roman"/>
          <w:sz w:val="24"/>
        </w:rPr>
        <w:lastRenderedPageBreak/>
        <w:br/>
      </w:r>
      <w:r>
        <w:rPr>
          <w:rFonts w:ascii="Times New Roman" w:hAnsi="Times New Roman"/>
          <w:sz w:val="24"/>
        </w:rPr>
        <w:br/>
        <w:t>c.) Now imagine the same patient, only this time he only has 5,000 neutrophils/mm</w:t>
      </w:r>
      <w:r w:rsidRPr="00F2573D">
        <w:rPr>
          <w:rFonts w:ascii="Times New Roman" w:hAnsi="Times New Roman"/>
          <w:sz w:val="24"/>
          <w:vertAlign w:val="superscript"/>
        </w:rPr>
        <w:t>3</w:t>
      </w:r>
      <w:r>
        <w:rPr>
          <w:rFonts w:ascii="Times New Roman" w:hAnsi="Times New Roman"/>
          <w:sz w:val="24"/>
        </w:rPr>
        <w:t>.  He therefore is at low risk regardless of his temperature on day 2.  Does this mean you don't need to treat him with IVIG?  (Why or why not?) [1]</w:t>
      </w:r>
      <w:r>
        <w:rPr>
          <w:rFonts w:ascii="Times New Roman" w:hAnsi="Times New Roman"/>
          <w:sz w:val="24"/>
        </w:rPr>
        <w:br/>
      </w:r>
    </w:p>
    <w:p w14:paraId="5877610F" w14:textId="1C4AA23B" w:rsidR="00E31AE0" w:rsidRDefault="00E31AE0" w:rsidP="00E31AE0">
      <w:pPr>
        <w:tabs>
          <w:tab w:val="left" w:pos="-720"/>
        </w:tabs>
        <w:suppressAutoHyphens/>
        <w:rPr>
          <w:rFonts w:ascii="Times New Roman" w:hAnsi="Times New Roman"/>
          <w:sz w:val="24"/>
        </w:rPr>
      </w:pPr>
    </w:p>
    <w:p w14:paraId="76D35756" w14:textId="77777777" w:rsidR="00E31AE0" w:rsidRDefault="00E31AE0" w:rsidP="00E31AE0">
      <w:pPr>
        <w:tabs>
          <w:tab w:val="left" w:pos="-720"/>
        </w:tabs>
        <w:suppressAutoHyphens/>
        <w:rPr>
          <w:rFonts w:ascii="Times New Roman" w:hAnsi="Times New Roman"/>
          <w:sz w:val="24"/>
        </w:rPr>
      </w:pPr>
      <w:r>
        <w:rPr>
          <w:rFonts w:ascii="Times New Roman" w:hAnsi="Times New Roman"/>
          <w:sz w:val="24"/>
        </w:rPr>
        <w:t>d)</w:t>
      </w:r>
      <w:r>
        <w:rPr>
          <w:rFonts w:ascii="Times New Roman" w:hAnsi="Times New Roman"/>
          <w:sz w:val="24"/>
        </w:rPr>
        <w:tab/>
        <w:t>In a study such as this, it is important that the clinical prediction rule be validated on a group of patients separate from the group used to derive it.  The abstract of the study states:</w:t>
      </w:r>
    </w:p>
    <w:p w14:paraId="0387B973" w14:textId="77777777" w:rsidR="00E31AE0" w:rsidRDefault="00E31AE0" w:rsidP="00E31AE0">
      <w:pPr>
        <w:tabs>
          <w:tab w:val="left" w:pos="-720"/>
        </w:tabs>
        <w:suppressAutoHyphens/>
        <w:rPr>
          <w:rFonts w:ascii="Times New Roman" w:hAnsi="Times New Roman"/>
          <w:sz w:val="24"/>
        </w:rPr>
      </w:pPr>
      <w:r>
        <w:rPr>
          <w:rFonts w:ascii="Times New Roman" w:hAnsi="Times New Roman"/>
          <w:sz w:val="24"/>
        </w:rPr>
        <w:t xml:space="preserve"> "</w:t>
      </w:r>
      <w:r>
        <w:rPr>
          <w:rFonts w:ascii="Arial" w:hAnsi="Arial"/>
          <w:sz w:val="24"/>
        </w:rPr>
        <w:t>The instrument was validated in 3 test data sets…[it] performed similarly in the 3 test data sets; no patient in any data set classified as low risk developed coronary artery abnormalities."</w:t>
      </w:r>
      <w:r>
        <w:rPr>
          <w:rFonts w:ascii="Times New Roman" w:hAnsi="Times New Roman"/>
          <w:sz w:val="24"/>
        </w:rPr>
        <w:br/>
      </w:r>
      <w:r>
        <w:rPr>
          <w:rFonts w:ascii="Times New Roman" w:hAnsi="Times New Roman"/>
          <w:sz w:val="24"/>
        </w:rPr>
        <w:br/>
        <w:t>However, the methods section states:</w:t>
      </w:r>
    </w:p>
    <w:p w14:paraId="65A14E47" w14:textId="77777777" w:rsidR="00E31AE0" w:rsidRDefault="00E31AE0" w:rsidP="00E31AE0">
      <w:pPr>
        <w:tabs>
          <w:tab w:val="left" w:pos="-720"/>
        </w:tabs>
        <w:suppressAutoHyphens/>
        <w:rPr>
          <w:rFonts w:ascii="Times New Roman" w:hAnsi="Times New Roman"/>
          <w:sz w:val="24"/>
        </w:rPr>
      </w:pPr>
      <w:r>
        <w:rPr>
          <w:rFonts w:ascii="Arial" w:hAnsi="Arial"/>
          <w:sz w:val="24"/>
        </w:rPr>
        <w:t>"We developed many such [sequential classification] processes, each using a different</w:t>
      </w:r>
      <w:r>
        <w:rPr>
          <w:rFonts w:ascii="Times New Roman" w:hAnsi="Times New Roman"/>
          <w:sz w:val="24"/>
        </w:rPr>
        <w:t xml:space="preserve"> </w:t>
      </w:r>
      <w:r>
        <w:rPr>
          <w:rFonts w:ascii="Arial" w:hAnsi="Arial"/>
          <w:sz w:val="24"/>
        </w:rPr>
        <w:t>combination of risk factors…Instruments that performed well on the development data set were validated using each of the 3 test data sets."</w:t>
      </w:r>
    </w:p>
    <w:p w14:paraId="042717A3" w14:textId="04C2D3D3" w:rsidR="00E31AE0" w:rsidRDefault="00E31AE0" w:rsidP="00E31AE0">
      <w:pPr>
        <w:tabs>
          <w:tab w:val="left" w:pos="-720"/>
        </w:tabs>
        <w:suppressAutoHyphens/>
        <w:rPr>
          <w:rFonts w:ascii="Times New Roman" w:hAnsi="Times New Roman"/>
          <w:sz w:val="24"/>
        </w:rPr>
      </w:pPr>
      <w:r>
        <w:rPr>
          <w:rFonts w:ascii="Times New Roman" w:hAnsi="Times New Roman"/>
          <w:sz w:val="24"/>
        </w:rPr>
        <w:t>Is there a problem here?  If so, what is it and how would it affect the results? [2]</w:t>
      </w:r>
    </w:p>
    <w:p w14:paraId="266B6A27" w14:textId="763E72B1" w:rsidR="00C0192F" w:rsidRDefault="00C0192F">
      <w:pPr>
        <w:rPr>
          <w:b/>
        </w:rPr>
      </w:pPr>
      <w:r>
        <w:rPr>
          <w:b/>
        </w:rPr>
        <w:br w:type="page"/>
      </w:r>
    </w:p>
    <w:p w14:paraId="296E1ACE" w14:textId="3F5379F4" w:rsidR="00E31AE0" w:rsidRPr="00E31AE0" w:rsidRDefault="00E31AE0" w:rsidP="00E31AE0">
      <w:pPr>
        <w:pStyle w:val="ListParagraph"/>
        <w:numPr>
          <w:ilvl w:val="0"/>
          <w:numId w:val="13"/>
        </w:numPr>
        <w:rPr>
          <w:b/>
        </w:rPr>
      </w:pPr>
      <w:proofErr w:type="spellStart"/>
      <w:r w:rsidRPr="00E31AE0">
        <w:rPr>
          <w:b/>
        </w:rPr>
        <w:lastRenderedPageBreak/>
        <w:t>McIsaac</w:t>
      </w:r>
      <w:proofErr w:type="spellEnd"/>
      <w:r w:rsidRPr="00E31AE0">
        <w:rPr>
          <w:b/>
        </w:rPr>
        <w:t xml:space="preserve"> Score and Rapid Antigen Detection Test (Ch07.06.A)</w:t>
      </w:r>
      <w:r w:rsidR="00A31604">
        <w:rPr>
          <w:b/>
        </w:rPr>
        <w:t xml:space="preserve"> [12 points]</w:t>
      </w:r>
    </w:p>
    <w:p w14:paraId="00071972" w14:textId="77777777" w:rsidR="00E31AE0" w:rsidRDefault="00E31AE0" w:rsidP="00E31AE0">
      <w:pPr>
        <w:ind w:left="360"/>
      </w:pPr>
    </w:p>
    <w:p w14:paraId="2B67DE44" w14:textId="544BA6F2" w:rsidR="00E31AE0" w:rsidRDefault="00E31AE0" w:rsidP="00E31AE0">
      <w:pPr>
        <w:ind w:left="360"/>
      </w:pPr>
      <w:proofErr w:type="spellStart"/>
      <w:r>
        <w:t>Tanz</w:t>
      </w:r>
      <w:proofErr w:type="spellEnd"/>
      <w:r>
        <w:t xml:space="preserve"> et al.</w:t>
      </w:r>
      <w:r>
        <w:fldChar w:fldCharType="begin">
          <w:fldData xml:space="preserve">PEVuZE5vdGU+PENpdGU+PEF1dGhvcj5UYW56PC9BdXRob3I+PFllYXI+MjAwOTwvWWVhcj48UmVj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</w:fldData>
        </w:fldChar>
      </w:r>
      <w:r w:rsidR="00C27547">
        <w:instrText xml:space="preserve"> ADDIN EN.CITE </w:instrText>
      </w:r>
      <w:r w:rsidR="00C27547">
        <w:fldChar w:fldCharType="begin">
          <w:fldData xml:space="preserve">PEVuZE5vdGU+PENpdGU+PEF1dGhvcj5UYW56PC9BdXRob3I+PFllYXI+MjAwOTwvWWVhcj48UmVj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</w:fldData>
        </w:fldChar>
      </w:r>
      <w:r w:rsidR="00C27547">
        <w:instrText xml:space="preserve"> ADDIN EN.CITE.DATA </w:instrText>
      </w:r>
      <w:r w:rsidR="00C27547">
        <w:fldChar w:fldCharType="end"/>
      </w:r>
      <w:r>
        <w:fldChar w:fldCharType="separate"/>
      </w:r>
      <w:r w:rsidR="00C27547">
        <w:rPr>
          <w:noProof/>
        </w:rPr>
        <w:t>(</w:t>
      </w:r>
      <w:proofErr w:type="spellStart"/>
      <w:r w:rsidR="00C27547">
        <w:rPr>
          <w:noProof/>
        </w:rPr>
        <w:t>Tanz</w:t>
      </w:r>
      <w:proofErr w:type="spellEnd"/>
      <w:r w:rsidR="00C27547">
        <w:rPr>
          <w:noProof/>
        </w:rPr>
        <w:t>, Gerber et al. 2009)</w:t>
      </w:r>
      <w:r>
        <w:fldChar w:fldCharType="end"/>
      </w:r>
      <w:r>
        <w:t xml:space="preserve"> investigated whether the sensitivity and specificity of a rapid antigen detection test for group A strep depended on the prior probability of strep.  They did rapid antigen tests on </w:t>
      </w:r>
      <w:r w:rsidRPr="006E5BFD">
        <w:t xml:space="preserve">1848 children 3 to 18 years of age </w:t>
      </w:r>
      <w:r>
        <w:t xml:space="preserve">with sore throats using </w:t>
      </w:r>
      <w:r w:rsidRPr="006E5BFD">
        <w:t xml:space="preserve">a laboratory throat culture as the "gold standard." </w:t>
      </w:r>
      <w:r>
        <w:t xml:space="preserve">They estimated the prior probability of strep throat using the </w:t>
      </w:r>
      <w:proofErr w:type="spellStart"/>
      <w:r>
        <w:t>McIsaac</w:t>
      </w:r>
      <w:proofErr w:type="spellEnd"/>
      <w:r>
        <w:t xml:space="preserve"> Score,   which gives 1 point for each of the following items:</w:t>
      </w:r>
      <w:r>
        <w:rPr>
          <w:rStyle w:val="FootnoteReference"/>
        </w:rPr>
        <w:footnoteReference w:id="1"/>
      </w:r>
    </w:p>
    <w:p w14:paraId="41AF37FB" w14:textId="77777777" w:rsidR="00E31AE0" w:rsidRDefault="00E31AE0" w:rsidP="00E31AE0">
      <w:pPr>
        <w:numPr>
          <w:ilvl w:val="0"/>
          <w:numId w:val="15"/>
        </w:numPr>
        <w:spacing w:after="0" w:line="240" w:lineRule="auto"/>
      </w:pPr>
      <w:r>
        <w:t>history of temperature of &gt;38°C</w:t>
      </w:r>
    </w:p>
    <w:p w14:paraId="7A036A87" w14:textId="77777777" w:rsidR="00E31AE0" w:rsidRDefault="00E31AE0" w:rsidP="00E31AE0">
      <w:pPr>
        <w:numPr>
          <w:ilvl w:val="0"/>
          <w:numId w:val="15"/>
        </w:numPr>
        <w:spacing w:after="0" w:line="240" w:lineRule="auto"/>
      </w:pPr>
      <w:r>
        <w:t>absence of cough</w:t>
      </w:r>
    </w:p>
    <w:p w14:paraId="701AAEC8" w14:textId="77777777" w:rsidR="00E31AE0" w:rsidRDefault="00E31AE0" w:rsidP="00E31AE0">
      <w:pPr>
        <w:numPr>
          <w:ilvl w:val="0"/>
          <w:numId w:val="15"/>
        </w:numPr>
        <w:spacing w:after="0" w:line="240" w:lineRule="auto"/>
      </w:pPr>
      <w:r>
        <w:t>tender anterior cervical lymph nodes</w:t>
      </w:r>
    </w:p>
    <w:p w14:paraId="4AB024AB" w14:textId="77777777" w:rsidR="00E31AE0" w:rsidRDefault="00E31AE0" w:rsidP="00E31AE0">
      <w:pPr>
        <w:numPr>
          <w:ilvl w:val="0"/>
          <w:numId w:val="15"/>
        </w:numPr>
        <w:spacing w:after="0" w:line="240" w:lineRule="auto"/>
      </w:pPr>
      <w:r>
        <w:t>tonsillar</w:t>
      </w:r>
      <w:r>
        <w:rPr>
          <w:vertAlign w:val="superscript"/>
        </w:rPr>
        <w:t xml:space="preserve"> </w:t>
      </w:r>
      <w:r>
        <w:t>swelling or exudates</w:t>
      </w:r>
    </w:p>
    <w:p w14:paraId="627B9141" w14:textId="2390DD2B" w:rsidR="00E31AE0" w:rsidRDefault="00E31AE0" w:rsidP="00E31AE0">
      <w:pPr>
        <w:numPr>
          <w:ilvl w:val="0"/>
          <w:numId w:val="15"/>
        </w:numPr>
        <w:spacing w:after="0" w:line="240" w:lineRule="auto"/>
      </w:pPr>
      <w:r>
        <w:t>age of &lt;15 years</w:t>
      </w:r>
    </w:p>
    <w:p w14:paraId="07817AB0" w14:textId="77777777" w:rsidR="00E31AE0" w:rsidRDefault="00E31AE0" w:rsidP="00E31AE0">
      <w:pPr>
        <w:numPr>
          <w:ilvl w:val="0"/>
          <w:numId w:val="15"/>
        </w:numPr>
        <w:spacing w:after="0" w:line="240" w:lineRule="auto"/>
      </w:pPr>
    </w:p>
    <w:p w14:paraId="645EFA53" w14:textId="055D10D5" w:rsidR="00E31AE0" w:rsidRDefault="00E31AE0" w:rsidP="00E31AE0">
      <w:pPr>
        <w:numPr>
          <w:ilvl w:val="0"/>
          <w:numId w:val="14"/>
        </w:numPr>
        <w:spacing w:after="0" w:line="240" w:lineRule="auto"/>
        <w:ind w:left="360"/>
      </w:pPr>
      <w:r>
        <w:t xml:space="preserve">For this part, ignore the rapid antigen test and consider the </w:t>
      </w:r>
      <w:proofErr w:type="spellStart"/>
      <w:r>
        <w:t>McIssac</w:t>
      </w:r>
      <w:proofErr w:type="spellEnd"/>
      <w:r>
        <w:t xml:space="preserve"> Score as a single test for strep (as determined by the gold standard throat culture).  </w:t>
      </w:r>
      <w:r w:rsidRPr="006E5BFD">
        <w:t xml:space="preserve">If clinicians used some of the items </w:t>
      </w:r>
      <w:r>
        <w:t xml:space="preserve">in the </w:t>
      </w:r>
      <w:proofErr w:type="spellStart"/>
      <w:r>
        <w:t>McIsaac</w:t>
      </w:r>
      <w:proofErr w:type="spellEnd"/>
      <w:r>
        <w:t xml:space="preserve"> score </w:t>
      </w:r>
      <w:r w:rsidRPr="006E5BFD">
        <w:t xml:space="preserve">to decide which children to enroll in the study, what bias would this cause, and how would it affect the apparent sensitivity and specificity of a </w:t>
      </w:r>
      <w:proofErr w:type="spellStart"/>
      <w:r w:rsidRPr="006E5BFD">
        <w:t>McIsaac</w:t>
      </w:r>
      <w:proofErr w:type="spellEnd"/>
      <w:r w:rsidRPr="006E5BFD">
        <w:t xml:space="preserve"> score ≥ 3 as a test for strep throat?</w:t>
      </w:r>
      <w:r>
        <w:t xml:space="preserve">  [</w:t>
      </w:r>
      <w:r w:rsidR="00A31604">
        <w:t>1</w:t>
      </w:r>
      <w:r>
        <w:t>]</w:t>
      </w:r>
    </w:p>
    <w:p w14:paraId="2AB632C5" w14:textId="56C4E8D9" w:rsidR="00E31AE0" w:rsidRPr="0060093B" w:rsidRDefault="00E31AE0" w:rsidP="00E31AE0">
      <w:pPr>
        <w:ind w:left="360"/>
      </w:pPr>
      <w:r>
        <w:br/>
      </w:r>
    </w:p>
    <w:p w14:paraId="1D9ACC11" w14:textId="77777777" w:rsidR="00E31AE0" w:rsidRDefault="00E31AE0" w:rsidP="00E31AE0">
      <w:pPr>
        <w:ind w:left="360"/>
      </w:pPr>
      <w:r>
        <w:t xml:space="preserve">The study found that the sensitivity and specificity of the rapid antigen detection test varied with the </w:t>
      </w:r>
      <w:proofErr w:type="spellStart"/>
      <w:r>
        <w:t>McIsaac</w:t>
      </w:r>
      <w:proofErr w:type="spellEnd"/>
      <w:r>
        <w:t xml:space="preserve"> clinical symptom score.  In other words, the sensitivity and specificity were different depending on the estimated prior probability of strep.  </w:t>
      </w:r>
    </w:p>
    <w:p w14:paraId="72041B3D" w14:textId="794C1C05" w:rsidR="00E31AE0" w:rsidRDefault="00E31AE0" w:rsidP="00E31AE0">
      <w:pPr>
        <w:numPr>
          <w:ilvl w:val="0"/>
          <w:numId w:val="14"/>
        </w:numPr>
        <w:tabs>
          <w:tab w:val="clear" w:pos="720"/>
          <w:tab w:val="num" w:pos="360"/>
        </w:tabs>
        <w:spacing w:after="0" w:line="240" w:lineRule="auto"/>
        <w:ind w:left="360"/>
      </w:pPr>
      <w:r>
        <w:t xml:space="preserve">Using terminology from EBD-2 Chapter 7 on combining tests, how can we describe the relationship between the </w:t>
      </w:r>
      <w:proofErr w:type="spellStart"/>
      <w:r>
        <w:t>McIsaac</w:t>
      </w:r>
      <w:proofErr w:type="spellEnd"/>
      <w:r>
        <w:t xml:space="preserve"> Score and rapid antigen detection as tests for strep throat? [</w:t>
      </w:r>
      <w:r w:rsidR="00A31604">
        <w:t>1</w:t>
      </w:r>
      <w:r>
        <w:t>]</w:t>
      </w:r>
    </w:p>
    <w:p w14:paraId="2295DAB7" w14:textId="0720FE29" w:rsidR="00C0192F" w:rsidRDefault="00E31AE0" w:rsidP="00E31AE0">
      <w:pPr>
        <w:ind w:left="360"/>
      </w:pPr>
      <w:r>
        <w:br/>
      </w:r>
    </w:p>
    <w:p w14:paraId="17C32B43" w14:textId="77777777" w:rsidR="00C0192F" w:rsidRDefault="00C0192F">
      <w:r>
        <w:br w:type="page"/>
      </w:r>
    </w:p>
    <w:p w14:paraId="5D26F39B" w14:textId="77777777" w:rsidR="00E31AE0" w:rsidRDefault="00E31AE0" w:rsidP="00E31AE0">
      <w:pPr>
        <w:numPr>
          <w:ilvl w:val="0"/>
          <w:numId w:val="14"/>
        </w:numPr>
        <w:spacing w:after="0" w:line="240" w:lineRule="auto"/>
        <w:ind w:left="360"/>
      </w:pPr>
      <w:r>
        <w:lastRenderedPageBreak/>
        <w:t xml:space="preserve">Table 5 from the paper is reprinted in edited form below.  The text says: "Table 5 shows that </w:t>
      </w:r>
      <w:proofErr w:type="spellStart"/>
      <w:r>
        <w:t>McIsaac</w:t>
      </w:r>
      <w:proofErr w:type="spellEnd"/>
      <w:r>
        <w:t xml:space="preserve"> scores &gt;2 were significantly associated with [a positive result on the rapid antigen detection test].”  No other information about the odds ratios in Table 5 is included.  </w:t>
      </w:r>
    </w:p>
    <w:p w14:paraId="05AE40A2" w14:textId="77777777" w:rsidR="00E31AE0" w:rsidRDefault="00E31AE0" w:rsidP="00E31AE0">
      <w:pPr>
        <w:ind w:left="360"/>
      </w:pPr>
    </w:p>
    <w:tbl>
      <w:tblPr>
        <w:tblpPr w:leftFromText="180" w:rightFromText="180" w:vertAnchor="text" w:horzAnchor="margin" w:tblpY="74"/>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344"/>
      </w:tblGrid>
      <w:tr w:rsidR="00E31AE0" w:rsidRPr="002B47C9" w14:paraId="50A5EF53" w14:textId="77777777" w:rsidTr="0092315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8F240A0" w14:textId="77777777" w:rsidR="00E31AE0" w:rsidRPr="002B47C9" w:rsidRDefault="00E31AE0" w:rsidP="0092315E">
            <w:pPr>
              <w:rPr>
                <w:rFonts w:ascii="Arial" w:hAnsi="Arial" w:cs="Arial"/>
              </w:rPr>
            </w:pPr>
          </w:p>
        </w:tc>
      </w:tr>
    </w:tbl>
    <w:p w14:paraId="08DB1BA5" w14:textId="77777777" w:rsidR="00E31AE0" w:rsidRPr="002B47C9" w:rsidRDefault="00E31AE0" w:rsidP="00E31AE0">
      <w:pPr>
        <w:rPr>
          <w:rFonts w:ascii="Arial" w:hAnsi="Arial" w:cs="Arial"/>
        </w:rPr>
      </w:pPr>
      <w:r w:rsidRPr="002B47C9">
        <w:rPr>
          <w:rFonts w:ascii="Arial" w:hAnsi="Arial" w:cs="Arial"/>
          <w:b/>
          <w:bCs/>
        </w:rPr>
        <w:t>TABLE 5</w:t>
      </w:r>
      <w:r w:rsidRPr="002B47C9">
        <w:rPr>
          <w:rFonts w:ascii="Arial" w:hAnsi="Arial" w:cs="Arial"/>
        </w:rPr>
        <w:t xml:space="preserve"> Odds Ratios for Positive </w:t>
      </w:r>
      <w:r>
        <w:rPr>
          <w:rFonts w:ascii="Arial" w:hAnsi="Arial" w:cs="Arial"/>
        </w:rPr>
        <w:t>[Rapid Antigen</w:t>
      </w:r>
      <w:r w:rsidRPr="002B47C9">
        <w:rPr>
          <w:rFonts w:ascii="Arial" w:hAnsi="Arial" w:cs="Arial"/>
        </w:rPr>
        <w:t xml:space="preserve"> Test</w:t>
      </w:r>
      <w:r>
        <w:rPr>
          <w:rFonts w:ascii="Arial" w:hAnsi="Arial" w:cs="Arial"/>
        </w:rPr>
        <w:t>]</w:t>
      </w:r>
      <w:r w:rsidRPr="002B47C9">
        <w:rPr>
          <w:rFonts w:ascii="Arial" w:hAnsi="Arial" w:cs="Arial"/>
        </w:rPr>
        <w:t xml:space="preserve"> With </w:t>
      </w:r>
      <w:proofErr w:type="spellStart"/>
      <w:r w:rsidRPr="002B47C9">
        <w:rPr>
          <w:rFonts w:ascii="Arial" w:hAnsi="Arial" w:cs="Arial"/>
        </w:rPr>
        <w:t>McIsaac</w:t>
      </w:r>
      <w:proofErr w:type="spellEnd"/>
      <w:r w:rsidRPr="002B47C9">
        <w:rPr>
          <w:rFonts w:ascii="Arial" w:hAnsi="Arial" w:cs="Arial"/>
        </w:rPr>
        <w:t xml:space="preserve"> Scores of &gt;2</w:t>
      </w:r>
    </w:p>
    <w:tbl>
      <w:tblPr>
        <w:tblpPr w:leftFromText="180" w:rightFromText="180" w:vertAnchor="text" w:horzAnchor="margin" w:tblpY="459"/>
        <w:tblOverlap w:val="never"/>
        <w:tblW w:w="4832" w:type="pct"/>
        <w:tblCellSpacing w:w="75" w:type="dxa"/>
        <w:tblCellMar>
          <w:left w:w="0" w:type="dxa"/>
          <w:right w:w="0" w:type="dxa"/>
        </w:tblCellMar>
        <w:tblLook w:val="0000" w:firstRow="0" w:lastRow="0" w:firstColumn="0" w:lastColumn="0" w:noHBand="0" w:noVBand="0"/>
      </w:tblPr>
      <w:tblGrid>
        <w:gridCol w:w="3770"/>
        <w:gridCol w:w="3967"/>
        <w:gridCol w:w="1299"/>
      </w:tblGrid>
      <w:tr w:rsidR="00E31AE0" w:rsidRPr="002B47C9" w14:paraId="7B52076B" w14:textId="77777777" w:rsidTr="0092315E">
        <w:trPr>
          <w:tblCellSpacing w:w="75" w:type="dxa"/>
        </w:trPr>
        <w:tc>
          <w:tcPr>
            <w:tcW w:w="0" w:type="auto"/>
            <w:tcBorders>
              <w:top w:val="single" w:sz="4" w:space="0" w:color="auto"/>
              <w:left w:val="single" w:sz="4" w:space="0" w:color="auto"/>
              <w:bottom w:val="single" w:sz="4" w:space="0" w:color="auto"/>
              <w:right w:val="single" w:sz="4" w:space="0" w:color="auto"/>
            </w:tcBorders>
            <w:vAlign w:val="bottom"/>
          </w:tcPr>
          <w:p w14:paraId="58C05046" w14:textId="77777777" w:rsidR="00E31AE0" w:rsidRPr="002B47C9" w:rsidRDefault="00E31AE0" w:rsidP="0092315E">
            <w:pPr>
              <w:jc w:val="center"/>
              <w:rPr>
                <w:rFonts w:ascii="Arial" w:hAnsi="Arial" w:cs="Arial"/>
              </w:rPr>
            </w:pPr>
            <w:r w:rsidRPr="002B47C9">
              <w:rPr>
                <w:rFonts w:ascii="Arial" w:hAnsi="Arial" w:cs="Arial"/>
              </w:rPr>
              <w:t>Test</w:t>
            </w:r>
          </w:p>
        </w:tc>
        <w:tc>
          <w:tcPr>
            <w:tcW w:w="0" w:type="auto"/>
            <w:tcBorders>
              <w:top w:val="single" w:sz="4" w:space="0" w:color="auto"/>
              <w:left w:val="single" w:sz="4" w:space="0" w:color="auto"/>
              <w:bottom w:val="single" w:sz="4" w:space="0" w:color="auto"/>
              <w:right w:val="single" w:sz="4" w:space="0" w:color="auto"/>
            </w:tcBorders>
            <w:vAlign w:val="bottom"/>
          </w:tcPr>
          <w:p w14:paraId="64D46445" w14:textId="77777777" w:rsidR="00E31AE0" w:rsidRPr="002B47C9" w:rsidRDefault="00E31AE0" w:rsidP="0092315E">
            <w:pPr>
              <w:jc w:val="center"/>
              <w:rPr>
                <w:rFonts w:ascii="Arial" w:hAnsi="Arial" w:cs="Arial"/>
              </w:rPr>
            </w:pPr>
            <w:r w:rsidRPr="002B47C9">
              <w:rPr>
                <w:rFonts w:ascii="Arial" w:hAnsi="Arial" w:cs="Arial"/>
              </w:rPr>
              <w:t>Odds Ratio (95% CI)</w:t>
            </w:r>
          </w:p>
        </w:tc>
        <w:tc>
          <w:tcPr>
            <w:tcW w:w="0" w:type="auto"/>
            <w:tcBorders>
              <w:top w:val="single" w:sz="4" w:space="0" w:color="auto"/>
              <w:left w:val="single" w:sz="4" w:space="0" w:color="auto"/>
              <w:bottom w:val="single" w:sz="4" w:space="0" w:color="auto"/>
              <w:right w:val="single" w:sz="4" w:space="0" w:color="auto"/>
            </w:tcBorders>
            <w:vAlign w:val="bottom"/>
          </w:tcPr>
          <w:p w14:paraId="431798E9" w14:textId="77777777" w:rsidR="00E31AE0" w:rsidRPr="002B47C9" w:rsidRDefault="00E31AE0" w:rsidP="0092315E">
            <w:pPr>
              <w:jc w:val="center"/>
              <w:rPr>
                <w:rFonts w:ascii="Arial" w:hAnsi="Arial" w:cs="Arial"/>
              </w:rPr>
            </w:pPr>
            <w:r w:rsidRPr="002B47C9">
              <w:rPr>
                <w:rFonts w:ascii="Arial" w:hAnsi="Arial" w:cs="Arial"/>
              </w:rPr>
              <w:t>P</w:t>
            </w:r>
          </w:p>
        </w:tc>
      </w:tr>
      <w:tr w:rsidR="00E31AE0" w:rsidRPr="002B47C9" w14:paraId="6147BA45" w14:textId="77777777" w:rsidTr="0092315E">
        <w:trPr>
          <w:tblCellSpacing w:w="75" w:type="dxa"/>
        </w:trPr>
        <w:tc>
          <w:tcPr>
            <w:tcW w:w="0" w:type="auto"/>
            <w:gridSpan w:val="3"/>
            <w:tcBorders>
              <w:top w:val="single" w:sz="4" w:space="0" w:color="auto"/>
              <w:left w:val="single" w:sz="4" w:space="0" w:color="auto"/>
              <w:bottom w:val="single" w:sz="4" w:space="0" w:color="auto"/>
              <w:right w:val="single" w:sz="4" w:space="0" w:color="auto"/>
            </w:tcBorders>
            <w:vAlign w:val="center"/>
          </w:tcPr>
          <w:p w14:paraId="14F39FD7" w14:textId="77777777" w:rsidR="00E31AE0" w:rsidRPr="002B47C9" w:rsidRDefault="00220FD6" w:rsidP="0092315E">
            <w:pPr>
              <w:rPr>
                <w:rFonts w:ascii="Arial" w:hAnsi="Arial" w:cs="Arial"/>
              </w:rPr>
            </w:pPr>
            <w:r>
              <w:rPr>
                <w:rFonts w:ascii="Arial" w:hAnsi="Arial" w:cs="Arial"/>
                <w:noProof/>
              </w:rPr>
              <w:pict w14:anchorId="5B905261">
                <v:rect id="_x0000_i1025" alt="" style="width:351.45pt;height:.05pt;mso-width-percent:0;mso-height-percent:0;mso-width-percent:0;mso-height-percent:0" o:hrpct="751" o:hralign="center" o:hrstd="t" o:hr="t" fillcolor="#aca899" stroked="f"/>
              </w:pict>
            </w:r>
          </w:p>
        </w:tc>
      </w:tr>
      <w:tr w:rsidR="00E31AE0" w:rsidRPr="002B47C9" w14:paraId="023B06E9" w14:textId="77777777" w:rsidTr="0092315E">
        <w:trPr>
          <w:tblCellSpacing w:w="75" w:type="dxa"/>
        </w:trPr>
        <w:tc>
          <w:tcPr>
            <w:tcW w:w="0" w:type="auto"/>
            <w:tcBorders>
              <w:top w:val="single" w:sz="4" w:space="0" w:color="auto"/>
              <w:left w:val="single" w:sz="4" w:space="0" w:color="auto"/>
              <w:bottom w:val="single" w:sz="4" w:space="0" w:color="auto"/>
              <w:right w:val="single" w:sz="4" w:space="0" w:color="auto"/>
            </w:tcBorders>
          </w:tcPr>
          <w:p w14:paraId="17C1C7A1" w14:textId="77777777" w:rsidR="00E31AE0" w:rsidRPr="002B47C9" w:rsidRDefault="00E31AE0" w:rsidP="0092315E">
            <w:pPr>
              <w:rPr>
                <w:rFonts w:ascii="Arial" w:hAnsi="Arial" w:cs="Arial"/>
              </w:rPr>
            </w:pPr>
            <w:r>
              <w:rPr>
                <w:rFonts w:ascii="Arial" w:hAnsi="Arial" w:cs="Arial"/>
              </w:rPr>
              <w:t>Rapid Antigen Teat</w:t>
            </w:r>
          </w:p>
        </w:tc>
        <w:tc>
          <w:tcPr>
            <w:tcW w:w="0" w:type="auto"/>
            <w:tcBorders>
              <w:top w:val="single" w:sz="4" w:space="0" w:color="auto"/>
              <w:left w:val="single" w:sz="4" w:space="0" w:color="auto"/>
              <w:bottom w:val="single" w:sz="4" w:space="0" w:color="auto"/>
              <w:right w:val="single" w:sz="4" w:space="0" w:color="auto"/>
            </w:tcBorders>
          </w:tcPr>
          <w:p w14:paraId="001427CF" w14:textId="77777777" w:rsidR="00E31AE0" w:rsidRPr="002B47C9" w:rsidRDefault="00E31AE0" w:rsidP="0092315E">
            <w:pPr>
              <w:jc w:val="center"/>
              <w:rPr>
                <w:rFonts w:ascii="Arial" w:hAnsi="Arial" w:cs="Arial"/>
              </w:rPr>
            </w:pPr>
            <w:r w:rsidRPr="002B47C9">
              <w:rPr>
                <w:rFonts w:ascii="Arial" w:hAnsi="Arial" w:cs="Arial"/>
              </w:rPr>
              <w:t>3.44 (2.66–4.44)</w:t>
            </w:r>
          </w:p>
        </w:tc>
        <w:tc>
          <w:tcPr>
            <w:tcW w:w="0" w:type="auto"/>
            <w:tcBorders>
              <w:top w:val="single" w:sz="4" w:space="0" w:color="auto"/>
              <w:left w:val="single" w:sz="4" w:space="0" w:color="auto"/>
              <w:bottom w:val="single" w:sz="4" w:space="0" w:color="auto"/>
              <w:right w:val="single" w:sz="4" w:space="0" w:color="auto"/>
            </w:tcBorders>
          </w:tcPr>
          <w:p w14:paraId="2047EC25" w14:textId="77777777" w:rsidR="00E31AE0" w:rsidRPr="002B47C9" w:rsidRDefault="00E31AE0" w:rsidP="0092315E">
            <w:pPr>
              <w:jc w:val="center"/>
              <w:rPr>
                <w:rFonts w:ascii="Arial" w:hAnsi="Arial" w:cs="Arial"/>
              </w:rPr>
            </w:pPr>
            <w:r w:rsidRPr="002B47C9">
              <w:rPr>
                <w:rFonts w:ascii="Arial" w:hAnsi="Arial" w:cs="Arial"/>
              </w:rPr>
              <w:t>&lt;.001</w:t>
            </w:r>
          </w:p>
        </w:tc>
      </w:tr>
      <w:tr w:rsidR="00E31AE0" w:rsidRPr="002B47C9" w14:paraId="0889CDCC" w14:textId="77777777" w:rsidTr="0092315E">
        <w:trPr>
          <w:tblCellSpacing w:w="75" w:type="dxa"/>
        </w:trPr>
        <w:tc>
          <w:tcPr>
            <w:tcW w:w="0" w:type="auto"/>
          </w:tcPr>
          <w:p w14:paraId="2D84D3FD" w14:textId="77777777" w:rsidR="00E31AE0" w:rsidRPr="002B47C9" w:rsidRDefault="00E31AE0" w:rsidP="0092315E">
            <w:pPr>
              <w:rPr>
                <w:rFonts w:ascii="Arial" w:hAnsi="Arial" w:cs="Arial"/>
              </w:rPr>
            </w:pPr>
          </w:p>
        </w:tc>
        <w:tc>
          <w:tcPr>
            <w:tcW w:w="0" w:type="auto"/>
          </w:tcPr>
          <w:p w14:paraId="5BC5655B" w14:textId="77777777" w:rsidR="00E31AE0" w:rsidRPr="002B47C9" w:rsidRDefault="00E31AE0" w:rsidP="0092315E">
            <w:pPr>
              <w:jc w:val="center"/>
              <w:rPr>
                <w:rFonts w:ascii="Arial" w:hAnsi="Arial" w:cs="Arial"/>
              </w:rPr>
            </w:pPr>
          </w:p>
        </w:tc>
        <w:tc>
          <w:tcPr>
            <w:tcW w:w="0" w:type="auto"/>
          </w:tcPr>
          <w:p w14:paraId="3ECE39BD" w14:textId="77777777" w:rsidR="00E31AE0" w:rsidRPr="002B47C9" w:rsidRDefault="00E31AE0" w:rsidP="0092315E">
            <w:pPr>
              <w:jc w:val="center"/>
              <w:rPr>
                <w:rFonts w:ascii="Arial" w:hAnsi="Arial" w:cs="Arial"/>
              </w:rPr>
            </w:pPr>
          </w:p>
        </w:tc>
      </w:tr>
    </w:tbl>
    <w:p w14:paraId="29A8BF30" w14:textId="77777777" w:rsidR="00E31AE0" w:rsidRDefault="00E31AE0" w:rsidP="00E31AE0">
      <w:pPr>
        <w:ind w:left="1800"/>
      </w:pPr>
    </w:p>
    <w:p w14:paraId="49BB5121" w14:textId="77777777" w:rsidR="00E31AE0" w:rsidRPr="002B47C9" w:rsidRDefault="00E31AE0" w:rsidP="00E31AE0">
      <w:pPr>
        <w:pStyle w:val="NormalWeb"/>
        <w:rPr>
          <w:rFonts w:ascii="Arial" w:hAnsi="Arial" w:cs="Arial"/>
        </w:rPr>
      </w:pPr>
      <w:r w:rsidRPr="002B47C9">
        <w:rPr>
          <w:rFonts w:ascii="Arial" w:hAnsi="Arial" w:cs="Arial"/>
        </w:rPr>
        <w:t>The baseline score level was 0 to 2.</w:t>
      </w:r>
    </w:p>
    <w:p w14:paraId="3362A627" w14:textId="4A36D65B" w:rsidR="00E31AE0" w:rsidRDefault="00E31AE0" w:rsidP="00E31AE0">
      <w:pPr>
        <w:pStyle w:val="ListParagraph"/>
        <w:numPr>
          <w:ilvl w:val="0"/>
          <w:numId w:val="16"/>
        </w:numPr>
      </w:pPr>
      <w:r>
        <w:t>Explain in words what the odds ratio of 3.44 reported in this table means.[</w:t>
      </w:r>
      <w:r w:rsidR="00A31604">
        <w:t>1</w:t>
      </w:r>
      <w:r>
        <w:t>]</w:t>
      </w:r>
    </w:p>
    <w:p w14:paraId="6A8CFC1C" w14:textId="77777777" w:rsidR="00E31AE0" w:rsidRDefault="00E31AE0" w:rsidP="00E31AE0">
      <w:pPr>
        <w:ind w:left="1080" w:hanging="360"/>
      </w:pPr>
    </w:p>
    <w:p w14:paraId="01158119" w14:textId="4FFFBBAC" w:rsidR="00E31AE0" w:rsidRDefault="00E31AE0" w:rsidP="00E31AE0">
      <w:pPr>
        <w:pStyle w:val="ListParagraph"/>
        <w:numPr>
          <w:ilvl w:val="0"/>
          <w:numId w:val="17"/>
        </w:numPr>
        <w:ind w:left="2160" w:hanging="360"/>
      </w:pPr>
      <w:r>
        <w:t>T</w:t>
      </w:r>
      <w:r w:rsidRPr="006E5BFD">
        <w:t xml:space="preserve">he term "spectrum bias" is sometimes used to describe non-independence (conditional on disease status) between two tests, where one test is a clinical assessment like the </w:t>
      </w:r>
      <w:proofErr w:type="spellStart"/>
      <w:r w:rsidRPr="006E5BFD">
        <w:t>McIsaac</w:t>
      </w:r>
      <w:proofErr w:type="spellEnd"/>
      <w:r w:rsidRPr="006E5BFD">
        <w:t xml:space="preserve"> score and the other test is a laboratory test like the rapid antigen </w:t>
      </w:r>
      <w:r>
        <w:t>test</w:t>
      </w:r>
      <w:r w:rsidRPr="006E5BFD">
        <w:t>.  Do</w:t>
      </w:r>
      <w:r>
        <w:t>es the odds ratio of 3.44 show that</w:t>
      </w:r>
      <w:r w:rsidRPr="006E5BFD">
        <w:t xml:space="preserve"> </w:t>
      </w:r>
      <w:r>
        <w:t xml:space="preserve">the </w:t>
      </w:r>
      <w:proofErr w:type="spellStart"/>
      <w:r>
        <w:t>McIsaac</w:t>
      </w:r>
      <w:proofErr w:type="spellEnd"/>
      <w:r>
        <w:t xml:space="preserve"> Score and the rapid antigen test are not conditionally independent</w:t>
      </w:r>
      <w:r w:rsidRPr="006E5BFD">
        <w:t xml:space="preserve">? </w:t>
      </w:r>
      <w:r>
        <w:t>Explain your answer. [</w:t>
      </w:r>
      <w:r w:rsidR="00A31604">
        <w:t>2</w:t>
      </w:r>
      <w:r>
        <w:t>]</w:t>
      </w:r>
    </w:p>
    <w:p w14:paraId="31065F25" w14:textId="77777777" w:rsidR="00E31AE0" w:rsidRPr="00575931" w:rsidRDefault="00E31AE0" w:rsidP="00E31AE0">
      <w:pPr>
        <w:rPr>
          <w:b/>
        </w:rPr>
      </w:pPr>
    </w:p>
    <w:p w14:paraId="1B536895" w14:textId="355F5DF1" w:rsidR="00E31AE0" w:rsidRDefault="00E31AE0" w:rsidP="00E31AE0">
      <w:r>
        <w:t xml:space="preserve">d) Treat the </w:t>
      </w:r>
      <w:proofErr w:type="spellStart"/>
      <w:r>
        <w:t>McIsaac</w:t>
      </w:r>
      <w:proofErr w:type="spellEnd"/>
      <w:r>
        <w:t xml:space="preserve"> Score as a dichotomous test for strep throat with scores of 3, 4, and 5 considered “positive” and scores of 0, 1, and 2 as “negative”.  Assume that the sensitivity and the specificity this dichotomous test are 80% and 70%.  In a population with a prevalence (= pre-test probability) of strep throat of 25%, what is the probability of a “positive” </w:t>
      </w:r>
      <w:proofErr w:type="spellStart"/>
      <w:r>
        <w:t>McIsaac</w:t>
      </w:r>
      <w:proofErr w:type="spellEnd"/>
      <w:r>
        <w:t xml:space="preserve"> Score?  What is the positive predictive value of the </w:t>
      </w:r>
      <w:proofErr w:type="spellStart"/>
      <w:r>
        <w:t>McIsaac</w:t>
      </w:r>
      <w:proofErr w:type="spellEnd"/>
      <w:r>
        <w:t xml:space="preserve"> Score?  (Hint: It may help to use the 2x2 table method with 1000 total patients of whom 250 have strep.)</w:t>
      </w:r>
      <w:r w:rsidR="00A31604">
        <w:t xml:space="preserve"> [2]</w:t>
      </w:r>
    </w:p>
    <w:p w14:paraId="26A3ADA9" w14:textId="77777777" w:rsidR="00C0192F" w:rsidRDefault="00C0192F" w:rsidP="00E31AE0"/>
    <w:p w14:paraId="14F86258" w14:textId="1FB68AFC" w:rsidR="00E31AE0" w:rsidRDefault="00E31AE0" w:rsidP="00E31AE0">
      <w:r>
        <w:t xml:space="preserve">e) Assume that the sensitivity and specificity of the RADT are 60% and 90% and that they DO NOT depend on the </w:t>
      </w:r>
      <w:proofErr w:type="spellStart"/>
      <w:r>
        <w:t>McIsaac</w:t>
      </w:r>
      <w:proofErr w:type="spellEnd"/>
      <w:r>
        <w:t xml:space="preserve"> Score.  (You are assuming that </w:t>
      </w:r>
      <w:proofErr w:type="spellStart"/>
      <w:r>
        <w:t>McIsaac</w:t>
      </w:r>
      <w:proofErr w:type="spellEnd"/>
      <w:r>
        <w:t xml:space="preserve"> and RADT are independent tests for </w:t>
      </w:r>
      <w:r>
        <w:lastRenderedPageBreak/>
        <w:t>St</w:t>
      </w:r>
      <w:r w:rsidR="00A31604">
        <w:t>r</w:t>
      </w:r>
      <w:r>
        <w:t xml:space="preserve">ep.)  This means that you can assume that the 60% sensitivity applies to D+ patients with a positive </w:t>
      </w:r>
      <w:proofErr w:type="spellStart"/>
      <w:r>
        <w:t>McIsaac</w:t>
      </w:r>
      <w:proofErr w:type="spellEnd"/>
      <w:r>
        <w:t xml:space="preserve"> Score and the 90% specificity applies to D- patients with a positive </w:t>
      </w:r>
      <w:proofErr w:type="spellStart"/>
      <w:r>
        <w:t>McIsaac</w:t>
      </w:r>
      <w:proofErr w:type="spellEnd"/>
      <w:r>
        <w:t xml:space="preserve"> Score.  Take all the patients in the population above with a positive </w:t>
      </w:r>
      <w:proofErr w:type="spellStart"/>
      <w:r>
        <w:t>McIsaac</w:t>
      </w:r>
      <w:proofErr w:type="spellEnd"/>
      <w:r>
        <w:t xml:space="preserve"> Score and apply the RADT test.  What is the probability that the RADT test will be positive? (Hint: If you used the 2x2 table for Part (d), you can use the top row (Cells a &amp; b) as the totals of D+ and D- for your new 2x2 table.)</w:t>
      </w:r>
      <w:r w:rsidR="00A31604">
        <w:t xml:space="preserve"> [2]</w:t>
      </w:r>
    </w:p>
    <w:p w14:paraId="5F4906B9" w14:textId="77777777" w:rsidR="00C0192F" w:rsidRDefault="00C0192F" w:rsidP="00E31AE0"/>
    <w:p w14:paraId="55FF622A" w14:textId="7049EE54" w:rsidR="00E31AE0" w:rsidRDefault="00E31AE0" w:rsidP="00E31AE0">
      <w:r>
        <w:t xml:space="preserve">f) You can also assume that the 60% sensitivity applies to D+ patients with a </w:t>
      </w:r>
      <w:r w:rsidRPr="00E73E34">
        <w:rPr>
          <w:b/>
        </w:rPr>
        <w:t>negative</w:t>
      </w:r>
      <w:r>
        <w:t xml:space="preserve"> </w:t>
      </w:r>
      <w:proofErr w:type="spellStart"/>
      <w:r>
        <w:t>McIsaac</w:t>
      </w:r>
      <w:proofErr w:type="spellEnd"/>
      <w:r>
        <w:t xml:space="preserve"> Score and the 90% specificity applies to D- patients with a </w:t>
      </w:r>
      <w:r w:rsidRPr="00E73E34">
        <w:rPr>
          <w:b/>
        </w:rPr>
        <w:t>negative</w:t>
      </w:r>
      <w:r>
        <w:t xml:space="preserve"> </w:t>
      </w:r>
      <w:proofErr w:type="spellStart"/>
      <w:r>
        <w:t>McIsaac</w:t>
      </w:r>
      <w:proofErr w:type="spellEnd"/>
      <w:r>
        <w:t xml:space="preserve"> Score.  (Again, this means </w:t>
      </w:r>
      <w:proofErr w:type="spellStart"/>
      <w:r>
        <w:t>McIsaac</w:t>
      </w:r>
      <w:proofErr w:type="spellEnd"/>
      <w:r>
        <w:t xml:space="preserve"> and RADT are independent tests for strep.)   Take all the patients in the population above with a </w:t>
      </w:r>
      <w:r w:rsidRPr="00E73E34">
        <w:rPr>
          <w:b/>
        </w:rPr>
        <w:t>negative</w:t>
      </w:r>
      <w:r>
        <w:t xml:space="preserve"> </w:t>
      </w:r>
      <w:proofErr w:type="spellStart"/>
      <w:r>
        <w:t>McIsaac</w:t>
      </w:r>
      <w:proofErr w:type="spellEnd"/>
      <w:r>
        <w:t xml:space="preserve"> Score and apply the RADT test.  What is the probability that the RADT test is positive? (Hint: If you used the 2x2 table for Part (d), you can use the bottom row (Cells c &amp; d) as the totals of D+ and D- for your new 2x2 table.)</w:t>
      </w:r>
      <w:r w:rsidR="00A31604">
        <w:t xml:space="preserve"> [2]</w:t>
      </w:r>
    </w:p>
    <w:p w14:paraId="0CDD8511" w14:textId="74EB5D3A" w:rsidR="00E31AE0" w:rsidRDefault="00E31AE0" w:rsidP="00E31AE0">
      <w:r>
        <w:t xml:space="preserve">g) In order to get the odds ratio calculated by the authors, you have to convert your answers in (e) and (f) above to odds and take the ratio.  Do so now. </w:t>
      </w:r>
      <w:r w:rsidR="00A31604">
        <w:t>[1]</w:t>
      </w:r>
      <w:r>
        <w:t xml:space="preserve"> </w:t>
      </w:r>
    </w:p>
    <w:p w14:paraId="33DD29F6" w14:textId="77777777" w:rsidR="00C0192F" w:rsidRDefault="00C0192F" w:rsidP="00E31AE0"/>
    <w:p w14:paraId="001BBE36" w14:textId="469F94DD" w:rsidR="00E31AE0" w:rsidRDefault="00E31AE0" w:rsidP="00E31AE0">
      <w:r>
        <w:t xml:space="preserve">h) The calculations that you have done in (e), (f), and (g) assumed that the </w:t>
      </w:r>
      <w:proofErr w:type="spellStart"/>
      <w:r>
        <w:t>McIsaac</w:t>
      </w:r>
      <w:proofErr w:type="spellEnd"/>
      <w:r>
        <w:t xml:space="preserve"> Score and the RADT are conditionally independent, i.e. that you can multiply their LRs.  Answer c (ii) again.</w:t>
      </w:r>
      <w:r w:rsidR="00A31604">
        <w:t xml:space="preserve"> [0 points, but this should help you get the right answer to c (ii)</w:t>
      </w:r>
      <w:r w:rsidR="00C0192F">
        <w:t>]</w:t>
      </w:r>
    </w:p>
    <w:p w14:paraId="7A64E662" w14:textId="77777777" w:rsidR="00C66535" w:rsidRDefault="00C66535">
      <w:pPr>
        <w:rPr>
          <w:b/>
          <w:i/>
        </w:rPr>
      </w:pPr>
      <w:r>
        <w:rPr>
          <w:b/>
          <w:i/>
        </w:rPr>
        <w:br w:type="page"/>
      </w:r>
    </w:p>
    <w:p w14:paraId="0BE72E86" w14:textId="30947F60" w:rsidR="00C66535" w:rsidRPr="002C4C22" w:rsidRDefault="00C66535" w:rsidP="002C4C22">
      <w:pPr>
        <w:pStyle w:val="ListParagraph"/>
        <w:numPr>
          <w:ilvl w:val="0"/>
          <w:numId w:val="13"/>
        </w:numPr>
        <w:rPr>
          <w:b/>
        </w:rPr>
      </w:pPr>
      <w:r w:rsidRPr="002C4C22">
        <w:rPr>
          <w:b/>
        </w:rPr>
        <w:lastRenderedPageBreak/>
        <w:t>NEW Wells Score and D-Dimer for PE</w:t>
      </w:r>
      <w:r w:rsidR="002C4C22">
        <w:rPr>
          <w:b/>
        </w:rPr>
        <w:t xml:space="preserve"> (</w:t>
      </w:r>
      <w:r w:rsidR="002C4C22" w:rsidRPr="002C4C22">
        <w:rPr>
          <w:b/>
        </w:rPr>
        <w:t>Ch07.07</w:t>
      </w:r>
      <w:r w:rsidR="002C4C22">
        <w:rPr>
          <w:b/>
        </w:rPr>
        <w:t>)</w:t>
      </w:r>
      <w:r w:rsidR="002C4C22" w:rsidRPr="002C4C22">
        <w:rPr>
          <w:b/>
        </w:rPr>
        <w:t xml:space="preserve"> [10 points]</w:t>
      </w:r>
    </w:p>
    <w:p w14:paraId="299DA7CB" w14:textId="77777777" w:rsidR="00C66535" w:rsidRPr="00B8628A" w:rsidRDefault="00C66535" w:rsidP="00C66535">
      <w:r>
        <w:t>Recall from problem 3.3 that a pulmonary embolism (PE) is blood clot in the lungs.  A PE typically occurs when a blood clot that formed in a leg or pelvic vein breaks off and ends up in the lungs.  This can cause shortness of breath, chest pain, low blood pressure, and death.</w:t>
      </w:r>
    </w:p>
    <w:p w14:paraId="0DDC56CF" w14:textId="09F9DB59" w:rsidR="00C66535" w:rsidRDefault="00C66535" w:rsidP="00C66535">
      <w:r>
        <w:t>For the purposes of this problem, assume that computed tomographic pulmonary angiogram (CTPA) is a perfectly accurate test for PE, but we can’t obtain a CTPA on every emergency department (ED) patient who has a slight possibility of PE; a CTPA involves ionizing radiation, exposure to intravenous contrast, and ties up an imaging resource that may be needed by other ED patients.  Assume that the risks and harms of a CTPA outweigh the benefit of identifying a PE when the probability of PE &lt; 3% .</w:t>
      </w:r>
      <w:r>
        <w:fldChar w:fldCharType="begin"/>
      </w:r>
      <w:r w:rsidR="00C27547">
        <w:instrText xml:space="preserve"> ADDIN EN.CITE &lt;EndNote&gt;&lt;Cite&gt;&lt;Author&gt;Lessler&lt;/Author&gt;&lt;Year&gt;2010&lt;/Year&gt;&lt;RecNum&gt;1385&lt;/RecNum&gt;&lt;DisplayText&gt;(Lessler, Isserman et al. 2010)&lt;/DisplayText&gt;&lt;record&gt;&lt;rec-number&gt;1385&lt;/rec-number&gt;&lt;foreign-keys&gt;&lt;key app="EN" db-id="0ftvff9p80fp5few5s05f5fw9rd9fefrdzer" timestamp="1483897403"&gt;1385&lt;/key&gt;&lt;/foreign-keys&gt;&lt;ref-type name="Journal Article"&gt;17&lt;/ref-type&gt;&lt;contributors&gt;&lt;authors&gt;&lt;author&gt;Lessler, A. L.&lt;/author&gt;&lt;author&gt;Isserman, J. A.&lt;/author&gt;&lt;author&gt;Agarwal, R.&lt;/author&gt;&lt;author&gt;Palevsky, H. I.&lt;/author&gt;&lt;author&gt;Pines, J. M.&lt;/author&gt;&lt;/authors&gt;&lt;/contributors&gt;&lt;auth-address&gt;Department of Emergency Medicine, University of Pennsylvania School of Medicine, Philadelphia, PA, USA. lessler@mail.med.upenn.edu&lt;/auth-address&gt;&lt;titles&gt;&lt;title&gt;Testing low-risk patients for suspected pulmonary embolism: a decision analysis&lt;/title&gt;&lt;secondary-title&gt;Ann Emerg Med&lt;/secondary-title&gt;&lt;/titles&gt;&lt;periodical&gt;&lt;full-title&gt;Ann Emerg Med&lt;/full-title&gt;&lt;/periodical&gt;&lt;pages&gt;316-326 e1&lt;/pages&gt;&lt;volume&gt;55&lt;/volume&gt;&lt;number&gt;4&lt;/number&gt;&lt;keywords&gt;&lt;keyword&gt;Adult&lt;/keyword&gt;&lt;keyword&gt;Age Factors&lt;/keyword&gt;&lt;keyword&gt;Clinical Protocols&lt;/keyword&gt;&lt;keyword&gt;Decision Support Techniques&lt;/keyword&gt;&lt;keyword&gt;Decision Trees&lt;/keyword&gt;&lt;keyword&gt;Emergency Service, Hospital&lt;/keyword&gt;&lt;keyword&gt;Female&lt;/keyword&gt;&lt;keyword&gt;Humans&lt;/keyword&gt;&lt;keyword&gt;Male&lt;/keyword&gt;&lt;keyword&gt;Markov Chains&lt;/keyword&gt;&lt;keyword&gt;Middle Aged&lt;/keyword&gt;&lt;keyword&gt;Pulmonary Embolism/*diagnosis&lt;/keyword&gt;&lt;keyword&gt;Risk Assessment&lt;/keyword&gt;&lt;keyword&gt;Risk Factors&lt;/keyword&gt;&lt;keyword&gt;Sensitivity and Specificity&lt;/keyword&gt;&lt;keyword&gt;Sex Factors&lt;/keyword&gt;&lt;keyword&gt;Young Adult&lt;/keyword&gt;&lt;/keywords&gt;&lt;dates&gt;&lt;year&gt;2010&lt;/year&gt;&lt;pub-dates&gt;&lt;date&gt;Apr&lt;/date&gt;&lt;/pub-dates&gt;&lt;/dates&gt;&lt;isbn&gt;1097-6760 (Electronic)&amp;#xD;0196-0644 (Linking)&lt;/isbn&gt;&lt;accession-num&gt;20061065&lt;/accession-num&gt;&lt;urls&gt;&lt;related-urls&gt;&lt;url&gt;https://www.ncbi.nlm.nih.gov/pubmed/20061065&lt;/url&gt;&lt;/related-urls&gt;&lt;/urls&gt;&lt;electronic-resource-num&gt;10.1016/j.annemergmed.2009.12.001&lt;/electronic-resource-num&gt;&lt;/record&gt;&lt;/Cite&gt;&lt;/EndNote&gt;</w:instrText>
      </w:r>
      <w:r>
        <w:fldChar w:fldCharType="separate"/>
      </w:r>
      <w:r w:rsidR="00C27547">
        <w:rPr>
          <w:noProof/>
        </w:rPr>
        <w:t>(</w:t>
      </w:r>
      <w:proofErr w:type="spellStart"/>
      <w:r w:rsidR="00C27547">
        <w:rPr>
          <w:noProof/>
        </w:rPr>
        <w:t>Lessler</w:t>
      </w:r>
      <w:proofErr w:type="spellEnd"/>
      <w:r w:rsidR="00C27547">
        <w:rPr>
          <w:noProof/>
        </w:rPr>
        <w:t>, Isserman et al. 2010)</w:t>
      </w:r>
      <w:r>
        <w:fldChar w:fldCharType="end"/>
      </w:r>
      <w:r>
        <w:t xml:space="preserve">  We will consider two tests to help decide whether to obtain a CTPA on a patient with symptoms possibly suggestive of PE: 1) the simplified Wells Score, and 2) the plasma D-Dimer level, which we met in problem 3.3.  </w:t>
      </w:r>
    </w:p>
    <w:p w14:paraId="58FAFB2B" w14:textId="77777777" w:rsidR="00C66535" w:rsidRDefault="00C66535" w:rsidP="00C66535"/>
    <w:p w14:paraId="2F8294C3" w14:textId="2A4F8FC9" w:rsidR="00C66535" w:rsidRDefault="00C66535" w:rsidP="00C66535">
      <w:r w:rsidRPr="00580900">
        <w:t>For the purpose of this question, you only need to know that the Wells score stratif</w:t>
      </w:r>
      <w:r>
        <w:t>ies</w:t>
      </w:r>
      <w:r w:rsidRPr="00580900">
        <w:t xml:space="preserve"> patients into </w:t>
      </w:r>
      <w:r>
        <w:t>low-, moderate-, and high-risk groups.  Here are data on the prevalence of PE in 6013 patients in different Wells Score groups.</w:t>
      </w:r>
      <w:r>
        <w:fldChar w:fldCharType="begin"/>
      </w:r>
      <w:r w:rsidR="00C27547">
        <w:instrText xml:space="preserve"> ADDIN EN.CITE &lt;EndNote&gt;&lt;Cite&gt;&lt;Author&gt;Kohn&lt;/Author&gt;&lt;Year&gt;2017&lt;/Year&gt;&lt;RecNum&gt;1425&lt;/RecNum&gt;&lt;DisplayText&gt;(Kohn, Klok et al. 2017)&lt;/DisplayText&gt;&lt;record&gt;&lt;rec-number&gt;1425&lt;/rec-number&gt;&lt;foreign-keys&gt;&lt;key app="EN" db-id="0ftvff9p80fp5few5s05f5fw9rd9fefrdzer" timestamp="1506485696"&gt;1425&lt;/key&gt;&lt;/foreign-keys&gt;&lt;ref-type name="Journal Article"&gt;17&lt;/ref-type&gt;&lt;contributors&gt;&lt;authors&gt;&lt;author&gt;Kohn, M. A.&lt;/author&gt;&lt;author&gt;Klok, F. A.&lt;/author&gt;&lt;author&gt;van Es, N.&lt;/author&gt;&lt;/authors&gt;&lt;/contributors&gt;&lt;auth-address&gt;Department of Epidemiology and Biostatistics, UCSF, San Francisco, CA.&amp;#xD;Department of Emergency Medicine, Mills-Peninsula Medical Center, Burlingame, CA.&amp;#xD;Department of Medicine-Thrombosis and Hemostasis, Leiden University Medical Center, Leiden, the Netherlands.&amp;#xD;Department of Vascular Medicine, Academic Medical Center (NvE), Amsterdam, the Netherlands.&lt;/auth-address&gt;&lt;titles&gt;&lt;title&gt;D-dimer Interval Likelihood Ratios for Pulmonary Embolism&lt;/title&gt;&lt;secondary-title&gt;Acad Emerg Med&lt;/secondary-title&gt;&lt;/titles&gt;&lt;periodical&gt;&lt;full-title&gt;Acad Emerg Med&lt;/full-title&gt;&lt;/periodical&gt;&lt;pages&gt;832-837&lt;/pages&gt;&lt;volume&gt;24&lt;/volume&gt;&lt;number&gt;7&lt;/number&gt;&lt;dates&gt;&lt;year&gt;2017&lt;/year&gt;&lt;pub-dates&gt;&lt;date&gt;Jul&lt;/date&gt;&lt;/pub-dates&gt;&lt;/dates&gt;&lt;isbn&gt;1553-2712 (Electronic)&amp;#xD;1069-6563 (Linking)&lt;/isbn&gt;&lt;accession-num&gt;28370759&lt;/accession-num&gt;&lt;urls&gt;&lt;related-urls&gt;&lt;url&gt;https://www.ncbi.nlm.nih.gov/pubmed/28370759&lt;/url&gt;&lt;/related-urls&gt;&lt;/urls&gt;&lt;electronic-resource-num&gt;10.1111/acem.13191&lt;/electronic-resource-num&gt;&lt;/record&gt;&lt;/Cite&gt;&lt;/EndNote&gt;</w:instrText>
      </w:r>
      <w:r>
        <w:fldChar w:fldCharType="separate"/>
      </w:r>
      <w:r w:rsidR="00C27547">
        <w:rPr>
          <w:noProof/>
        </w:rPr>
        <w:t>(Kohn, Klok et al. 2017)</w:t>
      </w:r>
      <w:r>
        <w:fldChar w:fldCharType="end"/>
      </w:r>
    </w:p>
    <w:p w14:paraId="3F91C525" w14:textId="77777777" w:rsidR="00C66535" w:rsidRPr="00580900" w:rsidRDefault="00C66535" w:rsidP="00C66535"/>
    <w:tbl>
      <w:tblPr>
        <w:tblW w:w="7171" w:type="dxa"/>
        <w:tblLook w:val="04A0" w:firstRow="1" w:lastRow="0" w:firstColumn="1" w:lastColumn="0" w:noHBand="0" w:noVBand="1"/>
      </w:tblPr>
      <w:tblGrid>
        <w:gridCol w:w="1111"/>
        <w:gridCol w:w="1120"/>
        <w:gridCol w:w="880"/>
        <w:gridCol w:w="1100"/>
        <w:gridCol w:w="1500"/>
        <w:gridCol w:w="1460"/>
      </w:tblGrid>
      <w:tr w:rsidR="00C66535" w:rsidRPr="00530502" w14:paraId="2AD26BAD" w14:textId="77777777" w:rsidTr="0092315E">
        <w:trPr>
          <w:trHeight w:val="620"/>
        </w:trPr>
        <w:tc>
          <w:tcPr>
            <w:tcW w:w="1111" w:type="dxa"/>
            <w:tcBorders>
              <w:top w:val="single" w:sz="4" w:space="0" w:color="000000"/>
              <w:left w:val="single" w:sz="4" w:space="0" w:color="000000"/>
              <w:bottom w:val="single" w:sz="4" w:space="0" w:color="000000"/>
              <w:right w:val="single" w:sz="4" w:space="0" w:color="000000"/>
            </w:tcBorders>
            <w:shd w:val="clear" w:color="000000" w:fill="C0C0C0"/>
            <w:vAlign w:val="bottom"/>
            <w:hideMark/>
          </w:tcPr>
          <w:p w14:paraId="56450125" w14:textId="77777777" w:rsidR="00C66535" w:rsidRPr="00530502" w:rsidRDefault="00C66535" w:rsidP="0092315E">
            <w:pPr>
              <w:jc w:val="center"/>
              <w:rPr>
                <w:rFonts w:ascii="Calibri" w:hAnsi="Calibri" w:cs="Calibri"/>
                <w:color w:val="000000"/>
              </w:rPr>
            </w:pPr>
            <w:r w:rsidRPr="00530502">
              <w:rPr>
                <w:rFonts w:ascii="Calibri" w:hAnsi="Calibri" w:cs="Calibri"/>
                <w:color w:val="000000"/>
              </w:rPr>
              <w:t>Wells Risk Group</w:t>
            </w:r>
          </w:p>
        </w:tc>
        <w:tc>
          <w:tcPr>
            <w:tcW w:w="1120" w:type="dxa"/>
            <w:tcBorders>
              <w:top w:val="single" w:sz="4" w:space="0" w:color="000000"/>
              <w:left w:val="nil"/>
              <w:bottom w:val="single" w:sz="4" w:space="0" w:color="000000"/>
              <w:right w:val="single" w:sz="4" w:space="0" w:color="000000"/>
            </w:tcBorders>
            <w:shd w:val="clear" w:color="000000" w:fill="C0C0C0"/>
            <w:vAlign w:val="bottom"/>
            <w:hideMark/>
          </w:tcPr>
          <w:p w14:paraId="3049C714" w14:textId="77777777" w:rsidR="00C66535" w:rsidRPr="00530502" w:rsidRDefault="00C66535" w:rsidP="0092315E">
            <w:pPr>
              <w:jc w:val="center"/>
              <w:rPr>
                <w:rFonts w:ascii="Calibri" w:hAnsi="Calibri" w:cs="Calibri"/>
                <w:color w:val="000000"/>
              </w:rPr>
            </w:pPr>
            <w:r w:rsidRPr="00530502">
              <w:rPr>
                <w:rFonts w:ascii="Calibri" w:hAnsi="Calibri" w:cs="Calibri"/>
                <w:color w:val="000000"/>
              </w:rPr>
              <w:t>Wells</w:t>
            </w:r>
            <w:r>
              <w:rPr>
                <w:rFonts w:ascii="Calibri" w:hAnsi="Calibri" w:cs="Calibri"/>
                <w:color w:val="000000"/>
              </w:rPr>
              <w:t xml:space="preserve"> score</w:t>
            </w:r>
            <w:r w:rsidRPr="00530502">
              <w:rPr>
                <w:rFonts w:ascii="Calibri" w:hAnsi="Calibri" w:cs="Calibri"/>
                <w:color w:val="000000"/>
              </w:rPr>
              <w:t xml:space="preserve"> Range</w:t>
            </w:r>
          </w:p>
        </w:tc>
        <w:tc>
          <w:tcPr>
            <w:tcW w:w="880" w:type="dxa"/>
            <w:tcBorders>
              <w:top w:val="single" w:sz="4" w:space="0" w:color="000000"/>
              <w:left w:val="nil"/>
              <w:bottom w:val="single" w:sz="4" w:space="0" w:color="000000"/>
              <w:right w:val="single" w:sz="4" w:space="0" w:color="000000"/>
            </w:tcBorders>
            <w:shd w:val="clear" w:color="000000" w:fill="C0C0C0"/>
            <w:noWrap/>
            <w:vAlign w:val="bottom"/>
            <w:hideMark/>
          </w:tcPr>
          <w:p w14:paraId="19670D8E" w14:textId="77777777" w:rsidR="00C66535" w:rsidRPr="00530502" w:rsidRDefault="00C66535" w:rsidP="0092315E">
            <w:pPr>
              <w:jc w:val="center"/>
              <w:rPr>
                <w:rFonts w:ascii="Calibri" w:hAnsi="Calibri" w:cs="Calibri"/>
                <w:color w:val="000000"/>
              </w:rPr>
            </w:pPr>
            <w:r w:rsidRPr="00530502">
              <w:rPr>
                <w:rFonts w:ascii="Calibri" w:hAnsi="Calibri" w:cs="Calibri"/>
                <w:color w:val="000000"/>
              </w:rPr>
              <w:t>PE+</w:t>
            </w:r>
          </w:p>
        </w:tc>
        <w:tc>
          <w:tcPr>
            <w:tcW w:w="1100" w:type="dxa"/>
            <w:tcBorders>
              <w:top w:val="single" w:sz="4" w:space="0" w:color="000000"/>
              <w:left w:val="nil"/>
              <w:bottom w:val="single" w:sz="4" w:space="0" w:color="000000"/>
              <w:right w:val="single" w:sz="4" w:space="0" w:color="000000"/>
            </w:tcBorders>
            <w:shd w:val="clear" w:color="000000" w:fill="C0C0C0"/>
            <w:noWrap/>
            <w:vAlign w:val="bottom"/>
            <w:hideMark/>
          </w:tcPr>
          <w:p w14:paraId="217FB869" w14:textId="77777777" w:rsidR="00C66535" w:rsidRPr="00530502" w:rsidRDefault="00C66535" w:rsidP="0092315E">
            <w:pPr>
              <w:jc w:val="center"/>
              <w:rPr>
                <w:rFonts w:ascii="Calibri" w:hAnsi="Calibri" w:cs="Calibri"/>
                <w:color w:val="000000"/>
              </w:rPr>
            </w:pPr>
            <w:r w:rsidRPr="00530502">
              <w:rPr>
                <w:rFonts w:ascii="Calibri" w:hAnsi="Calibri" w:cs="Calibri"/>
                <w:color w:val="000000"/>
              </w:rPr>
              <w:t>PE-</w:t>
            </w:r>
          </w:p>
        </w:tc>
        <w:tc>
          <w:tcPr>
            <w:tcW w:w="1500" w:type="dxa"/>
            <w:tcBorders>
              <w:top w:val="single" w:sz="4" w:space="0" w:color="000000"/>
              <w:left w:val="nil"/>
              <w:bottom w:val="single" w:sz="4" w:space="0" w:color="000000"/>
              <w:right w:val="single" w:sz="4" w:space="0" w:color="000000"/>
            </w:tcBorders>
            <w:shd w:val="clear" w:color="000000" w:fill="C0C0C0"/>
            <w:noWrap/>
            <w:vAlign w:val="bottom"/>
            <w:hideMark/>
          </w:tcPr>
          <w:p w14:paraId="3BD253FC" w14:textId="77777777" w:rsidR="00C66535" w:rsidRPr="00530502" w:rsidRDefault="00C66535" w:rsidP="0092315E">
            <w:pPr>
              <w:jc w:val="center"/>
              <w:rPr>
                <w:rFonts w:ascii="Calibri" w:hAnsi="Calibri" w:cs="Calibri"/>
                <w:color w:val="000000"/>
              </w:rPr>
            </w:pPr>
            <w:r w:rsidRPr="00530502">
              <w:rPr>
                <w:rFonts w:ascii="Calibri" w:hAnsi="Calibri" w:cs="Calibri"/>
                <w:color w:val="000000"/>
              </w:rPr>
              <w:t>Total</w:t>
            </w:r>
          </w:p>
        </w:tc>
        <w:tc>
          <w:tcPr>
            <w:tcW w:w="1460" w:type="dxa"/>
            <w:tcBorders>
              <w:top w:val="single" w:sz="4" w:space="0" w:color="000000"/>
              <w:left w:val="nil"/>
              <w:bottom w:val="single" w:sz="4" w:space="0" w:color="000000"/>
              <w:right w:val="single" w:sz="4" w:space="0" w:color="000000"/>
            </w:tcBorders>
            <w:shd w:val="clear" w:color="000000" w:fill="C0C0C0"/>
            <w:noWrap/>
            <w:vAlign w:val="bottom"/>
            <w:hideMark/>
          </w:tcPr>
          <w:p w14:paraId="0EECBB19" w14:textId="77777777" w:rsidR="00C66535" w:rsidRPr="00530502" w:rsidRDefault="00C66535" w:rsidP="0092315E">
            <w:pPr>
              <w:jc w:val="center"/>
              <w:rPr>
                <w:rFonts w:ascii="Calibri" w:hAnsi="Calibri" w:cs="Calibri"/>
                <w:color w:val="000000"/>
              </w:rPr>
            </w:pPr>
            <w:r w:rsidRPr="00530502">
              <w:rPr>
                <w:rFonts w:ascii="Calibri" w:hAnsi="Calibri" w:cs="Calibri"/>
                <w:color w:val="000000"/>
              </w:rPr>
              <w:t>P(</w:t>
            </w:r>
            <w:proofErr w:type="spellStart"/>
            <w:r w:rsidRPr="00530502">
              <w:rPr>
                <w:rFonts w:ascii="Calibri" w:hAnsi="Calibri" w:cs="Calibri"/>
                <w:color w:val="000000"/>
              </w:rPr>
              <w:t>PE|r</w:t>
            </w:r>
            <w:proofErr w:type="spellEnd"/>
            <w:r w:rsidRPr="00530502">
              <w:rPr>
                <w:rFonts w:ascii="Calibri" w:hAnsi="Calibri" w:cs="Calibri"/>
                <w:color w:val="000000"/>
              </w:rPr>
              <w:t>)</w:t>
            </w:r>
          </w:p>
        </w:tc>
      </w:tr>
      <w:tr w:rsidR="00C66535" w:rsidRPr="00530502" w14:paraId="4B827C30" w14:textId="77777777" w:rsidTr="0092315E">
        <w:trPr>
          <w:trHeight w:val="320"/>
        </w:trPr>
        <w:tc>
          <w:tcPr>
            <w:tcW w:w="1111" w:type="dxa"/>
            <w:tcBorders>
              <w:top w:val="nil"/>
              <w:left w:val="nil"/>
              <w:bottom w:val="nil"/>
              <w:right w:val="nil"/>
            </w:tcBorders>
            <w:shd w:val="clear" w:color="auto" w:fill="auto"/>
            <w:noWrap/>
            <w:vAlign w:val="bottom"/>
            <w:hideMark/>
          </w:tcPr>
          <w:p w14:paraId="65798B29" w14:textId="77777777" w:rsidR="00C66535" w:rsidRPr="00530502" w:rsidRDefault="00C66535" w:rsidP="0092315E">
            <w:pPr>
              <w:rPr>
                <w:rFonts w:ascii="Calibri" w:hAnsi="Calibri" w:cs="Calibri"/>
                <w:color w:val="000000"/>
              </w:rPr>
            </w:pPr>
            <w:r w:rsidRPr="00530502">
              <w:rPr>
                <w:rFonts w:ascii="Calibri" w:hAnsi="Calibri" w:cs="Calibri"/>
                <w:color w:val="000000"/>
              </w:rPr>
              <w:t>Low</w:t>
            </w:r>
          </w:p>
        </w:tc>
        <w:tc>
          <w:tcPr>
            <w:tcW w:w="1120" w:type="dxa"/>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02DC9065" w14:textId="77777777" w:rsidR="00C66535" w:rsidRPr="00530502" w:rsidRDefault="00C66535" w:rsidP="0092315E">
            <w:pPr>
              <w:jc w:val="center"/>
              <w:rPr>
                <w:rFonts w:ascii="Calibri" w:hAnsi="Calibri" w:cs="Calibri"/>
                <w:color w:val="000000"/>
              </w:rPr>
            </w:pPr>
            <w:r w:rsidRPr="00530502">
              <w:rPr>
                <w:rFonts w:ascii="Calibri" w:hAnsi="Calibri" w:cs="Calibri"/>
                <w:color w:val="000000"/>
              </w:rPr>
              <w:t>&lt; 2</w:t>
            </w:r>
          </w:p>
        </w:tc>
        <w:tc>
          <w:tcPr>
            <w:tcW w:w="880" w:type="dxa"/>
            <w:tcBorders>
              <w:top w:val="single" w:sz="4" w:space="0" w:color="C0C0C0"/>
              <w:left w:val="nil"/>
              <w:bottom w:val="single" w:sz="4" w:space="0" w:color="C0C0C0"/>
              <w:right w:val="single" w:sz="4" w:space="0" w:color="C0C0C0"/>
            </w:tcBorders>
            <w:shd w:val="clear" w:color="auto" w:fill="auto"/>
            <w:vAlign w:val="bottom"/>
            <w:hideMark/>
          </w:tcPr>
          <w:p w14:paraId="629C26C4" w14:textId="77777777" w:rsidR="00C66535" w:rsidRPr="00530502" w:rsidRDefault="00C66535" w:rsidP="0092315E">
            <w:pPr>
              <w:jc w:val="right"/>
              <w:rPr>
                <w:rFonts w:ascii="Calibri" w:hAnsi="Calibri" w:cs="Calibri"/>
                <w:color w:val="000000"/>
              </w:rPr>
            </w:pPr>
            <w:r w:rsidRPr="00530502">
              <w:rPr>
                <w:rFonts w:ascii="Calibri" w:hAnsi="Calibri" w:cs="Calibri"/>
                <w:color w:val="000000"/>
              </w:rPr>
              <w:t>229</w:t>
            </w:r>
          </w:p>
        </w:tc>
        <w:tc>
          <w:tcPr>
            <w:tcW w:w="1100" w:type="dxa"/>
            <w:tcBorders>
              <w:top w:val="single" w:sz="4" w:space="0" w:color="C0C0C0"/>
              <w:left w:val="nil"/>
              <w:bottom w:val="single" w:sz="4" w:space="0" w:color="C0C0C0"/>
              <w:right w:val="single" w:sz="4" w:space="0" w:color="C0C0C0"/>
            </w:tcBorders>
            <w:shd w:val="clear" w:color="auto" w:fill="auto"/>
            <w:vAlign w:val="bottom"/>
            <w:hideMark/>
          </w:tcPr>
          <w:p w14:paraId="1B881043" w14:textId="77777777" w:rsidR="00C66535" w:rsidRPr="00530502" w:rsidRDefault="00C66535" w:rsidP="0092315E">
            <w:pPr>
              <w:jc w:val="right"/>
              <w:rPr>
                <w:rFonts w:ascii="Calibri" w:hAnsi="Calibri" w:cs="Calibri"/>
                <w:color w:val="000000"/>
              </w:rPr>
            </w:pPr>
            <w:r w:rsidRPr="00530502">
              <w:rPr>
                <w:rFonts w:ascii="Calibri" w:hAnsi="Calibri" w:cs="Calibri"/>
                <w:color w:val="000000"/>
              </w:rPr>
              <w:t>2513</w:t>
            </w:r>
          </w:p>
        </w:tc>
        <w:tc>
          <w:tcPr>
            <w:tcW w:w="1500" w:type="dxa"/>
            <w:tcBorders>
              <w:top w:val="nil"/>
              <w:left w:val="nil"/>
              <w:bottom w:val="nil"/>
              <w:right w:val="nil"/>
            </w:tcBorders>
            <w:shd w:val="clear" w:color="auto" w:fill="auto"/>
            <w:noWrap/>
            <w:vAlign w:val="bottom"/>
            <w:hideMark/>
          </w:tcPr>
          <w:p w14:paraId="4DE4A9C3" w14:textId="77777777" w:rsidR="00C66535" w:rsidRPr="00530502" w:rsidRDefault="00C66535" w:rsidP="0092315E">
            <w:pPr>
              <w:jc w:val="right"/>
              <w:rPr>
                <w:rFonts w:ascii="Calibri" w:hAnsi="Calibri" w:cs="Calibri"/>
                <w:b/>
                <w:bCs/>
                <w:color w:val="000000"/>
              </w:rPr>
            </w:pPr>
            <w:r w:rsidRPr="00530502">
              <w:rPr>
                <w:rFonts w:ascii="Calibri" w:hAnsi="Calibri" w:cs="Calibri"/>
                <w:b/>
                <w:bCs/>
                <w:color w:val="000000"/>
              </w:rPr>
              <w:t>2742</w:t>
            </w:r>
          </w:p>
        </w:tc>
        <w:tc>
          <w:tcPr>
            <w:tcW w:w="1460" w:type="dxa"/>
            <w:tcBorders>
              <w:top w:val="nil"/>
              <w:left w:val="nil"/>
              <w:bottom w:val="nil"/>
              <w:right w:val="nil"/>
            </w:tcBorders>
            <w:shd w:val="clear" w:color="auto" w:fill="auto"/>
            <w:noWrap/>
            <w:vAlign w:val="bottom"/>
            <w:hideMark/>
          </w:tcPr>
          <w:p w14:paraId="58518C5C" w14:textId="77777777" w:rsidR="00C66535" w:rsidRPr="00530502" w:rsidRDefault="00C66535" w:rsidP="0092315E">
            <w:pPr>
              <w:jc w:val="right"/>
              <w:rPr>
                <w:rFonts w:ascii="Calibri" w:hAnsi="Calibri" w:cs="Calibri"/>
                <w:color w:val="000000"/>
              </w:rPr>
            </w:pPr>
            <w:r w:rsidRPr="00530502">
              <w:rPr>
                <w:rFonts w:ascii="Calibri" w:hAnsi="Calibri" w:cs="Calibri"/>
                <w:color w:val="000000"/>
              </w:rPr>
              <w:t>8</w:t>
            </w:r>
            <w:r>
              <w:rPr>
                <w:rFonts w:ascii="Calibri" w:hAnsi="Calibri" w:cs="Calibri"/>
                <w:color w:val="000000"/>
              </w:rPr>
              <w:t>.4</w:t>
            </w:r>
            <w:r w:rsidRPr="00530502">
              <w:rPr>
                <w:rFonts w:ascii="Calibri" w:hAnsi="Calibri" w:cs="Calibri"/>
                <w:color w:val="000000"/>
              </w:rPr>
              <w:t>%</w:t>
            </w:r>
          </w:p>
        </w:tc>
      </w:tr>
      <w:tr w:rsidR="00C66535" w:rsidRPr="00530502" w14:paraId="27E7990E" w14:textId="77777777" w:rsidTr="0092315E">
        <w:trPr>
          <w:trHeight w:val="320"/>
        </w:trPr>
        <w:tc>
          <w:tcPr>
            <w:tcW w:w="1111" w:type="dxa"/>
            <w:tcBorders>
              <w:top w:val="nil"/>
              <w:left w:val="nil"/>
              <w:bottom w:val="nil"/>
              <w:right w:val="nil"/>
            </w:tcBorders>
            <w:shd w:val="clear" w:color="auto" w:fill="auto"/>
            <w:noWrap/>
            <w:vAlign w:val="bottom"/>
            <w:hideMark/>
          </w:tcPr>
          <w:p w14:paraId="67E32450" w14:textId="77777777" w:rsidR="00C66535" w:rsidRPr="00530502" w:rsidRDefault="00C66535" w:rsidP="0092315E">
            <w:pPr>
              <w:rPr>
                <w:rFonts w:ascii="Calibri" w:hAnsi="Calibri" w:cs="Calibri"/>
                <w:color w:val="000000"/>
              </w:rPr>
            </w:pPr>
            <w:r w:rsidRPr="00530502">
              <w:rPr>
                <w:rFonts w:ascii="Calibri" w:hAnsi="Calibri" w:cs="Calibri"/>
                <w:color w:val="000000"/>
              </w:rPr>
              <w:t>Moderate</w:t>
            </w:r>
          </w:p>
        </w:tc>
        <w:tc>
          <w:tcPr>
            <w:tcW w:w="1120" w:type="dxa"/>
            <w:tcBorders>
              <w:top w:val="nil"/>
              <w:left w:val="single" w:sz="4" w:space="0" w:color="C0C0C0"/>
              <w:bottom w:val="single" w:sz="4" w:space="0" w:color="C0C0C0"/>
              <w:right w:val="single" w:sz="4" w:space="0" w:color="C0C0C0"/>
            </w:tcBorders>
            <w:shd w:val="clear" w:color="auto" w:fill="auto"/>
            <w:vAlign w:val="bottom"/>
            <w:hideMark/>
          </w:tcPr>
          <w:p w14:paraId="0FF4F9F7" w14:textId="77777777" w:rsidR="00C66535" w:rsidRPr="00530502" w:rsidRDefault="00C66535" w:rsidP="0092315E">
            <w:pPr>
              <w:jc w:val="center"/>
              <w:rPr>
                <w:rFonts w:ascii="Calibri" w:hAnsi="Calibri" w:cs="Calibri"/>
                <w:color w:val="000000"/>
              </w:rPr>
            </w:pPr>
            <w:r w:rsidRPr="00530502">
              <w:rPr>
                <w:rFonts w:ascii="Calibri" w:hAnsi="Calibri" w:cs="Calibri"/>
                <w:color w:val="000000"/>
              </w:rPr>
              <w:t>2-5</w:t>
            </w:r>
          </w:p>
        </w:tc>
        <w:tc>
          <w:tcPr>
            <w:tcW w:w="880" w:type="dxa"/>
            <w:tcBorders>
              <w:top w:val="nil"/>
              <w:left w:val="nil"/>
              <w:bottom w:val="single" w:sz="4" w:space="0" w:color="C0C0C0"/>
              <w:right w:val="single" w:sz="4" w:space="0" w:color="C0C0C0"/>
            </w:tcBorders>
            <w:shd w:val="clear" w:color="auto" w:fill="auto"/>
            <w:vAlign w:val="bottom"/>
            <w:hideMark/>
          </w:tcPr>
          <w:p w14:paraId="44263798" w14:textId="77777777" w:rsidR="00C66535" w:rsidRPr="00530502" w:rsidRDefault="00C66535" w:rsidP="0092315E">
            <w:pPr>
              <w:jc w:val="right"/>
              <w:rPr>
                <w:rFonts w:ascii="Calibri" w:hAnsi="Calibri" w:cs="Calibri"/>
                <w:color w:val="000000"/>
              </w:rPr>
            </w:pPr>
            <w:r w:rsidRPr="00530502">
              <w:rPr>
                <w:rFonts w:ascii="Calibri" w:hAnsi="Calibri" w:cs="Calibri"/>
                <w:color w:val="000000"/>
              </w:rPr>
              <w:t>586</w:t>
            </w:r>
          </w:p>
        </w:tc>
        <w:tc>
          <w:tcPr>
            <w:tcW w:w="1100" w:type="dxa"/>
            <w:tcBorders>
              <w:top w:val="nil"/>
              <w:left w:val="nil"/>
              <w:bottom w:val="single" w:sz="4" w:space="0" w:color="C0C0C0"/>
              <w:right w:val="single" w:sz="4" w:space="0" w:color="C0C0C0"/>
            </w:tcBorders>
            <w:shd w:val="clear" w:color="auto" w:fill="auto"/>
            <w:vAlign w:val="bottom"/>
            <w:hideMark/>
          </w:tcPr>
          <w:p w14:paraId="092FAB46" w14:textId="77777777" w:rsidR="00C66535" w:rsidRPr="00530502" w:rsidRDefault="00C66535" w:rsidP="0092315E">
            <w:pPr>
              <w:jc w:val="right"/>
              <w:rPr>
                <w:rFonts w:ascii="Calibri" w:hAnsi="Calibri" w:cs="Calibri"/>
                <w:color w:val="000000"/>
              </w:rPr>
            </w:pPr>
            <w:r w:rsidRPr="00530502">
              <w:rPr>
                <w:rFonts w:ascii="Calibri" w:hAnsi="Calibri" w:cs="Calibri"/>
                <w:color w:val="000000"/>
              </w:rPr>
              <w:t>2220</w:t>
            </w:r>
          </w:p>
        </w:tc>
        <w:tc>
          <w:tcPr>
            <w:tcW w:w="1500" w:type="dxa"/>
            <w:tcBorders>
              <w:top w:val="nil"/>
              <w:left w:val="nil"/>
              <w:bottom w:val="nil"/>
              <w:right w:val="nil"/>
            </w:tcBorders>
            <w:shd w:val="clear" w:color="auto" w:fill="auto"/>
            <w:noWrap/>
            <w:vAlign w:val="bottom"/>
            <w:hideMark/>
          </w:tcPr>
          <w:p w14:paraId="04CA42DF" w14:textId="77777777" w:rsidR="00C66535" w:rsidRPr="00530502" w:rsidRDefault="00C66535" w:rsidP="0092315E">
            <w:pPr>
              <w:jc w:val="right"/>
              <w:rPr>
                <w:rFonts w:ascii="Calibri" w:hAnsi="Calibri" w:cs="Calibri"/>
                <w:b/>
                <w:bCs/>
                <w:color w:val="000000"/>
              </w:rPr>
            </w:pPr>
            <w:r w:rsidRPr="00530502">
              <w:rPr>
                <w:rFonts w:ascii="Calibri" w:hAnsi="Calibri" w:cs="Calibri"/>
                <w:b/>
                <w:bCs/>
                <w:color w:val="000000"/>
              </w:rPr>
              <w:t>2806</w:t>
            </w:r>
          </w:p>
        </w:tc>
        <w:tc>
          <w:tcPr>
            <w:tcW w:w="1460" w:type="dxa"/>
            <w:tcBorders>
              <w:top w:val="nil"/>
              <w:left w:val="nil"/>
              <w:bottom w:val="nil"/>
              <w:right w:val="nil"/>
            </w:tcBorders>
            <w:shd w:val="clear" w:color="auto" w:fill="auto"/>
            <w:noWrap/>
            <w:vAlign w:val="bottom"/>
            <w:hideMark/>
          </w:tcPr>
          <w:p w14:paraId="5E741F74" w14:textId="77777777" w:rsidR="00C66535" w:rsidRPr="00530502" w:rsidRDefault="00C66535" w:rsidP="0092315E">
            <w:pPr>
              <w:jc w:val="right"/>
              <w:rPr>
                <w:rFonts w:ascii="Calibri" w:hAnsi="Calibri" w:cs="Calibri"/>
                <w:color w:val="000000"/>
              </w:rPr>
            </w:pPr>
            <w:r w:rsidRPr="00530502">
              <w:rPr>
                <w:rFonts w:ascii="Calibri" w:hAnsi="Calibri" w:cs="Calibri"/>
                <w:color w:val="000000"/>
              </w:rPr>
              <w:t>2</w:t>
            </w:r>
            <w:r>
              <w:rPr>
                <w:rFonts w:ascii="Calibri" w:hAnsi="Calibri" w:cs="Calibri"/>
                <w:color w:val="000000"/>
              </w:rPr>
              <w:t>0.9</w:t>
            </w:r>
            <w:r w:rsidRPr="00530502">
              <w:rPr>
                <w:rFonts w:ascii="Calibri" w:hAnsi="Calibri" w:cs="Calibri"/>
                <w:color w:val="000000"/>
              </w:rPr>
              <w:t>%</w:t>
            </w:r>
          </w:p>
        </w:tc>
      </w:tr>
      <w:tr w:rsidR="00C66535" w:rsidRPr="00530502" w14:paraId="508CF59B" w14:textId="77777777" w:rsidTr="0092315E">
        <w:trPr>
          <w:trHeight w:val="320"/>
        </w:trPr>
        <w:tc>
          <w:tcPr>
            <w:tcW w:w="1111" w:type="dxa"/>
            <w:tcBorders>
              <w:top w:val="nil"/>
              <w:left w:val="nil"/>
              <w:bottom w:val="nil"/>
              <w:right w:val="nil"/>
            </w:tcBorders>
            <w:shd w:val="clear" w:color="auto" w:fill="auto"/>
            <w:noWrap/>
            <w:vAlign w:val="bottom"/>
            <w:hideMark/>
          </w:tcPr>
          <w:p w14:paraId="7AE787D9" w14:textId="77777777" w:rsidR="00C66535" w:rsidRPr="00530502" w:rsidRDefault="00C66535" w:rsidP="0092315E">
            <w:pPr>
              <w:rPr>
                <w:rFonts w:ascii="Calibri" w:hAnsi="Calibri" w:cs="Calibri"/>
                <w:color w:val="000000"/>
              </w:rPr>
            </w:pPr>
            <w:r w:rsidRPr="00530502">
              <w:rPr>
                <w:rFonts w:ascii="Calibri" w:hAnsi="Calibri" w:cs="Calibri"/>
                <w:color w:val="000000"/>
              </w:rPr>
              <w:t>High</w:t>
            </w:r>
          </w:p>
        </w:tc>
        <w:tc>
          <w:tcPr>
            <w:tcW w:w="1120" w:type="dxa"/>
            <w:tcBorders>
              <w:top w:val="nil"/>
              <w:left w:val="single" w:sz="4" w:space="0" w:color="C0C0C0"/>
              <w:bottom w:val="single" w:sz="4" w:space="0" w:color="C0C0C0"/>
              <w:right w:val="single" w:sz="4" w:space="0" w:color="C0C0C0"/>
            </w:tcBorders>
            <w:shd w:val="clear" w:color="auto" w:fill="auto"/>
            <w:vAlign w:val="bottom"/>
            <w:hideMark/>
          </w:tcPr>
          <w:p w14:paraId="1F5380E7" w14:textId="77777777" w:rsidR="00C66535" w:rsidRPr="00530502" w:rsidRDefault="00C66535" w:rsidP="0092315E">
            <w:pPr>
              <w:jc w:val="center"/>
              <w:rPr>
                <w:rFonts w:ascii="Calibri" w:hAnsi="Calibri" w:cs="Calibri"/>
                <w:color w:val="000000"/>
              </w:rPr>
            </w:pPr>
            <w:r w:rsidRPr="00530502">
              <w:rPr>
                <w:rFonts w:ascii="Calibri" w:hAnsi="Calibri" w:cs="Calibri"/>
                <w:color w:val="000000"/>
              </w:rPr>
              <w:t>&gt; 5</w:t>
            </w:r>
          </w:p>
        </w:tc>
        <w:tc>
          <w:tcPr>
            <w:tcW w:w="880" w:type="dxa"/>
            <w:tcBorders>
              <w:top w:val="nil"/>
              <w:left w:val="nil"/>
              <w:bottom w:val="single" w:sz="4" w:space="0" w:color="C0C0C0"/>
              <w:right w:val="single" w:sz="4" w:space="0" w:color="C0C0C0"/>
            </w:tcBorders>
            <w:shd w:val="clear" w:color="auto" w:fill="auto"/>
            <w:vAlign w:val="bottom"/>
            <w:hideMark/>
          </w:tcPr>
          <w:p w14:paraId="6184D523" w14:textId="77777777" w:rsidR="00C66535" w:rsidRPr="00530502" w:rsidRDefault="00C66535" w:rsidP="0092315E">
            <w:pPr>
              <w:jc w:val="right"/>
              <w:rPr>
                <w:rFonts w:ascii="Calibri" w:hAnsi="Calibri" w:cs="Calibri"/>
                <w:color w:val="000000"/>
              </w:rPr>
            </w:pPr>
            <w:r w:rsidRPr="00530502">
              <w:rPr>
                <w:rFonts w:ascii="Calibri" w:hAnsi="Calibri" w:cs="Calibri"/>
                <w:color w:val="000000"/>
              </w:rPr>
              <w:t>232</w:t>
            </w:r>
          </w:p>
        </w:tc>
        <w:tc>
          <w:tcPr>
            <w:tcW w:w="1100" w:type="dxa"/>
            <w:tcBorders>
              <w:top w:val="nil"/>
              <w:left w:val="nil"/>
              <w:bottom w:val="single" w:sz="4" w:space="0" w:color="C0C0C0"/>
              <w:right w:val="single" w:sz="4" w:space="0" w:color="C0C0C0"/>
            </w:tcBorders>
            <w:shd w:val="clear" w:color="auto" w:fill="auto"/>
            <w:vAlign w:val="bottom"/>
            <w:hideMark/>
          </w:tcPr>
          <w:p w14:paraId="3FF19AE6" w14:textId="77777777" w:rsidR="00C66535" w:rsidRPr="00530502" w:rsidRDefault="00C66535" w:rsidP="0092315E">
            <w:pPr>
              <w:jc w:val="right"/>
              <w:rPr>
                <w:rFonts w:ascii="Calibri" w:hAnsi="Calibri" w:cs="Calibri"/>
                <w:color w:val="000000"/>
              </w:rPr>
            </w:pPr>
            <w:r w:rsidRPr="00530502">
              <w:rPr>
                <w:rFonts w:ascii="Calibri" w:hAnsi="Calibri" w:cs="Calibri"/>
                <w:color w:val="000000"/>
              </w:rPr>
              <w:t>233</w:t>
            </w:r>
          </w:p>
        </w:tc>
        <w:tc>
          <w:tcPr>
            <w:tcW w:w="1500" w:type="dxa"/>
            <w:tcBorders>
              <w:top w:val="nil"/>
              <w:left w:val="nil"/>
              <w:bottom w:val="nil"/>
              <w:right w:val="nil"/>
            </w:tcBorders>
            <w:shd w:val="clear" w:color="auto" w:fill="auto"/>
            <w:noWrap/>
            <w:vAlign w:val="bottom"/>
            <w:hideMark/>
          </w:tcPr>
          <w:p w14:paraId="32D034B5" w14:textId="77777777" w:rsidR="00C66535" w:rsidRPr="00530502" w:rsidRDefault="00C66535" w:rsidP="0092315E">
            <w:pPr>
              <w:jc w:val="right"/>
              <w:rPr>
                <w:rFonts w:ascii="Calibri" w:hAnsi="Calibri" w:cs="Calibri"/>
                <w:b/>
                <w:bCs/>
                <w:color w:val="000000"/>
              </w:rPr>
            </w:pPr>
            <w:r w:rsidRPr="00530502">
              <w:rPr>
                <w:rFonts w:ascii="Calibri" w:hAnsi="Calibri" w:cs="Calibri"/>
                <w:b/>
                <w:bCs/>
                <w:color w:val="000000"/>
              </w:rPr>
              <w:t>465</w:t>
            </w:r>
          </w:p>
        </w:tc>
        <w:tc>
          <w:tcPr>
            <w:tcW w:w="1460" w:type="dxa"/>
            <w:tcBorders>
              <w:top w:val="nil"/>
              <w:left w:val="nil"/>
              <w:bottom w:val="nil"/>
              <w:right w:val="nil"/>
            </w:tcBorders>
            <w:shd w:val="clear" w:color="auto" w:fill="auto"/>
            <w:noWrap/>
            <w:vAlign w:val="bottom"/>
            <w:hideMark/>
          </w:tcPr>
          <w:p w14:paraId="7882E4B5" w14:textId="77777777" w:rsidR="00C66535" w:rsidRPr="00530502" w:rsidRDefault="00C66535" w:rsidP="0092315E">
            <w:pPr>
              <w:jc w:val="right"/>
              <w:rPr>
                <w:rFonts w:ascii="Calibri" w:hAnsi="Calibri" w:cs="Calibri"/>
                <w:color w:val="000000"/>
              </w:rPr>
            </w:pPr>
            <w:r w:rsidRPr="00530502">
              <w:rPr>
                <w:rFonts w:ascii="Calibri" w:hAnsi="Calibri" w:cs="Calibri"/>
                <w:color w:val="000000"/>
              </w:rPr>
              <w:t>49.9%</w:t>
            </w:r>
          </w:p>
        </w:tc>
      </w:tr>
      <w:tr w:rsidR="00C66535" w:rsidRPr="00530502" w14:paraId="1E02B82C" w14:textId="77777777" w:rsidTr="0092315E">
        <w:trPr>
          <w:trHeight w:val="420"/>
        </w:trPr>
        <w:tc>
          <w:tcPr>
            <w:tcW w:w="1111" w:type="dxa"/>
            <w:tcBorders>
              <w:top w:val="nil"/>
              <w:left w:val="nil"/>
              <w:bottom w:val="nil"/>
              <w:right w:val="nil"/>
            </w:tcBorders>
            <w:shd w:val="clear" w:color="auto" w:fill="auto"/>
            <w:noWrap/>
            <w:vAlign w:val="bottom"/>
            <w:hideMark/>
          </w:tcPr>
          <w:p w14:paraId="4AB70CE8" w14:textId="77777777" w:rsidR="00C66535" w:rsidRPr="00530502" w:rsidRDefault="00C66535" w:rsidP="0092315E">
            <w:pPr>
              <w:jc w:val="right"/>
              <w:rPr>
                <w:rFonts w:ascii="Calibri" w:hAnsi="Calibri" w:cs="Calibri"/>
                <w:color w:val="000000"/>
              </w:rPr>
            </w:pPr>
          </w:p>
        </w:tc>
        <w:tc>
          <w:tcPr>
            <w:tcW w:w="1120" w:type="dxa"/>
            <w:tcBorders>
              <w:top w:val="nil"/>
              <w:left w:val="nil"/>
              <w:bottom w:val="nil"/>
              <w:right w:val="nil"/>
            </w:tcBorders>
            <w:shd w:val="clear" w:color="auto" w:fill="auto"/>
            <w:noWrap/>
            <w:vAlign w:val="bottom"/>
            <w:hideMark/>
          </w:tcPr>
          <w:p w14:paraId="6B76F2B3" w14:textId="77777777" w:rsidR="00C66535" w:rsidRPr="00530502" w:rsidRDefault="00C66535" w:rsidP="0092315E">
            <w:pPr>
              <w:rPr>
                <w:sz w:val="20"/>
                <w:szCs w:val="20"/>
              </w:rPr>
            </w:pPr>
          </w:p>
        </w:tc>
        <w:tc>
          <w:tcPr>
            <w:tcW w:w="880" w:type="dxa"/>
            <w:tcBorders>
              <w:top w:val="nil"/>
              <w:left w:val="nil"/>
              <w:bottom w:val="nil"/>
              <w:right w:val="nil"/>
            </w:tcBorders>
            <w:shd w:val="clear" w:color="auto" w:fill="auto"/>
            <w:noWrap/>
            <w:vAlign w:val="bottom"/>
            <w:hideMark/>
          </w:tcPr>
          <w:p w14:paraId="4D49B5BD" w14:textId="77777777" w:rsidR="00C66535" w:rsidRPr="00530502" w:rsidRDefault="00C66535" w:rsidP="0092315E">
            <w:pPr>
              <w:jc w:val="right"/>
              <w:rPr>
                <w:rFonts w:ascii="Calibri" w:hAnsi="Calibri" w:cs="Calibri"/>
                <w:b/>
                <w:bCs/>
                <w:color w:val="000000"/>
              </w:rPr>
            </w:pPr>
            <w:r w:rsidRPr="00530502">
              <w:rPr>
                <w:rFonts w:ascii="Calibri" w:hAnsi="Calibri" w:cs="Calibri"/>
                <w:b/>
                <w:bCs/>
                <w:color w:val="000000"/>
              </w:rPr>
              <w:t>1047</w:t>
            </w:r>
          </w:p>
        </w:tc>
        <w:tc>
          <w:tcPr>
            <w:tcW w:w="1100" w:type="dxa"/>
            <w:tcBorders>
              <w:top w:val="nil"/>
              <w:left w:val="nil"/>
              <w:bottom w:val="nil"/>
              <w:right w:val="nil"/>
            </w:tcBorders>
            <w:shd w:val="clear" w:color="auto" w:fill="auto"/>
            <w:noWrap/>
            <w:vAlign w:val="bottom"/>
            <w:hideMark/>
          </w:tcPr>
          <w:p w14:paraId="1FCDDF1E" w14:textId="77777777" w:rsidR="00C66535" w:rsidRPr="00530502" w:rsidRDefault="00C66535" w:rsidP="0092315E">
            <w:pPr>
              <w:jc w:val="right"/>
              <w:rPr>
                <w:rFonts w:ascii="Calibri" w:hAnsi="Calibri" w:cs="Calibri"/>
                <w:b/>
                <w:bCs/>
                <w:color w:val="000000"/>
              </w:rPr>
            </w:pPr>
            <w:r w:rsidRPr="00530502">
              <w:rPr>
                <w:rFonts w:ascii="Calibri" w:hAnsi="Calibri" w:cs="Calibri"/>
                <w:b/>
                <w:bCs/>
                <w:color w:val="000000"/>
              </w:rPr>
              <w:t>4966</w:t>
            </w:r>
          </w:p>
        </w:tc>
        <w:tc>
          <w:tcPr>
            <w:tcW w:w="1500" w:type="dxa"/>
            <w:tcBorders>
              <w:top w:val="nil"/>
              <w:left w:val="nil"/>
              <w:bottom w:val="nil"/>
              <w:right w:val="nil"/>
            </w:tcBorders>
            <w:shd w:val="clear" w:color="auto" w:fill="auto"/>
            <w:noWrap/>
            <w:vAlign w:val="bottom"/>
            <w:hideMark/>
          </w:tcPr>
          <w:p w14:paraId="37F53201" w14:textId="77777777" w:rsidR="00C66535" w:rsidRPr="00530502" w:rsidRDefault="00C66535" w:rsidP="0092315E">
            <w:pPr>
              <w:jc w:val="right"/>
              <w:rPr>
                <w:rFonts w:ascii="Calibri" w:hAnsi="Calibri" w:cs="Calibri"/>
                <w:b/>
                <w:bCs/>
                <w:color w:val="000000"/>
              </w:rPr>
            </w:pPr>
            <w:r w:rsidRPr="00530502">
              <w:rPr>
                <w:rFonts w:ascii="Calibri" w:hAnsi="Calibri" w:cs="Calibri"/>
                <w:b/>
                <w:bCs/>
                <w:color w:val="000000"/>
              </w:rPr>
              <w:t>6013</w:t>
            </w:r>
          </w:p>
        </w:tc>
        <w:tc>
          <w:tcPr>
            <w:tcW w:w="1460" w:type="dxa"/>
            <w:tcBorders>
              <w:top w:val="nil"/>
              <w:left w:val="nil"/>
              <w:bottom w:val="nil"/>
              <w:right w:val="nil"/>
            </w:tcBorders>
            <w:shd w:val="clear" w:color="auto" w:fill="auto"/>
            <w:noWrap/>
            <w:vAlign w:val="bottom"/>
            <w:hideMark/>
          </w:tcPr>
          <w:p w14:paraId="548C1B5E" w14:textId="77777777" w:rsidR="00C66535" w:rsidRPr="00530502" w:rsidRDefault="00C66535" w:rsidP="0092315E">
            <w:pPr>
              <w:jc w:val="right"/>
              <w:rPr>
                <w:rFonts w:ascii="Calibri" w:hAnsi="Calibri" w:cs="Calibri"/>
                <w:b/>
                <w:bCs/>
                <w:color w:val="000000"/>
              </w:rPr>
            </w:pPr>
            <w:r w:rsidRPr="00530502">
              <w:rPr>
                <w:rFonts w:ascii="Calibri" w:hAnsi="Calibri" w:cs="Calibri"/>
                <w:b/>
                <w:bCs/>
                <w:color w:val="000000"/>
              </w:rPr>
              <w:t>17</w:t>
            </w:r>
            <w:r>
              <w:rPr>
                <w:rFonts w:ascii="Calibri" w:hAnsi="Calibri" w:cs="Calibri"/>
                <w:b/>
                <w:bCs/>
                <w:color w:val="000000"/>
              </w:rPr>
              <w:t>.4</w:t>
            </w:r>
            <w:r w:rsidRPr="00530502">
              <w:rPr>
                <w:rFonts w:ascii="Calibri" w:hAnsi="Calibri" w:cs="Calibri"/>
                <w:b/>
                <w:bCs/>
                <w:color w:val="000000"/>
              </w:rPr>
              <w:t>%</w:t>
            </w:r>
          </w:p>
        </w:tc>
      </w:tr>
    </w:tbl>
    <w:p w14:paraId="69602D59" w14:textId="77777777" w:rsidR="00C66535" w:rsidRDefault="00C66535" w:rsidP="00C66535"/>
    <w:p w14:paraId="29B8A678" w14:textId="77777777" w:rsidR="00C66535" w:rsidRDefault="00C66535" w:rsidP="00C66535">
      <w:r>
        <w:t>Recall D-Dimer is a protein that appears at higher levels in the blood when the body’s clotting system is activated, so higher values are more suggestive of PE.  Data from the same 6013 patients fit the interval likelihood ratios (</w:t>
      </w:r>
      <w:proofErr w:type="spellStart"/>
      <w:r>
        <w:t>iLRs</w:t>
      </w:r>
      <w:proofErr w:type="spellEnd"/>
      <w:r>
        <w:t>) in this table surprisingly well.</w:t>
      </w:r>
    </w:p>
    <w:p w14:paraId="2BD71C17" w14:textId="77777777" w:rsidR="00C66535" w:rsidRPr="00580900" w:rsidRDefault="00C66535" w:rsidP="00C66535">
      <w:pPr>
        <w:pStyle w:val="ListParagraph"/>
        <w:ind w:left="360"/>
      </w:pPr>
    </w:p>
    <w:tbl>
      <w:tblPr>
        <w:tblW w:w="2880" w:type="dxa"/>
        <w:tblLook w:val="04A0" w:firstRow="1" w:lastRow="0" w:firstColumn="1" w:lastColumn="0" w:noHBand="0" w:noVBand="1"/>
      </w:tblPr>
      <w:tblGrid>
        <w:gridCol w:w="1300"/>
        <w:gridCol w:w="1580"/>
      </w:tblGrid>
      <w:tr w:rsidR="00C66535" w:rsidRPr="008C6D49" w14:paraId="6A55F0F8" w14:textId="77777777" w:rsidTr="0092315E">
        <w:trPr>
          <w:trHeight w:val="320"/>
        </w:trPr>
        <w:tc>
          <w:tcPr>
            <w:tcW w:w="1300"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765D77AB" w14:textId="77777777" w:rsidR="00C66535" w:rsidRPr="008C6D49" w:rsidRDefault="00C66535" w:rsidP="0092315E">
            <w:pPr>
              <w:jc w:val="center"/>
              <w:rPr>
                <w:rFonts w:ascii="Calibri" w:hAnsi="Calibri" w:cs="Calibri"/>
                <w:color w:val="000000"/>
              </w:rPr>
            </w:pPr>
            <w:r w:rsidRPr="008C6D49">
              <w:rPr>
                <w:rFonts w:ascii="Calibri" w:hAnsi="Calibri" w:cs="Calibri"/>
                <w:color w:val="000000"/>
              </w:rPr>
              <w:t>D-Dimer (ng/ml)</w:t>
            </w:r>
          </w:p>
        </w:tc>
        <w:tc>
          <w:tcPr>
            <w:tcW w:w="1580" w:type="dxa"/>
            <w:tcBorders>
              <w:top w:val="nil"/>
              <w:left w:val="single" w:sz="4" w:space="0" w:color="auto"/>
              <w:bottom w:val="nil"/>
              <w:right w:val="single" w:sz="8" w:space="0" w:color="000000"/>
            </w:tcBorders>
            <w:shd w:val="clear" w:color="000000" w:fill="C0C0C0"/>
            <w:vAlign w:val="center"/>
            <w:hideMark/>
          </w:tcPr>
          <w:p w14:paraId="7AC4C8BD" w14:textId="77777777" w:rsidR="00C66535" w:rsidRPr="008C6D49" w:rsidRDefault="00C66535" w:rsidP="0092315E">
            <w:pPr>
              <w:jc w:val="center"/>
              <w:rPr>
                <w:rFonts w:ascii="Calibri" w:hAnsi="Calibri" w:cs="Calibri"/>
                <w:color w:val="000000"/>
              </w:rPr>
            </w:pPr>
            <w:r w:rsidRPr="008C6D49">
              <w:rPr>
                <w:rFonts w:ascii="Calibri" w:hAnsi="Calibri" w:cs="Calibri"/>
                <w:color w:val="000000"/>
              </w:rPr>
              <w:t> </w:t>
            </w:r>
          </w:p>
        </w:tc>
      </w:tr>
      <w:tr w:rsidR="00C66535" w:rsidRPr="008C6D49" w14:paraId="70EBD930" w14:textId="77777777" w:rsidTr="0092315E">
        <w:trPr>
          <w:trHeight w:val="660"/>
        </w:trPr>
        <w:tc>
          <w:tcPr>
            <w:tcW w:w="1300" w:type="dxa"/>
            <w:vMerge/>
            <w:tcBorders>
              <w:top w:val="single" w:sz="4" w:space="0" w:color="auto"/>
              <w:left w:val="single" w:sz="4" w:space="0" w:color="auto"/>
              <w:bottom w:val="single" w:sz="4" w:space="0" w:color="auto"/>
              <w:right w:val="single" w:sz="4" w:space="0" w:color="auto"/>
            </w:tcBorders>
            <w:vAlign w:val="center"/>
            <w:hideMark/>
          </w:tcPr>
          <w:p w14:paraId="7E0A5319" w14:textId="77777777" w:rsidR="00C66535" w:rsidRPr="008C6D49" w:rsidRDefault="00C66535" w:rsidP="0092315E">
            <w:pPr>
              <w:rPr>
                <w:rFonts w:ascii="Calibri" w:hAnsi="Calibri" w:cs="Calibri"/>
                <w:color w:val="000000"/>
              </w:rPr>
            </w:pPr>
          </w:p>
        </w:tc>
        <w:tc>
          <w:tcPr>
            <w:tcW w:w="1580" w:type="dxa"/>
            <w:tcBorders>
              <w:top w:val="nil"/>
              <w:left w:val="single" w:sz="4" w:space="0" w:color="auto"/>
              <w:bottom w:val="single" w:sz="4" w:space="0" w:color="auto"/>
              <w:right w:val="single" w:sz="8" w:space="0" w:color="auto"/>
            </w:tcBorders>
            <w:shd w:val="clear" w:color="000000" w:fill="C0C0C0"/>
            <w:vAlign w:val="center"/>
            <w:hideMark/>
          </w:tcPr>
          <w:p w14:paraId="6D22F3B2" w14:textId="77777777" w:rsidR="00C66535" w:rsidRPr="008C6D49" w:rsidRDefault="00C66535" w:rsidP="0092315E">
            <w:pPr>
              <w:jc w:val="center"/>
              <w:rPr>
                <w:rFonts w:ascii="Calibri" w:hAnsi="Calibri" w:cs="Calibri"/>
                <w:color w:val="000000"/>
              </w:rPr>
            </w:pPr>
            <w:r w:rsidRPr="008C6D49">
              <w:rPr>
                <w:rFonts w:ascii="Calibri" w:hAnsi="Calibri" w:cs="Calibri"/>
                <w:color w:val="000000"/>
              </w:rPr>
              <w:t xml:space="preserve">Approximate     </w:t>
            </w:r>
            <w:proofErr w:type="spellStart"/>
            <w:r w:rsidRPr="008C6D49">
              <w:rPr>
                <w:rFonts w:ascii="Calibri" w:hAnsi="Calibri" w:cs="Calibri"/>
                <w:color w:val="000000"/>
              </w:rPr>
              <w:t>iLR</w:t>
            </w:r>
            <w:proofErr w:type="spellEnd"/>
          </w:p>
        </w:tc>
      </w:tr>
      <w:tr w:rsidR="00C66535" w:rsidRPr="008C6D49" w14:paraId="21723084" w14:textId="77777777" w:rsidTr="0092315E">
        <w:trPr>
          <w:trHeight w:val="34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80B70" w14:textId="77777777" w:rsidR="00C66535" w:rsidRPr="008C6D49" w:rsidRDefault="00C66535" w:rsidP="0092315E">
            <w:pPr>
              <w:jc w:val="center"/>
              <w:rPr>
                <w:rFonts w:ascii="Calibri" w:hAnsi="Calibri" w:cs="Calibri"/>
                <w:color w:val="000000"/>
              </w:rPr>
            </w:pPr>
            <w:r w:rsidRPr="008C6D49">
              <w:rPr>
                <w:rFonts w:ascii="Calibri" w:hAnsi="Calibri" w:cs="Calibri"/>
                <w:color w:val="000000"/>
              </w:rPr>
              <w:lastRenderedPageBreak/>
              <w:t>&lt; 250</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B8B0D" w14:textId="77777777" w:rsidR="00C66535" w:rsidRPr="008C6D49" w:rsidRDefault="00C66535" w:rsidP="0092315E">
            <w:pPr>
              <w:jc w:val="center"/>
              <w:rPr>
                <w:rFonts w:ascii="Calibri" w:hAnsi="Calibri" w:cs="Calibri"/>
                <w:color w:val="000000"/>
              </w:rPr>
            </w:pPr>
            <w:r w:rsidRPr="008C6D49">
              <w:rPr>
                <w:rFonts w:ascii="Calibri" w:hAnsi="Calibri" w:cs="Calibri"/>
                <w:color w:val="000000"/>
              </w:rPr>
              <w:t>1/16</w:t>
            </w:r>
          </w:p>
        </w:tc>
      </w:tr>
      <w:tr w:rsidR="00C66535" w:rsidRPr="008C6D49" w14:paraId="29841C37" w14:textId="77777777" w:rsidTr="0092315E">
        <w:trPr>
          <w:trHeight w:val="34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BF3AC" w14:textId="77777777" w:rsidR="00C66535" w:rsidRPr="008C6D49" w:rsidRDefault="00C66535" w:rsidP="0092315E">
            <w:pPr>
              <w:jc w:val="center"/>
              <w:rPr>
                <w:rFonts w:ascii="Calibri" w:hAnsi="Calibri" w:cs="Calibri"/>
                <w:color w:val="000000"/>
              </w:rPr>
            </w:pPr>
            <w:r w:rsidRPr="008C6D49">
              <w:rPr>
                <w:rFonts w:ascii="Calibri" w:hAnsi="Calibri" w:cs="Calibri"/>
                <w:color w:val="000000"/>
              </w:rPr>
              <w:t>250 - 499</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FDE69" w14:textId="77777777" w:rsidR="00C66535" w:rsidRPr="008C6D49" w:rsidRDefault="00C66535" w:rsidP="0092315E">
            <w:pPr>
              <w:jc w:val="center"/>
              <w:rPr>
                <w:rFonts w:ascii="Calibri" w:hAnsi="Calibri" w:cs="Calibri"/>
                <w:color w:val="000000"/>
              </w:rPr>
            </w:pPr>
            <w:r w:rsidRPr="008C6D49">
              <w:rPr>
                <w:rFonts w:ascii="Calibri" w:hAnsi="Calibri" w:cs="Calibri"/>
                <w:color w:val="000000"/>
              </w:rPr>
              <w:t>1/8</w:t>
            </w:r>
          </w:p>
        </w:tc>
      </w:tr>
      <w:tr w:rsidR="00C66535" w:rsidRPr="008C6D49" w14:paraId="3EEE718D" w14:textId="77777777" w:rsidTr="0092315E">
        <w:trPr>
          <w:trHeight w:val="34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B3B0D" w14:textId="77777777" w:rsidR="00C66535" w:rsidRPr="008C6D49" w:rsidRDefault="00C66535" w:rsidP="0092315E">
            <w:pPr>
              <w:jc w:val="center"/>
              <w:rPr>
                <w:rFonts w:ascii="Calibri" w:hAnsi="Calibri" w:cs="Calibri"/>
                <w:color w:val="000000"/>
              </w:rPr>
            </w:pPr>
            <w:r w:rsidRPr="008C6D49">
              <w:rPr>
                <w:rFonts w:ascii="Calibri" w:hAnsi="Calibri" w:cs="Calibri"/>
                <w:color w:val="000000"/>
              </w:rPr>
              <w:t>500 - 749</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55018" w14:textId="77777777" w:rsidR="00C66535" w:rsidRPr="008C6D49" w:rsidRDefault="00C66535" w:rsidP="0092315E">
            <w:pPr>
              <w:jc w:val="center"/>
              <w:rPr>
                <w:rFonts w:ascii="Calibri" w:hAnsi="Calibri" w:cs="Calibri"/>
                <w:color w:val="000000"/>
              </w:rPr>
            </w:pPr>
            <w:r w:rsidRPr="008C6D49">
              <w:rPr>
                <w:rFonts w:ascii="Calibri" w:hAnsi="Calibri" w:cs="Calibri"/>
                <w:color w:val="000000"/>
              </w:rPr>
              <w:t>1/4</w:t>
            </w:r>
          </w:p>
        </w:tc>
      </w:tr>
      <w:tr w:rsidR="00C66535" w:rsidRPr="008C6D49" w14:paraId="4A07625D" w14:textId="77777777" w:rsidTr="0092315E">
        <w:trPr>
          <w:trHeight w:val="34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6F6FA" w14:textId="77777777" w:rsidR="00C66535" w:rsidRPr="008C6D49" w:rsidRDefault="00C66535" w:rsidP="0092315E">
            <w:pPr>
              <w:jc w:val="center"/>
              <w:rPr>
                <w:rFonts w:ascii="Calibri" w:hAnsi="Calibri" w:cs="Calibri"/>
                <w:color w:val="000000"/>
              </w:rPr>
            </w:pPr>
            <w:r w:rsidRPr="008C6D49">
              <w:rPr>
                <w:rFonts w:ascii="Calibri" w:hAnsi="Calibri" w:cs="Calibri"/>
                <w:color w:val="000000"/>
              </w:rPr>
              <w:t>750 - 999</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DBCF9" w14:textId="77777777" w:rsidR="00C66535" w:rsidRPr="008C6D49" w:rsidRDefault="00C66535" w:rsidP="0092315E">
            <w:pPr>
              <w:jc w:val="center"/>
              <w:rPr>
                <w:rFonts w:ascii="Calibri" w:hAnsi="Calibri" w:cs="Calibri"/>
                <w:color w:val="000000"/>
              </w:rPr>
            </w:pPr>
            <w:r w:rsidRPr="008C6D49">
              <w:rPr>
                <w:rFonts w:ascii="Calibri" w:hAnsi="Calibri" w:cs="Calibri"/>
                <w:color w:val="000000"/>
              </w:rPr>
              <w:t>1/2</w:t>
            </w:r>
          </w:p>
        </w:tc>
      </w:tr>
      <w:tr w:rsidR="00C66535" w:rsidRPr="008C6D49" w14:paraId="40169526" w14:textId="77777777" w:rsidTr="0092315E">
        <w:trPr>
          <w:trHeight w:val="34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575AF" w14:textId="77777777" w:rsidR="00C66535" w:rsidRPr="008C6D49" w:rsidRDefault="00C66535" w:rsidP="0092315E">
            <w:pPr>
              <w:jc w:val="center"/>
              <w:rPr>
                <w:rFonts w:ascii="Calibri" w:hAnsi="Calibri" w:cs="Calibri"/>
                <w:color w:val="000000"/>
              </w:rPr>
            </w:pPr>
            <w:r w:rsidRPr="008C6D49">
              <w:rPr>
                <w:rFonts w:ascii="Calibri" w:hAnsi="Calibri" w:cs="Calibri"/>
                <w:color w:val="000000"/>
              </w:rPr>
              <w:t>1000 - 1499</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083A2" w14:textId="77777777" w:rsidR="00C66535" w:rsidRPr="008C6D49" w:rsidRDefault="00C66535" w:rsidP="0092315E">
            <w:pPr>
              <w:jc w:val="center"/>
              <w:rPr>
                <w:rFonts w:ascii="Calibri" w:hAnsi="Calibri" w:cs="Calibri"/>
                <w:color w:val="000000"/>
              </w:rPr>
            </w:pPr>
            <w:r w:rsidRPr="008C6D49">
              <w:rPr>
                <w:rFonts w:ascii="Calibri" w:hAnsi="Calibri" w:cs="Calibri"/>
                <w:color w:val="000000"/>
              </w:rPr>
              <w:t>1</w:t>
            </w:r>
          </w:p>
        </w:tc>
      </w:tr>
      <w:tr w:rsidR="00C66535" w:rsidRPr="008C6D49" w14:paraId="1897AC96" w14:textId="77777777" w:rsidTr="0092315E">
        <w:trPr>
          <w:trHeight w:val="34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4AE98" w14:textId="77777777" w:rsidR="00C66535" w:rsidRPr="008C6D49" w:rsidRDefault="00C66535" w:rsidP="0092315E">
            <w:pPr>
              <w:jc w:val="center"/>
              <w:rPr>
                <w:rFonts w:ascii="Calibri" w:hAnsi="Calibri" w:cs="Calibri"/>
                <w:color w:val="000000"/>
              </w:rPr>
            </w:pPr>
            <w:r w:rsidRPr="008C6D49">
              <w:rPr>
                <w:rFonts w:ascii="Calibri" w:hAnsi="Calibri" w:cs="Calibri"/>
                <w:color w:val="000000"/>
              </w:rPr>
              <w:t>1500 - 2499</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AC440" w14:textId="77777777" w:rsidR="00C66535" w:rsidRPr="008C6D49" w:rsidRDefault="00C66535" w:rsidP="0092315E">
            <w:pPr>
              <w:jc w:val="center"/>
              <w:rPr>
                <w:rFonts w:ascii="Calibri" w:hAnsi="Calibri" w:cs="Calibri"/>
                <w:color w:val="000000"/>
              </w:rPr>
            </w:pPr>
            <w:r w:rsidRPr="008C6D49">
              <w:rPr>
                <w:rFonts w:ascii="Calibri" w:hAnsi="Calibri" w:cs="Calibri"/>
                <w:color w:val="000000"/>
              </w:rPr>
              <w:t>2</w:t>
            </w:r>
          </w:p>
        </w:tc>
      </w:tr>
      <w:tr w:rsidR="00C66535" w:rsidRPr="008C6D49" w14:paraId="39E1C154" w14:textId="77777777" w:rsidTr="0092315E">
        <w:trPr>
          <w:trHeight w:val="34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4A819" w14:textId="77777777" w:rsidR="00C66535" w:rsidRPr="008C6D49" w:rsidRDefault="00C66535" w:rsidP="0092315E">
            <w:pPr>
              <w:jc w:val="center"/>
              <w:rPr>
                <w:rFonts w:ascii="Calibri" w:hAnsi="Calibri" w:cs="Calibri"/>
                <w:color w:val="000000"/>
              </w:rPr>
            </w:pPr>
            <w:r w:rsidRPr="008C6D49">
              <w:rPr>
                <w:rFonts w:ascii="Calibri" w:hAnsi="Calibri" w:cs="Calibri"/>
                <w:color w:val="000000"/>
              </w:rPr>
              <w:t>2500-4999</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18400" w14:textId="77777777" w:rsidR="00C66535" w:rsidRPr="008C6D49" w:rsidRDefault="00C66535" w:rsidP="0092315E">
            <w:pPr>
              <w:jc w:val="center"/>
              <w:rPr>
                <w:rFonts w:ascii="Calibri" w:hAnsi="Calibri" w:cs="Calibri"/>
                <w:color w:val="000000"/>
              </w:rPr>
            </w:pPr>
            <w:r w:rsidRPr="008C6D49">
              <w:rPr>
                <w:rFonts w:ascii="Calibri" w:hAnsi="Calibri" w:cs="Calibri"/>
                <w:color w:val="000000"/>
              </w:rPr>
              <w:t>4</w:t>
            </w:r>
          </w:p>
        </w:tc>
      </w:tr>
      <w:tr w:rsidR="00C66535" w:rsidRPr="008C6D49" w14:paraId="75D2E6EF" w14:textId="77777777" w:rsidTr="0092315E">
        <w:trPr>
          <w:trHeight w:val="34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27860" w14:textId="77777777" w:rsidR="00C66535" w:rsidRPr="008C6D49" w:rsidRDefault="00C66535" w:rsidP="0092315E">
            <w:pPr>
              <w:jc w:val="center"/>
              <w:rPr>
                <w:rFonts w:ascii="Calibri" w:hAnsi="Calibri" w:cs="Calibri"/>
                <w:color w:val="000000"/>
              </w:rPr>
            </w:pPr>
            <w:r w:rsidRPr="008C6D49">
              <w:rPr>
                <w:rFonts w:ascii="Calibri" w:hAnsi="Calibri" w:cs="Calibri"/>
                <w:color w:val="000000"/>
              </w:rPr>
              <w:t>≥5000</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0D1F1" w14:textId="77777777" w:rsidR="00C66535" w:rsidRPr="008C6D49" w:rsidRDefault="00C66535" w:rsidP="0092315E">
            <w:pPr>
              <w:jc w:val="center"/>
              <w:rPr>
                <w:rFonts w:ascii="Calibri" w:hAnsi="Calibri" w:cs="Calibri"/>
                <w:color w:val="000000"/>
              </w:rPr>
            </w:pPr>
            <w:r w:rsidRPr="008C6D49">
              <w:rPr>
                <w:rFonts w:ascii="Calibri" w:hAnsi="Calibri" w:cs="Calibri"/>
                <w:color w:val="000000"/>
              </w:rPr>
              <w:t>8</w:t>
            </w:r>
          </w:p>
        </w:tc>
      </w:tr>
    </w:tbl>
    <w:p w14:paraId="36F25D9B" w14:textId="77777777" w:rsidR="00C66535" w:rsidRPr="00B8628A" w:rsidRDefault="00C66535" w:rsidP="00C66535"/>
    <w:p w14:paraId="0AFDC3AD" w14:textId="77777777" w:rsidR="00C66535" w:rsidRDefault="00C66535" w:rsidP="00C66535">
      <w:r>
        <w:t>Assume that the Wells Score and the D-Dimer are independent conditional on PE+/PE</w:t>
      </w:r>
      <w:r w:rsidRPr="00C23D8C">
        <w:sym w:font="Symbol" w:char="F02D"/>
      </w:r>
      <w:r>
        <w:t>.</w:t>
      </w:r>
    </w:p>
    <w:p w14:paraId="44487873" w14:textId="77777777" w:rsidR="00C66535" w:rsidRDefault="00C66535" w:rsidP="00C66535"/>
    <w:p w14:paraId="2B419AE3" w14:textId="16B567A5" w:rsidR="00C66535" w:rsidRDefault="00C66535" w:rsidP="00C66535">
      <w:pPr>
        <w:pStyle w:val="ListParagraph"/>
        <w:numPr>
          <w:ilvl w:val="0"/>
          <w:numId w:val="18"/>
        </w:numPr>
      </w:pPr>
      <w:r>
        <w:t>For patients like those in this dataset, what is the probability of PE in a patient with a low-risk Wells Score and a D-Dimer 750-999? [</w:t>
      </w:r>
      <w:r w:rsidR="002C4C22">
        <w:t>1]</w:t>
      </w:r>
    </w:p>
    <w:p w14:paraId="46CCBCFF" w14:textId="77777777" w:rsidR="00C66535" w:rsidRPr="001E624A" w:rsidRDefault="00C66535" w:rsidP="00C66535"/>
    <w:p w14:paraId="377B4C71" w14:textId="351F0DB1" w:rsidR="00C66535" w:rsidRDefault="00C66535" w:rsidP="00C66535">
      <w:pPr>
        <w:pStyle w:val="ListParagraph"/>
        <w:numPr>
          <w:ilvl w:val="0"/>
          <w:numId w:val="18"/>
        </w:numPr>
      </w:pPr>
      <w:r>
        <w:t>What if the Wells Score is still low-risk but the D-Dimer is 500-749?</w:t>
      </w:r>
      <w:r w:rsidR="002C4C22">
        <w:t xml:space="preserve"> [1]</w:t>
      </w:r>
    </w:p>
    <w:p w14:paraId="7A984E96" w14:textId="77777777" w:rsidR="00C66535" w:rsidRDefault="00C66535" w:rsidP="00C66535">
      <w:pPr>
        <w:rPr>
          <w:b/>
          <w:i/>
        </w:rPr>
      </w:pPr>
    </w:p>
    <w:p w14:paraId="400BDB56" w14:textId="78E665A6" w:rsidR="00C66535" w:rsidRDefault="00C66535" w:rsidP="00C66535">
      <w:pPr>
        <w:pStyle w:val="ListParagraph"/>
        <w:numPr>
          <w:ilvl w:val="0"/>
          <w:numId w:val="18"/>
        </w:numPr>
      </w:pPr>
      <w:r>
        <w:t>Based on (a) and (b), what is the D-Dimer threshold for getting a CTPA in a patient with a low-risk Wells Score?</w:t>
      </w:r>
      <w:r w:rsidR="002C4C22">
        <w:t xml:space="preserve"> [2]</w:t>
      </w:r>
    </w:p>
    <w:p w14:paraId="7908E96B" w14:textId="77777777" w:rsidR="00897E88" w:rsidRDefault="00897E88" w:rsidP="00897E88">
      <w:pPr>
        <w:pStyle w:val="ListParagraph"/>
      </w:pPr>
    </w:p>
    <w:p w14:paraId="39D69B19" w14:textId="77777777" w:rsidR="00897E88" w:rsidRDefault="00897E88" w:rsidP="00897E88">
      <w:pPr>
        <w:pStyle w:val="ListParagraph"/>
      </w:pPr>
    </w:p>
    <w:p w14:paraId="6EC445C2" w14:textId="11D25BD2" w:rsidR="00C66535" w:rsidRDefault="00C66535" w:rsidP="00C66535">
      <w:pPr>
        <w:pStyle w:val="ListParagraph"/>
        <w:numPr>
          <w:ilvl w:val="0"/>
          <w:numId w:val="18"/>
        </w:numPr>
      </w:pPr>
      <w:r>
        <w:t>What is the D-Dimer threshold for getting a CTPA in a patient with a moderate-risk Wells Score?</w:t>
      </w:r>
      <w:r w:rsidR="002C4C22">
        <w:t xml:space="preserve"> [2]</w:t>
      </w:r>
    </w:p>
    <w:p w14:paraId="7AB5149D" w14:textId="77777777" w:rsidR="00C66535" w:rsidRPr="001E624A" w:rsidRDefault="00C66535" w:rsidP="00C66535"/>
    <w:p w14:paraId="15A598E6" w14:textId="52C33830" w:rsidR="00C66535" w:rsidRDefault="00C66535" w:rsidP="00C66535">
      <w:pPr>
        <w:pStyle w:val="ListParagraph"/>
        <w:numPr>
          <w:ilvl w:val="0"/>
          <w:numId w:val="18"/>
        </w:numPr>
      </w:pPr>
      <w:r>
        <w:t>What is the D-Dimer threshold for getting a CTPA in patient with a high-risk Wells Score?</w:t>
      </w:r>
      <w:r w:rsidR="002C4C22">
        <w:t xml:space="preserve"> [2]</w:t>
      </w:r>
    </w:p>
    <w:p w14:paraId="0CE762E2" w14:textId="77777777" w:rsidR="00C66535" w:rsidRDefault="00C66535" w:rsidP="00C66535"/>
    <w:p w14:paraId="550FCA5A" w14:textId="22CB3443" w:rsidR="00C66535" w:rsidRDefault="00C66535" w:rsidP="00C66535">
      <w:pPr>
        <w:pStyle w:val="ListParagraph"/>
        <w:numPr>
          <w:ilvl w:val="0"/>
          <w:numId w:val="18"/>
        </w:numPr>
      </w:pPr>
      <w:r>
        <w:t>You have just derived a decision rule for obtaining a CTPA in an ED patient with symptoms suggestive of PE that uses Wells Score and D-Dimer level.  Summarize the rule in words, a table, or a tree diagram.</w:t>
      </w:r>
      <w:r w:rsidR="002C4C22">
        <w:t xml:space="preserve"> [2]</w:t>
      </w:r>
    </w:p>
    <w:p w14:paraId="7AD90221" w14:textId="77777777" w:rsidR="00897E88" w:rsidRDefault="00897E88" w:rsidP="00897E88">
      <w:pPr>
        <w:pStyle w:val="ListParagraph"/>
      </w:pPr>
    </w:p>
    <w:p w14:paraId="68A0C601" w14:textId="77777777" w:rsidR="00897E88" w:rsidRDefault="00897E88" w:rsidP="00897E88">
      <w:pPr>
        <w:pStyle w:val="ListParagraph"/>
      </w:pPr>
    </w:p>
    <w:p w14:paraId="59D2B1A4" w14:textId="77777777" w:rsidR="00C66535" w:rsidRDefault="00C66535" w:rsidP="00C66535"/>
    <w:p w14:paraId="37705BAC" w14:textId="59E51C4E" w:rsidR="00592F09" w:rsidRPr="00592F09" w:rsidRDefault="00592F09" w:rsidP="00592F09">
      <w:pPr>
        <w:pStyle w:val="ListParagraph"/>
        <w:numPr>
          <w:ilvl w:val="0"/>
          <w:numId w:val="13"/>
        </w:numPr>
        <w:rPr>
          <w:b/>
        </w:rPr>
      </w:pPr>
      <w:r w:rsidRPr="00592F09">
        <w:rPr>
          <w:b/>
        </w:rPr>
        <w:lastRenderedPageBreak/>
        <w:t>Follow on to NEW Wells Score and D-Dimer for PE</w:t>
      </w:r>
      <w:r>
        <w:rPr>
          <w:b/>
        </w:rPr>
        <w:t xml:space="preserve"> (</w:t>
      </w:r>
      <w:r w:rsidRPr="00592F09">
        <w:rPr>
          <w:b/>
        </w:rPr>
        <w:t>Ch07.67</w:t>
      </w:r>
      <w:r>
        <w:rPr>
          <w:b/>
        </w:rPr>
        <w:t>) [6 points]</w:t>
      </w:r>
    </w:p>
    <w:p w14:paraId="120E82ED" w14:textId="77777777" w:rsidR="00592F09" w:rsidRDefault="00592F09" w:rsidP="00592F09">
      <w:r>
        <w:t>If necessary, review Ch07.07 for background on pulmonary embolism (PE), the simplified Wells Score, and the plasma D-Dimer level.  A risk prediction model combines Wells Score and D-Dimer to produce the following PE risk estimates:</w:t>
      </w:r>
    </w:p>
    <w:p w14:paraId="51C16609" w14:textId="77777777" w:rsidR="00592F09" w:rsidRDefault="00592F09" w:rsidP="00592F09"/>
    <w:p w14:paraId="037439FF" w14:textId="77777777" w:rsidR="00592F09" w:rsidRPr="00086A61" w:rsidRDefault="00592F09" w:rsidP="00592F09">
      <w:pPr>
        <w:rPr>
          <w:b/>
        </w:rPr>
      </w:pPr>
      <w:r w:rsidRPr="00086A61">
        <w:rPr>
          <w:b/>
        </w:rPr>
        <w:t>Risk Predictions</w:t>
      </w:r>
    </w:p>
    <w:tbl>
      <w:tblPr>
        <w:tblW w:w="4840" w:type="dxa"/>
        <w:tblLook w:val="04A0" w:firstRow="1" w:lastRow="0" w:firstColumn="1" w:lastColumn="0" w:noHBand="0" w:noVBand="1"/>
      </w:tblPr>
      <w:tblGrid>
        <w:gridCol w:w="1340"/>
        <w:gridCol w:w="1191"/>
        <w:gridCol w:w="1235"/>
        <w:gridCol w:w="1074"/>
      </w:tblGrid>
      <w:tr w:rsidR="00592F09" w:rsidRPr="00DD2F40" w14:paraId="7B129DE2" w14:textId="77777777" w:rsidTr="0092315E">
        <w:trPr>
          <w:trHeight w:val="300"/>
        </w:trPr>
        <w:tc>
          <w:tcPr>
            <w:tcW w:w="1340" w:type="dxa"/>
            <w:tcBorders>
              <w:top w:val="nil"/>
              <w:left w:val="nil"/>
              <w:bottom w:val="nil"/>
              <w:right w:val="nil"/>
            </w:tcBorders>
            <w:shd w:val="clear" w:color="auto" w:fill="auto"/>
            <w:noWrap/>
            <w:vAlign w:val="bottom"/>
            <w:hideMark/>
          </w:tcPr>
          <w:p w14:paraId="1CE18D22" w14:textId="77777777" w:rsidR="00592F09" w:rsidRPr="00DD2F40" w:rsidRDefault="00592F09" w:rsidP="0092315E">
            <w:pPr>
              <w:rPr>
                <w:sz w:val="20"/>
                <w:szCs w:val="20"/>
              </w:rPr>
            </w:pPr>
          </w:p>
        </w:tc>
        <w:tc>
          <w:tcPr>
            <w:tcW w:w="3500" w:type="dxa"/>
            <w:gridSpan w:val="3"/>
            <w:tcBorders>
              <w:top w:val="nil"/>
              <w:left w:val="nil"/>
              <w:bottom w:val="nil"/>
              <w:right w:val="nil"/>
            </w:tcBorders>
            <w:shd w:val="clear" w:color="auto" w:fill="auto"/>
            <w:noWrap/>
            <w:vAlign w:val="bottom"/>
            <w:hideMark/>
          </w:tcPr>
          <w:p w14:paraId="13F00C40" w14:textId="77777777" w:rsidR="00592F09" w:rsidRPr="00DD2F40" w:rsidRDefault="00592F09" w:rsidP="0092315E">
            <w:pPr>
              <w:jc w:val="center"/>
              <w:rPr>
                <w:rFonts w:ascii="Calibri" w:hAnsi="Calibri" w:cs="Calibri"/>
                <w:b/>
                <w:bCs/>
                <w:color w:val="000000"/>
              </w:rPr>
            </w:pPr>
            <w:r w:rsidRPr="00DD2F40">
              <w:rPr>
                <w:rFonts w:ascii="Calibri" w:hAnsi="Calibri" w:cs="Calibri"/>
                <w:b/>
                <w:bCs/>
                <w:color w:val="000000"/>
              </w:rPr>
              <w:t>Wells Risk Group</w:t>
            </w:r>
          </w:p>
        </w:tc>
      </w:tr>
      <w:tr w:rsidR="00592F09" w:rsidRPr="00DD2F40" w14:paraId="2D5FD00F" w14:textId="77777777" w:rsidTr="0092315E">
        <w:trPr>
          <w:trHeight w:val="540"/>
        </w:trPr>
        <w:tc>
          <w:tcPr>
            <w:tcW w:w="1340" w:type="dxa"/>
            <w:tcBorders>
              <w:top w:val="nil"/>
              <w:left w:val="nil"/>
              <w:bottom w:val="nil"/>
              <w:right w:val="nil"/>
            </w:tcBorders>
            <w:shd w:val="clear" w:color="auto" w:fill="auto"/>
            <w:vAlign w:val="bottom"/>
            <w:hideMark/>
          </w:tcPr>
          <w:p w14:paraId="143FCE81" w14:textId="77777777" w:rsidR="00592F09" w:rsidRPr="00DD2F40" w:rsidRDefault="00592F09" w:rsidP="0092315E">
            <w:pPr>
              <w:jc w:val="center"/>
              <w:rPr>
                <w:rFonts w:ascii="Calibri" w:hAnsi="Calibri" w:cs="Calibri"/>
                <w:b/>
                <w:bCs/>
                <w:color w:val="000000"/>
              </w:rPr>
            </w:pPr>
            <w:r w:rsidRPr="00DD2F40">
              <w:rPr>
                <w:rFonts w:ascii="Calibri" w:hAnsi="Calibri" w:cs="Calibri"/>
                <w:b/>
                <w:bCs/>
                <w:color w:val="000000"/>
              </w:rPr>
              <w:t>D-Dimer (ng/mL)</w:t>
            </w:r>
          </w:p>
        </w:tc>
        <w:tc>
          <w:tcPr>
            <w:tcW w:w="1191" w:type="dxa"/>
            <w:tcBorders>
              <w:top w:val="nil"/>
              <w:left w:val="nil"/>
              <w:bottom w:val="nil"/>
              <w:right w:val="nil"/>
            </w:tcBorders>
            <w:shd w:val="clear" w:color="auto" w:fill="auto"/>
            <w:noWrap/>
            <w:vAlign w:val="bottom"/>
            <w:hideMark/>
          </w:tcPr>
          <w:p w14:paraId="6EE1F7D0" w14:textId="77777777" w:rsidR="00592F09" w:rsidRPr="00DD2F40" w:rsidRDefault="00592F09" w:rsidP="0092315E">
            <w:pPr>
              <w:jc w:val="center"/>
              <w:rPr>
                <w:rFonts w:ascii="Calibri" w:hAnsi="Calibri" w:cs="Calibri"/>
                <w:b/>
                <w:bCs/>
                <w:color w:val="000000"/>
              </w:rPr>
            </w:pPr>
            <w:r w:rsidRPr="00DD2F40">
              <w:rPr>
                <w:rFonts w:ascii="Calibri" w:hAnsi="Calibri" w:cs="Calibri"/>
                <w:b/>
                <w:bCs/>
                <w:color w:val="000000"/>
              </w:rPr>
              <w:t>High (&gt; 5)</w:t>
            </w:r>
          </w:p>
        </w:tc>
        <w:tc>
          <w:tcPr>
            <w:tcW w:w="1235" w:type="dxa"/>
            <w:tcBorders>
              <w:top w:val="nil"/>
              <w:left w:val="nil"/>
              <w:bottom w:val="nil"/>
              <w:right w:val="nil"/>
            </w:tcBorders>
            <w:shd w:val="clear" w:color="auto" w:fill="auto"/>
            <w:noWrap/>
            <w:vAlign w:val="bottom"/>
            <w:hideMark/>
          </w:tcPr>
          <w:p w14:paraId="6DECD54E" w14:textId="77777777" w:rsidR="00592F09" w:rsidRPr="00DD2F40" w:rsidRDefault="00592F09" w:rsidP="0092315E">
            <w:pPr>
              <w:jc w:val="center"/>
              <w:rPr>
                <w:rFonts w:ascii="Calibri" w:hAnsi="Calibri" w:cs="Calibri"/>
                <w:b/>
                <w:bCs/>
                <w:color w:val="000000"/>
              </w:rPr>
            </w:pPr>
            <w:r w:rsidRPr="00DD2F40">
              <w:rPr>
                <w:rFonts w:ascii="Calibri" w:hAnsi="Calibri" w:cs="Calibri"/>
                <w:b/>
                <w:bCs/>
                <w:color w:val="000000"/>
              </w:rPr>
              <w:t>Mod (2-5)</w:t>
            </w:r>
          </w:p>
        </w:tc>
        <w:tc>
          <w:tcPr>
            <w:tcW w:w="1074" w:type="dxa"/>
            <w:tcBorders>
              <w:top w:val="nil"/>
              <w:left w:val="nil"/>
              <w:bottom w:val="nil"/>
              <w:right w:val="nil"/>
            </w:tcBorders>
            <w:shd w:val="clear" w:color="auto" w:fill="auto"/>
            <w:noWrap/>
            <w:vAlign w:val="bottom"/>
            <w:hideMark/>
          </w:tcPr>
          <w:p w14:paraId="31BFFD29" w14:textId="77777777" w:rsidR="00592F09" w:rsidRPr="00DD2F40" w:rsidRDefault="00592F09" w:rsidP="0092315E">
            <w:pPr>
              <w:jc w:val="center"/>
              <w:rPr>
                <w:rFonts w:ascii="Calibri" w:hAnsi="Calibri" w:cs="Calibri"/>
                <w:b/>
                <w:bCs/>
                <w:color w:val="000000"/>
              </w:rPr>
            </w:pPr>
            <w:r w:rsidRPr="00DD2F40">
              <w:rPr>
                <w:rFonts w:ascii="Calibri" w:hAnsi="Calibri" w:cs="Calibri"/>
                <w:b/>
                <w:bCs/>
                <w:color w:val="000000"/>
              </w:rPr>
              <w:t>Low (&lt;2)</w:t>
            </w:r>
          </w:p>
        </w:tc>
      </w:tr>
      <w:tr w:rsidR="00592F09" w:rsidRPr="00DD2F40" w14:paraId="2CE0F79E" w14:textId="77777777" w:rsidTr="0092315E">
        <w:trPr>
          <w:trHeight w:val="320"/>
        </w:trPr>
        <w:tc>
          <w:tcPr>
            <w:tcW w:w="1340" w:type="dxa"/>
            <w:tcBorders>
              <w:top w:val="single" w:sz="4" w:space="0" w:color="C0C0C0"/>
              <w:left w:val="single" w:sz="4" w:space="0" w:color="C0C0C0"/>
              <w:bottom w:val="single" w:sz="4" w:space="0" w:color="C0C0C0"/>
              <w:right w:val="nil"/>
            </w:tcBorders>
            <w:shd w:val="clear" w:color="auto" w:fill="auto"/>
            <w:vAlign w:val="bottom"/>
            <w:hideMark/>
          </w:tcPr>
          <w:p w14:paraId="4FBD91D6" w14:textId="77777777" w:rsidR="00592F09" w:rsidRPr="00DD2F40" w:rsidRDefault="00592F09" w:rsidP="0092315E">
            <w:pPr>
              <w:jc w:val="center"/>
              <w:rPr>
                <w:rFonts w:ascii="Calibri" w:hAnsi="Calibri" w:cs="Calibri"/>
                <w:b/>
                <w:bCs/>
                <w:color w:val="000000"/>
              </w:rPr>
            </w:pPr>
            <w:r w:rsidRPr="00DD2F40">
              <w:rPr>
                <w:rFonts w:ascii="Calibri" w:hAnsi="Calibri" w:cs="Calibri"/>
                <w:b/>
                <w:bCs/>
                <w:color w:val="000000"/>
              </w:rPr>
              <w:t>1000 +</w:t>
            </w:r>
          </w:p>
        </w:tc>
        <w:tc>
          <w:tcPr>
            <w:tcW w:w="11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09609" w14:textId="77777777" w:rsidR="00592F09" w:rsidRPr="00DD2F40" w:rsidRDefault="00592F09" w:rsidP="0092315E">
            <w:pPr>
              <w:jc w:val="right"/>
              <w:rPr>
                <w:rFonts w:ascii="Calibri" w:hAnsi="Calibri" w:cs="Calibri"/>
                <w:color w:val="000000"/>
              </w:rPr>
            </w:pPr>
            <w:r w:rsidRPr="00DD2F40">
              <w:rPr>
                <w:rFonts w:ascii="Calibri" w:hAnsi="Calibri" w:cs="Calibri"/>
                <w:color w:val="000000"/>
              </w:rPr>
              <w:t>75.0%</w:t>
            </w:r>
          </w:p>
        </w:tc>
        <w:tc>
          <w:tcPr>
            <w:tcW w:w="1235" w:type="dxa"/>
            <w:tcBorders>
              <w:top w:val="single" w:sz="4" w:space="0" w:color="auto"/>
              <w:left w:val="nil"/>
              <w:bottom w:val="single" w:sz="4" w:space="0" w:color="auto"/>
              <w:right w:val="single" w:sz="4" w:space="0" w:color="auto"/>
            </w:tcBorders>
            <w:shd w:val="clear" w:color="auto" w:fill="auto"/>
            <w:noWrap/>
            <w:vAlign w:val="bottom"/>
            <w:hideMark/>
          </w:tcPr>
          <w:p w14:paraId="63D8A232" w14:textId="77777777" w:rsidR="00592F09" w:rsidRPr="00DD2F40" w:rsidRDefault="00592F09" w:rsidP="0092315E">
            <w:pPr>
              <w:jc w:val="right"/>
              <w:rPr>
                <w:rFonts w:ascii="Calibri" w:hAnsi="Calibri" w:cs="Calibri"/>
                <w:color w:val="000000"/>
              </w:rPr>
            </w:pPr>
            <w:r w:rsidRPr="00DD2F40">
              <w:rPr>
                <w:rFonts w:ascii="Calibri" w:hAnsi="Calibri" w:cs="Calibri"/>
                <w:color w:val="000000"/>
              </w:rPr>
              <w:t>40.0%</w:t>
            </w:r>
          </w:p>
        </w:tc>
        <w:tc>
          <w:tcPr>
            <w:tcW w:w="1074" w:type="dxa"/>
            <w:tcBorders>
              <w:top w:val="single" w:sz="4" w:space="0" w:color="auto"/>
              <w:left w:val="nil"/>
              <w:bottom w:val="single" w:sz="4" w:space="0" w:color="auto"/>
              <w:right w:val="single" w:sz="4" w:space="0" w:color="auto"/>
            </w:tcBorders>
            <w:shd w:val="clear" w:color="auto" w:fill="auto"/>
            <w:noWrap/>
            <w:vAlign w:val="bottom"/>
            <w:hideMark/>
          </w:tcPr>
          <w:p w14:paraId="08D34A95" w14:textId="77777777" w:rsidR="00592F09" w:rsidRPr="00DD2F40" w:rsidRDefault="00592F09" w:rsidP="0092315E">
            <w:pPr>
              <w:jc w:val="right"/>
              <w:rPr>
                <w:rFonts w:ascii="Calibri" w:hAnsi="Calibri" w:cs="Calibri"/>
                <w:color w:val="000000"/>
              </w:rPr>
            </w:pPr>
            <w:r w:rsidRPr="00DD2F40">
              <w:rPr>
                <w:rFonts w:ascii="Calibri" w:hAnsi="Calibri" w:cs="Calibri"/>
                <w:color w:val="000000"/>
              </w:rPr>
              <w:t>20.0%</w:t>
            </w:r>
          </w:p>
        </w:tc>
      </w:tr>
      <w:tr w:rsidR="00592F09" w:rsidRPr="00DD2F40" w14:paraId="1A31CCE1" w14:textId="77777777" w:rsidTr="0092315E">
        <w:trPr>
          <w:trHeight w:val="320"/>
        </w:trPr>
        <w:tc>
          <w:tcPr>
            <w:tcW w:w="1340" w:type="dxa"/>
            <w:tcBorders>
              <w:top w:val="nil"/>
              <w:left w:val="single" w:sz="4" w:space="0" w:color="C0C0C0"/>
              <w:bottom w:val="single" w:sz="4" w:space="0" w:color="C0C0C0"/>
              <w:right w:val="nil"/>
            </w:tcBorders>
            <w:shd w:val="clear" w:color="auto" w:fill="auto"/>
            <w:vAlign w:val="bottom"/>
            <w:hideMark/>
          </w:tcPr>
          <w:p w14:paraId="4D8838CC" w14:textId="77777777" w:rsidR="00592F09" w:rsidRPr="00DD2F40" w:rsidRDefault="00592F09" w:rsidP="0092315E">
            <w:pPr>
              <w:jc w:val="center"/>
              <w:rPr>
                <w:rFonts w:ascii="Calibri" w:hAnsi="Calibri" w:cs="Calibri"/>
                <w:b/>
                <w:bCs/>
                <w:color w:val="000000"/>
              </w:rPr>
            </w:pPr>
            <w:r w:rsidRPr="00DD2F40">
              <w:rPr>
                <w:rFonts w:ascii="Calibri" w:hAnsi="Calibri" w:cs="Calibri"/>
                <w:b/>
                <w:bCs/>
                <w:color w:val="000000"/>
              </w:rPr>
              <w:t>500 - 999</w:t>
            </w:r>
          </w:p>
        </w:tc>
        <w:tc>
          <w:tcPr>
            <w:tcW w:w="1191" w:type="dxa"/>
            <w:tcBorders>
              <w:top w:val="nil"/>
              <w:left w:val="single" w:sz="4" w:space="0" w:color="auto"/>
              <w:bottom w:val="single" w:sz="4" w:space="0" w:color="auto"/>
              <w:right w:val="single" w:sz="4" w:space="0" w:color="auto"/>
            </w:tcBorders>
            <w:shd w:val="clear" w:color="auto" w:fill="auto"/>
            <w:noWrap/>
            <w:vAlign w:val="bottom"/>
            <w:hideMark/>
          </w:tcPr>
          <w:p w14:paraId="7DF7C020" w14:textId="77777777" w:rsidR="00592F09" w:rsidRPr="00DD2F40" w:rsidRDefault="00592F09" w:rsidP="0092315E">
            <w:pPr>
              <w:jc w:val="right"/>
              <w:rPr>
                <w:rFonts w:ascii="Calibri" w:hAnsi="Calibri" w:cs="Calibri"/>
                <w:color w:val="000000"/>
              </w:rPr>
            </w:pPr>
            <w:r w:rsidRPr="00DD2F40">
              <w:rPr>
                <w:rFonts w:ascii="Calibri" w:hAnsi="Calibri" w:cs="Calibri"/>
                <w:color w:val="000000"/>
              </w:rPr>
              <w:t>33.3%</w:t>
            </w:r>
          </w:p>
        </w:tc>
        <w:tc>
          <w:tcPr>
            <w:tcW w:w="1235" w:type="dxa"/>
            <w:tcBorders>
              <w:top w:val="nil"/>
              <w:left w:val="nil"/>
              <w:bottom w:val="single" w:sz="4" w:space="0" w:color="auto"/>
              <w:right w:val="single" w:sz="4" w:space="0" w:color="auto"/>
            </w:tcBorders>
            <w:shd w:val="clear" w:color="auto" w:fill="auto"/>
            <w:noWrap/>
            <w:vAlign w:val="bottom"/>
            <w:hideMark/>
          </w:tcPr>
          <w:p w14:paraId="2492798C" w14:textId="77777777" w:rsidR="00592F09" w:rsidRPr="00DD2F40" w:rsidRDefault="00592F09" w:rsidP="0092315E">
            <w:pPr>
              <w:jc w:val="right"/>
              <w:rPr>
                <w:rFonts w:ascii="Calibri" w:hAnsi="Calibri" w:cs="Calibri"/>
                <w:color w:val="000000"/>
              </w:rPr>
            </w:pPr>
            <w:r w:rsidRPr="00DD2F40">
              <w:rPr>
                <w:rFonts w:ascii="Calibri" w:hAnsi="Calibri" w:cs="Calibri"/>
                <w:color w:val="000000"/>
              </w:rPr>
              <w:t>10.0%</w:t>
            </w:r>
          </w:p>
        </w:tc>
        <w:tc>
          <w:tcPr>
            <w:tcW w:w="1074" w:type="dxa"/>
            <w:tcBorders>
              <w:top w:val="nil"/>
              <w:left w:val="nil"/>
              <w:bottom w:val="single" w:sz="4" w:space="0" w:color="auto"/>
              <w:right w:val="single" w:sz="4" w:space="0" w:color="auto"/>
            </w:tcBorders>
            <w:shd w:val="clear" w:color="auto" w:fill="auto"/>
            <w:noWrap/>
            <w:vAlign w:val="bottom"/>
            <w:hideMark/>
          </w:tcPr>
          <w:p w14:paraId="224DB552" w14:textId="77777777" w:rsidR="00592F09" w:rsidRPr="00DD2F40" w:rsidRDefault="00592F09" w:rsidP="0092315E">
            <w:pPr>
              <w:jc w:val="right"/>
              <w:rPr>
                <w:rFonts w:ascii="Calibri" w:hAnsi="Calibri" w:cs="Calibri"/>
                <w:color w:val="000000"/>
              </w:rPr>
            </w:pPr>
            <w:r w:rsidRPr="00DD2F40">
              <w:rPr>
                <w:rFonts w:ascii="Calibri" w:hAnsi="Calibri" w:cs="Calibri"/>
                <w:color w:val="000000"/>
              </w:rPr>
              <w:t>4.0%</w:t>
            </w:r>
          </w:p>
        </w:tc>
      </w:tr>
      <w:tr w:rsidR="00592F09" w:rsidRPr="00DD2F40" w14:paraId="614000B6" w14:textId="77777777" w:rsidTr="0092315E">
        <w:trPr>
          <w:trHeight w:val="320"/>
        </w:trPr>
        <w:tc>
          <w:tcPr>
            <w:tcW w:w="1340" w:type="dxa"/>
            <w:tcBorders>
              <w:top w:val="nil"/>
              <w:left w:val="single" w:sz="4" w:space="0" w:color="C0C0C0"/>
              <w:bottom w:val="single" w:sz="4" w:space="0" w:color="C0C0C0"/>
              <w:right w:val="nil"/>
            </w:tcBorders>
            <w:shd w:val="clear" w:color="auto" w:fill="auto"/>
            <w:vAlign w:val="bottom"/>
            <w:hideMark/>
          </w:tcPr>
          <w:p w14:paraId="038D8F29" w14:textId="77777777" w:rsidR="00592F09" w:rsidRPr="00DD2F40" w:rsidRDefault="00592F09" w:rsidP="0092315E">
            <w:pPr>
              <w:jc w:val="center"/>
              <w:rPr>
                <w:rFonts w:ascii="Calibri" w:hAnsi="Calibri" w:cs="Calibri"/>
                <w:b/>
                <w:bCs/>
                <w:color w:val="000000"/>
              </w:rPr>
            </w:pPr>
            <w:r w:rsidRPr="00DD2F40">
              <w:rPr>
                <w:rFonts w:ascii="Calibri" w:hAnsi="Calibri" w:cs="Calibri"/>
                <w:b/>
                <w:bCs/>
                <w:color w:val="000000"/>
              </w:rPr>
              <w:t>&lt;500</w:t>
            </w:r>
          </w:p>
        </w:tc>
        <w:tc>
          <w:tcPr>
            <w:tcW w:w="1191" w:type="dxa"/>
            <w:tcBorders>
              <w:top w:val="nil"/>
              <w:left w:val="single" w:sz="4" w:space="0" w:color="auto"/>
              <w:bottom w:val="single" w:sz="4" w:space="0" w:color="auto"/>
              <w:right w:val="single" w:sz="4" w:space="0" w:color="auto"/>
            </w:tcBorders>
            <w:shd w:val="clear" w:color="auto" w:fill="auto"/>
            <w:noWrap/>
            <w:vAlign w:val="bottom"/>
            <w:hideMark/>
          </w:tcPr>
          <w:p w14:paraId="68B9CCF1" w14:textId="77777777" w:rsidR="00592F09" w:rsidRPr="00DD2F40" w:rsidRDefault="00592F09" w:rsidP="0092315E">
            <w:pPr>
              <w:jc w:val="right"/>
              <w:rPr>
                <w:rFonts w:ascii="Calibri" w:hAnsi="Calibri" w:cs="Calibri"/>
                <w:color w:val="000000"/>
              </w:rPr>
            </w:pPr>
            <w:r w:rsidRPr="00DD2F40">
              <w:rPr>
                <w:rFonts w:ascii="Calibri" w:hAnsi="Calibri" w:cs="Calibri"/>
                <w:color w:val="000000"/>
              </w:rPr>
              <w:t>5.0%</w:t>
            </w:r>
          </w:p>
        </w:tc>
        <w:tc>
          <w:tcPr>
            <w:tcW w:w="1235" w:type="dxa"/>
            <w:tcBorders>
              <w:top w:val="nil"/>
              <w:left w:val="nil"/>
              <w:bottom w:val="single" w:sz="4" w:space="0" w:color="auto"/>
              <w:right w:val="single" w:sz="4" w:space="0" w:color="auto"/>
            </w:tcBorders>
            <w:shd w:val="clear" w:color="auto" w:fill="auto"/>
            <w:noWrap/>
            <w:vAlign w:val="bottom"/>
            <w:hideMark/>
          </w:tcPr>
          <w:p w14:paraId="3AF82A78" w14:textId="77777777" w:rsidR="00592F09" w:rsidRPr="00DD2F40" w:rsidRDefault="00592F09" w:rsidP="0092315E">
            <w:pPr>
              <w:jc w:val="right"/>
              <w:rPr>
                <w:rFonts w:ascii="Calibri" w:hAnsi="Calibri" w:cs="Calibri"/>
                <w:color w:val="000000"/>
              </w:rPr>
            </w:pPr>
            <w:r w:rsidRPr="00DD2F40">
              <w:rPr>
                <w:rFonts w:ascii="Calibri" w:hAnsi="Calibri" w:cs="Calibri"/>
                <w:color w:val="000000"/>
              </w:rPr>
              <w:t>1.0%</w:t>
            </w:r>
          </w:p>
        </w:tc>
        <w:tc>
          <w:tcPr>
            <w:tcW w:w="1074" w:type="dxa"/>
            <w:tcBorders>
              <w:top w:val="nil"/>
              <w:left w:val="nil"/>
              <w:bottom w:val="single" w:sz="4" w:space="0" w:color="auto"/>
              <w:right w:val="single" w:sz="4" w:space="0" w:color="auto"/>
            </w:tcBorders>
            <w:shd w:val="clear" w:color="auto" w:fill="auto"/>
            <w:noWrap/>
            <w:vAlign w:val="bottom"/>
            <w:hideMark/>
          </w:tcPr>
          <w:p w14:paraId="5D820D2B" w14:textId="77777777" w:rsidR="00592F09" w:rsidRPr="00DD2F40" w:rsidRDefault="00592F09" w:rsidP="0092315E">
            <w:pPr>
              <w:jc w:val="right"/>
              <w:rPr>
                <w:rFonts w:ascii="Calibri" w:hAnsi="Calibri" w:cs="Calibri"/>
                <w:color w:val="000000"/>
              </w:rPr>
            </w:pPr>
            <w:r w:rsidRPr="00DD2F40">
              <w:rPr>
                <w:rFonts w:ascii="Calibri" w:hAnsi="Calibri" w:cs="Calibri"/>
                <w:color w:val="000000"/>
              </w:rPr>
              <w:t>0.4%</w:t>
            </w:r>
          </w:p>
        </w:tc>
      </w:tr>
    </w:tbl>
    <w:p w14:paraId="6F683B01" w14:textId="77777777" w:rsidR="00592F09" w:rsidRPr="00CA100E" w:rsidRDefault="00592F09" w:rsidP="00592F09">
      <w:pPr>
        <w:rPr>
          <w:b/>
        </w:rPr>
      </w:pPr>
    </w:p>
    <w:p w14:paraId="0CAC7CFE" w14:textId="77777777" w:rsidR="00592F09" w:rsidRDefault="00592F09" w:rsidP="00592F09"/>
    <w:p w14:paraId="5043D7D7" w14:textId="77777777" w:rsidR="00592F09" w:rsidRPr="00CA100E" w:rsidRDefault="00592F09" w:rsidP="00592F09">
      <w:r>
        <w:t>Data from 6016 individuals yielded the following proportion with PE:</w:t>
      </w:r>
    </w:p>
    <w:p w14:paraId="55BC3C74" w14:textId="77777777" w:rsidR="00592F09" w:rsidRDefault="00592F09" w:rsidP="00592F09">
      <w:pPr>
        <w:rPr>
          <w:b/>
        </w:rPr>
      </w:pPr>
    </w:p>
    <w:p w14:paraId="316816D1" w14:textId="77777777" w:rsidR="00592F09" w:rsidRPr="00CA100E" w:rsidRDefault="00592F09" w:rsidP="00592F09">
      <w:pPr>
        <w:rPr>
          <w:b/>
        </w:rPr>
      </w:pPr>
      <w:r w:rsidRPr="00CA100E">
        <w:rPr>
          <w:b/>
        </w:rPr>
        <w:t>Observed Proportions with PE</w:t>
      </w:r>
    </w:p>
    <w:tbl>
      <w:tblPr>
        <w:tblW w:w="8500" w:type="dxa"/>
        <w:tblLook w:val="04A0" w:firstRow="1" w:lastRow="0" w:firstColumn="1" w:lastColumn="0" w:noHBand="0" w:noVBand="1"/>
      </w:tblPr>
      <w:tblGrid>
        <w:gridCol w:w="1440"/>
        <w:gridCol w:w="2298"/>
        <w:gridCol w:w="2464"/>
        <w:gridCol w:w="2298"/>
      </w:tblGrid>
      <w:tr w:rsidR="00592F09" w:rsidRPr="00086A61" w14:paraId="785883A6" w14:textId="77777777" w:rsidTr="0092315E">
        <w:trPr>
          <w:trHeight w:val="320"/>
        </w:trPr>
        <w:tc>
          <w:tcPr>
            <w:tcW w:w="1440" w:type="dxa"/>
            <w:tcBorders>
              <w:top w:val="nil"/>
              <w:left w:val="nil"/>
              <w:bottom w:val="nil"/>
              <w:right w:val="nil"/>
            </w:tcBorders>
            <w:shd w:val="clear" w:color="auto" w:fill="auto"/>
            <w:noWrap/>
            <w:vAlign w:val="bottom"/>
            <w:hideMark/>
          </w:tcPr>
          <w:p w14:paraId="01402041" w14:textId="77777777" w:rsidR="00592F09" w:rsidRPr="00086A61" w:rsidRDefault="00592F09" w:rsidP="0092315E">
            <w:pPr>
              <w:rPr>
                <w:sz w:val="20"/>
                <w:szCs w:val="20"/>
              </w:rPr>
            </w:pPr>
          </w:p>
        </w:tc>
        <w:tc>
          <w:tcPr>
            <w:tcW w:w="7060" w:type="dxa"/>
            <w:gridSpan w:val="3"/>
            <w:tcBorders>
              <w:top w:val="nil"/>
              <w:left w:val="nil"/>
              <w:bottom w:val="nil"/>
              <w:right w:val="nil"/>
            </w:tcBorders>
            <w:shd w:val="clear" w:color="auto" w:fill="auto"/>
            <w:noWrap/>
            <w:vAlign w:val="bottom"/>
            <w:hideMark/>
          </w:tcPr>
          <w:p w14:paraId="1422064D" w14:textId="77777777" w:rsidR="00592F09" w:rsidRPr="00086A61" w:rsidRDefault="00592F09" w:rsidP="0092315E">
            <w:pPr>
              <w:jc w:val="center"/>
              <w:rPr>
                <w:rFonts w:ascii="Calibri" w:hAnsi="Calibri" w:cs="Calibri"/>
                <w:b/>
                <w:bCs/>
                <w:color w:val="000000"/>
              </w:rPr>
            </w:pPr>
            <w:r w:rsidRPr="00086A61">
              <w:rPr>
                <w:rFonts w:ascii="Calibri" w:hAnsi="Calibri" w:cs="Calibri"/>
                <w:b/>
                <w:bCs/>
                <w:color w:val="000000"/>
              </w:rPr>
              <w:t>Wells Risk Group</w:t>
            </w:r>
          </w:p>
        </w:tc>
      </w:tr>
      <w:tr w:rsidR="00592F09" w:rsidRPr="00086A61" w14:paraId="76FA5295" w14:textId="77777777" w:rsidTr="0092315E">
        <w:trPr>
          <w:trHeight w:val="560"/>
        </w:trPr>
        <w:tc>
          <w:tcPr>
            <w:tcW w:w="1440" w:type="dxa"/>
            <w:tcBorders>
              <w:top w:val="nil"/>
              <w:left w:val="nil"/>
              <w:bottom w:val="nil"/>
              <w:right w:val="nil"/>
            </w:tcBorders>
            <w:shd w:val="clear" w:color="auto" w:fill="auto"/>
            <w:vAlign w:val="bottom"/>
            <w:hideMark/>
          </w:tcPr>
          <w:p w14:paraId="76BF6E2D" w14:textId="77777777" w:rsidR="00592F09" w:rsidRPr="00086A61" w:rsidRDefault="00592F09" w:rsidP="0092315E">
            <w:pPr>
              <w:jc w:val="center"/>
              <w:rPr>
                <w:rFonts w:ascii="Calibri" w:hAnsi="Calibri" w:cs="Calibri"/>
                <w:b/>
                <w:bCs/>
                <w:color w:val="000000"/>
              </w:rPr>
            </w:pPr>
            <w:r w:rsidRPr="00086A61">
              <w:rPr>
                <w:rFonts w:ascii="Calibri" w:hAnsi="Calibri" w:cs="Calibri"/>
                <w:b/>
                <w:bCs/>
                <w:color w:val="000000"/>
              </w:rPr>
              <w:t>D-Dimer (ng/mL)</w:t>
            </w:r>
          </w:p>
        </w:tc>
        <w:tc>
          <w:tcPr>
            <w:tcW w:w="2298" w:type="dxa"/>
            <w:tcBorders>
              <w:top w:val="nil"/>
              <w:left w:val="nil"/>
              <w:bottom w:val="nil"/>
              <w:right w:val="nil"/>
            </w:tcBorders>
            <w:shd w:val="clear" w:color="auto" w:fill="auto"/>
            <w:noWrap/>
            <w:vAlign w:val="bottom"/>
            <w:hideMark/>
          </w:tcPr>
          <w:p w14:paraId="28F2A81D" w14:textId="77777777" w:rsidR="00592F09" w:rsidRPr="00086A61" w:rsidRDefault="00592F09" w:rsidP="0092315E">
            <w:pPr>
              <w:jc w:val="center"/>
              <w:rPr>
                <w:rFonts w:ascii="Calibri" w:hAnsi="Calibri" w:cs="Calibri"/>
                <w:b/>
                <w:bCs/>
                <w:color w:val="000000"/>
              </w:rPr>
            </w:pPr>
            <w:r w:rsidRPr="00086A61">
              <w:rPr>
                <w:rFonts w:ascii="Calibri" w:hAnsi="Calibri" w:cs="Calibri"/>
                <w:b/>
                <w:bCs/>
                <w:color w:val="000000"/>
              </w:rPr>
              <w:t>High (&gt; 5)</w:t>
            </w:r>
          </w:p>
        </w:tc>
        <w:tc>
          <w:tcPr>
            <w:tcW w:w="2464" w:type="dxa"/>
            <w:tcBorders>
              <w:top w:val="nil"/>
              <w:left w:val="nil"/>
              <w:bottom w:val="nil"/>
              <w:right w:val="nil"/>
            </w:tcBorders>
            <w:shd w:val="clear" w:color="auto" w:fill="auto"/>
            <w:noWrap/>
            <w:vAlign w:val="bottom"/>
            <w:hideMark/>
          </w:tcPr>
          <w:p w14:paraId="00282C71" w14:textId="77777777" w:rsidR="00592F09" w:rsidRPr="00086A61" w:rsidRDefault="00592F09" w:rsidP="0092315E">
            <w:pPr>
              <w:jc w:val="center"/>
              <w:rPr>
                <w:rFonts w:ascii="Calibri" w:hAnsi="Calibri" w:cs="Calibri"/>
                <w:b/>
                <w:bCs/>
                <w:color w:val="000000"/>
              </w:rPr>
            </w:pPr>
            <w:r w:rsidRPr="00086A61">
              <w:rPr>
                <w:rFonts w:ascii="Calibri" w:hAnsi="Calibri" w:cs="Calibri"/>
                <w:b/>
                <w:bCs/>
                <w:color w:val="000000"/>
              </w:rPr>
              <w:t>Mod (2-5)</w:t>
            </w:r>
          </w:p>
        </w:tc>
        <w:tc>
          <w:tcPr>
            <w:tcW w:w="2298" w:type="dxa"/>
            <w:tcBorders>
              <w:top w:val="nil"/>
              <w:left w:val="nil"/>
              <w:bottom w:val="nil"/>
              <w:right w:val="nil"/>
            </w:tcBorders>
            <w:shd w:val="clear" w:color="auto" w:fill="auto"/>
            <w:noWrap/>
            <w:vAlign w:val="bottom"/>
            <w:hideMark/>
          </w:tcPr>
          <w:p w14:paraId="203D9E9B" w14:textId="77777777" w:rsidR="00592F09" w:rsidRPr="00086A61" w:rsidRDefault="00592F09" w:rsidP="0092315E">
            <w:pPr>
              <w:jc w:val="center"/>
              <w:rPr>
                <w:rFonts w:ascii="Calibri" w:hAnsi="Calibri" w:cs="Calibri"/>
                <w:b/>
                <w:bCs/>
                <w:color w:val="000000"/>
              </w:rPr>
            </w:pPr>
            <w:r w:rsidRPr="00086A61">
              <w:rPr>
                <w:rFonts w:ascii="Calibri" w:hAnsi="Calibri" w:cs="Calibri"/>
                <w:b/>
                <w:bCs/>
                <w:color w:val="000000"/>
              </w:rPr>
              <w:t>Low (&lt;2)</w:t>
            </w:r>
          </w:p>
        </w:tc>
      </w:tr>
      <w:tr w:rsidR="00592F09" w:rsidRPr="00086A61" w14:paraId="3B5D84BA" w14:textId="77777777" w:rsidTr="0092315E">
        <w:trPr>
          <w:trHeight w:val="320"/>
        </w:trPr>
        <w:tc>
          <w:tcPr>
            <w:tcW w:w="1440" w:type="dxa"/>
            <w:tcBorders>
              <w:top w:val="single" w:sz="4" w:space="0" w:color="C0C0C0"/>
              <w:left w:val="single" w:sz="4" w:space="0" w:color="C0C0C0"/>
              <w:bottom w:val="single" w:sz="4" w:space="0" w:color="C0C0C0"/>
              <w:right w:val="nil"/>
            </w:tcBorders>
            <w:shd w:val="clear" w:color="auto" w:fill="auto"/>
            <w:vAlign w:val="bottom"/>
            <w:hideMark/>
          </w:tcPr>
          <w:p w14:paraId="7C3F2825" w14:textId="77777777" w:rsidR="00592F09" w:rsidRPr="00086A61" w:rsidRDefault="00592F09" w:rsidP="0092315E">
            <w:pPr>
              <w:jc w:val="center"/>
              <w:rPr>
                <w:rFonts w:ascii="Calibri" w:hAnsi="Calibri" w:cs="Calibri"/>
                <w:b/>
                <w:bCs/>
                <w:color w:val="000000"/>
              </w:rPr>
            </w:pPr>
            <w:r w:rsidRPr="00086A61">
              <w:rPr>
                <w:rFonts w:ascii="Calibri" w:hAnsi="Calibri" w:cs="Calibri"/>
                <w:b/>
                <w:bCs/>
                <w:color w:val="000000"/>
              </w:rPr>
              <w:t>1000 +</w:t>
            </w:r>
          </w:p>
        </w:tc>
        <w:tc>
          <w:tcPr>
            <w:tcW w:w="22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403C3" w14:textId="77777777" w:rsidR="00592F09" w:rsidRPr="00086A61" w:rsidRDefault="00592F09" w:rsidP="0092315E">
            <w:pPr>
              <w:jc w:val="center"/>
              <w:rPr>
                <w:rFonts w:ascii="Calibri" w:hAnsi="Calibri" w:cs="Calibri"/>
                <w:color w:val="000000"/>
              </w:rPr>
            </w:pPr>
            <w:r w:rsidRPr="00086A61">
              <w:rPr>
                <w:rFonts w:ascii="Calibri" w:hAnsi="Calibri" w:cs="Calibri"/>
                <w:color w:val="000000"/>
              </w:rPr>
              <w:t>211/351 = 60.1%</w:t>
            </w:r>
          </w:p>
        </w:tc>
        <w:tc>
          <w:tcPr>
            <w:tcW w:w="2464" w:type="dxa"/>
            <w:tcBorders>
              <w:top w:val="single" w:sz="4" w:space="0" w:color="auto"/>
              <w:left w:val="nil"/>
              <w:bottom w:val="single" w:sz="4" w:space="0" w:color="auto"/>
              <w:right w:val="single" w:sz="4" w:space="0" w:color="auto"/>
            </w:tcBorders>
            <w:shd w:val="clear" w:color="auto" w:fill="auto"/>
            <w:noWrap/>
            <w:vAlign w:val="bottom"/>
            <w:hideMark/>
          </w:tcPr>
          <w:p w14:paraId="35410E1B" w14:textId="77777777" w:rsidR="00592F09" w:rsidRPr="00086A61" w:rsidRDefault="00592F09" w:rsidP="0092315E">
            <w:pPr>
              <w:jc w:val="center"/>
              <w:rPr>
                <w:rFonts w:ascii="Calibri" w:hAnsi="Calibri" w:cs="Calibri"/>
                <w:color w:val="000000"/>
              </w:rPr>
            </w:pPr>
            <w:r w:rsidRPr="00086A61">
              <w:rPr>
                <w:rFonts w:ascii="Calibri" w:hAnsi="Calibri" w:cs="Calibri"/>
                <w:color w:val="000000"/>
              </w:rPr>
              <w:t>507/1288 = 39.4%</w:t>
            </w:r>
          </w:p>
        </w:tc>
        <w:tc>
          <w:tcPr>
            <w:tcW w:w="2298" w:type="dxa"/>
            <w:tcBorders>
              <w:top w:val="single" w:sz="4" w:space="0" w:color="auto"/>
              <w:left w:val="nil"/>
              <w:bottom w:val="single" w:sz="4" w:space="0" w:color="auto"/>
              <w:right w:val="single" w:sz="4" w:space="0" w:color="auto"/>
            </w:tcBorders>
            <w:shd w:val="clear" w:color="auto" w:fill="auto"/>
            <w:noWrap/>
            <w:vAlign w:val="bottom"/>
            <w:hideMark/>
          </w:tcPr>
          <w:p w14:paraId="1BC6F97A" w14:textId="77777777" w:rsidR="00592F09" w:rsidRPr="00086A61" w:rsidRDefault="00592F09" w:rsidP="0092315E">
            <w:pPr>
              <w:jc w:val="center"/>
              <w:rPr>
                <w:rFonts w:ascii="Calibri" w:hAnsi="Calibri" w:cs="Calibri"/>
                <w:color w:val="000000"/>
              </w:rPr>
            </w:pPr>
            <w:r w:rsidRPr="00086A61">
              <w:rPr>
                <w:rFonts w:ascii="Calibri" w:hAnsi="Calibri" w:cs="Calibri"/>
                <w:color w:val="000000"/>
              </w:rPr>
              <w:t>198/855 = 23.2%</w:t>
            </w:r>
          </w:p>
        </w:tc>
      </w:tr>
      <w:tr w:rsidR="00592F09" w:rsidRPr="00086A61" w14:paraId="229CB70E" w14:textId="77777777" w:rsidTr="0092315E">
        <w:trPr>
          <w:trHeight w:val="320"/>
        </w:trPr>
        <w:tc>
          <w:tcPr>
            <w:tcW w:w="1440" w:type="dxa"/>
            <w:tcBorders>
              <w:top w:val="nil"/>
              <w:left w:val="single" w:sz="4" w:space="0" w:color="C0C0C0"/>
              <w:bottom w:val="single" w:sz="4" w:space="0" w:color="C0C0C0"/>
              <w:right w:val="nil"/>
            </w:tcBorders>
            <w:shd w:val="clear" w:color="auto" w:fill="auto"/>
            <w:vAlign w:val="bottom"/>
            <w:hideMark/>
          </w:tcPr>
          <w:p w14:paraId="0DB9B162" w14:textId="77777777" w:rsidR="00592F09" w:rsidRPr="00086A61" w:rsidRDefault="00592F09" w:rsidP="0092315E">
            <w:pPr>
              <w:jc w:val="center"/>
              <w:rPr>
                <w:rFonts w:ascii="Calibri" w:hAnsi="Calibri" w:cs="Calibri"/>
                <w:b/>
                <w:bCs/>
                <w:color w:val="000000"/>
              </w:rPr>
            </w:pPr>
            <w:r w:rsidRPr="00086A61">
              <w:rPr>
                <w:rFonts w:ascii="Calibri" w:hAnsi="Calibri" w:cs="Calibri"/>
                <w:b/>
                <w:bCs/>
                <w:color w:val="000000"/>
              </w:rPr>
              <w:t>500 - 999</w:t>
            </w:r>
          </w:p>
        </w:tc>
        <w:tc>
          <w:tcPr>
            <w:tcW w:w="2298" w:type="dxa"/>
            <w:tcBorders>
              <w:top w:val="nil"/>
              <w:left w:val="single" w:sz="4" w:space="0" w:color="auto"/>
              <w:bottom w:val="single" w:sz="4" w:space="0" w:color="auto"/>
              <w:right w:val="single" w:sz="4" w:space="0" w:color="auto"/>
            </w:tcBorders>
            <w:shd w:val="clear" w:color="auto" w:fill="auto"/>
            <w:noWrap/>
            <w:vAlign w:val="bottom"/>
            <w:hideMark/>
          </w:tcPr>
          <w:p w14:paraId="27D6BFF7" w14:textId="77777777" w:rsidR="00592F09" w:rsidRPr="00086A61" w:rsidRDefault="00592F09" w:rsidP="0092315E">
            <w:pPr>
              <w:jc w:val="center"/>
              <w:rPr>
                <w:rFonts w:ascii="Calibri" w:hAnsi="Calibri" w:cs="Calibri"/>
                <w:color w:val="000000"/>
              </w:rPr>
            </w:pPr>
            <w:r w:rsidRPr="00086A61">
              <w:rPr>
                <w:rFonts w:ascii="Calibri" w:hAnsi="Calibri" w:cs="Calibri"/>
                <w:color w:val="000000"/>
              </w:rPr>
              <w:t>16/81 = 19.8%</w:t>
            </w:r>
          </w:p>
        </w:tc>
        <w:tc>
          <w:tcPr>
            <w:tcW w:w="2464" w:type="dxa"/>
            <w:tcBorders>
              <w:top w:val="nil"/>
              <w:left w:val="nil"/>
              <w:bottom w:val="single" w:sz="4" w:space="0" w:color="auto"/>
              <w:right w:val="single" w:sz="4" w:space="0" w:color="auto"/>
            </w:tcBorders>
            <w:shd w:val="clear" w:color="auto" w:fill="auto"/>
            <w:noWrap/>
            <w:vAlign w:val="bottom"/>
            <w:hideMark/>
          </w:tcPr>
          <w:p w14:paraId="748F2584" w14:textId="77777777" w:rsidR="00592F09" w:rsidRPr="00086A61" w:rsidRDefault="00592F09" w:rsidP="0092315E">
            <w:pPr>
              <w:jc w:val="center"/>
              <w:rPr>
                <w:rFonts w:ascii="Calibri" w:hAnsi="Calibri" w:cs="Calibri"/>
                <w:color w:val="000000"/>
              </w:rPr>
            </w:pPr>
            <w:r w:rsidRPr="00086A61">
              <w:rPr>
                <w:rFonts w:ascii="Calibri" w:hAnsi="Calibri" w:cs="Calibri"/>
                <w:color w:val="000000"/>
              </w:rPr>
              <w:t>67/647 = 10.4%</w:t>
            </w:r>
          </w:p>
        </w:tc>
        <w:tc>
          <w:tcPr>
            <w:tcW w:w="2298" w:type="dxa"/>
            <w:tcBorders>
              <w:top w:val="nil"/>
              <w:left w:val="nil"/>
              <w:bottom w:val="single" w:sz="4" w:space="0" w:color="auto"/>
              <w:right w:val="single" w:sz="4" w:space="0" w:color="auto"/>
            </w:tcBorders>
            <w:shd w:val="clear" w:color="auto" w:fill="auto"/>
            <w:noWrap/>
            <w:vAlign w:val="bottom"/>
            <w:hideMark/>
          </w:tcPr>
          <w:p w14:paraId="329F4166" w14:textId="77777777" w:rsidR="00592F09" w:rsidRPr="00086A61" w:rsidRDefault="00592F09" w:rsidP="0092315E">
            <w:pPr>
              <w:jc w:val="center"/>
              <w:rPr>
                <w:rFonts w:ascii="Calibri" w:hAnsi="Calibri" w:cs="Calibri"/>
                <w:color w:val="000000"/>
              </w:rPr>
            </w:pPr>
            <w:r w:rsidRPr="00086A61">
              <w:rPr>
                <w:rFonts w:ascii="Calibri" w:hAnsi="Calibri" w:cs="Calibri"/>
                <w:color w:val="000000"/>
              </w:rPr>
              <w:t>29/662 = 4.4%</w:t>
            </w:r>
          </w:p>
        </w:tc>
      </w:tr>
      <w:tr w:rsidR="00592F09" w:rsidRPr="00086A61" w14:paraId="272F5AF1" w14:textId="77777777" w:rsidTr="0092315E">
        <w:trPr>
          <w:trHeight w:val="320"/>
        </w:trPr>
        <w:tc>
          <w:tcPr>
            <w:tcW w:w="1440" w:type="dxa"/>
            <w:tcBorders>
              <w:top w:val="nil"/>
              <w:left w:val="single" w:sz="4" w:space="0" w:color="C0C0C0"/>
              <w:bottom w:val="single" w:sz="4" w:space="0" w:color="C0C0C0"/>
              <w:right w:val="nil"/>
            </w:tcBorders>
            <w:shd w:val="clear" w:color="auto" w:fill="auto"/>
            <w:vAlign w:val="bottom"/>
            <w:hideMark/>
          </w:tcPr>
          <w:p w14:paraId="7127551F" w14:textId="77777777" w:rsidR="00592F09" w:rsidRPr="00086A61" w:rsidRDefault="00592F09" w:rsidP="0092315E">
            <w:pPr>
              <w:jc w:val="center"/>
              <w:rPr>
                <w:rFonts w:ascii="Calibri" w:hAnsi="Calibri" w:cs="Calibri"/>
                <w:b/>
                <w:bCs/>
                <w:color w:val="000000"/>
              </w:rPr>
            </w:pPr>
            <w:r w:rsidRPr="00086A61">
              <w:rPr>
                <w:rFonts w:ascii="Calibri" w:hAnsi="Calibri" w:cs="Calibri"/>
                <w:b/>
                <w:bCs/>
                <w:color w:val="000000"/>
              </w:rPr>
              <w:t>&lt;500</w:t>
            </w:r>
          </w:p>
        </w:tc>
        <w:tc>
          <w:tcPr>
            <w:tcW w:w="2298" w:type="dxa"/>
            <w:tcBorders>
              <w:top w:val="nil"/>
              <w:left w:val="single" w:sz="4" w:space="0" w:color="auto"/>
              <w:bottom w:val="single" w:sz="4" w:space="0" w:color="auto"/>
              <w:right w:val="single" w:sz="4" w:space="0" w:color="auto"/>
            </w:tcBorders>
            <w:shd w:val="clear" w:color="auto" w:fill="auto"/>
            <w:noWrap/>
            <w:vAlign w:val="bottom"/>
            <w:hideMark/>
          </w:tcPr>
          <w:p w14:paraId="0CF97994" w14:textId="77777777" w:rsidR="00592F09" w:rsidRPr="00086A61" w:rsidRDefault="00592F09" w:rsidP="0092315E">
            <w:pPr>
              <w:jc w:val="center"/>
              <w:rPr>
                <w:rFonts w:ascii="Calibri" w:hAnsi="Calibri" w:cs="Calibri"/>
                <w:color w:val="000000"/>
              </w:rPr>
            </w:pPr>
            <w:r w:rsidRPr="00086A61">
              <w:rPr>
                <w:rFonts w:ascii="Calibri" w:hAnsi="Calibri" w:cs="Calibri"/>
                <w:color w:val="000000"/>
              </w:rPr>
              <w:t>5/33 = 15.2%</w:t>
            </w:r>
          </w:p>
        </w:tc>
        <w:tc>
          <w:tcPr>
            <w:tcW w:w="2464" w:type="dxa"/>
            <w:tcBorders>
              <w:top w:val="nil"/>
              <w:left w:val="nil"/>
              <w:bottom w:val="single" w:sz="4" w:space="0" w:color="auto"/>
              <w:right w:val="single" w:sz="4" w:space="0" w:color="auto"/>
            </w:tcBorders>
            <w:shd w:val="clear" w:color="auto" w:fill="auto"/>
            <w:noWrap/>
            <w:vAlign w:val="bottom"/>
            <w:hideMark/>
          </w:tcPr>
          <w:p w14:paraId="59B9EB38" w14:textId="77777777" w:rsidR="00592F09" w:rsidRPr="00086A61" w:rsidRDefault="00592F09" w:rsidP="0092315E">
            <w:pPr>
              <w:jc w:val="center"/>
              <w:rPr>
                <w:rFonts w:ascii="Calibri" w:hAnsi="Calibri" w:cs="Calibri"/>
                <w:color w:val="000000"/>
              </w:rPr>
            </w:pPr>
            <w:r w:rsidRPr="00086A61">
              <w:rPr>
                <w:rFonts w:ascii="Calibri" w:hAnsi="Calibri" w:cs="Calibri"/>
                <w:color w:val="000000"/>
              </w:rPr>
              <w:t>12/871 = 1.4%</w:t>
            </w:r>
          </w:p>
        </w:tc>
        <w:tc>
          <w:tcPr>
            <w:tcW w:w="2298" w:type="dxa"/>
            <w:tcBorders>
              <w:top w:val="nil"/>
              <w:left w:val="nil"/>
              <w:bottom w:val="single" w:sz="4" w:space="0" w:color="auto"/>
              <w:right w:val="single" w:sz="4" w:space="0" w:color="auto"/>
            </w:tcBorders>
            <w:shd w:val="clear" w:color="auto" w:fill="auto"/>
            <w:noWrap/>
            <w:vAlign w:val="bottom"/>
            <w:hideMark/>
          </w:tcPr>
          <w:p w14:paraId="4C81B5FC" w14:textId="77777777" w:rsidR="00592F09" w:rsidRPr="00086A61" w:rsidRDefault="00592F09" w:rsidP="0092315E">
            <w:pPr>
              <w:jc w:val="center"/>
              <w:rPr>
                <w:rFonts w:ascii="Calibri" w:hAnsi="Calibri" w:cs="Calibri"/>
                <w:color w:val="000000"/>
              </w:rPr>
            </w:pPr>
            <w:r w:rsidRPr="00086A61">
              <w:rPr>
                <w:rFonts w:ascii="Calibri" w:hAnsi="Calibri" w:cs="Calibri"/>
                <w:color w:val="000000"/>
              </w:rPr>
              <w:t>2/1225 = 0.2%</w:t>
            </w:r>
          </w:p>
        </w:tc>
      </w:tr>
    </w:tbl>
    <w:p w14:paraId="5EC09396" w14:textId="77777777" w:rsidR="00592F09" w:rsidRDefault="00592F09" w:rsidP="00592F09"/>
    <w:p w14:paraId="1CEAB8A3" w14:textId="77777777" w:rsidR="00592F09" w:rsidRDefault="00592F09" w:rsidP="00592F09"/>
    <w:p w14:paraId="73BA0234" w14:textId="77777777" w:rsidR="00592F09" w:rsidRDefault="00592F09" w:rsidP="00592F09"/>
    <w:p w14:paraId="2C2CBAAE" w14:textId="77777777" w:rsidR="00897E88" w:rsidRDefault="00897E88">
      <w:r>
        <w:br w:type="page"/>
      </w:r>
    </w:p>
    <w:p w14:paraId="41F37F8C" w14:textId="6E757C41" w:rsidR="00592F09" w:rsidRDefault="00592F09" w:rsidP="00592F09">
      <w:r>
        <w:lastRenderedPageBreak/>
        <w:t>Here is the standard calibration plot:</w:t>
      </w:r>
    </w:p>
    <w:p w14:paraId="4BDB08AE" w14:textId="77777777" w:rsidR="00592F09" w:rsidRDefault="00592F09" w:rsidP="00592F09">
      <w:r>
        <w:rPr>
          <w:noProof/>
        </w:rPr>
        <w:drawing>
          <wp:inline distT="0" distB="0" distL="0" distR="0" wp14:anchorId="5669B3C0" wp14:editId="3021AEFB">
            <wp:extent cx="5367867" cy="3999443"/>
            <wp:effectExtent l="0" t="0" r="17145" b="13970"/>
            <wp:docPr id="3" name="Chart 3">
              <a:extLst xmlns:a="http://schemas.openxmlformats.org/drawingml/2006/main">
                <a:ext uri="{FF2B5EF4-FFF2-40B4-BE49-F238E27FC236}">
                  <a16:creationId xmlns:a16="http://schemas.microsoft.com/office/drawing/2014/main" id="{37D3083B-223E-4D06-A230-80080A4F1B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29D3F23" w14:textId="0C89BE6E" w:rsidR="00592F09" w:rsidRDefault="00592F09" w:rsidP="00592F09">
      <w:pPr>
        <w:pStyle w:val="ListParagraph"/>
        <w:numPr>
          <w:ilvl w:val="0"/>
          <w:numId w:val="19"/>
        </w:numPr>
      </w:pPr>
      <w:r>
        <w:t>Which point on the calibration plot corresponds to High Wells Risk Group and D-</w:t>
      </w:r>
      <w:r>
        <w:br/>
        <w:t>dimer &lt; 500 ng /</w:t>
      </w:r>
      <w:proofErr w:type="spellStart"/>
      <w:r>
        <w:t>mL.</w:t>
      </w:r>
      <w:proofErr w:type="spellEnd"/>
      <w:r>
        <w:t xml:space="preserve">  (Circle on the plot above.) [1]</w:t>
      </w:r>
    </w:p>
    <w:p w14:paraId="1934AC38" w14:textId="77777777" w:rsidR="00592F09" w:rsidRDefault="00592F09" w:rsidP="00592F09"/>
    <w:p w14:paraId="14BF9313" w14:textId="0B1F4118" w:rsidR="00592F09" w:rsidRDefault="00592F09" w:rsidP="00592F09">
      <w:pPr>
        <w:pStyle w:val="ListParagraph"/>
        <w:numPr>
          <w:ilvl w:val="0"/>
          <w:numId w:val="19"/>
        </w:numPr>
      </w:pPr>
      <w:r>
        <w:t>Assume as in Problem 7.7 that these risk estimates are used to guide CTPA, and the threshold probability for obtaining a CTPA is 3% .  What combinations of Wells Risk Group and D-Dimer interval will allow us not to get a CTPA.  (Base this on the estimated risk, not the observed proportion with PE.) [2]</w:t>
      </w:r>
    </w:p>
    <w:p w14:paraId="762D1173" w14:textId="77777777" w:rsidR="00592F09" w:rsidRPr="00004E3C" w:rsidRDefault="00592F09" w:rsidP="00592F09">
      <w:pPr>
        <w:rPr>
          <w:b/>
          <w:i/>
        </w:rPr>
      </w:pPr>
      <w:r>
        <w:rPr>
          <w:b/>
          <w:i/>
        </w:rPr>
        <w:tab/>
      </w:r>
    </w:p>
    <w:p w14:paraId="3A03696E" w14:textId="3FF42D0C" w:rsidR="00592F09" w:rsidRDefault="00592F09" w:rsidP="00592F09">
      <w:pPr>
        <w:pStyle w:val="ListParagraph"/>
        <w:numPr>
          <w:ilvl w:val="0"/>
          <w:numId w:val="19"/>
        </w:numPr>
      </w:pPr>
      <w:r>
        <w:t xml:space="preserve">In which risk category (combination of Wells group and D-Dimer interval) would </w:t>
      </w:r>
      <w:proofErr w:type="spellStart"/>
      <w:r>
        <w:t>miscalibration</w:t>
      </w:r>
      <w:proofErr w:type="spellEnd"/>
      <w:r>
        <w:t xml:space="preserve"> present a significant problem. Explain your answer. [2]</w:t>
      </w:r>
    </w:p>
    <w:p w14:paraId="57C199E1" w14:textId="77777777" w:rsidR="00592F09" w:rsidRDefault="00592F09" w:rsidP="00592F09">
      <w:pPr>
        <w:rPr>
          <w:b/>
          <w:i/>
        </w:rPr>
      </w:pPr>
    </w:p>
    <w:p w14:paraId="3A60A0EE" w14:textId="77777777" w:rsidR="00897E88" w:rsidRDefault="00897E88">
      <w:r>
        <w:br w:type="page"/>
      </w:r>
    </w:p>
    <w:p w14:paraId="54C3BC55" w14:textId="4B0282CC" w:rsidR="00592F09" w:rsidRDefault="00592F09" w:rsidP="00592F09">
      <w:r>
        <w:lastRenderedPageBreak/>
        <w:t>Here is the ROC Curve based on estimated risks:</w:t>
      </w:r>
    </w:p>
    <w:p w14:paraId="741CE078" w14:textId="77777777" w:rsidR="00592F09" w:rsidRDefault="00592F09" w:rsidP="00592F09">
      <w:r>
        <w:rPr>
          <w:noProof/>
        </w:rPr>
        <w:drawing>
          <wp:inline distT="0" distB="0" distL="0" distR="0" wp14:anchorId="1742B20C" wp14:editId="74B5282F">
            <wp:extent cx="5113866" cy="3766608"/>
            <wp:effectExtent l="0" t="0" r="17145" b="18415"/>
            <wp:docPr id="4" name="Chart 4">
              <a:extLst xmlns:a="http://schemas.openxmlformats.org/drawingml/2006/main">
                <a:ext uri="{FF2B5EF4-FFF2-40B4-BE49-F238E27FC236}">
                  <a16:creationId xmlns:a16="http://schemas.microsoft.com/office/drawing/2014/main" id="{5C5A6FD4-B3CF-4C7C-A859-FDDA9CBC72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2DC4266" w14:textId="77777777" w:rsidR="00592F09" w:rsidRDefault="00592F09" w:rsidP="00592F09">
      <w:pPr>
        <w:pStyle w:val="ListParagraph"/>
      </w:pPr>
    </w:p>
    <w:p w14:paraId="7D656DF7" w14:textId="77777777" w:rsidR="00C27547" w:rsidRDefault="00592F09" w:rsidP="00592F09">
      <w:pPr>
        <w:pStyle w:val="ListParagraph"/>
        <w:numPr>
          <w:ilvl w:val="0"/>
          <w:numId w:val="19"/>
        </w:numPr>
      </w:pPr>
      <w:r>
        <w:t>In (a) above, you identified the point on the calibration plot corresponding to High Wells Risk Group and D-dimer &lt; 500 ng /</w:t>
      </w:r>
      <w:proofErr w:type="spellStart"/>
      <w:r>
        <w:t>mL.</w:t>
      </w:r>
      <w:proofErr w:type="spellEnd"/>
      <w:r>
        <w:t xml:space="preserve">  Which segment on the ROC curve corresponds to that point on the calibration plot?  (Circle it above.) [1]</w:t>
      </w:r>
    </w:p>
    <w:p w14:paraId="121A2C4D" w14:textId="77777777" w:rsidR="00C27547" w:rsidRDefault="00C27547" w:rsidP="00592F09">
      <w:pPr>
        <w:pStyle w:val="ListParagraph"/>
        <w:numPr>
          <w:ilvl w:val="0"/>
          <w:numId w:val="19"/>
        </w:numPr>
      </w:pPr>
    </w:p>
    <w:p w14:paraId="0410A712" w14:textId="77777777" w:rsidR="00C27547" w:rsidRPr="00C27547" w:rsidRDefault="00C27547" w:rsidP="00C27547">
      <w:pPr>
        <w:pStyle w:val="EndNoteBibliography"/>
        <w:spacing w:after="0"/>
        <w:rPr>
          <w:noProof/>
        </w:rPr>
      </w:pPr>
      <w:r>
        <w:fldChar w:fldCharType="begin"/>
      </w:r>
      <w:r>
        <w:instrText xml:space="preserve"> ADDIN EN.REFLIST </w:instrText>
      </w:r>
      <w:r>
        <w:fldChar w:fldCharType="separate"/>
      </w:r>
      <w:r w:rsidRPr="00C27547">
        <w:rPr>
          <w:noProof/>
        </w:rPr>
        <w:t xml:space="preserve">Beiser, A. S., M. Takahashi, A. L. Baker, R. P. Sundel and J. W. Newburger (1998). "A predictive instrument for coronary artery aneurysms in Kawasaki disease. US Multicenter Kawasaki Disease Study Group." </w:t>
      </w:r>
      <w:r w:rsidRPr="00C27547">
        <w:rPr>
          <w:noProof/>
          <w:u w:val="single"/>
        </w:rPr>
        <w:t>Am J Cardiol</w:t>
      </w:r>
      <w:r w:rsidRPr="00C27547">
        <w:rPr>
          <w:noProof/>
        </w:rPr>
        <w:t xml:space="preserve"> </w:t>
      </w:r>
      <w:r w:rsidRPr="00C27547">
        <w:rPr>
          <w:b/>
          <w:noProof/>
        </w:rPr>
        <w:t>81</w:t>
      </w:r>
      <w:r w:rsidRPr="00C27547">
        <w:rPr>
          <w:noProof/>
        </w:rPr>
        <w:t>(9): 1116-1120.</w:t>
      </w:r>
    </w:p>
    <w:p w14:paraId="5604F444" w14:textId="77777777" w:rsidR="00C27547" w:rsidRPr="00C27547" w:rsidRDefault="00C27547" w:rsidP="00C27547">
      <w:pPr>
        <w:pStyle w:val="EndNoteBibliography"/>
        <w:spacing w:after="0"/>
        <w:rPr>
          <w:noProof/>
        </w:rPr>
      </w:pPr>
      <w:r w:rsidRPr="00C27547">
        <w:rPr>
          <w:noProof/>
        </w:rPr>
        <w:t xml:space="preserve">Kohn, M. A., F. A. Klok and N. van Es (2017). "D-dimer Interval Likelihood Ratios for Pulmonary Embolism." </w:t>
      </w:r>
      <w:r w:rsidRPr="00C27547">
        <w:rPr>
          <w:noProof/>
          <w:u w:val="single"/>
        </w:rPr>
        <w:t>Acad Emerg Med</w:t>
      </w:r>
      <w:r w:rsidRPr="00C27547">
        <w:rPr>
          <w:noProof/>
        </w:rPr>
        <w:t xml:space="preserve"> </w:t>
      </w:r>
      <w:r w:rsidRPr="00C27547">
        <w:rPr>
          <w:b/>
          <w:noProof/>
        </w:rPr>
        <w:t>24</w:t>
      </w:r>
      <w:r w:rsidRPr="00C27547">
        <w:rPr>
          <w:noProof/>
        </w:rPr>
        <w:t>(7): 832-837.</w:t>
      </w:r>
    </w:p>
    <w:p w14:paraId="64858E39" w14:textId="77777777" w:rsidR="00C27547" w:rsidRPr="00C27547" w:rsidRDefault="00C27547" w:rsidP="00C27547">
      <w:pPr>
        <w:pStyle w:val="EndNoteBibliography"/>
        <w:spacing w:after="0"/>
        <w:rPr>
          <w:noProof/>
        </w:rPr>
      </w:pPr>
      <w:r w:rsidRPr="00C27547">
        <w:rPr>
          <w:noProof/>
        </w:rPr>
        <w:t xml:space="preserve">Lessler, A. L., J. A. Isserman, R. Agarwal, H. I. Palevsky and J. M. Pines (2010). "Testing low-risk patients for suspected pulmonary embolism: a decision analysis." </w:t>
      </w:r>
      <w:r w:rsidRPr="00C27547">
        <w:rPr>
          <w:noProof/>
          <w:u w:val="single"/>
        </w:rPr>
        <w:t>Ann Emerg Med</w:t>
      </w:r>
      <w:r w:rsidRPr="00C27547">
        <w:rPr>
          <w:noProof/>
        </w:rPr>
        <w:t xml:space="preserve"> </w:t>
      </w:r>
      <w:r w:rsidRPr="00C27547">
        <w:rPr>
          <w:b/>
          <w:noProof/>
        </w:rPr>
        <w:t>55</w:t>
      </w:r>
      <w:r w:rsidRPr="00C27547">
        <w:rPr>
          <w:noProof/>
        </w:rPr>
        <w:t>(4): 316-326 e311.</w:t>
      </w:r>
    </w:p>
    <w:p w14:paraId="4D82A7C4" w14:textId="77777777" w:rsidR="00C27547" w:rsidRPr="00C27547" w:rsidRDefault="00C27547" w:rsidP="00C27547">
      <w:pPr>
        <w:pStyle w:val="EndNoteBibliography"/>
        <w:rPr>
          <w:noProof/>
        </w:rPr>
      </w:pPr>
      <w:r w:rsidRPr="00C27547">
        <w:rPr>
          <w:noProof/>
        </w:rPr>
        <w:t xml:space="preserve">Tanz, R. R., M. A. Gerber, W. Kabat, J. Rippe, R. Seshadri and S. T. Shulman (2009). "Performance of a rapid antigen-detection test and throat culture in community pediatric offices: implications for management of pharyngitis." </w:t>
      </w:r>
      <w:r w:rsidRPr="00C27547">
        <w:rPr>
          <w:noProof/>
          <w:u w:val="single"/>
        </w:rPr>
        <w:t>Pediatrics</w:t>
      </w:r>
      <w:r w:rsidRPr="00C27547">
        <w:rPr>
          <w:noProof/>
        </w:rPr>
        <w:t xml:space="preserve"> </w:t>
      </w:r>
      <w:r w:rsidRPr="00C27547">
        <w:rPr>
          <w:b/>
          <w:noProof/>
        </w:rPr>
        <w:t>123</w:t>
      </w:r>
      <w:r w:rsidRPr="00C27547">
        <w:rPr>
          <w:noProof/>
        </w:rPr>
        <w:t>(2): 437-444.</w:t>
      </w:r>
    </w:p>
    <w:p w14:paraId="26EBFEA0" w14:textId="17F5D896" w:rsidR="00592F09" w:rsidRDefault="00C27547" w:rsidP="00592F09">
      <w:pPr>
        <w:pStyle w:val="ListParagraph"/>
        <w:numPr>
          <w:ilvl w:val="0"/>
          <w:numId w:val="19"/>
        </w:numPr>
      </w:pPr>
      <w:r>
        <w:fldChar w:fldCharType="end"/>
      </w:r>
    </w:p>
    <w:sectPr w:rsidR="00592F09" w:rsidSect="00674944">
      <w:footerReference w:type="even" r:id="rId11"/>
      <w:footerReference w:type="default" r:id="rId12"/>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B4E74" w14:textId="77777777" w:rsidR="00220FD6" w:rsidRDefault="00220FD6" w:rsidP="000C6A52">
      <w:pPr>
        <w:spacing w:after="0" w:line="240" w:lineRule="auto"/>
      </w:pPr>
      <w:r>
        <w:separator/>
      </w:r>
    </w:p>
  </w:endnote>
  <w:endnote w:type="continuationSeparator" w:id="0">
    <w:p w14:paraId="231E1395" w14:textId="77777777" w:rsidR="00220FD6" w:rsidRDefault="00220FD6" w:rsidP="000C6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
    <w:altName w:val="Arial Unicode MS"/>
    <w:panose1 w:val="020B0604020202020204"/>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59493" w14:textId="77777777" w:rsidR="000C6A52" w:rsidRDefault="000C6A52" w:rsidP="000C6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48F03F" w14:textId="77777777" w:rsidR="000C6A52" w:rsidRDefault="000C6A52" w:rsidP="000C6A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0072F" w14:textId="606825F8" w:rsidR="000C6A52" w:rsidRDefault="000C6A52" w:rsidP="000C6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7437">
      <w:rPr>
        <w:rStyle w:val="PageNumber"/>
        <w:noProof/>
      </w:rPr>
      <w:t>1</w:t>
    </w:r>
    <w:r>
      <w:rPr>
        <w:rStyle w:val="PageNumber"/>
      </w:rPr>
      <w:fldChar w:fldCharType="end"/>
    </w:r>
  </w:p>
  <w:p w14:paraId="3C17EF31" w14:textId="77777777" w:rsidR="000C6A52" w:rsidRDefault="000C6A52" w:rsidP="000C6A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F9126" w14:textId="77777777" w:rsidR="00220FD6" w:rsidRDefault="00220FD6" w:rsidP="000C6A52">
      <w:pPr>
        <w:spacing w:after="0" w:line="240" w:lineRule="auto"/>
      </w:pPr>
      <w:r>
        <w:separator/>
      </w:r>
    </w:p>
  </w:footnote>
  <w:footnote w:type="continuationSeparator" w:id="0">
    <w:p w14:paraId="5CC0D82D" w14:textId="77777777" w:rsidR="00220FD6" w:rsidRDefault="00220FD6" w:rsidP="000C6A52">
      <w:pPr>
        <w:spacing w:after="0" w:line="240" w:lineRule="auto"/>
      </w:pPr>
      <w:r>
        <w:continuationSeparator/>
      </w:r>
    </w:p>
  </w:footnote>
  <w:footnote w:id="1">
    <w:p w14:paraId="27E1D826" w14:textId="77777777" w:rsidR="00E31AE0" w:rsidRDefault="00E31AE0" w:rsidP="00E31AE0">
      <w:pPr>
        <w:pStyle w:val="FootnoteText"/>
      </w:pPr>
      <w:r>
        <w:rPr>
          <w:rStyle w:val="FootnoteReference"/>
        </w:rPr>
        <w:footnoteRef/>
      </w:r>
      <w:r>
        <w:t xml:space="preserve"> You may notice that the </w:t>
      </w:r>
      <w:proofErr w:type="spellStart"/>
      <w:r>
        <w:t>McIssac</w:t>
      </w:r>
      <w:proofErr w:type="spellEnd"/>
      <w:r>
        <w:t xml:space="preserve"> score uses the 4 </w:t>
      </w:r>
      <w:proofErr w:type="spellStart"/>
      <w:r>
        <w:t>Centor</w:t>
      </w:r>
      <w:proofErr w:type="spellEnd"/>
      <w:r>
        <w:t xml:space="preserve"> criteria you met in problem 2.6, and adds an additional point for Age &lt; 15 years.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02770"/>
    <w:multiLevelType w:val="hybridMultilevel"/>
    <w:tmpl w:val="1CDA509C"/>
    <w:lvl w:ilvl="0" w:tplc="2978696E">
      <w:start w:val="5"/>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29723393"/>
    <w:multiLevelType w:val="hybridMultilevel"/>
    <w:tmpl w:val="74A42228"/>
    <w:lvl w:ilvl="0" w:tplc="628852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BD714B"/>
    <w:multiLevelType w:val="hybridMultilevel"/>
    <w:tmpl w:val="4B28C82A"/>
    <w:lvl w:ilvl="0" w:tplc="B8261FAC">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B2F576D"/>
    <w:multiLevelType w:val="hybridMultilevel"/>
    <w:tmpl w:val="F4ECAC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D44F3C"/>
    <w:multiLevelType w:val="hybridMultilevel"/>
    <w:tmpl w:val="B302060E"/>
    <w:lvl w:ilvl="0" w:tplc="6350486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E8F6792"/>
    <w:multiLevelType w:val="hybridMultilevel"/>
    <w:tmpl w:val="D8FCE79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17D2183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424517"/>
    <w:multiLevelType w:val="hybridMultilevel"/>
    <w:tmpl w:val="D72EB1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E7565D"/>
    <w:multiLevelType w:val="hybridMultilevel"/>
    <w:tmpl w:val="D548A2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7560507"/>
    <w:multiLevelType w:val="hybridMultilevel"/>
    <w:tmpl w:val="F8B866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266EA9"/>
    <w:multiLevelType w:val="hybridMultilevel"/>
    <w:tmpl w:val="05B4090E"/>
    <w:lvl w:ilvl="0" w:tplc="04090019">
      <w:start w:val="3"/>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5AC62D07"/>
    <w:multiLevelType w:val="hybridMultilevel"/>
    <w:tmpl w:val="0E2AA662"/>
    <w:lvl w:ilvl="0" w:tplc="040C8350">
      <w:start w:val="2"/>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5E455283"/>
    <w:multiLevelType w:val="hybridMultilevel"/>
    <w:tmpl w:val="7EBA34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BC0522"/>
    <w:multiLevelType w:val="hybridMultilevel"/>
    <w:tmpl w:val="AAB8E5F8"/>
    <w:lvl w:ilvl="0" w:tplc="0F3843A4">
      <w:start w:val="1"/>
      <w:numFmt w:val="lowerLetter"/>
      <w:lvlText w:val="%1.)"/>
      <w:lvlJc w:val="left"/>
      <w:pPr>
        <w:ind w:left="360" w:hanging="360"/>
      </w:pPr>
      <w:rPr>
        <w:rFonts w:ascii="Times" w:hAnsi="Times" w:cs="Times New Roman" w:hint="default"/>
        <w:sz w:val="22"/>
        <w:szCs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3" w15:restartNumberingAfterBreak="0">
    <w:nsid w:val="61386FFD"/>
    <w:multiLevelType w:val="hybridMultilevel"/>
    <w:tmpl w:val="F4ECAC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CB3A97"/>
    <w:multiLevelType w:val="hybridMultilevel"/>
    <w:tmpl w:val="ACE6915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59058B"/>
    <w:multiLevelType w:val="hybridMultilevel"/>
    <w:tmpl w:val="8BB66104"/>
    <w:lvl w:ilvl="0" w:tplc="4856A1FA">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F3584"/>
    <w:multiLevelType w:val="hybridMultilevel"/>
    <w:tmpl w:val="58064BE0"/>
    <w:lvl w:ilvl="0" w:tplc="04090019">
      <w:start w:val="2"/>
      <w:numFmt w:val="lowerLetter"/>
      <w:lvlText w:val="%1."/>
      <w:lvlJc w:val="left"/>
      <w:pPr>
        <w:tabs>
          <w:tab w:val="num" w:pos="720"/>
        </w:tabs>
        <w:ind w:left="720" w:hanging="360"/>
      </w:pPr>
      <w:rPr>
        <w:rFonts w:hint="default"/>
        <w:b w:val="0"/>
        <w:i w:val="0"/>
      </w:rPr>
    </w:lvl>
    <w:lvl w:ilvl="1" w:tplc="1FF42522">
      <w:start w:val="1"/>
      <w:numFmt w:val="decimal"/>
      <w:lvlText w:val="%2)"/>
      <w:lvlJc w:val="left"/>
      <w:pPr>
        <w:tabs>
          <w:tab w:val="num" w:pos="1620"/>
        </w:tabs>
        <w:ind w:left="1620" w:hanging="360"/>
      </w:pPr>
      <w:rPr>
        <w:rFonts w:hint="default"/>
        <w:b/>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6CB2A72"/>
    <w:multiLevelType w:val="hybridMultilevel"/>
    <w:tmpl w:val="E3BA1048"/>
    <w:lvl w:ilvl="0" w:tplc="04090017">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6"/>
  </w:num>
  <w:num w:numId="6">
    <w:abstractNumId w:val="0"/>
  </w:num>
  <w:num w:numId="7">
    <w:abstractNumId w:val="11"/>
  </w:num>
  <w:num w:numId="8">
    <w:abstractNumId w:val="1"/>
  </w:num>
  <w:num w:numId="9">
    <w:abstractNumId w:val="8"/>
  </w:num>
  <w:num w:numId="10">
    <w:abstractNumId w:val="6"/>
  </w:num>
  <w:num w:numId="11">
    <w:abstractNumId w:val="15"/>
  </w:num>
  <w:num w:numId="12">
    <w:abstractNumId w:val="17"/>
  </w:num>
  <w:num w:numId="13">
    <w:abstractNumId w:val="4"/>
  </w:num>
  <w:num w:numId="14">
    <w:abstractNumId w:val="5"/>
  </w:num>
  <w:num w:numId="15">
    <w:abstractNumId w:val="7"/>
  </w:num>
  <w:num w:numId="16">
    <w:abstractNumId w:val="2"/>
  </w:num>
  <w:num w:numId="17">
    <w:abstractNumId w:val="10"/>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tvff9p80fp5few5s05f5fw9rd9fefrdzer&quot;&gt;EBD-MAK&lt;record-ids&gt;&lt;item&gt;942&lt;/item&gt;&lt;item&gt;1051&lt;/item&gt;&lt;item&gt;1385&lt;/item&gt;&lt;item&gt;1425&lt;/item&gt;&lt;/record-ids&gt;&lt;/item&gt;&lt;/Libraries&gt;"/>
  </w:docVars>
  <w:rsids>
    <w:rsidRoot w:val="00E86D17"/>
    <w:rsid w:val="00000919"/>
    <w:rsid w:val="00003109"/>
    <w:rsid w:val="00014ADB"/>
    <w:rsid w:val="00024343"/>
    <w:rsid w:val="00037FF1"/>
    <w:rsid w:val="00041D09"/>
    <w:rsid w:val="00046555"/>
    <w:rsid w:val="000511D4"/>
    <w:rsid w:val="000539FF"/>
    <w:rsid w:val="0005597F"/>
    <w:rsid w:val="000566DD"/>
    <w:rsid w:val="00066994"/>
    <w:rsid w:val="00090058"/>
    <w:rsid w:val="000924FF"/>
    <w:rsid w:val="000925ED"/>
    <w:rsid w:val="000A3601"/>
    <w:rsid w:val="000A5DB2"/>
    <w:rsid w:val="000B3D54"/>
    <w:rsid w:val="000C6A52"/>
    <w:rsid w:val="000D0764"/>
    <w:rsid w:val="000E68EA"/>
    <w:rsid w:val="000F1AE3"/>
    <w:rsid w:val="000F5470"/>
    <w:rsid w:val="0010545E"/>
    <w:rsid w:val="00105517"/>
    <w:rsid w:val="00106190"/>
    <w:rsid w:val="00111EC1"/>
    <w:rsid w:val="00116432"/>
    <w:rsid w:val="00120A4B"/>
    <w:rsid w:val="00121AE3"/>
    <w:rsid w:val="001370E6"/>
    <w:rsid w:val="001513EC"/>
    <w:rsid w:val="00161E45"/>
    <w:rsid w:val="00167452"/>
    <w:rsid w:val="00170C9E"/>
    <w:rsid w:val="0017562A"/>
    <w:rsid w:val="001815F5"/>
    <w:rsid w:val="00181C5E"/>
    <w:rsid w:val="00182E77"/>
    <w:rsid w:val="00185DD5"/>
    <w:rsid w:val="001875E9"/>
    <w:rsid w:val="00190AE9"/>
    <w:rsid w:val="001A2E9E"/>
    <w:rsid w:val="001A6C22"/>
    <w:rsid w:val="001B026C"/>
    <w:rsid w:val="001B5C44"/>
    <w:rsid w:val="001B65F7"/>
    <w:rsid w:val="001B6772"/>
    <w:rsid w:val="001C1F2C"/>
    <w:rsid w:val="001C3069"/>
    <w:rsid w:val="001E06C0"/>
    <w:rsid w:val="001F0880"/>
    <w:rsid w:val="001F16E7"/>
    <w:rsid w:val="002023A7"/>
    <w:rsid w:val="00202CDD"/>
    <w:rsid w:val="00220FD6"/>
    <w:rsid w:val="0022323B"/>
    <w:rsid w:val="0023171E"/>
    <w:rsid w:val="00231CD1"/>
    <w:rsid w:val="00235D87"/>
    <w:rsid w:val="002375ED"/>
    <w:rsid w:val="00242C44"/>
    <w:rsid w:val="00243059"/>
    <w:rsid w:val="002561C0"/>
    <w:rsid w:val="00256AEC"/>
    <w:rsid w:val="00256D16"/>
    <w:rsid w:val="0026121B"/>
    <w:rsid w:val="00263710"/>
    <w:rsid w:val="0026664A"/>
    <w:rsid w:val="00280CCA"/>
    <w:rsid w:val="00292F41"/>
    <w:rsid w:val="00294AF9"/>
    <w:rsid w:val="002A00A3"/>
    <w:rsid w:val="002B43F9"/>
    <w:rsid w:val="002C4C22"/>
    <w:rsid w:val="002D453B"/>
    <w:rsid w:val="002F4D43"/>
    <w:rsid w:val="003037FB"/>
    <w:rsid w:val="00317867"/>
    <w:rsid w:val="00323B0B"/>
    <w:rsid w:val="003354A3"/>
    <w:rsid w:val="00347B51"/>
    <w:rsid w:val="003604BB"/>
    <w:rsid w:val="00361A63"/>
    <w:rsid w:val="003658A7"/>
    <w:rsid w:val="0037090C"/>
    <w:rsid w:val="00377F12"/>
    <w:rsid w:val="003830D1"/>
    <w:rsid w:val="00385540"/>
    <w:rsid w:val="00385FB4"/>
    <w:rsid w:val="003A0606"/>
    <w:rsid w:val="003A126C"/>
    <w:rsid w:val="003A4A2E"/>
    <w:rsid w:val="003A58B0"/>
    <w:rsid w:val="003A6CFF"/>
    <w:rsid w:val="003A7091"/>
    <w:rsid w:val="003A7DED"/>
    <w:rsid w:val="003B0731"/>
    <w:rsid w:val="003B6548"/>
    <w:rsid w:val="003C1458"/>
    <w:rsid w:val="003C266A"/>
    <w:rsid w:val="003C55A9"/>
    <w:rsid w:val="003C60D8"/>
    <w:rsid w:val="003D0E51"/>
    <w:rsid w:val="003D586A"/>
    <w:rsid w:val="003D7147"/>
    <w:rsid w:val="003E72D1"/>
    <w:rsid w:val="003E7B5C"/>
    <w:rsid w:val="00403387"/>
    <w:rsid w:val="00416ECE"/>
    <w:rsid w:val="00425944"/>
    <w:rsid w:val="004260BD"/>
    <w:rsid w:val="00427309"/>
    <w:rsid w:val="004276B2"/>
    <w:rsid w:val="004302D7"/>
    <w:rsid w:val="00443AAE"/>
    <w:rsid w:val="00450453"/>
    <w:rsid w:val="00450D1D"/>
    <w:rsid w:val="00457220"/>
    <w:rsid w:val="00463526"/>
    <w:rsid w:val="00467A0F"/>
    <w:rsid w:val="004816F0"/>
    <w:rsid w:val="0048202E"/>
    <w:rsid w:val="00490A07"/>
    <w:rsid w:val="00491097"/>
    <w:rsid w:val="004923E3"/>
    <w:rsid w:val="00492CBA"/>
    <w:rsid w:val="0049547E"/>
    <w:rsid w:val="00497861"/>
    <w:rsid w:val="00497CF2"/>
    <w:rsid w:val="004A10C2"/>
    <w:rsid w:val="004B7279"/>
    <w:rsid w:val="004C266F"/>
    <w:rsid w:val="004C494C"/>
    <w:rsid w:val="004C4A05"/>
    <w:rsid w:val="004D3CC8"/>
    <w:rsid w:val="004E44EE"/>
    <w:rsid w:val="004F5378"/>
    <w:rsid w:val="00502016"/>
    <w:rsid w:val="005039D6"/>
    <w:rsid w:val="00514583"/>
    <w:rsid w:val="0051700D"/>
    <w:rsid w:val="00521AFC"/>
    <w:rsid w:val="00526E1F"/>
    <w:rsid w:val="0052757B"/>
    <w:rsid w:val="00534CCC"/>
    <w:rsid w:val="0054138E"/>
    <w:rsid w:val="00553041"/>
    <w:rsid w:val="00570EC0"/>
    <w:rsid w:val="00572C5B"/>
    <w:rsid w:val="0059076D"/>
    <w:rsid w:val="00591A8D"/>
    <w:rsid w:val="00592F09"/>
    <w:rsid w:val="005C694B"/>
    <w:rsid w:val="005F08C5"/>
    <w:rsid w:val="005F5AFF"/>
    <w:rsid w:val="005F64DE"/>
    <w:rsid w:val="00605CCD"/>
    <w:rsid w:val="00610161"/>
    <w:rsid w:val="00610219"/>
    <w:rsid w:val="00612D32"/>
    <w:rsid w:val="006137BA"/>
    <w:rsid w:val="00636758"/>
    <w:rsid w:val="00637A50"/>
    <w:rsid w:val="00641CE1"/>
    <w:rsid w:val="006433EB"/>
    <w:rsid w:val="00653397"/>
    <w:rsid w:val="006559D6"/>
    <w:rsid w:val="0065653F"/>
    <w:rsid w:val="00666056"/>
    <w:rsid w:val="006670B9"/>
    <w:rsid w:val="00674944"/>
    <w:rsid w:val="006759A9"/>
    <w:rsid w:val="0069086F"/>
    <w:rsid w:val="00693346"/>
    <w:rsid w:val="006A64CD"/>
    <w:rsid w:val="006A775F"/>
    <w:rsid w:val="006B349C"/>
    <w:rsid w:val="006C3F84"/>
    <w:rsid w:val="006D0487"/>
    <w:rsid w:val="006D6161"/>
    <w:rsid w:val="006E09C0"/>
    <w:rsid w:val="006F4F42"/>
    <w:rsid w:val="00705BA8"/>
    <w:rsid w:val="00713FC4"/>
    <w:rsid w:val="007171E8"/>
    <w:rsid w:val="00731366"/>
    <w:rsid w:val="00734573"/>
    <w:rsid w:val="00737057"/>
    <w:rsid w:val="0074201B"/>
    <w:rsid w:val="007438B9"/>
    <w:rsid w:val="00744D59"/>
    <w:rsid w:val="00752B74"/>
    <w:rsid w:val="0075491D"/>
    <w:rsid w:val="00774204"/>
    <w:rsid w:val="0077519E"/>
    <w:rsid w:val="00776477"/>
    <w:rsid w:val="00786974"/>
    <w:rsid w:val="007A2500"/>
    <w:rsid w:val="007B1211"/>
    <w:rsid w:val="007B7C0F"/>
    <w:rsid w:val="007C02FF"/>
    <w:rsid w:val="007C08B7"/>
    <w:rsid w:val="007C3001"/>
    <w:rsid w:val="007C390C"/>
    <w:rsid w:val="007C4D73"/>
    <w:rsid w:val="007D21F1"/>
    <w:rsid w:val="007E1A28"/>
    <w:rsid w:val="007E3F25"/>
    <w:rsid w:val="007E6149"/>
    <w:rsid w:val="007E7206"/>
    <w:rsid w:val="007F14E1"/>
    <w:rsid w:val="0080103E"/>
    <w:rsid w:val="00803BBD"/>
    <w:rsid w:val="00804E20"/>
    <w:rsid w:val="00806AB9"/>
    <w:rsid w:val="00810BCD"/>
    <w:rsid w:val="00811B2F"/>
    <w:rsid w:val="00813499"/>
    <w:rsid w:val="00816FFD"/>
    <w:rsid w:val="008233DC"/>
    <w:rsid w:val="00824C42"/>
    <w:rsid w:val="00824FEC"/>
    <w:rsid w:val="00826041"/>
    <w:rsid w:val="0083768A"/>
    <w:rsid w:val="00841F24"/>
    <w:rsid w:val="008445DF"/>
    <w:rsid w:val="00846874"/>
    <w:rsid w:val="0085309E"/>
    <w:rsid w:val="00862653"/>
    <w:rsid w:val="00864A31"/>
    <w:rsid w:val="008651AC"/>
    <w:rsid w:val="00870FB2"/>
    <w:rsid w:val="00871AE8"/>
    <w:rsid w:val="008738AF"/>
    <w:rsid w:val="00874B82"/>
    <w:rsid w:val="008812BB"/>
    <w:rsid w:val="00886A3C"/>
    <w:rsid w:val="00896A51"/>
    <w:rsid w:val="00897E88"/>
    <w:rsid w:val="008A42F1"/>
    <w:rsid w:val="008B30DC"/>
    <w:rsid w:val="008B5CEF"/>
    <w:rsid w:val="008C29D4"/>
    <w:rsid w:val="008D075D"/>
    <w:rsid w:val="008D177B"/>
    <w:rsid w:val="008D51B9"/>
    <w:rsid w:val="008F1B85"/>
    <w:rsid w:val="008F2CA0"/>
    <w:rsid w:val="008F62EA"/>
    <w:rsid w:val="008F7030"/>
    <w:rsid w:val="00902F08"/>
    <w:rsid w:val="009037F1"/>
    <w:rsid w:val="0091002E"/>
    <w:rsid w:val="009118B6"/>
    <w:rsid w:val="00912D77"/>
    <w:rsid w:val="009169F9"/>
    <w:rsid w:val="00920915"/>
    <w:rsid w:val="00921D06"/>
    <w:rsid w:val="009301CB"/>
    <w:rsid w:val="00932B06"/>
    <w:rsid w:val="00936393"/>
    <w:rsid w:val="009433C8"/>
    <w:rsid w:val="00952DF1"/>
    <w:rsid w:val="00962288"/>
    <w:rsid w:val="00962AC7"/>
    <w:rsid w:val="00973808"/>
    <w:rsid w:val="00986236"/>
    <w:rsid w:val="00986324"/>
    <w:rsid w:val="0099553D"/>
    <w:rsid w:val="009974AE"/>
    <w:rsid w:val="009A7786"/>
    <w:rsid w:val="009B1194"/>
    <w:rsid w:val="009B361D"/>
    <w:rsid w:val="009C1D42"/>
    <w:rsid w:val="009C22B1"/>
    <w:rsid w:val="009D61CE"/>
    <w:rsid w:val="009E6B6F"/>
    <w:rsid w:val="009F0482"/>
    <w:rsid w:val="009F39FF"/>
    <w:rsid w:val="00A020C0"/>
    <w:rsid w:val="00A02F42"/>
    <w:rsid w:val="00A05975"/>
    <w:rsid w:val="00A148FE"/>
    <w:rsid w:val="00A174EA"/>
    <w:rsid w:val="00A31604"/>
    <w:rsid w:val="00A3287E"/>
    <w:rsid w:val="00A424B1"/>
    <w:rsid w:val="00A46580"/>
    <w:rsid w:val="00A504CF"/>
    <w:rsid w:val="00A7270C"/>
    <w:rsid w:val="00A75499"/>
    <w:rsid w:val="00A75B4E"/>
    <w:rsid w:val="00A840E4"/>
    <w:rsid w:val="00A977DC"/>
    <w:rsid w:val="00AA2B73"/>
    <w:rsid w:val="00AA5BCB"/>
    <w:rsid w:val="00AB2A80"/>
    <w:rsid w:val="00AB3F4F"/>
    <w:rsid w:val="00AB7155"/>
    <w:rsid w:val="00AC0BE6"/>
    <w:rsid w:val="00AC419B"/>
    <w:rsid w:val="00AE0202"/>
    <w:rsid w:val="00AE1D46"/>
    <w:rsid w:val="00AF327B"/>
    <w:rsid w:val="00B033D0"/>
    <w:rsid w:val="00B04FC0"/>
    <w:rsid w:val="00B13770"/>
    <w:rsid w:val="00B25603"/>
    <w:rsid w:val="00B31E95"/>
    <w:rsid w:val="00B41AA8"/>
    <w:rsid w:val="00B450AE"/>
    <w:rsid w:val="00B45477"/>
    <w:rsid w:val="00B4578F"/>
    <w:rsid w:val="00B51642"/>
    <w:rsid w:val="00B661F3"/>
    <w:rsid w:val="00B6645B"/>
    <w:rsid w:val="00B71098"/>
    <w:rsid w:val="00B725D6"/>
    <w:rsid w:val="00B76EE5"/>
    <w:rsid w:val="00B92A44"/>
    <w:rsid w:val="00B95C14"/>
    <w:rsid w:val="00B968FF"/>
    <w:rsid w:val="00BA60E9"/>
    <w:rsid w:val="00BB34DE"/>
    <w:rsid w:val="00BC2782"/>
    <w:rsid w:val="00BC56F0"/>
    <w:rsid w:val="00BE1CC2"/>
    <w:rsid w:val="00BE76D0"/>
    <w:rsid w:val="00BE779F"/>
    <w:rsid w:val="00BF02E0"/>
    <w:rsid w:val="00BF3A11"/>
    <w:rsid w:val="00C0192F"/>
    <w:rsid w:val="00C05E71"/>
    <w:rsid w:val="00C069FD"/>
    <w:rsid w:val="00C218AA"/>
    <w:rsid w:val="00C27547"/>
    <w:rsid w:val="00C341AD"/>
    <w:rsid w:val="00C366BF"/>
    <w:rsid w:val="00C45D71"/>
    <w:rsid w:val="00C56391"/>
    <w:rsid w:val="00C64BB2"/>
    <w:rsid w:val="00C66535"/>
    <w:rsid w:val="00C67A1D"/>
    <w:rsid w:val="00C86752"/>
    <w:rsid w:val="00C93C3A"/>
    <w:rsid w:val="00C957A9"/>
    <w:rsid w:val="00CA1FBD"/>
    <w:rsid w:val="00CB5D3E"/>
    <w:rsid w:val="00CC4FE1"/>
    <w:rsid w:val="00CC5937"/>
    <w:rsid w:val="00CE0A10"/>
    <w:rsid w:val="00CE0EEF"/>
    <w:rsid w:val="00CE2ECD"/>
    <w:rsid w:val="00D1253D"/>
    <w:rsid w:val="00D12CBB"/>
    <w:rsid w:val="00D27FCD"/>
    <w:rsid w:val="00D30DE2"/>
    <w:rsid w:val="00D4201C"/>
    <w:rsid w:val="00D44778"/>
    <w:rsid w:val="00D51A29"/>
    <w:rsid w:val="00D54D23"/>
    <w:rsid w:val="00D56A42"/>
    <w:rsid w:val="00D6143D"/>
    <w:rsid w:val="00D63B1A"/>
    <w:rsid w:val="00D6487E"/>
    <w:rsid w:val="00D7054F"/>
    <w:rsid w:val="00D77E69"/>
    <w:rsid w:val="00D9211D"/>
    <w:rsid w:val="00D932D5"/>
    <w:rsid w:val="00D93816"/>
    <w:rsid w:val="00DB5A95"/>
    <w:rsid w:val="00DC5719"/>
    <w:rsid w:val="00DD20D5"/>
    <w:rsid w:val="00DE7437"/>
    <w:rsid w:val="00DF147F"/>
    <w:rsid w:val="00DF4BDA"/>
    <w:rsid w:val="00DF744A"/>
    <w:rsid w:val="00E0793E"/>
    <w:rsid w:val="00E10EEE"/>
    <w:rsid w:val="00E306ED"/>
    <w:rsid w:val="00E31AE0"/>
    <w:rsid w:val="00E31DCE"/>
    <w:rsid w:val="00E331E8"/>
    <w:rsid w:val="00E35B2A"/>
    <w:rsid w:val="00E56173"/>
    <w:rsid w:val="00E67EF5"/>
    <w:rsid w:val="00E715BA"/>
    <w:rsid w:val="00E7518F"/>
    <w:rsid w:val="00E86D17"/>
    <w:rsid w:val="00E92DE5"/>
    <w:rsid w:val="00EA17F8"/>
    <w:rsid w:val="00EC5883"/>
    <w:rsid w:val="00ED1407"/>
    <w:rsid w:val="00EE0282"/>
    <w:rsid w:val="00EE41F1"/>
    <w:rsid w:val="00EE4769"/>
    <w:rsid w:val="00EE546B"/>
    <w:rsid w:val="00F05B83"/>
    <w:rsid w:val="00F05CE0"/>
    <w:rsid w:val="00F067C3"/>
    <w:rsid w:val="00F10042"/>
    <w:rsid w:val="00F14AEA"/>
    <w:rsid w:val="00F20CFE"/>
    <w:rsid w:val="00F2433D"/>
    <w:rsid w:val="00F27D0B"/>
    <w:rsid w:val="00F523AB"/>
    <w:rsid w:val="00F526CD"/>
    <w:rsid w:val="00F73BD9"/>
    <w:rsid w:val="00F85050"/>
    <w:rsid w:val="00FA1FB0"/>
    <w:rsid w:val="00FA4F22"/>
    <w:rsid w:val="00FB14DD"/>
    <w:rsid w:val="00FB645F"/>
    <w:rsid w:val="00FC2116"/>
    <w:rsid w:val="00FC36D8"/>
    <w:rsid w:val="00FC3E3F"/>
    <w:rsid w:val="00FF0C24"/>
    <w:rsid w:val="00FF7036"/>
    <w:rsid w:val="00FF7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B14C67"/>
  <w15:docId w15:val="{BE299E8A-9D1F-45B9-BCA9-4E9917EC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D0487"/>
    <w:pPr>
      <w:keepNext/>
      <w:spacing w:after="0" w:line="240" w:lineRule="auto"/>
      <w:outlineLvl w:val="0"/>
    </w:pPr>
    <w:rPr>
      <w:rFonts w:ascii="Arial" w:eastAsia="Times New Roman" w:hAnsi="Arial"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E86D17"/>
    <w:pPr>
      <w:widowControl w:val="0"/>
      <w:spacing w:after="0" w:line="240" w:lineRule="auto"/>
    </w:pPr>
    <w:rPr>
      <w:rFonts w:ascii="Courier New" w:eastAsia="Times New Roman" w:hAnsi="Courier New" w:cs="Times New Roman"/>
      <w:sz w:val="24"/>
      <w:szCs w:val="20"/>
    </w:rPr>
  </w:style>
  <w:style w:type="character" w:customStyle="1" w:styleId="BodyText2Char">
    <w:name w:val="Body Text 2 Char"/>
    <w:basedOn w:val="DefaultParagraphFont"/>
    <w:link w:val="BodyText2"/>
    <w:rsid w:val="00E86D17"/>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E86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D17"/>
    <w:rPr>
      <w:rFonts w:ascii="Tahoma" w:hAnsi="Tahoma" w:cs="Tahoma"/>
      <w:sz w:val="16"/>
      <w:szCs w:val="16"/>
    </w:rPr>
  </w:style>
  <w:style w:type="paragraph" w:styleId="ListParagraph">
    <w:name w:val="List Paragraph"/>
    <w:basedOn w:val="Normal"/>
    <w:qFormat/>
    <w:rsid w:val="004B7279"/>
    <w:pPr>
      <w:spacing w:after="0" w:line="240" w:lineRule="auto"/>
      <w:ind w:left="720"/>
      <w:contextualSpacing/>
    </w:pPr>
    <w:rPr>
      <w:rFonts w:eastAsiaTheme="minorEastAsia"/>
      <w:sz w:val="24"/>
      <w:szCs w:val="24"/>
    </w:rPr>
  </w:style>
  <w:style w:type="paragraph" w:customStyle="1" w:styleId="EndNoteBibliographyTitle">
    <w:name w:val="EndNote Bibliography Title"/>
    <w:basedOn w:val="Normal"/>
    <w:link w:val="EndNoteBibliographyTitleChar"/>
    <w:rsid w:val="00FC2116"/>
    <w:pPr>
      <w:spacing w:after="0"/>
      <w:jc w:val="center"/>
    </w:pPr>
    <w:rPr>
      <w:rFonts w:ascii="Calibri" w:hAnsi="Calibri" w:cs="Calibri"/>
    </w:rPr>
  </w:style>
  <w:style w:type="paragraph" w:customStyle="1" w:styleId="EndNoteBibliography">
    <w:name w:val="EndNote Bibliography"/>
    <w:basedOn w:val="Normal"/>
    <w:rsid w:val="00FC2116"/>
    <w:pPr>
      <w:spacing w:line="240" w:lineRule="auto"/>
    </w:pPr>
    <w:rPr>
      <w:rFonts w:ascii="Calibri" w:hAnsi="Calibri" w:cs="Calibri"/>
    </w:rPr>
  </w:style>
  <w:style w:type="paragraph" w:styleId="Footer">
    <w:name w:val="footer"/>
    <w:basedOn w:val="Normal"/>
    <w:link w:val="FooterChar"/>
    <w:uiPriority w:val="99"/>
    <w:unhideWhenUsed/>
    <w:rsid w:val="000C6A52"/>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6A52"/>
  </w:style>
  <w:style w:type="character" w:styleId="PageNumber">
    <w:name w:val="page number"/>
    <w:basedOn w:val="DefaultParagraphFont"/>
    <w:uiPriority w:val="99"/>
    <w:semiHidden/>
    <w:unhideWhenUsed/>
    <w:rsid w:val="000C6A52"/>
  </w:style>
  <w:style w:type="character" w:customStyle="1" w:styleId="ja50-ce-para8">
    <w:name w:val="ja50-ce-para8"/>
    <w:basedOn w:val="DefaultParagraphFont"/>
    <w:rsid w:val="00B76EE5"/>
  </w:style>
  <w:style w:type="character" w:customStyle="1" w:styleId="EndNoteBibliographyTitleChar">
    <w:name w:val="EndNote Bibliography Title Char"/>
    <w:link w:val="EndNoteBibliographyTitle"/>
    <w:rsid w:val="00B76EE5"/>
    <w:rPr>
      <w:rFonts w:ascii="Calibri" w:hAnsi="Calibri" w:cs="Calibri"/>
    </w:rPr>
  </w:style>
  <w:style w:type="paragraph" w:customStyle="1" w:styleId="ColorfulList-Accent11">
    <w:name w:val="Colorful List - Accent 11"/>
    <w:basedOn w:val="Normal"/>
    <w:uiPriority w:val="34"/>
    <w:qFormat/>
    <w:rsid w:val="00003109"/>
    <w:pPr>
      <w:spacing w:after="0" w:line="240" w:lineRule="auto"/>
      <w:ind w:left="720"/>
      <w:contextualSpacing/>
    </w:pPr>
    <w:rPr>
      <w:rFonts w:ascii="Times New Roman" w:eastAsia="MS ??" w:hAnsi="Times New Roman" w:cs="Times New Roman"/>
      <w:sz w:val="24"/>
      <w:szCs w:val="24"/>
    </w:rPr>
  </w:style>
  <w:style w:type="character" w:customStyle="1" w:styleId="Heading1Char">
    <w:name w:val="Heading 1 Char"/>
    <w:basedOn w:val="DefaultParagraphFont"/>
    <w:link w:val="Heading1"/>
    <w:rsid w:val="006D0487"/>
    <w:rPr>
      <w:rFonts w:ascii="Arial" w:eastAsia="Times New Roman" w:hAnsi="Arial" w:cs="Times New Roman"/>
      <w:b/>
      <w:szCs w:val="20"/>
    </w:rPr>
  </w:style>
  <w:style w:type="paragraph" w:styleId="NormalWeb">
    <w:name w:val="Normal (Web)"/>
    <w:basedOn w:val="Normal"/>
    <w:rsid w:val="00E31AE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31AE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31AE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31A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695784">
      <w:bodyDiv w:val="1"/>
      <w:marLeft w:val="0"/>
      <w:marRight w:val="0"/>
      <w:marTop w:val="0"/>
      <w:marBottom w:val="0"/>
      <w:divBdr>
        <w:top w:val="none" w:sz="0" w:space="0" w:color="auto"/>
        <w:left w:val="none" w:sz="0" w:space="0" w:color="auto"/>
        <w:bottom w:val="none" w:sz="0" w:space="0" w:color="auto"/>
        <w:right w:val="none" w:sz="0" w:space="0" w:color="auto"/>
      </w:divBdr>
    </w:div>
    <w:div w:id="494615449">
      <w:bodyDiv w:val="1"/>
      <w:marLeft w:val="0"/>
      <w:marRight w:val="0"/>
      <w:marTop w:val="0"/>
      <w:marBottom w:val="0"/>
      <w:divBdr>
        <w:top w:val="none" w:sz="0" w:space="0" w:color="auto"/>
        <w:left w:val="none" w:sz="0" w:space="0" w:color="auto"/>
        <w:bottom w:val="none" w:sz="0" w:space="0" w:color="auto"/>
        <w:right w:val="none" w:sz="0" w:space="0" w:color="auto"/>
      </w:divBdr>
    </w:div>
    <w:div w:id="533348970">
      <w:bodyDiv w:val="1"/>
      <w:marLeft w:val="0"/>
      <w:marRight w:val="0"/>
      <w:marTop w:val="0"/>
      <w:marBottom w:val="0"/>
      <w:divBdr>
        <w:top w:val="none" w:sz="0" w:space="0" w:color="auto"/>
        <w:left w:val="none" w:sz="0" w:space="0" w:color="auto"/>
        <w:bottom w:val="none" w:sz="0" w:space="0" w:color="auto"/>
        <w:right w:val="none" w:sz="0" w:space="0" w:color="auto"/>
      </w:divBdr>
    </w:div>
    <w:div w:id="7468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makohn/Box%20Sync/EBD/EBD-2/EBD2-PROBLEMS/Ch07/Ch07Problems/WellsDimerPresenta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makohn/Box%20Sync/EBD/EBD-2/EBD2-PROBLEMS/Ch07/Ch07Problems/WellsDimerPresentation.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xVal>
            <c:numRef>
              <c:f>'3-level'!$U$67:$U$75</c:f>
              <c:numCache>
                <c:formatCode>0.0%</c:formatCode>
                <c:ptCount val="9"/>
                <c:pt idx="0">
                  <c:v>0.75</c:v>
                </c:pt>
                <c:pt idx="1">
                  <c:v>0.33333333333333331</c:v>
                </c:pt>
                <c:pt idx="2">
                  <c:v>0.05</c:v>
                </c:pt>
                <c:pt idx="3">
                  <c:v>0.4</c:v>
                </c:pt>
                <c:pt idx="4">
                  <c:v>0.1</c:v>
                </c:pt>
                <c:pt idx="5">
                  <c:v>0.01</c:v>
                </c:pt>
                <c:pt idx="6">
                  <c:v>0.2</c:v>
                </c:pt>
                <c:pt idx="7">
                  <c:v>0.04</c:v>
                </c:pt>
                <c:pt idx="8">
                  <c:v>4.0000000000000001E-3</c:v>
                </c:pt>
              </c:numCache>
            </c:numRef>
          </c:xVal>
          <c:yVal>
            <c:numRef>
              <c:f>'3-level'!$T$67:$T$75</c:f>
              <c:numCache>
                <c:formatCode>0.0%</c:formatCode>
                <c:ptCount val="9"/>
                <c:pt idx="0">
                  <c:v>0.60113960113960119</c:v>
                </c:pt>
                <c:pt idx="1">
                  <c:v>0.19753086419753085</c:v>
                </c:pt>
                <c:pt idx="2">
                  <c:v>0.15151515151515152</c:v>
                </c:pt>
                <c:pt idx="3">
                  <c:v>0.39363354037267079</c:v>
                </c:pt>
                <c:pt idx="4">
                  <c:v>0.1035548686244204</c:v>
                </c:pt>
                <c:pt idx="5">
                  <c:v>1.3777267508610792E-2</c:v>
                </c:pt>
                <c:pt idx="6">
                  <c:v>0.23157894736842105</c:v>
                </c:pt>
                <c:pt idx="7">
                  <c:v>4.3806646525679761E-2</c:v>
                </c:pt>
                <c:pt idx="8">
                  <c:v>1.6326530612244899E-3</c:v>
                </c:pt>
              </c:numCache>
            </c:numRef>
          </c:yVal>
          <c:smooth val="0"/>
          <c:extLst>
            <c:ext xmlns:c16="http://schemas.microsoft.com/office/drawing/2014/chart" uri="{C3380CC4-5D6E-409C-BE32-E72D297353CC}">
              <c16:uniqueId val="{00000000-CC60-BF41-99CD-6A47428359BC}"/>
            </c:ext>
          </c:extLst>
        </c:ser>
        <c:ser>
          <c:idx val="1"/>
          <c:order val="1"/>
          <c:spPr>
            <a:ln w="6350" cap="rnd">
              <a:solidFill>
                <a:srgbClr val="C00000"/>
              </a:solidFill>
              <a:round/>
            </a:ln>
            <a:effectLst/>
          </c:spPr>
          <c:marker>
            <c:symbol val="circle"/>
            <c:size val="5"/>
            <c:spPr>
              <a:solidFill>
                <a:schemeClr val="accent2"/>
              </a:solidFill>
              <a:ln w="9525">
                <a:solidFill>
                  <a:schemeClr val="accent2"/>
                </a:solidFill>
              </a:ln>
              <a:effectLst/>
            </c:spPr>
          </c:marker>
          <c:xVal>
            <c:numRef>
              <c:f>'3-level'!$T$77:$T$78</c:f>
              <c:numCache>
                <c:formatCode>0%</c:formatCode>
                <c:ptCount val="2"/>
                <c:pt idx="0">
                  <c:v>0</c:v>
                </c:pt>
                <c:pt idx="1">
                  <c:v>0.8</c:v>
                </c:pt>
              </c:numCache>
            </c:numRef>
          </c:xVal>
          <c:yVal>
            <c:numRef>
              <c:f>'3-level'!$V$77:$V$78</c:f>
              <c:numCache>
                <c:formatCode>0%</c:formatCode>
                <c:ptCount val="2"/>
                <c:pt idx="0">
                  <c:v>0</c:v>
                </c:pt>
                <c:pt idx="1">
                  <c:v>0.8</c:v>
                </c:pt>
              </c:numCache>
            </c:numRef>
          </c:yVal>
          <c:smooth val="0"/>
          <c:extLst>
            <c:ext xmlns:c16="http://schemas.microsoft.com/office/drawing/2014/chart" uri="{C3380CC4-5D6E-409C-BE32-E72D297353CC}">
              <c16:uniqueId val="{00000001-CC60-BF41-99CD-6A47428359BC}"/>
            </c:ext>
          </c:extLst>
        </c:ser>
        <c:dLbls>
          <c:showLegendKey val="0"/>
          <c:showVal val="0"/>
          <c:showCatName val="0"/>
          <c:showSerName val="0"/>
          <c:showPercent val="0"/>
          <c:showBubbleSize val="0"/>
        </c:dLbls>
        <c:axId val="496576072"/>
        <c:axId val="496576400"/>
      </c:scatterChart>
      <c:valAx>
        <c:axId val="496576072"/>
        <c:scaling>
          <c:orientation val="minMax"/>
          <c:max val="0.8"/>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Predicted PE Probability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6576400"/>
        <c:crosses val="autoZero"/>
        <c:crossBetween val="midCat"/>
      </c:valAx>
      <c:valAx>
        <c:axId val="496576400"/>
        <c:scaling>
          <c:orientation val="minMax"/>
          <c:max val="0.8"/>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Observed Proportion with PE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657607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ROC!$G$18:$G$27</c:f>
              <c:numCache>
                <c:formatCode>0%</c:formatCode>
                <c:ptCount val="10"/>
                <c:pt idx="0" formatCode="General">
                  <c:v>0</c:v>
                </c:pt>
                <c:pt idx="1">
                  <c:v>2.8191703584373742E-2</c:v>
                </c:pt>
                <c:pt idx="2">
                  <c:v>0.18546113572291584</c:v>
                </c:pt>
                <c:pt idx="3">
                  <c:v>0.19855014095851792</c:v>
                </c:pt>
                <c:pt idx="4">
                  <c:v>0.33084977849375752</c:v>
                </c:pt>
                <c:pt idx="5">
                  <c:v>0.44764397905759157</c:v>
                </c:pt>
                <c:pt idx="6">
                  <c:v>0.45328231977446631</c:v>
                </c:pt>
                <c:pt idx="7">
                  <c:v>0.58074909383809903</c:v>
                </c:pt>
                <c:pt idx="8">
                  <c:v>0.75372533225936367</c:v>
                </c:pt>
                <c:pt idx="9">
                  <c:v>1</c:v>
                </c:pt>
              </c:numCache>
            </c:numRef>
          </c:xVal>
          <c:yVal>
            <c:numRef>
              <c:f>ROC!$E$18:$E$27</c:f>
              <c:numCache>
                <c:formatCode>0%</c:formatCode>
                <c:ptCount val="10"/>
                <c:pt idx="0" formatCode="General">
                  <c:v>0</c:v>
                </c:pt>
                <c:pt idx="1">
                  <c:v>0.20152817574021012</c:v>
                </c:pt>
                <c:pt idx="2">
                  <c:v>0.68576886341929322</c:v>
                </c:pt>
                <c:pt idx="3">
                  <c:v>0.70105062082139447</c:v>
                </c:pt>
                <c:pt idx="4">
                  <c:v>0.8901623686723974</c:v>
                </c:pt>
                <c:pt idx="5">
                  <c:v>0.95415472779369637</c:v>
                </c:pt>
                <c:pt idx="6">
                  <c:v>0.95893027698185296</c:v>
                </c:pt>
                <c:pt idx="7">
                  <c:v>0.98662846227316148</c:v>
                </c:pt>
                <c:pt idx="8">
                  <c:v>0.99808978032473739</c:v>
                </c:pt>
                <c:pt idx="9">
                  <c:v>1</c:v>
                </c:pt>
              </c:numCache>
            </c:numRef>
          </c:yVal>
          <c:smooth val="0"/>
          <c:extLst>
            <c:ext xmlns:c16="http://schemas.microsoft.com/office/drawing/2014/chart" uri="{C3380CC4-5D6E-409C-BE32-E72D297353CC}">
              <c16:uniqueId val="{00000000-7282-8A46-AAD3-1FF5AC3C8E12}"/>
            </c:ext>
          </c:extLst>
        </c:ser>
        <c:dLbls>
          <c:showLegendKey val="0"/>
          <c:showVal val="0"/>
          <c:showCatName val="0"/>
          <c:showSerName val="0"/>
          <c:showPercent val="0"/>
          <c:showBubbleSize val="0"/>
        </c:dLbls>
        <c:axId val="633397576"/>
        <c:axId val="633397904"/>
      </c:scatterChart>
      <c:valAx>
        <c:axId val="633397576"/>
        <c:scaling>
          <c:orientation val="minMax"/>
          <c:max val="1"/>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1</a:t>
                </a:r>
                <a:r>
                  <a:rPr lang="en-US" baseline="0"/>
                  <a:t> - Specificity</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3397904"/>
        <c:crosses val="autoZero"/>
        <c:crossBetween val="midCat"/>
      </c:valAx>
      <c:valAx>
        <c:axId val="633397904"/>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br>
                  <a:rPr lang="en-US"/>
                </a:br>
                <a:r>
                  <a:rPr lang="en-US"/>
                  <a:t>Sensitivity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339757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07D81-4718-F84B-978B-9CCC3E35C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2730</Words>
  <Characters>15566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Christenson</dc:creator>
  <cp:lastModifiedBy>Michael Kohn</cp:lastModifiedBy>
  <cp:revision>5</cp:revision>
  <dcterms:created xsi:type="dcterms:W3CDTF">2018-10-26T05:40:00Z</dcterms:created>
  <dcterms:modified xsi:type="dcterms:W3CDTF">2018-10-26T05:47:00Z</dcterms:modified>
</cp:coreProperties>
</file>