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9C812" w14:textId="77777777" w:rsidR="00EC5C42" w:rsidRDefault="00D41DA8" w:rsidP="00EC5C42">
      <w:pPr>
        <w:pStyle w:val="Heading2"/>
        <w:spacing w:line="480" w:lineRule="auto"/>
      </w:pPr>
      <w:bookmarkStart w:id="0" w:name="_Toc447081166"/>
      <w:r>
        <w:t>Epidemiology 245, Spring 2018</w:t>
      </w:r>
    </w:p>
    <w:p w14:paraId="630CFDAE" w14:textId="77777777" w:rsidR="00EC5C42" w:rsidRPr="005416A7" w:rsidRDefault="00D41DA8" w:rsidP="00EC5C42">
      <w:pPr>
        <w:pStyle w:val="Heading2"/>
        <w:spacing w:line="480" w:lineRule="auto"/>
        <w:rPr>
          <w:rFonts w:ascii="Times" w:hAnsi="Times"/>
          <w:sz w:val="22"/>
          <w:szCs w:val="22"/>
        </w:rPr>
      </w:pPr>
      <w:r>
        <w:rPr>
          <w:rFonts w:ascii="Times" w:hAnsi="Times"/>
          <w:sz w:val="22"/>
          <w:szCs w:val="22"/>
        </w:rPr>
        <w:t>Assignment 4</w:t>
      </w:r>
      <w:r w:rsidR="00EC5C42" w:rsidRPr="005416A7">
        <w:rPr>
          <w:rFonts w:ascii="Times" w:hAnsi="Times"/>
          <w:sz w:val="22"/>
          <w:szCs w:val="22"/>
        </w:rPr>
        <w:t xml:space="preserve"> – Intervention </w:t>
      </w:r>
      <w:bookmarkEnd w:id="0"/>
      <w:r w:rsidR="00EC5C42">
        <w:rPr>
          <w:rFonts w:ascii="Times" w:hAnsi="Times"/>
          <w:sz w:val="22"/>
          <w:szCs w:val="22"/>
        </w:rPr>
        <w:t>Conceptualization and Specification</w:t>
      </w:r>
    </w:p>
    <w:p w14:paraId="046CDD52" w14:textId="77777777" w:rsidR="00EC5C42" w:rsidRPr="00EC5C42" w:rsidRDefault="00EC5C42" w:rsidP="00EC5C42">
      <w:pPr>
        <w:spacing w:line="480" w:lineRule="auto"/>
        <w:rPr>
          <w:rFonts w:ascii="Times" w:hAnsi="Times"/>
        </w:rPr>
      </w:pPr>
      <w:r w:rsidRPr="00EC5C42">
        <w:rPr>
          <w:rFonts w:ascii="Times" w:hAnsi="Times"/>
        </w:rPr>
        <w:t>With a gap analysis in hand, this week’s assignment turns to conceptualization of an intervention to close the gap.   The intervention should address the gap identified</w:t>
      </w:r>
      <w:r>
        <w:rPr>
          <w:rFonts w:ascii="Times" w:hAnsi="Times"/>
        </w:rPr>
        <w:t xml:space="preserve">.  </w:t>
      </w:r>
      <w:r w:rsidRPr="00EC5C42">
        <w:rPr>
          <w:rFonts w:ascii="Times" w:hAnsi="Times"/>
        </w:rPr>
        <w:t>For this assignment</w:t>
      </w:r>
      <w:r>
        <w:rPr>
          <w:rFonts w:ascii="Times" w:hAnsi="Times"/>
        </w:rPr>
        <w:t xml:space="preserve"> we will </w:t>
      </w:r>
      <w:r w:rsidRPr="00EC5C42">
        <w:rPr>
          <w:rFonts w:ascii="Times" w:hAnsi="Times"/>
        </w:rPr>
        <w:t>apply Proctor’s framework</w:t>
      </w:r>
      <w:r>
        <w:rPr>
          <w:rFonts w:ascii="Times" w:hAnsi="Times"/>
        </w:rPr>
        <w:t xml:space="preserve"> </w:t>
      </w:r>
      <w:r>
        <w:rPr>
          <w:rFonts w:ascii="Times" w:hAnsi="Times"/>
        </w:rPr>
        <w:fldChar w:fldCharType="begin"/>
      </w:r>
      <w:r w:rsidR="00F3258B">
        <w:rPr>
          <w:rFonts w:ascii="Times" w:hAnsi="Times"/>
        </w:rPr>
        <w:instrText xml:space="preserve"> ADDIN EN.CITE &lt;EndNote&gt;&lt;Cite&gt;&lt;Author&gt;Proctor&lt;/Author&gt;&lt;Year&gt;2013&lt;/Year&gt;&lt;RecNum&gt;2364&lt;/RecNum&gt;&lt;DisplayText&gt;[1]&lt;/DisplayText&gt;&lt;record&gt;&lt;rec-number&gt;2364&lt;/rec-number&gt;&lt;foreign-keys&gt;&lt;key app="EN" db-id="sfpwd0ascd0xfjeawvaxszdl99zxwf5wpatz"&gt;2364&lt;/key&gt;&lt;/foreign-keys&gt;&lt;ref-type name="Journal Article"&gt;17&lt;/ref-type&gt;&lt;contributors&gt;&lt;authors&gt;&lt;author&gt;Proctor, Enola K&lt;/author&gt;&lt;author&gt;Powell, Byron J&lt;/author&gt;&lt;author&gt;McMillen, J Curtis&lt;/author&gt;&lt;/authors&gt;&lt;/contributors&gt;&lt;titles&gt;&lt;title&gt;Implementation strategies: recommendations for specifying and reporting&lt;/title&gt;&lt;secondary-title&gt;Implementation Science&lt;/secondary-title&gt;&lt;/titles&gt;&lt;periodical&gt;&lt;full-title&gt;Implementation Science&lt;/full-title&gt;&lt;abbr-1&gt;Implement Sci&lt;/abbr-1&gt;&lt;/periodical&gt;&lt;pages&gt;139&lt;/pages&gt;&lt;volume&gt;8&lt;/volume&gt;&lt;number&gt;1&lt;/number&gt;&lt;dates&gt;&lt;year&gt;2013&lt;/year&gt;&lt;/dates&gt;&lt;isbn&gt;1748-5908&lt;/isbn&gt;&lt;urls&gt;&lt;/urls&gt;&lt;/record&gt;&lt;/Cite&gt;&lt;/EndNote&gt;</w:instrText>
      </w:r>
      <w:r>
        <w:rPr>
          <w:rFonts w:ascii="Times" w:hAnsi="Times"/>
        </w:rPr>
        <w:fldChar w:fldCharType="separate"/>
      </w:r>
      <w:r w:rsidR="00F3258B">
        <w:rPr>
          <w:rFonts w:ascii="Times" w:hAnsi="Times"/>
          <w:noProof/>
        </w:rPr>
        <w:t>[</w:t>
      </w:r>
      <w:hyperlink w:anchor="_ENREF_1" w:tooltip="Proctor, 2013 #2364" w:history="1">
        <w:r w:rsidR="00F3258B">
          <w:rPr>
            <w:rFonts w:ascii="Times" w:hAnsi="Times"/>
            <w:noProof/>
          </w:rPr>
          <w:t>1</w:t>
        </w:r>
      </w:hyperlink>
      <w:r w:rsidR="00F3258B">
        <w:rPr>
          <w:rFonts w:ascii="Times" w:hAnsi="Times"/>
          <w:noProof/>
        </w:rPr>
        <w:t>]</w:t>
      </w:r>
      <w:r>
        <w:rPr>
          <w:rFonts w:ascii="Times" w:hAnsi="Times"/>
        </w:rPr>
        <w:fldChar w:fldCharType="end"/>
      </w:r>
      <w:r w:rsidRPr="00EC5C42">
        <w:rPr>
          <w:rFonts w:ascii="Times" w:hAnsi="Times"/>
        </w:rPr>
        <w:t xml:space="preserve"> for specification of implementation strategies to the problem that you are taking on.  </w:t>
      </w:r>
      <w:r w:rsidR="00D41DA8">
        <w:rPr>
          <w:rFonts w:ascii="Times" w:hAnsi="Times"/>
        </w:rPr>
        <w:t xml:space="preserve">If your work has not reached the point of an intervention, I would ask you to think about potential interventions and go through this exercise. </w:t>
      </w:r>
      <w:bookmarkStart w:id="1" w:name="_GoBack"/>
      <w:bookmarkEnd w:id="1"/>
    </w:p>
    <w:p w14:paraId="5F7355D9" w14:textId="77777777" w:rsidR="00EC5C42" w:rsidRPr="00EC5C42" w:rsidRDefault="00EC5C42" w:rsidP="00EC5C42">
      <w:pPr>
        <w:pStyle w:val="ListParagraph"/>
        <w:numPr>
          <w:ilvl w:val="0"/>
          <w:numId w:val="1"/>
        </w:numPr>
        <w:spacing w:line="480" w:lineRule="auto"/>
        <w:rPr>
          <w:rFonts w:ascii="Times" w:hAnsi="Times"/>
        </w:rPr>
      </w:pPr>
      <w:r w:rsidRPr="00EC5C42">
        <w:rPr>
          <w:rFonts w:ascii="Times" w:hAnsi="Times"/>
          <w:b/>
        </w:rPr>
        <w:t xml:space="preserve">Offer a name for the intervention </w:t>
      </w:r>
      <w:r>
        <w:rPr>
          <w:rFonts w:ascii="Times" w:hAnsi="Times"/>
          <w:b/>
        </w:rPr>
        <w:t xml:space="preserve">you have come up with </w:t>
      </w:r>
      <w:r w:rsidRPr="00EC5C42">
        <w:rPr>
          <w:rFonts w:ascii="Times" w:hAnsi="Times"/>
          <w:b/>
        </w:rPr>
        <w:t>and a conceptual definition.</w:t>
      </w:r>
      <w:r w:rsidRPr="00EC5C42">
        <w:rPr>
          <w:rFonts w:ascii="Times" w:hAnsi="Times"/>
        </w:rPr>
        <w:t xml:space="preserve">  Describe whether the intervention that you have in mind is related to strategies that have been previously employed.  Does it resemble a strategy that is already widely in use?   Don’t spend too much time on this if you get confused by it, the important questions are coming next. </w:t>
      </w:r>
    </w:p>
    <w:p w14:paraId="66B15579" w14:textId="77777777" w:rsidR="00EC5C42" w:rsidRPr="005416A7" w:rsidRDefault="00EC5C42" w:rsidP="00EC5C42">
      <w:pPr>
        <w:pStyle w:val="ListParagraph"/>
        <w:numPr>
          <w:ilvl w:val="0"/>
          <w:numId w:val="1"/>
        </w:numPr>
        <w:spacing w:line="480" w:lineRule="auto"/>
        <w:rPr>
          <w:rFonts w:ascii="Times" w:hAnsi="Times"/>
        </w:rPr>
      </w:pPr>
      <w:r w:rsidRPr="005416A7">
        <w:rPr>
          <w:rFonts w:ascii="Times" w:hAnsi="Times"/>
          <w:b/>
        </w:rPr>
        <w:t xml:space="preserve">Who is the actor in the intervention? </w:t>
      </w:r>
      <w:r w:rsidRPr="005416A7">
        <w:rPr>
          <w:rFonts w:ascii="Times" w:hAnsi="Times"/>
        </w:rPr>
        <w:t xml:space="preserve"> In any attempt to change the behavior of individual, organizations or systems, there are actors.   Try and think of your actor in generalizable terms.  For example, you may want to influence the prescribing behavior of doctors.  You would imagine that an opinion leader may be the actor in your intervention.   A peer might be an actor – this would be defined as someone who is like the patient who is targeted in some important way.  Perhaps the peer is someone who is also living with HIV </w:t>
      </w:r>
      <w:r w:rsidRPr="005416A7">
        <w:rPr>
          <w:rFonts w:ascii="Times" w:hAnsi="Times"/>
        </w:rPr>
        <w:fldChar w:fldCharType="begin"/>
      </w:r>
      <w:r w:rsidR="00F3258B">
        <w:rPr>
          <w:rFonts w:ascii="Times" w:hAnsi="Times"/>
        </w:rPr>
        <w:instrText xml:space="preserve"> ADDIN EN.CITE &lt;EndNote&gt;&lt;Cite&gt;&lt;Author&gt;Decroo&lt;/Author&gt;&lt;Year&gt;2012&lt;/Year&gt;&lt;RecNum&gt;1465&lt;/RecNum&gt;&lt;DisplayText&gt;[2]&lt;/DisplayText&gt;&lt;record&gt;&lt;rec-number&gt;1465&lt;/rec-number&gt;&lt;foreign-keys&gt;&lt;key app="EN" db-id="sfpwd0ascd0xfjeawvaxszdl99zxwf5wpatz"&gt;1465&lt;/key&gt;&lt;/foreign-keys&gt;&lt;ref-type name="Journal Article"&gt;17&lt;/ref-type&gt;&lt;contributors&gt;&lt;authors&gt;&lt;author&gt;Decroo, T.&lt;/author&gt;&lt;author&gt;Van Damme, W.&lt;/author&gt;&lt;author&gt;Kegels, G.&lt;/author&gt;&lt;author&gt;Remartinez, D.&lt;/author&gt;&lt;author&gt;Rasschaert, F.&lt;/author&gt;&lt;/authors&gt;&lt;/contributors&gt;&lt;auth-address&gt;Medecins Sans Frontieres, Avenue Eduardo Mondlane 38, Tete, Mozambique.&lt;/auth-address&gt;&lt;titles&gt;&lt;title&gt;Are Expert Patients an Untapped Resource for ART Provision in Sub-Saharan Africa?&lt;/title&gt;&lt;secondary-title&gt;AIDS Res Treat&lt;/secondary-title&gt;&lt;alt-title&gt;AIDS research and treatment&lt;/alt-title&gt;&lt;/titles&gt;&lt;alt-periodical&gt;&lt;full-title&gt;AIDS research and treatment&lt;/full-title&gt;&lt;/alt-periodical&gt;&lt;pages&gt;749718&lt;/pages&gt;&lt;volume&gt;2012&lt;/volume&gt;&lt;dates&gt;&lt;year&gt;2012&lt;/year&gt;&lt;/dates&gt;&lt;isbn&gt;2090-1259 (Electronic)&amp;#xD;2090-1240 (Linking)&lt;/isbn&gt;&lt;accession-num&gt;22577527&lt;/accession-num&gt;&lt;urls&gt;&lt;related-urls&gt;&lt;url&gt;http://www.ncbi.nlm.nih.gov/entrez/query.fcgi?cmd=Retrieve&amp;amp;db=PubMed&amp;amp;dopt=Citation&amp;amp;list_uids=22577527 &lt;/url&gt;&lt;/related-urls&gt;&lt;/urls&gt;&lt;language&gt;eng&lt;/language&gt;&lt;/record&gt;&lt;/Cite&gt;&lt;/EndNote&gt;</w:instrText>
      </w:r>
      <w:r w:rsidRPr="005416A7">
        <w:rPr>
          <w:rFonts w:ascii="Times" w:hAnsi="Times"/>
        </w:rPr>
        <w:fldChar w:fldCharType="separate"/>
      </w:r>
      <w:r w:rsidR="00F3258B">
        <w:rPr>
          <w:rFonts w:ascii="Times" w:hAnsi="Times"/>
          <w:noProof/>
        </w:rPr>
        <w:t>[</w:t>
      </w:r>
      <w:hyperlink w:anchor="_ENREF_2" w:tooltip="Decroo, 2012 #1465" w:history="1">
        <w:r w:rsidR="00F3258B">
          <w:rPr>
            <w:rFonts w:ascii="Times" w:hAnsi="Times"/>
            <w:noProof/>
          </w:rPr>
          <w:t>2</w:t>
        </w:r>
      </w:hyperlink>
      <w:r w:rsidR="00F3258B">
        <w:rPr>
          <w:rFonts w:ascii="Times" w:hAnsi="Times"/>
          <w:noProof/>
        </w:rPr>
        <w:t>]</w:t>
      </w:r>
      <w:r w:rsidRPr="005416A7">
        <w:rPr>
          <w:rFonts w:ascii="Times" w:hAnsi="Times"/>
        </w:rPr>
        <w:fldChar w:fldCharType="end"/>
      </w:r>
      <w:r w:rsidRPr="005416A7">
        <w:rPr>
          <w:rFonts w:ascii="Times" w:hAnsi="Times"/>
        </w:rPr>
        <w:t xml:space="preserve">or is a survivor of childhood cancer </w:t>
      </w:r>
      <w:r w:rsidRPr="005416A7">
        <w:rPr>
          <w:rFonts w:ascii="Times" w:hAnsi="Times"/>
        </w:rPr>
        <w:fldChar w:fldCharType="begin"/>
      </w:r>
      <w:r w:rsidR="00F3258B">
        <w:rPr>
          <w:rFonts w:ascii="Times" w:hAnsi="Times"/>
        </w:rPr>
        <w:instrText xml:space="preserve"> ADDIN EN.CITE &lt;EndNote&gt;&lt;Cite&gt;&lt;Author&gt;Emmons&lt;/Author&gt;&lt;Year&gt;2005&lt;/Year&gt;&lt;RecNum&gt;2488&lt;/RecNum&gt;&lt;DisplayText&gt;[3]&lt;/DisplayText&gt;&lt;record&gt;&lt;rec-number&gt;2488&lt;/rec-number&gt;&lt;foreign-keys&gt;&lt;key app="EN" db-id="sfpwd0ascd0xfjeawvaxszdl99zxwf5wpatz"&gt;2488&lt;/key&gt;&lt;/foreign-keys&gt;&lt;ref-type name="Journal Article"&gt;17&lt;/ref-type&gt;&lt;contributors&gt;&lt;authors&gt;&lt;author&gt;Emmons, Karen M&lt;/author&gt;&lt;author&gt;Puleo, Elaine&lt;/author&gt;&lt;author&gt;Park, Elyse&lt;/author&gt;&lt;author&gt;Gritz, Ellen R&lt;/author&gt;&lt;author&gt;Butterfield, Rita M&lt;/author&gt;&lt;author&gt;Weeks, Jane C&lt;/author&gt;&lt;author&gt;Mertens, Ann&lt;/author&gt;&lt;author&gt;Li, Frederick P&lt;/author&gt;&lt;/authors&gt;&lt;/contributors&gt;&lt;titles&gt;&lt;title&gt;Peer-delivered smoking counseling for childhood cancer survivors increases rate of cessation: the partnership for health study&lt;/title&gt;&lt;secondary-title&gt;Journal of Clinical Oncology&lt;/secondary-title&gt;&lt;/titles&gt;&lt;periodical&gt;&lt;full-title&gt;Journal of Clinical Oncology&lt;/full-title&gt;&lt;/periodical&gt;&lt;pages&gt;6516-6523&lt;/pages&gt;&lt;volume&gt;23&lt;/volume&gt;&lt;number&gt;27&lt;/number&gt;&lt;dates&gt;&lt;year&gt;2005&lt;/year&gt;&lt;/dates&gt;&lt;isbn&gt;0732-183X&lt;/isbn&gt;&lt;urls&gt;&lt;/urls&gt;&lt;/record&gt;&lt;/Cite&gt;&lt;/EndNote&gt;</w:instrText>
      </w:r>
      <w:r w:rsidRPr="005416A7">
        <w:rPr>
          <w:rFonts w:ascii="Times" w:hAnsi="Times"/>
        </w:rPr>
        <w:fldChar w:fldCharType="separate"/>
      </w:r>
      <w:r w:rsidR="00F3258B">
        <w:rPr>
          <w:rFonts w:ascii="Times" w:hAnsi="Times"/>
          <w:noProof/>
        </w:rPr>
        <w:t>[</w:t>
      </w:r>
      <w:hyperlink w:anchor="_ENREF_3" w:tooltip="Emmons, 2005 #2488" w:history="1">
        <w:r w:rsidR="00F3258B">
          <w:rPr>
            <w:rFonts w:ascii="Times" w:hAnsi="Times"/>
            <w:noProof/>
          </w:rPr>
          <w:t>3</w:t>
        </w:r>
      </w:hyperlink>
      <w:r w:rsidR="00F3258B">
        <w:rPr>
          <w:rFonts w:ascii="Times" w:hAnsi="Times"/>
          <w:noProof/>
        </w:rPr>
        <w:t>]</w:t>
      </w:r>
      <w:r w:rsidRPr="005416A7">
        <w:rPr>
          <w:rFonts w:ascii="Times" w:hAnsi="Times"/>
        </w:rPr>
        <w:fldChar w:fldCharType="end"/>
      </w:r>
      <w:r w:rsidRPr="005416A7">
        <w:rPr>
          <w:rFonts w:ascii="Times" w:hAnsi="Times"/>
        </w:rPr>
        <w:t xml:space="preserve">.  </w:t>
      </w:r>
    </w:p>
    <w:p w14:paraId="3C28F586" w14:textId="77777777" w:rsidR="00EC5C42" w:rsidRPr="005416A7" w:rsidRDefault="00EC5C42" w:rsidP="00EC5C42">
      <w:pPr>
        <w:pStyle w:val="ListParagraph"/>
        <w:numPr>
          <w:ilvl w:val="0"/>
          <w:numId w:val="1"/>
        </w:numPr>
        <w:spacing w:line="480" w:lineRule="auto"/>
        <w:rPr>
          <w:rFonts w:ascii="Times" w:hAnsi="Times"/>
        </w:rPr>
      </w:pPr>
      <w:r w:rsidRPr="005416A7">
        <w:rPr>
          <w:rFonts w:ascii="Times" w:hAnsi="Times"/>
          <w:b/>
        </w:rPr>
        <w:t>What is the action?</w:t>
      </w:r>
      <w:r w:rsidRPr="005416A7">
        <w:rPr>
          <w:rFonts w:ascii="Times" w:hAnsi="Times"/>
        </w:rPr>
        <w:t xml:space="preserve"> Proctor suggests that an active verb be used to describe what an action is composed of.  We can use the Behavioral Change Wheel as a framework for identifying and categorizing actions.  These categories in</w:t>
      </w:r>
      <w:r>
        <w:rPr>
          <w:rFonts w:ascii="Times" w:hAnsi="Times"/>
        </w:rPr>
        <w:t>clude actions such as “educate,” “persuade</w:t>
      </w:r>
      <w:r w:rsidRPr="005416A7">
        <w:rPr>
          <w:rFonts w:ascii="Times" w:hAnsi="Times"/>
        </w:rPr>
        <w:t xml:space="preserve">,” incentives” and others.   </w:t>
      </w:r>
    </w:p>
    <w:p w14:paraId="0A5FE51B" w14:textId="77777777"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Identify the “dose” of the action.  </w:t>
      </w:r>
      <w:r w:rsidRPr="005416A7">
        <w:rPr>
          <w:rFonts w:ascii="Times" w:hAnsi="Times" w:cs="Times New Roman"/>
        </w:rPr>
        <w:t xml:space="preserve">The dose refers to the frequency and intensity that the intervention action is applied.  Just as pharmaceutical interventions must specify the dose in milligrams, the frequency of administration, and the duration of treatment, implementation </w:t>
      </w:r>
      <w:r w:rsidRPr="005416A7">
        <w:rPr>
          <w:rFonts w:ascii="Times" w:hAnsi="Times" w:cs="Times New Roman"/>
        </w:rPr>
        <w:lastRenderedPageBreak/>
        <w:t>interventions also report analogous parameters.  For example, counseling interventions should specify, at a minimum, the duration of each sessions, the frequency that sessions are delivered, and the total number of sessions.</w:t>
      </w:r>
    </w:p>
    <w:p w14:paraId="1BE504F8" w14:textId="77777777"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Identify the “temporality” of the intervention: </w:t>
      </w:r>
      <w:r w:rsidRPr="005416A7">
        <w:rPr>
          <w:rFonts w:ascii="Times" w:hAnsi="Times" w:cs="Times New Roman"/>
        </w:rPr>
        <w:t>The relation of the intervention to underlying processes and events should be specified.  For example, with interventions to enhance adherence to antiretroviral medication, specification of intervention ‘temporality’ needs to define the intervention in relation to other events such as ART initiation, lapses in care, or transfers of care to a new clinic.  Perhaps the counseling is given when treatment is started, or perhaps it is given when the patient fails to pick up medications.</w:t>
      </w:r>
    </w:p>
    <w:p w14:paraId="3BFC4E7F" w14:textId="77777777"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Identify the action target.  </w:t>
      </w:r>
      <w:r w:rsidRPr="005416A7">
        <w:rPr>
          <w:rFonts w:ascii="Times" w:hAnsi="Times" w:cs="Times New Roman"/>
        </w:rPr>
        <w:t xml:space="preserve">Implementation interventions influence events indirectly and must act on </w:t>
      </w:r>
      <w:r>
        <w:rPr>
          <w:rFonts w:ascii="Times" w:hAnsi="Times" w:cs="Times New Roman"/>
        </w:rPr>
        <w:t xml:space="preserve">an </w:t>
      </w:r>
      <w:r w:rsidRPr="005416A7">
        <w:rPr>
          <w:rFonts w:ascii="Times" w:hAnsi="Times" w:cs="Times New Roman"/>
        </w:rPr>
        <w:t xml:space="preserve">antecedent of behavior.  </w:t>
      </w:r>
      <w:r>
        <w:rPr>
          <w:rFonts w:ascii="Times" w:hAnsi="Times" w:cs="Times New Roman"/>
        </w:rPr>
        <w:t xml:space="preserve">COM-B offers one </w:t>
      </w:r>
      <w:r w:rsidRPr="005416A7">
        <w:rPr>
          <w:rFonts w:ascii="Times" w:hAnsi="Times" w:cs="Times New Roman"/>
        </w:rPr>
        <w:t>way to look at the pathway of effects</w:t>
      </w:r>
      <w:r>
        <w:rPr>
          <w:rFonts w:ascii="Times" w:hAnsi="Times" w:cs="Times New Roman"/>
        </w:rPr>
        <w:t>:</w:t>
      </w:r>
      <w:r w:rsidRPr="005416A7">
        <w:rPr>
          <w:rFonts w:ascii="Times" w:hAnsi="Times" w:cs="Times New Roman"/>
        </w:rPr>
        <w:t xml:space="preserve"> how </w:t>
      </w:r>
      <w:r>
        <w:rPr>
          <w:rFonts w:ascii="Times" w:hAnsi="Times" w:cs="Times New Roman"/>
        </w:rPr>
        <w:t xml:space="preserve">does a particular </w:t>
      </w:r>
      <w:r w:rsidRPr="005416A7">
        <w:rPr>
          <w:rFonts w:ascii="Times" w:hAnsi="Times" w:cs="Times New Roman"/>
        </w:rPr>
        <w:t xml:space="preserve">action </w:t>
      </w:r>
      <w:r>
        <w:rPr>
          <w:rFonts w:ascii="Times" w:hAnsi="Times" w:cs="Times New Roman"/>
        </w:rPr>
        <w:t>(at a particular dose and temporality) act</w:t>
      </w:r>
      <w:r w:rsidRPr="005416A7">
        <w:rPr>
          <w:rFonts w:ascii="Times" w:hAnsi="Times" w:cs="Times New Roman"/>
        </w:rPr>
        <w:t xml:space="preserve"> on changing capabilities, opportunities or motivation for the behavior</w:t>
      </w:r>
      <w:r>
        <w:rPr>
          <w:rFonts w:ascii="Times" w:hAnsi="Times" w:cs="Times New Roman"/>
        </w:rPr>
        <w:t xml:space="preserve"> of interest</w:t>
      </w:r>
      <w:r w:rsidRPr="005416A7">
        <w:rPr>
          <w:rFonts w:ascii="Times" w:hAnsi="Times" w:cs="Times New Roman"/>
        </w:rPr>
        <w:t xml:space="preserve">.  Your intervention may target more than one of these domains.  </w:t>
      </w:r>
      <w:r>
        <w:rPr>
          <w:rFonts w:ascii="Times" w:hAnsi="Times" w:cs="Times New Roman"/>
        </w:rPr>
        <w:t xml:space="preserve">Recall that the socio-ecologic level is also a dimension of the action target that you should specify.   For example, training can change the capabilities of a health care worker.  A data-to-care analytics unit built on top of a new electronic medical record can change the capabilities of a health care system.   </w:t>
      </w:r>
    </w:p>
    <w:p w14:paraId="595C4503" w14:textId="77777777"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Specify the </w:t>
      </w:r>
      <w:r>
        <w:rPr>
          <w:rFonts w:ascii="Times" w:hAnsi="Times" w:cs="Times New Roman"/>
          <w:b/>
        </w:rPr>
        <w:t>behavioral target</w:t>
      </w:r>
      <w:r w:rsidRPr="005416A7">
        <w:rPr>
          <w:rFonts w:ascii="Times" w:hAnsi="Times" w:cs="Times New Roman"/>
        </w:rPr>
        <w:t xml:space="preserve">.  </w:t>
      </w:r>
      <w:r>
        <w:rPr>
          <w:rFonts w:ascii="Times" w:hAnsi="Times" w:cs="Times New Roman"/>
        </w:rPr>
        <w:t xml:space="preserve">Behavioral targets of an implementation strategy are usually a necessary component but rarely a sufficient cause of closing the gap you have identified.  For example, if you want to increase adherence to HIV medications, you could send an SMS message from the clinic director to the patient a week before the next appointment which reminds them of the clinic date.  The behavioral target is that the patients come to clinic to pick up medications.  This is a necessary but insufficient cause of adherence to medications – there must be medications in the pharmacy (stock outs are still unfortunately a reality in Africa), and the patient must also adhere to medications when they go home, which may involve different barriers than picking up medications. </w:t>
      </w:r>
      <w:r w:rsidRPr="005416A7">
        <w:rPr>
          <w:rFonts w:ascii="Times" w:hAnsi="Times" w:cs="Times New Roman"/>
        </w:rPr>
        <w:lastRenderedPageBreak/>
        <w:t xml:space="preserve">Proctor offers a typology of </w:t>
      </w:r>
      <w:r>
        <w:rPr>
          <w:rFonts w:ascii="Times" w:hAnsi="Times" w:cs="Times New Roman"/>
        </w:rPr>
        <w:t>implementation</w:t>
      </w:r>
      <w:r w:rsidRPr="005416A7">
        <w:rPr>
          <w:rFonts w:ascii="Times" w:hAnsi="Times" w:cs="AdvTT43ccf47d"/>
        </w:rPr>
        <w:t xml:space="preserve"> outcomes</w:t>
      </w:r>
      <w:r>
        <w:rPr>
          <w:rFonts w:ascii="Times" w:hAnsi="Times" w:cs="AdvTT43ccf47d"/>
        </w:rPr>
        <w:t xml:space="preserve">: </w:t>
      </w:r>
      <w:r w:rsidRPr="005416A7">
        <w:rPr>
          <w:rFonts w:ascii="Times" w:hAnsi="Times" w:cs="AdvTT43ccf47d"/>
        </w:rPr>
        <w:t>acceptability, adoption,</w:t>
      </w:r>
      <w:r>
        <w:rPr>
          <w:rFonts w:ascii="Times" w:hAnsi="Times" w:cs="AdvTT43ccf47d"/>
        </w:rPr>
        <w:t xml:space="preserve"> </w:t>
      </w:r>
      <w:r w:rsidRPr="005416A7">
        <w:rPr>
          <w:rFonts w:ascii="Times" w:hAnsi="Times" w:cs="AdvTT43ccf47d"/>
        </w:rPr>
        <w:t>appropriateness, feasibility, fidelity, implementation</w:t>
      </w:r>
      <w:r>
        <w:rPr>
          <w:rFonts w:ascii="Times" w:hAnsi="Times" w:cs="AdvTT43ccf47d"/>
        </w:rPr>
        <w:t xml:space="preserve"> </w:t>
      </w:r>
      <w:r w:rsidRPr="005416A7">
        <w:rPr>
          <w:rFonts w:ascii="Times" w:hAnsi="Times" w:cs="AdvTT43ccf47d"/>
        </w:rPr>
        <w:t>cost,</w:t>
      </w:r>
      <w:r>
        <w:rPr>
          <w:rFonts w:ascii="Times" w:hAnsi="Times" w:cs="AdvTT43ccf47d"/>
        </w:rPr>
        <w:t xml:space="preserve"> penetration and sustainability </w:t>
      </w:r>
      <w:r>
        <w:rPr>
          <w:rFonts w:ascii="Times" w:hAnsi="Times" w:cs="AdvTT43ccf47d"/>
        </w:rPr>
        <w:fldChar w:fldCharType="begin"/>
      </w:r>
      <w:r w:rsidR="00F3258B">
        <w:rPr>
          <w:rFonts w:ascii="Times" w:hAnsi="Times" w:cs="AdvTT43ccf47d"/>
        </w:rPr>
        <w:instrText xml:space="preserve"> ADDIN EN.CITE &lt;EndNote&gt;&lt;Cite&gt;&lt;Author&gt;Proctor&lt;/Author&gt;&lt;Year&gt;2011&lt;/Year&gt;&lt;RecNum&gt;2352&lt;/RecNum&gt;&lt;DisplayText&gt;[4]&lt;/DisplayText&gt;&lt;record&gt;&lt;rec-number&gt;2352&lt;/rec-number&gt;&lt;foreign-keys&gt;&lt;key app="EN" db-id="sfpwd0ascd0xfjeawvaxszdl99zxwf5wpatz"&gt;2352&lt;/key&gt;&lt;/foreign-keys&gt;&lt;ref-type name="Journal Article"&gt;17&lt;/ref-type&gt;&lt;contributors&gt;&lt;authors&gt;&lt;author&gt;Proctor, Enola&lt;/author&gt;&lt;author&gt;Silmere, Hiie&lt;/author&gt;&lt;author&gt;Raghavan, Ramesh&lt;/author&gt;&lt;author&gt;Hovmand, Peter&lt;/author&gt;&lt;author&gt;Aarons, Greg&lt;/author&gt;&lt;author&gt;Bunger, Alicia&lt;/author&gt;&lt;author&gt;Griffey, Richard&lt;/author&gt;&lt;author&gt;Hensley, Melissa&lt;/author&gt;&lt;/authors&gt;&lt;/contributors&gt;&lt;titles&gt;&lt;title&gt;Outcomes for implementation research: Conceptual distinctions, measurement challenges, and research agenda&lt;/title&gt;&lt;secondary-title&gt;Administration and Policy in Mental Health and Mental Health Services Research&lt;/secondary-title&gt;&lt;/titles&gt;&lt;periodical&gt;&lt;full-title&gt;Administration and Policy in Mental Health and Mental Health Services Research&lt;/full-title&gt;&lt;/periodical&gt;&lt;pages&gt;65-76&lt;/pages&gt;&lt;volume&gt;38&lt;/volume&gt;&lt;number&gt;2&lt;/number&gt;&lt;dates&gt;&lt;year&gt;2011&lt;/year&gt;&lt;/dates&gt;&lt;isbn&gt;0894-587X&lt;/isbn&gt;&lt;urls&gt;&lt;/urls&gt;&lt;/record&gt;&lt;/Cite&gt;&lt;/EndNote&gt;</w:instrText>
      </w:r>
      <w:r>
        <w:rPr>
          <w:rFonts w:ascii="Times" w:hAnsi="Times" w:cs="AdvTT43ccf47d"/>
        </w:rPr>
        <w:fldChar w:fldCharType="separate"/>
      </w:r>
      <w:r w:rsidR="00F3258B">
        <w:rPr>
          <w:rFonts w:ascii="Times" w:hAnsi="Times" w:cs="AdvTT43ccf47d"/>
          <w:noProof/>
        </w:rPr>
        <w:t>[</w:t>
      </w:r>
      <w:hyperlink w:anchor="_ENREF_4" w:tooltip="Proctor, 2011 #2352" w:history="1">
        <w:r w:rsidR="00F3258B">
          <w:rPr>
            <w:rFonts w:ascii="Times" w:hAnsi="Times" w:cs="AdvTT43ccf47d"/>
            <w:noProof/>
          </w:rPr>
          <w:t>4</w:t>
        </w:r>
      </w:hyperlink>
      <w:r w:rsidR="00F3258B">
        <w:rPr>
          <w:rFonts w:ascii="Times" w:hAnsi="Times" w:cs="AdvTT43ccf47d"/>
          <w:noProof/>
        </w:rPr>
        <w:t>]</w:t>
      </w:r>
      <w:r>
        <w:rPr>
          <w:rFonts w:ascii="Times" w:hAnsi="Times" w:cs="AdvTT43ccf47d"/>
        </w:rPr>
        <w:fldChar w:fldCharType="end"/>
      </w:r>
      <w:r w:rsidRPr="005416A7">
        <w:rPr>
          <w:rFonts w:ascii="Times" w:hAnsi="Times" w:cs="AdvTT43ccf47d"/>
        </w:rPr>
        <w:t>.</w:t>
      </w:r>
      <w:r w:rsidRPr="005416A7">
        <w:rPr>
          <w:rFonts w:ascii="Times" w:hAnsi="Times" w:cs="Times New Roman"/>
        </w:rPr>
        <w:t xml:space="preserve"> </w:t>
      </w:r>
      <w:r>
        <w:rPr>
          <w:rFonts w:ascii="Times" w:hAnsi="Times" w:cs="Times New Roman"/>
        </w:rPr>
        <w:t xml:space="preserve">  This offers </w:t>
      </w:r>
      <w:r w:rsidR="007E3BA8">
        <w:rPr>
          <w:rFonts w:ascii="Times" w:hAnsi="Times" w:cs="Times New Roman"/>
        </w:rPr>
        <w:t>very concrete guidance</w:t>
      </w:r>
      <w:r>
        <w:rPr>
          <w:rFonts w:ascii="Times" w:hAnsi="Times" w:cs="Times New Roman"/>
        </w:rPr>
        <w:t xml:space="preserve">, although I tend to think a broader view of the behavioral targets is easier to apply. </w:t>
      </w:r>
    </w:p>
    <w:p w14:paraId="43D06CFD" w14:textId="77777777"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rPr>
        <w:t xml:space="preserve">Provide a justification for the intervention. </w:t>
      </w:r>
    </w:p>
    <w:p w14:paraId="2DF20B24" w14:textId="77777777" w:rsidR="00EC5C42" w:rsidRDefault="00EC5C42"/>
    <w:p w14:paraId="39A226C4" w14:textId="77777777" w:rsidR="00EC5C42" w:rsidRPr="007E3BA8" w:rsidRDefault="007E3BA8">
      <w:pPr>
        <w:rPr>
          <w:b/>
        </w:rPr>
      </w:pPr>
      <w:r w:rsidRPr="007E3BA8">
        <w:rPr>
          <w:b/>
        </w:rPr>
        <w:t>References</w:t>
      </w:r>
    </w:p>
    <w:p w14:paraId="1CB5FA02" w14:textId="77777777" w:rsidR="00F3258B" w:rsidRPr="00F3258B" w:rsidRDefault="00EC5C42" w:rsidP="00F3258B">
      <w:pPr>
        <w:spacing w:after="0" w:line="240" w:lineRule="auto"/>
        <w:ind w:left="720" w:hanging="720"/>
        <w:rPr>
          <w:rFonts w:ascii="Calibri" w:hAnsi="Calibri"/>
          <w:noProof/>
        </w:rPr>
      </w:pPr>
      <w:r>
        <w:fldChar w:fldCharType="begin"/>
      </w:r>
      <w:r>
        <w:instrText xml:space="preserve"> ADDIN EN.REFLIST </w:instrText>
      </w:r>
      <w:r>
        <w:fldChar w:fldCharType="separate"/>
      </w:r>
      <w:bookmarkStart w:id="2" w:name="_ENREF_1"/>
      <w:r w:rsidR="00F3258B" w:rsidRPr="00F3258B">
        <w:rPr>
          <w:rFonts w:ascii="Calibri" w:hAnsi="Calibri"/>
          <w:noProof/>
        </w:rPr>
        <w:t>1.</w:t>
      </w:r>
      <w:r w:rsidR="00F3258B" w:rsidRPr="00F3258B">
        <w:rPr>
          <w:rFonts w:ascii="Calibri" w:hAnsi="Calibri"/>
          <w:noProof/>
        </w:rPr>
        <w:tab/>
        <w:t xml:space="preserve">Proctor EK, Powell BJ, McMillen JC. Implementation strategies: recommendations for specifying and reporting. </w:t>
      </w:r>
      <w:r w:rsidR="00F3258B" w:rsidRPr="00F3258B">
        <w:rPr>
          <w:rFonts w:ascii="Calibri" w:hAnsi="Calibri"/>
          <w:i/>
          <w:noProof/>
        </w:rPr>
        <w:t xml:space="preserve">Implementation Science </w:t>
      </w:r>
      <w:r w:rsidR="00F3258B" w:rsidRPr="00F3258B">
        <w:rPr>
          <w:rFonts w:ascii="Calibri" w:hAnsi="Calibri"/>
          <w:noProof/>
        </w:rPr>
        <w:t>2013,</w:t>
      </w:r>
      <w:r w:rsidR="00F3258B" w:rsidRPr="00F3258B">
        <w:rPr>
          <w:rFonts w:ascii="Calibri" w:hAnsi="Calibri"/>
          <w:b/>
          <w:noProof/>
        </w:rPr>
        <w:t>8</w:t>
      </w:r>
      <w:r w:rsidR="00F3258B" w:rsidRPr="00F3258B">
        <w:rPr>
          <w:rFonts w:ascii="Calibri" w:hAnsi="Calibri"/>
          <w:noProof/>
        </w:rPr>
        <w:t>:139.</w:t>
      </w:r>
      <w:bookmarkEnd w:id="2"/>
    </w:p>
    <w:p w14:paraId="0C44D92D" w14:textId="77777777" w:rsidR="00F3258B" w:rsidRPr="00F3258B" w:rsidRDefault="00F3258B" w:rsidP="00F3258B">
      <w:pPr>
        <w:spacing w:after="0" w:line="240" w:lineRule="auto"/>
        <w:ind w:left="720" w:hanging="720"/>
        <w:rPr>
          <w:rFonts w:ascii="Calibri" w:hAnsi="Calibri"/>
          <w:noProof/>
        </w:rPr>
      </w:pPr>
      <w:bookmarkStart w:id="3" w:name="_ENREF_2"/>
      <w:r w:rsidRPr="00F3258B">
        <w:rPr>
          <w:rFonts w:ascii="Calibri" w:hAnsi="Calibri"/>
          <w:noProof/>
        </w:rPr>
        <w:t>2.</w:t>
      </w:r>
      <w:r w:rsidRPr="00F3258B">
        <w:rPr>
          <w:rFonts w:ascii="Calibri" w:hAnsi="Calibri"/>
          <w:noProof/>
        </w:rPr>
        <w:tab/>
        <w:t xml:space="preserve">Decroo T, Van Damme W, Kegels G, Remartinez D, Rasschaert F. Are Expert Patients an Untapped Resource for ART Provision in Sub-Saharan Africa? </w:t>
      </w:r>
      <w:r w:rsidRPr="00F3258B">
        <w:rPr>
          <w:rFonts w:ascii="Calibri" w:hAnsi="Calibri"/>
          <w:i/>
          <w:noProof/>
        </w:rPr>
        <w:t xml:space="preserve">AIDS Res Treat </w:t>
      </w:r>
      <w:r w:rsidRPr="00F3258B">
        <w:rPr>
          <w:rFonts w:ascii="Calibri" w:hAnsi="Calibri"/>
          <w:noProof/>
        </w:rPr>
        <w:t>2012,</w:t>
      </w:r>
      <w:r w:rsidRPr="00F3258B">
        <w:rPr>
          <w:rFonts w:ascii="Calibri" w:hAnsi="Calibri"/>
          <w:b/>
          <w:noProof/>
        </w:rPr>
        <w:t>2012</w:t>
      </w:r>
      <w:r w:rsidRPr="00F3258B">
        <w:rPr>
          <w:rFonts w:ascii="Calibri" w:hAnsi="Calibri"/>
          <w:noProof/>
        </w:rPr>
        <w:t>:749718.</w:t>
      </w:r>
      <w:bookmarkEnd w:id="3"/>
    </w:p>
    <w:p w14:paraId="484C3A89" w14:textId="77777777" w:rsidR="00F3258B" w:rsidRPr="00F3258B" w:rsidRDefault="00F3258B" w:rsidP="00F3258B">
      <w:pPr>
        <w:spacing w:after="0" w:line="240" w:lineRule="auto"/>
        <w:ind w:left="720" w:hanging="720"/>
        <w:rPr>
          <w:rFonts w:ascii="Calibri" w:hAnsi="Calibri"/>
          <w:noProof/>
        </w:rPr>
      </w:pPr>
      <w:bookmarkStart w:id="4" w:name="_ENREF_3"/>
      <w:r w:rsidRPr="00F3258B">
        <w:rPr>
          <w:rFonts w:ascii="Calibri" w:hAnsi="Calibri"/>
          <w:noProof/>
        </w:rPr>
        <w:t>3.</w:t>
      </w:r>
      <w:r w:rsidRPr="00F3258B">
        <w:rPr>
          <w:rFonts w:ascii="Calibri" w:hAnsi="Calibri"/>
          <w:noProof/>
        </w:rPr>
        <w:tab/>
        <w:t>Emmons KM, Puleo E, Park E, Gritz ER, Butterfield RM, Weeks JC</w:t>
      </w:r>
      <w:r w:rsidRPr="00F3258B">
        <w:rPr>
          <w:rFonts w:ascii="Calibri" w:hAnsi="Calibri"/>
          <w:i/>
          <w:noProof/>
        </w:rPr>
        <w:t>, et al.</w:t>
      </w:r>
      <w:r w:rsidRPr="00F3258B">
        <w:rPr>
          <w:rFonts w:ascii="Calibri" w:hAnsi="Calibri"/>
          <w:noProof/>
        </w:rPr>
        <w:t xml:space="preserve"> Peer-delivered smoking counseling for childhood cancer survivors increases rate of cessation: the partnership for health study. </w:t>
      </w:r>
      <w:r w:rsidRPr="00F3258B">
        <w:rPr>
          <w:rFonts w:ascii="Calibri" w:hAnsi="Calibri"/>
          <w:i/>
          <w:noProof/>
        </w:rPr>
        <w:t xml:space="preserve">Journal of Clinical Oncology </w:t>
      </w:r>
      <w:r w:rsidRPr="00F3258B">
        <w:rPr>
          <w:rFonts w:ascii="Calibri" w:hAnsi="Calibri"/>
          <w:noProof/>
        </w:rPr>
        <w:t>2005,</w:t>
      </w:r>
      <w:r w:rsidRPr="00F3258B">
        <w:rPr>
          <w:rFonts w:ascii="Calibri" w:hAnsi="Calibri"/>
          <w:b/>
          <w:noProof/>
        </w:rPr>
        <w:t>23</w:t>
      </w:r>
      <w:r w:rsidRPr="00F3258B">
        <w:rPr>
          <w:rFonts w:ascii="Calibri" w:hAnsi="Calibri"/>
          <w:noProof/>
        </w:rPr>
        <w:t>:6516-6523.</w:t>
      </w:r>
      <w:bookmarkEnd w:id="4"/>
    </w:p>
    <w:p w14:paraId="2F6E7389" w14:textId="77777777" w:rsidR="00F3258B" w:rsidRPr="00F3258B" w:rsidRDefault="00F3258B" w:rsidP="00F3258B">
      <w:pPr>
        <w:spacing w:line="240" w:lineRule="auto"/>
        <w:ind w:left="720" w:hanging="720"/>
        <w:rPr>
          <w:rFonts w:ascii="Calibri" w:hAnsi="Calibri"/>
          <w:noProof/>
        </w:rPr>
      </w:pPr>
      <w:bookmarkStart w:id="5" w:name="_ENREF_4"/>
      <w:r w:rsidRPr="00F3258B">
        <w:rPr>
          <w:rFonts w:ascii="Calibri" w:hAnsi="Calibri"/>
          <w:noProof/>
        </w:rPr>
        <w:t>4.</w:t>
      </w:r>
      <w:r w:rsidRPr="00F3258B">
        <w:rPr>
          <w:rFonts w:ascii="Calibri" w:hAnsi="Calibri"/>
          <w:noProof/>
        </w:rPr>
        <w:tab/>
        <w:t>Proctor E, Silmere H, Raghavan R, Hovmand P, Aarons G, Bunger A</w:t>
      </w:r>
      <w:r w:rsidRPr="00F3258B">
        <w:rPr>
          <w:rFonts w:ascii="Calibri" w:hAnsi="Calibri"/>
          <w:i/>
          <w:noProof/>
        </w:rPr>
        <w:t>, et al.</w:t>
      </w:r>
      <w:r w:rsidRPr="00F3258B">
        <w:rPr>
          <w:rFonts w:ascii="Calibri" w:hAnsi="Calibri"/>
          <w:noProof/>
        </w:rPr>
        <w:t xml:space="preserve"> Outcomes for implementation research: Conceptual distinctions, measurement challenges, and research agenda. </w:t>
      </w:r>
      <w:r w:rsidRPr="00F3258B">
        <w:rPr>
          <w:rFonts w:ascii="Calibri" w:hAnsi="Calibri"/>
          <w:i/>
          <w:noProof/>
        </w:rPr>
        <w:t xml:space="preserve">Administration and Policy in Mental Health and Mental Health Services Research </w:t>
      </w:r>
      <w:r w:rsidRPr="00F3258B">
        <w:rPr>
          <w:rFonts w:ascii="Calibri" w:hAnsi="Calibri"/>
          <w:noProof/>
        </w:rPr>
        <w:t>2011,</w:t>
      </w:r>
      <w:r w:rsidRPr="00F3258B">
        <w:rPr>
          <w:rFonts w:ascii="Calibri" w:hAnsi="Calibri"/>
          <w:b/>
          <w:noProof/>
        </w:rPr>
        <w:t>38</w:t>
      </w:r>
      <w:r w:rsidRPr="00F3258B">
        <w:rPr>
          <w:rFonts w:ascii="Calibri" w:hAnsi="Calibri"/>
          <w:noProof/>
        </w:rPr>
        <w:t>:65-76.</w:t>
      </w:r>
      <w:bookmarkEnd w:id="5"/>
    </w:p>
    <w:p w14:paraId="3B531979" w14:textId="77777777" w:rsidR="00F3258B" w:rsidRDefault="00F3258B" w:rsidP="00F3258B">
      <w:pPr>
        <w:spacing w:line="240" w:lineRule="auto"/>
        <w:rPr>
          <w:rFonts w:ascii="Calibri" w:hAnsi="Calibri"/>
          <w:noProof/>
        </w:rPr>
      </w:pPr>
    </w:p>
    <w:p w14:paraId="7E051477" w14:textId="77777777" w:rsidR="002B01F5" w:rsidRDefault="00EC5C42">
      <w:r>
        <w:fldChar w:fldCharType="end"/>
      </w:r>
    </w:p>
    <w:sectPr w:rsidR="002B0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AdvTT43ccf47d">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82C33"/>
    <w:multiLevelType w:val="hybridMultilevel"/>
    <w:tmpl w:val="E12859A6"/>
    <w:lvl w:ilvl="0" w:tplc="E9724C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ID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fpwd0ascd0xfjeawvaxszdl99zxwf5wpatz&quot;&gt;HIV_20110513-Saved.v2&lt;record-ids&gt;&lt;item&gt;1465&lt;/item&gt;&lt;item&gt;2352&lt;/item&gt;&lt;item&gt;2364&lt;/item&gt;&lt;item&gt;2488&lt;/item&gt;&lt;/record-ids&gt;&lt;/item&gt;&lt;/Libraries&gt;"/>
  </w:docVars>
  <w:rsids>
    <w:rsidRoot w:val="00EC5C42"/>
    <w:rsid w:val="002B01F5"/>
    <w:rsid w:val="007E3BA8"/>
    <w:rsid w:val="00D41DA8"/>
    <w:rsid w:val="00EC5C42"/>
    <w:rsid w:val="00F3258B"/>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29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5C42"/>
  </w:style>
  <w:style w:type="paragraph" w:styleId="Heading2">
    <w:name w:val="heading 2"/>
    <w:basedOn w:val="Normal"/>
    <w:next w:val="Normal"/>
    <w:link w:val="Heading2Char"/>
    <w:uiPriority w:val="9"/>
    <w:unhideWhenUsed/>
    <w:qFormat/>
    <w:rsid w:val="00EC5C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5C4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C5C42"/>
    <w:pPr>
      <w:ind w:left="720"/>
      <w:contextualSpacing/>
    </w:pPr>
  </w:style>
  <w:style w:type="character" w:styleId="Hyperlink">
    <w:name w:val="Hyperlink"/>
    <w:basedOn w:val="DefaultParagraphFont"/>
    <w:uiPriority w:val="99"/>
    <w:unhideWhenUsed/>
    <w:rsid w:val="00EC5C42"/>
    <w:rPr>
      <w:color w:val="0000FF" w:themeColor="hyperlink"/>
      <w:u w:val="single"/>
    </w:rPr>
  </w:style>
  <w:style w:type="paragraph" w:styleId="BalloonText">
    <w:name w:val="Balloon Text"/>
    <w:basedOn w:val="Normal"/>
    <w:link w:val="BalloonTextChar"/>
    <w:uiPriority w:val="99"/>
    <w:semiHidden/>
    <w:unhideWhenUsed/>
    <w:rsid w:val="00D41DA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1DA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1511</Words>
  <Characters>8613</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Microsoft Office User</cp:lastModifiedBy>
  <cp:revision>2</cp:revision>
  <dcterms:created xsi:type="dcterms:W3CDTF">2018-04-26T21:34:00Z</dcterms:created>
  <dcterms:modified xsi:type="dcterms:W3CDTF">2018-04-26T21:34:00Z</dcterms:modified>
</cp:coreProperties>
</file>