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33803" w14:textId="61CDA39F" w:rsidR="00957015" w:rsidRPr="002B70D1" w:rsidRDefault="00957015" w:rsidP="00957015">
      <w:pPr>
        <w:rPr>
          <w:rFonts w:ascii="Calibri" w:hAnsi="Calibri"/>
          <w:b/>
          <w:sz w:val="28"/>
          <w:szCs w:val="28"/>
        </w:rPr>
      </w:pPr>
      <w:r w:rsidRPr="002B70D1">
        <w:rPr>
          <w:rFonts w:ascii="Calibri" w:hAnsi="Calibri"/>
          <w:b/>
          <w:sz w:val="28"/>
          <w:szCs w:val="28"/>
        </w:rPr>
        <w:t xml:space="preserve">Weight Loss </w:t>
      </w:r>
      <w:r w:rsidR="00234801">
        <w:rPr>
          <w:rFonts w:ascii="Calibri" w:hAnsi="Calibri"/>
          <w:b/>
          <w:sz w:val="28"/>
          <w:szCs w:val="28"/>
        </w:rPr>
        <w:t xml:space="preserve">Associated </w:t>
      </w:r>
      <w:r w:rsidRPr="002B70D1">
        <w:rPr>
          <w:rFonts w:ascii="Calibri" w:hAnsi="Calibri"/>
          <w:b/>
          <w:sz w:val="28"/>
          <w:szCs w:val="28"/>
        </w:rPr>
        <w:t xml:space="preserve">with Cholinesterase Inhibitors In Patients With Dementia </w:t>
      </w:r>
      <w:r w:rsidR="00234801">
        <w:rPr>
          <w:rFonts w:ascii="Calibri" w:hAnsi="Calibri"/>
          <w:b/>
          <w:sz w:val="28"/>
          <w:szCs w:val="28"/>
        </w:rPr>
        <w:t>in a National Healthcare System</w:t>
      </w:r>
    </w:p>
    <w:p w14:paraId="20F88F77" w14:textId="77777777" w:rsidR="00957015" w:rsidRPr="002B70D1" w:rsidRDefault="00957015" w:rsidP="00957015">
      <w:pPr>
        <w:rPr>
          <w:rFonts w:ascii="Calibri" w:hAnsi="Calibri"/>
        </w:rPr>
      </w:pPr>
    </w:p>
    <w:p w14:paraId="7AA4852E" w14:textId="4560C2B2" w:rsidR="00957015" w:rsidRPr="002B70D1" w:rsidRDefault="00957015" w:rsidP="00957015">
      <w:pPr>
        <w:rPr>
          <w:rFonts w:ascii="Calibri" w:hAnsi="Calibri"/>
        </w:rPr>
      </w:pPr>
      <w:r w:rsidRPr="002B70D1">
        <w:rPr>
          <w:rFonts w:ascii="Calibri" w:hAnsi="Calibri"/>
        </w:rPr>
        <w:t>Meera Sheffrin</w:t>
      </w:r>
      <w:r w:rsidR="00E431F3">
        <w:rPr>
          <w:rFonts w:ascii="Calibri" w:hAnsi="Calibri"/>
        </w:rPr>
        <w:t xml:space="preserve"> MD</w:t>
      </w:r>
      <w:r w:rsidRPr="002B70D1">
        <w:rPr>
          <w:rFonts w:ascii="Calibri" w:hAnsi="Calibri"/>
        </w:rPr>
        <w:t xml:space="preserve">, </w:t>
      </w:r>
      <w:proofErr w:type="spellStart"/>
      <w:r w:rsidRPr="002B70D1">
        <w:rPr>
          <w:rFonts w:ascii="Calibri" w:hAnsi="Calibri"/>
        </w:rPr>
        <w:t>Yinghui</w:t>
      </w:r>
      <w:proofErr w:type="spellEnd"/>
      <w:r w:rsidRPr="002B70D1">
        <w:rPr>
          <w:rFonts w:ascii="Calibri" w:hAnsi="Calibri"/>
        </w:rPr>
        <w:t xml:space="preserve"> Miao</w:t>
      </w:r>
      <w:r w:rsidR="00E431F3">
        <w:rPr>
          <w:rFonts w:ascii="Calibri" w:hAnsi="Calibri"/>
        </w:rPr>
        <w:t xml:space="preserve"> MPH</w:t>
      </w:r>
      <w:r w:rsidRPr="002B70D1">
        <w:rPr>
          <w:rFonts w:ascii="Calibri" w:hAnsi="Calibri"/>
        </w:rPr>
        <w:t>, Michael A. Steinman</w:t>
      </w:r>
      <w:r w:rsidR="00E431F3">
        <w:rPr>
          <w:rFonts w:ascii="Calibri" w:hAnsi="Calibri"/>
        </w:rPr>
        <w:t xml:space="preserve"> MD</w:t>
      </w:r>
    </w:p>
    <w:p w14:paraId="14964012" w14:textId="77777777" w:rsidR="00795C15" w:rsidRPr="002B70D1" w:rsidRDefault="00795C15"/>
    <w:p w14:paraId="59E06CB2" w14:textId="77777777" w:rsidR="001107B7" w:rsidRPr="002B70D1" w:rsidRDefault="001107B7" w:rsidP="001107B7">
      <w:pPr>
        <w:rPr>
          <w:rFonts w:ascii="Calibri" w:hAnsi="Calibri"/>
          <w:b/>
          <w:sz w:val="28"/>
          <w:szCs w:val="28"/>
        </w:rPr>
      </w:pPr>
      <w:r w:rsidRPr="002B70D1">
        <w:rPr>
          <w:rFonts w:ascii="Calibri" w:hAnsi="Calibri"/>
          <w:b/>
          <w:sz w:val="28"/>
          <w:szCs w:val="28"/>
        </w:rPr>
        <w:t>Introduction</w:t>
      </w:r>
    </w:p>
    <w:p w14:paraId="0EDC4898" w14:textId="77777777" w:rsidR="001107B7" w:rsidRPr="002B70D1" w:rsidRDefault="001107B7">
      <w:pPr>
        <w:rPr>
          <w:rFonts w:ascii="Calibri" w:hAnsi="Calibri" w:cs="Arial"/>
          <w:bCs/>
        </w:rPr>
      </w:pPr>
    </w:p>
    <w:p w14:paraId="26EFD58E" w14:textId="53352480" w:rsidR="001107B7" w:rsidRPr="002B70D1" w:rsidRDefault="001107B7" w:rsidP="001107B7">
      <w:pPr>
        <w:rPr>
          <w:rFonts w:ascii="Calibri" w:hAnsi="Calibri" w:cs="Arial"/>
          <w:bCs/>
        </w:rPr>
      </w:pPr>
      <w:r w:rsidRPr="002B70D1">
        <w:rPr>
          <w:rFonts w:ascii="Calibri" w:hAnsi="Calibri" w:cs="Arial"/>
          <w:bCs/>
        </w:rPr>
        <w:t xml:space="preserve">Cholinesterase inhibitors are the most frequently recommended pharmacologic treatment </w:t>
      </w:r>
      <w:r w:rsidR="00E86653">
        <w:rPr>
          <w:rFonts w:ascii="Calibri" w:hAnsi="Calibri" w:cs="Arial"/>
          <w:bCs/>
        </w:rPr>
        <w:t>in patients with dementia.</w:t>
      </w:r>
      <w:r w:rsidR="00C20C1D" w:rsidRPr="00C20C1D">
        <w:rPr>
          <w:rFonts w:ascii="Calibri" w:hAnsi="Calibri" w:cs="Arial"/>
          <w:bCs/>
          <w:vertAlign w:val="superscript"/>
        </w:rPr>
        <w:t>1</w:t>
      </w:r>
      <w:proofErr w:type="gramStart"/>
      <w:r w:rsidR="00C20C1D" w:rsidRPr="00C20C1D">
        <w:rPr>
          <w:rFonts w:ascii="Calibri" w:hAnsi="Calibri" w:cs="Arial"/>
          <w:bCs/>
          <w:vertAlign w:val="superscript"/>
        </w:rPr>
        <w:t>,2</w:t>
      </w:r>
      <w:proofErr w:type="gramEnd"/>
      <w:r w:rsidR="00E86653" w:rsidRPr="00C20C1D">
        <w:rPr>
          <w:rFonts w:ascii="Calibri" w:hAnsi="Calibri" w:cs="Arial"/>
          <w:bCs/>
        </w:rPr>
        <w:t xml:space="preserve"> </w:t>
      </w:r>
      <w:r w:rsidR="00E431F3">
        <w:rPr>
          <w:rFonts w:ascii="Calibri" w:hAnsi="Calibri" w:cs="Arial"/>
          <w:bCs/>
        </w:rPr>
        <w:t>I</w:t>
      </w:r>
      <w:r w:rsidR="00E86653">
        <w:rPr>
          <w:rFonts w:ascii="Calibri" w:hAnsi="Calibri" w:cs="Arial"/>
          <w:bCs/>
        </w:rPr>
        <w:t>n the decision to prescribe c</w:t>
      </w:r>
      <w:r w:rsidR="00E86653" w:rsidRPr="002B70D1">
        <w:rPr>
          <w:rFonts w:ascii="Calibri" w:hAnsi="Calibri" w:cs="Arial"/>
          <w:bCs/>
        </w:rPr>
        <w:t>holinesterase inhibitors</w:t>
      </w:r>
      <w:r w:rsidR="00E86653">
        <w:rPr>
          <w:rFonts w:ascii="Calibri" w:hAnsi="Calibri" w:cs="Arial"/>
          <w:bCs/>
        </w:rPr>
        <w:t xml:space="preserve">, </w:t>
      </w:r>
      <w:r w:rsidR="00E431F3">
        <w:rPr>
          <w:rFonts w:ascii="Calibri" w:hAnsi="Calibri" w:cs="Arial"/>
          <w:bCs/>
        </w:rPr>
        <w:t>clinicians</w:t>
      </w:r>
      <w:r w:rsidR="00E86653">
        <w:rPr>
          <w:rFonts w:ascii="Calibri" w:hAnsi="Calibri" w:cs="Arial"/>
          <w:bCs/>
        </w:rPr>
        <w:t xml:space="preserve"> must weigh their modest cognitive benefits</w:t>
      </w:r>
      <w:r w:rsidR="00E86653" w:rsidRPr="002B70D1">
        <w:rPr>
          <w:rFonts w:ascii="Calibri" w:hAnsi="Calibri" w:cs="Arial"/>
          <w:bCs/>
        </w:rPr>
        <w:t xml:space="preserve"> </w:t>
      </w:r>
      <w:r w:rsidR="00E86653">
        <w:rPr>
          <w:rFonts w:ascii="Calibri" w:hAnsi="Calibri" w:cs="Arial"/>
          <w:bCs/>
        </w:rPr>
        <w:t xml:space="preserve">with </w:t>
      </w:r>
      <w:r w:rsidR="00E431F3">
        <w:rPr>
          <w:rFonts w:ascii="Calibri" w:hAnsi="Calibri" w:cs="Arial"/>
          <w:bCs/>
        </w:rPr>
        <w:t xml:space="preserve">common </w:t>
      </w:r>
      <w:r w:rsidR="00E86653">
        <w:rPr>
          <w:rFonts w:ascii="Calibri" w:hAnsi="Calibri" w:cs="Arial"/>
          <w:bCs/>
        </w:rPr>
        <w:t>adverse side effects. G</w:t>
      </w:r>
      <w:r w:rsidRPr="002B70D1">
        <w:rPr>
          <w:rFonts w:ascii="Calibri" w:hAnsi="Calibri" w:cs="Arial"/>
          <w:bCs/>
        </w:rPr>
        <w:t xml:space="preserve">astrointestinal symptoms, </w:t>
      </w:r>
      <w:r w:rsidR="00E86653">
        <w:rPr>
          <w:rFonts w:ascii="Calibri" w:hAnsi="Calibri" w:cs="Arial"/>
          <w:bCs/>
        </w:rPr>
        <w:t xml:space="preserve">such as diarrhea, nausea and vomiting, and anorexia are </w:t>
      </w:r>
      <w:r w:rsidR="00E431F3">
        <w:rPr>
          <w:rFonts w:ascii="Calibri" w:hAnsi="Calibri" w:cs="Arial"/>
          <w:bCs/>
        </w:rPr>
        <w:t>frequent</w:t>
      </w:r>
      <w:r w:rsidR="00E86653">
        <w:rPr>
          <w:rFonts w:ascii="Calibri" w:hAnsi="Calibri" w:cs="Arial"/>
          <w:bCs/>
        </w:rPr>
        <w:t xml:space="preserve"> after starting the drug.  </w:t>
      </w:r>
    </w:p>
    <w:p w14:paraId="31B5DEAC" w14:textId="77777777" w:rsidR="001107B7" w:rsidRPr="002B70D1" w:rsidRDefault="001107B7" w:rsidP="001107B7">
      <w:pPr>
        <w:rPr>
          <w:rFonts w:ascii="Calibri" w:hAnsi="Calibri" w:cs="Arial"/>
          <w:bCs/>
        </w:rPr>
      </w:pPr>
    </w:p>
    <w:p w14:paraId="1D48BFC7" w14:textId="58D43E21" w:rsidR="00CD662E" w:rsidRDefault="001107B7" w:rsidP="001107B7">
      <w:pPr>
        <w:rPr>
          <w:rFonts w:ascii="Calibri" w:hAnsi="Calibri"/>
        </w:rPr>
      </w:pPr>
      <w:r w:rsidRPr="002B70D1">
        <w:rPr>
          <w:rFonts w:ascii="Calibri" w:hAnsi="Calibri" w:cs="Arial"/>
          <w:bCs/>
        </w:rPr>
        <w:t xml:space="preserve">Weight loss </w:t>
      </w:r>
      <w:r w:rsidR="00E431F3">
        <w:rPr>
          <w:rFonts w:ascii="Calibri" w:hAnsi="Calibri" w:cs="Arial"/>
          <w:bCs/>
        </w:rPr>
        <w:t xml:space="preserve">may be </w:t>
      </w:r>
      <w:r w:rsidR="00E86653">
        <w:rPr>
          <w:rFonts w:ascii="Calibri" w:hAnsi="Calibri" w:cs="Arial"/>
          <w:bCs/>
        </w:rPr>
        <w:t xml:space="preserve">another </w:t>
      </w:r>
      <w:r w:rsidRPr="002B70D1">
        <w:rPr>
          <w:rFonts w:ascii="Calibri" w:hAnsi="Calibri" w:cs="Arial"/>
          <w:bCs/>
        </w:rPr>
        <w:t xml:space="preserve">side effects of cholinesterase inhibitors </w:t>
      </w:r>
      <w:r w:rsidR="00E431F3">
        <w:rPr>
          <w:rFonts w:ascii="Calibri" w:hAnsi="Calibri"/>
        </w:rPr>
        <w:t xml:space="preserve">that </w:t>
      </w:r>
      <w:proofErr w:type="gramStart"/>
      <w:r w:rsidR="00E431F3">
        <w:rPr>
          <w:rFonts w:ascii="Calibri" w:hAnsi="Calibri"/>
        </w:rPr>
        <w:t>is</w:t>
      </w:r>
      <w:proofErr w:type="gramEnd"/>
      <w:r w:rsidRPr="002B70D1">
        <w:rPr>
          <w:rFonts w:ascii="Calibri" w:hAnsi="Calibri"/>
        </w:rPr>
        <w:t xml:space="preserve"> under-recognized.</w:t>
      </w:r>
      <w:r w:rsidR="00CD662E">
        <w:rPr>
          <w:rFonts w:ascii="Calibri" w:hAnsi="Calibri"/>
        </w:rPr>
        <w:t xml:space="preserve"> </w:t>
      </w:r>
      <w:r w:rsidR="00E86653" w:rsidRPr="00EC6BBA">
        <w:rPr>
          <w:rFonts w:ascii="Calibri" w:hAnsi="Calibri"/>
        </w:rPr>
        <w:t xml:space="preserve">There is </w:t>
      </w:r>
      <w:r w:rsidR="00E86653">
        <w:rPr>
          <w:rFonts w:ascii="Calibri" w:hAnsi="Calibri"/>
        </w:rPr>
        <w:t xml:space="preserve">limited </w:t>
      </w:r>
      <w:r w:rsidR="00E86653" w:rsidRPr="00EC6BBA">
        <w:rPr>
          <w:rFonts w:ascii="Calibri" w:hAnsi="Calibri"/>
        </w:rPr>
        <w:t xml:space="preserve">evidence </w:t>
      </w:r>
      <w:r w:rsidR="00E431F3">
        <w:rPr>
          <w:rFonts w:ascii="Calibri" w:hAnsi="Calibri"/>
        </w:rPr>
        <w:t xml:space="preserve">of </w:t>
      </w:r>
      <w:r w:rsidR="00E86653" w:rsidRPr="00EC6BBA">
        <w:rPr>
          <w:rFonts w:ascii="Calibri" w:hAnsi="Calibri"/>
        </w:rPr>
        <w:t xml:space="preserve">from clinical trials, </w:t>
      </w:r>
      <w:r w:rsidR="00E431F3">
        <w:rPr>
          <w:rFonts w:ascii="Calibri" w:hAnsi="Calibri"/>
        </w:rPr>
        <w:t xml:space="preserve">that </w:t>
      </w:r>
      <w:r w:rsidR="00E86653" w:rsidRPr="00EC6BBA">
        <w:rPr>
          <w:rFonts w:ascii="Calibri" w:hAnsi="Calibri"/>
        </w:rPr>
        <w:t xml:space="preserve">weight loss can occur in some patients started on </w:t>
      </w:r>
      <w:r w:rsidR="00E86653" w:rsidRPr="00EC6BBA">
        <w:rPr>
          <w:rFonts w:ascii="Calibri" w:hAnsi="Calibri" w:cs="Arial"/>
          <w:bCs/>
        </w:rPr>
        <w:t>cholinesterase inhibitors</w:t>
      </w:r>
      <w:r w:rsidR="00E86653" w:rsidRPr="002B70D1">
        <w:rPr>
          <w:rFonts w:ascii="Calibri" w:hAnsi="Calibri"/>
        </w:rPr>
        <w:t>.</w:t>
      </w:r>
      <w:r w:rsidR="009F7434" w:rsidRPr="009F7434">
        <w:rPr>
          <w:rFonts w:ascii="Calibri" w:hAnsi="Calibri"/>
          <w:vertAlign w:val="superscript"/>
        </w:rPr>
        <w:t>3</w:t>
      </w:r>
      <w:proofErr w:type="gramStart"/>
      <w:r w:rsidR="009F7434" w:rsidRPr="009F7434">
        <w:rPr>
          <w:rFonts w:ascii="Calibri" w:hAnsi="Calibri"/>
          <w:vertAlign w:val="superscript"/>
        </w:rPr>
        <w:t>,4</w:t>
      </w:r>
      <w:proofErr w:type="gramEnd"/>
      <w:r w:rsidR="00E86653" w:rsidRPr="002B70D1">
        <w:rPr>
          <w:rFonts w:ascii="Calibri" w:hAnsi="Calibri"/>
        </w:rPr>
        <w:t xml:space="preserve"> </w:t>
      </w:r>
      <w:r w:rsidR="00CD662E">
        <w:rPr>
          <w:rFonts w:ascii="Calibri" w:hAnsi="Calibri"/>
        </w:rPr>
        <w:t xml:space="preserve">This is </w:t>
      </w:r>
      <w:r w:rsidR="00EC6BBA">
        <w:rPr>
          <w:rFonts w:ascii="Calibri" w:hAnsi="Calibri"/>
        </w:rPr>
        <w:t xml:space="preserve">an important issue because </w:t>
      </w:r>
      <w:r w:rsidR="00CD662E">
        <w:rPr>
          <w:rFonts w:ascii="Calibri" w:hAnsi="Calibri"/>
        </w:rPr>
        <w:t>i</w:t>
      </w:r>
      <w:r w:rsidR="00CD662E" w:rsidRPr="002B70D1">
        <w:rPr>
          <w:rFonts w:ascii="Calibri" w:hAnsi="Calibri"/>
        </w:rPr>
        <w:t>nvoluntary weight loss has been associated with increased mortality in older adults</w:t>
      </w:r>
      <w:r w:rsidR="001F4DB0">
        <w:rPr>
          <w:rFonts w:ascii="Calibri" w:hAnsi="Calibri"/>
        </w:rPr>
        <w:t>,</w:t>
      </w:r>
      <w:r w:rsidR="00E63BF3" w:rsidRPr="00E63BF3">
        <w:rPr>
          <w:rFonts w:ascii="Calibri" w:hAnsi="Calibri"/>
          <w:vertAlign w:val="superscript"/>
        </w:rPr>
        <w:t>5,6</w:t>
      </w:r>
      <w:r w:rsidR="00CD662E">
        <w:rPr>
          <w:rFonts w:ascii="Calibri" w:hAnsi="Calibri"/>
        </w:rPr>
        <w:t xml:space="preserve"> </w:t>
      </w:r>
      <w:r w:rsidR="00EC6BBA">
        <w:rPr>
          <w:rFonts w:ascii="Calibri" w:hAnsi="Calibri"/>
        </w:rPr>
        <w:t xml:space="preserve">and patients with dementia may represent an additionally vulnerable population. </w:t>
      </w:r>
      <w:r w:rsidR="00AC5E68" w:rsidRPr="002B70D1">
        <w:rPr>
          <w:rFonts w:ascii="Calibri" w:hAnsi="Calibri"/>
        </w:rPr>
        <w:t>However, much is unknown about</w:t>
      </w:r>
      <w:r w:rsidR="00722DEA">
        <w:rPr>
          <w:rFonts w:ascii="Calibri" w:hAnsi="Calibri"/>
        </w:rPr>
        <w:t xml:space="preserve"> </w:t>
      </w:r>
      <w:r w:rsidR="00AC5E68" w:rsidRPr="002B70D1">
        <w:rPr>
          <w:rFonts w:ascii="Calibri" w:hAnsi="Calibri" w:cs="Arial"/>
          <w:bCs/>
        </w:rPr>
        <w:t>cholinesterase inhibitors</w:t>
      </w:r>
      <w:r w:rsidR="00722DEA">
        <w:rPr>
          <w:rFonts w:ascii="Calibri" w:hAnsi="Calibri" w:cs="Arial"/>
          <w:bCs/>
        </w:rPr>
        <w:t xml:space="preserve"> and their effect on weight</w:t>
      </w:r>
      <w:r w:rsidR="00AC5E68" w:rsidRPr="00EC6BBA">
        <w:rPr>
          <w:rFonts w:ascii="Calibri" w:hAnsi="Calibri" w:cs="Arial"/>
          <w:bCs/>
        </w:rPr>
        <w:t>.</w:t>
      </w:r>
      <w:r w:rsidR="00CD662E" w:rsidRPr="00EC6BBA">
        <w:rPr>
          <w:rFonts w:ascii="Calibri" w:hAnsi="Calibri" w:cs="Arial"/>
          <w:bCs/>
        </w:rPr>
        <w:t xml:space="preserve"> </w:t>
      </w:r>
      <w:r w:rsidR="00E431F3">
        <w:rPr>
          <w:rFonts w:ascii="Calibri" w:hAnsi="Calibri"/>
        </w:rPr>
        <w:t>Clinical</w:t>
      </w:r>
      <w:r w:rsidR="00EC6BBA">
        <w:rPr>
          <w:rFonts w:ascii="Calibri" w:hAnsi="Calibri"/>
        </w:rPr>
        <w:t xml:space="preserve"> trials</w:t>
      </w:r>
      <w:r w:rsidR="00EC6BBA" w:rsidRPr="002B70D1">
        <w:rPr>
          <w:rFonts w:ascii="Calibri" w:hAnsi="Calibri"/>
        </w:rPr>
        <w:t xml:space="preserve"> </w:t>
      </w:r>
      <w:r w:rsidR="00E431F3">
        <w:rPr>
          <w:rFonts w:ascii="Calibri" w:hAnsi="Calibri"/>
        </w:rPr>
        <w:t>may</w:t>
      </w:r>
      <w:r w:rsidRPr="002B70D1">
        <w:rPr>
          <w:rFonts w:ascii="Calibri" w:hAnsi="Calibri"/>
        </w:rPr>
        <w:t xml:space="preserve"> </w:t>
      </w:r>
      <w:r w:rsidR="00E431F3" w:rsidRPr="002B70D1">
        <w:rPr>
          <w:rFonts w:ascii="Calibri" w:hAnsi="Calibri"/>
        </w:rPr>
        <w:t>underestim</w:t>
      </w:r>
      <w:r w:rsidR="00E431F3">
        <w:rPr>
          <w:rFonts w:ascii="Calibri" w:hAnsi="Calibri"/>
        </w:rPr>
        <w:t>ate</w:t>
      </w:r>
      <w:r w:rsidRPr="002B70D1">
        <w:rPr>
          <w:rFonts w:ascii="Calibri" w:hAnsi="Calibri"/>
        </w:rPr>
        <w:t xml:space="preserve"> of the true prevalence of weight </w:t>
      </w:r>
      <w:r w:rsidRPr="002B70D1">
        <w:rPr>
          <w:rFonts w:asciiTheme="majorHAnsi" w:hAnsiTheme="majorHAnsi"/>
        </w:rPr>
        <w:t xml:space="preserve">loss due to these </w:t>
      </w:r>
      <w:r w:rsidRPr="00CD662E">
        <w:rPr>
          <w:rFonts w:asciiTheme="majorHAnsi" w:hAnsiTheme="majorHAnsi"/>
        </w:rPr>
        <w:t xml:space="preserve">drugs, because the patients treated with cholinesterase inhibitors </w:t>
      </w:r>
      <w:r w:rsidR="00E71C57">
        <w:rPr>
          <w:rFonts w:asciiTheme="majorHAnsi" w:hAnsiTheme="majorHAnsi"/>
        </w:rPr>
        <w:t>are often</w:t>
      </w:r>
      <w:r w:rsidR="00B577A1" w:rsidRPr="00CD662E">
        <w:rPr>
          <w:rFonts w:asciiTheme="majorHAnsi" w:hAnsiTheme="majorHAnsi"/>
        </w:rPr>
        <w:t xml:space="preserve"> older and </w:t>
      </w:r>
      <w:r w:rsidR="00E71C57">
        <w:rPr>
          <w:rFonts w:asciiTheme="majorHAnsi" w:hAnsiTheme="majorHAnsi"/>
        </w:rPr>
        <w:t>have</w:t>
      </w:r>
      <w:r w:rsidR="00B577A1" w:rsidRPr="00CD662E">
        <w:rPr>
          <w:rFonts w:asciiTheme="majorHAnsi" w:hAnsiTheme="majorHAnsi"/>
        </w:rPr>
        <w:t xml:space="preserve"> more comorbidities than those </w:t>
      </w:r>
      <w:r w:rsidR="00E71C57">
        <w:rPr>
          <w:rFonts w:asciiTheme="majorHAnsi" w:hAnsiTheme="majorHAnsi"/>
        </w:rPr>
        <w:t xml:space="preserve">included </w:t>
      </w:r>
      <w:r w:rsidR="000B21E6">
        <w:rPr>
          <w:rFonts w:asciiTheme="majorHAnsi" w:hAnsiTheme="majorHAnsi"/>
        </w:rPr>
        <w:t>in clinical trials</w:t>
      </w:r>
      <w:r w:rsidR="001A0A93">
        <w:rPr>
          <w:rFonts w:asciiTheme="majorHAnsi" w:hAnsiTheme="majorHAnsi"/>
        </w:rPr>
        <w:t>.</w:t>
      </w:r>
      <w:r w:rsidR="000B21E6" w:rsidRPr="000B21E6">
        <w:rPr>
          <w:rFonts w:asciiTheme="majorHAnsi" w:hAnsiTheme="majorHAnsi"/>
          <w:vertAlign w:val="superscript"/>
        </w:rPr>
        <w:t>7</w:t>
      </w:r>
      <w:r w:rsidR="001A0A93">
        <w:rPr>
          <w:rFonts w:asciiTheme="majorHAnsi" w:hAnsiTheme="majorHAnsi"/>
        </w:rPr>
        <w:t xml:space="preserve"> </w:t>
      </w:r>
      <w:r w:rsidR="00CD662E" w:rsidRPr="00CD662E">
        <w:rPr>
          <w:rFonts w:asciiTheme="majorHAnsi" w:hAnsiTheme="majorHAnsi"/>
        </w:rPr>
        <w:t xml:space="preserve">It </w:t>
      </w:r>
      <w:r w:rsidRPr="00CD662E">
        <w:rPr>
          <w:rFonts w:asciiTheme="majorHAnsi" w:hAnsiTheme="majorHAnsi" w:cs="Arial"/>
          <w:bCs/>
        </w:rPr>
        <w:t xml:space="preserve">is not known </w:t>
      </w:r>
      <w:r w:rsidRPr="00CD662E">
        <w:rPr>
          <w:rFonts w:asciiTheme="majorHAnsi" w:hAnsiTheme="majorHAnsi"/>
        </w:rPr>
        <w:t>how often clinically significant weight loss occurs</w:t>
      </w:r>
      <w:r w:rsidR="00E71C57">
        <w:rPr>
          <w:rFonts w:asciiTheme="majorHAnsi" w:hAnsiTheme="majorHAnsi"/>
        </w:rPr>
        <w:t xml:space="preserve"> </w:t>
      </w:r>
      <w:r w:rsidR="00E71C57" w:rsidRPr="00CD662E">
        <w:rPr>
          <w:rFonts w:asciiTheme="majorHAnsi" w:hAnsiTheme="majorHAnsi"/>
        </w:rPr>
        <w:t xml:space="preserve">loss </w:t>
      </w:r>
      <w:r w:rsidR="00E71C57">
        <w:rPr>
          <w:rFonts w:asciiTheme="majorHAnsi" w:hAnsiTheme="majorHAnsi" w:cs="Arial"/>
          <w:bCs/>
        </w:rPr>
        <w:t>these</w:t>
      </w:r>
      <w:r w:rsidR="00E71C57" w:rsidRPr="00CD662E">
        <w:rPr>
          <w:rFonts w:asciiTheme="majorHAnsi" w:hAnsiTheme="majorHAnsi" w:cs="Arial"/>
          <w:bCs/>
        </w:rPr>
        <w:t xml:space="preserve"> patients </w:t>
      </w:r>
      <w:r w:rsidRPr="00CD662E">
        <w:rPr>
          <w:rFonts w:asciiTheme="majorHAnsi" w:hAnsiTheme="majorHAnsi"/>
        </w:rPr>
        <w:t>or if certain populations are at higher</w:t>
      </w:r>
      <w:r w:rsidRPr="002B70D1">
        <w:rPr>
          <w:rFonts w:ascii="Calibri" w:hAnsi="Calibri"/>
        </w:rPr>
        <w:t xml:space="preserve"> risk. </w:t>
      </w:r>
    </w:p>
    <w:p w14:paraId="7D30E299" w14:textId="77777777" w:rsidR="00CD662E" w:rsidRDefault="00CD662E" w:rsidP="001107B7">
      <w:pPr>
        <w:rPr>
          <w:rFonts w:ascii="Calibri" w:hAnsi="Calibri"/>
        </w:rPr>
      </w:pPr>
    </w:p>
    <w:p w14:paraId="1BBC5626" w14:textId="4D2168FA" w:rsidR="001107B7" w:rsidRPr="002B70D1" w:rsidRDefault="001107B7" w:rsidP="001107B7">
      <w:pPr>
        <w:rPr>
          <w:rFonts w:ascii="Calibri" w:hAnsi="Calibri"/>
        </w:rPr>
      </w:pPr>
      <w:r w:rsidRPr="002B70D1">
        <w:rPr>
          <w:rFonts w:ascii="Calibri" w:hAnsi="Calibri"/>
        </w:rPr>
        <w:t xml:space="preserve">We used national </w:t>
      </w:r>
      <w:r w:rsidR="00055CB0">
        <w:rPr>
          <w:rFonts w:ascii="Calibri" w:hAnsi="Calibri"/>
        </w:rPr>
        <w:t xml:space="preserve">data from the </w:t>
      </w:r>
      <w:r w:rsidR="00055CB0" w:rsidRPr="002B70D1">
        <w:rPr>
          <w:rFonts w:ascii="Calibri" w:hAnsi="Calibri"/>
        </w:rPr>
        <w:t xml:space="preserve">Veterans Affairs </w:t>
      </w:r>
      <w:r w:rsidR="00055CB0">
        <w:rPr>
          <w:rFonts w:ascii="Calibri" w:hAnsi="Calibri"/>
        </w:rPr>
        <w:t>h</w:t>
      </w:r>
      <w:r w:rsidR="00055CB0" w:rsidRPr="002B70D1">
        <w:rPr>
          <w:rFonts w:ascii="Calibri" w:hAnsi="Calibri"/>
        </w:rPr>
        <w:t xml:space="preserve">ealthcare system </w:t>
      </w:r>
      <w:r w:rsidRPr="002B70D1">
        <w:rPr>
          <w:rFonts w:ascii="Calibri" w:hAnsi="Calibri"/>
        </w:rPr>
        <w:t xml:space="preserve">to determine if </w:t>
      </w:r>
      <w:r w:rsidR="00D138BB">
        <w:rPr>
          <w:rFonts w:ascii="Calibri" w:hAnsi="Calibri"/>
        </w:rPr>
        <w:t>starting</w:t>
      </w:r>
      <w:r w:rsidRPr="002B70D1">
        <w:rPr>
          <w:rFonts w:ascii="Calibri" w:hAnsi="Calibri"/>
        </w:rPr>
        <w:t xml:space="preserve"> cholinesterase inhibitors is associated with clinically significant weight loss in older adults with dementia</w:t>
      </w:r>
      <w:r w:rsidR="00071896">
        <w:rPr>
          <w:rFonts w:ascii="Calibri" w:hAnsi="Calibri"/>
        </w:rPr>
        <w:t xml:space="preserve"> in a real-world setting,</w:t>
      </w:r>
      <w:r w:rsidR="00CD662E">
        <w:rPr>
          <w:rFonts w:ascii="Calibri" w:hAnsi="Calibri"/>
        </w:rPr>
        <w:t xml:space="preserve"> and to </w:t>
      </w:r>
      <w:r w:rsidR="0009381C">
        <w:rPr>
          <w:rFonts w:ascii="Calibri" w:hAnsi="Calibri"/>
        </w:rPr>
        <w:t>identify</w:t>
      </w:r>
      <w:r w:rsidR="00CD662E">
        <w:rPr>
          <w:rFonts w:ascii="Calibri" w:hAnsi="Calibri"/>
        </w:rPr>
        <w:t xml:space="preserve"> subgroups</w:t>
      </w:r>
      <w:r w:rsidR="0009381C">
        <w:rPr>
          <w:rFonts w:ascii="Calibri" w:hAnsi="Calibri"/>
        </w:rPr>
        <w:t xml:space="preserve"> </w:t>
      </w:r>
      <w:r w:rsidR="00071896">
        <w:rPr>
          <w:rFonts w:ascii="Calibri" w:hAnsi="Calibri"/>
        </w:rPr>
        <w:t>that may be at higher risk for weight loss.</w:t>
      </w:r>
    </w:p>
    <w:p w14:paraId="64834A0A" w14:textId="77777777" w:rsidR="001107B7" w:rsidRPr="002B70D1" w:rsidRDefault="001107B7" w:rsidP="001107B7"/>
    <w:p w14:paraId="10CD579A" w14:textId="77777777" w:rsidR="00C80049" w:rsidRPr="002B70D1" w:rsidRDefault="00C80049" w:rsidP="00C80049">
      <w:pPr>
        <w:rPr>
          <w:rFonts w:ascii="Calibri" w:hAnsi="Calibri"/>
          <w:b/>
        </w:rPr>
      </w:pPr>
      <w:r w:rsidRPr="002B70D1">
        <w:rPr>
          <w:rFonts w:ascii="Calibri" w:hAnsi="Calibri"/>
          <w:b/>
          <w:sz w:val="28"/>
          <w:szCs w:val="28"/>
        </w:rPr>
        <w:t>Methods</w:t>
      </w:r>
    </w:p>
    <w:p w14:paraId="168C131B" w14:textId="77777777" w:rsidR="00C80049" w:rsidRPr="002B70D1" w:rsidRDefault="00C80049" w:rsidP="00C80049">
      <w:pPr>
        <w:rPr>
          <w:rFonts w:ascii="Calibri" w:hAnsi="Calibri"/>
        </w:rPr>
      </w:pPr>
    </w:p>
    <w:p w14:paraId="16C5A8FC" w14:textId="77777777" w:rsidR="00C80049" w:rsidRPr="002B70D1" w:rsidRDefault="00C80049" w:rsidP="00C80049">
      <w:pPr>
        <w:rPr>
          <w:rFonts w:ascii="Calibri" w:hAnsi="Calibri"/>
          <w:b/>
        </w:rPr>
      </w:pPr>
      <w:r w:rsidRPr="002B70D1">
        <w:rPr>
          <w:rFonts w:ascii="Calibri" w:hAnsi="Calibri"/>
          <w:b/>
        </w:rPr>
        <w:t>Subjects</w:t>
      </w:r>
    </w:p>
    <w:p w14:paraId="37F08B89" w14:textId="0DA94EEA" w:rsidR="00C80049" w:rsidRDefault="004C7ABE" w:rsidP="00C80049">
      <w:pPr>
        <w:rPr>
          <w:rFonts w:ascii="Calibri" w:hAnsi="Calibri"/>
        </w:rPr>
      </w:pPr>
      <w:r>
        <w:rPr>
          <w:rFonts w:ascii="Calibri" w:hAnsi="Calibri"/>
        </w:rPr>
        <w:t>We created a cohort of p</w:t>
      </w:r>
      <w:r w:rsidR="00C80049" w:rsidRPr="002B70D1">
        <w:rPr>
          <w:rFonts w:ascii="Calibri" w:hAnsi="Calibri"/>
        </w:rPr>
        <w:t xml:space="preserve">atients in the Veterans Affairs </w:t>
      </w:r>
      <w:r>
        <w:rPr>
          <w:rFonts w:ascii="Calibri" w:hAnsi="Calibri"/>
        </w:rPr>
        <w:t>h</w:t>
      </w:r>
      <w:r w:rsidR="00C80049" w:rsidRPr="002B70D1">
        <w:rPr>
          <w:rFonts w:ascii="Calibri" w:hAnsi="Calibri"/>
        </w:rPr>
        <w:t xml:space="preserve">ealthcare system </w:t>
      </w:r>
      <w:r>
        <w:rPr>
          <w:rFonts w:ascii="Calibri" w:hAnsi="Calibri"/>
        </w:rPr>
        <w:t>who were</w:t>
      </w:r>
      <w:r w:rsidR="00C80049" w:rsidRPr="002B70D1">
        <w:rPr>
          <w:rFonts w:ascii="Calibri" w:hAnsi="Calibri"/>
        </w:rPr>
        <w:t xml:space="preserve"> age 65 years or older</w:t>
      </w:r>
      <w:r w:rsidR="00F840B0">
        <w:rPr>
          <w:rFonts w:ascii="Calibri" w:hAnsi="Calibri"/>
        </w:rPr>
        <w:t xml:space="preserve">, </w:t>
      </w:r>
      <w:r w:rsidR="00C80049" w:rsidRPr="002B70D1">
        <w:rPr>
          <w:rFonts w:ascii="Calibri" w:hAnsi="Calibri"/>
        </w:rPr>
        <w:t>had a diagnosis of dementia</w:t>
      </w:r>
      <w:r w:rsidR="00F840B0">
        <w:rPr>
          <w:rFonts w:ascii="Calibri" w:hAnsi="Calibri"/>
        </w:rPr>
        <w:t xml:space="preserve">, and were </w:t>
      </w:r>
      <w:r w:rsidR="00C80049" w:rsidRPr="002B70D1">
        <w:rPr>
          <w:rFonts w:ascii="Calibri" w:hAnsi="Calibri"/>
        </w:rPr>
        <w:t xml:space="preserve">not already receiving a cholinesterase inhibitor during a </w:t>
      </w:r>
      <w:r w:rsidR="001B1F12" w:rsidRPr="002B70D1">
        <w:rPr>
          <w:rFonts w:ascii="Calibri" w:hAnsi="Calibri"/>
        </w:rPr>
        <w:t>one-year</w:t>
      </w:r>
      <w:r w:rsidR="00C80049" w:rsidRPr="002B70D1">
        <w:rPr>
          <w:rFonts w:ascii="Calibri" w:hAnsi="Calibri"/>
        </w:rPr>
        <w:t xml:space="preserve"> baseline period of Fiscal Year</w:t>
      </w:r>
      <w:r w:rsidR="00F840B0">
        <w:rPr>
          <w:rFonts w:ascii="Calibri" w:hAnsi="Calibri"/>
        </w:rPr>
        <w:t xml:space="preserve"> (</w:t>
      </w:r>
      <w:r w:rsidR="001B1F12">
        <w:rPr>
          <w:rFonts w:ascii="Calibri" w:hAnsi="Calibri"/>
        </w:rPr>
        <w:t>FY</w:t>
      </w:r>
      <w:r w:rsidR="00F840B0">
        <w:rPr>
          <w:rFonts w:ascii="Calibri" w:hAnsi="Calibri"/>
        </w:rPr>
        <w:t>) 2007 or FY</w:t>
      </w:r>
      <w:r w:rsidR="00ED05B5">
        <w:rPr>
          <w:rFonts w:ascii="Calibri" w:hAnsi="Calibri"/>
        </w:rPr>
        <w:t xml:space="preserve"> </w:t>
      </w:r>
      <w:r w:rsidR="00F840B0">
        <w:rPr>
          <w:rFonts w:ascii="Calibri" w:hAnsi="Calibri"/>
        </w:rPr>
        <w:t xml:space="preserve">2008. </w:t>
      </w:r>
      <w:r w:rsidR="00236857">
        <w:rPr>
          <w:rFonts w:ascii="Calibri" w:hAnsi="Calibri"/>
        </w:rPr>
        <w:t xml:space="preserve">We used </w:t>
      </w:r>
      <w:r w:rsidR="00C80049" w:rsidRPr="002B70D1">
        <w:rPr>
          <w:rFonts w:ascii="Calibri" w:hAnsi="Calibri"/>
        </w:rPr>
        <w:t>ICD-9 code</w:t>
      </w:r>
      <w:r w:rsidR="00236857">
        <w:rPr>
          <w:rFonts w:ascii="Calibri" w:hAnsi="Calibri"/>
        </w:rPr>
        <w:t xml:space="preserve">s to define patients diagnosed with </w:t>
      </w:r>
      <w:r w:rsidR="00C80049" w:rsidRPr="002B70D1">
        <w:rPr>
          <w:rFonts w:ascii="Calibri" w:hAnsi="Calibri"/>
        </w:rPr>
        <w:t>dementia or mild cognitive impairment</w:t>
      </w:r>
      <w:r w:rsidR="00236857">
        <w:rPr>
          <w:rFonts w:ascii="Calibri" w:hAnsi="Calibri"/>
        </w:rPr>
        <w:t>. We included patients who had</w:t>
      </w:r>
      <w:r w:rsidR="00C80049" w:rsidRPr="002B70D1">
        <w:rPr>
          <w:rFonts w:ascii="Calibri" w:hAnsi="Calibri"/>
        </w:rPr>
        <w:t xml:space="preserve"> at least one inpatient or </w:t>
      </w:r>
      <w:r w:rsidR="00DA435B">
        <w:rPr>
          <w:rFonts w:ascii="Calibri" w:hAnsi="Calibri"/>
        </w:rPr>
        <w:t xml:space="preserve">two </w:t>
      </w:r>
      <w:proofErr w:type="gramStart"/>
      <w:r w:rsidR="00C80049" w:rsidRPr="002B70D1">
        <w:rPr>
          <w:rFonts w:ascii="Calibri" w:hAnsi="Calibri"/>
        </w:rPr>
        <w:t>outpatient</w:t>
      </w:r>
      <w:proofErr w:type="gramEnd"/>
      <w:r w:rsidR="00C80049" w:rsidRPr="002B70D1">
        <w:rPr>
          <w:rFonts w:ascii="Calibri" w:hAnsi="Calibri"/>
        </w:rPr>
        <w:t xml:space="preserve"> </w:t>
      </w:r>
      <w:r w:rsidR="0009281F">
        <w:rPr>
          <w:rFonts w:ascii="Calibri" w:hAnsi="Calibri"/>
        </w:rPr>
        <w:t>encounter</w:t>
      </w:r>
      <w:r w:rsidR="0009281F" w:rsidRPr="002B70D1">
        <w:rPr>
          <w:rFonts w:ascii="Calibri" w:hAnsi="Calibri"/>
        </w:rPr>
        <w:t xml:space="preserve"> </w:t>
      </w:r>
      <w:r w:rsidR="00C80049" w:rsidRPr="002B70D1">
        <w:rPr>
          <w:rFonts w:ascii="Calibri" w:hAnsi="Calibri"/>
        </w:rPr>
        <w:t xml:space="preserve">ICD-9 codes 290-290.9, 294-294.9, 331-331.9, 291.1, 291.2, 292.82, 292.83, 438.0, </w:t>
      </w:r>
      <w:r w:rsidR="0065000F">
        <w:rPr>
          <w:rFonts w:ascii="Calibri" w:hAnsi="Calibri"/>
        </w:rPr>
        <w:t xml:space="preserve">or </w:t>
      </w:r>
      <w:r w:rsidR="00C80049" w:rsidRPr="002B70D1">
        <w:rPr>
          <w:rFonts w:ascii="Calibri" w:hAnsi="Calibri"/>
        </w:rPr>
        <w:t>780.93</w:t>
      </w:r>
      <w:r w:rsidR="001B1F12">
        <w:rPr>
          <w:rFonts w:ascii="Calibri" w:hAnsi="Calibri"/>
        </w:rPr>
        <w:t xml:space="preserve">. </w:t>
      </w:r>
    </w:p>
    <w:p w14:paraId="1BD8E488" w14:textId="77777777" w:rsidR="00E71C57" w:rsidRDefault="00E71C57" w:rsidP="00C80049">
      <w:pPr>
        <w:rPr>
          <w:rFonts w:ascii="Calibri" w:hAnsi="Calibri"/>
        </w:rPr>
      </w:pPr>
    </w:p>
    <w:p w14:paraId="5FE761F3" w14:textId="7B573617" w:rsidR="00A823D6" w:rsidRPr="002B70D1" w:rsidRDefault="008B7DB7" w:rsidP="00A823D6">
      <w:pPr>
        <w:rPr>
          <w:rFonts w:ascii="Calibri" w:hAnsi="Calibri"/>
        </w:rPr>
      </w:pPr>
      <w:r>
        <w:rPr>
          <w:rFonts w:ascii="Calibri" w:hAnsi="Calibri" w:cs="Times New Roman"/>
        </w:rPr>
        <w:t>We excluded p</w:t>
      </w:r>
      <w:r w:rsidR="00A823D6" w:rsidRPr="002B70D1">
        <w:rPr>
          <w:rFonts w:ascii="Calibri" w:hAnsi="Calibri" w:cs="Times New Roman"/>
        </w:rPr>
        <w:t>atients with conditions associated with large fluctuations in weight</w:t>
      </w:r>
      <w:r w:rsidR="005B33AD">
        <w:rPr>
          <w:rFonts w:ascii="Calibri" w:hAnsi="Calibri" w:cs="Times New Roman"/>
        </w:rPr>
        <w:t xml:space="preserve">: </w:t>
      </w:r>
      <w:r w:rsidR="00A823D6" w:rsidRPr="002B70D1">
        <w:rPr>
          <w:rFonts w:ascii="Calibri" w:hAnsi="Calibri" w:cs="Times New Roman"/>
        </w:rPr>
        <w:t xml:space="preserve">congestive heart failure or cancer (other than prostate or </w:t>
      </w:r>
      <w:r w:rsidR="005B33AD">
        <w:rPr>
          <w:rFonts w:ascii="Calibri" w:hAnsi="Calibri" w:cs="Times New Roman"/>
        </w:rPr>
        <w:t>and</w:t>
      </w:r>
      <w:r w:rsidR="005B33AD" w:rsidRPr="002B70D1">
        <w:rPr>
          <w:rFonts w:ascii="Calibri" w:hAnsi="Calibri" w:cs="Times New Roman"/>
        </w:rPr>
        <w:t xml:space="preserve"> </w:t>
      </w:r>
      <w:r w:rsidR="00A823D6" w:rsidRPr="002B70D1">
        <w:rPr>
          <w:rFonts w:ascii="Calibri" w:hAnsi="Calibri" w:cs="Times New Roman"/>
        </w:rPr>
        <w:t>basal-cell skin cancer</w:t>
      </w:r>
      <w:r w:rsidR="005B33AD">
        <w:rPr>
          <w:rFonts w:ascii="Calibri" w:hAnsi="Calibri" w:cs="Times New Roman"/>
        </w:rPr>
        <w:t>)</w:t>
      </w:r>
      <w:r w:rsidR="00CA4E20">
        <w:rPr>
          <w:rFonts w:ascii="Calibri" w:hAnsi="Calibri" w:cs="Times New Roman"/>
        </w:rPr>
        <w:t>.</w:t>
      </w:r>
      <w:r w:rsidR="00A823D6" w:rsidRPr="002B70D1">
        <w:rPr>
          <w:rFonts w:ascii="Calibri" w:hAnsi="Calibri"/>
        </w:rPr>
        <w:t xml:space="preserve"> In </w:t>
      </w:r>
      <w:r w:rsidR="00A823D6" w:rsidRPr="002B70D1">
        <w:rPr>
          <w:rFonts w:ascii="Calibri" w:hAnsi="Calibri"/>
        </w:rPr>
        <w:lastRenderedPageBreak/>
        <w:t>addition,</w:t>
      </w:r>
      <w:r w:rsidR="00CA4E20">
        <w:rPr>
          <w:rFonts w:ascii="Calibri" w:hAnsi="Calibri"/>
        </w:rPr>
        <w:t xml:space="preserve"> </w:t>
      </w:r>
      <w:r w:rsidR="005B33AD">
        <w:rPr>
          <w:rFonts w:ascii="Calibri" w:hAnsi="Calibri"/>
        </w:rPr>
        <w:t>we</w:t>
      </w:r>
      <w:r w:rsidR="00CA4E20">
        <w:rPr>
          <w:rFonts w:ascii="Calibri" w:hAnsi="Calibri"/>
        </w:rPr>
        <w:t xml:space="preserve"> include</w:t>
      </w:r>
      <w:r w:rsidR="005B33AD">
        <w:rPr>
          <w:rFonts w:ascii="Calibri" w:hAnsi="Calibri"/>
        </w:rPr>
        <w:t>d</w:t>
      </w:r>
      <w:r w:rsidR="00CA4E20">
        <w:rPr>
          <w:rFonts w:ascii="Calibri" w:hAnsi="Calibri"/>
        </w:rPr>
        <w:t xml:space="preserve"> only patients who had stable </w:t>
      </w:r>
      <w:r w:rsidR="005B33AD">
        <w:rPr>
          <w:rFonts w:ascii="Calibri" w:hAnsi="Calibri"/>
        </w:rPr>
        <w:t xml:space="preserve">baseline </w:t>
      </w:r>
      <w:r w:rsidR="00CA4E20">
        <w:rPr>
          <w:rFonts w:ascii="Calibri" w:hAnsi="Calibri"/>
        </w:rPr>
        <w:t>weight</w:t>
      </w:r>
      <w:r w:rsidR="005B33AD">
        <w:rPr>
          <w:rFonts w:ascii="Calibri" w:hAnsi="Calibri"/>
        </w:rPr>
        <w:t xml:space="preserve"> and excluded </w:t>
      </w:r>
      <w:r w:rsidR="00A823D6" w:rsidRPr="002B70D1">
        <w:rPr>
          <w:rFonts w:ascii="Calibri" w:hAnsi="Calibri"/>
        </w:rPr>
        <w:t xml:space="preserve">patients with more than a </w:t>
      </w:r>
      <w:r w:rsidR="00ED05B5" w:rsidRPr="002B70D1">
        <w:rPr>
          <w:rFonts w:ascii="Calibri" w:hAnsi="Calibri"/>
        </w:rPr>
        <w:t>10-pound</w:t>
      </w:r>
      <w:r w:rsidR="00A823D6" w:rsidRPr="002B70D1">
        <w:rPr>
          <w:rFonts w:ascii="Calibri" w:hAnsi="Calibri"/>
        </w:rPr>
        <w:t xml:space="preserve"> weight change in the year prior. This excluded patients who were rapidly losing weight prior to starting the new drug. </w:t>
      </w:r>
      <w:r w:rsidR="0008102C">
        <w:rPr>
          <w:rFonts w:ascii="Calibri" w:hAnsi="Calibri"/>
        </w:rPr>
        <w:t>We excluded patients who did not have weight data during the study period</w:t>
      </w:r>
      <w:r w:rsidR="00C53F27">
        <w:rPr>
          <w:rFonts w:ascii="Calibri" w:hAnsi="Calibri"/>
        </w:rPr>
        <w:t xml:space="preserve"> FY 2007 – FY 20</w:t>
      </w:r>
      <w:r w:rsidR="005C7356">
        <w:rPr>
          <w:rFonts w:ascii="Calibri" w:hAnsi="Calibri"/>
        </w:rPr>
        <w:t>10</w:t>
      </w:r>
      <w:r w:rsidR="00C53F27">
        <w:rPr>
          <w:rFonts w:ascii="Calibri" w:hAnsi="Calibri"/>
        </w:rPr>
        <w:t xml:space="preserve">. </w:t>
      </w:r>
    </w:p>
    <w:p w14:paraId="14F27FE3" w14:textId="77777777" w:rsidR="005D10E3" w:rsidRPr="002B70D1" w:rsidRDefault="005D10E3" w:rsidP="005D10E3">
      <w:pPr>
        <w:rPr>
          <w:rFonts w:ascii="Calibri" w:hAnsi="Calibri"/>
        </w:rPr>
      </w:pPr>
    </w:p>
    <w:p w14:paraId="7381D345" w14:textId="4C9AEBEA" w:rsidR="00F3474F" w:rsidRDefault="00C80049" w:rsidP="00C80049">
      <w:pPr>
        <w:rPr>
          <w:rFonts w:ascii="Calibri" w:hAnsi="Calibri"/>
          <w:lang w:val="en-AU"/>
        </w:rPr>
      </w:pPr>
      <w:r w:rsidRPr="002B70D1">
        <w:rPr>
          <w:rFonts w:ascii="Calibri" w:hAnsi="Calibri"/>
          <w:lang w:val="en-AU"/>
        </w:rPr>
        <w:t xml:space="preserve">Among eligible patients, we identified patients who were newly prescribed a cholinesterase inhibitor during FY2008 </w:t>
      </w:r>
      <w:r w:rsidR="00ED05B5">
        <w:rPr>
          <w:rFonts w:ascii="Calibri" w:hAnsi="Calibri"/>
          <w:lang w:val="en-AU"/>
        </w:rPr>
        <w:t xml:space="preserve">– FY </w:t>
      </w:r>
      <w:r w:rsidRPr="002B70D1">
        <w:rPr>
          <w:rFonts w:ascii="Calibri" w:hAnsi="Calibri"/>
          <w:lang w:val="en-AU"/>
        </w:rPr>
        <w:t>2009</w:t>
      </w:r>
      <w:r w:rsidR="00E932FE">
        <w:rPr>
          <w:rFonts w:ascii="Calibri" w:hAnsi="Calibri"/>
          <w:lang w:val="en-AU"/>
        </w:rPr>
        <w:t xml:space="preserve">. We also identified a </w:t>
      </w:r>
      <w:r w:rsidRPr="002B70D1">
        <w:rPr>
          <w:rFonts w:ascii="Calibri" w:hAnsi="Calibri"/>
          <w:lang w:val="en-AU"/>
        </w:rPr>
        <w:t xml:space="preserve">separate control group of patients </w:t>
      </w:r>
      <w:r w:rsidR="00E932FE">
        <w:rPr>
          <w:rFonts w:ascii="Calibri" w:hAnsi="Calibri"/>
          <w:lang w:val="en-AU"/>
        </w:rPr>
        <w:t>not prescribed cholinesterase inhibitors</w:t>
      </w:r>
      <w:r w:rsidR="004336EA">
        <w:rPr>
          <w:rFonts w:ascii="Calibri" w:hAnsi="Calibri"/>
          <w:lang w:val="en-AU"/>
        </w:rPr>
        <w:t xml:space="preserve"> that were</w:t>
      </w:r>
      <w:r w:rsidR="00E932FE">
        <w:rPr>
          <w:rFonts w:ascii="Calibri" w:hAnsi="Calibri"/>
          <w:lang w:val="en-AU"/>
        </w:rPr>
        <w:t xml:space="preserve"> newly </w:t>
      </w:r>
      <w:r w:rsidRPr="002B70D1">
        <w:rPr>
          <w:rFonts w:ascii="Calibri" w:hAnsi="Calibri"/>
          <w:lang w:val="en-AU"/>
        </w:rPr>
        <w:t xml:space="preserve">started on </w:t>
      </w:r>
      <w:r w:rsidR="004336EA">
        <w:rPr>
          <w:rFonts w:ascii="Calibri" w:hAnsi="Calibri"/>
          <w:lang w:val="en-AU"/>
        </w:rPr>
        <w:t xml:space="preserve">other </w:t>
      </w:r>
      <w:r w:rsidRPr="002B70D1">
        <w:rPr>
          <w:rFonts w:ascii="Calibri" w:hAnsi="Calibri"/>
          <w:lang w:val="en-AU"/>
        </w:rPr>
        <w:t xml:space="preserve">chronic medications during </w:t>
      </w:r>
      <w:r w:rsidR="00A823D6">
        <w:rPr>
          <w:rFonts w:ascii="Calibri" w:hAnsi="Calibri"/>
          <w:lang w:val="en-AU"/>
        </w:rPr>
        <w:t>that</w:t>
      </w:r>
      <w:r w:rsidR="00A823D6" w:rsidRPr="002B70D1">
        <w:rPr>
          <w:rFonts w:ascii="Calibri" w:hAnsi="Calibri"/>
          <w:lang w:val="en-AU"/>
        </w:rPr>
        <w:t xml:space="preserve"> </w:t>
      </w:r>
      <w:r w:rsidR="004336EA">
        <w:rPr>
          <w:rFonts w:ascii="Calibri" w:hAnsi="Calibri"/>
          <w:lang w:val="en-AU"/>
        </w:rPr>
        <w:t xml:space="preserve">time </w:t>
      </w:r>
      <w:r w:rsidRPr="002B70D1">
        <w:rPr>
          <w:rFonts w:ascii="Calibri" w:hAnsi="Calibri"/>
          <w:lang w:val="en-AU"/>
        </w:rPr>
        <w:t>period.</w:t>
      </w:r>
      <w:r w:rsidR="005F715E" w:rsidRPr="002B70D1">
        <w:rPr>
          <w:rFonts w:ascii="Calibri" w:hAnsi="Calibri"/>
          <w:lang w:val="en-AU"/>
        </w:rPr>
        <w:t xml:space="preserve"> </w:t>
      </w:r>
    </w:p>
    <w:p w14:paraId="5E2C0617" w14:textId="51C7BEE0" w:rsidR="00F3474F" w:rsidRDefault="00F3474F" w:rsidP="00C80049">
      <w:p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 </w:t>
      </w:r>
    </w:p>
    <w:p w14:paraId="4B2CB1A9" w14:textId="3080949D" w:rsidR="00E932FE" w:rsidRDefault="004336EA" w:rsidP="00C80049">
      <w:pPr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>We chose to use a new-user design</w:t>
      </w:r>
      <w:r w:rsidR="0020751A">
        <w:rPr>
          <w:rFonts w:ascii="Calibri" w:hAnsi="Calibri"/>
          <w:lang w:val="en-AU"/>
        </w:rPr>
        <w:t xml:space="preserve">, including only new users of </w:t>
      </w:r>
      <w:r w:rsidR="001A0E3A">
        <w:rPr>
          <w:rFonts w:ascii="Calibri" w:hAnsi="Calibri"/>
          <w:lang w:val="en-AU"/>
        </w:rPr>
        <w:t>cholinesterase</w:t>
      </w:r>
      <w:r w:rsidR="0020751A">
        <w:rPr>
          <w:rFonts w:ascii="Calibri" w:hAnsi="Calibri"/>
          <w:lang w:val="en-AU"/>
        </w:rPr>
        <w:t xml:space="preserve"> inhibitor and control medications.</w:t>
      </w:r>
      <w:r>
        <w:rPr>
          <w:rFonts w:ascii="Calibri" w:hAnsi="Calibri"/>
          <w:lang w:val="en-AU"/>
        </w:rPr>
        <w:t xml:space="preserve"> </w:t>
      </w:r>
      <w:r w:rsidR="001A0E3A">
        <w:rPr>
          <w:rFonts w:ascii="Calibri" w:hAnsi="Calibri"/>
          <w:lang w:val="en-AU"/>
        </w:rPr>
        <w:t>A</w:t>
      </w:r>
      <w:r w:rsidR="0008517C">
        <w:rPr>
          <w:rFonts w:ascii="Calibri" w:hAnsi="Calibri"/>
          <w:lang w:val="en-AU"/>
        </w:rPr>
        <w:t xml:space="preserve"> new-user design </w:t>
      </w:r>
      <w:r w:rsidR="001A0E3A">
        <w:rPr>
          <w:rFonts w:ascii="Calibri" w:hAnsi="Calibri"/>
          <w:lang w:val="en-AU"/>
        </w:rPr>
        <w:t>ha</w:t>
      </w:r>
      <w:r w:rsidR="00C772BC">
        <w:rPr>
          <w:rFonts w:ascii="Calibri" w:hAnsi="Calibri"/>
          <w:lang w:val="en-AU"/>
        </w:rPr>
        <w:t>s</w:t>
      </w:r>
      <w:r w:rsidR="001A0E3A">
        <w:rPr>
          <w:rFonts w:ascii="Calibri" w:hAnsi="Calibri"/>
          <w:lang w:val="en-AU"/>
        </w:rPr>
        <w:t xml:space="preserve"> the advantage of </w:t>
      </w:r>
      <w:r w:rsidR="008B183C">
        <w:rPr>
          <w:rFonts w:ascii="Calibri" w:hAnsi="Calibri"/>
          <w:lang w:val="en-AU"/>
        </w:rPr>
        <w:t xml:space="preserve">capturing side effects which occur early in treatment or that vary over time; </w:t>
      </w:r>
      <w:r w:rsidR="001A0E3A">
        <w:rPr>
          <w:rFonts w:ascii="Calibri" w:hAnsi="Calibri"/>
          <w:lang w:val="en-AU"/>
        </w:rPr>
        <w:t>including</w:t>
      </w:r>
      <w:r>
        <w:rPr>
          <w:rFonts w:ascii="Calibri" w:hAnsi="Calibri"/>
          <w:lang w:val="en-AU"/>
        </w:rPr>
        <w:t xml:space="preserve"> </w:t>
      </w:r>
      <w:proofErr w:type="spellStart"/>
      <w:r>
        <w:rPr>
          <w:rFonts w:ascii="Calibri" w:hAnsi="Calibri"/>
          <w:lang w:val="en-AU"/>
        </w:rPr>
        <w:t>including</w:t>
      </w:r>
      <w:proofErr w:type="spellEnd"/>
      <w:r>
        <w:rPr>
          <w:rFonts w:ascii="Calibri" w:hAnsi="Calibri"/>
          <w:lang w:val="en-AU"/>
        </w:rPr>
        <w:t xml:space="preserve"> prevalent users </w:t>
      </w:r>
      <w:r w:rsidR="008B183C">
        <w:rPr>
          <w:rFonts w:ascii="Calibri" w:hAnsi="Calibri"/>
          <w:lang w:val="en-AU"/>
        </w:rPr>
        <w:t>may</w:t>
      </w:r>
      <w:r w:rsidR="001A0E3A">
        <w:rPr>
          <w:rFonts w:ascii="Calibri" w:hAnsi="Calibri"/>
          <w:lang w:val="en-AU"/>
        </w:rPr>
        <w:t xml:space="preserve"> underestimat</w:t>
      </w:r>
      <w:r w:rsidR="008B183C">
        <w:rPr>
          <w:rFonts w:ascii="Calibri" w:hAnsi="Calibri"/>
          <w:lang w:val="en-AU"/>
        </w:rPr>
        <w:t>e</w:t>
      </w:r>
      <w:r w:rsidR="001A0E3A">
        <w:rPr>
          <w:rFonts w:ascii="Calibri" w:hAnsi="Calibri"/>
          <w:lang w:val="en-AU"/>
        </w:rPr>
        <w:t xml:space="preserve"> </w:t>
      </w:r>
      <w:r w:rsidR="00C772BC">
        <w:rPr>
          <w:rFonts w:ascii="Calibri" w:hAnsi="Calibri"/>
          <w:lang w:val="en-AU"/>
        </w:rPr>
        <w:t>early side effects</w:t>
      </w:r>
      <w:r w:rsidR="008B183C">
        <w:rPr>
          <w:rFonts w:ascii="Calibri" w:hAnsi="Calibri"/>
          <w:lang w:val="en-AU"/>
        </w:rPr>
        <w:t xml:space="preserve"> by </w:t>
      </w:r>
      <w:r>
        <w:rPr>
          <w:rFonts w:ascii="Calibri" w:hAnsi="Calibri"/>
          <w:lang w:val="en-AU"/>
        </w:rPr>
        <w:t xml:space="preserve">missing </w:t>
      </w:r>
      <w:r w:rsidR="00BF7ED5">
        <w:rPr>
          <w:rFonts w:ascii="Calibri" w:hAnsi="Calibri"/>
          <w:lang w:val="en-AU"/>
        </w:rPr>
        <w:t>patients</w:t>
      </w:r>
      <w:r w:rsidR="008B183C">
        <w:rPr>
          <w:rFonts w:ascii="Calibri" w:hAnsi="Calibri"/>
          <w:lang w:val="en-AU"/>
        </w:rPr>
        <w:t xml:space="preserve"> </w:t>
      </w:r>
      <w:r>
        <w:rPr>
          <w:rFonts w:ascii="Calibri" w:hAnsi="Calibri"/>
          <w:lang w:val="en-AU"/>
        </w:rPr>
        <w:t xml:space="preserve">who may have </w:t>
      </w:r>
      <w:r w:rsidR="0008517C">
        <w:rPr>
          <w:rFonts w:ascii="Calibri" w:hAnsi="Calibri"/>
          <w:lang w:val="en-AU"/>
        </w:rPr>
        <w:t>started the medications</w:t>
      </w:r>
      <w:r>
        <w:rPr>
          <w:rFonts w:ascii="Calibri" w:hAnsi="Calibri"/>
          <w:lang w:val="en-AU"/>
        </w:rPr>
        <w:t xml:space="preserve"> but</w:t>
      </w:r>
      <w:r w:rsidR="0008517C">
        <w:rPr>
          <w:rFonts w:ascii="Calibri" w:hAnsi="Calibri"/>
          <w:lang w:val="en-AU"/>
        </w:rPr>
        <w:t xml:space="preserve"> then</w:t>
      </w:r>
      <w:r>
        <w:rPr>
          <w:rFonts w:ascii="Calibri" w:hAnsi="Calibri"/>
          <w:lang w:val="en-AU"/>
        </w:rPr>
        <w:t xml:space="preserve"> stopped due to side effects</w:t>
      </w:r>
      <w:r w:rsidR="00C772BC">
        <w:rPr>
          <w:rFonts w:ascii="Calibri" w:hAnsi="Calibri"/>
          <w:lang w:val="en-AU"/>
        </w:rPr>
        <w:t>.</w:t>
      </w:r>
      <w:r w:rsidR="002D5F53" w:rsidRPr="002D5F53">
        <w:rPr>
          <w:rFonts w:ascii="Calibri" w:hAnsi="Calibri"/>
          <w:vertAlign w:val="superscript"/>
          <w:lang w:val="en-AU"/>
        </w:rPr>
        <w:t>8</w:t>
      </w:r>
      <w:r w:rsidR="0008517C">
        <w:rPr>
          <w:rFonts w:ascii="Calibri" w:hAnsi="Calibri"/>
          <w:lang w:val="en-AU"/>
        </w:rPr>
        <w:t xml:space="preserve"> In addition, </w:t>
      </w:r>
      <w:r w:rsidR="00BF7ED5">
        <w:rPr>
          <w:rFonts w:ascii="Calibri" w:hAnsi="Calibri"/>
          <w:lang w:val="en-AU"/>
        </w:rPr>
        <w:t>the new-user design captures all baseline characteristics at the time the medication is started.</w:t>
      </w:r>
      <w:r w:rsidR="002D5F53" w:rsidRPr="002D5F53">
        <w:rPr>
          <w:rFonts w:ascii="Calibri" w:hAnsi="Calibri"/>
          <w:vertAlign w:val="superscript"/>
          <w:lang w:val="en-AU"/>
        </w:rPr>
        <w:t>8</w:t>
      </w:r>
      <w:r w:rsidR="00BF7ED5">
        <w:rPr>
          <w:rFonts w:ascii="Calibri" w:hAnsi="Calibri"/>
          <w:lang w:val="en-AU"/>
        </w:rPr>
        <w:t xml:space="preserve"> This is important when measuring characteristics such as baseline weight, which may be altered by treatment.     </w:t>
      </w:r>
    </w:p>
    <w:p w14:paraId="361E44B4" w14:textId="77777777" w:rsidR="00E932FE" w:rsidRDefault="00E932FE" w:rsidP="00C80049">
      <w:pPr>
        <w:rPr>
          <w:rFonts w:ascii="Calibri" w:hAnsi="Calibri"/>
          <w:lang w:val="en-AU"/>
        </w:rPr>
      </w:pPr>
    </w:p>
    <w:p w14:paraId="71D6B894" w14:textId="1A7ECE22" w:rsidR="00C80049" w:rsidRPr="002B70D1" w:rsidRDefault="00C3225A" w:rsidP="00C80049">
      <w:pPr>
        <w:rPr>
          <w:rFonts w:ascii="Calibri" w:hAnsi="Calibri"/>
        </w:rPr>
      </w:pPr>
      <w:r>
        <w:rPr>
          <w:rFonts w:ascii="Calibri" w:hAnsi="Calibri"/>
        </w:rPr>
        <w:t>We assessed m</w:t>
      </w:r>
      <w:r w:rsidR="00C80049" w:rsidRPr="002B70D1">
        <w:rPr>
          <w:rFonts w:ascii="Calibri" w:hAnsi="Calibri"/>
        </w:rPr>
        <w:t xml:space="preserve">edication use using national VA pharmacy </w:t>
      </w:r>
      <w:r w:rsidR="00A823D6">
        <w:rPr>
          <w:rFonts w:ascii="Calibri" w:hAnsi="Calibri"/>
        </w:rPr>
        <w:t>prescribing data</w:t>
      </w:r>
      <w:r w:rsidR="00C80049" w:rsidRPr="002B70D1">
        <w:rPr>
          <w:rFonts w:ascii="Calibri" w:hAnsi="Calibri"/>
        </w:rPr>
        <w:t xml:space="preserve">, which </w:t>
      </w:r>
      <w:r w:rsidR="00C80049" w:rsidRPr="002B70D1">
        <w:rPr>
          <w:rFonts w:ascii="Calibri" w:hAnsi="Calibri" w:cs="Times New Roman"/>
        </w:rPr>
        <w:t xml:space="preserve">records dispensing of medication from VA pharmacies. </w:t>
      </w:r>
      <w:r w:rsidR="00783708">
        <w:rPr>
          <w:rFonts w:ascii="Calibri" w:hAnsi="Calibri" w:cs="Times New Roman"/>
        </w:rPr>
        <w:t>We included p</w:t>
      </w:r>
      <w:r w:rsidR="00C80049" w:rsidRPr="002B70D1">
        <w:rPr>
          <w:rFonts w:ascii="Calibri" w:hAnsi="Calibri" w:cs="Times New Roman"/>
        </w:rPr>
        <w:t xml:space="preserve">atients as users of cholinesterase inhibitors if they </w:t>
      </w:r>
      <w:r w:rsidR="00C80049" w:rsidRPr="002B70D1">
        <w:rPr>
          <w:rFonts w:ascii="Calibri" w:hAnsi="Calibri"/>
        </w:rPr>
        <w:t xml:space="preserve">filled a prescription for a donepezil, </w:t>
      </w:r>
      <w:proofErr w:type="spellStart"/>
      <w:r w:rsidR="00C80049" w:rsidRPr="002B70D1">
        <w:rPr>
          <w:rFonts w:ascii="Calibri" w:hAnsi="Calibri"/>
        </w:rPr>
        <w:t>galantamine</w:t>
      </w:r>
      <w:proofErr w:type="spellEnd"/>
      <w:r w:rsidR="00C80049" w:rsidRPr="002B70D1">
        <w:rPr>
          <w:rFonts w:ascii="Calibri" w:hAnsi="Calibri"/>
        </w:rPr>
        <w:t xml:space="preserve">, </w:t>
      </w:r>
      <w:proofErr w:type="spellStart"/>
      <w:r w:rsidR="00C80049" w:rsidRPr="002B70D1">
        <w:rPr>
          <w:rFonts w:ascii="Calibri" w:hAnsi="Calibri"/>
        </w:rPr>
        <w:t>rivastigmine</w:t>
      </w:r>
      <w:proofErr w:type="spellEnd"/>
      <w:r w:rsidR="00C80049" w:rsidRPr="002B70D1">
        <w:rPr>
          <w:rFonts w:ascii="Calibri" w:hAnsi="Calibri"/>
        </w:rPr>
        <w:t xml:space="preserve">, or </w:t>
      </w:r>
      <w:proofErr w:type="spellStart"/>
      <w:r w:rsidR="00C80049" w:rsidRPr="002B70D1">
        <w:rPr>
          <w:rFonts w:ascii="Calibri" w:hAnsi="Calibri"/>
        </w:rPr>
        <w:t>tacrine</w:t>
      </w:r>
      <w:proofErr w:type="spellEnd"/>
      <w:r w:rsidR="00C80049" w:rsidRPr="002B70D1">
        <w:rPr>
          <w:rFonts w:ascii="Calibri" w:hAnsi="Calibri"/>
        </w:rPr>
        <w:t xml:space="preserve">. </w:t>
      </w:r>
      <w:r w:rsidR="00E932FE">
        <w:rPr>
          <w:rFonts w:ascii="Calibri" w:hAnsi="Calibri"/>
        </w:rPr>
        <w:t xml:space="preserve">In the control group, </w:t>
      </w:r>
      <w:r w:rsidR="00A823D6">
        <w:rPr>
          <w:rFonts w:ascii="Calibri" w:hAnsi="Calibri"/>
        </w:rPr>
        <w:t xml:space="preserve">a new </w:t>
      </w:r>
      <w:r w:rsidR="00C80049" w:rsidRPr="002B70D1">
        <w:rPr>
          <w:rFonts w:ascii="Calibri" w:hAnsi="Calibri" w:cs="Times New Roman"/>
        </w:rPr>
        <w:t xml:space="preserve">chronic medication was a prescription </w:t>
      </w:r>
      <w:r w:rsidR="008B367D" w:rsidRPr="002B70D1">
        <w:rPr>
          <w:rFonts w:ascii="Calibri" w:hAnsi="Calibri" w:cs="Times New Roman"/>
        </w:rPr>
        <w:t>of</w:t>
      </w:r>
      <w:r w:rsidR="00C80049" w:rsidRPr="002B70D1">
        <w:rPr>
          <w:rFonts w:ascii="Calibri" w:hAnsi="Calibri" w:cs="Times New Roman"/>
        </w:rPr>
        <w:t xml:space="preserve"> </w:t>
      </w:r>
      <w:r w:rsidR="00C80049" w:rsidRPr="002B70D1">
        <w:rPr>
          <w:rFonts w:ascii="Calibri" w:hAnsi="Calibri"/>
        </w:rPr>
        <w:t xml:space="preserve">&gt;=25 days supply that they did not receive prescriptions for in the </w:t>
      </w:r>
      <w:r w:rsidR="00A823D6">
        <w:rPr>
          <w:rFonts w:ascii="Calibri" w:hAnsi="Calibri"/>
        </w:rPr>
        <w:t xml:space="preserve">past year. </w:t>
      </w:r>
    </w:p>
    <w:p w14:paraId="55C03FD7" w14:textId="77777777" w:rsidR="00C80049" w:rsidRPr="002B70D1" w:rsidRDefault="00C80049" w:rsidP="00C80049">
      <w:pPr>
        <w:rPr>
          <w:rFonts w:ascii="Calibri" w:hAnsi="Calibri"/>
          <w:b/>
        </w:rPr>
      </w:pPr>
    </w:p>
    <w:p w14:paraId="4B5DFCBD" w14:textId="77777777" w:rsidR="00C80049" w:rsidRPr="002B70D1" w:rsidRDefault="00C80049" w:rsidP="00C80049">
      <w:pPr>
        <w:rPr>
          <w:rFonts w:ascii="Calibri" w:hAnsi="Calibri"/>
          <w:b/>
        </w:rPr>
      </w:pPr>
      <w:r w:rsidRPr="002B70D1">
        <w:rPr>
          <w:rFonts w:ascii="Calibri" w:hAnsi="Calibri"/>
          <w:b/>
        </w:rPr>
        <w:t xml:space="preserve">Measures </w:t>
      </w:r>
    </w:p>
    <w:p w14:paraId="18A334C1" w14:textId="56491923" w:rsidR="00C01C50" w:rsidRDefault="00C80049" w:rsidP="00C01C50">
      <w:pPr>
        <w:rPr>
          <w:rFonts w:ascii="Calibri" w:hAnsi="Calibri"/>
        </w:rPr>
      </w:pPr>
      <w:r w:rsidRPr="002B70D1">
        <w:rPr>
          <w:rFonts w:ascii="Calibri" w:hAnsi="Calibri"/>
        </w:rPr>
        <w:t xml:space="preserve">The </w:t>
      </w:r>
      <w:r w:rsidRPr="0022672E">
        <w:rPr>
          <w:rFonts w:ascii="Calibri" w:hAnsi="Calibri"/>
        </w:rPr>
        <w:t xml:space="preserve">primary outcome was </w:t>
      </w:r>
      <w:r w:rsidR="006061FD" w:rsidRPr="0022672E">
        <w:rPr>
          <w:rFonts w:ascii="Calibri" w:hAnsi="Calibri"/>
        </w:rPr>
        <w:t>time to</w:t>
      </w:r>
      <w:r w:rsidRPr="0022672E">
        <w:rPr>
          <w:rFonts w:ascii="Calibri" w:hAnsi="Calibri"/>
        </w:rPr>
        <w:t xml:space="preserve"> 10-pound weight loss </w:t>
      </w:r>
      <w:r w:rsidR="006061FD" w:rsidRPr="0022672E">
        <w:rPr>
          <w:rFonts w:ascii="Calibri" w:hAnsi="Calibri"/>
        </w:rPr>
        <w:t xml:space="preserve">during the first year after </w:t>
      </w:r>
      <w:r w:rsidR="0022672E" w:rsidRPr="00C01C50">
        <w:rPr>
          <w:rFonts w:ascii="Calibri" w:hAnsi="Calibri"/>
        </w:rPr>
        <w:t>initiating</w:t>
      </w:r>
      <w:r w:rsidR="006061FD" w:rsidRPr="00C01C50">
        <w:rPr>
          <w:rFonts w:ascii="Calibri" w:hAnsi="Calibri"/>
        </w:rPr>
        <w:t xml:space="preserve"> a </w:t>
      </w:r>
      <w:r w:rsidR="0022672E" w:rsidRPr="0022672E">
        <w:rPr>
          <w:rFonts w:ascii="Calibri" w:hAnsi="Calibri"/>
        </w:rPr>
        <w:t xml:space="preserve">cholinesterase inhibitor, or in the control group, </w:t>
      </w:r>
      <w:r w:rsidR="005F737F">
        <w:rPr>
          <w:rFonts w:ascii="Calibri" w:hAnsi="Calibri"/>
        </w:rPr>
        <w:t xml:space="preserve">after starting </w:t>
      </w:r>
      <w:r w:rsidR="00297D7C">
        <w:rPr>
          <w:rFonts w:ascii="Calibri" w:hAnsi="Calibri"/>
        </w:rPr>
        <w:t xml:space="preserve">a </w:t>
      </w:r>
      <w:r w:rsidR="005F737F">
        <w:rPr>
          <w:rFonts w:ascii="Calibri" w:hAnsi="Calibri"/>
        </w:rPr>
        <w:t>different</w:t>
      </w:r>
      <w:r w:rsidR="0022672E" w:rsidRPr="0022672E">
        <w:rPr>
          <w:rFonts w:ascii="Calibri" w:hAnsi="Calibri"/>
        </w:rPr>
        <w:t xml:space="preserve"> chronic medication</w:t>
      </w:r>
      <w:r w:rsidRPr="0022672E">
        <w:rPr>
          <w:rFonts w:ascii="Calibri" w:hAnsi="Calibri"/>
          <w:b/>
        </w:rPr>
        <w:t>.</w:t>
      </w:r>
      <w:r w:rsidRPr="002B70D1">
        <w:rPr>
          <w:rFonts w:ascii="Calibri" w:hAnsi="Calibri"/>
        </w:rPr>
        <w:t xml:space="preserve"> </w:t>
      </w:r>
      <w:r w:rsidR="00297D7C">
        <w:rPr>
          <w:rFonts w:ascii="Calibri" w:hAnsi="Calibri"/>
        </w:rPr>
        <w:t>We defined</w:t>
      </w:r>
      <w:r w:rsidR="005F737F">
        <w:rPr>
          <w:rFonts w:ascii="Calibri" w:hAnsi="Calibri"/>
        </w:rPr>
        <w:t xml:space="preserve"> 10-pound weight loss as the</w:t>
      </w:r>
      <w:r w:rsidR="00C01C50" w:rsidRPr="002B70D1">
        <w:rPr>
          <w:rFonts w:ascii="Calibri" w:hAnsi="Calibri"/>
        </w:rPr>
        <w:t xml:space="preserve"> first recorded weight &gt;=10 pounds lower than weight </w:t>
      </w:r>
      <w:r w:rsidR="005F737F">
        <w:rPr>
          <w:rFonts w:ascii="Calibri" w:hAnsi="Calibri"/>
        </w:rPr>
        <w:t xml:space="preserve">at time </w:t>
      </w:r>
      <w:r w:rsidR="00F3474F">
        <w:rPr>
          <w:rFonts w:ascii="Calibri" w:hAnsi="Calibri"/>
        </w:rPr>
        <w:t xml:space="preserve">the </w:t>
      </w:r>
      <w:r w:rsidR="00F3474F" w:rsidRPr="002B70D1">
        <w:rPr>
          <w:rFonts w:ascii="Calibri" w:hAnsi="Calibri"/>
        </w:rPr>
        <w:t xml:space="preserve">cholinesterase inhibitor or control </w:t>
      </w:r>
      <w:r w:rsidR="00F3474F">
        <w:rPr>
          <w:rFonts w:ascii="Calibri" w:hAnsi="Calibri"/>
        </w:rPr>
        <w:t xml:space="preserve">medication </w:t>
      </w:r>
      <w:r w:rsidR="005F737F">
        <w:rPr>
          <w:rFonts w:ascii="Calibri" w:hAnsi="Calibri"/>
        </w:rPr>
        <w:t xml:space="preserve">was started. </w:t>
      </w:r>
      <w:r w:rsidR="00C01C50" w:rsidRPr="002B70D1">
        <w:rPr>
          <w:rFonts w:ascii="Calibri" w:hAnsi="Calibri"/>
        </w:rPr>
        <w:t xml:space="preserve"> </w:t>
      </w:r>
    </w:p>
    <w:p w14:paraId="74378B5F" w14:textId="77777777" w:rsidR="004B6C09" w:rsidRPr="002B70D1" w:rsidRDefault="004B6C09" w:rsidP="00C01C50">
      <w:pPr>
        <w:rPr>
          <w:rFonts w:ascii="Calibri" w:hAnsi="Calibri"/>
        </w:rPr>
      </w:pPr>
    </w:p>
    <w:p w14:paraId="5444F000" w14:textId="0352F176" w:rsidR="00F3474F" w:rsidRDefault="006861A6" w:rsidP="00A24F0E">
      <w:pPr>
        <w:rPr>
          <w:rFonts w:ascii="Calibri" w:hAnsi="Calibri"/>
        </w:rPr>
      </w:pPr>
      <w:r>
        <w:rPr>
          <w:rFonts w:ascii="Calibri" w:hAnsi="Calibri"/>
        </w:rPr>
        <w:t>Many patients did no</w:t>
      </w:r>
      <w:r w:rsidR="000C16AA">
        <w:rPr>
          <w:rFonts w:ascii="Calibri" w:hAnsi="Calibri"/>
        </w:rPr>
        <w:t>t have a weight on the exact date</w:t>
      </w:r>
      <w:r>
        <w:rPr>
          <w:rFonts w:ascii="Calibri" w:hAnsi="Calibri"/>
        </w:rPr>
        <w:t xml:space="preserve"> </w:t>
      </w:r>
      <w:r w:rsidR="00F3474F">
        <w:rPr>
          <w:rFonts w:ascii="Calibri" w:hAnsi="Calibri"/>
        </w:rPr>
        <w:t xml:space="preserve">the new </w:t>
      </w:r>
      <w:r w:rsidR="000C16AA">
        <w:rPr>
          <w:rFonts w:ascii="Calibri" w:hAnsi="Calibri"/>
        </w:rPr>
        <w:t>medication</w:t>
      </w:r>
      <w:r w:rsidR="00F3474F">
        <w:rPr>
          <w:rFonts w:ascii="Calibri" w:hAnsi="Calibri"/>
        </w:rPr>
        <w:t xml:space="preserve"> was started</w:t>
      </w:r>
      <w:r>
        <w:rPr>
          <w:rFonts w:ascii="Calibri" w:hAnsi="Calibri"/>
        </w:rPr>
        <w:t>. W</w:t>
      </w:r>
      <w:r w:rsidRPr="002B70D1">
        <w:rPr>
          <w:rFonts w:ascii="Calibri" w:hAnsi="Calibri"/>
        </w:rPr>
        <w:t xml:space="preserve">e defined </w:t>
      </w:r>
      <w:r>
        <w:rPr>
          <w:rFonts w:ascii="Calibri" w:hAnsi="Calibri"/>
        </w:rPr>
        <w:t xml:space="preserve">each patient’s </w:t>
      </w:r>
      <w:r w:rsidRPr="002B70D1">
        <w:rPr>
          <w:rFonts w:ascii="Calibri" w:hAnsi="Calibri"/>
        </w:rPr>
        <w:t>starting weight</w:t>
      </w:r>
      <w:r>
        <w:rPr>
          <w:rFonts w:ascii="Calibri" w:hAnsi="Calibri"/>
        </w:rPr>
        <w:t xml:space="preserve"> as</w:t>
      </w:r>
      <w:r w:rsidRPr="002B70D1">
        <w:rPr>
          <w:rFonts w:ascii="Calibri" w:hAnsi="Calibri"/>
        </w:rPr>
        <w:t xml:space="preserve"> the</w:t>
      </w:r>
      <w:r w:rsidR="00F3474F">
        <w:rPr>
          <w:rFonts w:ascii="Calibri" w:hAnsi="Calibri"/>
        </w:rPr>
        <w:t>ir</w:t>
      </w:r>
      <w:r w:rsidRPr="002B70D1">
        <w:rPr>
          <w:rFonts w:ascii="Calibri" w:hAnsi="Calibri"/>
        </w:rPr>
        <w:t xml:space="preserve"> mean weight </w:t>
      </w:r>
      <w:r>
        <w:rPr>
          <w:rFonts w:ascii="Calibri" w:hAnsi="Calibri"/>
        </w:rPr>
        <w:t xml:space="preserve">in the period </w:t>
      </w:r>
      <w:r w:rsidRPr="002B70D1">
        <w:rPr>
          <w:rFonts w:ascii="Calibri" w:hAnsi="Calibri"/>
        </w:rPr>
        <w:t xml:space="preserve">30 </w:t>
      </w:r>
      <w:r>
        <w:rPr>
          <w:rFonts w:ascii="Calibri" w:hAnsi="Calibri"/>
        </w:rPr>
        <w:t>before to 5 days</w:t>
      </w:r>
      <w:r w:rsidRPr="002B70D1">
        <w:rPr>
          <w:rFonts w:ascii="Calibri" w:hAnsi="Calibri"/>
        </w:rPr>
        <w:t xml:space="preserve"> after </w:t>
      </w:r>
      <w:r w:rsidR="00F3474F">
        <w:rPr>
          <w:rFonts w:ascii="Calibri" w:hAnsi="Calibri"/>
        </w:rPr>
        <w:t xml:space="preserve">the </w:t>
      </w:r>
      <w:r w:rsidR="00A00175">
        <w:rPr>
          <w:rFonts w:ascii="Calibri" w:hAnsi="Calibri"/>
        </w:rPr>
        <w:t>date</w:t>
      </w:r>
      <w:r w:rsidR="00F3474F">
        <w:rPr>
          <w:rFonts w:ascii="Calibri" w:hAnsi="Calibri"/>
        </w:rPr>
        <w:t xml:space="preserve"> </w:t>
      </w:r>
      <w:r w:rsidR="00A00175">
        <w:rPr>
          <w:rFonts w:ascii="Calibri" w:hAnsi="Calibri"/>
        </w:rPr>
        <w:t>the</w:t>
      </w:r>
      <w:r w:rsidR="00F3474F">
        <w:rPr>
          <w:rFonts w:ascii="Calibri" w:hAnsi="Calibri"/>
        </w:rPr>
        <w:t xml:space="preserve"> </w:t>
      </w:r>
      <w:r w:rsidR="00A00175">
        <w:rPr>
          <w:rFonts w:ascii="Calibri" w:hAnsi="Calibri"/>
        </w:rPr>
        <w:t xml:space="preserve">new </w:t>
      </w:r>
      <w:r w:rsidR="00F3474F">
        <w:rPr>
          <w:rFonts w:ascii="Calibri" w:hAnsi="Calibri"/>
        </w:rPr>
        <w:t>prescription</w:t>
      </w:r>
      <w:r w:rsidRPr="002B70D1">
        <w:rPr>
          <w:rFonts w:ascii="Calibri" w:hAnsi="Calibri"/>
        </w:rPr>
        <w:t xml:space="preserve"> </w:t>
      </w:r>
      <w:r w:rsidR="00157B34">
        <w:rPr>
          <w:rFonts w:ascii="Calibri" w:hAnsi="Calibri"/>
        </w:rPr>
        <w:t>was filled</w:t>
      </w:r>
      <w:r w:rsidRPr="002B70D1">
        <w:rPr>
          <w:rFonts w:ascii="Calibri" w:hAnsi="Calibri"/>
        </w:rPr>
        <w:t xml:space="preserve">. </w:t>
      </w:r>
    </w:p>
    <w:p w14:paraId="770AC704" w14:textId="77777777" w:rsidR="00F3474F" w:rsidRDefault="00F3474F" w:rsidP="00A24F0E">
      <w:pPr>
        <w:rPr>
          <w:rFonts w:ascii="Calibri" w:hAnsi="Calibri"/>
        </w:rPr>
      </w:pPr>
    </w:p>
    <w:p w14:paraId="4A4512D8" w14:textId="2707A64A" w:rsidR="00A24F0E" w:rsidRPr="002B70D1" w:rsidRDefault="005F737F" w:rsidP="00A24F0E">
      <w:pPr>
        <w:rPr>
          <w:rFonts w:ascii="Calibri" w:hAnsi="Calibri"/>
        </w:rPr>
      </w:pPr>
      <w:r>
        <w:rPr>
          <w:rFonts w:ascii="Calibri" w:hAnsi="Calibri"/>
        </w:rPr>
        <w:t xml:space="preserve">We </w:t>
      </w:r>
      <w:r w:rsidR="006861A6">
        <w:rPr>
          <w:rFonts w:ascii="Calibri" w:hAnsi="Calibri"/>
        </w:rPr>
        <w:t xml:space="preserve">also </w:t>
      </w:r>
      <w:r w:rsidR="009853B0" w:rsidRPr="002B70D1">
        <w:rPr>
          <w:rFonts w:ascii="Calibri" w:hAnsi="Calibri"/>
        </w:rPr>
        <w:t xml:space="preserve">calculated </w:t>
      </w:r>
      <w:r w:rsidR="00B1289D" w:rsidRPr="002B70D1">
        <w:rPr>
          <w:rFonts w:ascii="Calibri" w:hAnsi="Calibri"/>
        </w:rPr>
        <w:t>each patient’</w:t>
      </w:r>
      <w:r w:rsidR="009853B0" w:rsidRPr="002B70D1">
        <w:rPr>
          <w:rFonts w:ascii="Calibri" w:hAnsi="Calibri"/>
        </w:rPr>
        <w:t xml:space="preserve">s weight trajectory over the year prior to </w:t>
      </w:r>
      <w:r>
        <w:rPr>
          <w:rFonts w:ascii="Calibri" w:hAnsi="Calibri"/>
        </w:rPr>
        <w:t>starting</w:t>
      </w:r>
      <w:r w:rsidR="009853B0" w:rsidRPr="002B70D1">
        <w:rPr>
          <w:rFonts w:ascii="Calibri" w:hAnsi="Calibri"/>
        </w:rPr>
        <w:t xml:space="preserve"> the cholinesterase inhibitor or control drug. </w:t>
      </w:r>
      <w:r w:rsidR="00157B34">
        <w:rPr>
          <w:rFonts w:ascii="Calibri" w:hAnsi="Calibri"/>
        </w:rPr>
        <w:t>W</w:t>
      </w:r>
      <w:r w:rsidR="00A24F0E" w:rsidRPr="002B70D1">
        <w:rPr>
          <w:rFonts w:ascii="Calibri" w:hAnsi="Calibri"/>
        </w:rPr>
        <w:t xml:space="preserve">e defined </w:t>
      </w:r>
      <w:r w:rsidR="00CD375F">
        <w:rPr>
          <w:rFonts w:ascii="Calibri" w:hAnsi="Calibri"/>
        </w:rPr>
        <w:t>the</w:t>
      </w:r>
      <w:r w:rsidR="00974784" w:rsidRPr="002B70D1">
        <w:rPr>
          <w:rFonts w:ascii="Calibri" w:hAnsi="Calibri"/>
        </w:rPr>
        <w:t xml:space="preserve"> </w:t>
      </w:r>
      <w:r w:rsidR="00A24F0E" w:rsidRPr="002B70D1">
        <w:rPr>
          <w:rFonts w:ascii="Calibri" w:hAnsi="Calibri"/>
        </w:rPr>
        <w:t xml:space="preserve">weight </w:t>
      </w:r>
      <w:r w:rsidR="00974784" w:rsidRPr="002B70D1">
        <w:rPr>
          <w:rFonts w:ascii="Calibri" w:hAnsi="Calibri"/>
        </w:rPr>
        <w:t>one year</w:t>
      </w:r>
      <w:r w:rsidR="00A24F0E" w:rsidRPr="002B70D1">
        <w:rPr>
          <w:rFonts w:ascii="Calibri" w:hAnsi="Calibri"/>
        </w:rPr>
        <w:t xml:space="preserve"> prior </w:t>
      </w:r>
      <w:r w:rsidR="00974784" w:rsidRPr="002B70D1">
        <w:rPr>
          <w:rFonts w:ascii="Calibri" w:hAnsi="Calibri"/>
        </w:rPr>
        <w:t xml:space="preserve">to drug initiation </w:t>
      </w:r>
      <w:r w:rsidR="00A24F0E" w:rsidRPr="002B70D1">
        <w:rPr>
          <w:rFonts w:ascii="Calibri" w:hAnsi="Calibri"/>
        </w:rPr>
        <w:t xml:space="preserve">as the mean weight </w:t>
      </w:r>
      <w:r w:rsidR="00974784" w:rsidRPr="002B70D1">
        <w:rPr>
          <w:rFonts w:ascii="Calibri" w:hAnsi="Calibri"/>
        </w:rPr>
        <w:t>between</w:t>
      </w:r>
      <w:r w:rsidR="00157B34">
        <w:rPr>
          <w:rFonts w:ascii="Calibri" w:hAnsi="Calibri"/>
        </w:rPr>
        <w:t xml:space="preserve"> the </w:t>
      </w:r>
      <w:r w:rsidR="00A24F0E" w:rsidRPr="002B70D1">
        <w:rPr>
          <w:rFonts w:ascii="Calibri" w:hAnsi="Calibri"/>
        </w:rPr>
        <w:t>245</w:t>
      </w:r>
      <w:r w:rsidR="00CD375F">
        <w:rPr>
          <w:rFonts w:ascii="Calibri" w:hAnsi="Calibri"/>
        </w:rPr>
        <w:t>-</w:t>
      </w:r>
      <w:r w:rsidR="00A24F0E" w:rsidRPr="002B70D1">
        <w:rPr>
          <w:rFonts w:ascii="Calibri" w:hAnsi="Calibri"/>
        </w:rPr>
        <w:t>485 day</w:t>
      </w:r>
      <w:r w:rsidR="00974784" w:rsidRPr="002B70D1">
        <w:rPr>
          <w:rFonts w:ascii="Calibri" w:hAnsi="Calibri"/>
        </w:rPr>
        <w:t xml:space="preserve">s </w:t>
      </w:r>
      <w:r w:rsidR="00157B34">
        <w:rPr>
          <w:rFonts w:ascii="Calibri" w:hAnsi="Calibri"/>
        </w:rPr>
        <w:t xml:space="preserve">before the </w:t>
      </w:r>
      <w:r w:rsidR="00A00175">
        <w:rPr>
          <w:rFonts w:ascii="Calibri" w:hAnsi="Calibri"/>
        </w:rPr>
        <w:t xml:space="preserve">new </w:t>
      </w:r>
      <w:r w:rsidR="00157B34">
        <w:rPr>
          <w:rFonts w:ascii="Calibri" w:hAnsi="Calibri"/>
        </w:rPr>
        <w:t>prescription</w:t>
      </w:r>
      <w:r w:rsidR="00157B34" w:rsidRPr="002B70D1">
        <w:rPr>
          <w:rFonts w:ascii="Calibri" w:hAnsi="Calibri"/>
        </w:rPr>
        <w:t xml:space="preserve"> </w:t>
      </w:r>
      <w:r w:rsidR="00157B34">
        <w:rPr>
          <w:rFonts w:ascii="Calibri" w:hAnsi="Calibri"/>
        </w:rPr>
        <w:t xml:space="preserve">was filled. </w:t>
      </w:r>
      <w:r w:rsidR="00B1289D" w:rsidRPr="002B70D1">
        <w:rPr>
          <w:rFonts w:ascii="Calibri" w:hAnsi="Calibri"/>
        </w:rPr>
        <w:t>T</w:t>
      </w:r>
      <w:r w:rsidR="009853B0" w:rsidRPr="002B70D1">
        <w:rPr>
          <w:rFonts w:ascii="Calibri" w:hAnsi="Calibri"/>
        </w:rPr>
        <w:t xml:space="preserve">he weight trajectory was the </w:t>
      </w:r>
      <w:r w:rsidR="00B1289D" w:rsidRPr="002B70D1">
        <w:rPr>
          <w:rFonts w:ascii="Calibri" w:hAnsi="Calibri"/>
        </w:rPr>
        <w:t>difference</w:t>
      </w:r>
      <w:r w:rsidR="009853B0" w:rsidRPr="002B70D1">
        <w:rPr>
          <w:rFonts w:ascii="Calibri" w:hAnsi="Calibri"/>
        </w:rPr>
        <w:t xml:space="preserve"> </w:t>
      </w:r>
      <w:r w:rsidR="009E43D7" w:rsidRPr="002B70D1">
        <w:rPr>
          <w:rFonts w:ascii="Calibri" w:hAnsi="Calibri"/>
        </w:rPr>
        <w:t xml:space="preserve">between </w:t>
      </w:r>
      <w:r w:rsidR="003E7C33">
        <w:rPr>
          <w:rFonts w:ascii="Calibri" w:hAnsi="Calibri"/>
        </w:rPr>
        <w:t>the weight one-</w:t>
      </w:r>
      <w:r w:rsidR="00FE48CD">
        <w:rPr>
          <w:rFonts w:ascii="Calibri" w:hAnsi="Calibri"/>
        </w:rPr>
        <w:t xml:space="preserve">year </w:t>
      </w:r>
      <w:r w:rsidR="003E7C33">
        <w:rPr>
          <w:rFonts w:ascii="Calibri" w:hAnsi="Calibri"/>
        </w:rPr>
        <w:t>prior</w:t>
      </w:r>
      <w:r w:rsidR="00FE48CD">
        <w:rPr>
          <w:rFonts w:ascii="Calibri" w:hAnsi="Calibri"/>
        </w:rPr>
        <w:t xml:space="preserve"> and the starting weight. </w:t>
      </w:r>
      <w:r w:rsidR="00A24F0E" w:rsidRPr="002B70D1">
        <w:rPr>
          <w:rFonts w:ascii="Calibri" w:hAnsi="Calibri"/>
        </w:rPr>
        <w:t xml:space="preserve"> </w:t>
      </w:r>
    </w:p>
    <w:p w14:paraId="27998D83" w14:textId="77777777" w:rsidR="00C80049" w:rsidRPr="002B70D1" w:rsidRDefault="00C80049" w:rsidP="00C80049">
      <w:pPr>
        <w:rPr>
          <w:rFonts w:ascii="Calibri" w:hAnsi="Calibri"/>
        </w:rPr>
      </w:pPr>
    </w:p>
    <w:p w14:paraId="48D6A97D" w14:textId="05E00A48" w:rsidR="00C80049" w:rsidRPr="002B70D1" w:rsidRDefault="002862AD" w:rsidP="00C80049">
      <w:pPr>
        <w:rPr>
          <w:rFonts w:ascii="Calibri" w:hAnsi="Calibri"/>
        </w:rPr>
      </w:pPr>
      <w:r>
        <w:rPr>
          <w:rFonts w:ascii="Calibri" w:hAnsi="Calibri"/>
        </w:rPr>
        <w:t>W</w:t>
      </w:r>
      <w:r w:rsidR="00C80049" w:rsidRPr="002B70D1">
        <w:rPr>
          <w:rFonts w:ascii="Calibri" w:hAnsi="Calibri"/>
        </w:rPr>
        <w:t xml:space="preserve">eight data collected in VA is entered manually into the electronic medical record, </w:t>
      </w:r>
      <w:r>
        <w:rPr>
          <w:rFonts w:ascii="Calibri" w:hAnsi="Calibri"/>
        </w:rPr>
        <w:t xml:space="preserve">and </w:t>
      </w:r>
      <w:r w:rsidR="00C80049" w:rsidRPr="002B70D1">
        <w:rPr>
          <w:rFonts w:ascii="Calibri" w:hAnsi="Calibri"/>
        </w:rPr>
        <w:t xml:space="preserve">there are possibilities for data entry errors. To reduce impact of </w:t>
      </w:r>
      <w:r w:rsidR="009853B0" w:rsidRPr="002B70D1">
        <w:rPr>
          <w:rFonts w:ascii="Calibri" w:hAnsi="Calibri"/>
        </w:rPr>
        <w:t xml:space="preserve">errors </w:t>
      </w:r>
      <w:r w:rsidR="002B2C55" w:rsidRPr="002B70D1">
        <w:rPr>
          <w:rFonts w:ascii="Calibri" w:hAnsi="Calibri"/>
        </w:rPr>
        <w:t>due to data entry</w:t>
      </w:r>
      <w:r w:rsidR="00C80049" w:rsidRPr="002B70D1">
        <w:rPr>
          <w:rFonts w:ascii="Calibri" w:hAnsi="Calibri"/>
        </w:rPr>
        <w:t xml:space="preserve">, we </w:t>
      </w:r>
      <w:r w:rsidR="00C80049" w:rsidRPr="001A0A93">
        <w:rPr>
          <w:rFonts w:asciiTheme="majorHAnsi" w:hAnsiTheme="majorHAnsi"/>
        </w:rPr>
        <w:t xml:space="preserve">eliminated “biologically implausible values” of weight values &lt;70 pounds or &gt;500 pounds, consistent with prior studies using VA </w:t>
      </w:r>
      <w:r w:rsidR="002B2C55" w:rsidRPr="001A0A93">
        <w:rPr>
          <w:rFonts w:asciiTheme="majorHAnsi" w:hAnsiTheme="majorHAnsi"/>
        </w:rPr>
        <w:t xml:space="preserve">weight </w:t>
      </w:r>
      <w:r w:rsidR="00C80049" w:rsidRPr="001A0A93">
        <w:rPr>
          <w:rFonts w:asciiTheme="majorHAnsi" w:hAnsiTheme="majorHAnsi"/>
        </w:rPr>
        <w:t>data.</w:t>
      </w:r>
      <w:r w:rsidR="00284493" w:rsidRPr="00284493">
        <w:rPr>
          <w:rFonts w:asciiTheme="majorHAnsi" w:hAnsiTheme="majorHAnsi"/>
          <w:vertAlign w:val="superscript"/>
        </w:rPr>
        <w:t>9</w:t>
      </w:r>
      <w:r w:rsidR="00C80049" w:rsidRPr="001A0A93">
        <w:rPr>
          <w:rFonts w:asciiTheme="majorHAnsi" w:hAnsiTheme="majorHAnsi"/>
        </w:rPr>
        <w:t xml:space="preserve"> </w:t>
      </w:r>
      <w:r w:rsidR="00FD7F6B" w:rsidRPr="001A0A93">
        <w:rPr>
          <w:rFonts w:asciiTheme="majorHAnsi" w:hAnsiTheme="majorHAnsi"/>
        </w:rPr>
        <w:t xml:space="preserve">In order to </w:t>
      </w:r>
      <w:r w:rsidR="009053BA" w:rsidRPr="001A0A93">
        <w:rPr>
          <w:rFonts w:asciiTheme="majorHAnsi" w:hAnsiTheme="majorHAnsi"/>
        </w:rPr>
        <w:t>further exclude clearly erroneous weights from the data</w:t>
      </w:r>
      <w:r w:rsidR="00C80049" w:rsidRPr="001A0A93">
        <w:rPr>
          <w:rFonts w:asciiTheme="majorHAnsi" w:hAnsiTheme="majorHAnsi"/>
        </w:rPr>
        <w:t xml:space="preserve">, </w:t>
      </w:r>
      <w:r w:rsidR="001A0A93" w:rsidRPr="001A0A93">
        <w:rPr>
          <w:rFonts w:asciiTheme="majorHAnsi" w:hAnsiTheme="majorHAnsi"/>
        </w:rPr>
        <w:t xml:space="preserve">and to avoid classifying patients with </w:t>
      </w:r>
      <w:r w:rsidR="001A0A93" w:rsidRPr="001A0A93">
        <w:rPr>
          <w:rFonts w:asciiTheme="majorHAnsi" w:hAnsiTheme="majorHAnsi" w:cs="Times New Roman"/>
        </w:rPr>
        <w:t xml:space="preserve">large fluctuations in weight as having weight loss, </w:t>
      </w:r>
      <w:r w:rsidR="006E5FBB" w:rsidRPr="001A0A93">
        <w:rPr>
          <w:rFonts w:asciiTheme="majorHAnsi" w:hAnsiTheme="majorHAnsi"/>
        </w:rPr>
        <w:t xml:space="preserve">in the one-year baseline period </w:t>
      </w:r>
      <w:r w:rsidR="00C80049" w:rsidRPr="001A0A93">
        <w:rPr>
          <w:rFonts w:asciiTheme="majorHAnsi" w:hAnsiTheme="majorHAnsi"/>
        </w:rPr>
        <w:t xml:space="preserve">we excluded weight measures </w:t>
      </w:r>
      <w:r w:rsidR="00737151" w:rsidRPr="001A0A93">
        <w:rPr>
          <w:rFonts w:asciiTheme="majorHAnsi" w:hAnsiTheme="majorHAnsi"/>
        </w:rPr>
        <w:t xml:space="preserve">for each patient that were </w:t>
      </w:r>
      <w:r w:rsidR="00C80049" w:rsidRPr="001A0A93">
        <w:rPr>
          <w:rFonts w:asciiTheme="majorHAnsi" w:hAnsiTheme="majorHAnsi"/>
        </w:rPr>
        <w:t>more than 20% different from the</w:t>
      </w:r>
      <w:r w:rsidR="0094609A" w:rsidRPr="001A0A93">
        <w:rPr>
          <w:rFonts w:asciiTheme="majorHAnsi" w:hAnsiTheme="majorHAnsi"/>
        </w:rPr>
        <w:t>ir</w:t>
      </w:r>
      <w:r w:rsidR="00C80049" w:rsidRPr="001A0A93">
        <w:rPr>
          <w:rFonts w:asciiTheme="majorHAnsi" w:hAnsiTheme="majorHAnsi"/>
        </w:rPr>
        <w:t xml:space="preserve"> median weight</w:t>
      </w:r>
      <w:r w:rsidR="0094609A" w:rsidRPr="001A0A93">
        <w:rPr>
          <w:rFonts w:asciiTheme="majorHAnsi" w:hAnsiTheme="majorHAnsi"/>
        </w:rPr>
        <w:t xml:space="preserve"> in the </w:t>
      </w:r>
      <w:r w:rsidR="00302659" w:rsidRPr="001A0A93">
        <w:rPr>
          <w:rFonts w:asciiTheme="majorHAnsi" w:hAnsiTheme="majorHAnsi"/>
        </w:rPr>
        <w:t>baseline period</w:t>
      </w:r>
      <w:r w:rsidR="00C80049" w:rsidRPr="001A0A93">
        <w:rPr>
          <w:rFonts w:asciiTheme="majorHAnsi" w:hAnsiTheme="majorHAnsi"/>
        </w:rPr>
        <w:t>. Similarly, in the follow-up period</w:t>
      </w:r>
      <w:r w:rsidR="00C80049" w:rsidRPr="0022672E">
        <w:rPr>
          <w:rFonts w:ascii="Calibri" w:hAnsi="Calibri"/>
        </w:rPr>
        <w:t>, weight measures more then 20% different from the starting weight were excluded</w:t>
      </w:r>
      <w:r w:rsidR="00C80049" w:rsidRPr="002B70D1">
        <w:rPr>
          <w:rFonts w:ascii="Calibri" w:hAnsi="Calibri"/>
          <w:b/>
        </w:rPr>
        <w:t xml:space="preserve">.  </w:t>
      </w:r>
    </w:p>
    <w:p w14:paraId="7C78F437" w14:textId="6AC3F205" w:rsidR="00C80049" w:rsidRPr="002B70D1" w:rsidRDefault="00C80049" w:rsidP="00C80049">
      <w:pPr>
        <w:rPr>
          <w:rFonts w:ascii="Calibri" w:hAnsi="Calibri"/>
        </w:rPr>
      </w:pPr>
    </w:p>
    <w:p w14:paraId="473DEA80" w14:textId="77777777" w:rsidR="00C80049" w:rsidRPr="002B70D1" w:rsidRDefault="00C80049" w:rsidP="00C80049">
      <w:pPr>
        <w:rPr>
          <w:rFonts w:ascii="Calibri" w:hAnsi="Calibri"/>
          <w:b/>
        </w:rPr>
      </w:pPr>
      <w:r w:rsidRPr="002B70D1">
        <w:rPr>
          <w:rFonts w:ascii="Calibri" w:hAnsi="Calibri"/>
          <w:b/>
        </w:rPr>
        <w:t>Analysis</w:t>
      </w:r>
    </w:p>
    <w:p w14:paraId="2D5A088B" w14:textId="7340BBCB" w:rsidR="00C80049" w:rsidRPr="002B70D1" w:rsidRDefault="00C80049" w:rsidP="00C80049">
      <w:pPr>
        <w:rPr>
          <w:rFonts w:ascii="Calibri" w:hAnsi="Calibri" w:cs="Times New Roman"/>
        </w:rPr>
      </w:pPr>
      <w:r w:rsidRPr="002B70D1">
        <w:rPr>
          <w:rFonts w:ascii="Calibri" w:hAnsi="Calibri" w:cs="Times New Roman"/>
        </w:rPr>
        <w:t xml:space="preserve">Propensity score matching was used to determine the effect of cholinesterase inhibitors on weight loss, using patients on cholinesterase inhibitors </w:t>
      </w:r>
      <w:r w:rsidR="00782850">
        <w:rPr>
          <w:rFonts w:ascii="Calibri" w:hAnsi="Calibri" w:cs="Times New Roman"/>
        </w:rPr>
        <w:t>compared to</w:t>
      </w:r>
      <w:r w:rsidR="00782850" w:rsidRPr="002B70D1">
        <w:rPr>
          <w:rFonts w:ascii="Calibri" w:hAnsi="Calibri" w:cs="Times New Roman"/>
        </w:rPr>
        <w:t xml:space="preserve"> </w:t>
      </w:r>
      <w:r w:rsidRPr="002B70D1">
        <w:rPr>
          <w:rFonts w:ascii="Calibri" w:hAnsi="Calibri" w:cs="Times New Roman"/>
        </w:rPr>
        <w:t xml:space="preserve">matched controls.  New users of cholinesterase inhibitors were matched to new users of other chronic medications who had similar baseline characteristics, using a propensity score model with 3:1 nearest neighbors matching. </w:t>
      </w:r>
    </w:p>
    <w:p w14:paraId="72068061" w14:textId="77777777" w:rsidR="00C80049" w:rsidRPr="002B70D1" w:rsidRDefault="00C80049" w:rsidP="00C80049">
      <w:pPr>
        <w:rPr>
          <w:rFonts w:ascii="Calibri" w:hAnsi="Calibri" w:cs="Times New Roman"/>
        </w:rPr>
      </w:pPr>
    </w:p>
    <w:p w14:paraId="7E77F8CE" w14:textId="49E7EE89" w:rsidR="00C80049" w:rsidRPr="002B70D1" w:rsidRDefault="00C80049" w:rsidP="00C80049">
      <w:pPr>
        <w:rPr>
          <w:rFonts w:ascii="Calibri" w:hAnsi="Calibri" w:cs="Times New Roman"/>
        </w:rPr>
      </w:pPr>
      <w:r w:rsidRPr="002B70D1">
        <w:rPr>
          <w:rFonts w:ascii="Calibri" w:hAnsi="Calibri" w:cs="Times New Roman"/>
        </w:rPr>
        <w:t xml:space="preserve">The propensity score model </w:t>
      </w:r>
      <w:r w:rsidR="00782850" w:rsidRPr="002B70D1">
        <w:rPr>
          <w:rFonts w:ascii="Calibri" w:hAnsi="Calibri" w:cs="Times New Roman"/>
        </w:rPr>
        <w:t>match</w:t>
      </w:r>
      <w:r w:rsidR="00782850">
        <w:rPr>
          <w:rFonts w:ascii="Calibri" w:hAnsi="Calibri" w:cs="Times New Roman"/>
        </w:rPr>
        <w:t>es</w:t>
      </w:r>
      <w:r w:rsidR="00782850" w:rsidRPr="002B70D1">
        <w:rPr>
          <w:rFonts w:ascii="Calibri" w:hAnsi="Calibri" w:cs="Times New Roman"/>
        </w:rPr>
        <w:t xml:space="preserve"> </w:t>
      </w:r>
      <w:r w:rsidRPr="002B70D1">
        <w:rPr>
          <w:rFonts w:ascii="Calibri" w:hAnsi="Calibri" w:cs="Times New Roman"/>
        </w:rPr>
        <w:t xml:space="preserve">patients based on clinical and demographic characteristics </w:t>
      </w:r>
      <w:r w:rsidR="00F97C52">
        <w:rPr>
          <w:rFonts w:ascii="Calibri" w:hAnsi="Calibri" w:cs="Times New Roman"/>
        </w:rPr>
        <w:t xml:space="preserve">present at </w:t>
      </w:r>
      <w:r w:rsidRPr="002B70D1">
        <w:rPr>
          <w:rFonts w:ascii="Calibri" w:hAnsi="Calibri" w:cs="Times New Roman"/>
        </w:rPr>
        <w:t>baseline</w:t>
      </w:r>
      <w:r w:rsidR="00782850">
        <w:rPr>
          <w:rFonts w:ascii="Calibri" w:hAnsi="Calibri" w:cs="Times New Roman"/>
        </w:rPr>
        <w:t xml:space="preserve">. We included many variables </w:t>
      </w:r>
      <w:r w:rsidR="00CB63C0">
        <w:rPr>
          <w:rFonts w:ascii="Calibri" w:hAnsi="Calibri" w:cs="Times New Roman"/>
        </w:rPr>
        <w:t>to</w:t>
      </w:r>
      <w:r w:rsidR="00782850">
        <w:rPr>
          <w:rFonts w:ascii="Calibri" w:hAnsi="Calibri" w:cs="Times New Roman"/>
        </w:rPr>
        <w:t xml:space="preserve"> predict the </w:t>
      </w:r>
      <w:r w:rsidR="00B71421">
        <w:rPr>
          <w:rFonts w:ascii="Calibri" w:hAnsi="Calibri" w:cs="Times New Roman"/>
        </w:rPr>
        <w:t>likelihood</w:t>
      </w:r>
      <w:r w:rsidR="00782850">
        <w:rPr>
          <w:rFonts w:ascii="Calibri" w:hAnsi="Calibri" w:cs="Times New Roman"/>
        </w:rPr>
        <w:t xml:space="preserve"> of being prescribed a cholinesterase inhibitor, including </w:t>
      </w:r>
      <w:r w:rsidR="00B44008">
        <w:rPr>
          <w:rFonts w:ascii="Calibri" w:hAnsi="Calibri" w:cs="Times New Roman"/>
        </w:rPr>
        <w:t>variables surrounding</w:t>
      </w:r>
      <w:r w:rsidR="00CB63C0">
        <w:rPr>
          <w:rFonts w:ascii="Calibri" w:hAnsi="Calibri" w:cs="Times New Roman"/>
        </w:rPr>
        <w:t xml:space="preserve"> </w:t>
      </w:r>
      <w:r w:rsidR="00B44008">
        <w:rPr>
          <w:rFonts w:ascii="Calibri" w:hAnsi="Calibri" w:cs="Times New Roman"/>
        </w:rPr>
        <w:t xml:space="preserve">the degree of </w:t>
      </w:r>
      <w:r w:rsidR="00782850">
        <w:rPr>
          <w:rFonts w:ascii="Calibri" w:hAnsi="Calibri" w:cs="Times New Roman"/>
        </w:rPr>
        <w:t xml:space="preserve">comorbid </w:t>
      </w:r>
      <w:r w:rsidR="00B44008">
        <w:rPr>
          <w:rFonts w:ascii="Calibri" w:hAnsi="Calibri" w:cs="Times New Roman"/>
        </w:rPr>
        <w:t>burden</w:t>
      </w:r>
      <w:r w:rsidR="00782850">
        <w:rPr>
          <w:rFonts w:ascii="Calibri" w:hAnsi="Calibri" w:cs="Times New Roman"/>
        </w:rPr>
        <w:t xml:space="preserve">, </w:t>
      </w:r>
      <w:r w:rsidR="00CB63C0">
        <w:rPr>
          <w:rFonts w:ascii="Calibri" w:hAnsi="Calibri" w:cs="Times New Roman"/>
        </w:rPr>
        <w:t xml:space="preserve">weight status, </w:t>
      </w:r>
      <w:r w:rsidR="00A63544">
        <w:rPr>
          <w:rFonts w:ascii="Calibri" w:hAnsi="Calibri" w:cs="Times New Roman"/>
        </w:rPr>
        <w:t xml:space="preserve">and </w:t>
      </w:r>
      <w:r w:rsidR="00782850">
        <w:rPr>
          <w:rFonts w:ascii="Calibri" w:hAnsi="Calibri" w:cs="Times New Roman"/>
        </w:rPr>
        <w:t>intensity of medical care</w:t>
      </w:r>
      <w:r w:rsidR="00B71421">
        <w:rPr>
          <w:rFonts w:ascii="Calibri" w:hAnsi="Calibri" w:cs="Times New Roman"/>
        </w:rPr>
        <w:t xml:space="preserve"> </w:t>
      </w:r>
      <w:r w:rsidR="00263918">
        <w:rPr>
          <w:rFonts w:ascii="Calibri" w:hAnsi="Calibri" w:cs="Times New Roman"/>
        </w:rPr>
        <w:t>that patients</w:t>
      </w:r>
      <w:r w:rsidR="00B71421">
        <w:rPr>
          <w:rFonts w:ascii="Calibri" w:hAnsi="Calibri" w:cs="Times New Roman"/>
        </w:rPr>
        <w:t xml:space="preserve"> were receiving</w:t>
      </w:r>
      <w:r w:rsidR="00A63544">
        <w:rPr>
          <w:rFonts w:ascii="Calibri" w:hAnsi="Calibri" w:cs="Times New Roman"/>
        </w:rPr>
        <w:t xml:space="preserve"> in the </w:t>
      </w:r>
      <w:r w:rsidR="00263918">
        <w:rPr>
          <w:rFonts w:ascii="Calibri" w:hAnsi="Calibri" w:cs="Times New Roman"/>
        </w:rPr>
        <w:t xml:space="preserve">past </w:t>
      </w:r>
      <w:r w:rsidR="00A63544">
        <w:rPr>
          <w:rFonts w:ascii="Calibri" w:hAnsi="Calibri" w:cs="Times New Roman"/>
        </w:rPr>
        <w:t>year.</w:t>
      </w:r>
      <w:r w:rsidR="00263918">
        <w:rPr>
          <w:rFonts w:ascii="Calibri" w:hAnsi="Calibri" w:cs="Times New Roman"/>
        </w:rPr>
        <w:t xml:space="preserve"> Specifically, w</w:t>
      </w:r>
      <w:r w:rsidR="00B71421">
        <w:rPr>
          <w:rFonts w:ascii="Calibri" w:hAnsi="Calibri" w:cs="Times New Roman"/>
        </w:rPr>
        <w:t xml:space="preserve">e </w:t>
      </w:r>
      <w:r w:rsidR="00782850">
        <w:rPr>
          <w:rFonts w:ascii="Calibri" w:hAnsi="Calibri" w:cs="Times New Roman"/>
        </w:rPr>
        <w:t>included</w:t>
      </w:r>
      <w:r w:rsidR="008A591E">
        <w:rPr>
          <w:rFonts w:ascii="Calibri" w:hAnsi="Calibri" w:cs="Times New Roman"/>
        </w:rPr>
        <w:t xml:space="preserve"> </w:t>
      </w:r>
      <w:r w:rsidRPr="002B70D1">
        <w:rPr>
          <w:rFonts w:ascii="Calibri" w:hAnsi="Calibri" w:cs="Times New Roman"/>
        </w:rPr>
        <w:t>age, sex, race, presence or absence of 23 previously described common conditions in older adults</w:t>
      </w:r>
      <w:r w:rsidR="00A63544">
        <w:rPr>
          <w:rFonts w:ascii="Calibri" w:hAnsi="Calibri" w:cs="Times New Roman"/>
        </w:rPr>
        <w:t xml:space="preserve"> (</w:t>
      </w:r>
      <w:r w:rsidR="00A63544" w:rsidRPr="002B70D1">
        <w:rPr>
          <w:rFonts w:ascii="Calibri" w:hAnsi="Calibri"/>
        </w:rPr>
        <w:t>PMID: 23035702</w:t>
      </w:r>
      <w:r w:rsidR="00A63544">
        <w:rPr>
          <w:rFonts w:ascii="Calibri" w:hAnsi="Calibri" w:cs="Times New Roman"/>
        </w:rPr>
        <w:t>)</w:t>
      </w:r>
      <w:r w:rsidRPr="002B70D1">
        <w:rPr>
          <w:rFonts w:ascii="Calibri" w:hAnsi="Calibri" w:cs="Times New Roman"/>
        </w:rPr>
        <w:t xml:space="preserve">, number of chronic medications, </w:t>
      </w:r>
      <w:r w:rsidR="00A63544" w:rsidRPr="002B70D1">
        <w:rPr>
          <w:rFonts w:ascii="Calibri" w:hAnsi="Calibri" w:cs="Times New Roman"/>
        </w:rPr>
        <w:t xml:space="preserve">use of </w:t>
      </w:r>
      <w:proofErr w:type="spellStart"/>
      <w:r w:rsidR="00A63544" w:rsidRPr="002B70D1">
        <w:rPr>
          <w:rFonts w:ascii="Calibri" w:hAnsi="Calibri" w:cs="Times New Roman"/>
        </w:rPr>
        <w:t>memantine</w:t>
      </w:r>
      <w:proofErr w:type="spellEnd"/>
      <w:r w:rsidR="00A63544">
        <w:rPr>
          <w:rFonts w:ascii="Calibri" w:hAnsi="Calibri" w:cs="Times New Roman"/>
        </w:rPr>
        <w:t xml:space="preserve">, </w:t>
      </w:r>
      <w:r w:rsidR="00A63544" w:rsidRPr="002B70D1">
        <w:rPr>
          <w:rFonts w:ascii="Calibri" w:hAnsi="Calibri" w:cs="Times New Roman"/>
        </w:rPr>
        <w:t>baseline weight, weight trajectory</w:t>
      </w:r>
      <w:r w:rsidR="00A63544">
        <w:rPr>
          <w:rFonts w:ascii="Calibri" w:hAnsi="Calibri" w:cs="Times New Roman"/>
        </w:rPr>
        <w:t xml:space="preserve">, </w:t>
      </w:r>
      <w:r w:rsidR="00A63544" w:rsidRPr="002B70D1">
        <w:rPr>
          <w:rFonts w:ascii="Calibri" w:hAnsi="Calibri" w:cs="Times New Roman"/>
        </w:rPr>
        <w:t>frequency of weight measurement</w:t>
      </w:r>
      <w:r w:rsidR="00A63544">
        <w:rPr>
          <w:rFonts w:ascii="Calibri" w:hAnsi="Calibri" w:cs="Times New Roman"/>
        </w:rPr>
        <w:t xml:space="preserve">s, </w:t>
      </w:r>
      <w:r w:rsidR="00A63544" w:rsidRPr="002B70D1">
        <w:rPr>
          <w:rFonts w:ascii="Calibri" w:hAnsi="Calibri" w:cs="Times New Roman"/>
        </w:rPr>
        <w:t xml:space="preserve">number of primary care </w:t>
      </w:r>
      <w:r w:rsidR="00A63544">
        <w:rPr>
          <w:rFonts w:ascii="Calibri" w:hAnsi="Calibri" w:cs="Times New Roman"/>
        </w:rPr>
        <w:t xml:space="preserve">and specialty </w:t>
      </w:r>
      <w:r w:rsidR="00A63544" w:rsidRPr="002B70D1">
        <w:rPr>
          <w:rFonts w:ascii="Calibri" w:hAnsi="Calibri" w:cs="Times New Roman"/>
        </w:rPr>
        <w:t>visit</w:t>
      </w:r>
      <w:r w:rsidR="00A63544">
        <w:rPr>
          <w:rFonts w:ascii="Calibri" w:hAnsi="Calibri" w:cs="Times New Roman"/>
        </w:rPr>
        <w:t xml:space="preserve">s, and </w:t>
      </w:r>
      <w:r w:rsidRPr="002B70D1">
        <w:rPr>
          <w:rFonts w:ascii="Calibri" w:hAnsi="Calibri" w:cs="Times New Roman"/>
        </w:rPr>
        <w:t>hospitalizations</w:t>
      </w:r>
      <w:r w:rsidR="00263918">
        <w:rPr>
          <w:rFonts w:ascii="Calibri" w:hAnsi="Calibri" w:cs="Times New Roman"/>
        </w:rPr>
        <w:t xml:space="preserve"> in the propensity score model. </w:t>
      </w:r>
    </w:p>
    <w:p w14:paraId="5B90E282" w14:textId="77777777" w:rsidR="00C80049" w:rsidRPr="002B70D1" w:rsidRDefault="00C80049" w:rsidP="00C80049">
      <w:pPr>
        <w:rPr>
          <w:rFonts w:ascii="Calibri" w:hAnsi="Calibri"/>
        </w:rPr>
      </w:pPr>
      <w:r w:rsidRPr="002B70D1">
        <w:rPr>
          <w:rFonts w:ascii="Calibri" w:hAnsi="Calibri"/>
        </w:rPr>
        <w:t xml:space="preserve"> </w:t>
      </w:r>
    </w:p>
    <w:p w14:paraId="604E6FD0" w14:textId="2E6FD851" w:rsidR="00C80049" w:rsidRPr="002B70D1" w:rsidRDefault="004100FB" w:rsidP="00C80049">
      <w:pPr>
        <w:rPr>
          <w:rFonts w:ascii="Calibri" w:hAnsi="Calibri" w:cs="Times New Roman"/>
        </w:rPr>
      </w:pPr>
      <w:r>
        <w:rPr>
          <w:rFonts w:ascii="Calibri" w:hAnsi="Calibri" w:cs="Times New Roman"/>
        </w:rPr>
        <w:t xml:space="preserve">The primary outcome </w:t>
      </w:r>
      <w:r w:rsidR="009A3979">
        <w:rPr>
          <w:rFonts w:ascii="Calibri" w:hAnsi="Calibri" w:cs="Times New Roman"/>
        </w:rPr>
        <w:t xml:space="preserve">was </w:t>
      </w:r>
      <w:r>
        <w:rPr>
          <w:rFonts w:ascii="Calibri" w:hAnsi="Calibri" w:cs="Times New Roman"/>
        </w:rPr>
        <w:t xml:space="preserve">time to 10-pound weight loss </w:t>
      </w:r>
      <w:r w:rsidRPr="0022672E">
        <w:rPr>
          <w:rFonts w:ascii="Calibri" w:hAnsi="Calibri"/>
        </w:rPr>
        <w:t xml:space="preserve">during the first year after </w:t>
      </w:r>
      <w:r w:rsidRPr="00C01C50">
        <w:rPr>
          <w:rFonts w:ascii="Calibri" w:hAnsi="Calibri"/>
        </w:rPr>
        <w:t>initiating</w:t>
      </w:r>
      <w:r>
        <w:rPr>
          <w:rFonts w:ascii="Calibri" w:hAnsi="Calibri"/>
        </w:rPr>
        <w:t xml:space="preserve"> </w:t>
      </w:r>
      <w:r w:rsidR="00BA6D2C">
        <w:rPr>
          <w:rFonts w:ascii="Calibri" w:hAnsi="Calibri"/>
        </w:rPr>
        <w:t xml:space="preserve">the new medication. </w:t>
      </w:r>
      <w:r w:rsidR="006E155D">
        <w:rPr>
          <w:rFonts w:ascii="Calibri" w:hAnsi="Calibri"/>
        </w:rPr>
        <w:t xml:space="preserve">We used </w:t>
      </w:r>
      <w:r w:rsidRPr="002B70D1">
        <w:rPr>
          <w:rFonts w:ascii="Calibri" w:hAnsi="Calibri" w:cs="Times New Roman"/>
        </w:rPr>
        <w:t xml:space="preserve">Kaplan Meier survival analysis to compare cumulative incidence of patients experiencing weight loss over a one-year period. </w:t>
      </w:r>
      <w:r w:rsidR="006E155D">
        <w:rPr>
          <w:rFonts w:ascii="Calibri" w:hAnsi="Calibri" w:cs="Times New Roman"/>
        </w:rPr>
        <w:t xml:space="preserve">We used </w:t>
      </w:r>
      <w:r w:rsidR="00C80049" w:rsidRPr="002B70D1">
        <w:rPr>
          <w:rFonts w:ascii="Calibri" w:hAnsi="Calibri" w:cs="Times New Roman"/>
        </w:rPr>
        <w:t xml:space="preserve">Cox-proportional hazards for paired data to compare the </w:t>
      </w:r>
      <w:r w:rsidR="001A0A93">
        <w:rPr>
          <w:rFonts w:ascii="Calibri" w:hAnsi="Calibri" w:cs="Times New Roman"/>
        </w:rPr>
        <w:t xml:space="preserve">risk </w:t>
      </w:r>
      <w:r w:rsidR="00C80049" w:rsidRPr="002B70D1">
        <w:rPr>
          <w:rFonts w:ascii="Calibri" w:hAnsi="Calibri" w:cs="Times New Roman"/>
        </w:rPr>
        <w:t xml:space="preserve">of weight loss </w:t>
      </w:r>
      <w:r w:rsidR="00BA6D2C">
        <w:rPr>
          <w:rFonts w:ascii="Calibri" w:hAnsi="Calibri" w:cs="Times New Roman"/>
        </w:rPr>
        <w:t>between cholinesterase inhibitor and</w:t>
      </w:r>
      <w:r w:rsidR="00BA6D2C">
        <w:rPr>
          <w:rFonts w:ascii="Calibri" w:hAnsi="Calibri"/>
        </w:rPr>
        <w:t xml:space="preserve"> matched controls.</w:t>
      </w:r>
      <w:r w:rsidR="00C80049" w:rsidRPr="002B70D1">
        <w:rPr>
          <w:rFonts w:ascii="Calibri" w:hAnsi="Calibri" w:cs="Times New Roman"/>
        </w:rPr>
        <w:t xml:space="preserve"> </w:t>
      </w:r>
      <w:r w:rsidR="00830A0D">
        <w:rPr>
          <w:rFonts w:ascii="Calibri" w:hAnsi="Calibri" w:cs="Times New Roman"/>
        </w:rPr>
        <w:t xml:space="preserve">The proportional hazard assumptions were assessed using a visual inspection of a </w:t>
      </w:r>
      <w:r w:rsidR="00830A0D" w:rsidRPr="00830A0D">
        <w:rPr>
          <w:rFonts w:ascii="Calibri" w:hAnsi="Calibri" w:cs="Times New Roman"/>
        </w:rPr>
        <w:t>log minus log curve</w:t>
      </w:r>
      <w:r w:rsidR="00830A0D" w:rsidRPr="00830A0D">
        <w:t xml:space="preserve"> </w:t>
      </w:r>
      <w:r w:rsidR="00830A0D">
        <w:t xml:space="preserve">and the </w:t>
      </w:r>
      <w:proofErr w:type="spellStart"/>
      <w:r w:rsidR="00830A0D" w:rsidRPr="00830A0D">
        <w:rPr>
          <w:rFonts w:ascii="Calibri" w:hAnsi="Calibri" w:cs="Times New Roman"/>
        </w:rPr>
        <w:t>Schoenfeld</w:t>
      </w:r>
      <w:proofErr w:type="spellEnd"/>
      <w:r w:rsidR="00830A0D" w:rsidRPr="00830A0D">
        <w:rPr>
          <w:rFonts w:ascii="Calibri" w:hAnsi="Calibri" w:cs="Times New Roman"/>
        </w:rPr>
        <w:t xml:space="preserve"> te</w:t>
      </w:r>
      <w:r w:rsidR="00830A0D">
        <w:rPr>
          <w:rFonts w:ascii="Calibri" w:hAnsi="Calibri" w:cs="Times New Roman"/>
        </w:rPr>
        <w:t xml:space="preserve">st for non-proportional hazards. </w:t>
      </w:r>
      <w:r w:rsidR="00C80049" w:rsidRPr="002B70D1">
        <w:rPr>
          <w:rFonts w:ascii="Calibri" w:hAnsi="Calibri" w:cs="Times New Roman"/>
        </w:rPr>
        <w:t>To determine if there were clinically important subgroups in which cholinesterase inhibitors were associated with greater weight loss, data were analyzed in a priori defined subgroups by age, comorbid burden, and initial weight.</w:t>
      </w:r>
      <w:r w:rsidR="006E155D">
        <w:rPr>
          <w:rFonts w:ascii="Calibri" w:hAnsi="Calibri" w:cs="Times New Roman"/>
        </w:rPr>
        <w:t xml:space="preserve"> A secondary outcome was </w:t>
      </w:r>
      <w:r w:rsidR="00743451">
        <w:rPr>
          <w:rFonts w:ascii="Calibri" w:hAnsi="Calibri" w:cs="Times New Roman"/>
        </w:rPr>
        <w:t xml:space="preserve">the </w:t>
      </w:r>
      <w:r w:rsidR="006E155D">
        <w:rPr>
          <w:rFonts w:ascii="Calibri" w:hAnsi="Calibri" w:cs="Times New Roman"/>
        </w:rPr>
        <w:t xml:space="preserve">mean change </w:t>
      </w:r>
      <w:r w:rsidR="006E155D" w:rsidRPr="002B70D1">
        <w:rPr>
          <w:rFonts w:ascii="Calibri" w:hAnsi="Calibri" w:cs="Times New Roman"/>
        </w:rPr>
        <w:t>weight over one year</w:t>
      </w:r>
      <w:r w:rsidR="00743451">
        <w:rPr>
          <w:rFonts w:ascii="Calibri" w:hAnsi="Calibri" w:cs="Times New Roman"/>
        </w:rPr>
        <w:t xml:space="preserve"> in </w:t>
      </w:r>
      <w:r w:rsidR="00CA7788">
        <w:rPr>
          <w:rFonts w:ascii="Calibri" w:hAnsi="Calibri" w:cs="Times New Roman"/>
        </w:rPr>
        <w:t>the</w:t>
      </w:r>
      <w:r w:rsidR="00743451">
        <w:rPr>
          <w:rFonts w:ascii="Calibri" w:hAnsi="Calibri" w:cs="Times New Roman"/>
        </w:rPr>
        <w:t xml:space="preserve"> </w:t>
      </w:r>
      <w:r w:rsidR="00CA7788">
        <w:rPr>
          <w:rFonts w:ascii="Calibri" w:hAnsi="Calibri" w:cs="Times New Roman"/>
        </w:rPr>
        <w:t>cholinesterase inhibitor and</w:t>
      </w:r>
      <w:r w:rsidR="00CA7788">
        <w:rPr>
          <w:rFonts w:ascii="Calibri" w:hAnsi="Calibri"/>
        </w:rPr>
        <w:t xml:space="preserve"> matched control</w:t>
      </w:r>
      <w:r w:rsidR="00CA7788">
        <w:rPr>
          <w:rFonts w:ascii="Calibri" w:hAnsi="Calibri" w:cs="Times New Roman"/>
        </w:rPr>
        <w:t xml:space="preserve"> </w:t>
      </w:r>
      <w:r w:rsidR="00743451">
        <w:rPr>
          <w:rFonts w:ascii="Calibri" w:hAnsi="Calibri" w:cs="Times New Roman"/>
        </w:rPr>
        <w:t>group</w:t>
      </w:r>
      <w:r w:rsidR="006E155D">
        <w:rPr>
          <w:rFonts w:ascii="Calibri" w:hAnsi="Calibri" w:cs="Times New Roman"/>
        </w:rPr>
        <w:t>. W</w:t>
      </w:r>
      <w:r w:rsidR="00743451">
        <w:rPr>
          <w:rFonts w:ascii="Calibri" w:hAnsi="Calibri" w:cs="Times New Roman"/>
        </w:rPr>
        <w:t xml:space="preserve">e used </w:t>
      </w:r>
      <w:r w:rsidR="00B17669" w:rsidRPr="00B17669">
        <w:rPr>
          <w:rFonts w:ascii="Calibri" w:hAnsi="Calibri" w:cs="Times New Roman"/>
        </w:rPr>
        <w:t>multilevel mixed-effects linear regression</w:t>
      </w:r>
      <w:r w:rsidR="00B17669">
        <w:rPr>
          <w:rFonts w:ascii="Calibri" w:hAnsi="Calibri" w:cs="Times New Roman"/>
        </w:rPr>
        <w:t xml:space="preserve"> </w:t>
      </w:r>
      <w:r w:rsidR="006E155D" w:rsidRPr="002B70D1">
        <w:rPr>
          <w:rFonts w:ascii="Calibri" w:hAnsi="Calibri" w:cs="Times New Roman"/>
        </w:rPr>
        <w:t xml:space="preserve">to determine </w:t>
      </w:r>
      <w:r w:rsidR="006E155D">
        <w:rPr>
          <w:rFonts w:ascii="Calibri" w:hAnsi="Calibri" w:cs="Times New Roman"/>
        </w:rPr>
        <w:t xml:space="preserve">the </w:t>
      </w:r>
      <w:r w:rsidR="00CA7788" w:rsidRPr="002B70D1">
        <w:rPr>
          <w:rFonts w:ascii="Calibri" w:hAnsi="Calibri" w:cs="Times New Roman"/>
        </w:rPr>
        <w:t>one-year</w:t>
      </w:r>
      <w:r w:rsidR="006E155D" w:rsidRPr="002B70D1">
        <w:rPr>
          <w:rFonts w:ascii="Calibri" w:hAnsi="Calibri" w:cs="Times New Roman"/>
        </w:rPr>
        <w:t xml:space="preserve"> </w:t>
      </w:r>
      <w:r w:rsidR="00743451">
        <w:rPr>
          <w:rFonts w:ascii="Calibri" w:hAnsi="Calibri" w:cs="Times New Roman"/>
        </w:rPr>
        <w:t>weight trajectory</w:t>
      </w:r>
      <w:r w:rsidR="00CA7788">
        <w:rPr>
          <w:rFonts w:ascii="Calibri" w:hAnsi="Calibri" w:cs="Times New Roman"/>
        </w:rPr>
        <w:t xml:space="preserve"> of each group</w:t>
      </w:r>
      <w:r w:rsidR="00B17669">
        <w:rPr>
          <w:rFonts w:ascii="Calibri" w:hAnsi="Calibri" w:cs="Times New Roman"/>
        </w:rPr>
        <w:t xml:space="preserve">. </w:t>
      </w:r>
      <w:r w:rsidR="001A0A93">
        <w:rPr>
          <w:rFonts w:ascii="Calibri" w:hAnsi="Calibri" w:cs="Times New Roman"/>
        </w:rPr>
        <w:t xml:space="preserve">We used </w:t>
      </w:r>
      <w:r w:rsidR="001A0A93" w:rsidRPr="001A0A93">
        <w:rPr>
          <w:rFonts w:ascii="Calibri" w:hAnsi="Calibri" w:cs="Times New Roman"/>
        </w:rPr>
        <w:t xml:space="preserve">with random effects for </w:t>
      </w:r>
      <w:r w:rsidR="00830A0D">
        <w:rPr>
          <w:rFonts w:ascii="Calibri" w:hAnsi="Calibri" w:cs="Times New Roman"/>
        </w:rPr>
        <w:t xml:space="preserve">each patient and </w:t>
      </w:r>
      <w:r w:rsidR="001A0A93" w:rsidRPr="001A0A93">
        <w:rPr>
          <w:rFonts w:ascii="Calibri" w:hAnsi="Calibri" w:cs="Times New Roman"/>
        </w:rPr>
        <w:t>unstructured covariance</w:t>
      </w:r>
      <w:r w:rsidR="00830A0D">
        <w:rPr>
          <w:rFonts w:ascii="Calibri" w:hAnsi="Calibri" w:cs="Times New Roman"/>
        </w:rPr>
        <w:t xml:space="preserve">, and assessed model assumptions by a scatterplot of the residuals versus predicted values. </w:t>
      </w:r>
    </w:p>
    <w:p w14:paraId="4552E4F6" w14:textId="77777777" w:rsidR="001A0A93" w:rsidRDefault="001A0A93" w:rsidP="00C80049">
      <w:pPr>
        <w:rPr>
          <w:rFonts w:ascii="Calibri" w:hAnsi="Calibri" w:cs="Times New Roman"/>
        </w:rPr>
      </w:pPr>
    </w:p>
    <w:p w14:paraId="49BCC593" w14:textId="77777777" w:rsidR="007016BD" w:rsidRPr="002B70D1" w:rsidRDefault="007016BD" w:rsidP="007016BD">
      <w:pPr>
        <w:rPr>
          <w:rFonts w:ascii="Calibri" w:hAnsi="Calibri"/>
          <w:b/>
          <w:sz w:val="28"/>
          <w:szCs w:val="28"/>
        </w:rPr>
      </w:pPr>
      <w:r w:rsidRPr="002B70D1">
        <w:rPr>
          <w:rFonts w:ascii="Calibri" w:hAnsi="Calibri"/>
          <w:b/>
          <w:sz w:val="28"/>
          <w:szCs w:val="28"/>
        </w:rPr>
        <w:t>Results</w:t>
      </w:r>
    </w:p>
    <w:p w14:paraId="69F474C9" w14:textId="77777777" w:rsidR="007016BD" w:rsidRPr="002B70D1" w:rsidRDefault="007016BD" w:rsidP="007016BD">
      <w:pPr>
        <w:rPr>
          <w:rFonts w:ascii="Calibri" w:hAnsi="Calibri"/>
        </w:rPr>
      </w:pPr>
    </w:p>
    <w:p w14:paraId="623141CC" w14:textId="03FADD10" w:rsidR="007016BD" w:rsidRPr="002B70D1" w:rsidRDefault="007016BD" w:rsidP="007016BD">
      <w:pPr>
        <w:rPr>
          <w:rFonts w:ascii="Calibri" w:hAnsi="Calibri"/>
        </w:rPr>
      </w:pPr>
      <w:r w:rsidRPr="002B70D1">
        <w:rPr>
          <w:rFonts w:ascii="Calibri" w:hAnsi="Calibri"/>
        </w:rPr>
        <w:t>There were 6,</w:t>
      </w:r>
      <w:r w:rsidR="00F438E7" w:rsidRPr="002B70D1">
        <w:rPr>
          <w:rFonts w:ascii="Calibri" w:hAnsi="Calibri"/>
        </w:rPr>
        <w:t>5</w:t>
      </w:r>
      <w:r w:rsidR="00F438E7">
        <w:rPr>
          <w:rFonts w:ascii="Calibri" w:hAnsi="Calibri"/>
        </w:rPr>
        <w:t>04</w:t>
      </w:r>
      <w:r w:rsidR="00F438E7" w:rsidRPr="002B70D1">
        <w:rPr>
          <w:rFonts w:ascii="Calibri" w:hAnsi="Calibri"/>
        </w:rPr>
        <w:t xml:space="preserve"> </w:t>
      </w:r>
      <w:r w:rsidRPr="002B70D1">
        <w:rPr>
          <w:rFonts w:ascii="Calibri" w:hAnsi="Calibri"/>
        </w:rPr>
        <w:t xml:space="preserve">patients who met inclusion and exclusion criteria. Of these, </w:t>
      </w:r>
      <w:r w:rsidR="00F438E7">
        <w:rPr>
          <w:rFonts w:ascii="Calibri" w:hAnsi="Calibri"/>
        </w:rPr>
        <w:t>1,190</w:t>
      </w:r>
      <w:r w:rsidRPr="002B70D1">
        <w:rPr>
          <w:rFonts w:ascii="Calibri" w:hAnsi="Calibri"/>
        </w:rPr>
        <w:t xml:space="preserve"> were new users of cholinesterase inhibitors and 5,314 were new users of other chronic medications. Patients prescribed cholinesterase inhibitors were generally older, taking fewer medications at baseline, and had a lower baseline weight (Table 1). While both groups had a similar total number of comorbidities, new users of cholinesterase inhibitors were less likely to have stroke, diabetes mellitus, or GERD, and more likely to have hypertension. </w:t>
      </w:r>
    </w:p>
    <w:p w14:paraId="75D69A61" w14:textId="65476EF6" w:rsidR="0092620E" w:rsidRPr="002B70D1" w:rsidRDefault="00E133B3" w:rsidP="007016BD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2BFD129" w14:textId="526BD81A" w:rsidR="0092620E" w:rsidRPr="002B70D1" w:rsidRDefault="0092620E" w:rsidP="0092620E">
      <w:pPr>
        <w:rPr>
          <w:rFonts w:ascii="Calibri" w:hAnsi="Calibri" w:cs="Times New Roman"/>
        </w:rPr>
      </w:pPr>
      <w:r w:rsidRPr="002B70D1">
        <w:rPr>
          <w:rFonts w:ascii="Calibri" w:hAnsi="Calibri" w:cs="Times New Roman"/>
        </w:rPr>
        <w:t>Propensity score matching of new users vs. non-users yielded 1,</w:t>
      </w:r>
      <w:r w:rsidR="008D4C5A" w:rsidRPr="002B70D1">
        <w:rPr>
          <w:rFonts w:ascii="Calibri" w:hAnsi="Calibri" w:cs="Times New Roman"/>
        </w:rPr>
        <w:t>1</w:t>
      </w:r>
      <w:r w:rsidR="00830A0D">
        <w:rPr>
          <w:rFonts w:ascii="Calibri" w:hAnsi="Calibri" w:cs="Times New Roman"/>
        </w:rPr>
        <w:t>90</w:t>
      </w:r>
      <w:r w:rsidR="00CA7788">
        <w:rPr>
          <w:rFonts w:ascii="Calibri" w:hAnsi="Calibri" w:cs="Times New Roman"/>
        </w:rPr>
        <w:t xml:space="preserve"> </w:t>
      </w:r>
      <w:r w:rsidRPr="002B70D1">
        <w:rPr>
          <w:rFonts w:ascii="Calibri" w:hAnsi="Calibri"/>
        </w:rPr>
        <w:t xml:space="preserve">new users of cholinesterase inhibitors who were matched with </w:t>
      </w:r>
      <w:r w:rsidRPr="002B70D1">
        <w:rPr>
          <w:rFonts w:ascii="Calibri" w:hAnsi="Calibri" w:cs="Times New Roman"/>
        </w:rPr>
        <w:t>2,</w:t>
      </w:r>
      <w:r w:rsidR="00830A0D">
        <w:rPr>
          <w:rFonts w:ascii="Calibri" w:hAnsi="Calibri" w:cs="Times New Roman"/>
        </w:rPr>
        <w:t>247</w:t>
      </w:r>
      <w:r w:rsidR="008D4C5A" w:rsidRPr="002B70D1">
        <w:rPr>
          <w:rFonts w:ascii="Calibri" w:hAnsi="Calibri" w:cs="Times New Roman"/>
        </w:rPr>
        <w:t xml:space="preserve"> </w:t>
      </w:r>
      <w:r w:rsidRPr="002B70D1">
        <w:rPr>
          <w:rFonts w:ascii="Calibri" w:hAnsi="Calibri"/>
        </w:rPr>
        <w:t xml:space="preserve">new users of other chronic medications. After propensity score matching, the two groups were well balanced on all baseline covariates (Table 2). The mean age was 78 years, 98% were male, and mean weight at baseline was 175 +/- 35 pounds. </w:t>
      </w:r>
    </w:p>
    <w:p w14:paraId="44ED681C" w14:textId="77777777" w:rsidR="0092620E" w:rsidRPr="002B70D1" w:rsidRDefault="0092620E" w:rsidP="007016BD">
      <w:pPr>
        <w:rPr>
          <w:rFonts w:ascii="Calibri" w:hAnsi="Calibri"/>
        </w:rPr>
      </w:pPr>
    </w:p>
    <w:p w14:paraId="6269E216" w14:textId="38A9C69F" w:rsidR="000E738B" w:rsidRPr="002B70D1" w:rsidRDefault="000E738B" w:rsidP="000E738B">
      <w:pPr>
        <w:rPr>
          <w:rFonts w:ascii="Calibri" w:hAnsi="Calibri"/>
        </w:rPr>
      </w:pPr>
      <w:r w:rsidRPr="002B70D1">
        <w:rPr>
          <w:rFonts w:ascii="Calibri" w:hAnsi="Calibri"/>
        </w:rPr>
        <w:t xml:space="preserve">Of patients who started cholinesterase inhibitors, 58% (n = 696) were prescribed donepezil, 41% (n= 482) </w:t>
      </w:r>
      <w:proofErr w:type="spellStart"/>
      <w:r w:rsidR="00EC6BBA" w:rsidRPr="002B70D1">
        <w:rPr>
          <w:rFonts w:ascii="Calibri" w:hAnsi="Calibri"/>
        </w:rPr>
        <w:t>galantamine</w:t>
      </w:r>
      <w:proofErr w:type="spellEnd"/>
      <w:r w:rsidRPr="002B70D1">
        <w:rPr>
          <w:rFonts w:ascii="Calibri" w:hAnsi="Calibri"/>
        </w:rPr>
        <w:t xml:space="preserve">, and 1% (n= 12) </w:t>
      </w:r>
      <w:proofErr w:type="spellStart"/>
      <w:r w:rsidR="00EC6BBA" w:rsidRPr="002B70D1">
        <w:rPr>
          <w:rFonts w:ascii="Calibri" w:hAnsi="Calibri"/>
        </w:rPr>
        <w:t>rivastigmine</w:t>
      </w:r>
      <w:proofErr w:type="spellEnd"/>
      <w:r w:rsidRPr="002B70D1">
        <w:rPr>
          <w:rFonts w:ascii="Calibri" w:hAnsi="Calibri"/>
        </w:rPr>
        <w:t xml:space="preserve">. No patients were prescribed </w:t>
      </w:r>
      <w:proofErr w:type="spellStart"/>
      <w:r w:rsidRPr="002B70D1">
        <w:rPr>
          <w:rFonts w:ascii="Calibri" w:hAnsi="Calibri"/>
        </w:rPr>
        <w:t>tacrine</w:t>
      </w:r>
      <w:proofErr w:type="spellEnd"/>
      <w:r w:rsidRPr="002B70D1">
        <w:rPr>
          <w:rFonts w:ascii="Calibri" w:hAnsi="Calibri"/>
        </w:rPr>
        <w:t xml:space="preserve">. Of the patients who started other chronic medications, the most common prescriptions were for amlodipine, simvastatin, omeprazole, hydrochlorothiazide, and docusate. </w:t>
      </w:r>
      <w:r w:rsidR="001A0A93">
        <w:rPr>
          <w:rFonts w:ascii="Calibri" w:hAnsi="Calibri"/>
        </w:rPr>
        <w:t xml:space="preserve"> </w:t>
      </w:r>
    </w:p>
    <w:p w14:paraId="24F61D43" w14:textId="77777777" w:rsidR="00C80049" w:rsidRPr="002B70D1" w:rsidRDefault="00C80049" w:rsidP="001107B7"/>
    <w:p w14:paraId="1B99EC88" w14:textId="7803D016" w:rsidR="00484944" w:rsidRPr="002B70D1" w:rsidRDefault="000E738B" w:rsidP="000E738B">
      <w:pPr>
        <w:rPr>
          <w:rFonts w:ascii="Calibri" w:hAnsi="Calibri"/>
        </w:rPr>
      </w:pPr>
      <w:r w:rsidRPr="002B70D1">
        <w:rPr>
          <w:rFonts w:ascii="Calibri" w:hAnsi="Calibri"/>
        </w:rPr>
        <w:t xml:space="preserve">At 12 months, 78% of patients started on cholinesterase inhibitors were still using the drug. </w:t>
      </w:r>
      <w:r w:rsidR="001A0A93">
        <w:rPr>
          <w:rFonts w:ascii="Calibri" w:hAnsi="Calibri"/>
        </w:rPr>
        <w:t xml:space="preserve"> </w:t>
      </w:r>
      <w:r w:rsidR="00484944" w:rsidRPr="002B70D1">
        <w:rPr>
          <w:rFonts w:ascii="Calibri" w:hAnsi="Calibri"/>
        </w:rPr>
        <w:t xml:space="preserve">The number of weight measures in follow-up period was similar between the two groups, with a mean of </w:t>
      </w:r>
      <w:r w:rsidR="00A43E47">
        <w:rPr>
          <w:rFonts w:ascii="Calibri" w:hAnsi="Calibri"/>
        </w:rPr>
        <w:t>5.4</w:t>
      </w:r>
      <w:r w:rsidR="00A43E47" w:rsidRPr="002B70D1">
        <w:rPr>
          <w:rFonts w:ascii="Calibri" w:hAnsi="Calibri"/>
        </w:rPr>
        <w:t xml:space="preserve"> </w:t>
      </w:r>
      <w:r w:rsidR="00484944" w:rsidRPr="002B70D1">
        <w:rPr>
          <w:rFonts w:ascii="Calibri" w:hAnsi="Calibri"/>
        </w:rPr>
        <w:t xml:space="preserve">weight measures </w:t>
      </w:r>
      <w:r w:rsidR="00A91B55">
        <w:rPr>
          <w:rFonts w:ascii="Calibri" w:hAnsi="Calibri"/>
        </w:rPr>
        <w:t xml:space="preserve">in new users of cholinesterase inhibitors and </w:t>
      </w:r>
      <w:r w:rsidR="00A43E47">
        <w:rPr>
          <w:rFonts w:ascii="Calibri" w:hAnsi="Calibri"/>
        </w:rPr>
        <w:t xml:space="preserve">5.8 </w:t>
      </w:r>
      <w:r w:rsidR="00A91B55">
        <w:rPr>
          <w:rFonts w:ascii="Calibri" w:hAnsi="Calibri"/>
        </w:rPr>
        <w:t xml:space="preserve">weight measures in the control group </w:t>
      </w:r>
      <w:r w:rsidR="00484944" w:rsidRPr="002B70D1">
        <w:rPr>
          <w:rFonts w:ascii="Calibri" w:hAnsi="Calibri"/>
        </w:rPr>
        <w:t>(</w:t>
      </w:r>
      <w:r w:rsidR="000E21E1">
        <w:rPr>
          <w:rFonts w:ascii="Calibri" w:hAnsi="Calibri"/>
        </w:rPr>
        <w:t>Wilcoxon</w:t>
      </w:r>
      <w:r w:rsidR="00460671">
        <w:rPr>
          <w:rFonts w:ascii="Calibri" w:hAnsi="Calibri"/>
        </w:rPr>
        <w:t xml:space="preserve"> </w:t>
      </w:r>
      <w:r w:rsidR="00484944" w:rsidRPr="002B70D1">
        <w:rPr>
          <w:rFonts w:ascii="Calibri" w:hAnsi="Calibri"/>
        </w:rPr>
        <w:t>p=0.</w:t>
      </w:r>
      <w:r w:rsidR="00A43E47">
        <w:rPr>
          <w:rFonts w:ascii="Calibri" w:hAnsi="Calibri"/>
        </w:rPr>
        <w:t>99</w:t>
      </w:r>
      <w:r w:rsidR="00484944" w:rsidRPr="002B70D1">
        <w:rPr>
          <w:rFonts w:ascii="Calibri" w:hAnsi="Calibri"/>
        </w:rPr>
        <w:t xml:space="preserve">). </w:t>
      </w:r>
    </w:p>
    <w:p w14:paraId="007F7CD3" w14:textId="77777777" w:rsidR="000E738B" w:rsidRPr="002B70D1" w:rsidRDefault="000E738B" w:rsidP="001107B7"/>
    <w:p w14:paraId="4012B920" w14:textId="405AD8C7" w:rsidR="00D92866" w:rsidRPr="002B70D1" w:rsidRDefault="00D92866" w:rsidP="00D92866">
      <w:pPr>
        <w:rPr>
          <w:rFonts w:ascii="Calibri" w:hAnsi="Calibri"/>
        </w:rPr>
      </w:pPr>
      <w:r w:rsidRPr="002B70D1">
        <w:rPr>
          <w:rFonts w:ascii="Calibri" w:hAnsi="Calibri"/>
        </w:rPr>
        <w:t>Patients initiated on cholinesterase inhibitors had a higher risk of weight loss compared to patients started on other medications over 12 months</w:t>
      </w:r>
      <w:r w:rsidR="004547FE">
        <w:rPr>
          <w:rFonts w:ascii="Calibri" w:hAnsi="Calibri"/>
        </w:rPr>
        <w:t>, with a hazard ratio of</w:t>
      </w:r>
      <w:r w:rsidRPr="002B70D1">
        <w:rPr>
          <w:rFonts w:ascii="Calibri" w:hAnsi="Calibri"/>
        </w:rPr>
        <w:t xml:space="preserve"> 1.</w:t>
      </w:r>
      <w:r w:rsidR="002A4B0A" w:rsidRPr="002B70D1">
        <w:rPr>
          <w:rFonts w:ascii="Calibri" w:hAnsi="Calibri"/>
        </w:rPr>
        <w:t>2</w:t>
      </w:r>
      <w:r w:rsidR="002A4B0A">
        <w:rPr>
          <w:rFonts w:ascii="Calibri" w:hAnsi="Calibri"/>
        </w:rPr>
        <w:t xml:space="preserve">4 </w:t>
      </w:r>
      <w:r w:rsidR="004547FE">
        <w:rPr>
          <w:rFonts w:ascii="Calibri" w:hAnsi="Calibri"/>
        </w:rPr>
        <w:t>(</w:t>
      </w:r>
      <w:r w:rsidRPr="002B70D1">
        <w:rPr>
          <w:rFonts w:ascii="Calibri" w:hAnsi="Calibri"/>
        </w:rPr>
        <w:t>95% CI 1.</w:t>
      </w:r>
      <w:r w:rsidR="004547FE">
        <w:rPr>
          <w:rFonts w:ascii="Calibri" w:hAnsi="Calibri"/>
        </w:rPr>
        <w:t>0</w:t>
      </w:r>
      <w:r w:rsidR="002A4B0A">
        <w:rPr>
          <w:rFonts w:ascii="Calibri" w:hAnsi="Calibri"/>
        </w:rPr>
        <w:t>8</w:t>
      </w:r>
      <w:r w:rsidR="004547FE" w:rsidRPr="002B70D1">
        <w:rPr>
          <w:rFonts w:ascii="Calibri" w:hAnsi="Calibri"/>
        </w:rPr>
        <w:t xml:space="preserve"> </w:t>
      </w:r>
      <w:r w:rsidRPr="002B70D1">
        <w:rPr>
          <w:rFonts w:ascii="Calibri" w:hAnsi="Calibri"/>
        </w:rPr>
        <w:t>- 1.4</w:t>
      </w:r>
      <w:r w:rsidR="002A4B0A">
        <w:rPr>
          <w:rFonts w:ascii="Calibri" w:hAnsi="Calibri"/>
        </w:rPr>
        <w:t>2</w:t>
      </w:r>
      <w:r w:rsidRPr="002B70D1">
        <w:rPr>
          <w:rFonts w:ascii="Calibri" w:hAnsi="Calibri"/>
        </w:rPr>
        <w:t>). At twelve months, 3</w:t>
      </w:r>
      <w:r w:rsidR="004547FE">
        <w:rPr>
          <w:rFonts w:ascii="Calibri" w:hAnsi="Calibri"/>
        </w:rPr>
        <w:t>0</w:t>
      </w:r>
      <w:r w:rsidR="00C24038">
        <w:rPr>
          <w:rFonts w:ascii="Calibri" w:hAnsi="Calibri"/>
        </w:rPr>
        <w:t>.3</w:t>
      </w:r>
      <w:r w:rsidRPr="002B70D1">
        <w:rPr>
          <w:rFonts w:ascii="Calibri" w:hAnsi="Calibri"/>
        </w:rPr>
        <w:t>% of patients on cholinesterase inhibitors had experienced &gt;=10lbs weight loss compared 25</w:t>
      </w:r>
      <w:r w:rsidR="00C24038">
        <w:rPr>
          <w:rFonts w:ascii="Calibri" w:hAnsi="Calibri"/>
        </w:rPr>
        <w:t>.6</w:t>
      </w:r>
      <w:r w:rsidRPr="002B70D1">
        <w:rPr>
          <w:rFonts w:ascii="Calibri" w:hAnsi="Calibri"/>
        </w:rPr>
        <w:t>% of non-users (Figure 1) corresponding to a number needed to harm of 18 over one year</w:t>
      </w:r>
      <w:r w:rsidR="00ED724F">
        <w:rPr>
          <w:rFonts w:ascii="Calibri" w:hAnsi="Calibri"/>
        </w:rPr>
        <w:t xml:space="preserve"> (</w:t>
      </w:r>
      <w:r w:rsidR="00702A0D">
        <w:rPr>
          <w:rFonts w:ascii="Calibri" w:hAnsi="Calibri"/>
        </w:rPr>
        <w:t>95%</w:t>
      </w:r>
      <w:r w:rsidR="00ED724F">
        <w:rPr>
          <w:rFonts w:ascii="Calibri" w:hAnsi="Calibri"/>
        </w:rPr>
        <w:t xml:space="preserve"> </w:t>
      </w:r>
      <w:r w:rsidR="00702A0D">
        <w:rPr>
          <w:rFonts w:ascii="Calibri" w:hAnsi="Calibri"/>
        </w:rPr>
        <w:t xml:space="preserve">CI </w:t>
      </w:r>
      <w:r w:rsidR="000776EB">
        <w:rPr>
          <w:rFonts w:ascii="Calibri" w:hAnsi="Calibri"/>
        </w:rPr>
        <w:t>11.2 – 39.</w:t>
      </w:r>
      <w:r w:rsidR="00ED724F">
        <w:rPr>
          <w:rFonts w:ascii="Calibri" w:hAnsi="Calibri"/>
        </w:rPr>
        <w:t>5</w:t>
      </w:r>
      <w:r w:rsidR="00702A0D">
        <w:rPr>
          <w:rFonts w:ascii="Calibri" w:hAnsi="Calibri"/>
        </w:rPr>
        <w:t xml:space="preserve">). </w:t>
      </w:r>
      <w:r w:rsidRPr="002B70D1">
        <w:rPr>
          <w:rFonts w:ascii="Calibri" w:hAnsi="Calibri"/>
        </w:rPr>
        <w:t xml:space="preserve"> </w:t>
      </w:r>
    </w:p>
    <w:p w14:paraId="0818F243" w14:textId="77777777" w:rsidR="00D92866" w:rsidRPr="002B70D1" w:rsidRDefault="00D92866" w:rsidP="001107B7"/>
    <w:p w14:paraId="1EFE8053" w14:textId="4497FFF8" w:rsidR="00D92866" w:rsidRPr="002B70D1" w:rsidRDefault="00D92866" w:rsidP="00D92866">
      <w:pPr>
        <w:rPr>
          <w:rFonts w:ascii="Calibri" w:hAnsi="Calibri"/>
        </w:rPr>
      </w:pPr>
      <w:r w:rsidRPr="002B70D1">
        <w:rPr>
          <w:rFonts w:ascii="Calibri" w:hAnsi="Calibri"/>
        </w:rPr>
        <w:t xml:space="preserve">In pre-specified subgroup analyses, data were analyzed stratified by age, comorbid burden, and initial weight (Table 3). </w:t>
      </w:r>
      <w:r w:rsidR="00AA7129">
        <w:rPr>
          <w:rFonts w:ascii="Calibri" w:hAnsi="Calibri"/>
        </w:rPr>
        <w:t xml:space="preserve">We did not find statistically </w:t>
      </w:r>
      <w:r w:rsidRPr="002B70D1">
        <w:rPr>
          <w:rFonts w:ascii="Calibri" w:hAnsi="Calibri"/>
        </w:rPr>
        <w:t>significant differences in the impact of cholinesterase inhibitor use on weight loss across age groups, levels of comorbid burden, or levels of baseline weight.</w:t>
      </w:r>
    </w:p>
    <w:p w14:paraId="248DA3A1" w14:textId="77777777" w:rsidR="00D92866" w:rsidRPr="002B70D1" w:rsidRDefault="00D92866" w:rsidP="00D92866">
      <w:pPr>
        <w:rPr>
          <w:rFonts w:ascii="Calibri" w:hAnsi="Calibri"/>
        </w:rPr>
      </w:pPr>
    </w:p>
    <w:p w14:paraId="68CB2928" w14:textId="571F7CBF" w:rsidR="00D92866" w:rsidRPr="002B70D1" w:rsidRDefault="00F438E7" w:rsidP="00D92866">
      <w:pPr>
        <w:rPr>
          <w:rFonts w:ascii="Calibri" w:hAnsi="Calibri" w:cs="Times New Roman"/>
        </w:rPr>
      </w:pPr>
      <w:r>
        <w:rPr>
          <w:rFonts w:ascii="Calibri" w:hAnsi="Calibri"/>
        </w:rPr>
        <w:t>As</w:t>
      </w:r>
      <w:r w:rsidR="00702A0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</w:t>
      </w:r>
      <w:r w:rsidR="00702A0D">
        <w:rPr>
          <w:rFonts w:ascii="Calibri" w:hAnsi="Calibri"/>
        </w:rPr>
        <w:t>different</w:t>
      </w:r>
      <w:r w:rsidR="00D92866" w:rsidRPr="002B70D1">
        <w:rPr>
          <w:rFonts w:ascii="Calibri" w:hAnsi="Calibri"/>
        </w:rPr>
        <w:t xml:space="preserve"> approach </w:t>
      </w:r>
      <w:r>
        <w:rPr>
          <w:rFonts w:ascii="Calibri" w:hAnsi="Calibri"/>
        </w:rPr>
        <w:t>to</w:t>
      </w:r>
      <w:r w:rsidRPr="002B70D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evaluate </w:t>
      </w:r>
      <w:r w:rsidR="00D92866" w:rsidRPr="002B70D1">
        <w:rPr>
          <w:rFonts w:ascii="Calibri" w:hAnsi="Calibri"/>
        </w:rPr>
        <w:t xml:space="preserve">weight loss, in secondary analysis </w:t>
      </w:r>
      <w:r w:rsidR="005B35BA" w:rsidRPr="002B70D1">
        <w:rPr>
          <w:rFonts w:ascii="Calibri" w:hAnsi="Calibri"/>
        </w:rPr>
        <w:t xml:space="preserve">we assessed </w:t>
      </w:r>
      <w:r w:rsidR="00D92866" w:rsidRPr="002B70D1">
        <w:rPr>
          <w:rFonts w:ascii="Calibri" w:hAnsi="Calibri"/>
        </w:rPr>
        <w:t>the weight trajectory over one year in each group. T</w:t>
      </w:r>
      <w:r w:rsidR="00D92866" w:rsidRPr="002B70D1">
        <w:rPr>
          <w:rFonts w:ascii="Calibri" w:hAnsi="Calibri" w:cs="Times New Roman"/>
        </w:rPr>
        <w:t xml:space="preserve">here was a mean weight loss of </w:t>
      </w:r>
      <w:r w:rsidR="001315A0">
        <w:rPr>
          <w:rFonts w:ascii="Calibri" w:hAnsi="Calibri" w:cs="Times New Roman"/>
        </w:rPr>
        <w:t>3.08</w:t>
      </w:r>
      <w:r w:rsidR="00D92866" w:rsidRPr="002B70D1">
        <w:rPr>
          <w:rFonts w:ascii="Calibri" w:hAnsi="Calibri" w:cs="Times New Roman"/>
        </w:rPr>
        <w:t xml:space="preserve"> </w:t>
      </w:r>
      <w:proofErr w:type="spellStart"/>
      <w:r w:rsidR="00D92866" w:rsidRPr="002B70D1">
        <w:rPr>
          <w:rFonts w:ascii="Calibri" w:hAnsi="Calibri" w:cs="Times New Roman"/>
        </w:rPr>
        <w:t>lbs</w:t>
      </w:r>
      <w:proofErr w:type="spellEnd"/>
      <w:r w:rsidR="00D92866" w:rsidRPr="002B70D1">
        <w:rPr>
          <w:rFonts w:ascii="Calibri" w:hAnsi="Calibri" w:cs="Times New Roman"/>
        </w:rPr>
        <w:t xml:space="preserve"> over one year in patients on cholinesterase inhibitors, compared to a mean weight loss 2.</w:t>
      </w:r>
      <w:r w:rsidR="001315A0">
        <w:rPr>
          <w:rFonts w:ascii="Calibri" w:hAnsi="Calibri" w:cs="Times New Roman"/>
        </w:rPr>
        <w:t>4</w:t>
      </w:r>
      <w:r w:rsidR="009749DD">
        <w:rPr>
          <w:rFonts w:ascii="Calibri" w:hAnsi="Calibri" w:cs="Times New Roman"/>
        </w:rPr>
        <w:t>7</w:t>
      </w:r>
      <w:r w:rsidR="001315A0" w:rsidRPr="002B70D1">
        <w:rPr>
          <w:rFonts w:ascii="Calibri" w:hAnsi="Calibri" w:cs="Times New Roman"/>
        </w:rPr>
        <w:t xml:space="preserve"> </w:t>
      </w:r>
      <w:proofErr w:type="spellStart"/>
      <w:r w:rsidR="00D92866" w:rsidRPr="002B70D1">
        <w:rPr>
          <w:rFonts w:ascii="Calibri" w:hAnsi="Calibri" w:cs="Times New Roman"/>
        </w:rPr>
        <w:t>lbs</w:t>
      </w:r>
      <w:proofErr w:type="spellEnd"/>
      <w:r w:rsidR="00D92866" w:rsidRPr="002B70D1">
        <w:rPr>
          <w:rFonts w:ascii="Calibri" w:hAnsi="Calibri" w:cs="Times New Roman"/>
        </w:rPr>
        <w:t xml:space="preserve"> over one year in non-users (p=0.02). </w:t>
      </w:r>
    </w:p>
    <w:p w14:paraId="1E7A35BF" w14:textId="50698FAE" w:rsidR="00D92866" w:rsidRPr="002B70D1" w:rsidRDefault="00D92866" w:rsidP="00375BC7">
      <w:pPr>
        <w:rPr>
          <w:rFonts w:ascii="Calibri" w:hAnsi="Calibri"/>
        </w:rPr>
      </w:pPr>
    </w:p>
    <w:p w14:paraId="288D489D" w14:textId="454D7FB3" w:rsidR="00D92866" w:rsidRPr="002B70D1" w:rsidRDefault="00E431F3" w:rsidP="00D92866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Conclusions</w:t>
      </w:r>
      <w:r w:rsidR="00D92866" w:rsidRPr="002B70D1">
        <w:rPr>
          <w:rFonts w:ascii="Calibri" w:hAnsi="Calibri"/>
          <w:b/>
          <w:sz w:val="28"/>
          <w:szCs w:val="28"/>
        </w:rPr>
        <w:t>:</w:t>
      </w:r>
    </w:p>
    <w:p w14:paraId="6BC92788" w14:textId="77777777" w:rsidR="00D92866" w:rsidRPr="002B70D1" w:rsidRDefault="00D92866" w:rsidP="001107B7"/>
    <w:p w14:paraId="696AC1F8" w14:textId="0CF4F745" w:rsidR="00D30F13" w:rsidRPr="002B70D1" w:rsidRDefault="00D30F13" w:rsidP="00D30F13">
      <w:pPr>
        <w:widowControl w:val="0"/>
        <w:autoSpaceDE w:val="0"/>
        <w:autoSpaceDN w:val="0"/>
        <w:adjustRightInd w:val="0"/>
        <w:rPr>
          <w:rFonts w:ascii="Calibri" w:hAnsi="Calibri"/>
        </w:rPr>
      </w:pPr>
      <w:r w:rsidRPr="002B70D1">
        <w:rPr>
          <w:rFonts w:ascii="Calibri" w:hAnsi="Calibri" w:cs="Arial"/>
          <w:bCs/>
        </w:rPr>
        <w:t xml:space="preserve">In this </w:t>
      </w:r>
      <w:r w:rsidR="00670E8D">
        <w:rPr>
          <w:rFonts w:ascii="Calibri" w:hAnsi="Calibri" w:cs="Arial"/>
          <w:bCs/>
        </w:rPr>
        <w:t xml:space="preserve">observational </w:t>
      </w:r>
      <w:r w:rsidRPr="002B70D1">
        <w:rPr>
          <w:rFonts w:ascii="Calibri" w:hAnsi="Calibri" w:cs="Arial"/>
          <w:bCs/>
        </w:rPr>
        <w:t>study of patients with dementia in the VA healthcare system, we found that starting a cholinesterase inhibitor was associated with a significant risk of 10-pound weight loss</w:t>
      </w:r>
      <w:r w:rsidR="002A4B0A">
        <w:rPr>
          <w:rFonts w:ascii="Calibri" w:hAnsi="Calibri" w:cs="Arial"/>
          <w:bCs/>
        </w:rPr>
        <w:t>, with a hazard ratio of 1.24 (95% CI 1.08-1.42)</w:t>
      </w:r>
      <w:r w:rsidRPr="002B70D1">
        <w:rPr>
          <w:rFonts w:ascii="Calibri" w:hAnsi="Calibri" w:cs="Arial"/>
          <w:bCs/>
        </w:rPr>
        <w:t xml:space="preserve">. </w:t>
      </w:r>
      <w:r w:rsidR="001A0A93">
        <w:rPr>
          <w:rFonts w:ascii="Calibri" w:hAnsi="Calibri"/>
        </w:rPr>
        <w:t>We did not find</w:t>
      </w:r>
      <w:r w:rsidR="002A4B0A" w:rsidRPr="002B70D1">
        <w:rPr>
          <w:rFonts w:ascii="Calibri" w:hAnsi="Calibri"/>
        </w:rPr>
        <w:t xml:space="preserve"> differences in the impact of cholinesterase inhibitor use on weight loss across </w:t>
      </w:r>
      <w:r w:rsidR="002A4B0A">
        <w:rPr>
          <w:rFonts w:ascii="Calibri" w:hAnsi="Calibri"/>
        </w:rPr>
        <w:t xml:space="preserve">subgroups of </w:t>
      </w:r>
      <w:r w:rsidR="002A4B0A" w:rsidRPr="002B70D1">
        <w:rPr>
          <w:rFonts w:ascii="Calibri" w:hAnsi="Calibri"/>
        </w:rPr>
        <w:t>age</w:t>
      </w:r>
      <w:r w:rsidR="002A4B0A">
        <w:rPr>
          <w:rFonts w:ascii="Calibri" w:hAnsi="Calibri"/>
        </w:rPr>
        <w:t xml:space="preserve">, </w:t>
      </w:r>
      <w:r w:rsidR="002A4B0A" w:rsidRPr="002B70D1">
        <w:rPr>
          <w:rFonts w:ascii="Calibri" w:hAnsi="Calibri"/>
        </w:rPr>
        <w:t>comorbid burden, or baseline weight</w:t>
      </w:r>
      <w:r w:rsidR="00E86653">
        <w:rPr>
          <w:rFonts w:ascii="Calibri" w:hAnsi="Calibri"/>
        </w:rPr>
        <w:t xml:space="preserve">. </w:t>
      </w:r>
      <w:r w:rsidRPr="002B70D1">
        <w:rPr>
          <w:rFonts w:ascii="Calibri" w:hAnsi="Calibri" w:cs="Arial"/>
          <w:bCs/>
        </w:rPr>
        <w:t xml:space="preserve">Substantially more patients prescribed cholinesterase inhibitors lost 10 </w:t>
      </w:r>
      <w:r w:rsidR="002A4B0A">
        <w:rPr>
          <w:rFonts w:ascii="Calibri" w:hAnsi="Calibri" w:cs="Arial"/>
          <w:bCs/>
        </w:rPr>
        <w:t xml:space="preserve">or more </w:t>
      </w:r>
      <w:r w:rsidRPr="002B70D1">
        <w:rPr>
          <w:rFonts w:ascii="Calibri" w:hAnsi="Calibri" w:cs="Arial"/>
          <w:bCs/>
        </w:rPr>
        <w:t>pounds</w:t>
      </w:r>
      <w:r w:rsidR="002A4B0A">
        <w:rPr>
          <w:rFonts w:ascii="Calibri" w:hAnsi="Calibri" w:cs="Arial"/>
          <w:bCs/>
        </w:rPr>
        <w:t xml:space="preserve"> compared to matched controls</w:t>
      </w:r>
      <w:r w:rsidRPr="002B70D1">
        <w:rPr>
          <w:rFonts w:ascii="Calibri" w:hAnsi="Calibri" w:cs="Arial"/>
          <w:bCs/>
        </w:rPr>
        <w:t>, corresponding to a number needed to harm of 18</w:t>
      </w:r>
      <w:r w:rsidR="001A0A93">
        <w:rPr>
          <w:rFonts w:ascii="Calibri" w:hAnsi="Calibri" w:cs="Arial"/>
          <w:bCs/>
        </w:rPr>
        <w:t xml:space="preserve"> (</w:t>
      </w:r>
      <w:r w:rsidR="00E71C57">
        <w:rPr>
          <w:rFonts w:ascii="Calibri" w:hAnsi="Calibri"/>
        </w:rPr>
        <w:t>95% CI 11.2 – 39.5</w:t>
      </w:r>
      <w:r w:rsidR="001A0A93">
        <w:rPr>
          <w:rFonts w:ascii="Calibri" w:hAnsi="Calibri" w:cs="Arial"/>
          <w:bCs/>
        </w:rPr>
        <w:t>)</w:t>
      </w:r>
      <w:r w:rsidRPr="002B70D1">
        <w:rPr>
          <w:rFonts w:ascii="Calibri" w:hAnsi="Calibri" w:cs="Arial"/>
          <w:bCs/>
        </w:rPr>
        <w:t xml:space="preserve">. </w:t>
      </w:r>
    </w:p>
    <w:p w14:paraId="50B89F2C" w14:textId="77777777" w:rsidR="00AE272F" w:rsidRPr="002B70D1" w:rsidRDefault="00AE272F" w:rsidP="00D30F13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14:paraId="4FEB905E" w14:textId="1093963A" w:rsidR="00E86653" w:rsidRPr="00C6053F" w:rsidRDefault="00AE272F" w:rsidP="00D30F13">
      <w:pPr>
        <w:widowControl w:val="0"/>
        <w:autoSpaceDE w:val="0"/>
        <w:autoSpaceDN w:val="0"/>
        <w:adjustRightInd w:val="0"/>
        <w:rPr>
          <w:rFonts w:ascii="Calibri" w:hAnsi="Calibri" w:cs="Arial"/>
          <w:bCs/>
        </w:rPr>
      </w:pPr>
      <w:r w:rsidRPr="00C6053F">
        <w:rPr>
          <w:rFonts w:ascii="Calibri" w:hAnsi="Calibri" w:cs="Arial"/>
          <w:bCs/>
        </w:rPr>
        <w:t xml:space="preserve">These </w:t>
      </w:r>
      <w:r w:rsidR="00235C2A" w:rsidRPr="00C6053F">
        <w:rPr>
          <w:rFonts w:ascii="Calibri" w:hAnsi="Calibri" w:cs="Arial"/>
          <w:bCs/>
        </w:rPr>
        <w:t xml:space="preserve">findings are consistent with prior studies that </w:t>
      </w:r>
      <w:r w:rsidR="00C6053F" w:rsidRPr="00C6053F">
        <w:rPr>
          <w:rFonts w:ascii="Calibri" w:hAnsi="Calibri" w:cs="Arial"/>
          <w:bCs/>
        </w:rPr>
        <w:t>shown</w:t>
      </w:r>
      <w:r w:rsidR="00235C2A" w:rsidRPr="00C6053F">
        <w:rPr>
          <w:rFonts w:ascii="Calibri" w:hAnsi="Calibri" w:cs="Arial"/>
          <w:bCs/>
        </w:rPr>
        <w:t xml:space="preserve"> weight loss </w:t>
      </w:r>
      <w:r w:rsidR="00C6053F" w:rsidRPr="00C6053F">
        <w:rPr>
          <w:rFonts w:ascii="Calibri" w:hAnsi="Calibri" w:cs="Arial"/>
          <w:bCs/>
        </w:rPr>
        <w:t xml:space="preserve">in some patients in clinical trials prescribed </w:t>
      </w:r>
      <w:r w:rsidR="00235C2A" w:rsidRPr="00C6053F">
        <w:rPr>
          <w:rFonts w:ascii="Calibri" w:hAnsi="Calibri" w:cs="Arial"/>
          <w:bCs/>
        </w:rPr>
        <w:t>cholinesterase inhibitors.</w:t>
      </w:r>
      <w:r w:rsidR="00E86653" w:rsidRPr="00C6053F">
        <w:rPr>
          <w:rFonts w:ascii="Calibri" w:hAnsi="Calibri" w:cs="Arial"/>
          <w:bCs/>
        </w:rPr>
        <w:t xml:space="preserve"> However, </w:t>
      </w:r>
      <w:r w:rsidR="00C6053F" w:rsidRPr="00C6053F">
        <w:rPr>
          <w:rFonts w:ascii="Calibri" w:hAnsi="Calibri" w:cs="Arial"/>
          <w:bCs/>
        </w:rPr>
        <w:t>o</w:t>
      </w:r>
      <w:r w:rsidR="00E86653" w:rsidRPr="00C6053F">
        <w:rPr>
          <w:rFonts w:ascii="Calibri" w:hAnsi="Calibri" w:cs="Arial"/>
          <w:bCs/>
        </w:rPr>
        <w:t>ur study provides evidence in a large, real-world population that patients with dementia starting cholinesterase inhibitors may experience clinically significant weight loss.</w:t>
      </w:r>
    </w:p>
    <w:p w14:paraId="3E5E2EC0" w14:textId="529D96F3" w:rsidR="00D30F13" w:rsidRPr="00C6053F" w:rsidRDefault="00D30F13" w:rsidP="00D30F13">
      <w:pPr>
        <w:widowControl w:val="0"/>
        <w:autoSpaceDE w:val="0"/>
        <w:autoSpaceDN w:val="0"/>
        <w:adjustRightInd w:val="0"/>
        <w:rPr>
          <w:rFonts w:ascii="Calibri" w:hAnsi="Calibri" w:cs="Arial"/>
          <w:bCs/>
        </w:rPr>
      </w:pPr>
      <w:r w:rsidRPr="00C6053F">
        <w:rPr>
          <w:rFonts w:ascii="Calibri" w:hAnsi="Calibri" w:cs="Arial"/>
          <w:bCs/>
        </w:rPr>
        <w:t>A meta-analysis of randomized controlled tria</w:t>
      </w:r>
      <w:r w:rsidR="00284493">
        <w:rPr>
          <w:rFonts w:ascii="Calibri" w:hAnsi="Calibri" w:cs="Arial"/>
          <w:bCs/>
        </w:rPr>
        <w:t>ls of cholinesterase inhibitors</w:t>
      </w:r>
      <w:r w:rsidR="00284493" w:rsidRPr="00284493">
        <w:rPr>
          <w:rFonts w:ascii="Calibri" w:hAnsi="Calibri" w:cs="Arial"/>
          <w:bCs/>
          <w:vertAlign w:val="superscript"/>
        </w:rPr>
        <w:t>4</w:t>
      </w:r>
      <w:r w:rsidR="00284493">
        <w:rPr>
          <w:rFonts w:ascii="Calibri" w:hAnsi="Calibri" w:cs="Arial"/>
          <w:bCs/>
        </w:rPr>
        <w:t xml:space="preserve"> </w:t>
      </w:r>
      <w:r w:rsidRPr="00C6053F">
        <w:rPr>
          <w:rFonts w:ascii="Calibri" w:hAnsi="Calibri" w:cs="Arial"/>
          <w:bCs/>
        </w:rPr>
        <w:t xml:space="preserve">found four studies of donepezil that had weight loss adverse events that reached statistical significance, three of </w:t>
      </w:r>
      <w:proofErr w:type="spellStart"/>
      <w:r w:rsidRPr="00C6053F">
        <w:rPr>
          <w:rFonts w:ascii="Calibri" w:hAnsi="Calibri" w:cs="Arial"/>
          <w:bCs/>
        </w:rPr>
        <w:t>rivastigmine</w:t>
      </w:r>
      <w:proofErr w:type="spellEnd"/>
      <w:r w:rsidRPr="00C6053F">
        <w:rPr>
          <w:rFonts w:ascii="Calibri" w:hAnsi="Calibri" w:cs="Arial"/>
          <w:bCs/>
        </w:rPr>
        <w:t xml:space="preserve">, and six of </w:t>
      </w:r>
      <w:proofErr w:type="spellStart"/>
      <w:r w:rsidRPr="00C6053F">
        <w:rPr>
          <w:rFonts w:ascii="Calibri" w:hAnsi="Calibri" w:cs="Arial"/>
          <w:bCs/>
        </w:rPr>
        <w:t>galanatmine</w:t>
      </w:r>
      <w:proofErr w:type="spellEnd"/>
      <w:r w:rsidRPr="00C6053F">
        <w:rPr>
          <w:rFonts w:ascii="Calibri" w:hAnsi="Calibri" w:cs="Arial"/>
          <w:bCs/>
        </w:rPr>
        <w:t xml:space="preserve">. However the definitions of weight loss in each study may not have been the same, and overall sample sizes were small. Weight loss associated with </w:t>
      </w:r>
      <w:proofErr w:type="spellStart"/>
      <w:r w:rsidRPr="00C6053F">
        <w:rPr>
          <w:rFonts w:ascii="Calibri" w:hAnsi="Calibri" w:cs="Arial"/>
          <w:bCs/>
        </w:rPr>
        <w:t>galantamine</w:t>
      </w:r>
      <w:proofErr w:type="spellEnd"/>
      <w:r w:rsidRPr="00C6053F">
        <w:rPr>
          <w:rFonts w:ascii="Calibri" w:hAnsi="Calibri" w:cs="Arial"/>
          <w:bCs/>
        </w:rPr>
        <w:t xml:space="preserve"> was examined in a observational study in France</w:t>
      </w:r>
      <w:proofErr w:type="gramStart"/>
      <w:r w:rsidRPr="00C6053F">
        <w:rPr>
          <w:rFonts w:ascii="Calibri" w:hAnsi="Calibri" w:cs="Arial"/>
          <w:bCs/>
        </w:rPr>
        <w:t>;</w:t>
      </w:r>
      <w:r w:rsidR="00284493" w:rsidRPr="00284493">
        <w:rPr>
          <w:rFonts w:ascii="Calibri" w:hAnsi="Calibri" w:cs="Arial"/>
          <w:bCs/>
          <w:vertAlign w:val="superscript"/>
        </w:rPr>
        <w:t>10</w:t>
      </w:r>
      <w:proofErr w:type="gramEnd"/>
      <w:r w:rsidRPr="00284493">
        <w:rPr>
          <w:rFonts w:ascii="Calibri" w:hAnsi="Calibri" w:cs="Arial"/>
          <w:bCs/>
          <w:vertAlign w:val="superscript"/>
        </w:rPr>
        <w:t xml:space="preserve"> </w:t>
      </w:r>
      <w:r w:rsidRPr="00C6053F">
        <w:rPr>
          <w:rFonts w:ascii="Calibri" w:hAnsi="Calibri" w:cs="Arial"/>
          <w:bCs/>
        </w:rPr>
        <w:t xml:space="preserve">a significant difference in weight loss was not found, though the patients </w:t>
      </w:r>
      <w:r w:rsidR="00E86653" w:rsidRPr="00C6053F">
        <w:rPr>
          <w:rFonts w:ascii="Calibri" w:hAnsi="Calibri" w:cs="Arial"/>
          <w:bCs/>
        </w:rPr>
        <w:t xml:space="preserve">in the </w:t>
      </w:r>
      <w:proofErr w:type="spellStart"/>
      <w:r w:rsidR="00C6053F">
        <w:rPr>
          <w:rFonts w:ascii="Calibri" w:hAnsi="Calibri" w:cs="Arial"/>
          <w:bCs/>
        </w:rPr>
        <w:t>comparision</w:t>
      </w:r>
      <w:proofErr w:type="spellEnd"/>
      <w:r w:rsidR="00C6053F">
        <w:rPr>
          <w:rFonts w:ascii="Calibri" w:hAnsi="Calibri" w:cs="Arial"/>
          <w:bCs/>
        </w:rPr>
        <w:t xml:space="preserve"> group </w:t>
      </w:r>
      <w:r w:rsidR="00E86653" w:rsidRPr="00C6053F">
        <w:rPr>
          <w:rFonts w:ascii="Calibri" w:hAnsi="Calibri" w:cs="Arial"/>
          <w:bCs/>
        </w:rPr>
        <w:t xml:space="preserve">were </w:t>
      </w:r>
      <w:r w:rsidRPr="00C6053F">
        <w:rPr>
          <w:rFonts w:ascii="Calibri" w:hAnsi="Calibri" w:cs="Arial"/>
          <w:bCs/>
        </w:rPr>
        <w:t xml:space="preserve">prescribed </w:t>
      </w:r>
      <w:r w:rsidR="00E86653" w:rsidRPr="00C6053F">
        <w:rPr>
          <w:rFonts w:ascii="Calibri" w:hAnsi="Calibri" w:cs="Arial"/>
          <w:bCs/>
        </w:rPr>
        <w:t>a</w:t>
      </w:r>
      <w:r w:rsidR="00C6053F">
        <w:rPr>
          <w:rFonts w:ascii="Calibri" w:hAnsi="Calibri" w:cs="Arial"/>
          <w:bCs/>
        </w:rPr>
        <w:t xml:space="preserve">n alternate </w:t>
      </w:r>
      <w:r w:rsidRPr="00C6053F">
        <w:rPr>
          <w:rFonts w:ascii="Calibri" w:hAnsi="Calibri" w:cs="Arial"/>
          <w:bCs/>
        </w:rPr>
        <w:t xml:space="preserve">cholinesterase inhibitor, and weight was infrequently assessed. </w:t>
      </w:r>
    </w:p>
    <w:p w14:paraId="7554BB19" w14:textId="77777777" w:rsidR="00D30F13" w:rsidRPr="002B70D1" w:rsidRDefault="00D30F13" w:rsidP="00D30F13">
      <w:pPr>
        <w:widowControl w:val="0"/>
        <w:autoSpaceDE w:val="0"/>
        <w:autoSpaceDN w:val="0"/>
        <w:adjustRightInd w:val="0"/>
        <w:rPr>
          <w:rFonts w:ascii="Calibri" w:hAnsi="Calibri" w:cs="Arial"/>
          <w:bCs/>
        </w:rPr>
      </w:pPr>
    </w:p>
    <w:p w14:paraId="4E9AA8E4" w14:textId="624D6553" w:rsidR="00D30F13" w:rsidRPr="0072450A" w:rsidRDefault="004135BC" w:rsidP="0072450A">
      <w:pPr>
        <w:widowControl w:val="0"/>
        <w:autoSpaceDE w:val="0"/>
        <w:autoSpaceDN w:val="0"/>
        <w:adjustRightInd w:val="0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Our</w:t>
      </w:r>
      <w:r w:rsidRPr="002B70D1">
        <w:rPr>
          <w:rFonts w:ascii="Calibri" w:hAnsi="Calibri" w:cs="Arial"/>
          <w:bCs/>
        </w:rPr>
        <w:t xml:space="preserve"> </w:t>
      </w:r>
      <w:r w:rsidR="00D30F13" w:rsidRPr="002B70D1">
        <w:rPr>
          <w:rFonts w:ascii="Calibri" w:hAnsi="Calibri" w:cs="Arial"/>
          <w:bCs/>
        </w:rPr>
        <w:t xml:space="preserve">study has some limitations. </w:t>
      </w:r>
      <w:r w:rsidR="0072450A">
        <w:rPr>
          <w:rFonts w:ascii="Calibri" w:hAnsi="Calibri" w:cs="Arial"/>
          <w:bCs/>
        </w:rPr>
        <w:t>A</w:t>
      </w:r>
      <w:r w:rsidR="0072450A" w:rsidRPr="0072450A">
        <w:rPr>
          <w:rFonts w:ascii="Calibri" w:hAnsi="Calibri" w:cs="Arial"/>
          <w:bCs/>
        </w:rPr>
        <w:t xml:space="preserve"> measure of cognitive function was not available in national VA data sources</w:t>
      </w:r>
      <w:r w:rsidR="00965564">
        <w:rPr>
          <w:rFonts w:ascii="Calibri" w:hAnsi="Calibri" w:cs="Arial"/>
          <w:bCs/>
        </w:rPr>
        <w:t xml:space="preserve">, </w:t>
      </w:r>
      <w:r w:rsidR="0072450A">
        <w:rPr>
          <w:rFonts w:ascii="Calibri" w:hAnsi="Calibri" w:cs="Arial"/>
        </w:rPr>
        <w:t xml:space="preserve">and </w:t>
      </w:r>
      <w:r w:rsidR="00965564">
        <w:rPr>
          <w:rFonts w:ascii="Calibri" w:hAnsi="Calibri" w:cs="Arial"/>
        </w:rPr>
        <w:t>pa</w:t>
      </w:r>
      <w:r w:rsidR="0072450A">
        <w:rPr>
          <w:rFonts w:ascii="Calibri" w:hAnsi="Calibri" w:cs="Arial"/>
        </w:rPr>
        <w:t>tients with severe dementia may experience weight loss due to the</w:t>
      </w:r>
      <w:r w:rsidR="00965564">
        <w:rPr>
          <w:rFonts w:ascii="Calibri" w:hAnsi="Calibri" w:cs="Arial"/>
        </w:rPr>
        <w:t>ir</w:t>
      </w:r>
      <w:r w:rsidR="0072450A">
        <w:rPr>
          <w:rFonts w:ascii="Calibri" w:hAnsi="Calibri" w:cs="Arial"/>
        </w:rPr>
        <w:t xml:space="preserve"> underlying disease</w:t>
      </w:r>
      <w:r w:rsidR="00965564">
        <w:rPr>
          <w:rFonts w:ascii="Calibri" w:hAnsi="Calibri" w:cs="Arial"/>
        </w:rPr>
        <w:t>.</w:t>
      </w:r>
      <w:r w:rsidR="0072450A">
        <w:rPr>
          <w:rFonts w:ascii="Calibri" w:hAnsi="Calibri" w:cs="Arial"/>
          <w:bCs/>
        </w:rPr>
        <w:t xml:space="preserve"> </w:t>
      </w:r>
      <w:r w:rsidR="00965564">
        <w:rPr>
          <w:rFonts w:ascii="Calibri" w:hAnsi="Calibri" w:cs="Arial"/>
        </w:rPr>
        <w:t>To help account for this, w</w:t>
      </w:r>
      <w:r w:rsidR="00D30F13" w:rsidRPr="002B70D1">
        <w:rPr>
          <w:rFonts w:ascii="Calibri" w:hAnsi="Calibri" w:cs="Arial"/>
        </w:rPr>
        <w:t xml:space="preserve">e </w:t>
      </w:r>
      <w:r w:rsidR="00965564">
        <w:rPr>
          <w:rFonts w:ascii="Calibri" w:hAnsi="Calibri" w:cs="Arial"/>
        </w:rPr>
        <w:t xml:space="preserve">only included patients who had stable weights within +/- 10 pounds in the year prior. Furthermore, we </w:t>
      </w:r>
      <w:r w:rsidR="00D30F13" w:rsidRPr="002B70D1">
        <w:rPr>
          <w:rFonts w:ascii="Calibri" w:hAnsi="Calibri" w:cs="Arial"/>
        </w:rPr>
        <w:t xml:space="preserve">matched patients </w:t>
      </w:r>
      <w:r w:rsidR="00965564">
        <w:rPr>
          <w:rFonts w:ascii="Calibri" w:hAnsi="Calibri" w:cs="Arial"/>
        </w:rPr>
        <w:t xml:space="preserve">specifically on their baseline weight and </w:t>
      </w:r>
      <w:r w:rsidR="0072450A">
        <w:rPr>
          <w:rFonts w:ascii="Calibri" w:hAnsi="Calibri" w:cs="Arial"/>
        </w:rPr>
        <w:t>weight trajectory</w:t>
      </w:r>
      <w:r w:rsidR="00965564">
        <w:rPr>
          <w:rFonts w:ascii="Calibri" w:hAnsi="Calibri" w:cs="Arial"/>
        </w:rPr>
        <w:t xml:space="preserve"> in the past year, in addition to the intensity of medical care they were receiving and degree of comorbid burden. </w:t>
      </w:r>
      <w:r w:rsidR="00D30F13" w:rsidRPr="002B70D1">
        <w:rPr>
          <w:rFonts w:ascii="Calibri" w:hAnsi="Calibri" w:cs="Arial"/>
        </w:rPr>
        <w:t xml:space="preserve">The study sample included mainly older male veterans, thus these findings may not be generalizable to women. We did not find a specific subgroup in which starting cholinesterase inhibitors had a higher risk of weight loss, however we may have been underpowered to find these interactions.  </w:t>
      </w:r>
      <w:r w:rsidR="00D30F13" w:rsidRPr="002B70D1">
        <w:rPr>
          <w:rFonts w:ascii="Calibri" w:hAnsi="Calibri" w:cs="Arial"/>
          <w:b/>
          <w:bCs/>
        </w:rPr>
        <w:t xml:space="preserve"> </w:t>
      </w:r>
    </w:p>
    <w:p w14:paraId="1E4E0195" w14:textId="77777777" w:rsidR="00D30F13" w:rsidRPr="002B70D1" w:rsidRDefault="00D30F13" w:rsidP="00D30F13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</w:rPr>
      </w:pPr>
    </w:p>
    <w:p w14:paraId="72D8275B" w14:textId="6754FF34" w:rsidR="00D30F13" w:rsidRPr="001A0A93" w:rsidRDefault="001A0A93" w:rsidP="008B3F73">
      <w:pPr>
        <w:widowControl w:val="0"/>
        <w:autoSpaceDE w:val="0"/>
        <w:autoSpaceDN w:val="0"/>
        <w:adjustRightInd w:val="0"/>
      </w:pPr>
      <w:r w:rsidRPr="002B70D1">
        <w:rPr>
          <w:rFonts w:ascii="Calibri" w:hAnsi="Calibri" w:cs="Arial"/>
          <w:bCs/>
        </w:rPr>
        <w:t xml:space="preserve">This study provides more information about the possible harm of weight loss, which </w:t>
      </w:r>
      <w:r>
        <w:rPr>
          <w:rFonts w:ascii="Calibri" w:hAnsi="Calibri" w:cs="Arial"/>
          <w:bCs/>
        </w:rPr>
        <w:t>clinicians should take into account</w:t>
      </w:r>
      <w:r w:rsidRPr="002B70D1"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>when prescribing a</w:t>
      </w:r>
      <w:r w:rsidRPr="002B70D1">
        <w:rPr>
          <w:rFonts w:ascii="Calibri" w:hAnsi="Calibri" w:cs="Arial"/>
          <w:bCs/>
        </w:rPr>
        <w:t xml:space="preserve"> cholinesterase inhibitor.</w:t>
      </w:r>
      <w:r>
        <w:t xml:space="preserve"> </w:t>
      </w:r>
      <w:r w:rsidR="00D30F13" w:rsidRPr="002B70D1">
        <w:rPr>
          <w:rFonts w:ascii="Calibri" w:hAnsi="Calibri" w:cs="Arial"/>
          <w:bCs/>
        </w:rPr>
        <w:t xml:space="preserve">Patients with dementia started on cholinesterase inhibitors had a substantially higher risk of clinically significant weight loss over a </w:t>
      </w:r>
      <w:r w:rsidR="00836F55" w:rsidRPr="002B70D1">
        <w:rPr>
          <w:rFonts w:ascii="Calibri" w:hAnsi="Calibri" w:cs="Arial"/>
          <w:bCs/>
        </w:rPr>
        <w:t>12-month</w:t>
      </w:r>
      <w:r w:rsidR="00D30F13" w:rsidRPr="002B70D1">
        <w:rPr>
          <w:rFonts w:ascii="Calibri" w:hAnsi="Calibri" w:cs="Arial"/>
          <w:bCs/>
        </w:rPr>
        <w:t xml:space="preserve"> period compared to matched controls. Clinicians should </w:t>
      </w:r>
      <w:r w:rsidR="00836F55">
        <w:rPr>
          <w:rFonts w:ascii="Calibri" w:hAnsi="Calibri" w:cs="Arial"/>
          <w:bCs/>
        </w:rPr>
        <w:t>take into account</w:t>
      </w:r>
      <w:r w:rsidR="00836F55" w:rsidRPr="002B70D1">
        <w:rPr>
          <w:rFonts w:ascii="Calibri" w:hAnsi="Calibri" w:cs="Arial"/>
          <w:bCs/>
        </w:rPr>
        <w:t xml:space="preserve"> </w:t>
      </w:r>
      <w:r w:rsidR="00D30F13" w:rsidRPr="002B70D1">
        <w:rPr>
          <w:rFonts w:ascii="Calibri" w:hAnsi="Calibri" w:cs="Arial"/>
          <w:bCs/>
        </w:rPr>
        <w:t xml:space="preserve">the risk of weight loss when </w:t>
      </w:r>
      <w:r w:rsidR="00836F55">
        <w:rPr>
          <w:rFonts w:ascii="Calibri" w:hAnsi="Calibri" w:cs="Arial"/>
          <w:bCs/>
        </w:rPr>
        <w:t xml:space="preserve">weighing the risks and benefits of </w:t>
      </w:r>
      <w:r w:rsidR="00D30F13" w:rsidRPr="002B70D1">
        <w:rPr>
          <w:rFonts w:ascii="Calibri" w:hAnsi="Calibri" w:cs="Arial"/>
          <w:bCs/>
        </w:rPr>
        <w:t>prescrib</w:t>
      </w:r>
      <w:r w:rsidR="00836F55">
        <w:rPr>
          <w:rFonts w:ascii="Calibri" w:hAnsi="Calibri" w:cs="Arial"/>
          <w:bCs/>
        </w:rPr>
        <w:t xml:space="preserve">ing </w:t>
      </w:r>
      <w:r w:rsidR="00D30F13" w:rsidRPr="002B70D1">
        <w:rPr>
          <w:rFonts w:ascii="Calibri" w:hAnsi="Calibri" w:cs="Arial"/>
          <w:bCs/>
        </w:rPr>
        <w:t>cholinesterase inhibitors in patients with dementia</w:t>
      </w:r>
      <w:r w:rsidR="00186D14">
        <w:rPr>
          <w:rFonts w:ascii="Calibri" w:hAnsi="Calibri" w:cs="Arial"/>
          <w:bCs/>
        </w:rPr>
        <w:t xml:space="preserve">. In addition, clinicians should </w:t>
      </w:r>
      <w:r w:rsidR="00836F55">
        <w:rPr>
          <w:rFonts w:ascii="Calibri" w:hAnsi="Calibri" w:cs="Arial"/>
          <w:bCs/>
        </w:rPr>
        <w:t xml:space="preserve">monitor for weight loss </w:t>
      </w:r>
      <w:r w:rsidR="0072450A">
        <w:rPr>
          <w:rFonts w:ascii="Calibri" w:hAnsi="Calibri" w:cs="Arial"/>
          <w:bCs/>
        </w:rPr>
        <w:t>if</w:t>
      </w:r>
      <w:r w:rsidR="00836F55">
        <w:rPr>
          <w:rFonts w:ascii="Calibri" w:hAnsi="Calibri" w:cs="Arial"/>
          <w:bCs/>
        </w:rPr>
        <w:t xml:space="preserve"> </w:t>
      </w:r>
      <w:r w:rsidR="0072450A">
        <w:rPr>
          <w:rFonts w:ascii="Calibri" w:hAnsi="Calibri" w:cs="Arial"/>
          <w:bCs/>
        </w:rPr>
        <w:t>these medications are prescribed</w:t>
      </w:r>
      <w:r w:rsidR="00836F55">
        <w:rPr>
          <w:rFonts w:ascii="Calibri" w:hAnsi="Calibri" w:cs="Arial"/>
          <w:bCs/>
        </w:rPr>
        <w:t xml:space="preserve">, </w:t>
      </w:r>
      <w:r w:rsidR="00D30F13" w:rsidRPr="002B70D1">
        <w:rPr>
          <w:rFonts w:ascii="Calibri" w:hAnsi="Calibri" w:cs="Arial"/>
          <w:bCs/>
        </w:rPr>
        <w:t xml:space="preserve">and consider </w:t>
      </w:r>
      <w:r w:rsidR="00836F55">
        <w:rPr>
          <w:rFonts w:ascii="Calibri" w:hAnsi="Calibri" w:cs="Arial"/>
          <w:bCs/>
        </w:rPr>
        <w:t xml:space="preserve">discontinuing </w:t>
      </w:r>
      <w:r w:rsidR="00836F55" w:rsidRPr="002B70D1">
        <w:rPr>
          <w:rFonts w:ascii="Calibri" w:hAnsi="Calibri" w:cs="Arial"/>
          <w:bCs/>
        </w:rPr>
        <w:t>cholinesterase inhibitor</w:t>
      </w:r>
      <w:r w:rsidR="0072450A">
        <w:rPr>
          <w:rFonts w:ascii="Calibri" w:hAnsi="Calibri" w:cs="Arial"/>
          <w:bCs/>
        </w:rPr>
        <w:t>s</w:t>
      </w:r>
      <w:r w:rsidR="00836F55">
        <w:rPr>
          <w:rFonts w:ascii="Calibri" w:hAnsi="Calibri" w:cs="Arial"/>
          <w:bCs/>
        </w:rPr>
        <w:t xml:space="preserve"> </w:t>
      </w:r>
      <w:r w:rsidR="00D30F13" w:rsidRPr="002B70D1">
        <w:rPr>
          <w:rFonts w:ascii="Calibri" w:hAnsi="Calibri" w:cs="Arial"/>
          <w:bCs/>
        </w:rPr>
        <w:t xml:space="preserve">if </w:t>
      </w:r>
      <w:r w:rsidR="00186D14">
        <w:rPr>
          <w:rFonts w:ascii="Calibri" w:hAnsi="Calibri" w:cs="Arial"/>
          <w:bCs/>
        </w:rPr>
        <w:t xml:space="preserve">significant </w:t>
      </w:r>
      <w:r w:rsidR="00D30F13" w:rsidRPr="002B70D1">
        <w:rPr>
          <w:rFonts w:ascii="Calibri" w:hAnsi="Calibri" w:cs="Arial"/>
          <w:bCs/>
        </w:rPr>
        <w:t>weight loss occurs.</w:t>
      </w:r>
    </w:p>
    <w:p w14:paraId="6C1378AF" w14:textId="77777777" w:rsidR="001A0A93" w:rsidRDefault="001A0A93" w:rsidP="008B3F73">
      <w:pPr>
        <w:widowControl w:val="0"/>
        <w:autoSpaceDE w:val="0"/>
        <w:autoSpaceDN w:val="0"/>
        <w:adjustRightInd w:val="0"/>
        <w:rPr>
          <w:rFonts w:ascii="Calibri" w:hAnsi="Calibri" w:cs="Arial"/>
          <w:bCs/>
        </w:rPr>
      </w:pPr>
    </w:p>
    <w:p w14:paraId="266D72F3" w14:textId="77777777" w:rsidR="009B7AA5" w:rsidRDefault="009B7AA5" w:rsidP="008B3F73">
      <w:pPr>
        <w:widowControl w:val="0"/>
        <w:autoSpaceDE w:val="0"/>
        <w:autoSpaceDN w:val="0"/>
        <w:adjustRightInd w:val="0"/>
        <w:rPr>
          <w:rFonts w:ascii="Calibri" w:hAnsi="Calibri" w:cs="Arial"/>
          <w:bCs/>
        </w:rPr>
      </w:pPr>
    </w:p>
    <w:p w14:paraId="4FDF8C19" w14:textId="77777777" w:rsidR="009B7AA5" w:rsidRDefault="009B7AA5" w:rsidP="008B3F73">
      <w:pPr>
        <w:widowControl w:val="0"/>
        <w:autoSpaceDE w:val="0"/>
        <w:autoSpaceDN w:val="0"/>
        <w:adjustRightInd w:val="0"/>
        <w:rPr>
          <w:rFonts w:ascii="Calibri" w:hAnsi="Calibri" w:cs="Arial"/>
          <w:bCs/>
        </w:rPr>
      </w:pPr>
    </w:p>
    <w:p w14:paraId="3BF2940E" w14:textId="77777777" w:rsidR="00D006CE" w:rsidRDefault="00D006CE" w:rsidP="008B3F73">
      <w:pPr>
        <w:widowControl w:val="0"/>
        <w:autoSpaceDE w:val="0"/>
        <w:autoSpaceDN w:val="0"/>
        <w:adjustRightInd w:val="0"/>
        <w:rPr>
          <w:rFonts w:ascii="Calibri" w:hAnsi="Calibri" w:cs="Arial"/>
          <w:bCs/>
        </w:rPr>
      </w:pPr>
    </w:p>
    <w:p w14:paraId="37C67D19" w14:textId="77777777" w:rsidR="008935BB" w:rsidRDefault="008935BB" w:rsidP="008B3F73">
      <w:pPr>
        <w:widowControl w:val="0"/>
        <w:autoSpaceDE w:val="0"/>
        <w:autoSpaceDN w:val="0"/>
        <w:adjustRightInd w:val="0"/>
        <w:rPr>
          <w:rFonts w:ascii="Calibri" w:hAnsi="Calibri" w:cs="Arial"/>
          <w:bCs/>
        </w:rPr>
      </w:pPr>
    </w:p>
    <w:p w14:paraId="7668A938" w14:textId="77777777" w:rsidR="009B7AA5" w:rsidRPr="00043AC9" w:rsidRDefault="009B7AA5" w:rsidP="009B7AA5">
      <w:pPr>
        <w:rPr>
          <w:b/>
        </w:rPr>
      </w:pPr>
      <w:r>
        <w:rPr>
          <w:b/>
        </w:rPr>
        <w:t>Table 1:</w:t>
      </w:r>
      <w:r w:rsidRPr="00043AC9">
        <w:rPr>
          <w:b/>
        </w:rPr>
        <w:t xml:space="preserve"> Characteristics of Participants  (Unmatched Cohort), N = 6,504</w:t>
      </w:r>
    </w:p>
    <w:tbl>
      <w:tblPr>
        <w:tblStyle w:val="TableGrid"/>
        <w:tblpPr w:leftFromText="180" w:rightFromText="180" w:vertAnchor="page" w:horzAnchor="page" w:tblpX="1549" w:tblpY="1801"/>
        <w:tblW w:w="9711" w:type="dxa"/>
        <w:tblLayout w:type="fixed"/>
        <w:tblLook w:val="04A0" w:firstRow="1" w:lastRow="0" w:firstColumn="1" w:lastColumn="0" w:noHBand="0" w:noVBand="1"/>
      </w:tblPr>
      <w:tblGrid>
        <w:gridCol w:w="4698"/>
        <w:gridCol w:w="1890"/>
        <w:gridCol w:w="2070"/>
        <w:gridCol w:w="1053"/>
      </w:tblGrid>
      <w:tr w:rsidR="009B7AA5" w:rsidRPr="009B7AA5" w14:paraId="1730C9A1" w14:textId="77777777" w:rsidTr="009B7AA5">
        <w:trPr>
          <w:trHeight w:val="1159"/>
        </w:trPr>
        <w:tc>
          <w:tcPr>
            <w:tcW w:w="4698" w:type="dxa"/>
          </w:tcPr>
          <w:p w14:paraId="2830B817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  <w:b/>
              </w:rPr>
            </w:pPr>
          </w:p>
          <w:p w14:paraId="70130FD0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b/>
              </w:rPr>
              <w:t>Characteristic</w:t>
            </w:r>
          </w:p>
        </w:tc>
        <w:tc>
          <w:tcPr>
            <w:tcW w:w="1890" w:type="dxa"/>
            <w:vAlign w:val="bottom"/>
          </w:tcPr>
          <w:p w14:paraId="26528704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  <w:b/>
              </w:rPr>
            </w:pPr>
            <w:r w:rsidRPr="009B7AA5">
              <w:rPr>
                <w:rFonts w:asciiTheme="majorHAnsi" w:hAnsiTheme="majorHAnsi"/>
                <w:b/>
              </w:rPr>
              <w:t>Cholinesterase</w:t>
            </w:r>
          </w:p>
          <w:p w14:paraId="47126005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  <w:b/>
              </w:rPr>
            </w:pPr>
            <w:r w:rsidRPr="009B7AA5">
              <w:rPr>
                <w:rFonts w:asciiTheme="majorHAnsi" w:hAnsiTheme="majorHAnsi"/>
                <w:b/>
              </w:rPr>
              <w:t>New User</w:t>
            </w:r>
          </w:p>
          <w:p w14:paraId="26FA892B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b/>
              </w:rPr>
              <w:t>N = 1,190</w:t>
            </w:r>
          </w:p>
        </w:tc>
        <w:tc>
          <w:tcPr>
            <w:tcW w:w="2070" w:type="dxa"/>
            <w:vAlign w:val="bottom"/>
          </w:tcPr>
          <w:p w14:paraId="746CF8EE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  <w:b/>
              </w:rPr>
            </w:pPr>
            <w:r w:rsidRPr="009B7AA5">
              <w:rPr>
                <w:rFonts w:asciiTheme="majorHAnsi" w:hAnsiTheme="majorHAnsi"/>
                <w:b/>
              </w:rPr>
              <w:t>Non-Cholinesterase</w:t>
            </w:r>
          </w:p>
          <w:p w14:paraId="1396B926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  <w:b/>
              </w:rPr>
            </w:pPr>
            <w:r w:rsidRPr="009B7AA5">
              <w:rPr>
                <w:rFonts w:asciiTheme="majorHAnsi" w:hAnsiTheme="majorHAnsi"/>
                <w:b/>
              </w:rPr>
              <w:t>New User</w:t>
            </w:r>
          </w:p>
          <w:p w14:paraId="1849B5DB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b/>
              </w:rPr>
              <w:t>N = 5314</w:t>
            </w:r>
          </w:p>
        </w:tc>
        <w:tc>
          <w:tcPr>
            <w:tcW w:w="1053" w:type="dxa"/>
          </w:tcPr>
          <w:p w14:paraId="5ED25E3C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  <w:b/>
              </w:rPr>
            </w:pPr>
          </w:p>
          <w:p w14:paraId="47760F2B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  <w:b/>
              </w:rPr>
            </w:pPr>
            <w:proofErr w:type="gramStart"/>
            <w:r w:rsidRPr="009B7AA5">
              <w:rPr>
                <w:rFonts w:asciiTheme="majorHAnsi" w:hAnsiTheme="majorHAnsi"/>
                <w:b/>
              </w:rPr>
              <w:t>p</w:t>
            </w:r>
            <w:proofErr w:type="gramEnd"/>
            <w:r w:rsidRPr="009B7AA5">
              <w:rPr>
                <w:rFonts w:asciiTheme="majorHAnsi" w:hAnsiTheme="majorHAnsi"/>
                <w:b/>
              </w:rPr>
              <w:t>-value</w:t>
            </w:r>
          </w:p>
        </w:tc>
      </w:tr>
      <w:tr w:rsidR="009B7AA5" w:rsidRPr="009B7AA5" w14:paraId="2F13E14F" w14:textId="77777777" w:rsidTr="009B7AA5">
        <w:trPr>
          <w:trHeight w:val="556"/>
        </w:trPr>
        <w:tc>
          <w:tcPr>
            <w:tcW w:w="4698" w:type="dxa"/>
          </w:tcPr>
          <w:p w14:paraId="45B3D345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Age, mean (SD)</w:t>
            </w:r>
          </w:p>
        </w:tc>
        <w:tc>
          <w:tcPr>
            <w:tcW w:w="1890" w:type="dxa"/>
          </w:tcPr>
          <w:p w14:paraId="1EBCD73C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77.9 (6.3)</w:t>
            </w:r>
          </w:p>
        </w:tc>
        <w:tc>
          <w:tcPr>
            <w:tcW w:w="2070" w:type="dxa"/>
          </w:tcPr>
          <w:p w14:paraId="4D99D21E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76.6 (6.8)</w:t>
            </w:r>
          </w:p>
        </w:tc>
        <w:tc>
          <w:tcPr>
            <w:tcW w:w="1053" w:type="dxa"/>
          </w:tcPr>
          <w:p w14:paraId="211EA104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&lt;0.001</w:t>
            </w:r>
          </w:p>
        </w:tc>
      </w:tr>
      <w:tr w:rsidR="009B7AA5" w:rsidRPr="009B7AA5" w14:paraId="6AC350AD" w14:textId="77777777" w:rsidTr="009B7AA5">
        <w:trPr>
          <w:trHeight w:val="571"/>
        </w:trPr>
        <w:tc>
          <w:tcPr>
            <w:tcW w:w="4698" w:type="dxa"/>
          </w:tcPr>
          <w:p w14:paraId="28B758C9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Male, n (%)</w:t>
            </w:r>
          </w:p>
          <w:p w14:paraId="1CD5DCA1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14:paraId="537DDC83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1161 (97.6)</w:t>
            </w:r>
          </w:p>
        </w:tc>
        <w:tc>
          <w:tcPr>
            <w:tcW w:w="2070" w:type="dxa"/>
          </w:tcPr>
          <w:p w14:paraId="1E816722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5148 (96.9)</w:t>
            </w:r>
          </w:p>
        </w:tc>
        <w:tc>
          <w:tcPr>
            <w:tcW w:w="1053" w:type="dxa"/>
          </w:tcPr>
          <w:p w14:paraId="655E3926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0.21</w:t>
            </w:r>
          </w:p>
        </w:tc>
      </w:tr>
      <w:tr w:rsidR="009B7AA5" w:rsidRPr="009B7AA5" w14:paraId="200B3CF6" w14:textId="77777777" w:rsidTr="009B7AA5">
        <w:trPr>
          <w:trHeight w:val="858"/>
        </w:trPr>
        <w:tc>
          <w:tcPr>
            <w:tcW w:w="4698" w:type="dxa"/>
          </w:tcPr>
          <w:p w14:paraId="61FAEFF0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Race, n (%)</w:t>
            </w:r>
          </w:p>
          <w:p w14:paraId="72D3A406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White, non Hispanic</w:t>
            </w:r>
          </w:p>
          <w:p w14:paraId="3C487237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Black, non Hispanic</w:t>
            </w:r>
          </w:p>
          <w:p w14:paraId="42528185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Hispanic</w:t>
            </w:r>
          </w:p>
          <w:p w14:paraId="723FA77A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Asian</w:t>
            </w:r>
          </w:p>
        </w:tc>
        <w:tc>
          <w:tcPr>
            <w:tcW w:w="1890" w:type="dxa"/>
          </w:tcPr>
          <w:p w14:paraId="0F08DD33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</w:p>
          <w:p w14:paraId="621A93F7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883 (74.2)</w:t>
            </w:r>
          </w:p>
          <w:p w14:paraId="30AB4B8A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197 (16.6)</w:t>
            </w:r>
          </w:p>
          <w:p w14:paraId="367DBAAF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66 (5.5)</w:t>
            </w:r>
          </w:p>
          <w:p w14:paraId="106FA557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14 (1.2)</w:t>
            </w:r>
          </w:p>
          <w:p w14:paraId="2626C550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386C4536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</w:p>
          <w:p w14:paraId="2CA7F678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4108 (77.3)</w:t>
            </w:r>
          </w:p>
          <w:p w14:paraId="42A728DE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890 (16.7)</w:t>
            </w:r>
          </w:p>
          <w:p w14:paraId="21D7AD3C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147 (2.8)</w:t>
            </w:r>
          </w:p>
          <w:p w14:paraId="6A1D8F71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33 (0.6)</w:t>
            </w:r>
          </w:p>
          <w:p w14:paraId="0B14C82E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1053" w:type="dxa"/>
          </w:tcPr>
          <w:p w14:paraId="3750564B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&lt;0.001</w:t>
            </w:r>
          </w:p>
        </w:tc>
      </w:tr>
      <w:tr w:rsidR="009B7AA5" w:rsidRPr="009B7AA5" w14:paraId="34A9BA80" w14:textId="77777777" w:rsidTr="009B7AA5">
        <w:trPr>
          <w:trHeight w:val="458"/>
        </w:trPr>
        <w:tc>
          <w:tcPr>
            <w:tcW w:w="4698" w:type="dxa"/>
          </w:tcPr>
          <w:p w14:paraId="6A2E684E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Number of Co-Morbid Conditions, n (%)</w:t>
            </w:r>
          </w:p>
        </w:tc>
        <w:tc>
          <w:tcPr>
            <w:tcW w:w="1890" w:type="dxa"/>
          </w:tcPr>
          <w:p w14:paraId="1164685B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3.1 (2.1)</w:t>
            </w:r>
          </w:p>
        </w:tc>
        <w:tc>
          <w:tcPr>
            <w:tcW w:w="2070" w:type="dxa"/>
          </w:tcPr>
          <w:p w14:paraId="540433BD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3.2 (2.1)</w:t>
            </w:r>
          </w:p>
        </w:tc>
        <w:tc>
          <w:tcPr>
            <w:tcW w:w="1053" w:type="dxa"/>
          </w:tcPr>
          <w:p w14:paraId="4041BAD8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0.20</w:t>
            </w:r>
          </w:p>
        </w:tc>
      </w:tr>
      <w:tr w:rsidR="009B7AA5" w:rsidRPr="009B7AA5" w14:paraId="1013F2AB" w14:textId="77777777" w:rsidTr="009B7AA5">
        <w:trPr>
          <w:trHeight w:val="368"/>
        </w:trPr>
        <w:tc>
          <w:tcPr>
            <w:tcW w:w="4698" w:type="dxa"/>
          </w:tcPr>
          <w:p w14:paraId="6E6485A8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Cerebrovascular Accident</w:t>
            </w:r>
          </w:p>
        </w:tc>
        <w:tc>
          <w:tcPr>
            <w:tcW w:w="1890" w:type="dxa"/>
          </w:tcPr>
          <w:p w14:paraId="216870F9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135 (11.3)</w:t>
            </w:r>
          </w:p>
        </w:tc>
        <w:tc>
          <w:tcPr>
            <w:tcW w:w="2070" w:type="dxa"/>
          </w:tcPr>
          <w:p w14:paraId="3EC2CC82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812 (15.3)</w:t>
            </w:r>
          </w:p>
        </w:tc>
        <w:tc>
          <w:tcPr>
            <w:tcW w:w="1053" w:type="dxa"/>
          </w:tcPr>
          <w:p w14:paraId="522C7F14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&lt;0.001</w:t>
            </w:r>
          </w:p>
        </w:tc>
      </w:tr>
      <w:tr w:rsidR="009B7AA5" w:rsidRPr="009B7AA5" w14:paraId="00053FCB" w14:textId="77777777" w:rsidTr="009B7AA5">
        <w:trPr>
          <w:trHeight w:val="350"/>
        </w:trPr>
        <w:tc>
          <w:tcPr>
            <w:tcW w:w="4698" w:type="dxa"/>
          </w:tcPr>
          <w:p w14:paraId="685139C6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COPD/Asthma</w:t>
            </w:r>
          </w:p>
        </w:tc>
        <w:tc>
          <w:tcPr>
            <w:tcW w:w="1890" w:type="dxa"/>
          </w:tcPr>
          <w:p w14:paraId="0F224EDA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159 (13.4)</w:t>
            </w:r>
          </w:p>
        </w:tc>
        <w:tc>
          <w:tcPr>
            <w:tcW w:w="2070" w:type="dxa"/>
          </w:tcPr>
          <w:p w14:paraId="3237C695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780 (14.7)</w:t>
            </w:r>
          </w:p>
        </w:tc>
        <w:tc>
          <w:tcPr>
            <w:tcW w:w="1053" w:type="dxa"/>
          </w:tcPr>
          <w:p w14:paraId="20C9FD40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0.24</w:t>
            </w:r>
          </w:p>
        </w:tc>
      </w:tr>
      <w:tr w:rsidR="009B7AA5" w:rsidRPr="009B7AA5" w14:paraId="4FC809E9" w14:textId="77777777" w:rsidTr="009B7AA5">
        <w:trPr>
          <w:trHeight w:val="350"/>
        </w:trPr>
        <w:tc>
          <w:tcPr>
            <w:tcW w:w="4698" w:type="dxa"/>
          </w:tcPr>
          <w:p w14:paraId="646D036B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Hypertension</w:t>
            </w:r>
          </w:p>
        </w:tc>
        <w:tc>
          <w:tcPr>
            <w:tcW w:w="1890" w:type="dxa"/>
          </w:tcPr>
          <w:p w14:paraId="45291450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826 (69.4)</w:t>
            </w:r>
          </w:p>
        </w:tc>
        <w:tc>
          <w:tcPr>
            <w:tcW w:w="2070" w:type="dxa"/>
          </w:tcPr>
          <w:p w14:paraId="53FD0CBD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3428 (64.5)</w:t>
            </w:r>
          </w:p>
        </w:tc>
        <w:tc>
          <w:tcPr>
            <w:tcW w:w="1053" w:type="dxa"/>
          </w:tcPr>
          <w:p w14:paraId="2DDE9A09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0.001</w:t>
            </w:r>
          </w:p>
        </w:tc>
      </w:tr>
      <w:tr w:rsidR="009B7AA5" w:rsidRPr="009B7AA5" w14:paraId="60EE00E3" w14:textId="77777777" w:rsidTr="009B7AA5">
        <w:trPr>
          <w:trHeight w:val="286"/>
        </w:trPr>
        <w:tc>
          <w:tcPr>
            <w:tcW w:w="4698" w:type="dxa"/>
          </w:tcPr>
          <w:p w14:paraId="483103CA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Hyperlipidemia</w:t>
            </w:r>
          </w:p>
        </w:tc>
        <w:tc>
          <w:tcPr>
            <w:tcW w:w="1890" w:type="dxa"/>
          </w:tcPr>
          <w:p w14:paraId="1B6B358D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507 (42.6)</w:t>
            </w:r>
          </w:p>
        </w:tc>
        <w:tc>
          <w:tcPr>
            <w:tcW w:w="2070" w:type="dxa"/>
          </w:tcPr>
          <w:p w14:paraId="7AF21B8A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2247 (42.3)</w:t>
            </w:r>
          </w:p>
        </w:tc>
        <w:tc>
          <w:tcPr>
            <w:tcW w:w="1053" w:type="dxa"/>
          </w:tcPr>
          <w:p w14:paraId="35177B9D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0.84</w:t>
            </w:r>
          </w:p>
        </w:tc>
      </w:tr>
      <w:tr w:rsidR="009B7AA5" w:rsidRPr="009B7AA5" w14:paraId="07C4E218" w14:textId="77777777" w:rsidTr="009B7AA5">
        <w:trPr>
          <w:trHeight w:val="332"/>
        </w:trPr>
        <w:tc>
          <w:tcPr>
            <w:tcW w:w="4698" w:type="dxa"/>
          </w:tcPr>
          <w:p w14:paraId="25A4EFEA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Diabetes Mellitus</w:t>
            </w:r>
          </w:p>
        </w:tc>
        <w:tc>
          <w:tcPr>
            <w:tcW w:w="1890" w:type="dxa"/>
          </w:tcPr>
          <w:p w14:paraId="4394A99E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341 (28.7)</w:t>
            </w:r>
          </w:p>
        </w:tc>
        <w:tc>
          <w:tcPr>
            <w:tcW w:w="2070" w:type="dxa"/>
          </w:tcPr>
          <w:p w14:paraId="393BE26C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1734 (32.6)</w:t>
            </w:r>
          </w:p>
        </w:tc>
        <w:tc>
          <w:tcPr>
            <w:tcW w:w="1053" w:type="dxa"/>
          </w:tcPr>
          <w:p w14:paraId="496A22C6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0.008</w:t>
            </w:r>
          </w:p>
        </w:tc>
      </w:tr>
      <w:tr w:rsidR="009B7AA5" w:rsidRPr="009B7AA5" w14:paraId="043EC45C" w14:textId="77777777" w:rsidTr="009B7AA5">
        <w:trPr>
          <w:trHeight w:val="332"/>
        </w:trPr>
        <w:tc>
          <w:tcPr>
            <w:tcW w:w="4698" w:type="dxa"/>
          </w:tcPr>
          <w:p w14:paraId="2722763B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proofErr w:type="spellStart"/>
            <w:r w:rsidRPr="009B7AA5">
              <w:rPr>
                <w:rFonts w:asciiTheme="majorHAnsi" w:hAnsiTheme="majorHAnsi"/>
              </w:rPr>
              <w:t>Gastroesophageal</w:t>
            </w:r>
            <w:proofErr w:type="spellEnd"/>
            <w:r w:rsidRPr="009B7AA5">
              <w:rPr>
                <w:rFonts w:asciiTheme="majorHAnsi" w:hAnsiTheme="majorHAnsi"/>
              </w:rPr>
              <w:t xml:space="preserve"> Reflux Disease</w:t>
            </w:r>
          </w:p>
        </w:tc>
        <w:tc>
          <w:tcPr>
            <w:tcW w:w="1890" w:type="dxa"/>
          </w:tcPr>
          <w:p w14:paraId="701E8228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144 (12.1)</w:t>
            </w:r>
          </w:p>
        </w:tc>
        <w:tc>
          <w:tcPr>
            <w:tcW w:w="2070" w:type="dxa"/>
          </w:tcPr>
          <w:p w14:paraId="5D7438BB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776 (14.6)</w:t>
            </w:r>
          </w:p>
        </w:tc>
        <w:tc>
          <w:tcPr>
            <w:tcW w:w="1053" w:type="dxa"/>
          </w:tcPr>
          <w:p w14:paraId="4EB1560B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0.03</w:t>
            </w:r>
          </w:p>
        </w:tc>
      </w:tr>
      <w:tr w:rsidR="009B7AA5" w:rsidRPr="009B7AA5" w14:paraId="570F98FB" w14:textId="77777777" w:rsidTr="009B7AA5">
        <w:trPr>
          <w:trHeight w:val="359"/>
        </w:trPr>
        <w:tc>
          <w:tcPr>
            <w:tcW w:w="4698" w:type="dxa"/>
          </w:tcPr>
          <w:p w14:paraId="76FFA129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Depression</w:t>
            </w:r>
          </w:p>
        </w:tc>
        <w:tc>
          <w:tcPr>
            <w:tcW w:w="1890" w:type="dxa"/>
          </w:tcPr>
          <w:p w14:paraId="47D69463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209 (17.6)</w:t>
            </w:r>
          </w:p>
        </w:tc>
        <w:tc>
          <w:tcPr>
            <w:tcW w:w="2070" w:type="dxa"/>
          </w:tcPr>
          <w:p w14:paraId="0E07626D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991 (18.6)</w:t>
            </w:r>
          </w:p>
        </w:tc>
        <w:tc>
          <w:tcPr>
            <w:tcW w:w="1053" w:type="dxa"/>
          </w:tcPr>
          <w:p w14:paraId="4C579583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0.38</w:t>
            </w:r>
          </w:p>
        </w:tc>
      </w:tr>
      <w:tr w:rsidR="009B7AA5" w:rsidRPr="009B7AA5" w14:paraId="2C148925" w14:textId="77777777" w:rsidTr="009B7AA5">
        <w:trPr>
          <w:trHeight w:val="350"/>
        </w:trPr>
        <w:tc>
          <w:tcPr>
            <w:tcW w:w="4698" w:type="dxa"/>
          </w:tcPr>
          <w:p w14:paraId="0C6CBF96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Atrial Fibrillation</w:t>
            </w:r>
          </w:p>
        </w:tc>
        <w:tc>
          <w:tcPr>
            <w:tcW w:w="1890" w:type="dxa"/>
          </w:tcPr>
          <w:p w14:paraId="42FE8E45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119 (10.0)</w:t>
            </w:r>
          </w:p>
        </w:tc>
        <w:tc>
          <w:tcPr>
            <w:tcW w:w="2070" w:type="dxa"/>
          </w:tcPr>
          <w:p w14:paraId="3AA4D06C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465 (8.8)</w:t>
            </w:r>
          </w:p>
        </w:tc>
        <w:tc>
          <w:tcPr>
            <w:tcW w:w="1053" w:type="dxa"/>
          </w:tcPr>
          <w:p w14:paraId="5FDC9387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0.17</w:t>
            </w:r>
          </w:p>
        </w:tc>
      </w:tr>
      <w:tr w:rsidR="009B7AA5" w:rsidRPr="009B7AA5" w14:paraId="2C3D9CA8" w14:textId="77777777" w:rsidTr="009B7AA5">
        <w:trPr>
          <w:trHeight w:val="270"/>
        </w:trPr>
        <w:tc>
          <w:tcPr>
            <w:tcW w:w="4698" w:type="dxa"/>
          </w:tcPr>
          <w:p w14:paraId="2ADE27E2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Number of Chronic medications, mean (SD)</w:t>
            </w:r>
          </w:p>
          <w:p w14:paraId="27ACE1F8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14:paraId="2E65AAE8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9.7 (5.7)</w:t>
            </w:r>
          </w:p>
        </w:tc>
        <w:tc>
          <w:tcPr>
            <w:tcW w:w="2070" w:type="dxa"/>
          </w:tcPr>
          <w:p w14:paraId="0D5A4885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10.1 (5.7)</w:t>
            </w:r>
          </w:p>
        </w:tc>
        <w:tc>
          <w:tcPr>
            <w:tcW w:w="1053" w:type="dxa"/>
          </w:tcPr>
          <w:p w14:paraId="5B9CDFAB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0.02</w:t>
            </w:r>
          </w:p>
        </w:tc>
      </w:tr>
      <w:tr w:rsidR="009B7AA5" w:rsidRPr="009B7AA5" w14:paraId="46739D9B" w14:textId="77777777" w:rsidTr="009B7AA5">
        <w:trPr>
          <w:trHeight w:val="286"/>
        </w:trPr>
        <w:tc>
          <w:tcPr>
            <w:tcW w:w="4698" w:type="dxa"/>
          </w:tcPr>
          <w:p w14:paraId="52AFA455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 xml:space="preserve">Prescribed </w:t>
            </w:r>
            <w:proofErr w:type="spellStart"/>
            <w:r w:rsidRPr="009B7AA5">
              <w:rPr>
                <w:rFonts w:asciiTheme="majorHAnsi" w:hAnsiTheme="majorHAnsi"/>
              </w:rPr>
              <w:t>Memantine</w:t>
            </w:r>
            <w:proofErr w:type="spellEnd"/>
            <w:r w:rsidRPr="009B7AA5">
              <w:rPr>
                <w:rFonts w:asciiTheme="majorHAnsi" w:hAnsiTheme="majorHAnsi"/>
              </w:rPr>
              <w:t>, n (%)</w:t>
            </w:r>
          </w:p>
          <w:p w14:paraId="37403FC6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14:paraId="36DB622D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46 (3.9)</w:t>
            </w:r>
          </w:p>
        </w:tc>
        <w:tc>
          <w:tcPr>
            <w:tcW w:w="2070" w:type="dxa"/>
          </w:tcPr>
          <w:p w14:paraId="19522A9F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120 (2.3)</w:t>
            </w:r>
          </w:p>
        </w:tc>
        <w:tc>
          <w:tcPr>
            <w:tcW w:w="1053" w:type="dxa"/>
          </w:tcPr>
          <w:p w14:paraId="0039DA2D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0.001</w:t>
            </w:r>
          </w:p>
        </w:tc>
      </w:tr>
      <w:tr w:rsidR="009B7AA5" w:rsidRPr="009B7AA5" w14:paraId="53BFB1E1" w14:textId="77777777" w:rsidTr="009B7AA5">
        <w:trPr>
          <w:trHeight w:val="286"/>
        </w:trPr>
        <w:tc>
          <w:tcPr>
            <w:tcW w:w="4698" w:type="dxa"/>
          </w:tcPr>
          <w:p w14:paraId="5C72120F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Hospitalized in past year, n (%)</w:t>
            </w:r>
          </w:p>
          <w:p w14:paraId="1F2BAE01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14:paraId="69BF2D0F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336 (28.2)</w:t>
            </w:r>
          </w:p>
        </w:tc>
        <w:tc>
          <w:tcPr>
            <w:tcW w:w="2070" w:type="dxa"/>
          </w:tcPr>
          <w:p w14:paraId="66308A57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1556 (29.3)</w:t>
            </w:r>
          </w:p>
        </w:tc>
        <w:tc>
          <w:tcPr>
            <w:tcW w:w="1053" w:type="dxa"/>
          </w:tcPr>
          <w:p w14:paraId="6F38090A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0.47</w:t>
            </w:r>
          </w:p>
        </w:tc>
      </w:tr>
      <w:tr w:rsidR="009B7AA5" w:rsidRPr="009B7AA5" w14:paraId="688C6048" w14:textId="77777777" w:rsidTr="009B7AA5">
        <w:trPr>
          <w:trHeight w:val="670"/>
        </w:trPr>
        <w:tc>
          <w:tcPr>
            <w:tcW w:w="4698" w:type="dxa"/>
          </w:tcPr>
          <w:p w14:paraId="7C17D848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Number of outpatient visits (primary care/specialty) in baseline year, median [IRQ]</w:t>
            </w:r>
          </w:p>
        </w:tc>
        <w:tc>
          <w:tcPr>
            <w:tcW w:w="1890" w:type="dxa"/>
          </w:tcPr>
          <w:p w14:paraId="39D1304D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24 (17, 35)</w:t>
            </w:r>
          </w:p>
        </w:tc>
        <w:tc>
          <w:tcPr>
            <w:tcW w:w="2070" w:type="dxa"/>
          </w:tcPr>
          <w:p w14:paraId="2936D46A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24 (16, 36)</w:t>
            </w:r>
          </w:p>
        </w:tc>
        <w:tc>
          <w:tcPr>
            <w:tcW w:w="1053" w:type="dxa"/>
          </w:tcPr>
          <w:p w14:paraId="377FA333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0.78</w:t>
            </w:r>
          </w:p>
          <w:p w14:paraId="36A4BA50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</w:p>
        </w:tc>
      </w:tr>
      <w:tr w:rsidR="009B7AA5" w:rsidRPr="009B7AA5" w14:paraId="470E4572" w14:textId="77777777" w:rsidTr="009B7AA5">
        <w:trPr>
          <w:trHeight w:val="670"/>
        </w:trPr>
        <w:tc>
          <w:tcPr>
            <w:tcW w:w="4698" w:type="dxa"/>
          </w:tcPr>
          <w:p w14:paraId="6C56A676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Baseline weight in pounds, mean (SD)</w:t>
            </w:r>
          </w:p>
          <w:p w14:paraId="533CE3D1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1890" w:type="dxa"/>
          </w:tcPr>
          <w:p w14:paraId="61FCB8F1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174.8 (32.8)</w:t>
            </w:r>
          </w:p>
        </w:tc>
        <w:tc>
          <w:tcPr>
            <w:tcW w:w="2070" w:type="dxa"/>
          </w:tcPr>
          <w:p w14:paraId="374FE498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181.5 (36.6)</w:t>
            </w:r>
          </w:p>
        </w:tc>
        <w:tc>
          <w:tcPr>
            <w:tcW w:w="1053" w:type="dxa"/>
          </w:tcPr>
          <w:p w14:paraId="0F017C67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&lt;0.001</w:t>
            </w:r>
          </w:p>
        </w:tc>
      </w:tr>
      <w:tr w:rsidR="009B7AA5" w:rsidRPr="009B7AA5" w14:paraId="7A34B2A8" w14:textId="77777777" w:rsidTr="009B7AA5">
        <w:trPr>
          <w:trHeight w:val="670"/>
        </w:trPr>
        <w:tc>
          <w:tcPr>
            <w:tcW w:w="4698" w:type="dxa"/>
          </w:tcPr>
          <w:p w14:paraId="098B11F1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Frequency of Weight Measures in year prior</w:t>
            </w:r>
          </w:p>
          <w:p w14:paraId="373BF0C4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2-5</w:t>
            </w:r>
          </w:p>
          <w:p w14:paraId="11905B1C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6-10</w:t>
            </w:r>
          </w:p>
          <w:p w14:paraId="6A03F4B8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≥ 11</w:t>
            </w:r>
          </w:p>
        </w:tc>
        <w:tc>
          <w:tcPr>
            <w:tcW w:w="1890" w:type="dxa"/>
          </w:tcPr>
          <w:p w14:paraId="34D035D9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  <w:color w:val="000000"/>
              </w:rPr>
            </w:pPr>
          </w:p>
          <w:p w14:paraId="32AE9B1A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  <w:color w:val="000000"/>
              </w:rPr>
            </w:pPr>
            <w:r w:rsidRPr="009B7AA5">
              <w:rPr>
                <w:rFonts w:asciiTheme="majorHAnsi" w:hAnsiTheme="majorHAnsi"/>
                <w:color w:val="000000"/>
              </w:rPr>
              <w:t>400 (33.6)</w:t>
            </w:r>
          </w:p>
          <w:p w14:paraId="6F81030B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499 (41.9)</w:t>
            </w:r>
          </w:p>
          <w:p w14:paraId="435EAB97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291 (24.5)</w:t>
            </w:r>
          </w:p>
        </w:tc>
        <w:tc>
          <w:tcPr>
            <w:tcW w:w="2070" w:type="dxa"/>
          </w:tcPr>
          <w:p w14:paraId="21E99D98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  <w:color w:val="000000"/>
              </w:rPr>
            </w:pPr>
          </w:p>
          <w:p w14:paraId="1A4F8C9D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  <w:color w:val="000000"/>
              </w:rPr>
            </w:pPr>
            <w:r w:rsidRPr="009B7AA5">
              <w:rPr>
                <w:rFonts w:asciiTheme="majorHAnsi" w:hAnsiTheme="majorHAnsi"/>
                <w:color w:val="000000"/>
              </w:rPr>
              <w:t>1766 (33.2)</w:t>
            </w:r>
          </w:p>
          <w:p w14:paraId="78D225F1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2111 (39.7)</w:t>
            </w:r>
          </w:p>
          <w:p w14:paraId="3106969F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1437 (27.0)</w:t>
            </w:r>
          </w:p>
        </w:tc>
        <w:tc>
          <w:tcPr>
            <w:tcW w:w="1053" w:type="dxa"/>
          </w:tcPr>
          <w:p w14:paraId="64CD2634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  <w:color w:val="000000"/>
              </w:rPr>
            </w:pPr>
          </w:p>
          <w:p w14:paraId="2D3F8DEE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color w:val="000000"/>
              </w:rPr>
              <w:t xml:space="preserve">0.16 </w:t>
            </w:r>
          </w:p>
        </w:tc>
      </w:tr>
      <w:tr w:rsidR="009B7AA5" w:rsidRPr="009B7AA5" w14:paraId="49D0A493" w14:textId="77777777" w:rsidTr="009B7AA5">
        <w:trPr>
          <w:trHeight w:val="670"/>
        </w:trPr>
        <w:tc>
          <w:tcPr>
            <w:tcW w:w="4698" w:type="dxa"/>
          </w:tcPr>
          <w:p w14:paraId="52B6D702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 xml:space="preserve"> Weight Trajectory in Year Prior in pounds, mean (SD)</w:t>
            </w:r>
          </w:p>
        </w:tc>
        <w:tc>
          <w:tcPr>
            <w:tcW w:w="1890" w:type="dxa"/>
          </w:tcPr>
          <w:p w14:paraId="4B634ADB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0.9 (4.8)</w:t>
            </w:r>
          </w:p>
        </w:tc>
        <w:tc>
          <w:tcPr>
            <w:tcW w:w="2070" w:type="dxa"/>
          </w:tcPr>
          <w:p w14:paraId="3B3B9950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0.4 (5.0)</w:t>
            </w:r>
          </w:p>
        </w:tc>
        <w:tc>
          <w:tcPr>
            <w:tcW w:w="1053" w:type="dxa"/>
          </w:tcPr>
          <w:p w14:paraId="78755F29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0.002</w:t>
            </w:r>
          </w:p>
        </w:tc>
      </w:tr>
    </w:tbl>
    <w:p w14:paraId="64467ED5" w14:textId="36F6D622" w:rsidR="009B7AA5" w:rsidRDefault="009B7AA5" w:rsidP="009B7AA5">
      <w:pPr>
        <w:rPr>
          <w:b/>
        </w:rPr>
      </w:pPr>
      <w:r w:rsidRPr="009B7AA5">
        <w:rPr>
          <w:rFonts w:asciiTheme="majorHAnsi" w:hAnsiTheme="majorHAnsi"/>
          <w:b/>
        </w:rPr>
        <w:t xml:space="preserve">Table 2: Characteristics of Propensity Score Matched Cohort, </w:t>
      </w:r>
      <w:r w:rsidRPr="00043AC9">
        <w:rPr>
          <w:b/>
        </w:rPr>
        <w:t>N = 3,437</w:t>
      </w:r>
    </w:p>
    <w:tbl>
      <w:tblPr>
        <w:tblStyle w:val="TableGrid"/>
        <w:tblpPr w:leftFromText="180" w:rightFromText="180" w:vertAnchor="page" w:horzAnchor="page" w:tblpX="1549" w:tblpY="1771"/>
        <w:tblW w:w="9711" w:type="dxa"/>
        <w:tblLayout w:type="fixed"/>
        <w:tblLook w:val="04A0" w:firstRow="1" w:lastRow="0" w:firstColumn="1" w:lastColumn="0" w:noHBand="0" w:noVBand="1"/>
      </w:tblPr>
      <w:tblGrid>
        <w:gridCol w:w="4698"/>
        <w:gridCol w:w="1890"/>
        <w:gridCol w:w="2070"/>
        <w:gridCol w:w="1053"/>
      </w:tblGrid>
      <w:tr w:rsidR="009B7AA5" w:rsidRPr="009B7AA5" w14:paraId="738C24F6" w14:textId="77777777" w:rsidTr="009B7AA5">
        <w:trPr>
          <w:trHeight w:val="1159"/>
        </w:trPr>
        <w:tc>
          <w:tcPr>
            <w:tcW w:w="4698" w:type="dxa"/>
          </w:tcPr>
          <w:p w14:paraId="7F7C8CA3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  <w:b/>
              </w:rPr>
            </w:pPr>
          </w:p>
          <w:p w14:paraId="682C528E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b/>
              </w:rPr>
              <w:t>Characteristic</w:t>
            </w:r>
          </w:p>
        </w:tc>
        <w:tc>
          <w:tcPr>
            <w:tcW w:w="1890" w:type="dxa"/>
            <w:vAlign w:val="bottom"/>
          </w:tcPr>
          <w:p w14:paraId="07680FD8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  <w:b/>
              </w:rPr>
            </w:pPr>
            <w:r w:rsidRPr="009B7AA5">
              <w:rPr>
                <w:rFonts w:asciiTheme="majorHAnsi" w:hAnsiTheme="majorHAnsi"/>
                <w:b/>
              </w:rPr>
              <w:t>Cholinesterase</w:t>
            </w:r>
          </w:p>
          <w:p w14:paraId="3E34876B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  <w:b/>
              </w:rPr>
            </w:pPr>
            <w:r w:rsidRPr="009B7AA5">
              <w:rPr>
                <w:rFonts w:asciiTheme="majorHAnsi" w:hAnsiTheme="majorHAnsi"/>
                <w:b/>
              </w:rPr>
              <w:t>New User</w:t>
            </w:r>
          </w:p>
          <w:p w14:paraId="003BE553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b/>
              </w:rPr>
              <w:t>N = 1,190</w:t>
            </w:r>
          </w:p>
        </w:tc>
        <w:tc>
          <w:tcPr>
            <w:tcW w:w="2070" w:type="dxa"/>
            <w:vAlign w:val="bottom"/>
          </w:tcPr>
          <w:p w14:paraId="14D93F47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  <w:b/>
              </w:rPr>
            </w:pPr>
            <w:r w:rsidRPr="009B7AA5">
              <w:rPr>
                <w:rFonts w:asciiTheme="majorHAnsi" w:hAnsiTheme="majorHAnsi"/>
                <w:b/>
              </w:rPr>
              <w:t>Non-Cholinesterase</w:t>
            </w:r>
          </w:p>
          <w:p w14:paraId="6D5D3B04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  <w:b/>
              </w:rPr>
            </w:pPr>
            <w:r w:rsidRPr="009B7AA5">
              <w:rPr>
                <w:rFonts w:asciiTheme="majorHAnsi" w:hAnsiTheme="majorHAnsi"/>
                <w:b/>
              </w:rPr>
              <w:t>New User</w:t>
            </w:r>
          </w:p>
          <w:p w14:paraId="2CAE07D0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b/>
              </w:rPr>
              <w:t>N = 2,247</w:t>
            </w:r>
          </w:p>
        </w:tc>
        <w:tc>
          <w:tcPr>
            <w:tcW w:w="1053" w:type="dxa"/>
          </w:tcPr>
          <w:p w14:paraId="2B6E9041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  <w:b/>
              </w:rPr>
            </w:pPr>
          </w:p>
          <w:p w14:paraId="4BA0D159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  <w:b/>
              </w:rPr>
            </w:pPr>
            <w:proofErr w:type="gramStart"/>
            <w:r w:rsidRPr="009B7AA5">
              <w:rPr>
                <w:rFonts w:asciiTheme="majorHAnsi" w:hAnsiTheme="majorHAnsi"/>
                <w:b/>
              </w:rPr>
              <w:t>p</w:t>
            </w:r>
            <w:proofErr w:type="gramEnd"/>
            <w:r w:rsidRPr="009B7AA5">
              <w:rPr>
                <w:rFonts w:asciiTheme="majorHAnsi" w:hAnsiTheme="majorHAnsi"/>
                <w:b/>
              </w:rPr>
              <w:t>-value</w:t>
            </w:r>
          </w:p>
        </w:tc>
      </w:tr>
      <w:tr w:rsidR="009B7AA5" w:rsidRPr="009B7AA5" w14:paraId="2B90D529" w14:textId="77777777" w:rsidTr="009B7AA5">
        <w:trPr>
          <w:trHeight w:val="556"/>
        </w:trPr>
        <w:tc>
          <w:tcPr>
            <w:tcW w:w="4698" w:type="dxa"/>
          </w:tcPr>
          <w:p w14:paraId="6272E534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Age, mean (SD)</w:t>
            </w:r>
          </w:p>
        </w:tc>
        <w:tc>
          <w:tcPr>
            <w:tcW w:w="1890" w:type="dxa"/>
          </w:tcPr>
          <w:p w14:paraId="6CCFF532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77.9 (6.3)</w:t>
            </w:r>
          </w:p>
        </w:tc>
        <w:tc>
          <w:tcPr>
            <w:tcW w:w="2070" w:type="dxa"/>
          </w:tcPr>
          <w:p w14:paraId="00FE824B" w14:textId="77777777" w:rsidR="009B7AA5" w:rsidRPr="009B7AA5" w:rsidRDefault="009B7AA5" w:rsidP="009B7AA5">
            <w:pPr>
              <w:adjustRightInd w:val="0"/>
              <w:jc w:val="center"/>
              <w:rPr>
                <w:rFonts w:asciiTheme="majorHAnsi" w:hAnsiTheme="majorHAnsi"/>
                <w:color w:val="000000"/>
              </w:rPr>
            </w:pPr>
            <w:r w:rsidRPr="009B7AA5">
              <w:rPr>
                <w:rFonts w:asciiTheme="majorHAnsi" w:hAnsiTheme="majorHAnsi"/>
                <w:color w:val="000000"/>
              </w:rPr>
              <w:t>77.5 (6.8)</w:t>
            </w:r>
          </w:p>
        </w:tc>
        <w:tc>
          <w:tcPr>
            <w:tcW w:w="1053" w:type="dxa"/>
          </w:tcPr>
          <w:p w14:paraId="3ED925ED" w14:textId="77777777" w:rsidR="009B7AA5" w:rsidRPr="009B7AA5" w:rsidRDefault="009B7AA5" w:rsidP="009B7AA5">
            <w:pPr>
              <w:adjustRightInd w:val="0"/>
              <w:rPr>
                <w:rFonts w:asciiTheme="majorHAnsi" w:hAnsiTheme="majorHAnsi"/>
                <w:color w:val="000000"/>
              </w:rPr>
            </w:pPr>
            <w:r w:rsidRPr="009B7AA5">
              <w:rPr>
                <w:rFonts w:asciiTheme="majorHAnsi" w:hAnsiTheme="majorHAnsi"/>
                <w:color w:val="000000"/>
              </w:rPr>
              <w:t>0.13</w:t>
            </w:r>
          </w:p>
        </w:tc>
      </w:tr>
      <w:tr w:rsidR="009B7AA5" w:rsidRPr="009B7AA5" w14:paraId="07EED765" w14:textId="77777777" w:rsidTr="009B7AA5">
        <w:trPr>
          <w:trHeight w:val="571"/>
        </w:trPr>
        <w:tc>
          <w:tcPr>
            <w:tcW w:w="4698" w:type="dxa"/>
          </w:tcPr>
          <w:p w14:paraId="6E4E3F96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Male, n (%)</w:t>
            </w:r>
          </w:p>
          <w:p w14:paraId="4AEA5873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14:paraId="1B501077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1161 (97.6)</w:t>
            </w:r>
          </w:p>
        </w:tc>
        <w:tc>
          <w:tcPr>
            <w:tcW w:w="2070" w:type="dxa"/>
          </w:tcPr>
          <w:p w14:paraId="69947327" w14:textId="77777777" w:rsidR="009B7AA5" w:rsidRPr="009B7AA5" w:rsidRDefault="009B7AA5" w:rsidP="009B7AA5">
            <w:pPr>
              <w:adjustRightInd w:val="0"/>
              <w:jc w:val="center"/>
              <w:rPr>
                <w:rFonts w:asciiTheme="majorHAnsi" w:hAnsiTheme="majorHAnsi"/>
                <w:color w:val="000000"/>
              </w:rPr>
            </w:pPr>
            <w:r w:rsidRPr="009B7AA5">
              <w:rPr>
                <w:rFonts w:asciiTheme="majorHAnsi" w:hAnsiTheme="majorHAnsi"/>
                <w:color w:val="000000"/>
              </w:rPr>
              <w:t>2190 (97.5)</w:t>
            </w:r>
          </w:p>
        </w:tc>
        <w:tc>
          <w:tcPr>
            <w:tcW w:w="1053" w:type="dxa"/>
          </w:tcPr>
          <w:p w14:paraId="7F129BC5" w14:textId="77777777" w:rsidR="009B7AA5" w:rsidRPr="009B7AA5" w:rsidRDefault="009B7AA5" w:rsidP="009B7AA5">
            <w:pPr>
              <w:adjustRightInd w:val="0"/>
              <w:rPr>
                <w:rFonts w:asciiTheme="majorHAnsi" w:hAnsiTheme="majorHAnsi"/>
                <w:color w:val="000000"/>
              </w:rPr>
            </w:pPr>
            <w:r w:rsidRPr="009B7AA5">
              <w:rPr>
                <w:rFonts w:asciiTheme="majorHAnsi" w:hAnsiTheme="majorHAnsi"/>
                <w:color w:val="000000"/>
              </w:rPr>
              <w:t>0.86</w:t>
            </w:r>
          </w:p>
        </w:tc>
      </w:tr>
      <w:tr w:rsidR="009B7AA5" w:rsidRPr="009B7AA5" w14:paraId="701187D2" w14:textId="77777777" w:rsidTr="009B7AA5">
        <w:trPr>
          <w:trHeight w:val="858"/>
        </w:trPr>
        <w:tc>
          <w:tcPr>
            <w:tcW w:w="4698" w:type="dxa"/>
          </w:tcPr>
          <w:p w14:paraId="70C9F6DC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Race, n (%)</w:t>
            </w:r>
          </w:p>
          <w:p w14:paraId="0F104678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White, non Hispanic</w:t>
            </w:r>
          </w:p>
          <w:p w14:paraId="7E6C1679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Black, non Hispanic</w:t>
            </w:r>
          </w:p>
          <w:p w14:paraId="13A71898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Hispanic</w:t>
            </w:r>
          </w:p>
          <w:p w14:paraId="0C6743C8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Asian</w:t>
            </w:r>
          </w:p>
        </w:tc>
        <w:tc>
          <w:tcPr>
            <w:tcW w:w="1890" w:type="dxa"/>
          </w:tcPr>
          <w:p w14:paraId="70A00AD9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</w:p>
          <w:p w14:paraId="46CD13B4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883 (74.2)</w:t>
            </w:r>
          </w:p>
          <w:p w14:paraId="4479B762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197 (16.6)</w:t>
            </w:r>
          </w:p>
          <w:p w14:paraId="0C7D0006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66 (5.5)</w:t>
            </w:r>
          </w:p>
          <w:p w14:paraId="32769C5B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14 (1.2)</w:t>
            </w:r>
          </w:p>
          <w:p w14:paraId="0B590F0D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72A31DD7" w14:textId="77777777" w:rsidR="009B7AA5" w:rsidRPr="009B7AA5" w:rsidRDefault="009B7AA5" w:rsidP="009B7AA5">
            <w:pPr>
              <w:jc w:val="center"/>
              <w:rPr>
                <w:rFonts w:asciiTheme="majorHAnsi" w:hAnsiTheme="majorHAnsi"/>
              </w:rPr>
            </w:pPr>
          </w:p>
          <w:p w14:paraId="76BCC32E" w14:textId="77777777" w:rsidR="009B7AA5" w:rsidRPr="009B7AA5" w:rsidRDefault="009B7AA5" w:rsidP="009B7AA5">
            <w:pPr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1711 (76.1)</w:t>
            </w:r>
          </w:p>
          <w:p w14:paraId="4298A223" w14:textId="77777777" w:rsidR="009B7AA5" w:rsidRPr="009B7AA5" w:rsidRDefault="009B7AA5" w:rsidP="009B7AA5">
            <w:pPr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387 (17.2)</w:t>
            </w:r>
          </w:p>
          <w:p w14:paraId="7490FE3D" w14:textId="77777777" w:rsidR="009B7AA5" w:rsidRPr="009B7AA5" w:rsidRDefault="009B7AA5" w:rsidP="009B7AA5">
            <w:pPr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84 (3.7)</w:t>
            </w:r>
          </w:p>
          <w:p w14:paraId="79766F14" w14:textId="77777777" w:rsidR="009B7AA5" w:rsidRPr="009B7AA5" w:rsidRDefault="009B7AA5" w:rsidP="009B7AA5">
            <w:pPr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14 (0.6)</w:t>
            </w:r>
          </w:p>
        </w:tc>
        <w:tc>
          <w:tcPr>
            <w:tcW w:w="1053" w:type="dxa"/>
          </w:tcPr>
          <w:p w14:paraId="4F905B75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0.10</w:t>
            </w:r>
          </w:p>
        </w:tc>
      </w:tr>
      <w:tr w:rsidR="009B7AA5" w:rsidRPr="009B7AA5" w14:paraId="1B43F5B4" w14:textId="77777777" w:rsidTr="009B7AA5">
        <w:trPr>
          <w:trHeight w:val="458"/>
        </w:trPr>
        <w:tc>
          <w:tcPr>
            <w:tcW w:w="4698" w:type="dxa"/>
          </w:tcPr>
          <w:p w14:paraId="6B9467D7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Number of Co-Morbid Conditions, n (%)</w:t>
            </w:r>
          </w:p>
        </w:tc>
        <w:tc>
          <w:tcPr>
            <w:tcW w:w="1890" w:type="dxa"/>
          </w:tcPr>
          <w:p w14:paraId="37609A51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3.1 (2.1)</w:t>
            </w:r>
          </w:p>
        </w:tc>
        <w:tc>
          <w:tcPr>
            <w:tcW w:w="2070" w:type="dxa"/>
          </w:tcPr>
          <w:p w14:paraId="100CEEF8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color w:val="000000"/>
              </w:rPr>
              <w:t>3.1 (2.1)</w:t>
            </w:r>
          </w:p>
        </w:tc>
        <w:tc>
          <w:tcPr>
            <w:tcW w:w="1053" w:type="dxa"/>
          </w:tcPr>
          <w:p w14:paraId="5B3855E4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color w:val="000000"/>
              </w:rPr>
              <w:t>0.80</w:t>
            </w:r>
          </w:p>
        </w:tc>
      </w:tr>
      <w:tr w:rsidR="009B7AA5" w:rsidRPr="009B7AA5" w14:paraId="0297165F" w14:textId="77777777" w:rsidTr="009B7AA5">
        <w:trPr>
          <w:trHeight w:val="368"/>
        </w:trPr>
        <w:tc>
          <w:tcPr>
            <w:tcW w:w="4698" w:type="dxa"/>
          </w:tcPr>
          <w:p w14:paraId="1935C71F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Cerebrovascular Accident</w:t>
            </w:r>
          </w:p>
        </w:tc>
        <w:tc>
          <w:tcPr>
            <w:tcW w:w="1890" w:type="dxa"/>
          </w:tcPr>
          <w:p w14:paraId="3F24A3BD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135 (11.3)</w:t>
            </w:r>
          </w:p>
        </w:tc>
        <w:tc>
          <w:tcPr>
            <w:tcW w:w="2070" w:type="dxa"/>
          </w:tcPr>
          <w:p w14:paraId="7BAA5B54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color w:val="000000"/>
              </w:rPr>
              <w:t>262 (11.7)</w:t>
            </w:r>
          </w:p>
        </w:tc>
        <w:tc>
          <w:tcPr>
            <w:tcW w:w="1053" w:type="dxa"/>
          </w:tcPr>
          <w:p w14:paraId="517EA545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0.78</w:t>
            </w:r>
          </w:p>
        </w:tc>
      </w:tr>
      <w:tr w:rsidR="009B7AA5" w:rsidRPr="009B7AA5" w14:paraId="64CC557F" w14:textId="77777777" w:rsidTr="009B7AA5">
        <w:trPr>
          <w:trHeight w:val="350"/>
        </w:trPr>
        <w:tc>
          <w:tcPr>
            <w:tcW w:w="4698" w:type="dxa"/>
          </w:tcPr>
          <w:p w14:paraId="7941E6DE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COPD/Asthma</w:t>
            </w:r>
          </w:p>
        </w:tc>
        <w:tc>
          <w:tcPr>
            <w:tcW w:w="1890" w:type="dxa"/>
          </w:tcPr>
          <w:p w14:paraId="7042C0DE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159 (13.4)</w:t>
            </w:r>
          </w:p>
        </w:tc>
        <w:tc>
          <w:tcPr>
            <w:tcW w:w="2070" w:type="dxa"/>
          </w:tcPr>
          <w:p w14:paraId="4BEDFCE8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color w:val="000000"/>
              </w:rPr>
              <w:t>301 (13.4)</w:t>
            </w:r>
          </w:p>
        </w:tc>
        <w:tc>
          <w:tcPr>
            <w:tcW w:w="1053" w:type="dxa"/>
          </w:tcPr>
          <w:p w14:paraId="040C3EA8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0.98</w:t>
            </w:r>
          </w:p>
        </w:tc>
      </w:tr>
      <w:tr w:rsidR="009B7AA5" w:rsidRPr="009B7AA5" w14:paraId="458CFF98" w14:textId="77777777" w:rsidTr="009B7AA5">
        <w:trPr>
          <w:trHeight w:val="350"/>
        </w:trPr>
        <w:tc>
          <w:tcPr>
            <w:tcW w:w="4698" w:type="dxa"/>
          </w:tcPr>
          <w:p w14:paraId="0DF8D842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Hypertension</w:t>
            </w:r>
          </w:p>
        </w:tc>
        <w:tc>
          <w:tcPr>
            <w:tcW w:w="1890" w:type="dxa"/>
          </w:tcPr>
          <w:p w14:paraId="1E8D1DC4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826 (69.4)</w:t>
            </w:r>
          </w:p>
        </w:tc>
        <w:tc>
          <w:tcPr>
            <w:tcW w:w="2070" w:type="dxa"/>
          </w:tcPr>
          <w:p w14:paraId="26BBAE1D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color w:val="000000"/>
              </w:rPr>
              <w:t>1512 (67.3)</w:t>
            </w:r>
          </w:p>
        </w:tc>
        <w:tc>
          <w:tcPr>
            <w:tcW w:w="1053" w:type="dxa"/>
          </w:tcPr>
          <w:p w14:paraId="09135413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0.20</w:t>
            </w:r>
          </w:p>
        </w:tc>
      </w:tr>
      <w:tr w:rsidR="009B7AA5" w:rsidRPr="009B7AA5" w14:paraId="426ECFC3" w14:textId="77777777" w:rsidTr="009B7AA5">
        <w:trPr>
          <w:trHeight w:val="286"/>
        </w:trPr>
        <w:tc>
          <w:tcPr>
            <w:tcW w:w="4698" w:type="dxa"/>
          </w:tcPr>
          <w:p w14:paraId="4D3647E1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Hyperlipidemia</w:t>
            </w:r>
          </w:p>
        </w:tc>
        <w:tc>
          <w:tcPr>
            <w:tcW w:w="1890" w:type="dxa"/>
          </w:tcPr>
          <w:p w14:paraId="36705E87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507 (42.6)</w:t>
            </w:r>
          </w:p>
        </w:tc>
        <w:tc>
          <w:tcPr>
            <w:tcW w:w="2070" w:type="dxa"/>
          </w:tcPr>
          <w:p w14:paraId="0FE72814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color w:val="000000"/>
              </w:rPr>
              <w:t>947 (42.1)</w:t>
            </w:r>
          </w:p>
        </w:tc>
        <w:tc>
          <w:tcPr>
            <w:tcW w:w="1053" w:type="dxa"/>
          </w:tcPr>
          <w:p w14:paraId="31F9423C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0.80</w:t>
            </w:r>
          </w:p>
        </w:tc>
      </w:tr>
      <w:tr w:rsidR="009B7AA5" w:rsidRPr="009B7AA5" w14:paraId="0DB53440" w14:textId="77777777" w:rsidTr="009B7AA5">
        <w:trPr>
          <w:trHeight w:val="332"/>
        </w:trPr>
        <w:tc>
          <w:tcPr>
            <w:tcW w:w="4698" w:type="dxa"/>
          </w:tcPr>
          <w:p w14:paraId="30254F1F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Diabetes Mellitus</w:t>
            </w:r>
          </w:p>
        </w:tc>
        <w:tc>
          <w:tcPr>
            <w:tcW w:w="1890" w:type="dxa"/>
          </w:tcPr>
          <w:p w14:paraId="22592597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341 (28.7)</w:t>
            </w:r>
          </w:p>
        </w:tc>
        <w:tc>
          <w:tcPr>
            <w:tcW w:w="2070" w:type="dxa"/>
          </w:tcPr>
          <w:p w14:paraId="5103D6B7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color w:val="000000"/>
              </w:rPr>
              <w:t>662 (29.5)</w:t>
            </w:r>
          </w:p>
        </w:tc>
        <w:tc>
          <w:tcPr>
            <w:tcW w:w="1053" w:type="dxa"/>
          </w:tcPr>
          <w:p w14:paraId="1B51018D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0.62</w:t>
            </w:r>
          </w:p>
        </w:tc>
      </w:tr>
      <w:tr w:rsidR="009B7AA5" w:rsidRPr="009B7AA5" w14:paraId="651FB894" w14:textId="77777777" w:rsidTr="009B7AA5">
        <w:trPr>
          <w:trHeight w:val="332"/>
        </w:trPr>
        <w:tc>
          <w:tcPr>
            <w:tcW w:w="4698" w:type="dxa"/>
          </w:tcPr>
          <w:p w14:paraId="7BA22D4C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proofErr w:type="spellStart"/>
            <w:r w:rsidRPr="009B7AA5">
              <w:rPr>
                <w:rFonts w:asciiTheme="majorHAnsi" w:hAnsiTheme="majorHAnsi"/>
              </w:rPr>
              <w:t>Gastroesophageal</w:t>
            </w:r>
            <w:proofErr w:type="spellEnd"/>
            <w:r w:rsidRPr="009B7AA5">
              <w:rPr>
                <w:rFonts w:asciiTheme="majorHAnsi" w:hAnsiTheme="majorHAnsi"/>
              </w:rPr>
              <w:t xml:space="preserve"> Reflux Disease</w:t>
            </w:r>
          </w:p>
        </w:tc>
        <w:tc>
          <w:tcPr>
            <w:tcW w:w="1890" w:type="dxa"/>
          </w:tcPr>
          <w:p w14:paraId="17B0C9B4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279 (12.4)</w:t>
            </w:r>
          </w:p>
        </w:tc>
        <w:tc>
          <w:tcPr>
            <w:tcW w:w="2070" w:type="dxa"/>
          </w:tcPr>
          <w:p w14:paraId="7436B310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color w:val="000000"/>
              </w:rPr>
              <w:t>144 (12.1)</w:t>
            </w:r>
          </w:p>
        </w:tc>
        <w:tc>
          <w:tcPr>
            <w:tcW w:w="1053" w:type="dxa"/>
          </w:tcPr>
          <w:p w14:paraId="71806140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0.79</w:t>
            </w:r>
          </w:p>
        </w:tc>
      </w:tr>
      <w:tr w:rsidR="009B7AA5" w:rsidRPr="009B7AA5" w14:paraId="08B87292" w14:textId="77777777" w:rsidTr="009B7AA5">
        <w:trPr>
          <w:trHeight w:val="359"/>
        </w:trPr>
        <w:tc>
          <w:tcPr>
            <w:tcW w:w="4698" w:type="dxa"/>
          </w:tcPr>
          <w:p w14:paraId="0CF8E800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Depression</w:t>
            </w:r>
          </w:p>
        </w:tc>
        <w:tc>
          <w:tcPr>
            <w:tcW w:w="1890" w:type="dxa"/>
          </w:tcPr>
          <w:p w14:paraId="43E9007F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209 (17.6)</w:t>
            </w:r>
          </w:p>
        </w:tc>
        <w:tc>
          <w:tcPr>
            <w:tcW w:w="2070" w:type="dxa"/>
          </w:tcPr>
          <w:p w14:paraId="5CC4E053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color w:val="000000"/>
              </w:rPr>
              <w:t>400 (17.8)</w:t>
            </w:r>
          </w:p>
        </w:tc>
        <w:tc>
          <w:tcPr>
            <w:tcW w:w="1053" w:type="dxa"/>
          </w:tcPr>
          <w:p w14:paraId="07DEC857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0.86</w:t>
            </w:r>
          </w:p>
        </w:tc>
      </w:tr>
      <w:tr w:rsidR="009B7AA5" w:rsidRPr="009B7AA5" w14:paraId="4B7A009B" w14:textId="77777777" w:rsidTr="009B7AA5">
        <w:trPr>
          <w:trHeight w:val="350"/>
        </w:trPr>
        <w:tc>
          <w:tcPr>
            <w:tcW w:w="4698" w:type="dxa"/>
          </w:tcPr>
          <w:p w14:paraId="27101106" w14:textId="77777777" w:rsidR="009B7AA5" w:rsidRPr="009B7AA5" w:rsidRDefault="009B7AA5" w:rsidP="009B7AA5">
            <w:pPr>
              <w:tabs>
                <w:tab w:val="left" w:pos="3060"/>
              </w:tabs>
              <w:ind w:left="720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Atrial Fibrillation</w:t>
            </w:r>
          </w:p>
        </w:tc>
        <w:tc>
          <w:tcPr>
            <w:tcW w:w="1890" w:type="dxa"/>
          </w:tcPr>
          <w:p w14:paraId="2E69DFAF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119 (10.0)</w:t>
            </w:r>
          </w:p>
        </w:tc>
        <w:tc>
          <w:tcPr>
            <w:tcW w:w="2070" w:type="dxa"/>
          </w:tcPr>
          <w:p w14:paraId="2EB70182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color w:val="000000"/>
              </w:rPr>
              <w:t>225 (10.0)</w:t>
            </w:r>
          </w:p>
        </w:tc>
        <w:tc>
          <w:tcPr>
            <w:tcW w:w="1053" w:type="dxa"/>
          </w:tcPr>
          <w:p w14:paraId="3DC1B643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0.99</w:t>
            </w:r>
          </w:p>
        </w:tc>
      </w:tr>
      <w:tr w:rsidR="009B7AA5" w:rsidRPr="009B7AA5" w14:paraId="5DB4DB91" w14:textId="77777777" w:rsidTr="009B7AA5">
        <w:trPr>
          <w:trHeight w:val="270"/>
        </w:trPr>
        <w:tc>
          <w:tcPr>
            <w:tcW w:w="4698" w:type="dxa"/>
          </w:tcPr>
          <w:p w14:paraId="2276131A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Number of Chronic medications, mean (SD)</w:t>
            </w:r>
          </w:p>
          <w:p w14:paraId="26C7894A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14:paraId="4FEAA23D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9.7 (5.7)</w:t>
            </w:r>
          </w:p>
        </w:tc>
        <w:tc>
          <w:tcPr>
            <w:tcW w:w="2070" w:type="dxa"/>
          </w:tcPr>
          <w:p w14:paraId="775EED80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color w:val="000000"/>
              </w:rPr>
              <w:t>9.8 (5.5)</w:t>
            </w:r>
          </w:p>
        </w:tc>
        <w:tc>
          <w:tcPr>
            <w:tcW w:w="1053" w:type="dxa"/>
          </w:tcPr>
          <w:p w14:paraId="0FCA448F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color w:val="000000"/>
              </w:rPr>
              <w:t>0.67</w:t>
            </w:r>
          </w:p>
        </w:tc>
      </w:tr>
      <w:tr w:rsidR="009B7AA5" w:rsidRPr="009B7AA5" w14:paraId="6D774CC2" w14:textId="77777777" w:rsidTr="009B7AA5">
        <w:trPr>
          <w:trHeight w:val="286"/>
        </w:trPr>
        <w:tc>
          <w:tcPr>
            <w:tcW w:w="4698" w:type="dxa"/>
          </w:tcPr>
          <w:p w14:paraId="7E583DA9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 xml:space="preserve">Prescribed </w:t>
            </w:r>
            <w:proofErr w:type="spellStart"/>
            <w:r w:rsidRPr="009B7AA5">
              <w:rPr>
                <w:rFonts w:asciiTheme="majorHAnsi" w:hAnsiTheme="majorHAnsi"/>
              </w:rPr>
              <w:t>Memantine</w:t>
            </w:r>
            <w:proofErr w:type="spellEnd"/>
            <w:r w:rsidRPr="009B7AA5">
              <w:rPr>
                <w:rFonts w:asciiTheme="majorHAnsi" w:hAnsiTheme="majorHAnsi"/>
              </w:rPr>
              <w:t>, n (%)</w:t>
            </w:r>
          </w:p>
          <w:p w14:paraId="1A42837E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14:paraId="04BB3F6F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46 (3.9)</w:t>
            </w:r>
          </w:p>
        </w:tc>
        <w:tc>
          <w:tcPr>
            <w:tcW w:w="2070" w:type="dxa"/>
          </w:tcPr>
          <w:p w14:paraId="1E7D43D1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color w:val="000000"/>
              </w:rPr>
              <w:t>63 (2.8)</w:t>
            </w:r>
          </w:p>
        </w:tc>
        <w:tc>
          <w:tcPr>
            <w:tcW w:w="1053" w:type="dxa"/>
          </w:tcPr>
          <w:p w14:paraId="469F6F22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0.09</w:t>
            </w:r>
          </w:p>
        </w:tc>
      </w:tr>
      <w:tr w:rsidR="009B7AA5" w:rsidRPr="009B7AA5" w14:paraId="358314C8" w14:textId="77777777" w:rsidTr="009B7AA5">
        <w:trPr>
          <w:trHeight w:val="286"/>
        </w:trPr>
        <w:tc>
          <w:tcPr>
            <w:tcW w:w="4698" w:type="dxa"/>
          </w:tcPr>
          <w:p w14:paraId="14C88D6A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Hospitalized in past year, n (%)</w:t>
            </w:r>
          </w:p>
          <w:p w14:paraId="6CE5D460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14:paraId="481161E8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336 (28.2)</w:t>
            </w:r>
          </w:p>
        </w:tc>
        <w:tc>
          <w:tcPr>
            <w:tcW w:w="2070" w:type="dxa"/>
          </w:tcPr>
          <w:p w14:paraId="5DE5E502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color w:val="000000"/>
              </w:rPr>
              <w:t>635 (28.3)</w:t>
            </w:r>
          </w:p>
        </w:tc>
        <w:tc>
          <w:tcPr>
            <w:tcW w:w="1053" w:type="dxa"/>
          </w:tcPr>
          <w:p w14:paraId="578F74DD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0.99</w:t>
            </w:r>
          </w:p>
        </w:tc>
      </w:tr>
      <w:tr w:rsidR="009B7AA5" w:rsidRPr="009B7AA5" w14:paraId="18C475A4" w14:textId="77777777" w:rsidTr="009B7AA5">
        <w:trPr>
          <w:trHeight w:val="670"/>
        </w:trPr>
        <w:tc>
          <w:tcPr>
            <w:tcW w:w="4698" w:type="dxa"/>
          </w:tcPr>
          <w:p w14:paraId="00C115FA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Number of outpatient visits in baseline year, median [IRQ]</w:t>
            </w:r>
          </w:p>
          <w:p w14:paraId="0A74B8B8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</w:p>
        </w:tc>
        <w:tc>
          <w:tcPr>
            <w:tcW w:w="1890" w:type="dxa"/>
          </w:tcPr>
          <w:p w14:paraId="3ADF145B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24 (17, 35)</w:t>
            </w:r>
          </w:p>
        </w:tc>
        <w:tc>
          <w:tcPr>
            <w:tcW w:w="2070" w:type="dxa"/>
          </w:tcPr>
          <w:p w14:paraId="1B1CBE2A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23 (16, 34)</w:t>
            </w:r>
          </w:p>
        </w:tc>
        <w:tc>
          <w:tcPr>
            <w:tcW w:w="1053" w:type="dxa"/>
          </w:tcPr>
          <w:p w14:paraId="38B81DFC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0.35</w:t>
            </w:r>
          </w:p>
          <w:p w14:paraId="0A632664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</w:p>
        </w:tc>
      </w:tr>
      <w:tr w:rsidR="009B7AA5" w:rsidRPr="009B7AA5" w14:paraId="596AE087" w14:textId="77777777" w:rsidTr="009B7AA5">
        <w:trPr>
          <w:trHeight w:val="670"/>
        </w:trPr>
        <w:tc>
          <w:tcPr>
            <w:tcW w:w="4698" w:type="dxa"/>
          </w:tcPr>
          <w:p w14:paraId="43E1C79B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Baseline weight in pounds, mean (SD)</w:t>
            </w:r>
          </w:p>
          <w:p w14:paraId="47B35389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1890" w:type="dxa"/>
          </w:tcPr>
          <w:p w14:paraId="45987A86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174.8 (32.8)</w:t>
            </w:r>
          </w:p>
        </w:tc>
        <w:tc>
          <w:tcPr>
            <w:tcW w:w="2070" w:type="dxa"/>
          </w:tcPr>
          <w:p w14:paraId="05A132A9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176.7 (34.3)</w:t>
            </w:r>
          </w:p>
        </w:tc>
        <w:tc>
          <w:tcPr>
            <w:tcW w:w="1053" w:type="dxa"/>
          </w:tcPr>
          <w:p w14:paraId="142137EB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0.12</w:t>
            </w:r>
          </w:p>
        </w:tc>
      </w:tr>
      <w:tr w:rsidR="009B7AA5" w:rsidRPr="009B7AA5" w14:paraId="1CEA7E72" w14:textId="77777777" w:rsidTr="009B7AA5">
        <w:trPr>
          <w:trHeight w:val="670"/>
        </w:trPr>
        <w:tc>
          <w:tcPr>
            <w:tcW w:w="4698" w:type="dxa"/>
          </w:tcPr>
          <w:p w14:paraId="743470AF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Frequency of Weight Measures in year prior</w:t>
            </w:r>
          </w:p>
          <w:p w14:paraId="1AD3DB05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2-5</w:t>
            </w:r>
          </w:p>
          <w:p w14:paraId="4C860297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6-10</w:t>
            </w:r>
          </w:p>
          <w:p w14:paraId="4C1E4866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≥ 11</w:t>
            </w:r>
          </w:p>
        </w:tc>
        <w:tc>
          <w:tcPr>
            <w:tcW w:w="1890" w:type="dxa"/>
          </w:tcPr>
          <w:p w14:paraId="40CC6053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  <w:color w:val="000000"/>
              </w:rPr>
            </w:pPr>
          </w:p>
          <w:p w14:paraId="7B981FDF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  <w:color w:val="000000"/>
              </w:rPr>
            </w:pPr>
            <w:r w:rsidRPr="009B7AA5">
              <w:rPr>
                <w:rFonts w:asciiTheme="majorHAnsi" w:hAnsiTheme="majorHAnsi"/>
                <w:color w:val="000000"/>
              </w:rPr>
              <w:t>400 (33.6)</w:t>
            </w:r>
          </w:p>
          <w:p w14:paraId="160BB868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499 (41.9)</w:t>
            </w:r>
          </w:p>
          <w:p w14:paraId="5AAE3423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291 (24.5)</w:t>
            </w:r>
          </w:p>
        </w:tc>
        <w:tc>
          <w:tcPr>
            <w:tcW w:w="2070" w:type="dxa"/>
          </w:tcPr>
          <w:p w14:paraId="6813120E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</w:p>
          <w:p w14:paraId="3EA8A024" w14:textId="77777777" w:rsidR="009B7AA5" w:rsidRPr="009B7AA5" w:rsidRDefault="009B7AA5" w:rsidP="009B7AA5">
            <w:pPr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776 (34.5)</w:t>
            </w:r>
          </w:p>
          <w:p w14:paraId="661464FC" w14:textId="77777777" w:rsidR="009B7AA5" w:rsidRPr="009B7AA5" w:rsidRDefault="009B7AA5" w:rsidP="009B7AA5">
            <w:pPr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893 (39.7)</w:t>
            </w:r>
          </w:p>
          <w:p w14:paraId="37730492" w14:textId="77777777" w:rsidR="009B7AA5" w:rsidRPr="009B7AA5" w:rsidRDefault="009B7AA5" w:rsidP="009B7AA5">
            <w:pPr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578 (25.7)</w:t>
            </w:r>
          </w:p>
        </w:tc>
        <w:tc>
          <w:tcPr>
            <w:tcW w:w="1053" w:type="dxa"/>
          </w:tcPr>
          <w:p w14:paraId="52831387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  <w:color w:val="000000"/>
              </w:rPr>
            </w:pPr>
          </w:p>
          <w:p w14:paraId="09910E9E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  <w:color w:val="000000"/>
              </w:rPr>
              <w:t xml:space="preserve">0.45 </w:t>
            </w:r>
          </w:p>
        </w:tc>
      </w:tr>
      <w:tr w:rsidR="009B7AA5" w:rsidRPr="009B7AA5" w14:paraId="6ADDBBB6" w14:textId="77777777" w:rsidTr="009B7AA5">
        <w:trPr>
          <w:trHeight w:val="670"/>
        </w:trPr>
        <w:tc>
          <w:tcPr>
            <w:tcW w:w="4698" w:type="dxa"/>
          </w:tcPr>
          <w:p w14:paraId="6B0193FC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 xml:space="preserve"> Weight Trajectory in Year Prior in pounds, mean (SD)</w:t>
            </w:r>
          </w:p>
        </w:tc>
        <w:tc>
          <w:tcPr>
            <w:tcW w:w="1890" w:type="dxa"/>
          </w:tcPr>
          <w:p w14:paraId="369709B5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0.9 (4.8)</w:t>
            </w:r>
          </w:p>
        </w:tc>
        <w:tc>
          <w:tcPr>
            <w:tcW w:w="2070" w:type="dxa"/>
          </w:tcPr>
          <w:p w14:paraId="5B5C329A" w14:textId="77777777" w:rsidR="009B7AA5" w:rsidRPr="009B7AA5" w:rsidRDefault="009B7AA5" w:rsidP="009B7AA5">
            <w:pPr>
              <w:tabs>
                <w:tab w:val="left" w:pos="3060"/>
              </w:tabs>
              <w:jc w:val="center"/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0.9 (4.9)</w:t>
            </w:r>
          </w:p>
        </w:tc>
        <w:tc>
          <w:tcPr>
            <w:tcW w:w="1053" w:type="dxa"/>
          </w:tcPr>
          <w:p w14:paraId="7B0E3394" w14:textId="77777777" w:rsidR="009B7AA5" w:rsidRPr="009B7AA5" w:rsidRDefault="009B7AA5" w:rsidP="009B7AA5">
            <w:pPr>
              <w:tabs>
                <w:tab w:val="left" w:pos="3060"/>
              </w:tabs>
              <w:rPr>
                <w:rFonts w:asciiTheme="majorHAnsi" w:hAnsiTheme="majorHAnsi"/>
              </w:rPr>
            </w:pPr>
            <w:r w:rsidRPr="009B7AA5">
              <w:rPr>
                <w:rFonts w:asciiTheme="majorHAnsi" w:hAnsiTheme="majorHAnsi"/>
              </w:rPr>
              <w:t>0.81</w:t>
            </w:r>
          </w:p>
        </w:tc>
      </w:tr>
    </w:tbl>
    <w:p w14:paraId="57771433" w14:textId="77777777" w:rsidR="009B7AA5" w:rsidRPr="00D006CE" w:rsidRDefault="009B7AA5" w:rsidP="009B7AA5">
      <w:pPr>
        <w:rPr>
          <w:rFonts w:ascii="Calibri" w:hAnsi="Calibri"/>
          <w:b/>
        </w:rPr>
      </w:pPr>
      <w:r w:rsidRPr="00D006CE">
        <w:rPr>
          <w:rFonts w:ascii="Calibri" w:hAnsi="Calibri"/>
          <w:b/>
        </w:rPr>
        <w:t>Figure 1. Kaplan-Meier plot for Weight Loss in Propensity Score Matched Cohort in One Year Follow-up</w:t>
      </w:r>
    </w:p>
    <w:p w14:paraId="412CDDA2" w14:textId="16BBC514" w:rsidR="009B7AA5" w:rsidRDefault="004A1363" w:rsidP="004A1363">
      <w:pPr>
        <w:tabs>
          <w:tab w:val="left" w:pos="5982"/>
        </w:tabs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noProof/>
          <w:sz w:val="28"/>
          <w:szCs w:val="28"/>
        </w:rPr>
        <w:drawing>
          <wp:inline distT="0" distB="0" distL="0" distR="0" wp14:anchorId="2883C4B7" wp14:editId="3360EEFF">
            <wp:extent cx="5486400" cy="34315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3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34678" w14:textId="77777777" w:rsidR="009B7AA5" w:rsidRDefault="009B7AA5" w:rsidP="009B7AA5">
      <w:pPr>
        <w:tabs>
          <w:tab w:val="left" w:pos="2100"/>
        </w:tabs>
        <w:rPr>
          <w:b/>
        </w:rPr>
      </w:pPr>
    </w:p>
    <w:p w14:paraId="065B07EA" w14:textId="77777777" w:rsidR="00CA719D" w:rsidRDefault="00CA719D" w:rsidP="009B7AA5">
      <w:pPr>
        <w:tabs>
          <w:tab w:val="left" w:pos="2100"/>
        </w:tabs>
        <w:rPr>
          <w:b/>
        </w:rPr>
      </w:pPr>
    </w:p>
    <w:p w14:paraId="13F34BC1" w14:textId="77777777" w:rsidR="009B7AA5" w:rsidRPr="00CA719D" w:rsidRDefault="009B7AA5" w:rsidP="009B7AA5">
      <w:pPr>
        <w:rPr>
          <w:rFonts w:ascii="Calibri" w:hAnsi="Calibri"/>
          <w:b/>
        </w:rPr>
      </w:pPr>
      <w:r w:rsidRPr="00CA719D">
        <w:rPr>
          <w:rFonts w:ascii="Calibri" w:hAnsi="Calibri"/>
          <w:b/>
        </w:rPr>
        <w:t xml:space="preserve">Table 3. Risk of Weight Loss with Cholinesterase Inhibitors, </w:t>
      </w:r>
    </w:p>
    <w:p w14:paraId="77ADE824" w14:textId="77777777" w:rsidR="009B7AA5" w:rsidRPr="00CA719D" w:rsidRDefault="009B7AA5" w:rsidP="009B7AA5">
      <w:pPr>
        <w:rPr>
          <w:b/>
        </w:rPr>
      </w:pPr>
      <w:r w:rsidRPr="00CA719D">
        <w:rPr>
          <w:rFonts w:ascii="Calibri" w:hAnsi="Calibri"/>
          <w:b/>
        </w:rPr>
        <w:t xml:space="preserve">Stratified by Age, Comorbid Burden, and Initial Weight </w:t>
      </w:r>
    </w:p>
    <w:p w14:paraId="65AF9809" w14:textId="77777777" w:rsidR="009B7AA5" w:rsidRPr="00CA719D" w:rsidRDefault="009B7AA5" w:rsidP="009B7AA5">
      <w:pPr>
        <w:rPr>
          <w:rFonts w:ascii="Calibri" w:hAnsi="Calibri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2628"/>
        <w:gridCol w:w="1170"/>
        <w:gridCol w:w="3150"/>
        <w:gridCol w:w="2628"/>
      </w:tblGrid>
      <w:tr w:rsidR="009B7AA5" w:rsidRPr="00CA719D" w14:paraId="022C33D6" w14:textId="77777777" w:rsidTr="009B7AA5">
        <w:trPr>
          <w:trHeight w:val="1058"/>
        </w:trPr>
        <w:tc>
          <w:tcPr>
            <w:tcW w:w="2628" w:type="dxa"/>
          </w:tcPr>
          <w:p w14:paraId="1C688988" w14:textId="77777777" w:rsidR="009B7AA5" w:rsidRPr="00CA719D" w:rsidRDefault="009B7AA5" w:rsidP="009B7AA5">
            <w:pPr>
              <w:rPr>
                <w:rFonts w:ascii="Calibri" w:hAnsi="Calibri"/>
                <w:b/>
              </w:rPr>
            </w:pPr>
            <w:r w:rsidRPr="00CA719D">
              <w:rPr>
                <w:rFonts w:ascii="Calibri" w:hAnsi="Calibri"/>
                <w:b/>
              </w:rPr>
              <w:t>Subgroup</w:t>
            </w:r>
          </w:p>
        </w:tc>
        <w:tc>
          <w:tcPr>
            <w:tcW w:w="1170" w:type="dxa"/>
          </w:tcPr>
          <w:p w14:paraId="7170EE56" w14:textId="77777777" w:rsidR="009B7AA5" w:rsidRPr="00CA719D" w:rsidRDefault="009B7AA5" w:rsidP="009B7AA5">
            <w:pPr>
              <w:rPr>
                <w:rFonts w:ascii="Calibri" w:hAnsi="Calibri"/>
                <w:b/>
              </w:rPr>
            </w:pPr>
            <w:r w:rsidRPr="00CA719D">
              <w:rPr>
                <w:rFonts w:ascii="Calibri" w:hAnsi="Calibri"/>
                <w:b/>
              </w:rPr>
              <w:t>Number in Group</w:t>
            </w:r>
          </w:p>
        </w:tc>
        <w:tc>
          <w:tcPr>
            <w:tcW w:w="3150" w:type="dxa"/>
          </w:tcPr>
          <w:p w14:paraId="14744178" w14:textId="77777777" w:rsidR="009B7AA5" w:rsidRPr="00CA719D" w:rsidRDefault="009B7AA5" w:rsidP="009B7AA5">
            <w:pPr>
              <w:rPr>
                <w:rFonts w:ascii="Calibri" w:hAnsi="Calibri"/>
                <w:b/>
              </w:rPr>
            </w:pPr>
            <w:r w:rsidRPr="00CA719D">
              <w:rPr>
                <w:rFonts w:ascii="Calibri" w:hAnsi="Calibri"/>
                <w:b/>
              </w:rPr>
              <w:t>Hazard Ratio for Weight Loss (95% CI)</w:t>
            </w:r>
          </w:p>
        </w:tc>
        <w:tc>
          <w:tcPr>
            <w:tcW w:w="2628" w:type="dxa"/>
          </w:tcPr>
          <w:p w14:paraId="4B00658B" w14:textId="77777777" w:rsidR="009B7AA5" w:rsidRPr="00CA719D" w:rsidRDefault="009B7AA5" w:rsidP="009B7AA5">
            <w:pPr>
              <w:rPr>
                <w:rFonts w:ascii="Calibri" w:hAnsi="Calibri"/>
                <w:b/>
              </w:rPr>
            </w:pPr>
            <w:r w:rsidRPr="00CA719D">
              <w:rPr>
                <w:rFonts w:ascii="Calibri" w:hAnsi="Calibri"/>
                <w:b/>
              </w:rPr>
              <w:t>P-value for Difference in Hazard Ratio</w:t>
            </w:r>
          </w:p>
          <w:p w14:paraId="6944743D" w14:textId="77777777" w:rsidR="009B7AA5" w:rsidRPr="00CA719D" w:rsidRDefault="009B7AA5" w:rsidP="009B7AA5">
            <w:pPr>
              <w:rPr>
                <w:rFonts w:ascii="Calibri" w:hAnsi="Calibri"/>
                <w:b/>
              </w:rPr>
            </w:pPr>
            <w:r w:rsidRPr="00CA719D">
              <w:rPr>
                <w:rFonts w:ascii="Calibri" w:hAnsi="Calibri"/>
                <w:b/>
              </w:rPr>
              <w:t>(Interaction Term)</w:t>
            </w:r>
          </w:p>
        </w:tc>
      </w:tr>
      <w:tr w:rsidR="009B7AA5" w:rsidRPr="00CA719D" w14:paraId="3C046374" w14:textId="77777777" w:rsidTr="009B7AA5">
        <w:trPr>
          <w:trHeight w:val="1196"/>
        </w:trPr>
        <w:tc>
          <w:tcPr>
            <w:tcW w:w="2628" w:type="dxa"/>
          </w:tcPr>
          <w:p w14:paraId="74CD4CE4" w14:textId="77777777" w:rsidR="009B7AA5" w:rsidRPr="00CA719D" w:rsidRDefault="009B7AA5" w:rsidP="009B7AA5">
            <w:pPr>
              <w:rPr>
                <w:rFonts w:ascii="Calibri" w:hAnsi="Calibri"/>
                <w:b/>
              </w:rPr>
            </w:pPr>
            <w:r w:rsidRPr="00CA719D">
              <w:rPr>
                <w:rFonts w:ascii="Calibri" w:hAnsi="Calibri"/>
                <w:b/>
              </w:rPr>
              <w:t xml:space="preserve">Age </w:t>
            </w:r>
          </w:p>
          <w:p w14:paraId="030BB0DC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>Age &lt;=77 years</w:t>
            </w:r>
          </w:p>
          <w:p w14:paraId="728C8CDC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 xml:space="preserve">Age &gt;77 </w:t>
            </w:r>
            <w:proofErr w:type="gramStart"/>
            <w:r w:rsidRPr="00CA719D">
              <w:rPr>
                <w:rFonts w:ascii="Calibri" w:hAnsi="Calibri"/>
              </w:rPr>
              <w:t xml:space="preserve">years  </w:t>
            </w:r>
            <w:proofErr w:type="gramEnd"/>
          </w:p>
        </w:tc>
        <w:tc>
          <w:tcPr>
            <w:tcW w:w="1170" w:type="dxa"/>
          </w:tcPr>
          <w:p w14:paraId="1504C2D2" w14:textId="77777777" w:rsidR="009B7AA5" w:rsidRPr="00CA719D" w:rsidRDefault="009B7AA5" w:rsidP="009B7AA5">
            <w:pPr>
              <w:rPr>
                <w:rFonts w:ascii="Calibri" w:hAnsi="Calibri"/>
              </w:rPr>
            </w:pPr>
          </w:p>
          <w:p w14:paraId="72B2B63F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>1,590</w:t>
            </w:r>
          </w:p>
          <w:p w14:paraId="4D06856C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>1,847</w:t>
            </w:r>
          </w:p>
        </w:tc>
        <w:tc>
          <w:tcPr>
            <w:tcW w:w="3150" w:type="dxa"/>
          </w:tcPr>
          <w:p w14:paraId="0E3967DD" w14:textId="77777777" w:rsidR="009B7AA5" w:rsidRPr="00CA719D" w:rsidRDefault="009B7AA5" w:rsidP="009B7AA5">
            <w:pPr>
              <w:rPr>
                <w:rFonts w:ascii="Calibri" w:hAnsi="Calibri"/>
                <w:b/>
                <w:u w:val="single"/>
              </w:rPr>
            </w:pPr>
            <w:r w:rsidRPr="00CA719D">
              <w:rPr>
                <w:rFonts w:ascii="SAS Monospace" w:hAnsi="SAS Monospace"/>
              </w:rPr>
              <w:t xml:space="preserve"> </w:t>
            </w:r>
          </w:p>
          <w:p w14:paraId="4B5244C7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>1.22 (0.99 – 1.51)</w:t>
            </w:r>
          </w:p>
          <w:p w14:paraId="2E2568AD" w14:textId="77777777" w:rsidR="009B7AA5" w:rsidRPr="00CA719D" w:rsidRDefault="009B7AA5" w:rsidP="009B7AA5">
            <w:pPr>
              <w:rPr>
                <w:rFonts w:ascii="Calibri" w:hAnsi="Calibri"/>
                <w:b/>
                <w:u w:val="single"/>
              </w:rPr>
            </w:pPr>
            <w:r w:rsidRPr="00CA719D">
              <w:rPr>
                <w:rFonts w:ascii="Calibri" w:hAnsi="Calibri"/>
              </w:rPr>
              <w:t>1.35 (1.12 – 1.63)</w:t>
            </w:r>
          </w:p>
        </w:tc>
        <w:tc>
          <w:tcPr>
            <w:tcW w:w="2628" w:type="dxa"/>
          </w:tcPr>
          <w:p w14:paraId="6C2D7B47" w14:textId="77777777" w:rsidR="009B7AA5" w:rsidRPr="00CA719D" w:rsidRDefault="009B7AA5" w:rsidP="009B7AA5">
            <w:pPr>
              <w:rPr>
                <w:rFonts w:ascii="Calibri" w:hAnsi="Calibri" w:cs="Calibri"/>
              </w:rPr>
            </w:pPr>
          </w:p>
          <w:p w14:paraId="27DF491B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 w:cs="Calibri"/>
              </w:rPr>
              <w:t>0.488</w:t>
            </w:r>
          </w:p>
        </w:tc>
      </w:tr>
      <w:tr w:rsidR="009B7AA5" w:rsidRPr="00CA719D" w14:paraId="3222925A" w14:textId="77777777" w:rsidTr="009B7AA5">
        <w:trPr>
          <w:trHeight w:val="1169"/>
        </w:trPr>
        <w:tc>
          <w:tcPr>
            <w:tcW w:w="2628" w:type="dxa"/>
          </w:tcPr>
          <w:p w14:paraId="0F684065" w14:textId="77777777" w:rsidR="009B7AA5" w:rsidRPr="00CA719D" w:rsidRDefault="009B7AA5" w:rsidP="009B7AA5">
            <w:pPr>
              <w:rPr>
                <w:rFonts w:ascii="Calibri" w:hAnsi="Calibri"/>
                <w:b/>
              </w:rPr>
            </w:pPr>
            <w:r w:rsidRPr="00CA719D">
              <w:rPr>
                <w:rFonts w:ascii="Calibri" w:hAnsi="Calibri"/>
                <w:b/>
              </w:rPr>
              <w:t xml:space="preserve">Comorbid Burden </w:t>
            </w:r>
          </w:p>
          <w:p w14:paraId="2D7B21B5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>0-3 conditions</w:t>
            </w:r>
          </w:p>
          <w:p w14:paraId="67C8ED60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>&gt;3 conditions</w:t>
            </w:r>
          </w:p>
        </w:tc>
        <w:tc>
          <w:tcPr>
            <w:tcW w:w="1170" w:type="dxa"/>
          </w:tcPr>
          <w:p w14:paraId="224766CD" w14:textId="77777777" w:rsidR="009B7AA5" w:rsidRPr="00CA719D" w:rsidRDefault="009B7AA5" w:rsidP="009B7AA5">
            <w:pPr>
              <w:rPr>
                <w:rFonts w:ascii="Calibri" w:hAnsi="Calibri"/>
              </w:rPr>
            </w:pPr>
          </w:p>
          <w:p w14:paraId="283F81AB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>2091</w:t>
            </w:r>
          </w:p>
          <w:p w14:paraId="275E43A1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>1346</w:t>
            </w:r>
          </w:p>
        </w:tc>
        <w:tc>
          <w:tcPr>
            <w:tcW w:w="3150" w:type="dxa"/>
          </w:tcPr>
          <w:p w14:paraId="66554E67" w14:textId="77777777" w:rsidR="009B7AA5" w:rsidRPr="00CA719D" w:rsidRDefault="009B7AA5" w:rsidP="009B7AA5">
            <w:pPr>
              <w:rPr>
                <w:rFonts w:ascii="Calibri" w:hAnsi="Calibri"/>
                <w:b/>
                <w:u w:val="single"/>
              </w:rPr>
            </w:pPr>
          </w:p>
          <w:p w14:paraId="71ADBA3A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>1.39 (1.15 – 1.67)</w:t>
            </w:r>
          </w:p>
          <w:p w14:paraId="30CE4A18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>1.19 (0.96 – 1.47)</w:t>
            </w:r>
          </w:p>
        </w:tc>
        <w:tc>
          <w:tcPr>
            <w:tcW w:w="2628" w:type="dxa"/>
          </w:tcPr>
          <w:p w14:paraId="74FD3A7B" w14:textId="77777777" w:rsidR="009B7AA5" w:rsidRPr="00CA719D" w:rsidRDefault="009B7AA5" w:rsidP="009B7AA5">
            <w:pPr>
              <w:rPr>
                <w:rFonts w:ascii="Calibri" w:hAnsi="Calibri" w:cs="Calibri"/>
              </w:rPr>
            </w:pPr>
          </w:p>
          <w:p w14:paraId="31B970A1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 w:cs="Calibri"/>
              </w:rPr>
              <w:t>0.285</w:t>
            </w:r>
          </w:p>
        </w:tc>
      </w:tr>
      <w:tr w:rsidR="009B7AA5" w:rsidRPr="00CA719D" w14:paraId="7ACD5A16" w14:textId="77777777" w:rsidTr="009B7AA5">
        <w:trPr>
          <w:trHeight w:val="346"/>
        </w:trPr>
        <w:tc>
          <w:tcPr>
            <w:tcW w:w="2628" w:type="dxa"/>
          </w:tcPr>
          <w:p w14:paraId="73555392" w14:textId="77777777" w:rsidR="009B7AA5" w:rsidRPr="00CA719D" w:rsidRDefault="009B7AA5" w:rsidP="009B7AA5">
            <w:pPr>
              <w:rPr>
                <w:rFonts w:ascii="Calibri" w:hAnsi="Calibri"/>
                <w:b/>
              </w:rPr>
            </w:pPr>
            <w:r w:rsidRPr="00CA719D">
              <w:rPr>
                <w:rFonts w:ascii="Calibri" w:hAnsi="Calibri"/>
                <w:b/>
              </w:rPr>
              <w:t xml:space="preserve">Initial Weight </w:t>
            </w:r>
          </w:p>
          <w:p w14:paraId="2B73EFD1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>Weight &lt;=170 pounds</w:t>
            </w:r>
          </w:p>
          <w:p w14:paraId="19C3EE6F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>Weight &gt;170 pounds</w:t>
            </w:r>
          </w:p>
          <w:p w14:paraId="0C9ED312" w14:textId="77777777" w:rsidR="009B7AA5" w:rsidRPr="00CA719D" w:rsidRDefault="009B7AA5" w:rsidP="009B7AA5">
            <w:pPr>
              <w:rPr>
                <w:rFonts w:ascii="Calibri" w:hAnsi="Calibri"/>
              </w:rPr>
            </w:pPr>
          </w:p>
        </w:tc>
        <w:tc>
          <w:tcPr>
            <w:tcW w:w="1170" w:type="dxa"/>
          </w:tcPr>
          <w:p w14:paraId="44141C9A" w14:textId="77777777" w:rsidR="009B7AA5" w:rsidRPr="00CA719D" w:rsidRDefault="009B7AA5" w:rsidP="009B7AA5">
            <w:pPr>
              <w:rPr>
                <w:rFonts w:ascii="Calibri" w:hAnsi="Calibri"/>
                <w:b/>
                <w:u w:val="single"/>
              </w:rPr>
            </w:pPr>
          </w:p>
          <w:p w14:paraId="529A0939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>1621</w:t>
            </w:r>
          </w:p>
          <w:p w14:paraId="7A60C245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>1816</w:t>
            </w:r>
          </w:p>
        </w:tc>
        <w:tc>
          <w:tcPr>
            <w:tcW w:w="3150" w:type="dxa"/>
          </w:tcPr>
          <w:p w14:paraId="6D09C6DA" w14:textId="77777777" w:rsidR="009B7AA5" w:rsidRPr="00CA719D" w:rsidRDefault="009B7AA5" w:rsidP="009B7AA5">
            <w:pPr>
              <w:rPr>
                <w:rFonts w:ascii="Calibri" w:hAnsi="Calibri"/>
                <w:b/>
                <w:u w:val="single"/>
              </w:rPr>
            </w:pPr>
          </w:p>
          <w:p w14:paraId="2B1E87B7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>1.24 (0.99 – 1.55)</w:t>
            </w:r>
          </w:p>
          <w:p w14:paraId="4D494E52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/>
              </w:rPr>
              <w:t>1.37 (1.15 – 1.65)</w:t>
            </w:r>
          </w:p>
        </w:tc>
        <w:tc>
          <w:tcPr>
            <w:tcW w:w="2628" w:type="dxa"/>
          </w:tcPr>
          <w:p w14:paraId="104E8DA3" w14:textId="77777777" w:rsidR="009B7AA5" w:rsidRPr="00CA719D" w:rsidRDefault="009B7AA5" w:rsidP="009B7AA5">
            <w:pPr>
              <w:rPr>
                <w:rFonts w:ascii="Calibri" w:hAnsi="Calibri" w:cs="Calibri"/>
              </w:rPr>
            </w:pPr>
          </w:p>
          <w:p w14:paraId="309C64A2" w14:textId="77777777" w:rsidR="009B7AA5" w:rsidRPr="00CA719D" w:rsidRDefault="009B7AA5" w:rsidP="009B7AA5">
            <w:pPr>
              <w:rPr>
                <w:rFonts w:ascii="Calibri" w:hAnsi="Calibri"/>
              </w:rPr>
            </w:pPr>
            <w:r w:rsidRPr="00CA719D">
              <w:rPr>
                <w:rFonts w:ascii="Calibri" w:hAnsi="Calibri" w:cs="Calibri"/>
              </w:rPr>
              <w:t>0.466</w:t>
            </w:r>
          </w:p>
        </w:tc>
      </w:tr>
    </w:tbl>
    <w:p w14:paraId="4209BF6B" w14:textId="77777777" w:rsidR="001A0A93" w:rsidRDefault="001A0A93" w:rsidP="008B3F73">
      <w:pPr>
        <w:widowControl w:val="0"/>
        <w:autoSpaceDE w:val="0"/>
        <w:autoSpaceDN w:val="0"/>
        <w:adjustRightInd w:val="0"/>
      </w:pPr>
    </w:p>
    <w:p w14:paraId="5499A8F6" w14:textId="77777777" w:rsidR="004A1363" w:rsidRDefault="004A1363" w:rsidP="008B3F73">
      <w:pPr>
        <w:widowControl w:val="0"/>
        <w:autoSpaceDE w:val="0"/>
        <w:autoSpaceDN w:val="0"/>
        <w:adjustRightInd w:val="0"/>
      </w:pPr>
    </w:p>
    <w:p w14:paraId="165F3EDF" w14:textId="74BA71CF" w:rsidR="004A1363" w:rsidRPr="002B70D1" w:rsidRDefault="008272BF" w:rsidP="004A1363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References</w:t>
      </w:r>
      <w:r w:rsidR="004A1363" w:rsidRPr="002B70D1">
        <w:rPr>
          <w:rFonts w:ascii="Calibri" w:hAnsi="Calibri"/>
          <w:b/>
          <w:sz w:val="28"/>
          <w:szCs w:val="28"/>
        </w:rPr>
        <w:t>:</w:t>
      </w:r>
    </w:p>
    <w:p w14:paraId="25F3D5D6" w14:textId="77777777" w:rsidR="004A1363" w:rsidRDefault="004A1363" w:rsidP="008B3F73">
      <w:pPr>
        <w:widowControl w:val="0"/>
        <w:autoSpaceDE w:val="0"/>
        <w:autoSpaceDN w:val="0"/>
        <w:adjustRightInd w:val="0"/>
      </w:pPr>
    </w:p>
    <w:p w14:paraId="5F44E95E" w14:textId="19C4E435" w:rsidR="00A92A10" w:rsidRPr="008B6DB0" w:rsidRDefault="007754D9" w:rsidP="007754D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/>
        </w:rPr>
      </w:pPr>
      <w:proofErr w:type="spellStart"/>
      <w:r w:rsidRPr="007754D9">
        <w:rPr>
          <w:rFonts w:ascii="Calibri" w:hAnsi="Calibri" w:cs="Arial"/>
          <w:bCs/>
        </w:rPr>
        <w:t>Doody</w:t>
      </w:r>
      <w:proofErr w:type="spellEnd"/>
      <w:r w:rsidRPr="007754D9">
        <w:rPr>
          <w:rFonts w:ascii="Calibri" w:hAnsi="Calibri" w:cs="Arial"/>
          <w:bCs/>
        </w:rPr>
        <w:t xml:space="preserve"> </w:t>
      </w:r>
      <w:bookmarkStart w:id="0" w:name="_GoBack"/>
      <w:r w:rsidRPr="008B6DB0">
        <w:rPr>
          <w:rFonts w:asciiTheme="majorHAnsi" w:hAnsiTheme="majorHAnsi" w:cs="Arial"/>
          <w:bCs/>
        </w:rPr>
        <w:t xml:space="preserve">RS et al. </w:t>
      </w:r>
      <w:r w:rsidRPr="008B6DB0">
        <w:rPr>
          <w:rFonts w:asciiTheme="majorHAnsi" w:hAnsiTheme="majorHAnsi"/>
        </w:rPr>
        <w:t xml:space="preserve">Practice parameter: management of dementia (an evidence-based review). Report of the Quality Standards Subcommittee of the American Academy of Neurology. </w:t>
      </w:r>
      <w:r w:rsidRPr="008B6DB0">
        <w:rPr>
          <w:rFonts w:asciiTheme="majorHAnsi" w:hAnsiTheme="majorHAnsi" w:cs="Arial"/>
          <w:bCs/>
        </w:rPr>
        <w:t>Neurology. 2001 May 8</w:t>
      </w:r>
      <w:proofErr w:type="gramStart"/>
      <w:r w:rsidRPr="008B6DB0">
        <w:rPr>
          <w:rFonts w:asciiTheme="majorHAnsi" w:hAnsiTheme="majorHAnsi" w:cs="Arial"/>
          <w:bCs/>
        </w:rPr>
        <w:t>;56</w:t>
      </w:r>
      <w:proofErr w:type="gramEnd"/>
      <w:r w:rsidRPr="008B6DB0">
        <w:rPr>
          <w:rFonts w:asciiTheme="majorHAnsi" w:hAnsiTheme="majorHAnsi" w:cs="Arial"/>
          <w:bCs/>
        </w:rPr>
        <w:t>(9):1154-66.</w:t>
      </w:r>
    </w:p>
    <w:p w14:paraId="670F8CFB" w14:textId="77777777" w:rsidR="00D03460" w:rsidRPr="008B6DB0" w:rsidRDefault="00D03460" w:rsidP="00D0346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8B6DB0">
        <w:rPr>
          <w:rFonts w:asciiTheme="majorHAnsi" w:hAnsiTheme="majorHAnsi"/>
        </w:rPr>
        <w:t>Qaseem</w:t>
      </w:r>
      <w:proofErr w:type="spellEnd"/>
      <w:r w:rsidRPr="008B6DB0">
        <w:rPr>
          <w:rFonts w:asciiTheme="majorHAnsi" w:hAnsiTheme="majorHAnsi"/>
        </w:rPr>
        <w:t xml:space="preserve"> A et al. Current pharmacologic treatment of dementia: a clinical practice guideline from the American College of Physicians and the American Academy of Family Physicians. Ann Intern Med. 2008 Mar 4</w:t>
      </w:r>
      <w:proofErr w:type="gramStart"/>
      <w:r w:rsidRPr="008B6DB0">
        <w:rPr>
          <w:rFonts w:asciiTheme="majorHAnsi" w:hAnsiTheme="majorHAnsi"/>
        </w:rPr>
        <w:t>;148</w:t>
      </w:r>
      <w:proofErr w:type="gramEnd"/>
      <w:r w:rsidRPr="008B6DB0">
        <w:rPr>
          <w:rFonts w:asciiTheme="majorHAnsi" w:hAnsiTheme="majorHAnsi"/>
        </w:rPr>
        <w:t>(5):370-8.</w:t>
      </w:r>
    </w:p>
    <w:p w14:paraId="310DA592" w14:textId="7287FF00" w:rsidR="00A92A10" w:rsidRPr="008B6DB0" w:rsidRDefault="009F7434" w:rsidP="00A92A1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Theme="majorHAnsi" w:hAnsiTheme="majorHAnsi"/>
        </w:rPr>
      </w:pPr>
      <w:r w:rsidRPr="008B6DB0">
        <w:rPr>
          <w:rFonts w:asciiTheme="majorHAnsi" w:hAnsiTheme="majorHAnsi"/>
        </w:rPr>
        <w:fldChar w:fldCharType="begin">
          <w:fldData xml:space="preserve">PEVuZE5vdGU+PENpdGU+PFllYXI+RmViIDIwMTI8L1llYXI+PFJlY051bT4xODwvUmVjTnVtPjxE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</w:fldData>
        </w:fldChar>
      </w:r>
      <w:r w:rsidRPr="008B6DB0">
        <w:rPr>
          <w:rFonts w:asciiTheme="majorHAnsi" w:hAnsiTheme="majorHAnsi"/>
        </w:rPr>
        <w:instrText xml:space="preserve"> ADDIN EN.CITE </w:instrText>
      </w:r>
      <w:r w:rsidRPr="008B6DB0">
        <w:rPr>
          <w:rFonts w:asciiTheme="majorHAnsi" w:hAnsiTheme="majorHAnsi"/>
        </w:rPr>
        <w:fldChar w:fldCharType="begin">
          <w:fldData xml:space="preserve">PEVuZE5vdGU+PENpdGU+PFllYXI+RmViIDIwMTI8L1llYXI+PFJlY051bT4xODwvUmVjTnVtPjxE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</w:fldData>
        </w:fldChar>
      </w:r>
      <w:r w:rsidRPr="008B6DB0">
        <w:rPr>
          <w:rFonts w:asciiTheme="majorHAnsi" w:hAnsiTheme="majorHAnsi"/>
        </w:rPr>
        <w:instrText xml:space="preserve"> ADDIN EN.CITE.DATA </w:instrText>
      </w:r>
      <w:r w:rsidRPr="008B6DB0">
        <w:rPr>
          <w:rFonts w:asciiTheme="majorHAnsi" w:hAnsiTheme="majorHAnsi"/>
        </w:rPr>
      </w:r>
      <w:r w:rsidRPr="008B6DB0">
        <w:rPr>
          <w:rFonts w:asciiTheme="majorHAnsi" w:hAnsiTheme="majorHAnsi"/>
        </w:rPr>
        <w:fldChar w:fldCharType="end"/>
      </w:r>
      <w:r w:rsidRPr="008B6DB0">
        <w:rPr>
          <w:rFonts w:asciiTheme="majorHAnsi" w:hAnsiTheme="majorHAnsi"/>
        </w:rPr>
      </w:r>
      <w:r w:rsidRPr="008B6DB0">
        <w:rPr>
          <w:rFonts w:asciiTheme="majorHAnsi" w:hAnsiTheme="majorHAnsi"/>
        </w:rPr>
        <w:fldChar w:fldCharType="separate"/>
      </w:r>
      <w:r w:rsidR="00D03460" w:rsidRPr="008B6DB0">
        <w:rPr>
          <w:rFonts w:asciiTheme="majorHAnsi" w:hAnsiTheme="majorHAnsi"/>
        </w:rPr>
        <w:t xml:space="preserve"> Rogers SL et al. A 24-week, </w:t>
      </w:r>
      <w:proofErr w:type="gramStart"/>
      <w:r w:rsidR="00D03460" w:rsidRPr="008B6DB0">
        <w:rPr>
          <w:rFonts w:asciiTheme="majorHAnsi" w:hAnsiTheme="majorHAnsi"/>
        </w:rPr>
        <w:t>double-blind</w:t>
      </w:r>
      <w:proofErr w:type="gramEnd"/>
      <w:r w:rsidR="00D03460" w:rsidRPr="008B6DB0">
        <w:rPr>
          <w:rFonts w:asciiTheme="majorHAnsi" w:hAnsiTheme="majorHAnsi"/>
        </w:rPr>
        <w:t>, placebo-controlled trial of donepezil in patients with Alzheimer's disease. Donepezil Study Group. Neurology. 1998 Jan</w:t>
      </w:r>
      <w:proofErr w:type="gramStart"/>
      <w:r w:rsidR="00D03460" w:rsidRPr="008B6DB0">
        <w:rPr>
          <w:rFonts w:asciiTheme="majorHAnsi" w:hAnsiTheme="majorHAnsi"/>
        </w:rPr>
        <w:t>;50</w:t>
      </w:r>
      <w:proofErr w:type="gramEnd"/>
      <w:r w:rsidR="00D03460" w:rsidRPr="008B6DB0">
        <w:rPr>
          <w:rFonts w:asciiTheme="majorHAnsi" w:hAnsiTheme="majorHAnsi"/>
        </w:rPr>
        <w:t>(1):136-45.</w:t>
      </w:r>
      <w:r w:rsidRPr="008B6DB0">
        <w:rPr>
          <w:rFonts w:asciiTheme="majorHAnsi" w:hAnsiTheme="majorHAnsi"/>
        </w:rPr>
        <w:t xml:space="preserve"> </w:t>
      </w:r>
      <w:r w:rsidRPr="008B6DB0">
        <w:rPr>
          <w:rFonts w:asciiTheme="majorHAnsi" w:hAnsiTheme="majorHAnsi"/>
        </w:rPr>
        <w:fldChar w:fldCharType="end"/>
      </w:r>
    </w:p>
    <w:p w14:paraId="00B7058F" w14:textId="77777777" w:rsidR="00376247" w:rsidRPr="008B6DB0" w:rsidRDefault="00376247" w:rsidP="0037624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8B6DB0">
        <w:rPr>
          <w:rFonts w:asciiTheme="majorHAnsi" w:hAnsiTheme="majorHAnsi"/>
        </w:rPr>
        <w:t>Kaduszkiewicz</w:t>
      </w:r>
      <w:proofErr w:type="spellEnd"/>
      <w:r w:rsidRPr="008B6DB0">
        <w:rPr>
          <w:rFonts w:asciiTheme="majorHAnsi" w:hAnsiTheme="majorHAnsi"/>
        </w:rPr>
        <w:t xml:space="preserve"> H et al. Cholinesterase inhibitors for patients with Alzheimer's disease: systematic review of </w:t>
      </w:r>
      <w:proofErr w:type="spellStart"/>
      <w:r w:rsidRPr="008B6DB0">
        <w:rPr>
          <w:rFonts w:asciiTheme="majorHAnsi" w:hAnsiTheme="majorHAnsi"/>
        </w:rPr>
        <w:t>randomised</w:t>
      </w:r>
      <w:proofErr w:type="spellEnd"/>
      <w:r w:rsidRPr="008B6DB0">
        <w:rPr>
          <w:rFonts w:asciiTheme="majorHAnsi" w:hAnsiTheme="majorHAnsi"/>
        </w:rPr>
        <w:t xml:space="preserve"> clinical trials. BMJ. 2005 Aug 6</w:t>
      </w:r>
      <w:proofErr w:type="gramStart"/>
      <w:r w:rsidRPr="008B6DB0">
        <w:rPr>
          <w:rFonts w:asciiTheme="majorHAnsi" w:hAnsiTheme="majorHAnsi"/>
        </w:rPr>
        <w:t>;331</w:t>
      </w:r>
      <w:proofErr w:type="gramEnd"/>
      <w:r w:rsidRPr="008B6DB0">
        <w:rPr>
          <w:rFonts w:asciiTheme="majorHAnsi" w:hAnsiTheme="majorHAnsi"/>
        </w:rPr>
        <w:t>(7512):321-7.</w:t>
      </w:r>
    </w:p>
    <w:p w14:paraId="6AA9EE2C" w14:textId="77777777" w:rsidR="00376247" w:rsidRPr="008B6DB0" w:rsidRDefault="00376247" w:rsidP="00376247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B6DB0">
        <w:rPr>
          <w:rFonts w:asciiTheme="majorHAnsi" w:hAnsiTheme="majorHAnsi"/>
        </w:rPr>
        <w:t xml:space="preserve">Wallace JI et al. Involuntary weight loss in older outpatients: incidence and clinical significance. J Am </w:t>
      </w:r>
      <w:proofErr w:type="spellStart"/>
      <w:r w:rsidRPr="008B6DB0">
        <w:rPr>
          <w:rFonts w:asciiTheme="majorHAnsi" w:hAnsiTheme="majorHAnsi"/>
        </w:rPr>
        <w:t>Geriatr</w:t>
      </w:r>
      <w:proofErr w:type="spellEnd"/>
      <w:r w:rsidRPr="008B6DB0">
        <w:rPr>
          <w:rFonts w:asciiTheme="majorHAnsi" w:hAnsiTheme="majorHAnsi"/>
        </w:rPr>
        <w:t xml:space="preserve"> Soc. 1995 Apr</w:t>
      </w:r>
      <w:proofErr w:type="gramStart"/>
      <w:r w:rsidRPr="008B6DB0">
        <w:rPr>
          <w:rFonts w:asciiTheme="majorHAnsi" w:hAnsiTheme="majorHAnsi"/>
        </w:rPr>
        <w:t>;43</w:t>
      </w:r>
      <w:proofErr w:type="gramEnd"/>
      <w:r w:rsidRPr="008B6DB0">
        <w:rPr>
          <w:rFonts w:asciiTheme="majorHAnsi" w:hAnsiTheme="majorHAnsi"/>
        </w:rPr>
        <w:t>(4):329-37.</w:t>
      </w:r>
    </w:p>
    <w:p w14:paraId="2E68865B" w14:textId="77777777" w:rsidR="00C076CC" w:rsidRPr="008B6DB0" w:rsidRDefault="00C076CC" w:rsidP="00C076CC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8B6DB0">
        <w:rPr>
          <w:rFonts w:asciiTheme="majorHAnsi" w:hAnsiTheme="majorHAnsi"/>
        </w:rPr>
        <w:t>Knudtson</w:t>
      </w:r>
      <w:proofErr w:type="spellEnd"/>
      <w:r w:rsidRPr="008B6DB0">
        <w:rPr>
          <w:rFonts w:asciiTheme="majorHAnsi" w:hAnsiTheme="majorHAnsi"/>
        </w:rPr>
        <w:t xml:space="preserve"> MD et al. Associations with weight loss and subsequent mortality risk. Ann </w:t>
      </w:r>
      <w:proofErr w:type="spellStart"/>
      <w:r w:rsidRPr="008B6DB0">
        <w:rPr>
          <w:rFonts w:asciiTheme="majorHAnsi" w:hAnsiTheme="majorHAnsi"/>
        </w:rPr>
        <w:t>Epidemiol</w:t>
      </w:r>
      <w:proofErr w:type="spellEnd"/>
      <w:r w:rsidRPr="008B6DB0">
        <w:rPr>
          <w:rFonts w:asciiTheme="majorHAnsi" w:hAnsiTheme="majorHAnsi"/>
        </w:rPr>
        <w:t>. 2005 Aug</w:t>
      </w:r>
      <w:proofErr w:type="gramStart"/>
      <w:r w:rsidRPr="008B6DB0">
        <w:rPr>
          <w:rFonts w:asciiTheme="majorHAnsi" w:hAnsiTheme="majorHAnsi"/>
        </w:rPr>
        <w:t>;15</w:t>
      </w:r>
      <w:proofErr w:type="gramEnd"/>
      <w:r w:rsidRPr="008B6DB0">
        <w:rPr>
          <w:rFonts w:asciiTheme="majorHAnsi" w:hAnsiTheme="majorHAnsi"/>
        </w:rPr>
        <w:t>(7):483-91.</w:t>
      </w:r>
    </w:p>
    <w:p w14:paraId="4A0CEE02" w14:textId="77777777" w:rsidR="00A37EE3" w:rsidRPr="008B6DB0" w:rsidRDefault="00A37EE3" w:rsidP="00A37EE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8B6DB0">
        <w:rPr>
          <w:rFonts w:asciiTheme="majorHAnsi" w:hAnsiTheme="majorHAnsi"/>
        </w:rPr>
        <w:t>Schoenmaker</w:t>
      </w:r>
      <w:proofErr w:type="spellEnd"/>
      <w:r w:rsidRPr="008B6DB0">
        <w:rPr>
          <w:rFonts w:asciiTheme="majorHAnsi" w:hAnsiTheme="majorHAnsi"/>
        </w:rPr>
        <w:t xml:space="preserve"> N et al. The age gap between patients in clinical studies and in the general population: a pitfall for dementia research. Lancet Neurol. 2004 Oct</w:t>
      </w:r>
      <w:proofErr w:type="gramStart"/>
      <w:r w:rsidRPr="008B6DB0">
        <w:rPr>
          <w:rFonts w:asciiTheme="majorHAnsi" w:hAnsiTheme="majorHAnsi"/>
        </w:rPr>
        <w:t>;3</w:t>
      </w:r>
      <w:proofErr w:type="gramEnd"/>
      <w:r w:rsidRPr="008B6DB0">
        <w:rPr>
          <w:rFonts w:asciiTheme="majorHAnsi" w:hAnsiTheme="majorHAnsi"/>
        </w:rPr>
        <w:t>(10):627-30.</w:t>
      </w:r>
    </w:p>
    <w:p w14:paraId="5E13DF67" w14:textId="77777777" w:rsidR="00986982" w:rsidRPr="008B6DB0" w:rsidRDefault="00986982" w:rsidP="0098698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B6DB0">
        <w:rPr>
          <w:rFonts w:asciiTheme="majorHAnsi" w:hAnsiTheme="majorHAnsi"/>
        </w:rPr>
        <w:t xml:space="preserve">Ray WA. Evaluating medication effects outside of clinical trials: new-user designs. Am J </w:t>
      </w:r>
      <w:proofErr w:type="spellStart"/>
      <w:proofErr w:type="gramStart"/>
      <w:r w:rsidRPr="008B6DB0">
        <w:rPr>
          <w:rFonts w:asciiTheme="majorHAnsi" w:hAnsiTheme="majorHAnsi"/>
        </w:rPr>
        <w:t>Epidemiol</w:t>
      </w:r>
      <w:proofErr w:type="spellEnd"/>
      <w:r w:rsidRPr="008B6DB0">
        <w:rPr>
          <w:rFonts w:asciiTheme="majorHAnsi" w:hAnsiTheme="majorHAnsi"/>
        </w:rPr>
        <w:t>.</w:t>
      </w:r>
      <w:proofErr w:type="gramEnd"/>
      <w:r w:rsidRPr="008B6DB0">
        <w:rPr>
          <w:rFonts w:asciiTheme="majorHAnsi" w:hAnsiTheme="majorHAnsi"/>
        </w:rPr>
        <w:t xml:space="preserve"> 2003 Nov 1</w:t>
      </w:r>
      <w:proofErr w:type="gramStart"/>
      <w:r w:rsidRPr="008B6DB0">
        <w:rPr>
          <w:rFonts w:asciiTheme="majorHAnsi" w:hAnsiTheme="majorHAnsi"/>
        </w:rPr>
        <w:t>;158</w:t>
      </w:r>
      <w:proofErr w:type="gramEnd"/>
      <w:r w:rsidRPr="008B6DB0">
        <w:rPr>
          <w:rFonts w:asciiTheme="majorHAnsi" w:hAnsiTheme="majorHAnsi"/>
        </w:rPr>
        <w:t>(9):915-20.</w:t>
      </w:r>
    </w:p>
    <w:p w14:paraId="5B163B8E" w14:textId="77777777" w:rsidR="00986982" w:rsidRPr="008B6DB0" w:rsidRDefault="00986982" w:rsidP="00986982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B6DB0">
        <w:rPr>
          <w:rFonts w:asciiTheme="majorHAnsi" w:hAnsiTheme="majorHAnsi"/>
        </w:rPr>
        <w:t xml:space="preserve">Das SR et al. Obesity prevalence among veterans at Veterans Affairs medical facilities. Am J </w:t>
      </w:r>
      <w:proofErr w:type="spellStart"/>
      <w:r w:rsidRPr="008B6DB0">
        <w:rPr>
          <w:rFonts w:asciiTheme="majorHAnsi" w:hAnsiTheme="majorHAnsi"/>
        </w:rPr>
        <w:t>Prev</w:t>
      </w:r>
      <w:proofErr w:type="spellEnd"/>
      <w:r w:rsidRPr="008B6DB0">
        <w:rPr>
          <w:rFonts w:asciiTheme="majorHAnsi" w:hAnsiTheme="majorHAnsi"/>
        </w:rPr>
        <w:t xml:space="preserve"> Med. 2005 Apr</w:t>
      </w:r>
      <w:proofErr w:type="gramStart"/>
      <w:r w:rsidRPr="008B6DB0">
        <w:rPr>
          <w:rFonts w:asciiTheme="majorHAnsi" w:hAnsiTheme="majorHAnsi"/>
        </w:rPr>
        <w:t>;28</w:t>
      </w:r>
      <w:proofErr w:type="gramEnd"/>
      <w:r w:rsidRPr="008B6DB0">
        <w:rPr>
          <w:rFonts w:asciiTheme="majorHAnsi" w:hAnsiTheme="majorHAnsi"/>
        </w:rPr>
        <w:t>(3):291-4.</w:t>
      </w:r>
    </w:p>
    <w:p w14:paraId="649FE4D4" w14:textId="77777777" w:rsidR="008B6DB0" w:rsidRPr="008B6DB0" w:rsidRDefault="008B6DB0" w:rsidP="008B6D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8B6DB0">
        <w:rPr>
          <w:rFonts w:asciiTheme="majorHAnsi" w:hAnsiTheme="majorHAnsi"/>
        </w:rPr>
        <w:t>Droogsma</w:t>
      </w:r>
      <w:proofErr w:type="spellEnd"/>
      <w:r w:rsidRPr="008B6DB0">
        <w:rPr>
          <w:rFonts w:asciiTheme="majorHAnsi" w:hAnsiTheme="majorHAnsi"/>
        </w:rPr>
        <w:t xml:space="preserve"> E et al. Effect of long-term treatment with </w:t>
      </w:r>
      <w:proofErr w:type="spellStart"/>
      <w:r w:rsidRPr="008B6DB0">
        <w:rPr>
          <w:rFonts w:asciiTheme="majorHAnsi" w:hAnsiTheme="majorHAnsi"/>
        </w:rPr>
        <w:t>galantamine</w:t>
      </w:r>
      <w:proofErr w:type="spellEnd"/>
      <w:r w:rsidRPr="008B6DB0">
        <w:rPr>
          <w:rFonts w:asciiTheme="majorHAnsi" w:hAnsiTheme="majorHAnsi"/>
        </w:rPr>
        <w:t xml:space="preserve"> on weight of patients with Alzheimer's dementia. J </w:t>
      </w:r>
      <w:proofErr w:type="spellStart"/>
      <w:r w:rsidRPr="008B6DB0">
        <w:rPr>
          <w:rFonts w:asciiTheme="majorHAnsi" w:hAnsiTheme="majorHAnsi"/>
        </w:rPr>
        <w:t>Nutr</w:t>
      </w:r>
      <w:proofErr w:type="spellEnd"/>
      <w:r w:rsidRPr="008B6DB0">
        <w:rPr>
          <w:rFonts w:asciiTheme="majorHAnsi" w:hAnsiTheme="majorHAnsi"/>
        </w:rPr>
        <w:t xml:space="preserve"> Health Aging. 2013</w:t>
      </w:r>
      <w:proofErr w:type="gramStart"/>
      <w:r w:rsidRPr="008B6DB0">
        <w:rPr>
          <w:rFonts w:asciiTheme="majorHAnsi" w:hAnsiTheme="majorHAnsi"/>
        </w:rPr>
        <w:t>;17</w:t>
      </w:r>
      <w:proofErr w:type="gramEnd"/>
      <w:r w:rsidRPr="008B6DB0">
        <w:rPr>
          <w:rFonts w:asciiTheme="majorHAnsi" w:hAnsiTheme="majorHAnsi"/>
        </w:rPr>
        <w:t xml:space="preserve">(5):461-5. </w:t>
      </w:r>
      <w:proofErr w:type="spellStart"/>
      <w:proofErr w:type="gramStart"/>
      <w:r w:rsidRPr="008B6DB0">
        <w:rPr>
          <w:rFonts w:asciiTheme="majorHAnsi" w:hAnsiTheme="majorHAnsi"/>
        </w:rPr>
        <w:t>doi</w:t>
      </w:r>
      <w:proofErr w:type="spellEnd"/>
      <w:proofErr w:type="gramEnd"/>
      <w:r w:rsidRPr="008B6DB0">
        <w:rPr>
          <w:rFonts w:asciiTheme="majorHAnsi" w:hAnsiTheme="majorHAnsi"/>
        </w:rPr>
        <w:t>: 10.1007/s12603-012-0420-6.</w:t>
      </w:r>
    </w:p>
    <w:bookmarkEnd w:id="0"/>
    <w:p w14:paraId="01530BEE" w14:textId="77777777" w:rsidR="00A92A10" w:rsidRDefault="00A92A10" w:rsidP="008B3F73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43A0ABB8" w14:textId="77777777" w:rsidR="007754D9" w:rsidRPr="00A92A10" w:rsidRDefault="007754D9" w:rsidP="008B3F73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sectPr w:rsidR="007754D9" w:rsidRPr="00A92A10" w:rsidSect="00795C15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5D963E" w14:textId="77777777" w:rsidR="00986982" w:rsidRDefault="00986982" w:rsidP="004A1363">
      <w:r>
        <w:separator/>
      </w:r>
    </w:p>
  </w:endnote>
  <w:endnote w:type="continuationSeparator" w:id="0">
    <w:p w14:paraId="5D25083F" w14:textId="77777777" w:rsidR="00986982" w:rsidRDefault="00986982" w:rsidP="004A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S Monospace">
    <w:altName w:val="Arial"/>
    <w:charset w:val="00"/>
    <w:family w:val="modern"/>
    <w:pitch w:val="fixed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25304" w14:textId="77777777" w:rsidR="00986982" w:rsidRDefault="00986982" w:rsidP="004A1363">
      <w:r>
        <w:separator/>
      </w:r>
    </w:p>
  </w:footnote>
  <w:footnote w:type="continuationSeparator" w:id="0">
    <w:p w14:paraId="442E20B5" w14:textId="77777777" w:rsidR="00986982" w:rsidRDefault="00986982" w:rsidP="004A13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E4290" w14:textId="69DEA1E7" w:rsidR="00986982" w:rsidRPr="004A1363" w:rsidRDefault="00986982">
    <w:pPr>
      <w:pStyle w:val="Header"/>
      <w:rPr>
        <w:b/>
        <w:sz w:val="20"/>
        <w:szCs w:val="20"/>
      </w:rPr>
    </w:pPr>
    <w:proofErr w:type="spellStart"/>
    <w:r w:rsidRPr="004A1363">
      <w:rPr>
        <w:b/>
        <w:sz w:val="20"/>
        <w:szCs w:val="20"/>
      </w:rPr>
      <w:t>Biostats</w:t>
    </w:r>
    <w:proofErr w:type="spellEnd"/>
    <w:r w:rsidRPr="004A1363">
      <w:rPr>
        <w:b/>
        <w:sz w:val="20"/>
        <w:szCs w:val="20"/>
      </w:rPr>
      <w:t xml:space="preserve"> 209 Final Project   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4A1363">
      <w:rPr>
        <w:b/>
        <w:sz w:val="20"/>
        <w:szCs w:val="20"/>
      </w:rPr>
      <w:t xml:space="preserve">Name </w:t>
    </w:r>
    <w:r w:rsidRPr="004A1363">
      <w:rPr>
        <w:b/>
        <w:sz w:val="20"/>
        <w:szCs w:val="20"/>
        <w:u w:val="single"/>
      </w:rPr>
      <w:t>Meera Sheffrin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45EBC"/>
    <w:multiLevelType w:val="hybridMultilevel"/>
    <w:tmpl w:val="44A26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BA"/>
    <w:rsid w:val="000060BD"/>
    <w:rsid w:val="000330E3"/>
    <w:rsid w:val="000537BA"/>
    <w:rsid w:val="00055CB0"/>
    <w:rsid w:val="00071896"/>
    <w:rsid w:val="000721EF"/>
    <w:rsid w:val="000750AC"/>
    <w:rsid w:val="000776EB"/>
    <w:rsid w:val="0008102C"/>
    <w:rsid w:val="000829A5"/>
    <w:rsid w:val="0008517C"/>
    <w:rsid w:val="00091606"/>
    <w:rsid w:val="0009281F"/>
    <w:rsid w:val="0009381C"/>
    <w:rsid w:val="000A45E9"/>
    <w:rsid w:val="000A5355"/>
    <w:rsid w:val="000B00C0"/>
    <w:rsid w:val="000B21E6"/>
    <w:rsid w:val="000B7571"/>
    <w:rsid w:val="000C1237"/>
    <w:rsid w:val="000C16AA"/>
    <w:rsid w:val="000E21E1"/>
    <w:rsid w:val="000E738B"/>
    <w:rsid w:val="00102206"/>
    <w:rsid w:val="001107B7"/>
    <w:rsid w:val="001315A0"/>
    <w:rsid w:val="001517B8"/>
    <w:rsid w:val="00157B34"/>
    <w:rsid w:val="001630E3"/>
    <w:rsid w:val="0017299F"/>
    <w:rsid w:val="0017429B"/>
    <w:rsid w:val="0017604F"/>
    <w:rsid w:val="00180365"/>
    <w:rsid w:val="0018575E"/>
    <w:rsid w:val="00186D14"/>
    <w:rsid w:val="001A0A93"/>
    <w:rsid w:val="001A0E3A"/>
    <w:rsid w:val="001B1F12"/>
    <w:rsid w:val="001B5ED3"/>
    <w:rsid w:val="001C0025"/>
    <w:rsid w:val="001C0BB0"/>
    <w:rsid w:val="001E1DE2"/>
    <w:rsid w:val="001F4DB0"/>
    <w:rsid w:val="0020091D"/>
    <w:rsid w:val="0020751A"/>
    <w:rsid w:val="0022672E"/>
    <w:rsid w:val="00234801"/>
    <w:rsid w:val="00235C2A"/>
    <w:rsid w:val="00236857"/>
    <w:rsid w:val="002442B7"/>
    <w:rsid w:val="00257450"/>
    <w:rsid w:val="00263918"/>
    <w:rsid w:val="0026563E"/>
    <w:rsid w:val="00284493"/>
    <w:rsid w:val="002862AD"/>
    <w:rsid w:val="00297D7C"/>
    <w:rsid w:val="002A4B0A"/>
    <w:rsid w:val="002B031B"/>
    <w:rsid w:val="002B092B"/>
    <w:rsid w:val="002B2C55"/>
    <w:rsid w:val="002B70D1"/>
    <w:rsid w:val="002C7C94"/>
    <w:rsid w:val="002C7EDB"/>
    <w:rsid w:val="002D3FE1"/>
    <w:rsid w:val="002D5F53"/>
    <w:rsid w:val="00302659"/>
    <w:rsid w:val="00316A76"/>
    <w:rsid w:val="00361303"/>
    <w:rsid w:val="00364B37"/>
    <w:rsid w:val="00375567"/>
    <w:rsid w:val="00375BC7"/>
    <w:rsid w:val="00376247"/>
    <w:rsid w:val="003835B7"/>
    <w:rsid w:val="00385123"/>
    <w:rsid w:val="003A28A7"/>
    <w:rsid w:val="003D02CA"/>
    <w:rsid w:val="003E06F3"/>
    <w:rsid w:val="003E7C33"/>
    <w:rsid w:val="003F5736"/>
    <w:rsid w:val="003F7111"/>
    <w:rsid w:val="00404C48"/>
    <w:rsid w:val="004100FB"/>
    <w:rsid w:val="004135BC"/>
    <w:rsid w:val="00426FBE"/>
    <w:rsid w:val="004336EA"/>
    <w:rsid w:val="00443600"/>
    <w:rsid w:val="004547FE"/>
    <w:rsid w:val="00460671"/>
    <w:rsid w:val="004702DA"/>
    <w:rsid w:val="00484944"/>
    <w:rsid w:val="004878DC"/>
    <w:rsid w:val="004940E8"/>
    <w:rsid w:val="004948AD"/>
    <w:rsid w:val="00495A85"/>
    <w:rsid w:val="004A1363"/>
    <w:rsid w:val="004B017D"/>
    <w:rsid w:val="004B01AE"/>
    <w:rsid w:val="004B6C09"/>
    <w:rsid w:val="004B7259"/>
    <w:rsid w:val="004C7ABE"/>
    <w:rsid w:val="004D2F6D"/>
    <w:rsid w:val="004E5AE7"/>
    <w:rsid w:val="004F51A0"/>
    <w:rsid w:val="005004D4"/>
    <w:rsid w:val="00505EB2"/>
    <w:rsid w:val="005166A2"/>
    <w:rsid w:val="00522391"/>
    <w:rsid w:val="0057473F"/>
    <w:rsid w:val="0057610B"/>
    <w:rsid w:val="005935A9"/>
    <w:rsid w:val="005B33AD"/>
    <w:rsid w:val="005B35BA"/>
    <w:rsid w:val="005C7356"/>
    <w:rsid w:val="005D10E3"/>
    <w:rsid w:val="005E08CD"/>
    <w:rsid w:val="005F4A9C"/>
    <w:rsid w:val="005F715E"/>
    <w:rsid w:val="005F737F"/>
    <w:rsid w:val="006061FD"/>
    <w:rsid w:val="0061359D"/>
    <w:rsid w:val="00631E1B"/>
    <w:rsid w:val="00645ED7"/>
    <w:rsid w:val="0065000F"/>
    <w:rsid w:val="00665BF9"/>
    <w:rsid w:val="006706C4"/>
    <w:rsid w:val="00670E8D"/>
    <w:rsid w:val="006738F7"/>
    <w:rsid w:val="006861A6"/>
    <w:rsid w:val="0069104A"/>
    <w:rsid w:val="00691B6F"/>
    <w:rsid w:val="006926E1"/>
    <w:rsid w:val="006930B2"/>
    <w:rsid w:val="006C55F3"/>
    <w:rsid w:val="006C5FF8"/>
    <w:rsid w:val="006D49CF"/>
    <w:rsid w:val="006E155D"/>
    <w:rsid w:val="006E5FBB"/>
    <w:rsid w:val="007016BD"/>
    <w:rsid w:val="00702A0D"/>
    <w:rsid w:val="00712B1F"/>
    <w:rsid w:val="00722DEA"/>
    <w:rsid w:val="0072450A"/>
    <w:rsid w:val="00737151"/>
    <w:rsid w:val="00743451"/>
    <w:rsid w:val="007754D9"/>
    <w:rsid w:val="00782850"/>
    <w:rsid w:val="00783185"/>
    <w:rsid w:val="00783708"/>
    <w:rsid w:val="00795C15"/>
    <w:rsid w:val="007B4E52"/>
    <w:rsid w:val="007B5536"/>
    <w:rsid w:val="007C0518"/>
    <w:rsid w:val="007E41AF"/>
    <w:rsid w:val="007F3D43"/>
    <w:rsid w:val="008003E7"/>
    <w:rsid w:val="00814427"/>
    <w:rsid w:val="008272BF"/>
    <w:rsid w:val="00830A0D"/>
    <w:rsid w:val="00836F55"/>
    <w:rsid w:val="008375C8"/>
    <w:rsid w:val="008426B2"/>
    <w:rsid w:val="00860167"/>
    <w:rsid w:val="008935BB"/>
    <w:rsid w:val="008A591E"/>
    <w:rsid w:val="008B183C"/>
    <w:rsid w:val="008B367D"/>
    <w:rsid w:val="008B3F73"/>
    <w:rsid w:val="008B6DB0"/>
    <w:rsid w:val="008B7DB7"/>
    <w:rsid w:val="008C0A20"/>
    <w:rsid w:val="008D4C5A"/>
    <w:rsid w:val="008E43A1"/>
    <w:rsid w:val="008E5029"/>
    <w:rsid w:val="009053BA"/>
    <w:rsid w:val="009130A1"/>
    <w:rsid w:val="00917CEA"/>
    <w:rsid w:val="0092620E"/>
    <w:rsid w:val="00943E0F"/>
    <w:rsid w:val="0094609A"/>
    <w:rsid w:val="00950C40"/>
    <w:rsid w:val="00957015"/>
    <w:rsid w:val="00965564"/>
    <w:rsid w:val="00974784"/>
    <w:rsid w:val="009749DD"/>
    <w:rsid w:val="00982F43"/>
    <w:rsid w:val="009853B0"/>
    <w:rsid w:val="00986982"/>
    <w:rsid w:val="009A3979"/>
    <w:rsid w:val="009A782B"/>
    <w:rsid w:val="009B7AA5"/>
    <w:rsid w:val="009C797E"/>
    <w:rsid w:val="009D2479"/>
    <w:rsid w:val="009D5FB2"/>
    <w:rsid w:val="009E43D7"/>
    <w:rsid w:val="009E7ED9"/>
    <w:rsid w:val="009F7434"/>
    <w:rsid w:val="00A00175"/>
    <w:rsid w:val="00A00B11"/>
    <w:rsid w:val="00A21502"/>
    <w:rsid w:val="00A24F0E"/>
    <w:rsid w:val="00A26D0B"/>
    <w:rsid w:val="00A32F3E"/>
    <w:rsid w:val="00A34C85"/>
    <w:rsid w:val="00A37126"/>
    <w:rsid w:val="00A37EE3"/>
    <w:rsid w:val="00A43E47"/>
    <w:rsid w:val="00A620DE"/>
    <w:rsid w:val="00A63544"/>
    <w:rsid w:val="00A67B9C"/>
    <w:rsid w:val="00A711E0"/>
    <w:rsid w:val="00A74387"/>
    <w:rsid w:val="00A751F8"/>
    <w:rsid w:val="00A823D6"/>
    <w:rsid w:val="00A8765B"/>
    <w:rsid w:val="00A91B55"/>
    <w:rsid w:val="00A92A10"/>
    <w:rsid w:val="00AA7129"/>
    <w:rsid w:val="00AB7BE6"/>
    <w:rsid w:val="00AC5E68"/>
    <w:rsid w:val="00AD28BF"/>
    <w:rsid w:val="00AE158C"/>
    <w:rsid w:val="00AE272F"/>
    <w:rsid w:val="00AE4A86"/>
    <w:rsid w:val="00B077D3"/>
    <w:rsid w:val="00B1289D"/>
    <w:rsid w:val="00B14C86"/>
    <w:rsid w:val="00B17669"/>
    <w:rsid w:val="00B408F9"/>
    <w:rsid w:val="00B44008"/>
    <w:rsid w:val="00B45C9D"/>
    <w:rsid w:val="00B577A1"/>
    <w:rsid w:val="00B61F23"/>
    <w:rsid w:val="00B63F49"/>
    <w:rsid w:val="00B70482"/>
    <w:rsid w:val="00B71421"/>
    <w:rsid w:val="00B71EE0"/>
    <w:rsid w:val="00BA6D2C"/>
    <w:rsid w:val="00BF7ED5"/>
    <w:rsid w:val="00C01C50"/>
    <w:rsid w:val="00C03AD6"/>
    <w:rsid w:val="00C076CC"/>
    <w:rsid w:val="00C20C1D"/>
    <w:rsid w:val="00C24038"/>
    <w:rsid w:val="00C3225A"/>
    <w:rsid w:val="00C47C19"/>
    <w:rsid w:val="00C53F27"/>
    <w:rsid w:val="00C6053F"/>
    <w:rsid w:val="00C7429F"/>
    <w:rsid w:val="00C772BC"/>
    <w:rsid w:val="00C80049"/>
    <w:rsid w:val="00CA4E20"/>
    <w:rsid w:val="00CA719D"/>
    <w:rsid w:val="00CA7788"/>
    <w:rsid w:val="00CB441E"/>
    <w:rsid w:val="00CB63C0"/>
    <w:rsid w:val="00CD375F"/>
    <w:rsid w:val="00CD662E"/>
    <w:rsid w:val="00CF6793"/>
    <w:rsid w:val="00D006CE"/>
    <w:rsid w:val="00D0138F"/>
    <w:rsid w:val="00D03460"/>
    <w:rsid w:val="00D138BB"/>
    <w:rsid w:val="00D16274"/>
    <w:rsid w:val="00D2326C"/>
    <w:rsid w:val="00D30F13"/>
    <w:rsid w:val="00D434E0"/>
    <w:rsid w:val="00D65CC7"/>
    <w:rsid w:val="00D74733"/>
    <w:rsid w:val="00D92866"/>
    <w:rsid w:val="00D970F9"/>
    <w:rsid w:val="00DA435B"/>
    <w:rsid w:val="00DC6FFB"/>
    <w:rsid w:val="00DC7F56"/>
    <w:rsid w:val="00DD321E"/>
    <w:rsid w:val="00E133B3"/>
    <w:rsid w:val="00E14361"/>
    <w:rsid w:val="00E35F5F"/>
    <w:rsid w:val="00E431F3"/>
    <w:rsid w:val="00E56E9B"/>
    <w:rsid w:val="00E63BF3"/>
    <w:rsid w:val="00E71C57"/>
    <w:rsid w:val="00E86653"/>
    <w:rsid w:val="00E932FE"/>
    <w:rsid w:val="00EC33B0"/>
    <w:rsid w:val="00EC6BBA"/>
    <w:rsid w:val="00ED05B5"/>
    <w:rsid w:val="00ED724F"/>
    <w:rsid w:val="00EF0471"/>
    <w:rsid w:val="00F0536B"/>
    <w:rsid w:val="00F1445D"/>
    <w:rsid w:val="00F2423E"/>
    <w:rsid w:val="00F3474F"/>
    <w:rsid w:val="00F405F1"/>
    <w:rsid w:val="00F438E7"/>
    <w:rsid w:val="00F65218"/>
    <w:rsid w:val="00F665E3"/>
    <w:rsid w:val="00F70E04"/>
    <w:rsid w:val="00F81C6E"/>
    <w:rsid w:val="00F840B0"/>
    <w:rsid w:val="00F93FF4"/>
    <w:rsid w:val="00F97C52"/>
    <w:rsid w:val="00FB4353"/>
    <w:rsid w:val="00FD7F6B"/>
    <w:rsid w:val="00FE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71FF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07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107B7"/>
  </w:style>
  <w:style w:type="character" w:customStyle="1" w:styleId="CommentTextChar">
    <w:name w:val="Comment Text Char"/>
    <w:basedOn w:val="DefaultParagraphFont"/>
    <w:link w:val="CommentText"/>
    <w:uiPriority w:val="99"/>
    <w:rsid w:val="001107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7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7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7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7B7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3F7111"/>
    <w:rPr>
      <w:b/>
      <w:bCs/>
    </w:rPr>
  </w:style>
  <w:style w:type="table" w:styleId="TableGrid">
    <w:name w:val="Table Grid"/>
    <w:basedOn w:val="TableNormal"/>
    <w:uiPriority w:val="59"/>
    <w:rsid w:val="009B7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13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363"/>
  </w:style>
  <w:style w:type="paragraph" w:styleId="Footer">
    <w:name w:val="footer"/>
    <w:basedOn w:val="Normal"/>
    <w:link w:val="FooterChar"/>
    <w:uiPriority w:val="99"/>
    <w:unhideWhenUsed/>
    <w:rsid w:val="004A13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363"/>
  </w:style>
  <w:style w:type="paragraph" w:styleId="ListParagraph">
    <w:name w:val="List Paragraph"/>
    <w:basedOn w:val="Normal"/>
    <w:uiPriority w:val="34"/>
    <w:qFormat/>
    <w:rsid w:val="00A92A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07B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107B7"/>
  </w:style>
  <w:style w:type="character" w:customStyle="1" w:styleId="CommentTextChar">
    <w:name w:val="Comment Text Char"/>
    <w:basedOn w:val="DefaultParagraphFont"/>
    <w:link w:val="CommentText"/>
    <w:uiPriority w:val="99"/>
    <w:rsid w:val="001107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7B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7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7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7B7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3F7111"/>
    <w:rPr>
      <w:b/>
      <w:bCs/>
    </w:rPr>
  </w:style>
  <w:style w:type="table" w:styleId="TableGrid">
    <w:name w:val="Table Grid"/>
    <w:basedOn w:val="TableNormal"/>
    <w:uiPriority w:val="59"/>
    <w:rsid w:val="009B7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13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363"/>
  </w:style>
  <w:style w:type="paragraph" w:styleId="Footer">
    <w:name w:val="footer"/>
    <w:basedOn w:val="Normal"/>
    <w:link w:val="FooterChar"/>
    <w:uiPriority w:val="99"/>
    <w:unhideWhenUsed/>
    <w:rsid w:val="004A13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363"/>
  </w:style>
  <w:style w:type="paragraph" w:styleId="ListParagraph">
    <w:name w:val="List Paragraph"/>
    <w:basedOn w:val="Normal"/>
    <w:uiPriority w:val="34"/>
    <w:qFormat/>
    <w:rsid w:val="00A9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6010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1566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F30D56-9AEF-3C4C-BAC8-1C69D2E67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9</Pages>
  <Words>2855</Words>
  <Characters>16278</Characters>
  <Application>Microsoft Macintosh Word</Application>
  <DocSecurity>0</DocSecurity>
  <Lines>135</Lines>
  <Paragraphs>38</Paragraphs>
  <ScaleCrop>false</ScaleCrop>
  <Company>UCSF</Company>
  <LinksUpToDate>false</LinksUpToDate>
  <CharactersWithSpaces>19095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Meera Sheffrin</dc:creator>
  <cp:keywords/>
  <dc:description/>
  <cp:lastModifiedBy>Meera Sheffrin</cp:lastModifiedBy>
  <cp:revision>287</cp:revision>
  <dcterms:created xsi:type="dcterms:W3CDTF">2014-04-16T04:19:00Z</dcterms:created>
  <dcterms:modified xsi:type="dcterms:W3CDTF">2014-05-22T17:04:00Z</dcterms:modified>
</cp:coreProperties>
</file>