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1D6E4" w14:textId="09BC40D8" w:rsidR="007B7C0F" w:rsidRDefault="00DF49CC" w:rsidP="00377851">
      <w:pPr>
        <w:spacing w:after="0" w:line="240" w:lineRule="auto"/>
        <w:jc w:val="center"/>
        <w:rPr>
          <w:rFonts w:asciiTheme="majorHAnsi" w:hAnsiTheme="majorHAnsi"/>
          <w:b/>
        </w:rPr>
      </w:pPr>
      <w:r>
        <w:rPr>
          <w:rFonts w:asciiTheme="majorHAnsi" w:hAnsiTheme="majorHAnsi"/>
          <w:b/>
        </w:rPr>
        <w:t>Epi 204 -- Problem Set #</w:t>
      </w:r>
      <w:r w:rsidR="003273D8">
        <w:rPr>
          <w:rFonts w:asciiTheme="majorHAnsi" w:hAnsiTheme="majorHAnsi"/>
          <w:b/>
        </w:rPr>
        <w:t>2</w:t>
      </w:r>
    </w:p>
    <w:p w14:paraId="1B60BDE4" w14:textId="5BA37BFF" w:rsidR="006E09C0" w:rsidRDefault="00E86D17" w:rsidP="00377851">
      <w:pPr>
        <w:spacing w:after="0" w:line="240" w:lineRule="auto"/>
        <w:jc w:val="center"/>
        <w:rPr>
          <w:rFonts w:asciiTheme="majorHAnsi" w:hAnsiTheme="majorHAnsi"/>
          <w:b/>
        </w:rPr>
      </w:pPr>
      <w:r w:rsidRPr="007C390C">
        <w:rPr>
          <w:rFonts w:asciiTheme="majorHAnsi" w:hAnsiTheme="majorHAnsi"/>
          <w:b/>
        </w:rPr>
        <w:t xml:space="preserve">Chapter </w:t>
      </w:r>
      <w:r w:rsidR="00377851">
        <w:rPr>
          <w:rFonts w:asciiTheme="majorHAnsi" w:hAnsiTheme="majorHAnsi"/>
          <w:b/>
        </w:rPr>
        <w:t>2</w:t>
      </w:r>
      <w:r w:rsidR="007B7C0F">
        <w:rPr>
          <w:rFonts w:asciiTheme="majorHAnsi" w:hAnsiTheme="majorHAnsi"/>
          <w:b/>
        </w:rPr>
        <w:t xml:space="preserve"> P</w:t>
      </w:r>
      <w:r w:rsidRPr="007C390C">
        <w:rPr>
          <w:rFonts w:asciiTheme="majorHAnsi" w:hAnsiTheme="majorHAnsi"/>
          <w:b/>
        </w:rPr>
        <w:t xml:space="preserve">roblems </w:t>
      </w:r>
      <w:r w:rsidR="007B7C0F">
        <w:rPr>
          <w:rFonts w:asciiTheme="majorHAnsi" w:hAnsiTheme="majorHAnsi"/>
          <w:b/>
        </w:rPr>
        <w:t xml:space="preserve"> (</w:t>
      </w:r>
      <w:r w:rsidR="00377851">
        <w:rPr>
          <w:rFonts w:asciiTheme="majorHAnsi" w:hAnsiTheme="majorHAnsi"/>
          <w:b/>
        </w:rPr>
        <w:t>Dichotomous tests</w:t>
      </w:r>
      <w:r w:rsidR="007B7C0F">
        <w:rPr>
          <w:rFonts w:asciiTheme="majorHAnsi" w:hAnsiTheme="majorHAnsi"/>
          <w:b/>
        </w:rPr>
        <w:t>)</w:t>
      </w:r>
    </w:p>
    <w:p w14:paraId="680D92D7" w14:textId="38DE567C" w:rsidR="00F617C7" w:rsidRDefault="00F617C7" w:rsidP="00377851">
      <w:pPr>
        <w:spacing w:after="0" w:line="240" w:lineRule="auto"/>
        <w:jc w:val="center"/>
        <w:rPr>
          <w:rFonts w:asciiTheme="majorHAnsi" w:hAnsiTheme="majorHAnsi"/>
          <w:b/>
        </w:rPr>
      </w:pPr>
      <w:r>
        <w:rPr>
          <w:rFonts w:asciiTheme="majorHAnsi" w:hAnsiTheme="majorHAnsi"/>
          <w:b/>
        </w:rPr>
        <w:t>Upload to CLE by</w:t>
      </w:r>
    </w:p>
    <w:p w14:paraId="514437E1" w14:textId="61C1371B" w:rsidR="0023171E" w:rsidRDefault="0023171E" w:rsidP="00377851">
      <w:pPr>
        <w:spacing w:after="0" w:line="240" w:lineRule="auto"/>
        <w:jc w:val="center"/>
        <w:rPr>
          <w:rFonts w:asciiTheme="majorHAnsi" w:hAnsiTheme="majorHAnsi"/>
          <w:b/>
        </w:rPr>
      </w:pPr>
      <w:r>
        <w:rPr>
          <w:rFonts w:asciiTheme="majorHAnsi" w:hAnsiTheme="majorHAnsi"/>
          <w:b/>
        </w:rPr>
        <w:t xml:space="preserve"> </w:t>
      </w:r>
      <w:r w:rsidR="00377851">
        <w:rPr>
          <w:rFonts w:asciiTheme="majorHAnsi" w:hAnsiTheme="majorHAnsi"/>
          <w:b/>
        </w:rPr>
        <w:t>10/4</w:t>
      </w:r>
      <w:r w:rsidR="003A6CFF">
        <w:rPr>
          <w:rFonts w:asciiTheme="majorHAnsi" w:hAnsiTheme="majorHAnsi"/>
          <w:b/>
        </w:rPr>
        <w:t>/2018</w:t>
      </w:r>
      <w:r>
        <w:rPr>
          <w:rFonts w:asciiTheme="majorHAnsi" w:hAnsiTheme="majorHAnsi"/>
          <w:b/>
        </w:rPr>
        <w:t xml:space="preserve"> </w:t>
      </w:r>
      <w:r w:rsidR="003A6CFF">
        <w:rPr>
          <w:rFonts w:asciiTheme="majorHAnsi" w:hAnsiTheme="majorHAnsi"/>
          <w:b/>
        </w:rPr>
        <w:t xml:space="preserve"> </w:t>
      </w:r>
      <w:r>
        <w:rPr>
          <w:rFonts w:asciiTheme="majorHAnsi" w:hAnsiTheme="majorHAnsi"/>
          <w:b/>
        </w:rPr>
        <w:t>1 pm</w:t>
      </w:r>
    </w:p>
    <w:p w14:paraId="05B2322F" w14:textId="77777777" w:rsidR="00377851" w:rsidRDefault="00377851" w:rsidP="00A763EE">
      <w:pPr>
        <w:rPr>
          <w:rFonts w:asciiTheme="majorHAnsi" w:hAnsiTheme="majorHAnsi"/>
          <w:b/>
          <w:i/>
        </w:rPr>
      </w:pPr>
    </w:p>
    <w:p w14:paraId="18A06181" w14:textId="3B077241" w:rsidR="00A763EE" w:rsidRDefault="00A333B9" w:rsidP="00A763EE">
      <w:pPr>
        <w:rPr>
          <w:rFonts w:asciiTheme="majorHAnsi" w:hAnsiTheme="majorHAnsi"/>
          <w:b/>
          <w:i/>
        </w:rPr>
      </w:pPr>
      <w:r>
        <w:rPr>
          <w:rFonts w:asciiTheme="majorHAnsi" w:hAnsiTheme="majorHAnsi"/>
          <w:b/>
          <w:i/>
        </w:rPr>
        <w:t xml:space="preserve">Do problems </w:t>
      </w:r>
      <w:r w:rsidR="00F617C7">
        <w:rPr>
          <w:rFonts w:asciiTheme="majorHAnsi" w:hAnsiTheme="majorHAnsi"/>
          <w:b/>
          <w:i/>
        </w:rPr>
        <w:t>#1</w:t>
      </w:r>
      <w:r>
        <w:rPr>
          <w:rFonts w:asciiTheme="majorHAnsi" w:hAnsiTheme="majorHAnsi"/>
          <w:b/>
          <w:i/>
        </w:rPr>
        <w:t xml:space="preserve"> – </w:t>
      </w:r>
      <w:r w:rsidR="00F617C7">
        <w:rPr>
          <w:rFonts w:asciiTheme="majorHAnsi" w:hAnsiTheme="majorHAnsi"/>
          <w:b/>
          <w:i/>
        </w:rPr>
        <w:t>#5</w:t>
      </w:r>
      <w:r>
        <w:rPr>
          <w:rFonts w:asciiTheme="majorHAnsi" w:hAnsiTheme="majorHAnsi"/>
          <w:b/>
          <w:i/>
        </w:rPr>
        <w:t xml:space="preserve"> below</w:t>
      </w:r>
      <w:r w:rsidR="00F617C7">
        <w:rPr>
          <w:rFonts w:asciiTheme="majorHAnsi" w:hAnsiTheme="majorHAnsi"/>
          <w:b/>
          <w:i/>
        </w:rPr>
        <w:t xml:space="preserve">. </w:t>
      </w:r>
      <w:r w:rsidR="00A763EE">
        <w:rPr>
          <w:rFonts w:asciiTheme="majorHAnsi" w:hAnsiTheme="majorHAnsi"/>
          <w:b/>
          <w:i/>
        </w:rPr>
        <w:t>The “Ch0</w:t>
      </w:r>
      <w:r w:rsidR="00377851">
        <w:rPr>
          <w:rFonts w:asciiTheme="majorHAnsi" w:hAnsiTheme="majorHAnsi"/>
          <w:b/>
          <w:i/>
        </w:rPr>
        <w:t>2</w:t>
      </w:r>
      <w:r w:rsidR="00A763EE">
        <w:rPr>
          <w:rFonts w:asciiTheme="majorHAnsi" w:hAnsiTheme="majorHAnsi"/>
          <w:b/>
          <w:i/>
        </w:rPr>
        <w:t xml:space="preserve">.XX” numbering is for </w:t>
      </w:r>
      <w:r>
        <w:rPr>
          <w:rFonts w:asciiTheme="majorHAnsi" w:hAnsiTheme="majorHAnsi"/>
          <w:b/>
          <w:i/>
        </w:rPr>
        <w:t>our</w:t>
      </w:r>
      <w:r w:rsidR="00A763EE">
        <w:rPr>
          <w:rFonts w:asciiTheme="majorHAnsi" w:hAnsiTheme="majorHAnsi"/>
          <w:b/>
          <w:i/>
        </w:rPr>
        <w:t xml:space="preserve"> problem database</w:t>
      </w:r>
      <w:r w:rsidR="00F617C7">
        <w:rPr>
          <w:rFonts w:asciiTheme="majorHAnsi" w:hAnsiTheme="majorHAnsi"/>
          <w:b/>
          <w:i/>
        </w:rPr>
        <w:t>; p</w:t>
      </w:r>
      <w:r w:rsidR="00A763EE">
        <w:rPr>
          <w:rFonts w:asciiTheme="majorHAnsi" w:hAnsiTheme="majorHAnsi"/>
          <w:b/>
          <w:i/>
        </w:rPr>
        <w:t>lease ignore.</w:t>
      </w:r>
    </w:p>
    <w:p w14:paraId="27CA97BB" w14:textId="36544DBB" w:rsidR="003E4A2B" w:rsidRDefault="003E4A2B" w:rsidP="003E4A2B">
      <w:pPr>
        <w:rPr>
          <w:rFonts w:ascii="Times New Roman" w:hAnsi="Times New Roman" w:cs="Times New Roman"/>
          <w:b/>
          <w:sz w:val="24"/>
          <w:szCs w:val="24"/>
        </w:rPr>
      </w:pPr>
      <w:r>
        <w:rPr>
          <w:rFonts w:ascii="Times New Roman" w:hAnsi="Times New Roman" w:cs="Times New Roman"/>
          <w:b/>
          <w:sz w:val="24"/>
          <w:szCs w:val="24"/>
        </w:rPr>
        <w:t xml:space="preserve">You may use whatever tools you like, including Excel, an online calculator, and Stata.  But please respond clearly and directly to the questions.  </w:t>
      </w:r>
    </w:p>
    <w:p w14:paraId="057D5F6F" w14:textId="29434422" w:rsidR="00300DA9" w:rsidRDefault="00CB73CA" w:rsidP="00300DA9">
      <w:pPr>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300DA9" w:rsidRPr="009F7C70">
        <w:rPr>
          <w:rFonts w:ascii="Times New Roman" w:eastAsia="Calibri" w:hAnsi="Times New Roman" w:cs="Times New Roman"/>
          <w:b/>
          <w:sz w:val="24"/>
          <w:szCs w:val="24"/>
        </w:rPr>
        <w:t>02.01 Grunderschnauzer disease</w:t>
      </w:r>
    </w:p>
    <w:p w14:paraId="35C2D162" w14:textId="34447884" w:rsidR="00300DA9" w:rsidRDefault="00300DA9" w:rsidP="00300DA9">
      <w:pPr>
        <w:pStyle w:val="HTMLPreformatted"/>
        <w:rPr>
          <w:rFonts w:ascii="Arial" w:hAnsi="Arial" w:cs="Arial"/>
          <w:color w:val="000000"/>
          <w:sz w:val="22"/>
        </w:rPr>
      </w:pPr>
      <w:r>
        <w:rPr>
          <w:rFonts w:ascii="Arial" w:hAnsi="Arial" w:cs="Arial"/>
          <w:color w:val="000000"/>
          <w:sz w:val="22"/>
        </w:rPr>
        <w:t>You are informed by your doctor that you have tested positive for Grunderschnauzer disease.  You may ask one question to help you figure out whether you really have it.  What do you want to know (choices are sensitivity, specificity, prevalence, predictive value, etc.)?</w:t>
      </w:r>
      <w:r w:rsidR="004946AE">
        <w:rPr>
          <w:rFonts w:ascii="Arial" w:hAnsi="Arial" w:cs="Arial"/>
          <w:color w:val="000000"/>
          <w:sz w:val="22"/>
        </w:rPr>
        <w:t xml:space="preserve"> [2]</w:t>
      </w:r>
    </w:p>
    <w:p w14:paraId="1F9CA73F" w14:textId="77777777" w:rsidR="00300DA9" w:rsidRDefault="00300DA9" w:rsidP="00300DA9">
      <w:pPr>
        <w:pStyle w:val="HTMLPreformatted"/>
        <w:rPr>
          <w:rFonts w:ascii="Arial" w:hAnsi="Arial" w:cs="Arial"/>
          <w:b/>
          <w:color w:val="000000"/>
          <w:sz w:val="22"/>
        </w:rPr>
      </w:pPr>
    </w:p>
    <w:p w14:paraId="24EDED46" w14:textId="143070EA" w:rsidR="00300DA9" w:rsidRDefault="00F60CD6" w:rsidP="00300DA9">
      <w:pPr>
        <w:pStyle w:val="HTMLPreformatted"/>
        <w:rPr>
          <w:rFonts w:ascii="Arial" w:hAnsi="Arial" w:cs="Arial"/>
          <w:b/>
          <w:color w:val="000000"/>
          <w:sz w:val="22"/>
        </w:rPr>
      </w:pPr>
      <w:r>
        <w:rPr>
          <w:rFonts w:ascii="Arial" w:hAnsi="Arial" w:cs="Arial"/>
          <w:b/>
          <w:color w:val="000000"/>
          <w:sz w:val="22"/>
        </w:rPr>
        <w:t xml:space="preserve"> </w:t>
      </w:r>
    </w:p>
    <w:p w14:paraId="56B45644" w14:textId="77777777" w:rsidR="00300DA9" w:rsidRDefault="00300DA9" w:rsidP="00300DA9">
      <w:pPr>
        <w:pStyle w:val="HTMLPreformatted"/>
        <w:rPr>
          <w:rFonts w:ascii="Arial" w:hAnsi="Arial" w:cs="Arial"/>
          <w:b/>
          <w:color w:val="000000"/>
          <w:sz w:val="22"/>
        </w:rPr>
      </w:pPr>
    </w:p>
    <w:p w14:paraId="201D4104" w14:textId="3523BEC7" w:rsidR="00CB73CA" w:rsidRPr="008B00C9" w:rsidRDefault="00CB73CA" w:rsidP="00CB73CA">
      <w:pPr>
        <w:pStyle w:val="NormalWeb"/>
        <w:rPr>
          <w:b/>
        </w:rPr>
      </w:pPr>
      <w:r>
        <w:rPr>
          <w:b/>
        </w:rPr>
        <w:t xml:space="preserve">2. </w:t>
      </w:r>
      <w:r w:rsidRPr="008B00C9">
        <w:rPr>
          <w:b/>
        </w:rPr>
        <w:t>Ch02.06.  Testing Thresholds for Strep Throat</w:t>
      </w:r>
    </w:p>
    <w:p w14:paraId="1D53ED14" w14:textId="77777777" w:rsidR="00CB73CA" w:rsidRPr="00864E02" w:rsidRDefault="00CB73CA" w:rsidP="00CB73CA">
      <w:pPr>
        <w:pStyle w:val="NormalWeb"/>
      </w:pPr>
      <w:r>
        <w:t xml:space="preserve">Let's return to Clinical Scenario #1 from Chapter 1, in which we had a graduate student with sore throat, fever, pus on the tonsils and tender lymph nodes. </w:t>
      </w:r>
    </w:p>
    <w:p w14:paraId="37BADBB4" w14:textId="77777777" w:rsidR="00CB73CA" w:rsidRPr="00864E02" w:rsidRDefault="00CB73CA" w:rsidP="00CB73CA">
      <w:pPr>
        <w:pStyle w:val="NormalWeb"/>
        <w:ind w:left="324"/>
      </w:pPr>
      <w:r w:rsidRPr="00864E02">
        <w:t>Assume:</w:t>
      </w:r>
    </w:p>
    <w:p w14:paraId="168B4E27" w14:textId="77777777" w:rsidR="00CB73CA" w:rsidRPr="00864E02" w:rsidRDefault="00CB73CA" w:rsidP="00CB73CA">
      <w:pPr>
        <w:pStyle w:val="NormalWeb"/>
        <w:ind w:left="540" w:hanging="259"/>
      </w:pPr>
      <w:r w:rsidRPr="00864E02">
        <w:t>i. The drug cost of a course of penicillin</w:t>
      </w:r>
      <w:r>
        <w:t xml:space="preserve"> V (500 mg 3 times a day)</w:t>
      </w:r>
      <w:r w:rsidRPr="00864E02">
        <w:t xml:space="preserve"> to treat acute Group A streptococcal throat infection (“strep throat”) is</w:t>
      </w:r>
      <w:r>
        <w:t xml:space="preserve"> about</w:t>
      </w:r>
      <w:r w:rsidRPr="00864E02">
        <w:t xml:space="preserve"> $</w:t>
      </w:r>
      <w:r>
        <w:t>12</w:t>
      </w:r>
      <w:r w:rsidRPr="00864E02">
        <w:t xml:space="preserve"> (</w:t>
      </w:r>
      <w:hyperlink r:id="rId8" w:history="1">
        <w:r w:rsidRPr="001503AC">
          <w:rPr>
            <w:rStyle w:val="Hyperlink"/>
          </w:rPr>
          <w:t>www.GoodRx.com</w:t>
        </w:r>
      </w:hyperlink>
      <w:r>
        <w:t>, with a coupon</w:t>
      </w:r>
      <w:r w:rsidRPr="00864E02">
        <w:t>), and the expected cost in patient inconvenience, risk of adverse or allergic reactions, and contribution to antibiotic resistance is another $</w:t>
      </w:r>
      <w:r>
        <w:t>48</w:t>
      </w:r>
      <w:r w:rsidRPr="00864E02">
        <w:t>. So, the total expected treatment cost is $</w:t>
      </w:r>
      <w:r>
        <w:t>6</w:t>
      </w:r>
      <w:r w:rsidRPr="00864E02">
        <w:t>0.</w:t>
      </w:r>
    </w:p>
    <w:p w14:paraId="7941E5C3" w14:textId="77777777" w:rsidR="00CB73CA" w:rsidRPr="00864E02" w:rsidRDefault="00CB73CA" w:rsidP="00CB73CA">
      <w:pPr>
        <w:pStyle w:val="NormalWeb"/>
        <w:ind w:left="540" w:hanging="259"/>
      </w:pPr>
      <w:r w:rsidRPr="00864E02">
        <w:t>ii. Treating someone who really has strep throat (and not some other pharyngitis) decreases symptom severity, length of illness, transmission to others and the (already minute) risk of rheumatic fever. The value of this averages about $1</w:t>
      </w:r>
      <w:r>
        <w:t>5</w:t>
      </w:r>
      <w:r w:rsidRPr="00864E02">
        <w:t>0, but since the cost of treatment is $</w:t>
      </w:r>
      <w:r>
        <w:t>6</w:t>
      </w:r>
      <w:r w:rsidRPr="00864E02">
        <w:t>0, the net benefit of treating someone with strep throat is $</w:t>
      </w:r>
      <w:r>
        <w:t>9</w:t>
      </w:r>
      <w:r w:rsidRPr="00864E02">
        <w:t>0. This can also be viewed as the net cost of failing to treat someone with strep throat. Penicillin will not help the patient if the sore throat is caused by something other than Group A strep.</w:t>
      </w:r>
    </w:p>
    <w:p w14:paraId="7018617F" w14:textId="167CE614" w:rsidR="00CB73CA" w:rsidRDefault="00CB73CA" w:rsidP="00CB73CA">
      <w:pPr>
        <w:pStyle w:val="NormalWeb"/>
        <w:numPr>
          <w:ilvl w:val="0"/>
          <w:numId w:val="21"/>
        </w:numPr>
      </w:pPr>
      <w:r w:rsidRPr="00864E02">
        <w:t xml:space="preserve">Draw a graph like figure </w:t>
      </w:r>
      <w:r>
        <w:t>2</w:t>
      </w:r>
      <w:r w:rsidRPr="00864E02">
        <w:t>.2</w:t>
      </w:r>
      <w:r w:rsidR="004946AE">
        <w:t xml:space="preserve"> based on the assumptions above</w:t>
      </w:r>
      <w:r w:rsidRPr="00864E02">
        <w:t>, labeling the axes, lines and intercepts.</w:t>
      </w:r>
      <w:r>
        <w:t xml:space="preserve">  Although you can check your answer at </w:t>
      </w:r>
      <w:hyperlink r:id="rId9" w:history="1">
        <w:r w:rsidR="009C06B4" w:rsidRPr="002330C9">
          <w:rPr>
            <w:rStyle w:val="Hyperlink"/>
          </w:rPr>
          <w:t>www.ebd-2.net</w:t>
        </w:r>
      </w:hyperlink>
      <w:r>
        <w:t>, draw the graph by hand.</w:t>
      </w:r>
      <w:r w:rsidR="004946AE">
        <w:t xml:space="preserve">  You can use pencil and paper and paste a low-resolution photo into your HW.</w:t>
      </w:r>
      <w:r w:rsidR="00196F0E">
        <w:t xml:space="preserve"> [2]</w:t>
      </w:r>
    </w:p>
    <w:p w14:paraId="7261487C" w14:textId="06487345" w:rsidR="00CB73CA" w:rsidRPr="00864E02" w:rsidRDefault="00F60CD6" w:rsidP="00CB73CA">
      <w:pPr>
        <w:pStyle w:val="NormalWeb"/>
        <w:ind w:left="907"/>
      </w:pPr>
      <w:r>
        <w:rPr>
          <w:rFonts w:eastAsia="Minion-Regular"/>
          <w:b/>
        </w:rPr>
        <w:t xml:space="preserve"> </w:t>
      </w:r>
    </w:p>
    <w:p w14:paraId="1926A6EC" w14:textId="2CC2E95E" w:rsidR="00CB73CA" w:rsidRDefault="00CB73CA" w:rsidP="00CB73CA">
      <w:pPr>
        <w:pStyle w:val="NormalWeb"/>
        <w:numPr>
          <w:ilvl w:val="0"/>
          <w:numId w:val="21"/>
        </w:numPr>
      </w:pPr>
      <w:r w:rsidRPr="00864E02">
        <w:lastRenderedPageBreak/>
        <w:t>At what probability of strep throat should you treat with penicillin? Show the point on the graph</w:t>
      </w:r>
      <w:r>
        <w:t xml:space="preserve"> and the equation to derive it; you can check your answer at ebd</w:t>
      </w:r>
      <w:r w:rsidR="00504530">
        <w:t>-</w:t>
      </w:r>
      <w:r>
        <w:t>2.net</w:t>
      </w:r>
      <w:r w:rsidR="00196F0E">
        <w:t>. [2]</w:t>
      </w:r>
      <w:r w:rsidR="00F60CD6">
        <w:br/>
      </w:r>
      <w:r w:rsidR="00F60CD6">
        <w:br/>
      </w:r>
    </w:p>
    <w:p w14:paraId="43C30094" w14:textId="5D6C16DC" w:rsidR="00CB73CA" w:rsidRDefault="00CB73CA" w:rsidP="00CB73CA">
      <w:pPr>
        <w:pStyle w:val="NormalWeb"/>
        <w:numPr>
          <w:ilvl w:val="0"/>
          <w:numId w:val="21"/>
        </w:numPr>
      </w:pPr>
      <w:r>
        <w:t xml:space="preserve">According to UpToDate (7/11/18) the sensitivity of a rapid strep test is 77-92% and specificity is 88-99%. </w:t>
      </w:r>
      <w:r w:rsidRPr="00864E02">
        <w:t xml:space="preserve">If a rapid strep test were </w:t>
      </w:r>
      <w:r>
        <w:t>85</w:t>
      </w:r>
      <w:r w:rsidRPr="00864E02">
        <w:t>% sensitive and 9</w:t>
      </w:r>
      <w:r>
        <w:t>5</w:t>
      </w:r>
      <w:r w:rsidRPr="00864E02">
        <w:t>% specific, for what range of prior probabilities would it have the potential to affect management? (Ignore the cost of the test.) Do this calculation using likelihood ratios</w:t>
      </w:r>
      <w:r w:rsidR="007F6609">
        <w:t xml:space="preserve"> (show your work)</w:t>
      </w:r>
      <w:r w:rsidRPr="00864E02">
        <w:t>, then draw a line for “</w:t>
      </w:r>
      <w:r>
        <w:t xml:space="preserve">free rapid strep </w:t>
      </w:r>
      <w:r w:rsidRPr="00864E02">
        <w:t>testing” on the graph.</w:t>
      </w:r>
      <w:r w:rsidR="007F6609">
        <w:t xml:space="preserve"> [4]</w:t>
      </w:r>
    </w:p>
    <w:p w14:paraId="6941F6EB" w14:textId="34EE275E" w:rsidR="00CB73CA" w:rsidRPr="0058390E" w:rsidRDefault="003D0C73" w:rsidP="00CB73CA">
      <w:pPr>
        <w:pStyle w:val="NormalWeb"/>
        <w:ind w:left="907"/>
        <w:rPr>
          <w:b/>
        </w:rPr>
      </w:pPr>
      <w:r>
        <w:rPr>
          <w:b/>
        </w:rPr>
        <w:br/>
      </w:r>
    </w:p>
    <w:p w14:paraId="22AA7CED" w14:textId="32658DCF" w:rsidR="00CB73CA" w:rsidRDefault="00CB73CA" w:rsidP="00CB73CA">
      <w:pPr>
        <w:pStyle w:val="NormalWeb"/>
        <w:numPr>
          <w:ilvl w:val="0"/>
          <w:numId w:val="21"/>
        </w:numPr>
      </w:pPr>
      <w:r w:rsidRPr="00864E02">
        <w:t xml:space="preserve">Now assume that </w:t>
      </w:r>
      <w:r>
        <w:t>a</w:t>
      </w:r>
      <w:r w:rsidRPr="00864E02">
        <w:t xml:space="preserve"> perfect rapid strep test for Group A streptococcal throat infection has been developed. The test causes negligible discomfort and results are available nearly instantaneously, but the test costs $</w:t>
      </w:r>
      <w:r>
        <w:t>4</w:t>
      </w:r>
      <w:r w:rsidRPr="00864E02">
        <w:t>0. When does it make sense to use this test? Draw a line for testing on the graph and explain.</w:t>
      </w:r>
      <w:r w:rsidR="007F6609">
        <w:t xml:space="preserve"> [3]</w:t>
      </w:r>
      <w:r w:rsidR="00F60CD6">
        <w:br/>
      </w:r>
      <w:r w:rsidR="00F60CD6">
        <w:br/>
      </w:r>
    </w:p>
    <w:p w14:paraId="13ADB5DF" w14:textId="51D29F65" w:rsidR="00CB73CA" w:rsidRPr="00CB73CA" w:rsidRDefault="00CB73CA" w:rsidP="00F60CD6">
      <w:pPr>
        <w:pStyle w:val="NormalWeb"/>
        <w:numPr>
          <w:ilvl w:val="0"/>
          <w:numId w:val="21"/>
        </w:numPr>
      </w:pPr>
      <w:r>
        <w:t xml:space="preserve">UpToDate recommends using the Centor criteria to estimate the pretest probability ofstrep throat to assist in the decision to do a rapid strep test in patients with a sore throat.  The criteria are: 1) tonsillar exudates (pus on the tonsils); 2) tender anterior cervical (front of the neck) lymph nodes; 3) Fever and 4) absence of cough.  The authors recommend forgoing testing for patients with ≤ 2 criteria (probability of strep ≤ 21%) and testing for 3 criteria (probability of strep 38%) or 4 criteria (probability of strep 57%).  Use the regret graph calculator at </w:t>
      </w:r>
      <w:hyperlink r:id="rId10" w:history="1">
        <w:r w:rsidR="00AC1723" w:rsidRPr="002330C9">
          <w:rPr>
            <w:rStyle w:val="Hyperlink"/>
          </w:rPr>
          <w:t>www.ebd-2.net</w:t>
        </w:r>
      </w:hyperlink>
      <w:r>
        <w:t xml:space="preserve"> </w:t>
      </w:r>
      <w:r w:rsidR="003D0C73">
        <w:t>or the spreadsheet on the CLE site (“</w:t>
      </w:r>
      <w:r w:rsidR="003D0C73" w:rsidRPr="003D0C73">
        <w:t>Cost-Benefit X Graph and calcs for Chapter 3 MAK.xls</w:t>
      </w:r>
      <w:r w:rsidR="003D0C73">
        <w:t xml:space="preserve">”) </w:t>
      </w:r>
      <w:r>
        <w:t>to find a cost T for the rapid strep test that would be consistent with the UpToDate recommendation.</w:t>
      </w:r>
      <w:r w:rsidR="007F6609">
        <w:t xml:space="preserve"> [</w:t>
      </w:r>
      <w:r w:rsidR="00720CB2">
        <w:t>4</w:t>
      </w:r>
      <w:r w:rsidR="007F6609">
        <w:t>]</w:t>
      </w:r>
      <w:r>
        <w:br/>
      </w:r>
      <w:r>
        <w:br/>
      </w:r>
    </w:p>
    <w:p w14:paraId="473B2478" w14:textId="653EBAD5" w:rsidR="00CB73CA" w:rsidRPr="008B7DAE" w:rsidRDefault="002C6C1E" w:rsidP="00CB73CA">
      <w:pPr>
        <w:pStyle w:val="HTMLPreformatted"/>
        <w:ind w:left="547"/>
        <w:rPr>
          <w:rFonts w:ascii="Times New Roman" w:hAnsi="Times New Roman" w:cs="Times New Roman"/>
          <w:color w:val="000000"/>
          <w:sz w:val="24"/>
          <w:szCs w:val="24"/>
        </w:rPr>
      </w:pPr>
      <w:r>
        <w:rPr>
          <w:rFonts w:ascii="Times New Roman" w:hAnsi="Times New Roman" w:cs="Times New Roman"/>
          <w:b/>
          <w:color w:val="000000"/>
          <w:sz w:val="24"/>
          <w:szCs w:val="24"/>
        </w:rPr>
        <w:t>3.  Ch02.07.</w:t>
      </w:r>
      <w:r w:rsidR="00CB73CA">
        <w:rPr>
          <w:rFonts w:ascii="Times New Roman" w:hAnsi="Times New Roman" w:cs="Times New Roman"/>
          <w:b/>
          <w:color w:val="000000"/>
          <w:sz w:val="24"/>
          <w:szCs w:val="24"/>
        </w:rPr>
        <w:t xml:space="preserve"> </w:t>
      </w:r>
      <w:r w:rsidR="00CB73CA" w:rsidRPr="008B7DAE">
        <w:rPr>
          <w:rFonts w:ascii="Times New Roman" w:hAnsi="Times New Roman" w:cs="Times New Roman"/>
          <w:b/>
          <w:color w:val="000000"/>
          <w:sz w:val="24"/>
          <w:szCs w:val="24"/>
        </w:rPr>
        <w:t>Are negative and positive test</w:t>
      </w:r>
      <w:r w:rsidR="00CB73CA">
        <w:rPr>
          <w:rFonts w:ascii="Times New Roman" w:hAnsi="Times New Roman" w:cs="Times New Roman"/>
          <w:b/>
          <w:color w:val="000000"/>
          <w:sz w:val="24"/>
          <w:szCs w:val="24"/>
        </w:rPr>
        <w:t xml:space="preserve"> results</w:t>
      </w:r>
      <w:r w:rsidR="00CB73CA" w:rsidRPr="008B7DAE">
        <w:rPr>
          <w:rFonts w:ascii="Times New Roman" w:hAnsi="Times New Roman" w:cs="Times New Roman"/>
          <w:b/>
          <w:color w:val="000000"/>
          <w:sz w:val="24"/>
          <w:szCs w:val="24"/>
        </w:rPr>
        <w:t xml:space="preserve"> always equally informative?</w:t>
      </w:r>
      <w:r w:rsidR="00CB73CA" w:rsidRPr="008B7DAE">
        <w:rPr>
          <w:rFonts w:ascii="Times New Roman" w:hAnsi="Times New Roman" w:cs="Times New Roman"/>
          <w:color w:val="000000"/>
          <w:sz w:val="24"/>
          <w:szCs w:val="24"/>
        </w:rPr>
        <w:t xml:space="preserve">  </w:t>
      </w:r>
    </w:p>
    <w:p w14:paraId="42F2DE0B" w14:textId="6BE1A259" w:rsidR="00CB73CA" w:rsidRPr="008B7DAE" w:rsidRDefault="00CB73CA" w:rsidP="00CB73CA">
      <w:pPr>
        <w:pStyle w:val="HTMLPreformatted"/>
        <w:ind w:left="547"/>
        <w:rPr>
          <w:rFonts w:ascii="Times New Roman" w:hAnsi="Times New Roman" w:cs="Times New Roman"/>
          <w:color w:val="000000"/>
          <w:sz w:val="24"/>
          <w:szCs w:val="24"/>
        </w:rPr>
      </w:pPr>
      <w:r w:rsidRPr="008B7DAE">
        <w:rPr>
          <w:rFonts w:ascii="Times New Roman" w:hAnsi="Times New Roman" w:cs="Times New Roman"/>
          <w:color w:val="000000"/>
          <w:sz w:val="24"/>
          <w:szCs w:val="24"/>
        </w:rPr>
        <w:t xml:space="preserve">Give a REAL example </w:t>
      </w:r>
      <w:r>
        <w:rPr>
          <w:rFonts w:ascii="Times New Roman" w:hAnsi="Times New Roman" w:cs="Times New Roman"/>
          <w:color w:val="000000"/>
          <w:sz w:val="24"/>
          <w:szCs w:val="24"/>
        </w:rPr>
        <w:t xml:space="preserve">of a test for which </w:t>
      </w:r>
      <w:r w:rsidRPr="008B7DAE">
        <w:rPr>
          <w:rFonts w:ascii="Times New Roman" w:hAnsi="Times New Roman" w:cs="Times New Roman"/>
          <w:color w:val="000000"/>
          <w:sz w:val="24"/>
          <w:szCs w:val="24"/>
        </w:rPr>
        <w:t xml:space="preserve">a positive </w:t>
      </w:r>
      <w:r>
        <w:rPr>
          <w:rFonts w:ascii="Times New Roman" w:hAnsi="Times New Roman" w:cs="Times New Roman"/>
          <w:color w:val="000000"/>
          <w:sz w:val="24"/>
          <w:szCs w:val="24"/>
        </w:rPr>
        <w:t>result</w:t>
      </w:r>
      <w:r w:rsidRPr="008B7DAE">
        <w:rPr>
          <w:rFonts w:ascii="Times New Roman" w:hAnsi="Times New Roman" w:cs="Times New Roman"/>
          <w:color w:val="000000"/>
          <w:sz w:val="24"/>
          <w:szCs w:val="24"/>
        </w:rPr>
        <w:t xml:space="preserve"> is </w:t>
      </w:r>
      <w:r>
        <w:rPr>
          <w:rFonts w:ascii="Times New Roman" w:hAnsi="Times New Roman" w:cs="Times New Roman"/>
          <w:color w:val="000000"/>
          <w:sz w:val="24"/>
          <w:szCs w:val="24"/>
        </w:rPr>
        <w:t xml:space="preserve">generally </w:t>
      </w:r>
      <w:r w:rsidRPr="008B7DAE">
        <w:rPr>
          <w:rFonts w:ascii="Times New Roman" w:hAnsi="Times New Roman" w:cs="Times New Roman"/>
          <w:color w:val="000000"/>
          <w:sz w:val="24"/>
          <w:szCs w:val="24"/>
        </w:rPr>
        <w:t xml:space="preserve">very informative </w:t>
      </w:r>
      <w:r>
        <w:rPr>
          <w:rFonts w:ascii="Times New Roman" w:hAnsi="Times New Roman" w:cs="Times New Roman"/>
          <w:color w:val="000000"/>
          <w:sz w:val="24"/>
          <w:szCs w:val="24"/>
        </w:rPr>
        <w:t>but</w:t>
      </w:r>
      <w:r w:rsidRPr="008B7DAE">
        <w:rPr>
          <w:rFonts w:ascii="Times New Roman" w:hAnsi="Times New Roman" w:cs="Times New Roman"/>
          <w:color w:val="000000"/>
          <w:sz w:val="24"/>
          <w:szCs w:val="24"/>
        </w:rPr>
        <w:t xml:space="preserve"> a negative test is not</w:t>
      </w:r>
      <w:r>
        <w:rPr>
          <w:rFonts w:ascii="Times New Roman" w:hAnsi="Times New Roman" w:cs="Times New Roman"/>
          <w:color w:val="000000"/>
          <w:sz w:val="24"/>
          <w:szCs w:val="24"/>
        </w:rPr>
        <w:t>.</w:t>
      </w:r>
      <w:r w:rsidRPr="008B7D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need not be medical – in fact, we encourage you to think outside the medical box! </w:t>
      </w:r>
      <w:r w:rsidRPr="008B7DAE">
        <w:rPr>
          <w:rFonts w:ascii="Times New Roman" w:hAnsi="Times New Roman" w:cs="Times New Roman"/>
          <w:color w:val="000000"/>
          <w:sz w:val="24"/>
          <w:szCs w:val="24"/>
        </w:rPr>
        <w:t>What are the characteristics of a test</w:t>
      </w:r>
      <w:r>
        <w:rPr>
          <w:rFonts w:ascii="Times New Roman" w:hAnsi="Times New Roman" w:cs="Times New Roman"/>
          <w:color w:val="000000"/>
          <w:sz w:val="24"/>
          <w:szCs w:val="24"/>
        </w:rPr>
        <w:t xml:space="preserve"> for which positive results are generally more informative</w:t>
      </w:r>
      <w:r w:rsidRPr="008B7DAE">
        <w:rPr>
          <w:rFonts w:ascii="Times New Roman" w:hAnsi="Times New Roman" w:cs="Times New Roman"/>
          <w:color w:val="000000"/>
          <w:sz w:val="24"/>
          <w:szCs w:val="24"/>
        </w:rPr>
        <w:t>?</w:t>
      </w:r>
      <w:r w:rsidR="007F6609">
        <w:rPr>
          <w:rFonts w:ascii="Times New Roman" w:hAnsi="Times New Roman" w:cs="Times New Roman"/>
          <w:color w:val="000000"/>
          <w:sz w:val="24"/>
          <w:szCs w:val="24"/>
        </w:rPr>
        <w:t xml:space="preserve"> [</w:t>
      </w:r>
      <w:r w:rsidR="00720CB2">
        <w:rPr>
          <w:rFonts w:ascii="Times New Roman" w:hAnsi="Times New Roman" w:cs="Times New Roman"/>
          <w:color w:val="000000"/>
          <w:sz w:val="24"/>
          <w:szCs w:val="24"/>
        </w:rPr>
        <w:t>4</w:t>
      </w:r>
      <w:r w:rsidR="007F6609">
        <w:rPr>
          <w:rFonts w:ascii="Times New Roman" w:hAnsi="Times New Roman" w:cs="Times New Roman"/>
          <w:color w:val="000000"/>
          <w:sz w:val="24"/>
          <w:szCs w:val="24"/>
        </w:rPr>
        <w:t>]</w:t>
      </w:r>
    </w:p>
    <w:p w14:paraId="7A3D2CA6" w14:textId="77777777" w:rsidR="00CB73CA" w:rsidRPr="008B7DAE" w:rsidRDefault="00CB73CA" w:rsidP="00CB73CA">
      <w:pPr>
        <w:pStyle w:val="HTMLPreformatted"/>
        <w:ind w:left="547"/>
        <w:rPr>
          <w:rFonts w:ascii="Times New Roman" w:hAnsi="Times New Roman" w:cs="Times New Roman"/>
          <w:color w:val="000000"/>
          <w:sz w:val="24"/>
          <w:szCs w:val="24"/>
        </w:rPr>
      </w:pPr>
    </w:p>
    <w:p w14:paraId="05AC44E2" w14:textId="77777777" w:rsidR="00CB73CA" w:rsidRDefault="00CB73CA" w:rsidP="00CB73CA">
      <w:pPr>
        <w:pStyle w:val="HTMLPreformatted"/>
        <w:ind w:left="547"/>
        <w:rPr>
          <w:rFonts w:ascii="Times New Roman" w:hAnsi="Times New Roman" w:cs="Times New Roman"/>
          <w:b/>
          <w:color w:val="000000"/>
          <w:sz w:val="24"/>
          <w:szCs w:val="24"/>
        </w:rPr>
      </w:pPr>
    </w:p>
    <w:p w14:paraId="679A0CDE" w14:textId="3100A498" w:rsidR="00CB73CA" w:rsidRDefault="00CB73CA" w:rsidP="001272B8">
      <w:pPr>
        <w:pStyle w:val="HTMLPreformatted"/>
        <w:ind w:left="547"/>
        <w:rPr>
          <w:rFonts w:ascii="Times New Roman" w:hAnsi="Times New Roman" w:cs="Times New Roman"/>
          <w:b/>
          <w:color w:val="000000"/>
          <w:sz w:val="24"/>
          <w:szCs w:val="24"/>
        </w:rPr>
      </w:pPr>
    </w:p>
    <w:p w14:paraId="49E4082B" w14:textId="77777777" w:rsidR="0015620D" w:rsidRPr="008B7DAE" w:rsidRDefault="0015620D" w:rsidP="0015620D">
      <w:pPr>
        <w:pStyle w:val="HTMLPreformatted"/>
        <w:jc w:val="center"/>
        <w:rPr>
          <w:b/>
        </w:rPr>
      </w:pPr>
    </w:p>
    <w:p w14:paraId="4C1A454B" w14:textId="77777777" w:rsidR="0015620D" w:rsidRDefault="0015620D" w:rsidP="0015620D">
      <w:pPr>
        <w:pStyle w:val="HTMLPreformatted"/>
        <w:jc w:val="center"/>
        <w:rPr>
          <w:b/>
        </w:rPr>
      </w:pPr>
    </w:p>
    <w:p w14:paraId="26E128C3" w14:textId="37A69D49" w:rsidR="0015620D" w:rsidRDefault="00A241C3" w:rsidP="0015620D">
      <w:pPr>
        <w:rPr>
          <w:b/>
        </w:rPr>
      </w:pPr>
      <w:r>
        <w:rPr>
          <w:b/>
        </w:rPr>
        <w:t xml:space="preserve">4.  </w:t>
      </w:r>
      <w:r w:rsidR="002C6C1E">
        <w:rPr>
          <w:b/>
        </w:rPr>
        <w:t>Ch02.10.</w:t>
      </w:r>
      <w:r w:rsidR="0015620D">
        <w:rPr>
          <w:b/>
        </w:rPr>
        <w:t xml:space="preserve">  Rapid Influenza Diagnostic Testing </w:t>
      </w:r>
    </w:p>
    <w:p w14:paraId="26E58480" w14:textId="45782673" w:rsidR="0015620D" w:rsidRPr="008B7DAE" w:rsidRDefault="0015620D" w:rsidP="0015620D">
      <w:pPr>
        <w:spacing w:after="0" w:line="240" w:lineRule="auto"/>
      </w:pPr>
      <w:r w:rsidRPr="008B7DAE">
        <w:t xml:space="preserve">The </w:t>
      </w:r>
      <w:r>
        <w:t>U.S. Centers for Disease Control (</w:t>
      </w:r>
      <w:r w:rsidRPr="008B7DAE">
        <w:t>CDC</w:t>
      </w:r>
      <w:r>
        <w:t>) has a web page intended to provide guidance to clinical laboratory directors about rapid influenza diagnostic tests (RIDT).  (</w:t>
      </w:r>
      <w:hyperlink r:id="rId11" w:history="1">
        <w:r w:rsidRPr="008B7DAE">
          <w:rPr>
            <w:rStyle w:val="Hyperlink"/>
          </w:rPr>
          <w:t>http://www.cdc.gov/flu/professionals/diagnosis/rapidlab.htm</w:t>
        </w:r>
      </w:hyperlink>
      <w:r>
        <w:t xml:space="preserve">, </w:t>
      </w:r>
      <w:r w:rsidRPr="008B7DAE">
        <w:t xml:space="preserve">accessed on </w:t>
      </w:r>
      <w:r>
        <w:t>7/13/18</w:t>
      </w:r>
      <w:r w:rsidRPr="008B7DAE">
        <w:t>)</w:t>
      </w:r>
      <w:r>
        <w:t xml:space="preserve">  It includes a table</w:t>
      </w:r>
      <w:r w:rsidRPr="008B7DAE">
        <w:t xml:space="preserve"> </w:t>
      </w:r>
      <w:r>
        <w:lastRenderedPageBreak/>
        <w:t>with</w:t>
      </w:r>
      <w:r w:rsidRPr="008B7DAE">
        <w:t xml:space="preserve"> calculations </w:t>
      </w:r>
      <w:r>
        <w:t xml:space="preserve">of positive predictive value as a function of specificity and pretest probability. </w:t>
      </w:r>
      <w:r w:rsidRPr="008B7DAE">
        <w:t xml:space="preserve"> </w:t>
      </w:r>
      <w:r>
        <w:t>A portion of the table is reprinted below.</w:t>
      </w:r>
      <w:r w:rsidR="009B33ED">
        <w:br/>
      </w:r>
    </w:p>
    <w:p w14:paraId="4EAE74FB" w14:textId="40DD04F9" w:rsidR="0015620D" w:rsidRDefault="0015620D" w:rsidP="0015620D">
      <w:pPr>
        <w:spacing w:after="0" w:line="240" w:lineRule="auto"/>
        <w:rPr>
          <w:b/>
        </w:rPr>
      </w:pPr>
      <w:r w:rsidRPr="008B7DAE">
        <w:t>.</w:t>
      </w:r>
      <w:r w:rsidRPr="008B7DAE">
        <w:rPr>
          <w:b/>
        </w:rPr>
        <w:t>Positive Predictive Value (PPV) of a Rapid Antigen Test for Influenza</w:t>
      </w:r>
    </w:p>
    <w:tbl>
      <w:tblPr>
        <w:tblW w:w="9725" w:type="dxa"/>
        <w:tblInd w:w="93" w:type="dxa"/>
        <w:tblLayout w:type="fixed"/>
        <w:tblLook w:val="04A0" w:firstRow="1" w:lastRow="0" w:firstColumn="1" w:lastColumn="0" w:noHBand="0" w:noVBand="1"/>
      </w:tblPr>
      <w:tblGrid>
        <w:gridCol w:w="2640"/>
        <w:gridCol w:w="2415"/>
        <w:gridCol w:w="2490"/>
        <w:gridCol w:w="2180"/>
      </w:tblGrid>
      <w:tr w:rsidR="0015620D" w:rsidRPr="000360F1" w14:paraId="6FE7BEEA" w14:textId="77777777" w:rsidTr="00566566">
        <w:trPr>
          <w:trHeight w:val="760"/>
        </w:trPr>
        <w:tc>
          <w:tcPr>
            <w:tcW w:w="2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8A93C9" w14:textId="77777777" w:rsidR="0015620D" w:rsidRPr="000360F1" w:rsidRDefault="0015620D" w:rsidP="0015620D">
            <w:pPr>
              <w:spacing w:after="0" w:line="240" w:lineRule="auto"/>
              <w:rPr>
                <w:rFonts w:ascii="Helvetica Neue" w:eastAsia="Times New Roman" w:hAnsi="Helvetica Neue"/>
                <w:b/>
                <w:bCs/>
                <w:color w:val="000000"/>
                <w:sz w:val="28"/>
                <w:szCs w:val="28"/>
              </w:rPr>
            </w:pPr>
            <w:r w:rsidRPr="000360F1">
              <w:rPr>
                <w:rFonts w:ascii="Helvetica Neue" w:eastAsia="Times New Roman" w:hAnsi="Helvetica Neue"/>
                <w:b/>
                <w:bCs/>
                <w:color w:val="000000"/>
                <w:sz w:val="28"/>
                <w:szCs w:val="28"/>
              </w:rPr>
              <w:t>If Influenza Prevalence is…</w:t>
            </w:r>
          </w:p>
        </w:tc>
        <w:tc>
          <w:tcPr>
            <w:tcW w:w="2415" w:type="dxa"/>
            <w:tcBorders>
              <w:top w:val="single" w:sz="4" w:space="0" w:color="auto"/>
              <w:left w:val="nil"/>
              <w:bottom w:val="single" w:sz="4" w:space="0" w:color="auto"/>
              <w:right w:val="single" w:sz="4" w:space="0" w:color="auto"/>
            </w:tcBorders>
            <w:shd w:val="clear" w:color="auto" w:fill="auto"/>
            <w:vAlign w:val="bottom"/>
            <w:hideMark/>
          </w:tcPr>
          <w:p w14:paraId="3A545585" w14:textId="77777777" w:rsidR="0015620D" w:rsidRPr="000360F1" w:rsidRDefault="0015620D" w:rsidP="0015620D">
            <w:pPr>
              <w:spacing w:after="0" w:line="240" w:lineRule="auto"/>
              <w:rPr>
                <w:rFonts w:ascii="Helvetica Neue" w:eastAsia="Times New Roman" w:hAnsi="Helvetica Neue"/>
                <w:b/>
                <w:bCs/>
                <w:color w:val="000000"/>
                <w:sz w:val="28"/>
                <w:szCs w:val="28"/>
              </w:rPr>
            </w:pPr>
            <w:r w:rsidRPr="000360F1">
              <w:rPr>
                <w:rFonts w:ascii="Helvetica Neue" w:eastAsia="Times New Roman" w:hAnsi="Helvetica Neue"/>
                <w:b/>
                <w:bCs/>
                <w:color w:val="000000"/>
                <w:sz w:val="28"/>
                <w:szCs w:val="28"/>
              </w:rPr>
              <w:t>And Specificity is…</w:t>
            </w:r>
          </w:p>
        </w:tc>
        <w:tc>
          <w:tcPr>
            <w:tcW w:w="2490" w:type="dxa"/>
            <w:tcBorders>
              <w:top w:val="single" w:sz="4" w:space="0" w:color="auto"/>
              <w:left w:val="nil"/>
              <w:bottom w:val="single" w:sz="4" w:space="0" w:color="auto"/>
              <w:right w:val="single" w:sz="4" w:space="0" w:color="auto"/>
            </w:tcBorders>
            <w:shd w:val="clear" w:color="auto" w:fill="auto"/>
            <w:vAlign w:val="bottom"/>
            <w:hideMark/>
          </w:tcPr>
          <w:p w14:paraId="50619E71" w14:textId="77777777" w:rsidR="0015620D" w:rsidRPr="000360F1" w:rsidRDefault="0015620D" w:rsidP="0015620D">
            <w:pPr>
              <w:spacing w:after="0" w:line="240" w:lineRule="auto"/>
              <w:rPr>
                <w:rFonts w:ascii="Helvetica Neue" w:eastAsia="Times New Roman" w:hAnsi="Helvetica Neue"/>
                <w:b/>
                <w:bCs/>
                <w:color w:val="000000"/>
                <w:sz w:val="28"/>
                <w:szCs w:val="28"/>
              </w:rPr>
            </w:pPr>
            <w:r w:rsidRPr="000360F1">
              <w:rPr>
                <w:rFonts w:ascii="Helvetica Neue" w:eastAsia="Times New Roman" w:hAnsi="Helvetica Neue"/>
                <w:b/>
                <w:bCs/>
                <w:color w:val="000000"/>
                <w:sz w:val="28"/>
                <w:szCs w:val="28"/>
              </w:rPr>
              <w:t>Then PPV is…</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14:paraId="4C0827B2" w14:textId="77777777" w:rsidR="0015620D" w:rsidRPr="000360F1" w:rsidRDefault="0015620D" w:rsidP="0015620D">
            <w:pPr>
              <w:spacing w:after="0" w:line="240" w:lineRule="auto"/>
              <w:rPr>
                <w:rFonts w:ascii="Helvetica Neue" w:eastAsia="Times New Roman" w:hAnsi="Helvetica Neue"/>
                <w:b/>
                <w:bCs/>
                <w:color w:val="000000"/>
                <w:sz w:val="28"/>
                <w:szCs w:val="28"/>
              </w:rPr>
            </w:pPr>
            <w:r w:rsidRPr="000360F1">
              <w:rPr>
                <w:rFonts w:ascii="Helvetica Neue" w:eastAsia="Times New Roman" w:hAnsi="Helvetica Neue"/>
                <w:b/>
                <w:bCs/>
                <w:color w:val="000000"/>
                <w:sz w:val="28"/>
                <w:szCs w:val="28"/>
              </w:rPr>
              <w:t>False Pos. rate is…</w:t>
            </w:r>
          </w:p>
        </w:tc>
      </w:tr>
      <w:tr w:rsidR="0015620D" w:rsidRPr="000360F1" w14:paraId="26B11DE3" w14:textId="77777777" w:rsidTr="00566566">
        <w:trPr>
          <w:trHeight w:val="36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893FC63"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VERY LOW (2.5%)</w:t>
            </w:r>
          </w:p>
        </w:tc>
        <w:tc>
          <w:tcPr>
            <w:tcW w:w="2415" w:type="dxa"/>
            <w:tcBorders>
              <w:top w:val="nil"/>
              <w:left w:val="nil"/>
              <w:bottom w:val="single" w:sz="4" w:space="0" w:color="auto"/>
              <w:right w:val="single" w:sz="4" w:space="0" w:color="auto"/>
            </w:tcBorders>
            <w:shd w:val="clear" w:color="auto" w:fill="auto"/>
            <w:noWrap/>
            <w:vAlign w:val="bottom"/>
            <w:hideMark/>
          </w:tcPr>
          <w:p w14:paraId="504632A9"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HIGH  (98%)</w:t>
            </w:r>
          </w:p>
        </w:tc>
        <w:tc>
          <w:tcPr>
            <w:tcW w:w="2490" w:type="dxa"/>
            <w:tcBorders>
              <w:top w:val="nil"/>
              <w:left w:val="nil"/>
              <w:bottom w:val="single" w:sz="4" w:space="0" w:color="auto"/>
              <w:right w:val="single" w:sz="4" w:space="0" w:color="auto"/>
            </w:tcBorders>
            <w:shd w:val="clear" w:color="auto" w:fill="auto"/>
            <w:noWrap/>
            <w:vAlign w:val="bottom"/>
            <w:hideMark/>
          </w:tcPr>
          <w:p w14:paraId="30126F49"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LOW  (39-56%)</w:t>
            </w:r>
          </w:p>
        </w:tc>
        <w:tc>
          <w:tcPr>
            <w:tcW w:w="2180" w:type="dxa"/>
            <w:tcBorders>
              <w:top w:val="nil"/>
              <w:left w:val="nil"/>
              <w:bottom w:val="single" w:sz="4" w:space="0" w:color="auto"/>
              <w:right w:val="single" w:sz="4" w:space="0" w:color="auto"/>
            </w:tcBorders>
            <w:shd w:val="clear" w:color="auto" w:fill="auto"/>
            <w:noWrap/>
            <w:vAlign w:val="bottom"/>
            <w:hideMark/>
          </w:tcPr>
          <w:p w14:paraId="4E4420F4"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HIGH (44-61%)</w:t>
            </w:r>
          </w:p>
        </w:tc>
      </w:tr>
      <w:tr w:rsidR="0015620D" w:rsidRPr="000360F1" w14:paraId="4D04ADA5" w14:textId="77777777" w:rsidTr="00566566">
        <w:trPr>
          <w:trHeight w:val="36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73D460DB"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MODERATE (20%)</w:t>
            </w:r>
          </w:p>
        </w:tc>
        <w:tc>
          <w:tcPr>
            <w:tcW w:w="2415" w:type="dxa"/>
            <w:tcBorders>
              <w:top w:val="nil"/>
              <w:left w:val="nil"/>
              <w:bottom w:val="single" w:sz="4" w:space="0" w:color="auto"/>
              <w:right w:val="single" w:sz="4" w:space="0" w:color="auto"/>
            </w:tcBorders>
            <w:shd w:val="clear" w:color="auto" w:fill="auto"/>
            <w:noWrap/>
            <w:vAlign w:val="bottom"/>
            <w:hideMark/>
          </w:tcPr>
          <w:p w14:paraId="3594B821"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HIGH  (98%)</w:t>
            </w:r>
          </w:p>
        </w:tc>
        <w:tc>
          <w:tcPr>
            <w:tcW w:w="2490" w:type="dxa"/>
            <w:tcBorders>
              <w:top w:val="nil"/>
              <w:left w:val="nil"/>
              <w:bottom w:val="single" w:sz="4" w:space="0" w:color="auto"/>
              <w:right w:val="single" w:sz="4" w:space="0" w:color="auto"/>
            </w:tcBorders>
            <w:shd w:val="clear" w:color="auto" w:fill="auto"/>
            <w:noWrap/>
            <w:vAlign w:val="bottom"/>
            <w:hideMark/>
          </w:tcPr>
          <w:p w14:paraId="2568AC85"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HIGH (86-93%)</w:t>
            </w:r>
          </w:p>
        </w:tc>
        <w:tc>
          <w:tcPr>
            <w:tcW w:w="2180" w:type="dxa"/>
            <w:tcBorders>
              <w:top w:val="nil"/>
              <w:left w:val="nil"/>
              <w:bottom w:val="single" w:sz="4" w:space="0" w:color="auto"/>
              <w:right w:val="single" w:sz="4" w:space="0" w:color="auto"/>
            </w:tcBorders>
            <w:shd w:val="clear" w:color="auto" w:fill="auto"/>
            <w:noWrap/>
            <w:vAlign w:val="bottom"/>
            <w:hideMark/>
          </w:tcPr>
          <w:p w14:paraId="3BAF3EB0"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LOW (7-14%)</w:t>
            </w:r>
          </w:p>
        </w:tc>
      </w:tr>
    </w:tbl>
    <w:p w14:paraId="47866643" w14:textId="77777777" w:rsidR="0015620D" w:rsidRDefault="0015620D" w:rsidP="0015620D">
      <w:pPr>
        <w:spacing w:after="0" w:line="240" w:lineRule="auto"/>
      </w:pPr>
    </w:p>
    <w:p w14:paraId="0A0DF195" w14:textId="77777777" w:rsidR="0015620D" w:rsidRDefault="0015620D" w:rsidP="0015620D">
      <w:pPr>
        <w:spacing w:after="0" w:line="240" w:lineRule="auto"/>
      </w:pPr>
    </w:p>
    <w:p w14:paraId="2AB259DE" w14:textId="71A1F329" w:rsidR="0015620D" w:rsidRPr="008B7DAE" w:rsidRDefault="0015620D" w:rsidP="0015620D">
      <w:pPr>
        <w:spacing w:after="0" w:line="240" w:lineRule="auto"/>
      </w:pPr>
      <w:r w:rsidRPr="008B7DAE">
        <w:t>(We deleted calculations assuming a “</w:t>
      </w:r>
      <w:r>
        <w:t>moderate</w:t>
      </w:r>
      <w:r w:rsidRPr="008B7DAE">
        <w:t xml:space="preserve">” specificity of 80%, because </w:t>
      </w:r>
      <w:r>
        <w:t xml:space="preserve">specificity is generally much higher than that. </w:t>
      </w:r>
      <w:r w:rsidRPr="008B7DAE">
        <w:t>Although the table uses the term “prevalence,” the web page says, “</w:t>
      </w:r>
      <w:r w:rsidRPr="008B7DAE">
        <w:rPr>
          <w:color w:val="000000"/>
          <w:lang w:val="en"/>
        </w:rPr>
        <w:t xml:space="preserve">The interpretation of positive results should take into account the clinical characteristics of the case.”  </w:t>
      </w:r>
      <w:r w:rsidRPr="008B7DAE">
        <w:t>So by “prevalence” they actually mean pre-test probability.</w:t>
      </w:r>
      <w:r>
        <w:t>)</w:t>
      </w:r>
    </w:p>
    <w:p w14:paraId="172E64E1" w14:textId="52CA3DC8" w:rsidR="0015620D" w:rsidRPr="008B7DAE" w:rsidRDefault="0015620D" w:rsidP="0015620D">
      <w:pPr>
        <w:numPr>
          <w:ilvl w:val="0"/>
          <w:numId w:val="22"/>
        </w:numPr>
        <w:spacing w:after="0" w:line="240" w:lineRule="auto"/>
      </w:pPr>
      <w:r w:rsidRPr="008B7DAE">
        <w:t xml:space="preserve">What definition of False Positive Rate </w:t>
      </w:r>
      <w:r>
        <w:t xml:space="preserve">did the CDC </w:t>
      </w:r>
      <w:r w:rsidRPr="008B7DAE">
        <w:t>use in this table?</w:t>
      </w:r>
      <w:r w:rsidR="007F6609">
        <w:t xml:space="preserve"> [2]</w:t>
      </w:r>
    </w:p>
    <w:p w14:paraId="69E0CD4C" w14:textId="77777777" w:rsidR="0015620D" w:rsidRPr="008B7DAE" w:rsidRDefault="0015620D" w:rsidP="0015620D">
      <w:pPr>
        <w:spacing w:after="0" w:line="240" w:lineRule="auto"/>
        <w:ind w:left="360"/>
      </w:pPr>
    </w:p>
    <w:p w14:paraId="1D350D81" w14:textId="77777777" w:rsidR="0015620D" w:rsidRPr="008B7DAE" w:rsidRDefault="0015620D" w:rsidP="0015620D">
      <w:pPr>
        <w:spacing w:after="0" w:line="240" w:lineRule="auto"/>
        <w:rPr>
          <w:b/>
        </w:rPr>
      </w:pPr>
    </w:p>
    <w:p w14:paraId="1753D5DF" w14:textId="0F507CE3" w:rsidR="0015620D" w:rsidRPr="008B7DAE" w:rsidRDefault="0015620D" w:rsidP="0015620D">
      <w:pPr>
        <w:numPr>
          <w:ilvl w:val="0"/>
          <w:numId w:val="22"/>
        </w:numPr>
        <w:spacing w:after="0" w:line="240" w:lineRule="auto"/>
      </w:pPr>
      <w:r w:rsidRPr="008B7DAE">
        <w:t>In the first row of the table, the pre-test probability is 2.5% and the PPV</w:t>
      </w:r>
      <w:r>
        <w:t xml:space="preserve"> ranges from</w:t>
      </w:r>
      <w:r w:rsidRPr="008B7DAE">
        <w:t xml:space="preserve"> 39%</w:t>
      </w:r>
      <w:r>
        <w:t xml:space="preserve"> to 56%</w:t>
      </w:r>
      <w:r w:rsidRPr="008B7DAE">
        <w:t>.  What sensitivity</w:t>
      </w:r>
      <w:r>
        <w:t xml:space="preserve"> for the RIDT </w:t>
      </w:r>
      <w:r w:rsidRPr="008B7DAE">
        <w:t>did they use for th</w:t>
      </w:r>
      <w:r>
        <w:t xml:space="preserve">e 39% PPV </w:t>
      </w:r>
      <w:r w:rsidRPr="008B7DAE">
        <w:t>estimate?</w:t>
      </w:r>
      <w:r w:rsidR="007F6609">
        <w:t xml:space="preserve"> </w:t>
      </w:r>
      <w:r w:rsidR="001B52BE">
        <w:t>[3]</w:t>
      </w:r>
    </w:p>
    <w:p w14:paraId="064094D9" w14:textId="77777777" w:rsidR="0015620D" w:rsidRPr="008B7DAE" w:rsidRDefault="0015620D" w:rsidP="0015620D">
      <w:pPr>
        <w:spacing w:after="0" w:line="240" w:lineRule="auto"/>
        <w:rPr>
          <w:b/>
        </w:rPr>
      </w:pPr>
    </w:p>
    <w:p w14:paraId="62B8CE87" w14:textId="77777777" w:rsidR="0015620D" w:rsidRPr="008B7DAE" w:rsidRDefault="0015620D" w:rsidP="0015620D">
      <w:pPr>
        <w:spacing w:after="0" w:line="240" w:lineRule="auto"/>
        <w:rPr>
          <w:b/>
        </w:rPr>
      </w:pPr>
    </w:p>
    <w:p w14:paraId="66D7EF74" w14:textId="521BF95F" w:rsidR="0015620D" w:rsidRPr="008B7DAE" w:rsidRDefault="0015620D" w:rsidP="0015620D">
      <w:pPr>
        <w:numPr>
          <w:ilvl w:val="0"/>
          <w:numId w:val="22"/>
        </w:numPr>
        <w:spacing w:after="0" w:line="240" w:lineRule="auto"/>
      </w:pPr>
      <w:r w:rsidRPr="008B7DAE">
        <w:t>The “GOOD” specificity of 98% may be too low.  The Quidel (QuickVue) rapid antigen test has a specificity of at least 99%.</w:t>
      </w:r>
      <w:r w:rsidR="00904680">
        <w:fldChar w:fldCharType="begin"/>
      </w:r>
      <w:r w:rsidR="00904680">
        <w:instrText xml:space="preserve"> ADDIN EN.CITE &lt;EndNote&gt;&lt;Cite&gt;&lt;Author&gt;Faix&lt;/Author&gt;&lt;Year&gt;2009&lt;/Year&gt;&lt;RecNum&gt;1065&lt;/RecNum&gt;&lt;DisplayText&gt;[1]&lt;/DisplayText&gt;&lt;record&gt;&lt;rec-number&gt;1065&lt;/rec-number&gt;&lt;foreign-keys&gt;&lt;key app="EN" db-id="0ftvff9p80fp5few5s05f5fw9rd9fefrdzer" timestamp="0"&gt;1065&lt;/key&gt;&lt;/foreign-keys&gt;&lt;ref-type name="Journal Article"&gt;17&lt;/ref-type&gt;&lt;contributors&gt;&lt;authors&gt;&lt;author&gt;Faix, D. J.&lt;/author&gt;&lt;author&gt;Sherman, S. S.&lt;/author&gt;&lt;author&gt;Waterman, S. H.&lt;/author&gt;&lt;/authors&gt;&lt;/contributors&gt;&lt;titles&gt;&lt;title&gt;Rapid-test sensitivity for novel swine-origin influenza A (H1N1) virus in humans&lt;/title&gt;&lt;secondary-title&gt;N Engl J Med&lt;/secondary-title&gt;&lt;/titles&gt;&lt;periodical&gt;&lt;full-title&gt;N Engl J Med&lt;/full-title&gt;&lt;/periodical&gt;&lt;pages&gt;728-9&lt;/pages&gt;&lt;volume&gt;361&lt;/volume&gt;&lt;number&gt;7&lt;/number&gt;&lt;keywords&gt;&lt;keyword&gt;California&lt;/keyword&gt;&lt;keyword&gt;Humans&lt;/keyword&gt;&lt;keyword&gt;Influenza A Virus, H1N1 Subtype/classification/genetics/*isolation &amp;amp;&lt;/keyword&gt;&lt;keyword&gt;purification&lt;/keyword&gt;&lt;keyword&gt;Influenza, Human/*diagnosis/virology&lt;/keyword&gt;&lt;keyword&gt;Mexico&lt;/keyword&gt;&lt;keyword&gt;Military Medicine&lt;/keyword&gt;&lt;keyword&gt;Polymerase Chain Reaction&lt;/keyword&gt;&lt;keyword&gt;Population Surveillance&lt;/keyword&gt;&lt;keyword&gt;Sensitivity and Specificity&lt;/keyword&gt;&lt;/keywords&gt;&lt;dates&gt;&lt;year&gt;2009&lt;/year&gt;&lt;pub-dates&gt;&lt;date&gt;Aug 13&lt;/date&gt;&lt;/pub-dates&gt;&lt;/dates&gt;&lt;accession-num&gt;19564634&lt;/accession-num&gt;&lt;urls&gt;&lt;related-urls&gt;&lt;url&gt;http://www.ncbi.nlm.nih.gov/entrez/query.fcgi?cmd=Retrieve&amp;amp;db=PubMed&amp;amp;dopt=Citation&amp;amp;list_uids=19564634&lt;/url&gt;&lt;/related-urls&gt;&lt;/urls&gt;&lt;electronic-resource-num&gt;NEJMc0904264 [pii]&amp;#xD;10.1056/NEJMc0904264&lt;/electronic-resource-num&gt;&lt;language&gt;eng&lt;/language&gt;&lt;/record&gt;&lt;/Cite&gt;&lt;/EndNote&gt;</w:instrText>
      </w:r>
      <w:r w:rsidR="00904680">
        <w:fldChar w:fldCharType="separate"/>
      </w:r>
      <w:r w:rsidR="00904680">
        <w:rPr>
          <w:noProof/>
        </w:rPr>
        <w:t>[1]</w:t>
      </w:r>
      <w:r w:rsidR="00904680">
        <w:fldChar w:fldCharType="end"/>
      </w:r>
      <w:r w:rsidRPr="008B7DAE">
        <w:t xml:space="preserve">  How would using 99% instead of 98% specificity, change the LR(+)?</w:t>
      </w:r>
      <w:r w:rsidR="001B52BE">
        <w:t xml:space="preserve"> [2]</w:t>
      </w:r>
    </w:p>
    <w:p w14:paraId="050A20E4" w14:textId="77777777" w:rsidR="0015620D" w:rsidRPr="008B7DAE" w:rsidRDefault="0015620D" w:rsidP="0015620D">
      <w:pPr>
        <w:spacing w:after="0" w:line="240" w:lineRule="auto"/>
      </w:pPr>
    </w:p>
    <w:p w14:paraId="3FCB7AD1" w14:textId="77777777" w:rsidR="0015620D" w:rsidRPr="008B7DAE" w:rsidRDefault="0015620D" w:rsidP="0015620D">
      <w:pPr>
        <w:spacing w:after="0" w:line="240" w:lineRule="auto"/>
        <w:rPr>
          <w:b/>
        </w:rPr>
      </w:pPr>
    </w:p>
    <w:p w14:paraId="7C337EF6" w14:textId="428814BB" w:rsidR="0015620D" w:rsidRPr="008B7DAE" w:rsidRDefault="0015620D" w:rsidP="0015620D">
      <w:pPr>
        <w:numPr>
          <w:ilvl w:val="0"/>
          <w:numId w:val="22"/>
        </w:numPr>
        <w:spacing w:after="0" w:line="240" w:lineRule="auto"/>
      </w:pPr>
      <w:r w:rsidRPr="008B7DAE">
        <w:t xml:space="preserve">Repeat the calculation of the PPV in the first row of the table using 99% instead of 98% specificity. </w:t>
      </w:r>
      <w:r w:rsidR="001B52BE">
        <w:t>[2]</w:t>
      </w:r>
    </w:p>
    <w:p w14:paraId="5E9A97CE" w14:textId="77777777" w:rsidR="0015620D" w:rsidRPr="008B7DAE" w:rsidRDefault="0015620D" w:rsidP="0015620D">
      <w:pPr>
        <w:spacing w:after="0" w:line="240" w:lineRule="auto"/>
        <w:ind w:left="360"/>
      </w:pPr>
    </w:p>
    <w:p w14:paraId="7F12218C" w14:textId="77777777" w:rsidR="0015620D" w:rsidRPr="008B7DAE" w:rsidRDefault="0015620D" w:rsidP="0015620D">
      <w:pPr>
        <w:spacing w:after="0" w:line="240" w:lineRule="auto"/>
      </w:pPr>
      <w:r w:rsidRPr="008B7DAE">
        <w:t xml:space="preserve">The CDC website says that when the pre-test probability of influenza is </w:t>
      </w:r>
      <w:r>
        <w:t xml:space="preserve">relatively </w:t>
      </w:r>
      <w:r w:rsidRPr="008B7DAE">
        <w:t>low</w:t>
      </w:r>
      <w:r>
        <w:t xml:space="preserve"> and the RIDT is positive</w:t>
      </w:r>
      <w:r w:rsidRPr="008B7DAE">
        <w:t>,</w:t>
      </w:r>
    </w:p>
    <w:p w14:paraId="759DE21B" w14:textId="77777777" w:rsidR="0015620D" w:rsidRPr="008B7DAE" w:rsidRDefault="0015620D" w:rsidP="0015620D">
      <w:pPr>
        <w:spacing w:after="0" w:line="240" w:lineRule="auto"/>
      </w:pPr>
    </w:p>
    <w:p w14:paraId="44F81587" w14:textId="77777777" w:rsidR="0015620D" w:rsidRPr="004E4B00" w:rsidRDefault="0015620D" w:rsidP="0015620D">
      <w:pPr>
        <w:spacing w:after="0" w:line="240" w:lineRule="auto"/>
      </w:pPr>
      <w:r w:rsidRPr="004E4B00">
        <w:t>"If an important clinical decision is affected by the test result, the RIDT result should be confirmed by a molecular assay, such as reverse transcription polymerase chain reaction (RT-PCR)."</w:t>
      </w:r>
    </w:p>
    <w:p w14:paraId="7C5EAF49" w14:textId="77777777" w:rsidR="0015620D" w:rsidRPr="008B7DAE" w:rsidRDefault="0015620D" w:rsidP="0015620D">
      <w:pPr>
        <w:spacing w:after="0" w:line="240" w:lineRule="auto"/>
        <w:rPr>
          <w:color w:val="000000"/>
          <w:lang w:val="en"/>
        </w:rPr>
      </w:pPr>
    </w:p>
    <w:p w14:paraId="57777C27" w14:textId="35E020B0" w:rsidR="0015620D" w:rsidRPr="008B7DAE" w:rsidRDefault="0015620D" w:rsidP="0015620D">
      <w:pPr>
        <w:numPr>
          <w:ilvl w:val="0"/>
          <w:numId w:val="22"/>
        </w:numPr>
        <w:spacing w:after="0" w:line="240" w:lineRule="auto"/>
      </w:pPr>
      <w:r w:rsidRPr="008B7DAE">
        <w:t>Assume that the “important clinical decision” is whether or not to treat with oseltamivir</w:t>
      </w:r>
      <w:r>
        <w:t xml:space="preserve"> (Tamiflu®)</w:t>
      </w:r>
      <w:r w:rsidRPr="008B7DAE">
        <w:t xml:space="preserve"> and the patient is a pregnant woman at high-risk for complications.  Further assume that the RT-PCR will not further identify the strain or sensitivities of the flu virus,</w:t>
      </w:r>
      <w:r w:rsidRPr="008B7DAE">
        <w:rPr>
          <w:rStyle w:val="FootnoteReference"/>
        </w:rPr>
        <w:footnoteReference w:id="1"/>
      </w:r>
      <w:r w:rsidRPr="008B7DAE">
        <w:t xml:space="preserve"> and it will take 3 days to get the results back.  Do you agree with the CDC about confirming a positi</w:t>
      </w:r>
      <w:r>
        <w:t>ve result?  Why or why not?</w:t>
      </w:r>
      <w:r w:rsidR="001B52BE">
        <w:t xml:space="preserve"> [</w:t>
      </w:r>
      <w:r w:rsidR="00720CB2">
        <w:t>4</w:t>
      </w:r>
      <w:r w:rsidR="001B52BE">
        <w:t>]</w:t>
      </w:r>
    </w:p>
    <w:p w14:paraId="1DE2CF18" w14:textId="77777777" w:rsidR="0015620D" w:rsidRPr="008B7DAE" w:rsidRDefault="0015620D" w:rsidP="0015620D">
      <w:pPr>
        <w:spacing w:after="0" w:line="240" w:lineRule="auto"/>
        <w:rPr>
          <w:b/>
        </w:rPr>
      </w:pPr>
    </w:p>
    <w:p w14:paraId="12CD3668" w14:textId="7E0B30E0" w:rsidR="002568A0" w:rsidRDefault="00904680" w:rsidP="002568A0">
      <w:pPr>
        <w:spacing w:after="0" w:line="240" w:lineRule="auto"/>
        <w:rPr>
          <w:b/>
        </w:rPr>
      </w:pPr>
      <w:r>
        <w:rPr>
          <w:b/>
        </w:rPr>
        <w:t>5</w:t>
      </w:r>
      <w:r w:rsidR="00A241C3">
        <w:rPr>
          <w:b/>
        </w:rPr>
        <w:t xml:space="preserve">.  </w:t>
      </w:r>
      <w:r w:rsidR="002568A0">
        <w:rPr>
          <w:b/>
        </w:rPr>
        <w:t>02.51Q Breast/Ovarian Cancer Test With Oversampling of Positives</w:t>
      </w:r>
    </w:p>
    <w:p w14:paraId="65ACF39E" w14:textId="77777777" w:rsidR="002568A0" w:rsidRPr="00FE2FD1" w:rsidRDefault="002568A0" w:rsidP="002568A0">
      <w:pPr>
        <w:spacing w:after="0" w:line="240" w:lineRule="auto"/>
        <w:rPr>
          <w:b/>
        </w:rPr>
      </w:pPr>
      <w:r>
        <w:rPr>
          <w:b/>
        </w:rPr>
        <w:t>(with thanks to Yi-Hsuan Wu, MAS 2017)</w:t>
      </w:r>
    </w:p>
    <w:p w14:paraId="370AEB4F" w14:textId="5F92413F" w:rsidR="002568A0" w:rsidRDefault="002568A0" w:rsidP="002568A0">
      <w:pPr>
        <w:spacing w:after="0" w:line="240" w:lineRule="auto"/>
      </w:pPr>
      <w:r>
        <w:t xml:space="preserve">Mutations in </w:t>
      </w:r>
      <w:r>
        <w:rPr>
          <w:i/>
        </w:rPr>
        <w:t>BRCA1</w:t>
      </w:r>
      <w:r>
        <w:t xml:space="preserve"> and </w:t>
      </w:r>
      <w:r>
        <w:rPr>
          <w:i/>
        </w:rPr>
        <w:t>BRCA2</w:t>
      </w:r>
      <w:r>
        <w:t xml:space="preserve"> (</w:t>
      </w:r>
      <w:r>
        <w:rPr>
          <w:i/>
        </w:rPr>
        <w:t>BRCA1/2</w:t>
      </w:r>
      <w:r>
        <w:t xml:space="preserve">) genes increase the risk of breast and ovarian cancer, but the genetic test for them is costly. There are models to assess the probability of carrying a </w:t>
      </w:r>
      <w:r>
        <w:rPr>
          <w:i/>
        </w:rPr>
        <w:t>BRCA1/2</w:t>
      </w:r>
      <w:r>
        <w:t xml:space="preserve"> mutation, but they are complicated and time-consuming, requiring a very detailed family history ("pedigree").  Bellcross et al.</w:t>
      </w:r>
      <w:r>
        <w:fldChar w:fldCharType="begin"/>
      </w:r>
      <w:r w:rsidR="00904680">
        <w:instrText xml:space="preserve"> ADDIN EN.CITE &lt;EndNote&gt;&lt;Cite&gt;&lt;Author&gt;Bellcross&lt;/Author&gt;&lt;Year&gt;2009&lt;/Year&gt;&lt;RecNum&gt;1561&lt;/RecNum&gt;&lt;DisplayText&gt;[2]&lt;/DisplayText&gt;&lt;record&gt;&lt;rec-number&gt;1561&lt;/rec-number&gt;&lt;foreign-keys&gt;&lt;key app="EN" db-id="0ftvff9p80fp5few5s05f5fw9rd9fefrdzer" timestamp="1537745027"&gt;1561&lt;/key&gt;&lt;/foreign-keys&gt;&lt;ref-type name="Journal Article"&gt;17&lt;/ref-type&gt;&lt;contributors&gt;&lt;authors&gt;&lt;author&gt;Bellcross, C. A.&lt;/author&gt;&lt;author&gt;Lemke, A. A.&lt;/author&gt;&lt;author&gt;Pape, L. S.&lt;/author&gt;&lt;author&gt;Tess, A. L.&lt;/author&gt;&lt;author&gt;Meisner, L. T.&lt;/author&gt;&lt;/authors&gt;&lt;/contributors&gt;&lt;auth-address&gt;Dean Health System and Department of Population Health Sciences, University of Wisconsin, Madison Wisconsin, USA. cbellcross@cdc.gov&lt;/auth-address&gt;&lt;titles&gt;&lt;title&gt;Evaluation of a breast/ovarian cancer genetics referral screening tool in a mammography population&lt;/title&gt;&lt;secondary-title&gt;Genet Med&lt;/secondary-title&gt;&lt;/titles&gt;&lt;periodical&gt;&lt;full-title&gt;Genet Med&lt;/full-title&gt;&lt;/periodical&gt;&lt;pages&gt;783-9&lt;/pages&gt;&lt;volume&gt;11&lt;/volume&gt;&lt;number&gt;11&lt;/number&gt;&lt;edition&gt;2009/09/16&lt;/edition&gt;&lt;keywords&gt;&lt;keyword&gt;BRCA1 Protein/genetics&lt;/keyword&gt;&lt;keyword&gt;BRCA2 Protein/genetics&lt;/keyword&gt;&lt;keyword&gt;Breast Neoplasms/*genetics&lt;/keyword&gt;&lt;keyword&gt;Early Detection of Cancer&lt;/keyword&gt;&lt;keyword&gt;Female&lt;/keyword&gt;&lt;keyword&gt;Genetic Counseling&lt;/keyword&gt;&lt;keyword&gt;Genetic Predisposition to Disease&lt;/keyword&gt;&lt;keyword&gt;Genetic Testing/*methods&lt;/keyword&gt;&lt;keyword&gt;Humans&lt;/keyword&gt;&lt;keyword&gt;Mammography&lt;/keyword&gt;&lt;keyword&gt;Ovarian Neoplasms/*genetics&lt;/keyword&gt;&lt;keyword&gt;*Surveys and Questionnaires&lt;/keyword&gt;&lt;/keywords&gt;&lt;dates&gt;&lt;year&gt;2009&lt;/year&gt;&lt;pub-dates&gt;&lt;date&gt;Nov&lt;/date&gt;&lt;/pub-dates&gt;&lt;/dates&gt;&lt;isbn&gt;1530-0366 (Electronic)&amp;#xD;1098-3600 (Linking)&lt;/isbn&gt;&lt;accession-num&gt;19752737&lt;/accession-num&gt;&lt;urls&gt;&lt;related-urls&gt;&lt;url&gt;https://www.ncbi.nlm.nih.gov/pubmed/19752737&lt;/url&gt;&lt;/related-urls&gt;&lt;/urls&gt;&lt;electronic-resource-num&gt;10.1097/GIM.0b013e3181b9b04a&lt;/electronic-resource-num&gt;&lt;/record&gt;&lt;/Cite&gt;&lt;/EndNote&gt;</w:instrText>
      </w:r>
      <w:r>
        <w:fldChar w:fldCharType="separate"/>
      </w:r>
      <w:r w:rsidR="00904680">
        <w:rPr>
          <w:noProof/>
        </w:rPr>
        <w:t>[2]</w:t>
      </w:r>
      <w:r>
        <w:fldChar w:fldCharType="end"/>
      </w:r>
      <w:r>
        <w:t xml:space="preserve"> evaluated the accuracy of a referral screening tool (RST) designed for use in primary care practice to help clinicians select patients for BRCA testing (Figure).  </w:t>
      </w:r>
    </w:p>
    <w:p w14:paraId="38F219A8" w14:textId="77777777" w:rsidR="002568A0" w:rsidRDefault="002568A0" w:rsidP="002568A0">
      <w:pPr>
        <w:spacing w:after="0" w:line="240" w:lineRule="auto"/>
      </w:pPr>
      <w:r>
        <w:t xml:space="preserve">Figure: BRCA testing referral tool. </w:t>
      </w:r>
      <w:r w:rsidRPr="00EC5636">
        <w:rPr>
          <w:sz w:val="20"/>
          <w:szCs w:val="20"/>
        </w:rPr>
        <w:t>Reprinted by permission from Springer Nature Customer Service Centre GmbH: Springer Nature Genetics in Medicine. Evaluation of a breast/ovarian cancer genetics referral screening tool in a mammography population. Cecelia A Bellcross, Amy A Lemke, Laura S Pape, Angela L Tess, Lorraine T Meisner, Copyright 2009.</w:t>
      </w:r>
      <w:r w:rsidRPr="00EC5636">
        <w:t xml:space="preserve"> </w:t>
      </w:r>
    </w:p>
    <w:p w14:paraId="3ACF0159" w14:textId="77777777" w:rsidR="002568A0" w:rsidRPr="00EC5636" w:rsidRDefault="002568A0" w:rsidP="002568A0">
      <w:pPr>
        <w:spacing w:after="0" w:line="240" w:lineRule="auto"/>
      </w:pPr>
    </w:p>
    <w:p w14:paraId="32737977" w14:textId="77777777" w:rsidR="002568A0" w:rsidRDefault="002568A0" w:rsidP="002568A0">
      <w:pPr>
        <w:widowControl w:val="0"/>
        <w:autoSpaceDE w:val="0"/>
        <w:autoSpaceDN w:val="0"/>
        <w:adjustRightInd w:val="0"/>
        <w:spacing w:after="0" w:line="240" w:lineRule="auto"/>
        <w:rPr>
          <w:rFonts w:ascii="Times" w:hAnsi="Times" w:cs="Times"/>
          <w:lang w:eastAsia="ja-JP"/>
        </w:rPr>
      </w:pPr>
      <w:r>
        <w:rPr>
          <w:rFonts w:ascii="Times" w:hAnsi="Times" w:cs="Times"/>
          <w:noProof/>
        </w:rPr>
        <w:drawing>
          <wp:inline distT="0" distB="0" distL="0" distR="0" wp14:anchorId="7DB94EB2" wp14:editId="490D0C02">
            <wp:extent cx="3939540" cy="44513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9540" cy="4451350"/>
                    </a:xfrm>
                    <a:prstGeom prst="rect">
                      <a:avLst/>
                    </a:prstGeom>
                    <a:noFill/>
                    <a:ln>
                      <a:noFill/>
                    </a:ln>
                  </pic:spPr>
                </pic:pic>
              </a:graphicData>
            </a:graphic>
          </wp:inline>
        </w:drawing>
      </w:r>
      <w:r>
        <w:rPr>
          <w:rFonts w:ascii="Times" w:hAnsi="Times" w:cs="Times"/>
          <w:lang w:eastAsia="ja-JP"/>
        </w:rPr>
        <w:t xml:space="preserve"> </w:t>
      </w:r>
    </w:p>
    <w:p w14:paraId="1307A4AC" w14:textId="77777777" w:rsidR="002568A0" w:rsidRDefault="002568A0" w:rsidP="002568A0">
      <w:pPr>
        <w:spacing w:after="0" w:line="240" w:lineRule="auto"/>
      </w:pPr>
    </w:p>
    <w:p w14:paraId="2745172E" w14:textId="77777777" w:rsidR="002568A0" w:rsidRDefault="002568A0" w:rsidP="002568A0">
      <w:pPr>
        <w:spacing w:after="0" w:line="240" w:lineRule="auto"/>
      </w:pPr>
      <w:r>
        <w:t>From the abstract (reprinted with permission; see above):</w:t>
      </w:r>
    </w:p>
    <w:p w14:paraId="2096F822" w14:textId="77777777" w:rsidR="002568A0" w:rsidRDefault="002568A0" w:rsidP="002568A0">
      <w:pPr>
        <w:spacing w:after="0" w:line="240" w:lineRule="auto"/>
        <w:rPr>
          <w:b/>
          <w:sz w:val="20"/>
        </w:rPr>
      </w:pPr>
    </w:p>
    <w:p w14:paraId="5ABA0193" w14:textId="77777777" w:rsidR="002568A0" w:rsidRDefault="002568A0" w:rsidP="002568A0">
      <w:pPr>
        <w:spacing w:after="0" w:line="240" w:lineRule="auto"/>
        <w:rPr>
          <w:sz w:val="20"/>
        </w:rPr>
      </w:pPr>
      <w:r>
        <w:rPr>
          <w:b/>
          <w:sz w:val="20"/>
        </w:rPr>
        <w:t>Methods:</w:t>
      </w:r>
      <w:r>
        <w:rPr>
          <w:sz w:val="20"/>
        </w:rPr>
        <w:t xml:space="preserve"> The RST was administered to 2464 unselected women undergoing screening mammography. Detailed four-generation cancer pedigrees were collected by telephone interview on a random subset of 296 women. The pedigrees were analyzed using four established hereditary risk models…with a ≥10% BRCA1/2 mutation probability using any [established] model as the definition of “high risk.”</w:t>
      </w:r>
    </w:p>
    <w:p w14:paraId="2CDB3A59" w14:textId="77777777" w:rsidR="002568A0" w:rsidRDefault="002568A0" w:rsidP="002568A0">
      <w:pPr>
        <w:spacing w:after="0" w:line="240" w:lineRule="auto"/>
        <w:rPr>
          <w:sz w:val="20"/>
        </w:rPr>
      </w:pPr>
      <w:r>
        <w:rPr>
          <w:b/>
          <w:sz w:val="20"/>
        </w:rPr>
        <w:lastRenderedPageBreak/>
        <w:t>Results:</w:t>
      </w:r>
      <w:r>
        <w:rPr>
          <w:sz w:val="20"/>
        </w:rPr>
        <w:t xml:space="preserve"> The RST identified 6.2% of subjects as screen “positive” (high risk). … In comparison with the pedigree analyses</w:t>
      </w:r>
      <w:r w:rsidRPr="00CE1D17">
        <w:rPr>
          <w:sz w:val="20"/>
        </w:rPr>
        <w:t xml:space="preserve"> </w:t>
      </w:r>
      <w:r>
        <w:rPr>
          <w:sz w:val="20"/>
        </w:rPr>
        <w:t>[i.e., the four established hereditary risk models], the RST demonstrated an overall sensitivity of 81.2%, specificity of 91.9%, [PPV of 80%, NPV of 92%], and discriminatory accuracy of 0.87.</w:t>
      </w:r>
    </w:p>
    <w:p w14:paraId="715A28EB" w14:textId="77777777" w:rsidR="002568A0" w:rsidRDefault="002568A0" w:rsidP="002568A0">
      <w:pPr>
        <w:spacing w:after="0" w:line="240" w:lineRule="auto"/>
      </w:pPr>
      <w:r>
        <w:t>For the pedigree analysis of 296 women, the authors chose to oversample (randomly) from the RST-positive group,</w:t>
      </w:r>
      <w:r>
        <w:rPr>
          <w:rStyle w:val="FootnoteReference"/>
        </w:rPr>
        <w:footnoteReference w:id="2"/>
      </w:r>
      <w:r>
        <w:t xml:space="preserve"> which only represented 6.2% of the screening mammography population, "</w:t>
      </w:r>
      <w:r w:rsidRPr="00EC5636">
        <w:t>to provide a sufficient number of potentially high-risk pedigrees to adequately address sensitivity.</w:t>
      </w:r>
      <w:r>
        <w:t>"</w:t>
      </w:r>
    </w:p>
    <w:p w14:paraId="2AE0AF3E" w14:textId="4F387EBA" w:rsidR="002568A0" w:rsidRPr="00CC07F4" w:rsidRDefault="002568A0" w:rsidP="002568A0">
      <w:pPr>
        <w:pStyle w:val="ListParagraph"/>
        <w:numPr>
          <w:ilvl w:val="0"/>
          <w:numId w:val="24"/>
        </w:numPr>
      </w:pPr>
      <w:r>
        <w:t>Is the sampling of the 296 women in this study cross-sectional, case-control, or test result-based (index positive-negative)?</w:t>
      </w:r>
      <w:r w:rsidR="001B52BE">
        <w:t xml:space="preserve"> [3]</w:t>
      </w:r>
      <w:r>
        <w:br/>
      </w:r>
      <w:r>
        <w:br/>
      </w:r>
      <w:r>
        <w:br/>
      </w:r>
    </w:p>
    <w:p w14:paraId="08AF9859" w14:textId="77777777" w:rsidR="002568A0" w:rsidRDefault="002568A0" w:rsidP="002568A0">
      <w:pPr>
        <w:spacing w:after="0" w:line="240" w:lineRule="auto"/>
      </w:pPr>
      <w:r>
        <w:t>The following table shows results in the pedigree analysis sample consistent with what the authors reported:</w:t>
      </w:r>
    </w:p>
    <w:tbl>
      <w:tblPr>
        <w:tblW w:w="0" w:type="auto"/>
        <w:tblInd w:w="108" w:type="dxa"/>
        <w:tblLayout w:type="fixed"/>
        <w:tblLook w:val="04A0" w:firstRow="1" w:lastRow="0" w:firstColumn="1" w:lastColumn="0" w:noHBand="0" w:noVBand="1"/>
      </w:tblPr>
      <w:tblGrid>
        <w:gridCol w:w="787"/>
        <w:gridCol w:w="1085"/>
        <w:gridCol w:w="2126"/>
        <w:gridCol w:w="2126"/>
        <w:gridCol w:w="851"/>
        <w:gridCol w:w="1417"/>
      </w:tblGrid>
      <w:tr w:rsidR="002568A0" w14:paraId="049321DD" w14:textId="77777777" w:rsidTr="00566566">
        <w:tc>
          <w:tcPr>
            <w:tcW w:w="1872" w:type="dxa"/>
            <w:gridSpan w:val="2"/>
            <w:vMerge w:val="restart"/>
            <w:tcBorders>
              <w:top w:val="single" w:sz="4" w:space="0" w:color="auto"/>
              <w:left w:val="single" w:sz="4" w:space="0" w:color="auto"/>
              <w:bottom w:val="single" w:sz="4" w:space="0" w:color="auto"/>
              <w:right w:val="single" w:sz="4" w:space="0" w:color="auto"/>
            </w:tcBorders>
            <w:hideMark/>
          </w:tcPr>
          <w:p w14:paraId="537431FF" w14:textId="77777777" w:rsidR="002568A0" w:rsidRDefault="002568A0" w:rsidP="002568A0">
            <w:pPr>
              <w:spacing w:after="0" w:line="240" w:lineRule="auto"/>
              <w:rPr>
                <w:b/>
                <w:lang w:eastAsia="ja-JP"/>
              </w:rPr>
            </w:pPr>
          </w:p>
        </w:tc>
        <w:tc>
          <w:tcPr>
            <w:tcW w:w="5103" w:type="dxa"/>
            <w:gridSpan w:val="3"/>
            <w:tcBorders>
              <w:top w:val="single" w:sz="4" w:space="0" w:color="auto"/>
              <w:left w:val="single" w:sz="4" w:space="0" w:color="auto"/>
              <w:bottom w:val="single" w:sz="4" w:space="0" w:color="auto"/>
              <w:right w:val="single" w:sz="4" w:space="0" w:color="auto"/>
            </w:tcBorders>
            <w:hideMark/>
          </w:tcPr>
          <w:p w14:paraId="2BAEEF29" w14:textId="77777777" w:rsidR="002568A0" w:rsidRDefault="002568A0" w:rsidP="002568A0">
            <w:pPr>
              <w:spacing w:after="0" w:line="240" w:lineRule="auto"/>
              <w:rPr>
                <w:lang w:eastAsia="ja-JP"/>
              </w:rPr>
            </w:pPr>
            <w:r>
              <w:rPr>
                <w:lang w:eastAsia="ja-JP"/>
              </w:rPr>
              <w:t>Risk based on pedigree analysis and risk models</w:t>
            </w:r>
          </w:p>
        </w:tc>
        <w:tc>
          <w:tcPr>
            <w:tcW w:w="1417" w:type="dxa"/>
            <w:tcBorders>
              <w:top w:val="nil"/>
              <w:left w:val="single" w:sz="4" w:space="0" w:color="auto"/>
              <w:bottom w:val="nil"/>
              <w:right w:val="nil"/>
            </w:tcBorders>
          </w:tcPr>
          <w:p w14:paraId="7119C478" w14:textId="77777777" w:rsidR="002568A0" w:rsidRDefault="002568A0" w:rsidP="002568A0">
            <w:pPr>
              <w:spacing w:after="0" w:line="240" w:lineRule="auto"/>
              <w:rPr>
                <w:lang w:eastAsia="ja-JP"/>
              </w:rPr>
            </w:pPr>
          </w:p>
        </w:tc>
      </w:tr>
      <w:tr w:rsidR="002568A0" w14:paraId="75571958" w14:textId="77777777" w:rsidTr="00566566">
        <w:tc>
          <w:tcPr>
            <w:tcW w:w="1872" w:type="dxa"/>
            <w:gridSpan w:val="2"/>
            <w:vMerge/>
            <w:tcBorders>
              <w:top w:val="single" w:sz="4" w:space="0" w:color="auto"/>
              <w:left w:val="single" w:sz="4" w:space="0" w:color="auto"/>
              <w:bottom w:val="single" w:sz="4" w:space="0" w:color="auto"/>
              <w:right w:val="single" w:sz="4" w:space="0" w:color="auto"/>
            </w:tcBorders>
            <w:vAlign w:val="center"/>
            <w:hideMark/>
          </w:tcPr>
          <w:p w14:paraId="1B86CEEA" w14:textId="77777777" w:rsidR="002568A0" w:rsidRDefault="002568A0" w:rsidP="002568A0">
            <w:pPr>
              <w:spacing w:after="0" w:line="240" w:lineRule="auto"/>
              <w:rPr>
                <w:b/>
                <w:lang w:eastAsia="ja-JP"/>
              </w:rPr>
            </w:pPr>
          </w:p>
        </w:tc>
        <w:tc>
          <w:tcPr>
            <w:tcW w:w="2126" w:type="dxa"/>
            <w:tcBorders>
              <w:top w:val="single" w:sz="4" w:space="0" w:color="auto"/>
              <w:left w:val="single" w:sz="4" w:space="0" w:color="auto"/>
              <w:bottom w:val="single" w:sz="4" w:space="0" w:color="auto"/>
              <w:right w:val="single" w:sz="4" w:space="0" w:color="auto"/>
            </w:tcBorders>
            <w:hideMark/>
          </w:tcPr>
          <w:p w14:paraId="1DBCA041" w14:textId="77777777" w:rsidR="002568A0" w:rsidRDefault="002568A0" w:rsidP="002568A0">
            <w:pPr>
              <w:spacing w:after="0" w:line="240" w:lineRule="auto"/>
              <w:jc w:val="center"/>
              <w:rPr>
                <w:lang w:eastAsia="ja-JP"/>
              </w:rPr>
            </w:pPr>
            <w:r>
              <w:rPr>
                <w:lang w:eastAsia="ja-JP"/>
              </w:rPr>
              <w:t>High risk</w:t>
            </w:r>
          </w:p>
        </w:tc>
        <w:tc>
          <w:tcPr>
            <w:tcW w:w="2126" w:type="dxa"/>
            <w:tcBorders>
              <w:top w:val="single" w:sz="4" w:space="0" w:color="auto"/>
              <w:left w:val="single" w:sz="4" w:space="0" w:color="auto"/>
              <w:bottom w:val="single" w:sz="4" w:space="0" w:color="auto"/>
              <w:right w:val="single" w:sz="4" w:space="0" w:color="auto"/>
            </w:tcBorders>
            <w:hideMark/>
          </w:tcPr>
          <w:p w14:paraId="685CAEC2" w14:textId="77777777" w:rsidR="002568A0" w:rsidRDefault="002568A0" w:rsidP="002568A0">
            <w:pPr>
              <w:spacing w:after="0" w:line="240" w:lineRule="auto"/>
              <w:jc w:val="center"/>
              <w:rPr>
                <w:lang w:eastAsia="ja-JP"/>
              </w:rPr>
            </w:pPr>
            <w:r>
              <w:rPr>
                <w:lang w:eastAsia="ja-JP"/>
              </w:rPr>
              <w:t>Low risk</w:t>
            </w:r>
          </w:p>
        </w:tc>
        <w:tc>
          <w:tcPr>
            <w:tcW w:w="851" w:type="dxa"/>
            <w:tcBorders>
              <w:top w:val="single" w:sz="4" w:space="0" w:color="auto"/>
              <w:left w:val="single" w:sz="4" w:space="0" w:color="auto"/>
              <w:bottom w:val="single" w:sz="4" w:space="0" w:color="auto"/>
              <w:right w:val="single" w:sz="4" w:space="0" w:color="auto"/>
            </w:tcBorders>
            <w:hideMark/>
          </w:tcPr>
          <w:p w14:paraId="46A93DD0" w14:textId="77777777" w:rsidR="002568A0" w:rsidRDefault="002568A0" w:rsidP="002568A0">
            <w:pPr>
              <w:spacing w:after="0" w:line="240" w:lineRule="auto"/>
              <w:jc w:val="center"/>
              <w:rPr>
                <w:lang w:eastAsia="ja-JP"/>
              </w:rPr>
            </w:pPr>
            <w:r>
              <w:rPr>
                <w:lang w:eastAsia="ja-JP"/>
              </w:rPr>
              <w:t>Total</w:t>
            </w:r>
          </w:p>
        </w:tc>
        <w:tc>
          <w:tcPr>
            <w:tcW w:w="1417" w:type="dxa"/>
            <w:tcBorders>
              <w:top w:val="nil"/>
              <w:left w:val="single" w:sz="4" w:space="0" w:color="auto"/>
              <w:bottom w:val="nil"/>
              <w:right w:val="nil"/>
            </w:tcBorders>
          </w:tcPr>
          <w:p w14:paraId="65B53FA2" w14:textId="77777777" w:rsidR="002568A0" w:rsidRDefault="002568A0" w:rsidP="002568A0">
            <w:pPr>
              <w:spacing w:after="0" w:line="240" w:lineRule="auto"/>
              <w:rPr>
                <w:lang w:eastAsia="ja-JP"/>
              </w:rPr>
            </w:pPr>
          </w:p>
        </w:tc>
      </w:tr>
      <w:tr w:rsidR="002568A0" w14:paraId="0ACF939D" w14:textId="77777777" w:rsidTr="00566566">
        <w:tc>
          <w:tcPr>
            <w:tcW w:w="787" w:type="dxa"/>
            <w:vMerge w:val="restart"/>
            <w:tcBorders>
              <w:top w:val="single" w:sz="4" w:space="0" w:color="auto"/>
              <w:left w:val="single" w:sz="4" w:space="0" w:color="auto"/>
              <w:bottom w:val="single" w:sz="4" w:space="0" w:color="auto"/>
              <w:right w:val="single" w:sz="4" w:space="0" w:color="auto"/>
            </w:tcBorders>
            <w:hideMark/>
          </w:tcPr>
          <w:p w14:paraId="29742999" w14:textId="77777777" w:rsidR="002568A0" w:rsidRDefault="002568A0" w:rsidP="002568A0">
            <w:pPr>
              <w:spacing w:after="0" w:line="240" w:lineRule="auto"/>
              <w:rPr>
                <w:lang w:eastAsia="ja-JP"/>
              </w:rPr>
            </w:pPr>
            <w:r>
              <w:rPr>
                <w:lang w:eastAsia="ja-JP"/>
              </w:rPr>
              <w:t>RST result</w:t>
            </w:r>
          </w:p>
        </w:tc>
        <w:tc>
          <w:tcPr>
            <w:tcW w:w="1085" w:type="dxa"/>
            <w:tcBorders>
              <w:top w:val="single" w:sz="4" w:space="0" w:color="auto"/>
              <w:left w:val="single" w:sz="4" w:space="0" w:color="auto"/>
              <w:bottom w:val="single" w:sz="4" w:space="0" w:color="auto"/>
              <w:right w:val="single" w:sz="4" w:space="0" w:color="auto"/>
            </w:tcBorders>
            <w:hideMark/>
          </w:tcPr>
          <w:p w14:paraId="686CAA52" w14:textId="77777777" w:rsidR="002568A0" w:rsidRDefault="002568A0" w:rsidP="002568A0">
            <w:pPr>
              <w:spacing w:after="0" w:line="240" w:lineRule="auto"/>
              <w:rPr>
                <w:lang w:eastAsia="ja-JP"/>
              </w:rPr>
            </w:pPr>
            <w:r>
              <w:rPr>
                <w:lang w:eastAsia="ja-JP"/>
              </w:rPr>
              <w:t>Positive</w:t>
            </w:r>
          </w:p>
        </w:tc>
        <w:tc>
          <w:tcPr>
            <w:tcW w:w="2126" w:type="dxa"/>
            <w:tcBorders>
              <w:top w:val="single" w:sz="4" w:space="0" w:color="auto"/>
              <w:left w:val="single" w:sz="4" w:space="0" w:color="auto"/>
              <w:bottom w:val="single" w:sz="4" w:space="0" w:color="auto"/>
              <w:right w:val="single" w:sz="4" w:space="0" w:color="auto"/>
            </w:tcBorders>
            <w:hideMark/>
          </w:tcPr>
          <w:p w14:paraId="2BCF0087" w14:textId="77777777" w:rsidR="002568A0" w:rsidRDefault="002568A0" w:rsidP="002568A0">
            <w:pPr>
              <w:spacing w:after="0" w:line="240" w:lineRule="auto"/>
              <w:jc w:val="center"/>
              <w:rPr>
                <w:lang w:eastAsia="ja-JP"/>
              </w:rPr>
            </w:pPr>
            <w:r>
              <w:rPr>
                <w:lang w:eastAsia="ja-JP"/>
              </w:rPr>
              <w:t>69</w:t>
            </w:r>
          </w:p>
        </w:tc>
        <w:tc>
          <w:tcPr>
            <w:tcW w:w="2126" w:type="dxa"/>
            <w:tcBorders>
              <w:top w:val="single" w:sz="4" w:space="0" w:color="auto"/>
              <w:left w:val="single" w:sz="4" w:space="0" w:color="auto"/>
              <w:bottom w:val="single" w:sz="4" w:space="0" w:color="auto"/>
              <w:right w:val="single" w:sz="4" w:space="0" w:color="auto"/>
            </w:tcBorders>
            <w:hideMark/>
          </w:tcPr>
          <w:p w14:paraId="3F5414BC" w14:textId="77777777" w:rsidR="002568A0" w:rsidRDefault="002568A0" w:rsidP="002568A0">
            <w:pPr>
              <w:spacing w:after="0" w:line="240" w:lineRule="auto"/>
              <w:jc w:val="center"/>
              <w:rPr>
                <w:lang w:eastAsia="ja-JP"/>
              </w:rPr>
            </w:pPr>
            <w:r>
              <w:rPr>
                <w:lang w:eastAsia="ja-JP"/>
              </w:rPr>
              <w:t>17</w:t>
            </w:r>
          </w:p>
        </w:tc>
        <w:tc>
          <w:tcPr>
            <w:tcW w:w="851" w:type="dxa"/>
            <w:tcBorders>
              <w:top w:val="single" w:sz="4" w:space="0" w:color="auto"/>
              <w:left w:val="single" w:sz="4" w:space="0" w:color="auto"/>
              <w:bottom w:val="single" w:sz="4" w:space="0" w:color="auto"/>
              <w:right w:val="single" w:sz="4" w:space="0" w:color="auto"/>
            </w:tcBorders>
            <w:hideMark/>
          </w:tcPr>
          <w:p w14:paraId="17AC3409" w14:textId="77777777" w:rsidR="002568A0" w:rsidRDefault="002568A0" w:rsidP="002568A0">
            <w:pPr>
              <w:spacing w:after="0" w:line="240" w:lineRule="auto"/>
              <w:jc w:val="center"/>
              <w:rPr>
                <w:lang w:eastAsia="ja-JP"/>
              </w:rPr>
            </w:pPr>
            <w:r>
              <w:rPr>
                <w:lang w:eastAsia="ja-JP"/>
              </w:rPr>
              <w:t>86</w:t>
            </w:r>
          </w:p>
        </w:tc>
        <w:tc>
          <w:tcPr>
            <w:tcW w:w="1417" w:type="dxa"/>
            <w:tcBorders>
              <w:top w:val="nil"/>
              <w:left w:val="single" w:sz="4" w:space="0" w:color="auto"/>
              <w:bottom w:val="nil"/>
              <w:right w:val="nil"/>
            </w:tcBorders>
            <w:hideMark/>
          </w:tcPr>
          <w:p w14:paraId="4454F88A" w14:textId="77777777" w:rsidR="002568A0" w:rsidRDefault="002568A0" w:rsidP="002568A0">
            <w:pPr>
              <w:spacing w:after="0" w:line="240" w:lineRule="auto"/>
              <w:rPr>
                <w:lang w:eastAsia="ja-JP"/>
              </w:rPr>
            </w:pPr>
            <w:r>
              <w:rPr>
                <w:lang w:eastAsia="ja-JP"/>
              </w:rPr>
              <w:t>PPV= 80%</w:t>
            </w:r>
          </w:p>
        </w:tc>
      </w:tr>
      <w:tr w:rsidR="002568A0" w14:paraId="4BBBAF85" w14:textId="77777777" w:rsidTr="00566566">
        <w:tc>
          <w:tcPr>
            <w:tcW w:w="787" w:type="dxa"/>
            <w:vMerge/>
            <w:tcBorders>
              <w:top w:val="single" w:sz="4" w:space="0" w:color="auto"/>
              <w:left w:val="single" w:sz="4" w:space="0" w:color="auto"/>
              <w:bottom w:val="single" w:sz="4" w:space="0" w:color="auto"/>
              <w:right w:val="single" w:sz="4" w:space="0" w:color="auto"/>
            </w:tcBorders>
            <w:vAlign w:val="center"/>
            <w:hideMark/>
          </w:tcPr>
          <w:p w14:paraId="585E9A77" w14:textId="77777777" w:rsidR="002568A0" w:rsidRDefault="002568A0" w:rsidP="002568A0">
            <w:pPr>
              <w:spacing w:after="0" w:line="240" w:lineRule="auto"/>
              <w:rPr>
                <w:lang w:eastAsia="ja-JP"/>
              </w:rPr>
            </w:pPr>
          </w:p>
        </w:tc>
        <w:tc>
          <w:tcPr>
            <w:tcW w:w="1085" w:type="dxa"/>
            <w:tcBorders>
              <w:top w:val="single" w:sz="4" w:space="0" w:color="auto"/>
              <w:left w:val="single" w:sz="4" w:space="0" w:color="auto"/>
              <w:bottom w:val="single" w:sz="4" w:space="0" w:color="auto"/>
              <w:right w:val="single" w:sz="4" w:space="0" w:color="auto"/>
            </w:tcBorders>
            <w:hideMark/>
          </w:tcPr>
          <w:p w14:paraId="4058BC6B" w14:textId="77777777" w:rsidR="002568A0" w:rsidRDefault="002568A0" w:rsidP="002568A0">
            <w:pPr>
              <w:spacing w:after="0" w:line="240" w:lineRule="auto"/>
              <w:rPr>
                <w:lang w:eastAsia="ja-JP"/>
              </w:rPr>
            </w:pPr>
            <w:r>
              <w:rPr>
                <w:lang w:eastAsia="ja-JP"/>
              </w:rPr>
              <w:t>Negative</w:t>
            </w:r>
          </w:p>
        </w:tc>
        <w:tc>
          <w:tcPr>
            <w:tcW w:w="2126" w:type="dxa"/>
            <w:tcBorders>
              <w:top w:val="single" w:sz="4" w:space="0" w:color="auto"/>
              <w:left w:val="single" w:sz="4" w:space="0" w:color="auto"/>
              <w:bottom w:val="single" w:sz="4" w:space="0" w:color="auto"/>
              <w:right w:val="single" w:sz="4" w:space="0" w:color="auto"/>
            </w:tcBorders>
            <w:hideMark/>
          </w:tcPr>
          <w:p w14:paraId="27413202" w14:textId="77777777" w:rsidR="002568A0" w:rsidRDefault="002568A0" w:rsidP="002568A0">
            <w:pPr>
              <w:spacing w:after="0" w:line="240" w:lineRule="auto"/>
              <w:jc w:val="center"/>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hideMark/>
          </w:tcPr>
          <w:p w14:paraId="0B28481A" w14:textId="77777777" w:rsidR="002568A0" w:rsidRDefault="002568A0" w:rsidP="002568A0">
            <w:pPr>
              <w:spacing w:after="0" w:line="240" w:lineRule="auto"/>
              <w:jc w:val="center"/>
              <w:rPr>
                <w:lang w:eastAsia="ja-JP"/>
              </w:rPr>
            </w:pPr>
            <w:r>
              <w:rPr>
                <w:lang w:eastAsia="ja-JP"/>
              </w:rPr>
              <w:t>194</w:t>
            </w:r>
          </w:p>
        </w:tc>
        <w:tc>
          <w:tcPr>
            <w:tcW w:w="851" w:type="dxa"/>
            <w:tcBorders>
              <w:top w:val="single" w:sz="4" w:space="0" w:color="auto"/>
              <w:left w:val="single" w:sz="4" w:space="0" w:color="auto"/>
              <w:bottom w:val="single" w:sz="4" w:space="0" w:color="auto"/>
              <w:right w:val="single" w:sz="4" w:space="0" w:color="auto"/>
            </w:tcBorders>
            <w:hideMark/>
          </w:tcPr>
          <w:p w14:paraId="2362CAF7" w14:textId="77777777" w:rsidR="002568A0" w:rsidRDefault="002568A0" w:rsidP="002568A0">
            <w:pPr>
              <w:spacing w:after="0" w:line="240" w:lineRule="auto"/>
              <w:jc w:val="center"/>
              <w:rPr>
                <w:lang w:eastAsia="ja-JP"/>
              </w:rPr>
            </w:pPr>
            <w:r>
              <w:rPr>
                <w:lang w:eastAsia="ja-JP"/>
              </w:rPr>
              <w:t>210</w:t>
            </w:r>
          </w:p>
        </w:tc>
        <w:tc>
          <w:tcPr>
            <w:tcW w:w="1417" w:type="dxa"/>
            <w:tcBorders>
              <w:top w:val="nil"/>
              <w:left w:val="single" w:sz="4" w:space="0" w:color="auto"/>
              <w:bottom w:val="nil"/>
              <w:right w:val="nil"/>
            </w:tcBorders>
            <w:hideMark/>
          </w:tcPr>
          <w:p w14:paraId="20111E14" w14:textId="77777777" w:rsidR="002568A0" w:rsidRDefault="002568A0" w:rsidP="002568A0">
            <w:pPr>
              <w:spacing w:after="0" w:line="240" w:lineRule="auto"/>
              <w:rPr>
                <w:lang w:eastAsia="ja-JP"/>
              </w:rPr>
            </w:pPr>
            <w:r>
              <w:rPr>
                <w:lang w:eastAsia="ja-JP"/>
              </w:rPr>
              <w:t>NPV= 92%</w:t>
            </w:r>
          </w:p>
        </w:tc>
      </w:tr>
      <w:tr w:rsidR="002568A0" w14:paraId="6E00D72F" w14:textId="77777777" w:rsidTr="00566566">
        <w:tc>
          <w:tcPr>
            <w:tcW w:w="787" w:type="dxa"/>
            <w:vMerge/>
            <w:tcBorders>
              <w:top w:val="single" w:sz="4" w:space="0" w:color="auto"/>
              <w:left w:val="single" w:sz="4" w:space="0" w:color="auto"/>
              <w:bottom w:val="single" w:sz="4" w:space="0" w:color="auto"/>
              <w:right w:val="single" w:sz="4" w:space="0" w:color="auto"/>
            </w:tcBorders>
            <w:vAlign w:val="center"/>
            <w:hideMark/>
          </w:tcPr>
          <w:p w14:paraId="7A495B61" w14:textId="77777777" w:rsidR="002568A0" w:rsidRDefault="002568A0" w:rsidP="002568A0">
            <w:pPr>
              <w:spacing w:after="0" w:line="240" w:lineRule="auto"/>
              <w:rPr>
                <w:lang w:eastAsia="ja-JP"/>
              </w:rPr>
            </w:pPr>
          </w:p>
        </w:tc>
        <w:tc>
          <w:tcPr>
            <w:tcW w:w="1085" w:type="dxa"/>
            <w:tcBorders>
              <w:top w:val="single" w:sz="4" w:space="0" w:color="auto"/>
              <w:left w:val="single" w:sz="4" w:space="0" w:color="auto"/>
              <w:bottom w:val="single" w:sz="4" w:space="0" w:color="auto"/>
              <w:right w:val="single" w:sz="4" w:space="0" w:color="auto"/>
            </w:tcBorders>
            <w:hideMark/>
          </w:tcPr>
          <w:p w14:paraId="6B437ED0" w14:textId="77777777" w:rsidR="002568A0" w:rsidRDefault="002568A0" w:rsidP="002568A0">
            <w:pPr>
              <w:spacing w:after="0" w:line="240" w:lineRule="auto"/>
              <w:rPr>
                <w:lang w:eastAsia="ja-JP"/>
              </w:rPr>
            </w:pPr>
            <w:r>
              <w:rPr>
                <w:lang w:eastAsia="ja-JP"/>
              </w:rPr>
              <w:t>Total</w:t>
            </w:r>
          </w:p>
        </w:tc>
        <w:tc>
          <w:tcPr>
            <w:tcW w:w="2126" w:type="dxa"/>
            <w:tcBorders>
              <w:top w:val="single" w:sz="4" w:space="0" w:color="auto"/>
              <w:left w:val="single" w:sz="4" w:space="0" w:color="auto"/>
              <w:bottom w:val="single" w:sz="4" w:space="0" w:color="auto"/>
              <w:right w:val="single" w:sz="4" w:space="0" w:color="auto"/>
            </w:tcBorders>
            <w:hideMark/>
          </w:tcPr>
          <w:p w14:paraId="1764E508" w14:textId="77777777" w:rsidR="002568A0" w:rsidRDefault="002568A0" w:rsidP="002568A0">
            <w:pPr>
              <w:spacing w:after="0" w:line="240" w:lineRule="auto"/>
              <w:jc w:val="center"/>
              <w:rPr>
                <w:lang w:eastAsia="ja-JP"/>
              </w:rPr>
            </w:pPr>
            <w:r>
              <w:rPr>
                <w:lang w:eastAsia="ja-JP"/>
              </w:rPr>
              <w:t>85</w:t>
            </w:r>
          </w:p>
        </w:tc>
        <w:tc>
          <w:tcPr>
            <w:tcW w:w="2126" w:type="dxa"/>
            <w:tcBorders>
              <w:top w:val="single" w:sz="4" w:space="0" w:color="auto"/>
              <w:left w:val="single" w:sz="4" w:space="0" w:color="auto"/>
              <w:bottom w:val="single" w:sz="4" w:space="0" w:color="auto"/>
              <w:right w:val="single" w:sz="4" w:space="0" w:color="auto"/>
            </w:tcBorders>
            <w:hideMark/>
          </w:tcPr>
          <w:p w14:paraId="14B313F0" w14:textId="77777777" w:rsidR="002568A0" w:rsidRDefault="002568A0" w:rsidP="002568A0">
            <w:pPr>
              <w:spacing w:after="0" w:line="240" w:lineRule="auto"/>
              <w:jc w:val="center"/>
              <w:rPr>
                <w:lang w:eastAsia="ja-JP"/>
              </w:rPr>
            </w:pPr>
            <w:r>
              <w:rPr>
                <w:lang w:eastAsia="ja-JP"/>
              </w:rPr>
              <w:t>211</w:t>
            </w:r>
          </w:p>
        </w:tc>
        <w:tc>
          <w:tcPr>
            <w:tcW w:w="851" w:type="dxa"/>
            <w:tcBorders>
              <w:top w:val="single" w:sz="4" w:space="0" w:color="auto"/>
              <w:left w:val="single" w:sz="4" w:space="0" w:color="auto"/>
              <w:bottom w:val="single" w:sz="4" w:space="0" w:color="auto"/>
              <w:right w:val="single" w:sz="4" w:space="0" w:color="auto"/>
            </w:tcBorders>
            <w:hideMark/>
          </w:tcPr>
          <w:p w14:paraId="3510A239" w14:textId="77777777" w:rsidR="002568A0" w:rsidRDefault="002568A0" w:rsidP="002568A0">
            <w:pPr>
              <w:spacing w:after="0" w:line="240" w:lineRule="auto"/>
              <w:jc w:val="center"/>
              <w:rPr>
                <w:lang w:eastAsia="ja-JP"/>
              </w:rPr>
            </w:pPr>
            <w:r>
              <w:rPr>
                <w:lang w:eastAsia="ja-JP"/>
              </w:rPr>
              <w:t>296</w:t>
            </w:r>
          </w:p>
        </w:tc>
        <w:tc>
          <w:tcPr>
            <w:tcW w:w="1417" w:type="dxa"/>
            <w:tcBorders>
              <w:top w:val="nil"/>
              <w:left w:val="single" w:sz="4" w:space="0" w:color="auto"/>
              <w:bottom w:val="nil"/>
              <w:right w:val="nil"/>
            </w:tcBorders>
          </w:tcPr>
          <w:p w14:paraId="5A2C3BD9" w14:textId="77777777" w:rsidR="002568A0" w:rsidRDefault="002568A0" w:rsidP="002568A0">
            <w:pPr>
              <w:spacing w:after="0" w:line="240" w:lineRule="auto"/>
              <w:rPr>
                <w:lang w:eastAsia="ja-JP"/>
              </w:rPr>
            </w:pPr>
          </w:p>
        </w:tc>
      </w:tr>
      <w:tr w:rsidR="002568A0" w14:paraId="06A62CA9" w14:textId="77777777" w:rsidTr="00566566">
        <w:tc>
          <w:tcPr>
            <w:tcW w:w="787" w:type="dxa"/>
            <w:tcBorders>
              <w:top w:val="single" w:sz="4" w:space="0" w:color="auto"/>
              <w:left w:val="nil"/>
              <w:bottom w:val="nil"/>
              <w:right w:val="nil"/>
            </w:tcBorders>
          </w:tcPr>
          <w:p w14:paraId="314C20BC" w14:textId="77777777" w:rsidR="002568A0" w:rsidRDefault="002568A0" w:rsidP="002568A0">
            <w:pPr>
              <w:spacing w:after="0" w:line="240" w:lineRule="auto"/>
              <w:rPr>
                <w:lang w:eastAsia="ja-JP"/>
              </w:rPr>
            </w:pPr>
          </w:p>
        </w:tc>
        <w:tc>
          <w:tcPr>
            <w:tcW w:w="1085" w:type="dxa"/>
            <w:tcBorders>
              <w:top w:val="single" w:sz="4" w:space="0" w:color="auto"/>
              <w:left w:val="nil"/>
              <w:bottom w:val="nil"/>
              <w:right w:val="nil"/>
            </w:tcBorders>
          </w:tcPr>
          <w:p w14:paraId="50908D1C" w14:textId="77777777" w:rsidR="002568A0" w:rsidRDefault="002568A0" w:rsidP="002568A0">
            <w:pPr>
              <w:spacing w:after="0" w:line="240" w:lineRule="auto"/>
              <w:rPr>
                <w:lang w:eastAsia="ja-JP"/>
              </w:rPr>
            </w:pPr>
          </w:p>
        </w:tc>
        <w:tc>
          <w:tcPr>
            <w:tcW w:w="2126" w:type="dxa"/>
            <w:tcBorders>
              <w:top w:val="single" w:sz="4" w:space="0" w:color="auto"/>
              <w:left w:val="nil"/>
              <w:bottom w:val="nil"/>
              <w:right w:val="nil"/>
            </w:tcBorders>
            <w:hideMark/>
          </w:tcPr>
          <w:p w14:paraId="54824995" w14:textId="77777777" w:rsidR="002568A0" w:rsidRDefault="002568A0" w:rsidP="002568A0">
            <w:pPr>
              <w:spacing w:after="0" w:line="240" w:lineRule="auto"/>
              <w:rPr>
                <w:lang w:eastAsia="ja-JP"/>
              </w:rPr>
            </w:pPr>
            <w:r>
              <w:rPr>
                <w:lang w:eastAsia="ja-JP"/>
              </w:rPr>
              <w:t>Sensitivity= 81.2%</w:t>
            </w:r>
          </w:p>
        </w:tc>
        <w:tc>
          <w:tcPr>
            <w:tcW w:w="2126" w:type="dxa"/>
            <w:tcBorders>
              <w:top w:val="single" w:sz="4" w:space="0" w:color="auto"/>
              <w:left w:val="nil"/>
              <w:bottom w:val="nil"/>
              <w:right w:val="nil"/>
            </w:tcBorders>
            <w:hideMark/>
          </w:tcPr>
          <w:p w14:paraId="254DADE0" w14:textId="77777777" w:rsidR="002568A0" w:rsidRDefault="002568A0" w:rsidP="002568A0">
            <w:pPr>
              <w:spacing w:after="0" w:line="240" w:lineRule="auto"/>
              <w:rPr>
                <w:lang w:eastAsia="ja-JP"/>
              </w:rPr>
            </w:pPr>
            <w:r>
              <w:rPr>
                <w:lang w:eastAsia="ja-JP"/>
              </w:rPr>
              <w:t>Specificity= 91.9%</w:t>
            </w:r>
          </w:p>
        </w:tc>
        <w:tc>
          <w:tcPr>
            <w:tcW w:w="851" w:type="dxa"/>
            <w:tcBorders>
              <w:top w:val="single" w:sz="4" w:space="0" w:color="auto"/>
              <w:left w:val="nil"/>
              <w:bottom w:val="nil"/>
              <w:right w:val="nil"/>
            </w:tcBorders>
          </w:tcPr>
          <w:p w14:paraId="30142E90" w14:textId="77777777" w:rsidR="002568A0" w:rsidRDefault="002568A0" w:rsidP="002568A0">
            <w:pPr>
              <w:spacing w:after="0" w:line="240" w:lineRule="auto"/>
              <w:rPr>
                <w:lang w:eastAsia="ja-JP"/>
              </w:rPr>
            </w:pPr>
          </w:p>
        </w:tc>
        <w:tc>
          <w:tcPr>
            <w:tcW w:w="1417" w:type="dxa"/>
          </w:tcPr>
          <w:p w14:paraId="114B0908" w14:textId="77777777" w:rsidR="002568A0" w:rsidRDefault="002568A0" w:rsidP="002568A0">
            <w:pPr>
              <w:spacing w:after="0" w:line="240" w:lineRule="auto"/>
              <w:rPr>
                <w:lang w:eastAsia="ja-JP"/>
              </w:rPr>
            </w:pPr>
          </w:p>
        </w:tc>
      </w:tr>
    </w:tbl>
    <w:p w14:paraId="300BFE13" w14:textId="77777777" w:rsidR="002568A0" w:rsidRDefault="002568A0" w:rsidP="002568A0">
      <w:pPr>
        <w:spacing w:after="0" w:line="240" w:lineRule="auto"/>
      </w:pPr>
      <w:r>
        <w:t xml:space="preserve">Now you want to know the sensitivity and specificity of RST in the underlying </w:t>
      </w:r>
      <w:r>
        <w:rPr>
          <w:i/>
        </w:rPr>
        <w:t>mammography population</w:t>
      </w:r>
      <w:r>
        <w:t xml:space="preserve"> (</w:t>
      </w:r>
      <w:r>
        <w:rPr>
          <w:i/>
        </w:rPr>
        <w:t>n</w:t>
      </w:r>
      <w:r>
        <w:t xml:space="preserve">= 2464). </w:t>
      </w:r>
    </w:p>
    <w:p w14:paraId="571EFEF6" w14:textId="3C1C523B" w:rsidR="002568A0" w:rsidRDefault="002568A0" w:rsidP="002568A0">
      <w:pPr>
        <w:spacing w:after="0" w:line="240" w:lineRule="auto"/>
        <w:ind w:firstLine="720"/>
      </w:pPr>
      <w:r>
        <w:t>b)   Given that 6.2% of the subjects in the entire mammography population</w:t>
      </w:r>
      <w:r w:rsidDel="000B442F">
        <w:t xml:space="preserve"> </w:t>
      </w:r>
      <w:r>
        <w:t xml:space="preserve">were identified as RST positive and the predictive values observed, complete the following 2 × 2 table and calculate the sensitivity and specificity of RST in the entire mammography population. </w:t>
      </w:r>
      <w:r w:rsidRPr="00D0079B">
        <w:rPr>
          <w:i/>
        </w:rPr>
        <w:t>[Hint: First figure out how many in the entire population tested positive, to fill in the cell labeled "A".]</w:t>
      </w:r>
      <w:r>
        <w:t xml:space="preserve"> </w:t>
      </w:r>
      <w:r w:rsidR="001B52BE">
        <w:t xml:space="preserve">  [5]</w:t>
      </w:r>
    </w:p>
    <w:p w14:paraId="5B27F7F6" w14:textId="77777777" w:rsidR="002568A0" w:rsidRDefault="002568A0" w:rsidP="002568A0">
      <w:pPr>
        <w:spacing w:after="0" w:line="240" w:lineRule="auto"/>
      </w:pPr>
    </w:p>
    <w:tbl>
      <w:tblPr>
        <w:tblW w:w="0" w:type="auto"/>
        <w:tblInd w:w="108" w:type="dxa"/>
        <w:tblLayout w:type="fixed"/>
        <w:tblLook w:val="04A0" w:firstRow="1" w:lastRow="0" w:firstColumn="1" w:lastColumn="0" w:noHBand="0" w:noVBand="1"/>
      </w:tblPr>
      <w:tblGrid>
        <w:gridCol w:w="738"/>
        <w:gridCol w:w="1134"/>
        <w:gridCol w:w="2126"/>
        <w:gridCol w:w="2126"/>
        <w:gridCol w:w="851"/>
        <w:gridCol w:w="1417"/>
      </w:tblGrid>
      <w:tr w:rsidR="002568A0" w14:paraId="0BFF7624" w14:textId="77777777" w:rsidTr="00566566">
        <w:tc>
          <w:tcPr>
            <w:tcW w:w="1872" w:type="dxa"/>
            <w:gridSpan w:val="2"/>
            <w:vMerge w:val="restart"/>
            <w:tcBorders>
              <w:top w:val="single" w:sz="4" w:space="0" w:color="auto"/>
              <w:left w:val="single" w:sz="4" w:space="0" w:color="auto"/>
              <w:bottom w:val="single" w:sz="4" w:space="0" w:color="auto"/>
              <w:right w:val="single" w:sz="4" w:space="0" w:color="auto"/>
            </w:tcBorders>
            <w:hideMark/>
          </w:tcPr>
          <w:p w14:paraId="276074FB" w14:textId="77777777" w:rsidR="002568A0" w:rsidRDefault="002568A0" w:rsidP="002568A0">
            <w:pPr>
              <w:spacing w:after="0" w:line="240" w:lineRule="auto"/>
              <w:rPr>
                <w:b/>
                <w:lang w:eastAsia="ja-JP"/>
              </w:rPr>
            </w:pPr>
            <w:r>
              <w:rPr>
                <w:b/>
                <w:lang w:eastAsia="ja-JP"/>
              </w:rPr>
              <w:t>Sample</w:t>
            </w:r>
          </w:p>
        </w:tc>
        <w:tc>
          <w:tcPr>
            <w:tcW w:w="5103" w:type="dxa"/>
            <w:gridSpan w:val="3"/>
            <w:tcBorders>
              <w:top w:val="single" w:sz="4" w:space="0" w:color="auto"/>
              <w:left w:val="single" w:sz="4" w:space="0" w:color="auto"/>
              <w:bottom w:val="single" w:sz="4" w:space="0" w:color="auto"/>
              <w:right w:val="single" w:sz="4" w:space="0" w:color="auto"/>
            </w:tcBorders>
            <w:hideMark/>
          </w:tcPr>
          <w:p w14:paraId="3A748824" w14:textId="77777777" w:rsidR="002568A0" w:rsidRDefault="002568A0" w:rsidP="002568A0">
            <w:pPr>
              <w:spacing w:after="0" w:line="240" w:lineRule="auto"/>
              <w:rPr>
                <w:lang w:eastAsia="ja-JP"/>
              </w:rPr>
            </w:pPr>
            <w:r>
              <w:rPr>
                <w:lang w:eastAsia="ja-JP"/>
              </w:rPr>
              <w:t>Risk based on pedigree analysis and risk models</w:t>
            </w:r>
          </w:p>
        </w:tc>
        <w:tc>
          <w:tcPr>
            <w:tcW w:w="1417" w:type="dxa"/>
            <w:tcBorders>
              <w:top w:val="nil"/>
              <w:left w:val="single" w:sz="4" w:space="0" w:color="auto"/>
              <w:bottom w:val="nil"/>
              <w:right w:val="nil"/>
            </w:tcBorders>
          </w:tcPr>
          <w:p w14:paraId="2397A772" w14:textId="77777777" w:rsidR="002568A0" w:rsidRDefault="002568A0" w:rsidP="002568A0">
            <w:pPr>
              <w:spacing w:after="0" w:line="240" w:lineRule="auto"/>
              <w:rPr>
                <w:lang w:eastAsia="ja-JP"/>
              </w:rPr>
            </w:pPr>
          </w:p>
        </w:tc>
      </w:tr>
      <w:tr w:rsidR="002568A0" w14:paraId="37D11E25" w14:textId="77777777" w:rsidTr="00566566">
        <w:tc>
          <w:tcPr>
            <w:tcW w:w="3006" w:type="dxa"/>
            <w:gridSpan w:val="2"/>
            <w:vMerge/>
            <w:tcBorders>
              <w:top w:val="single" w:sz="4" w:space="0" w:color="auto"/>
              <w:left w:val="single" w:sz="4" w:space="0" w:color="auto"/>
              <w:bottom w:val="single" w:sz="4" w:space="0" w:color="auto"/>
              <w:right w:val="single" w:sz="4" w:space="0" w:color="auto"/>
            </w:tcBorders>
            <w:vAlign w:val="center"/>
            <w:hideMark/>
          </w:tcPr>
          <w:p w14:paraId="6263FF9E" w14:textId="77777777" w:rsidR="002568A0" w:rsidRDefault="002568A0" w:rsidP="002568A0">
            <w:pPr>
              <w:spacing w:after="0" w:line="240" w:lineRule="auto"/>
              <w:rPr>
                <w:b/>
                <w:lang w:eastAsia="ja-JP"/>
              </w:rPr>
            </w:pPr>
          </w:p>
        </w:tc>
        <w:tc>
          <w:tcPr>
            <w:tcW w:w="2126" w:type="dxa"/>
            <w:tcBorders>
              <w:top w:val="single" w:sz="4" w:space="0" w:color="auto"/>
              <w:left w:val="single" w:sz="4" w:space="0" w:color="auto"/>
              <w:bottom w:val="single" w:sz="4" w:space="0" w:color="auto"/>
              <w:right w:val="single" w:sz="4" w:space="0" w:color="auto"/>
            </w:tcBorders>
            <w:hideMark/>
          </w:tcPr>
          <w:p w14:paraId="3152479C" w14:textId="77777777" w:rsidR="002568A0" w:rsidRDefault="002568A0" w:rsidP="002568A0">
            <w:pPr>
              <w:spacing w:after="0" w:line="240" w:lineRule="auto"/>
              <w:jc w:val="center"/>
              <w:rPr>
                <w:lang w:eastAsia="ja-JP"/>
              </w:rPr>
            </w:pPr>
            <w:r>
              <w:rPr>
                <w:lang w:eastAsia="ja-JP"/>
              </w:rPr>
              <w:t>High risk</w:t>
            </w:r>
          </w:p>
        </w:tc>
        <w:tc>
          <w:tcPr>
            <w:tcW w:w="2126" w:type="dxa"/>
            <w:tcBorders>
              <w:top w:val="single" w:sz="4" w:space="0" w:color="auto"/>
              <w:left w:val="single" w:sz="4" w:space="0" w:color="auto"/>
              <w:bottom w:val="single" w:sz="4" w:space="0" w:color="auto"/>
              <w:right w:val="single" w:sz="4" w:space="0" w:color="auto"/>
            </w:tcBorders>
            <w:hideMark/>
          </w:tcPr>
          <w:p w14:paraId="3C920523" w14:textId="77777777" w:rsidR="002568A0" w:rsidRDefault="002568A0" w:rsidP="002568A0">
            <w:pPr>
              <w:spacing w:after="0" w:line="240" w:lineRule="auto"/>
              <w:jc w:val="center"/>
              <w:rPr>
                <w:lang w:eastAsia="ja-JP"/>
              </w:rPr>
            </w:pPr>
            <w:r>
              <w:rPr>
                <w:lang w:eastAsia="ja-JP"/>
              </w:rPr>
              <w:t>Low risk</w:t>
            </w:r>
          </w:p>
        </w:tc>
        <w:tc>
          <w:tcPr>
            <w:tcW w:w="851" w:type="dxa"/>
            <w:tcBorders>
              <w:top w:val="single" w:sz="4" w:space="0" w:color="auto"/>
              <w:left w:val="single" w:sz="4" w:space="0" w:color="auto"/>
              <w:bottom w:val="single" w:sz="4" w:space="0" w:color="auto"/>
              <w:right w:val="single" w:sz="4" w:space="0" w:color="auto"/>
            </w:tcBorders>
            <w:hideMark/>
          </w:tcPr>
          <w:p w14:paraId="48DBE4E8" w14:textId="77777777" w:rsidR="002568A0" w:rsidRDefault="002568A0" w:rsidP="002568A0">
            <w:pPr>
              <w:spacing w:after="0" w:line="240" w:lineRule="auto"/>
              <w:jc w:val="center"/>
              <w:rPr>
                <w:lang w:eastAsia="ja-JP"/>
              </w:rPr>
            </w:pPr>
            <w:r>
              <w:rPr>
                <w:lang w:eastAsia="ja-JP"/>
              </w:rPr>
              <w:t>Total</w:t>
            </w:r>
          </w:p>
        </w:tc>
        <w:tc>
          <w:tcPr>
            <w:tcW w:w="1417" w:type="dxa"/>
            <w:tcBorders>
              <w:top w:val="nil"/>
              <w:left w:val="single" w:sz="4" w:space="0" w:color="auto"/>
              <w:bottom w:val="nil"/>
              <w:right w:val="nil"/>
            </w:tcBorders>
          </w:tcPr>
          <w:p w14:paraId="36E98647" w14:textId="77777777" w:rsidR="002568A0" w:rsidRDefault="002568A0" w:rsidP="002568A0">
            <w:pPr>
              <w:spacing w:after="0" w:line="240" w:lineRule="auto"/>
              <w:rPr>
                <w:lang w:eastAsia="ja-JP"/>
              </w:rPr>
            </w:pPr>
          </w:p>
        </w:tc>
      </w:tr>
      <w:tr w:rsidR="002568A0" w14:paraId="7D2B010D" w14:textId="77777777" w:rsidTr="00566566">
        <w:tc>
          <w:tcPr>
            <w:tcW w:w="738" w:type="dxa"/>
            <w:vMerge w:val="restart"/>
            <w:tcBorders>
              <w:top w:val="single" w:sz="4" w:space="0" w:color="auto"/>
              <w:left w:val="single" w:sz="4" w:space="0" w:color="auto"/>
              <w:bottom w:val="single" w:sz="4" w:space="0" w:color="auto"/>
              <w:right w:val="single" w:sz="4" w:space="0" w:color="auto"/>
            </w:tcBorders>
            <w:hideMark/>
          </w:tcPr>
          <w:p w14:paraId="6C7E4ECD" w14:textId="77777777" w:rsidR="002568A0" w:rsidRDefault="002568A0" w:rsidP="002568A0">
            <w:pPr>
              <w:spacing w:after="0" w:line="240" w:lineRule="auto"/>
              <w:rPr>
                <w:lang w:eastAsia="ja-JP"/>
              </w:rPr>
            </w:pPr>
            <w:r>
              <w:rPr>
                <w:lang w:eastAsia="ja-JP"/>
              </w:rPr>
              <w:t>RST</w:t>
            </w:r>
          </w:p>
        </w:tc>
        <w:tc>
          <w:tcPr>
            <w:tcW w:w="1134" w:type="dxa"/>
            <w:tcBorders>
              <w:top w:val="single" w:sz="4" w:space="0" w:color="auto"/>
              <w:left w:val="single" w:sz="4" w:space="0" w:color="auto"/>
              <w:bottom w:val="single" w:sz="4" w:space="0" w:color="auto"/>
              <w:right w:val="single" w:sz="4" w:space="0" w:color="auto"/>
            </w:tcBorders>
            <w:hideMark/>
          </w:tcPr>
          <w:p w14:paraId="44A1F4C0" w14:textId="77777777" w:rsidR="002568A0" w:rsidRDefault="002568A0" w:rsidP="002568A0">
            <w:pPr>
              <w:spacing w:after="0" w:line="240" w:lineRule="auto"/>
              <w:rPr>
                <w:lang w:eastAsia="ja-JP"/>
              </w:rPr>
            </w:pPr>
            <w:r>
              <w:rPr>
                <w:lang w:eastAsia="ja-JP"/>
              </w:rPr>
              <w:t>Positive</w:t>
            </w:r>
          </w:p>
        </w:tc>
        <w:tc>
          <w:tcPr>
            <w:tcW w:w="2126" w:type="dxa"/>
            <w:tcBorders>
              <w:top w:val="single" w:sz="4" w:space="0" w:color="auto"/>
              <w:left w:val="single" w:sz="4" w:space="0" w:color="auto"/>
              <w:bottom w:val="single" w:sz="4" w:space="0" w:color="auto"/>
              <w:right w:val="single" w:sz="4" w:space="0" w:color="auto"/>
            </w:tcBorders>
          </w:tcPr>
          <w:p w14:paraId="14374158" w14:textId="77777777" w:rsidR="002568A0" w:rsidRDefault="002568A0" w:rsidP="002568A0">
            <w:pPr>
              <w:spacing w:after="0" w:line="240" w:lineRule="auto"/>
              <w:jc w:val="center"/>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26D28D69" w14:textId="77777777" w:rsidR="002568A0" w:rsidRDefault="002568A0" w:rsidP="002568A0">
            <w:pPr>
              <w:spacing w:after="0" w:line="240" w:lineRule="auto"/>
              <w:jc w:val="center"/>
              <w:rPr>
                <w:lang w:eastAsia="ja-JP"/>
              </w:rPr>
            </w:pPr>
          </w:p>
        </w:tc>
        <w:tc>
          <w:tcPr>
            <w:tcW w:w="851" w:type="dxa"/>
            <w:tcBorders>
              <w:top w:val="single" w:sz="4" w:space="0" w:color="auto"/>
              <w:left w:val="single" w:sz="4" w:space="0" w:color="auto"/>
              <w:bottom w:val="single" w:sz="4" w:space="0" w:color="auto"/>
              <w:right w:val="single" w:sz="4" w:space="0" w:color="auto"/>
            </w:tcBorders>
          </w:tcPr>
          <w:p w14:paraId="7687B0B6" w14:textId="77777777" w:rsidR="002568A0" w:rsidRDefault="002568A0" w:rsidP="002568A0">
            <w:pPr>
              <w:spacing w:after="0" w:line="240" w:lineRule="auto"/>
              <w:jc w:val="center"/>
              <w:rPr>
                <w:lang w:eastAsia="ja-JP"/>
              </w:rPr>
            </w:pPr>
          </w:p>
        </w:tc>
        <w:tc>
          <w:tcPr>
            <w:tcW w:w="1417" w:type="dxa"/>
            <w:tcBorders>
              <w:top w:val="nil"/>
              <w:left w:val="single" w:sz="4" w:space="0" w:color="auto"/>
              <w:bottom w:val="nil"/>
              <w:right w:val="nil"/>
            </w:tcBorders>
            <w:hideMark/>
          </w:tcPr>
          <w:p w14:paraId="4E931F77" w14:textId="77777777" w:rsidR="002568A0" w:rsidRDefault="002568A0" w:rsidP="002568A0">
            <w:pPr>
              <w:spacing w:after="0" w:line="240" w:lineRule="auto"/>
              <w:rPr>
                <w:lang w:eastAsia="ja-JP"/>
              </w:rPr>
            </w:pPr>
            <w:r>
              <w:rPr>
                <w:lang w:eastAsia="ja-JP"/>
              </w:rPr>
              <w:t xml:space="preserve">PPV= </w:t>
            </w:r>
          </w:p>
        </w:tc>
      </w:tr>
      <w:tr w:rsidR="002568A0" w14:paraId="09225CE4" w14:textId="77777777" w:rsidTr="00566566">
        <w:tc>
          <w:tcPr>
            <w:tcW w:w="1872" w:type="dxa"/>
            <w:vMerge/>
            <w:tcBorders>
              <w:top w:val="single" w:sz="4" w:space="0" w:color="auto"/>
              <w:left w:val="single" w:sz="4" w:space="0" w:color="auto"/>
              <w:bottom w:val="single" w:sz="4" w:space="0" w:color="auto"/>
              <w:right w:val="single" w:sz="4" w:space="0" w:color="auto"/>
            </w:tcBorders>
            <w:vAlign w:val="center"/>
            <w:hideMark/>
          </w:tcPr>
          <w:p w14:paraId="75D45458" w14:textId="77777777" w:rsidR="002568A0" w:rsidRDefault="002568A0" w:rsidP="002568A0">
            <w:pPr>
              <w:spacing w:after="0" w:line="240" w:lineRule="auto"/>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DB4A149" w14:textId="77777777" w:rsidR="002568A0" w:rsidRDefault="002568A0" w:rsidP="002568A0">
            <w:pPr>
              <w:spacing w:after="0" w:line="240" w:lineRule="auto"/>
              <w:rPr>
                <w:lang w:eastAsia="ja-JP"/>
              </w:rPr>
            </w:pPr>
            <w:r>
              <w:rPr>
                <w:lang w:eastAsia="ja-JP"/>
              </w:rPr>
              <w:t>Negative</w:t>
            </w:r>
          </w:p>
        </w:tc>
        <w:tc>
          <w:tcPr>
            <w:tcW w:w="2126" w:type="dxa"/>
            <w:tcBorders>
              <w:top w:val="single" w:sz="4" w:space="0" w:color="auto"/>
              <w:left w:val="single" w:sz="4" w:space="0" w:color="auto"/>
              <w:bottom w:val="single" w:sz="4" w:space="0" w:color="auto"/>
              <w:right w:val="single" w:sz="4" w:space="0" w:color="auto"/>
            </w:tcBorders>
          </w:tcPr>
          <w:p w14:paraId="459C6E52" w14:textId="77777777" w:rsidR="002568A0" w:rsidRDefault="002568A0" w:rsidP="002568A0">
            <w:pPr>
              <w:spacing w:after="0" w:line="240" w:lineRule="auto"/>
              <w:jc w:val="center"/>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1D4122EC" w14:textId="77777777" w:rsidR="002568A0" w:rsidRDefault="002568A0" w:rsidP="002568A0">
            <w:pPr>
              <w:spacing w:after="0" w:line="240" w:lineRule="auto"/>
              <w:jc w:val="center"/>
              <w:rPr>
                <w:lang w:eastAsia="ja-JP"/>
              </w:rPr>
            </w:pPr>
          </w:p>
        </w:tc>
        <w:tc>
          <w:tcPr>
            <w:tcW w:w="851" w:type="dxa"/>
            <w:tcBorders>
              <w:top w:val="single" w:sz="4" w:space="0" w:color="auto"/>
              <w:left w:val="single" w:sz="4" w:space="0" w:color="auto"/>
              <w:bottom w:val="single" w:sz="4" w:space="0" w:color="auto"/>
              <w:right w:val="single" w:sz="4" w:space="0" w:color="auto"/>
            </w:tcBorders>
          </w:tcPr>
          <w:p w14:paraId="66E5771F" w14:textId="77777777" w:rsidR="002568A0" w:rsidRDefault="002568A0" w:rsidP="002568A0">
            <w:pPr>
              <w:spacing w:after="0" w:line="240" w:lineRule="auto"/>
              <w:jc w:val="center"/>
              <w:rPr>
                <w:lang w:eastAsia="ja-JP"/>
              </w:rPr>
            </w:pPr>
          </w:p>
        </w:tc>
        <w:tc>
          <w:tcPr>
            <w:tcW w:w="1417" w:type="dxa"/>
            <w:tcBorders>
              <w:top w:val="nil"/>
              <w:left w:val="single" w:sz="4" w:space="0" w:color="auto"/>
              <w:bottom w:val="nil"/>
              <w:right w:val="nil"/>
            </w:tcBorders>
            <w:hideMark/>
          </w:tcPr>
          <w:p w14:paraId="0C17D3BB" w14:textId="77777777" w:rsidR="002568A0" w:rsidRDefault="002568A0" w:rsidP="002568A0">
            <w:pPr>
              <w:spacing w:after="0" w:line="240" w:lineRule="auto"/>
              <w:rPr>
                <w:lang w:eastAsia="ja-JP"/>
              </w:rPr>
            </w:pPr>
            <w:r>
              <w:rPr>
                <w:lang w:eastAsia="ja-JP"/>
              </w:rPr>
              <w:t xml:space="preserve">NPV= </w:t>
            </w:r>
          </w:p>
        </w:tc>
      </w:tr>
      <w:tr w:rsidR="002568A0" w14:paraId="7321BDC8" w14:textId="77777777" w:rsidTr="00566566">
        <w:tc>
          <w:tcPr>
            <w:tcW w:w="1872" w:type="dxa"/>
            <w:vMerge/>
            <w:tcBorders>
              <w:top w:val="single" w:sz="4" w:space="0" w:color="auto"/>
              <w:left w:val="single" w:sz="4" w:space="0" w:color="auto"/>
              <w:bottom w:val="single" w:sz="4" w:space="0" w:color="auto"/>
              <w:right w:val="single" w:sz="4" w:space="0" w:color="auto"/>
            </w:tcBorders>
            <w:vAlign w:val="center"/>
            <w:hideMark/>
          </w:tcPr>
          <w:p w14:paraId="065253E6" w14:textId="77777777" w:rsidR="002568A0" w:rsidRDefault="002568A0" w:rsidP="002568A0">
            <w:pPr>
              <w:spacing w:after="0" w:line="240" w:lineRule="auto"/>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F695375" w14:textId="77777777" w:rsidR="002568A0" w:rsidRDefault="002568A0" w:rsidP="002568A0">
            <w:pPr>
              <w:spacing w:after="0" w:line="240" w:lineRule="auto"/>
              <w:rPr>
                <w:lang w:eastAsia="ja-JP"/>
              </w:rPr>
            </w:pPr>
            <w:r>
              <w:rPr>
                <w:lang w:eastAsia="ja-JP"/>
              </w:rPr>
              <w:t>Total</w:t>
            </w:r>
          </w:p>
        </w:tc>
        <w:tc>
          <w:tcPr>
            <w:tcW w:w="2126" w:type="dxa"/>
            <w:tcBorders>
              <w:top w:val="single" w:sz="4" w:space="0" w:color="auto"/>
              <w:left w:val="single" w:sz="4" w:space="0" w:color="auto"/>
              <w:bottom w:val="single" w:sz="4" w:space="0" w:color="auto"/>
              <w:right w:val="single" w:sz="4" w:space="0" w:color="auto"/>
            </w:tcBorders>
          </w:tcPr>
          <w:p w14:paraId="26B36C1F" w14:textId="77777777" w:rsidR="002568A0" w:rsidRDefault="002568A0" w:rsidP="002568A0">
            <w:pPr>
              <w:spacing w:after="0" w:line="240" w:lineRule="auto"/>
              <w:jc w:val="center"/>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4C47B914" w14:textId="77777777" w:rsidR="002568A0" w:rsidRDefault="002568A0" w:rsidP="002568A0">
            <w:pPr>
              <w:spacing w:after="0" w:line="240" w:lineRule="auto"/>
              <w:jc w:val="center"/>
              <w:rPr>
                <w:lang w:eastAsia="ja-JP"/>
              </w:rPr>
            </w:pPr>
          </w:p>
        </w:tc>
        <w:tc>
          <w:tcPr>
            <w:tcW w:w="851" w:type="dxa"/>
            <w:tcBorders>
              <w:top w:val="single" w:sz="4" w:space="0" w:color="auto"/>
              <w:left w:val="single" w:sz="4" w:space="0" w:color="auto"/>
              <w:bottom w:val="single" w:sz="4" w:space="0" w:color="auto"/>
              <w:right w:val="single" w:sz="4" w:space="0" w:color="auto"/>
            </w:tcBorders>
          </w:tcPr>
          <w:p w14:paraId="7694099B" w14:textId="77777777" w:rsidR="002568A0" w:rsidRDefault="002568A0" w:rsidP="002568A0">
            <w:pPr>
              <w:spacing w:after="0" w:line="240" w:lineRule="auto"/>
              <w:jc w:val="center"/>
              <w:rPr>
                <w:lang w:eastAsia="ja-JP"/>
              </w:rPr>
            </w:pPr>
            <w:r>
              <w:rPr>
                <w:lang w:eastAsia="ja-JP"/>
              </w:rPr>
              <w:t>2464</w:t>
            </w:r>
          </w:p>
        </w:tc>
        <w:tc>
          <w:tcPr>
            <w:tcW w:w="1417" w:type="dxa"/>
            <w:tcBorders>
              <w:top w:val="nil"/>
              <w:left w:val="single" w:sz="4" w:space="0" w:color="auto"/>
              <w:bottom w:val="nil"/>
              <w:right w:val="nil"/>
            </w:tcBorders>
          </w:tcPr>
          <w:p w14:paraId="28417B3E" w14:textId="77777777" w:rsidR="002568A0" w:rsidRDefault="002568A0" w:rsidP="002568A0">
            <w:pPr>
              <w:spacing w:after="0" w:line="240" w:lineRule="auto"/>
              <w:rPr>
                <w:lang w:eastAsia="ja-JP"/>
              </w:rPr>
            </w:pPr>
          </w:p>
        </w:tc>
      </w:tr>
      <w:tr w:rsidR="002568A0" w14:paraId="753DEA3B" w14:textId="77777777" w:rsidTr="00566566">
        <w:tc>
          <w:tcPr>
            <w:tcW w:w="738" w:type="dxa"/>
            <w:tcBorders>
              <w:top w:val="single" w:sz="4" w:space="0" w:color="auto"/>
              <w:left w:val="nil"/>
              <w:bottom w:val="nil"/>
              <w:right w:val="nil"/>
            </w:tcBorders>
          </w:tcPr>
          <w:p w14:paraId="707A8DB3" w14:textId="77777777" w:rsidR="002568A0" w:rsidRDefault="002568A0" w:rsidP="002568A0">
            <w:pPr>
              <w:spacing w:after="0" w:line="240" w:lineRule="auto"/>
              <w:rPr>
                <w:lang w:eastAsia="ja-JP"/>
              </w:rPr>
            </w:pPr>
          </w:p>
        </w:tc>
        <w:tc>
          <w:tcPr>
            <w:tcW w:w="1134" w:type="dxa"/>
            <w:tcBorders>
              <w:top w:val="single" w:sz="4" w:space="0" w:color="auto"/>
              <w:left w:val="nil"/>
              <w:bottom w:val="nil"/>
              <w:right w:val="nil"/>
            </w:tcBorders>
          </w:tcPr>
          <w:p w14:paraId="289B0989" w14:textId="77777777" w:rsidR="002568A0" w:rsidRDefault="002568A0" w:rsidP="002568A0">
            <w:pPr>
              <w:spacing w:after="0" w:line="240" w:lineRule="auto"/>
              <w:rPr>
                <w:lang w:eastAsia="ja-JP"/>
              </w:rPr>
            </w:pPr>
          </w:p>
        </w:tc>
        <w:tc>
          <w:tcPr>
            <w:tcW w:w="2126" w:type="dxa"/>
            <w:tcBorders>
              <w:top w:val="single" w:sz="4" w:space="0" w:color="auto"/>
              <w:left w:val="nil"/>
              <w:bottom w:val="nil"/>
              <w:right w:val="nil"/>
            </w:tcBorders>
            <w:hideMark/>
          </w:tcPr>
          <w:p w14:paraId="5EC989D6" w14:textId="77777777" w:rsidR="002568A0" w:rsidRDefault="002568A0" w:rsidP="002568A0">
            <w:pPr>
              <w:spacing w:after="0" w:line="240" w:lineRule="auto"/>
              <w:rPr>
                <w:lang w:eastAsia="ja-JP"/>
              </w:rPr>
            </w:pPr>
            <w:r>
              <w:rPr>
                <w:lang w:eastAsia="ja-JP"/>
              </w:rPr>
              <w:t xml:space="preserve">Sensitivity= </w:t>
            </w:r>
          </w:p>
        </w:tc>
        <w:tc>
          <w:tcPr>
            <w:tcW w:w="2126" w:type="dxa"/>
            <w:tcBorders>
              <w:top w:val="single" w:sz="4" w:space="0" w:color="auto"/>
              <w:left w:val="nil"/>
              <w:bottom w:val="nil"/>
              <w:right w:val="nil"/>
            </w:tcBorders>
            <w:hideMark/>
          </w:tcPr>
          <w:p w14:paraId="74B9B201" w14:textId="77777777" w:rsidR="002568A0" w:rsidRDefault="002568A0" w:rsidP="002568A0">
            <w:pPr>
              <w:spacing w:after="0" w:line="240" w:lineRule="auto"/>
              <w:rPr>
                <w:lang w:eastAsia="ja-JP"/>
              </w:rPr>
            </w:pPr>
            <w:r>
              <w:rPr>
                <w:lang w:eastAsia="ja-JP"/>
              </w:rPr>
              <w:t xml:space="preserve">Specificity= </w:t>
            </w:r>
          </w:p>
        </w:tc>
        <w:tc>
          <w:tcPr>
            <w:tcW w:w="851" w:type="dxa"/>
            <w:tcBorders>
              <w:top w:val="single" w:sz="4" w:space="0" w:color="auto"/>
              <w:left w:val="nil"/>
              <w:bottom w:val="nil"/>
              <w:right w:val="nil"/>
            </w:tcBorders>
          </w:tcPr>
          <w:p w14:paraId="12EEB359" w14:textId="77777777" w:rsidR="002568A0" w:rsidRDefault="002568A0" w:rsidP="002568A0">
            <w:pPr>
              <w:spacing w:after="0" w:line="240" w:lineRule="auto"/>
              <w:rPr>
                <w:lang w:eastAsia="ja-JP"/>
              </w:rPr>
            </w:pPr>
          </w:p>
        </w:tc>
        <w:tc>
          <w:tcPr>
            <w:tcW w:w="1417" w:type="dxa"/>
          </w:tcPr>
          <w:p w14:paraId="6A630EDB" w14:textId="77777777" w:rsidR="002568A0" w:rsidRDefault="002568A0" w:rsidP="002568A0">
            <w:pPr>
              <w:spacing w:after="0" w:line="240" w:lineRule="auto"/>
              <w:rPr>
                <w:lang w:eastAsia="ja-JP"/>
              </w:rPr>
            </w:pPr>
          </w:p>
        </w:tc>
      </w:tr>
    </w:tbl>
    <w:p w14:paraId="2040283A" w14:textId="77777777" w:rsidR="002568A0" w:rsidRDefault="002568A0" w:rsidP="002568A0">
      <w:pPr>
        <w:spacing w:after="0" w:line="240" w:lineRule="auto"/>
      </w:pPr>
      <w:r>
        <w:br/>
      </w:r>
    </w:p>
    <w:p w14:paraId="5853EEDE" w14:textId="0DF48AAA" w:rsidR="002568A0" w:rsidRDefault="002568A0" w:rsidP="002568A0">
      <w:pPr>
        <w:tabs>
          <w:tab w:val="left" w:pos="6701"/>
        </w:tabs>
        <w:spacing w:after="0" w:line="240" w:lineRule="auto"/>
      </w:pPr>
      <w:r>
        <w:t xml:space="preserve">c) Compare the sensitivity and specificity of the RST in the mammography population you obtained from (b) with what was reported in the abstract.  Why are they different?  Which do you think is correct? </w:t>
      </w:r>
      <w:r w:rsidR="001B52BE">
        <w:t>[4]</w:t>
      </w:r>
    </w:p>
    <w:p w14:paraId="38577568" w14:textId="77777777" w:rsidR="002568A0" w:rsidRDefault="002568A0" w:rsidP="002568A0">
      <w:pPr>
        <w:spacing w:after="0" w:line="240" w:lineRule="auto"/>
      </w:pPr>
    </w:p>
    <w:p w14:paraId="0E3FF0A0" w14:textId="77777777" w:rsidR="002568A0" w:rsidRDefault="002568A0" w:rsidP="002568A0">
      <w:pPr>
        <w:spacing w:after="0" w:line="240" w:lineRule="auto"/>
      </w:pPr>
      <w:r>
        <w:t>In the Results section the authors wrote:</w:t>
      </w:r>
    </w:p>
    <w:p w14:paraId="45FED56F" w14:textId="77777777" w:rsidR="002568A0" w:rsidRDefault="002568A0" w:rsidP="002568A0">
      <w:pPr>
        <w:spacing w:after="0" w:line="240" w:lineRule="auto"/>
      </w:pPr>
      <w:r>
        <w:rPr>
          <w:sz w:val="20"/>
        </w:rPr>
        <w:t>“It should be noted that these predictive values are not representative of those that would be obtained in a general mammography population, as … high-risk subjects were intentionally oversampled. Using the prevalence of 6.2% RST screen-positive individuals in this study, and the overall sensitivity and specificity obtained, the PPV and NPV values expected in a general mammography population would be 0.39 and 0.78, respectively.”</w:t>
      </w:r>
    </w:p>
    <w:p w14:paraId="5C4EDCB6" w14:textId="30C10CD3" w:rsidR="002568A0" w:rsidRDefault="002568A0" w:rsidP="002568A0">
      <w:pPr>
        <w:spacing w:after="0" w:line="240" w:lineRule="auto"/>
      </w:pPr>
      <w:r>
        <w:br/>
        <w:t xml:space="preserve">d)   Do you agree with the authors that the PPV and NPV, not the sensitivity and specificity, are the </w:t>
      </w:r>
      <w:r>
        <w:lastRenderedPageBreak/>
        <w:t>measures that needed to be adjusted to be representative of the ones in the mammography population?  Explain.</w:t>
      </w:r>
      <w:r w:rsidR="001B52BE">
        <w:t xml:space="preserve"> [5]</w:t>
      </w:r>
    </w:p>
    <w:p w14:paraId="587626B4" w14:textId="77777777" w:rsidR="002568A0" w:rsidRDefault="002568A0" w:rsidP="002568A0">
      <w:pPr>
        <w:spacing w:after="0" w:line="240" w:lineRule="auto"/>
      </w:pPr>
    </w:p>
    <w:p w14:paraId="6E547C34" w14:textId="77777777" w:rsidR="002568A0" w:rsidRDefault="002568A0" w:rsidP="002568A0">
      <w:pPr>
        <w:spacing w:after="0" w:line="240" w:lineRule="auto"/>
      </w:pPr>
    </w:p>
    <w:p w14:paraId="3A2DB7C6" w14:textId="77777777" w:rsidR="002568A0" w:rsidRDefault="002568A0" w:rsidP="002568A0">
      <w:pPr>
        <w:spacing w:after="0" w:line="240" w:lineRule="auto"/>
      </w:pPr>
    </w:p>
    <w:p w14:paraId="06EFFB87" w14:textId="77777777" w:rsidR="002568A0" w:rsidRDefault="002568A0" w:rsidP="002568A0">
      <w:pPr>
        <w:spacing w:after="0" w:line="240" w:lineRule="auto"/>
      </w:pPr>
      <w:r>
        <w:t>Reference</w:t>
      </w:r>
    </w:p>
    <w:p w14:paraId="3F91204B" w14:textId="77777777" w:rsidR="002568A0" w:rsidRDefault="002568A0" w:rsidP="002568A0">
      <w:pPr>
        <w:spacing w:after="0" w:line="240" w:lineRule="auto"/>
      </w:pPr>
    </w:p>
    <w:p w14:paraId="047CA4DE" w14:textId="77777777" w:rsidR="00904680" w:rsidRPr="00904680" w:rsidRDefault="002568A0" w:rsidP="00904680">
      <w:pPr>
        <w:pStyle w:val="EndNoteBibliography"/>
        <w:spacing w:after="0"/>
        <w:ind w:left="720" w:hanging="720"/>
        <w:rPr>
          <w:noProof/>
        </w:rPr>
      </w:pPr>
      <w:r>
        <w:fldChar w:fldCharType="begin"/>
      </w:r>
      <w:r>
        <w:instrText xml:space="preserve"> ADDIN EN.REFLIST </w:instrText>
      </w:r>
      <w:r>
        <w:fldChar w:fldCharType="separate"/>
      </w:r>
      <w:r w:rsidR="00904680" w:rsidRPr="00904680">
        <w:rPr>
          <w:noProof/>
        </w:rPr>
        <w:t>1.</w:t>
      </w:r>
      <w:r w:rsidR="00904680" w:rsidRPr="00904680">
        <w:rPr>
          <w:noProof/>
        </w:rPr>
        <w:tab/>
        <w:t xml:space="preserve">Faix, D.J., S.S. Sherman, and S.H. Waterman, </w:t>
      </w:r>
      <w:r w:rsidR="00904680" w:rsidRPr="00904680">
        <w:rPr>
          <w:i/>
          <w:noProof/>
        </w:rPr>
        <w:t>Rapid-test sensitivity for novel swine-origin influenza A (H1N1) virus in humans.</w:t>
      </w:r>
      <w:r w:rsidR="00904680" w:rsidRPr="00904680">
        <w:rPr>
          <w:noProof/>
        </w:rPr>
        <w:t xml:space="preserve"> N Engl J Med, 2009. </w:t>
      </w:r>
      <w:r w:rsidR="00904680" w:rsidRPr="00904680">
        <w:rPr>
          <w:b/>
          <w:noProof/>
        </w:rPr>
        <w:t>361</w:t>
      </w:r>
      <w:r w:rsidR="00904680" w:rsidRPr="00904680">
        <w:rPr>
          <w:noProof/>
        </w:rPr>
        <w:t>(7): p. 728-9.</w:t>
      </w:r>
    </w:p>
    <w:p w14:paraId="209B05BA" w14:textId="77777777" w:rsidR="00904680" w:rsidRPr="00904680" w:rsidRDefault="00904680" w:rsidP="00904680">
      <w:pPr>
        <w:pStyle w:val="EndNoteBibliography"/>
        <w:ind w:left="720" w:hanging="720"/>
        <w:rPr>
          <w:noProof/>
        </w:rPr>
      </w:pPr>
      <w:r w:rsidRPr="00904680">
        <w:rPr>
          <w:noProof/>
        </w:rPr>
        <w:t>2.</w:t>
      </w:r>
      <w:r w:rsidRPr="00904680">
        <w:rPr>
          <w:noProof/>
        </w:rPr>
        <w:tab/>
      </w:r>
      <w:bookmarkStart w:id="0" w:name="_GoBack"/>
      <w:r w:rsidRPr="00904680">
        <w:rPr>
          <w:noProof/>
        </w:rPr>
        <w:t xml:space="preserve">Bellcross, C.A., et al., </w:t>
      </w:r>
      <w:r w:rsidRPr="00904680">
        <w:rPr>
          <w:i/>
          <w:noProof/>
        </w:rPr>
        <w:t>Evaluation of a breast/ovarian cancer genetics referral screening tool in a mammography population.</w:t>
      </w:r>
      <w:r w:rsidRPr="00904680">
        <w:rPr>
          <w:noProof/>
        </w:rPr>
        <w:t xml:space="preserve"> Genet Med, 2009. </w:t>
      </w:r>
      <w:r w:rsidRPr="00904680">
        <w:rPr>
          <w:b/>
          <w:noProof/>
        </w:rPr>
        <w:t>11</w:t>
      </w:r>
      <w:r w:rsidRPr="00904680">
        <w:rPr>
          <w:noProof/>
        </w:rPr>
        <w:t>(11): p. 783-9.</w:t>
      </w:r>
    </w:p>
    <w:bookmarkEnd w:id="0"/>
    <w:p w14:paraId="70F83940" w14:textId="37039C96" w:rsidR="002568A0" w:rsidRDefault="002568A0" w:rsidP="002568A0">
      <w:pPr>
        <w:spacing w:after="0" w:line="240" w:lineRule="auto"/>
      </w:pPr>
      <w:r>
        <w:fldChar w:fldCharType="end"/>
      </w:r>
    </w:p>
    <w:p w14:paraId="70D812A7" w14:textId="2C50846F" w:rsidR="002568A0" w:rsidRDefault="002568A0" w:rsidP="0015620D">
      <w:pPr>
        <w:spacing w:after="0" w:line="240" w:lineRule="auto"/>
        <w:rPr>
          <w:b/>
        </w:rPr>
      </w:pPr>
    </w:p>
    <w:p w14:paraId="27F5623A" w14:textId="46EFBD0F" w:rsidR="002568A0" w:rsidRPr="008B7DAE" w:rsidRDefault="002568A0" w:rsidP="0015620D">
      <w:pPr>
        <w:spacing w:after="0" w:line="240" w:lineRule="auto"/>
        <w:rPr>
          <w:b/>
        </w:rPr>
      </w:pPr>
    </w:p>
    <w:sectPr w:rsidR="002568A0" w:rsidRPr="008B7DAE" w:rsidSect="0015620D">
      <w:headerReference w:type="default" r:id="rId13"/>
      <w:footerReference w:type="even" r:id="rId14"/>
      <w:footerReference w:type="default" r:id="rId15"/>
      <w:pgSz w:w="12240" w:h="15840"/>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0CEBA" w14:textId="77777777" w:rsidR="000600CE" w:rsidRDefault="000600CE" w:rsidP="000C6A52">
      <w:pPr>
        <w:spacing w:after="0" w:line="240" w:lineRule="auto"/>
      </w:pPr>
      <w:r>
        <w:separator/>
      </w:r>
    </w:p>
  </w:endnote>
  <w:endnote w:type="continuationSeparator" w:id="0">
    <w:p w14:paraId="0B95C87F" w14:textId="77777777" w:rsidR="000600CE" w:rsidRDefault="000600CE"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9493" w14:textId="77777777"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2A337C" w:rsidRDefault="002A337C"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072F" w14:textId="772232FF"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0F3A">
      <w:rPr>
        <w:rStyle w:val="PageNumber"/>
        <w:noProof/>
      </w:rPr>
      <w:t>1</w:t>
    </w:r>
    <w:r>
      <w:rPr>
        <w:rStyle w:val="PageNumber"/>
      </w:rPr>
      <w:fldChar w:fldCharType="end"/>
    </w:r>
  </w:p>
  <w:p w14:paraId="3C17EF31" w14:textId="77777777" w:rsidR="002A337C" w:rsidRDefault="002A337C"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0AAC3" w14:textId="77777777" w:rsidR="000600CE" w:rsidRDefault="000600CE" w:rsidP="000C6A52">
      <w:pPr>
        <w:spacing w:after="0" w:line="240" w:lineRule="auto"/>
      </w:pPr>
      <w:r>
        <w:separator/>
      </w:r>
    </w:p>
  </w:footnote>
  <w:footnote w:type="continuationSeparator" w:id="0">
    <w:p w14:paraId="07773497" w14:textId="77777777" w:rsidR="000600CE" w:rsidRDefault="000600CE" w:rsidP="000C6A52">
      <w:pPr>
        <w:spacing w:after="0" w:line="240" w:lineRule="auto"/>
      </w:pPr>
      <w:r>
        <w:continuationSeparator/>
      </w:r>
    </w:p>
  </w:footnote>
  <w:footnote w:id="1">
    <w:p w14:paraId="3EDE59A8" w14:textId="77777777" w:rsidR="0015620D" w:rsidRDefault="0015620D" w:rsidP="0015620D">
      <w:pPr>
        <w:pStyle w:val="FootnoteText"/>
      </w:pPr>
      <w:r>
        <w:rPr>
          <w:rStyle w:val="FootnoteReference"/>
        </w:rPr>
        <w:footnoteRef/>
      </w:r>
      <w:r>
        <w:t xml:space="preserve"> At this writing, the CDC’s assay for the novel swine-origin influenza A (H1N1) virus (S-OIV) known as swine flu is not widely available.  RT-PCR is the gold standard for identifying an influenza A virus infection but cannot further identify the strain or subtype.  This can only be done at special labs, primarily county health departments and the CDC.</w:t>
      </w:r>
    </w:p>
  </w:footnote>
  <w:footnote w:id="2">
    <w:p w14:paraId="334A5C91" w14:textId="77777777" w:rsidR="002568A0" w:rsidRDefault="002568A0" w:rsidP="002568A0">
      <w:pPr>
        <w:pStyle w:val="FootnoteText"/>
      </w:pPr>
      <w:r>
        <w:rPr>
          <w:rStyle w:val="FootnoteReference"/>
        </w:rPr>
        <w:footnoteRef/>
      </w:r>
      <w:r>
        <w:t xml:space="preserve"> To simplify this problem we have combined "moderate" and "high-risk" groups into a single "positive"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9F22" w14:textId="2063F829" w:rsidR="00DF49CC" w:rsidRDefault="00DF49CC">
    <w:pPr>
      <w:pStyle w:val="Header"/>
    </w:pPr>
    <w:r>
      <w:t>Name:</w:t>
    </w:r>
  </w:p>
  <w:p w14:paraId="36340E0B" w14:textId="704D663B" w:rsidR="00DF49CC" w:rsidRDefault="00DF49CC">
    <w:pPr>
      <w:pStyle w:val="Header"/>
    </w:pPr>
    <w:r>
      <w:t>Email:</w:t>
    </w:r>
  </w:p>
  <w:p w14:paraId="6457E901" w14:textId="7EA4B3B3" w:rsidR="00DF49CC" w:rsidRDefault="00DF49CC">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508"/>
    <w:multiLevelType w:val="hybridMultilevel"/>
    <w:tmpl w:val="935EEE10"/>
    <w:lvl w:ilvl="0" w:tplc="69E61CC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165ED5"/>
    <w:multiLevelType w:val="hybridMultilevel"/>
    <w:tmpl w:val="1BFE40E2"/>
    <w:lvl w:ilvl="0" w:tplc="A0009F5C">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C6C0CFB"/>
    <w:multiLevelType w:val="hybridMultilevel"/>
    <w:tmpl w:val="26FE286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3384FCB"/>
    <w:multiLevelType w:val="hybridMultilevel"/>
    <w:tmpl w:val="40464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06627"/>
    <w:multiLevelType w:val="hybridMultilevel"/>
    <w:tmpl w:val="EBC0A256"/>
    <w:lvl w:ilvl="0" w:tplc="B2D4FF8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F70771"/>
    <w:multiLevelType w:val="hybridMultilevel"/>
    <w:tmpl w:val="875C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B4D51"/>
    <w:multiLevelType w:val="hybridMultilevel"/>
    <w:tmpl w:val="13424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023754C"/>
    <w:multiLevelType w:val="hybridMultilevel"/>
    <w:tmpl w:val="D75097F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33C8B"/>
    <w:multiLevelType w:val="hybridMultilevel"/>
    <w:tmpl w:val="F7DAEE22"/>
    <w:lvl w:ilvl="0" w:tplc="2E40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BD2000"/>
    <w:multiLevelType w:val="hybridMultilevel"/>
    <w:tmpl w:val="EF0E9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0"/>
  </w:num>
  <w:num w:numId="6">
    <w:abstractNumId w:val="4"/>
  </w:num>
  <w:num w:numId="7">
    <w:abstractNumId w:val="12"/>
  </w:num>
  <w:num w:numId="8">
    <w:abstractNumId w:val="6"/>
  </w:num>
  <w:num w:numId="9">
    <w:abstractNumId w:val="10"/>
  </w:num>
  <w:num w:numId="10">
    <w:abstractNumId w:val="8"/>
  </w:num>
  <w:num w:numId="11">
    <w:abstractNumId w:val="19"/>
  </w:num>
  <w:num w:numId="12">
    <w:abstractNumId w:val="22"/>
  </w:num>
  <w:num w:numId="13">
    <w:abstractNumId w:val="15"/>
  </w:num>
  <w:num w:numId="14">
    <w:abstractNumId w:val="9"/>
  </w:num>
  <w:num w:numId="15">
    <w:abstractNumId w:val="16"/>
  </w:num>
  <w:num w:numId="16">
    <w:abstractNumId w:val="18"/>
  </w:num>
  <w:num w:numId="17">
    <w:abstractNumId w:val="3"/>
  </w:num>
  <w:num w:numId="18">
    <w:abstractNumId w:val="7"/>
  </w:num>
  <w:num w:numId="19">
    <w:abstractNumId w:val="21"/>
  </w:num>
  <w:num w:numId="20">
    <w:abstractNumId w:val="5"/>
  </w:num>
  <w:num w:numId="21">
    <w:abstractNumId w:val="2"/>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065&lt;/item&gt;&lt;item&gt;1561&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00CE"/>
    <w:rsid w:val="00066994"/>
    <w:rsid w:val="000726BA"/>
    <w:rsid w:val="00086EA4"/>
    <w:rsid w:val="00090058"/>
    <w:rsid w:val="000924FF"/>
    <w:rsid w:val="000925ED"/>
    <w:rsid w:val="000A3601"/>
    <w:rsid w:val="000A5DB2"/>
    <w:rsid w:val="000B3D54"/>
    <w:rsid w:val="000C6A52"/>
    <w:rsid w:val="000D0764"/>
    <w:rsid w:val="000E68EA"/>
    <w:rsid w:val="000F1AE3"/>
    <w:rsid w:val="000F5470"/>
    <w:rsid w:val="0010545E"/>
    <w:rsid w:val="00105517"/>
    <w:rsid w:val="00106190"/>
    <w:rsid w:val="00111EC1"/>
    <w:rsid w:val="00116432"/>
    <w:rsid w:val="00120A4B"/>
    <w:rsid w:val="00121AE3"/>
    <w:rsid w:val="001272B8"/>
    <w:rsid w:val="001370E6"/>
    <w:rsid w:val="001513EC"/>
    <w:rsid w:val="0015620D"/>
    <w:rsid w:val="00161E45"/>
    <w:rsid w:val="001626AB"/>
    <w:rsid w:val="00167452"/>
    <w:rsid w:val="00170C9E"/>
    <w:rsid w:val="0017562A"/>
    <w:rsid w:val="001815F5"/>
    <w:rsid w:val="00181C5E"/>
    <w:rsid w:val="00182E77"/>
    <w:rsid w:val="00185DD5"/>
    <w:rsid w:val="001875E9"/>
    <w:rsid w:val="00196F0E"/>
    <w:rsid w:val="001A2E9E"/>
    <w:rsid w:val="001A6C22"/>
    <w:rsid w:val="001B026C"/>
    <w:rsid w:val="001B0980"/>
    <w:rsid w:val="001B52BE"/>
    <w:rsid w:val="001B5C44"/>
    <w:rsid w:val="001B65F7"/>
    <w:rsid w:val="001B6772"/>
    <w:rsid w:val="001C1F2C"/>
    <w:rsid w:val="001C3069"/>
    <w:rsid w:val="001D4E51"/>
    <w:rsid w:val="001E06C0"/>
    <w:rsid w:val="001F0880"/>
    <w:rsid w:val="001F16E7"/>
    <w:rsid w:val="002023A7"/>
    <w:rsid w:val="00202CDD"/>
    <w:rsid w:val="00204FC7"/>
    <w:rsid w:val="0022323B"/>
    <w:rsid w:val="0023171E"/>
    <w:rsid w:val="00231CD1"/>
    <w:rsid w:val="00235D87"/>
    <w:rsid w:val="002375ED"/>
    <w:rsid w:val="00242C44"/>
    <w:rsid w:val="00243059"/>
    <w:rsid w:val="002561C0"/>
    <w:rsid w:val="002568A0"/>
    <w:rsid w:val="00256AEC"/>
    <w:rsid w:val="00256D16"/>
    <w:rsid w:val="0026121B"/>
    <w:rsid w:val="00261B2B"/>
    <w:rsid w:val="00263710"/>
    <w:rsid w:val="0026664A"/>
    <w:rsid w:val="00292F41"/>
    <w:rsid w:val="00294AF9"/>
    <w:rsid w:val="002A00A3"/>
    <w:rsid w:val="002A337C"/>
    <w:rsid w:val="002B43F9"/>
    <w:rsid w:val="002C6C1E"/>
    <w:rsid w:val="002D0135"/>
    <w:rsid w:val="002D453B"/>
    <w:rsid w:val="002F4D43"/>
    <w:rsid w:val="00300DA9"/>
    <w:rsid w:val="003037FB"/>
    <w:rsid w:val="00317867"/>
    <w:rsid w:val="00323B0B"/>
    <w:rsid w:val="003273D8"/>
    <w:rsid w:val="003354A3"/>
    <w:rsid w:val="00347B51"/>
    <w:rsid w:val="003604BB"/>
    <w:rsid w:val="00361A63"/>
    <w:rsid w:val="003658A7"/>
    <w:rsid w:val="00365B3C"/>
    <w:rsid w:val="0037090C"/>
    <w:rsid w:val="00377851"/>
    <w:rsid w:val="00377F12"/>
    <w:rsid w:val="003830D1"/>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D0C73"/>
    <w:rsid w:val="003D0E51"/>
    <w:rsid w:val="003D7147"/>
    <w:rsid w:val="003E4A2B"/>
    <w:rsid w:val="003E72D1"/>
    <w:rsid w:val="003E7B5C"/>
    <w:rsid w:val="00403387"/>
    <w:rsid w:val="00416ECE"/>
    <w:rsid w:val="00425944"/>
    <w:rsid w:val="00427309"/>
    <w:rsid w:val="004276B2"/>
    <w:rsid w:val="004302D7"/>
    <w:rsid w:val="00443AAE"/>
    <w:rsid w:val="00450453"/>
    <w:rsid w:val="00450D1D"/>
    <w:rsid w:val="00457220"/>
    <w:rsid w:val="00463526"/>
    <w:rsid w:val="00466C9C"/>
    <w:rsid w:val="00467A0F"/>
    <w:rsid w:val="00472DC8"/>
    <w:rsid w:val="0048202E"/>
    <w:rsid w:val="00490A07"/>
    <w:rsid w:val="00491097"/>
    <w:rsid w:val="004923E3"/>
    <w:rsid w:val="00492CBA"/>
    <w:rsid w:val="004946AE"/>
    <w:rsid w:val="0049547E"/>
    <w:rsid w:val="00497861"/>
    <w:rsid w:val="00497CF2"/>
    <w:rsid w:val="004A10C2"/>
    <w:rsid w:val="004B7279"/>
    <w:rsid w:val="004C266F"/>
    <w:rsid w:val="004C494C"/>
    <w:rsid w:val="004C4A05"/>
    <w:rsid w:val="004D3CC8"/>
    <w:rsid w:val="004E44EE"/>
    <w:rsid w:val="004F5378"/>
    <w:rsid w:val="00502016"/>
    <w:rsid w:val="005039D6"/>
    <w:rsid w:val="00504530"/>
    <w:rsid w:val="00504BB8"/>
    <w:rsid w:val="00514583"/>
    <w:rsid w:val="0051700D"/>
    <w:rsid w:val="00521AFC"/>
    <w:rsid w:val="00526E1F"/>
    <w:rsid w:val="0052757B"/>
    <w:rsid w:val="00534CCC"/>
    <w:rsid w:val="0054138E"/>
    <w:rsid w:val="00551D62"/>
    <w:rsid w:val="00553041"/>
    <w:rsid w:val="00570EC0"/>
    <w:rsid w:val="00572C5B"/>
    <w:rsid w:val="0059076D"/>
    <w:rsid w:val="00591A8D"/>
    <w:rsid w:val="005C3C7F"/>
    <w:rsid w:val="005C694B"/>
    <w:rsid w:val="005F08C5"/>
    <w:rsid w:val="005F5AFF"/>
    <w:rsid w:val="005F64DE"/>
    <w:rsid w:val="00605CCD"/>
    <w:rsid w:val="00610161"/>
    <w:rsid w:val="00610219"/>
    <w:rsid w:val="00612D32"/>
    <w:rsid w:val="006137BA"/>
    <w:rsid w:val="00617C33"/>
    <w:rsid w:val="00636758"/>
    <w:rsid w:val="00637A50"/>
    <w:rsid w:val="00641CE1"/>
    <w:rsid w:val="006433EB"/>
    <w:rsid w:val="00653397"/>
    <w:rsid w:val="006559D6"/>
    <w:rsid w:val="0065653F"/>
    <w:rsid w:val="00666056"/>
    <w:rsid w:val="006670B9"/>
    <w:rsid w:val="00674944"/>
    <w:rsid w:val="006759A9"/>
    <w:rsid w:val="0069086F"/>
    <w:rsid w:val="00692EE4"/>
    <w:rsid w:val="00693346"/>
    <w:rsid w:val="006A64CD"/>
    <w:rsid w:val="006A775F"/>
    <w:rsid w:val="006B349C"/>
    <w:rsid w:val="006C3F84"/>
    <w:rsid w:val="006D0487"/>
    <w:rsid w:val="006D6161"/>
    <w:rsid w:val="006E09C0"/>
    <w:rsid w:val="006F4F42"/>
    <w:rsid w:val="00701CB9"/>
    <w:rsid w:val="00705BA8"/>
    <w:rsid w:val="00713FC4"/>
    <w:rsid w:val="007149CD"/>
    <w:rsid w:val="007155AB"/>
    <w:rsid w:val="007171E8"/>
    <w:rsid w:val="00720CB2"/>
    <w:rsid w:val="007303EB"/>
    <w:rsid w:val="00731366"/>
    <w:rsid w:val="00734573"/>
    <w:rsid w:val="00734F12"/>
    <w:rsid w:val="00737057"/>
    <w:rsid w:val="0074201B"/>
    <w:rsid w:val="007438B9"/>
    <w:rsid w:val="00744D59"/>
    <w:rsid w:val="00752B74"/>
    <w:rsid w:val="0075491D"/>
    <w:rsid w:val="00774204"/>
    <w:rsid w:val="0077519E"/>
    <w:rsid w:val="00776477"/>
    <w:rsid w:val="00786974"/>
    <w:rsid w:val="007A2500"/>
    <w:rsid w:val="007B1211"/>
    <w:rsid w:val="007B7C0F"/>
    <w:rsid w:val="007C02FF"/>
    <w:rsid w:val="007C08B7"/>
    <w:rsid w:val="007C3001"/>
    <w:rsid w:val="007C390C"/>
    <w:rsid w:val="007C4D73"/>
    <w:rsid w:val="007E0559"/>
    <w:rsid w:val="007E1A28"/>
    <w:rsid w:val="007E3F25"/>
    <w:rsid w:val="007E6149"/>
    <w:rsid w:val="007E7206"/>
    <w:rsid w:val="007F14E1"/>
    <w:rsid w:val="007F6609"/>
    <w:rsid w:val="0080103E"/>
    <w:rsid w:val="00803BBD"/>
    <w:rsid w:val="00804E20"/>
    <w:rsid w:val="00806AB9"/>
    <w:rsid w:val="00810BCD"/>
    <w:rsid w:val="00811B2F"/>
    <w:rsid w:val="00813499"/>
    <w:rsid w:val="00816FFD"/>
    <w:rsid w:val="008233DC"/>
    <w:rsid w:val="00824C42"/>
    <w:rsid w:val="00824FEC"/>
    <w:rsid w:val="00826041"/>
    <w:rsid w:val="0083768A"/>
    <w:rsid w:val="008402AB"/>
    <w:rsid w:val="00841F24"/>
    <w:rsid w:val="008445DF"/>
    <w:rsid w:val="00846874"/>
    <w:rsid w:val="0085309E"/>
    <w:rsid w:val="00862653"/>
    <w:rsid w:val="00864A31"/>
    <w:rsid w:val="008651AC"/>
    <w:rsid w:val="00870FB2"/>
    <w:rsid w:val="00871AE8"/>
    <w:rsid w:val="00872CCC"/>
    <w:rsid w:val="008738AF"/>
    <w:rsid w:val="00874B82"/>
    <w:rsid w:val="008812BB"/>
    <w:rsid w:val="00886A3C"/>
    <w:rsid w:val="00896A51"/>
    <w:rsid w:val="008A0C09"/>
    <w:rsid w:val="008A42F1"/>
    <w:rsid w:val="008B30DC"/>
    <w:rsid w:val="008B5CEF"/>
    <w:rsid w:val="008C29D4"/>
    <w:rsid w:val="008D075D"/>
    <w:rsid w:val="008D177B"/>
    <w:rsid w:val="008D51B9"/>
    <w:rsid w:val="008F1B85"/>
    <w:rsid w:val="008F2CA0"/>
    <w:rsid w:val="008F62EA"/>
    <w:rsid w:val="008F7030"/>
    <w:rsid w:val="009004A8"/>
    <w:rsid w:val="00902F08"/>
    <w:rsid w:val="009037F1"/>
    <w:rsid w:val="00904680"/>
    <w:rsid w:val="0091002E"/>
    <w:rsid w:val="009118B6"/>
    <w:rsid w:val="00912D77"/>
    <w:rsid w:val="009169F9"/>
    <w:rsid w:val="00920915"/>
    <w:rsid w:val="00921D06"/>
    <w:rsid w:val="009301CB"/>
    <w:rsid w:val="00936393"/>
    <w:rsid w:val="009433C8"/>
    <w:rsid w:val="00946216"/>
    <w:rsid w:val="00952DF1"/>
    <w:rsid w:val="00962288"/>
    <w:rsid w:val="00962AC7"/>
    <w:rsid w:val="00973808"/>
    <w:rsid w:val="00983A3F"/>
    <w:rsid w:val="00986236"/>
    <w:rsid w:val="00986324"/>
    <w:rsid w:val="0099553D"/>
    <w:rsid w:val="009967ED"/>
    <w:rsid w:val="009974AE"/>
    <w:rsid w:val="009A7786"/>
    <w:rsid w:val="009B1194"/>
    <w:rsid w:val="009B33ED"/>
    <w:rsid w:val="009B361D"/>
    <w:rsid w:val="009C06B4"/>
    <w:rsid w:val="009C1D42"/>
    <w:rsid w:val="009C22B1"/>
    <w:rsid w:val="009D61CE"/>
    <w:rsid w:val="009E6B6F"/>
    <w:rsid w:val="009F0482"/>
    <w:rsid w:val="009F39FF"/>
    <w:rsid w:val="00A020C0"/>
    <w:rsid w:val="00A02F42"/>
    <w:rsid w:val="00A05975"/>
    <w:rsid w:val="00A148D6"/>
    <w:rsid w:val="00A148FE"/>
    <w:rsid w:val="00A174EA"/>
    <w:rsid w:val="00A241C3"/>
    <w:rsid w:val="00A3287E"/>
    <w:rsid w:val="00A333B9"/>
    <w:rsid w:val="00A424B1"/>
    <w:rsid w:val="00A46580"/>
    <w:rsid w:val="00A504CF"/>
    <w:rsid w:val="00A63E1C"/>
    <w:rsid w:val="00A7270C"/>
    <w:rsid w:val="00A75499"/>
    <w:rsid w:val="00A75B4E"/>
    <w:rsid w:val="00A763EE"/>
    <w:rsid w:val="00A840E4"/>
    <w:rsid w:val="00A977DC"/>
    <w:rsid w:val="00AA2B73"/>
    <w:rsid w:val="00AA5BCB"/>
    <w:rsid w:val="00AB3F4F"/>
    <w:rsid w:val="00AB7155"/>
    <w:rsid w:val="00AC0BE6"/>
    <w:rsid w:val="00AC1723"/>
    <w:rsid w:val="00AC419B"/>
    <w:rsid w:val="00AE0202"/>
    <w:rsid w:val="00AE1D46"/>
    <w:rsid w:val="00AF327B"/>
    <w:rsid w:val="00AF6A6C"/>
    <w:rsid w:val="00B033D0"/>
    <w:rsid w:val="00B04195"/>
    <w:rsid w:val="00B04FC0"/>
    <w:rsid w:val="00B13770"/>
    <w:rsid w:val="00B25603"/>
    <w:rsid w:val="00B31E95"/>
    <w:rsid w:val="00B31F6D"/>
    <w:rsid w:val="00B41AA8"/>
    <w:rsid w:val="00B450AE"/>
    <w:rsid w:val="00B45477"/>
    <w:rsid w:val="00B4578F"/>
    <w:rsid w:val="00B51642"/>
    <w:rsid w:val="00B661F3"/>
    <w:rsid w:val="00B6645B"/>
    <w:rsid w:val="00B71098"/>
    <w:rsid w:val="00B725D6"/>
    <w:rsid w:val="00B76EE5"/>
    <w:rsid w:val="00B92A44"/>
    <w:rsid w:val="00B95C14"/>
    <w:rsid w:val="00B968FF"/>
    <w:rsid w:val="00BA60E9"/>
    <w:rsid w:val="00BB34DE"/>
    <w:rsid w:val="00BC2782"/>
    <w:rsid w:val="00BC56F0"/>
    <w:rsid w:val="00BE1CC2"/>
    <w:rsid w:val="00BE76D0"/>
    <w:rsid w:val="00BE779F"/>
    <w:rsid w:val="00BE77B5"/>
    <w:rsid w:val="00BF02E0"/>
    <w:rsid w:val="00BF3A11"/>
    <w:rsid w:val="00C05E71"/>
    <w:rsid w:val="00C069FD"/>
    <w:rsid w:val="00C218AA"/>
    <w:rsid w:val="00C25B12"/>
    <w:rsid w:val="00C341AD"/>
    <w:rsid w:val="00C366BF"/>
    <w:rsid w:val="00C45D71"/>
    <w:rsid w:val="00C56391"/>
    <w:rsid w:val="00C64BB2"/>
    <w:rsid w:val="00C67A1D"/>
    <w:rsid w:val="00C86752"/>
    <w:rsid w:val="00C93807"/>
    <w:rsid w:val="00C93C3A"/>
    <w:rsid w:val="00C957A9"/>
    <w:rsid w:val="00CA1FBD"/>
    <w:rsid w:val="00CB0F3A"/>
    <w:rsid w:val="00CB5D3E"/>
    <w:rsid w:val="00CB73CA"/>
    <w:rsid w:val="00CC0591"/>
    <w:rsid w:val="00CC4FE1"/>
    <w:rsid w:val="00CC5937"/>
    <w:rsid w:val="00CE0A10"/>
    <w:rsid w:val="00CE0EEF"/>
    <w:rsid w:val="00CE2ECD"/>
    <w:rsid w:val="00D1253D"/>
    <w:rsid w:val="00D12CBB"/>
    <w:rsid w:val="00D27FCD"/>
    <w:rsid w:val="00D30DE2"/>
    <w:rsid w:val="00D4201C"/>
    <w:rsid w:val="00D44778"/>
    <w:rsid w:val="00D51A29"/>
    <w:rsid w:val="00D54D23"/>
    <w:rsid w:val="00D56A42"/>
    <w:rsid w:val="00D6143D"/>
    <w:rsid w:val="00D63B1A"/>
    <w:rsid w:val="00D6487E"/>
    <w:rsid w:val="00D7054F"/>
    <w:rsid w:val="00D72975"/>
    <w:rsid w:val="00D77E69"/>
    <w:rsid w:val="00D9211D"/>
    <w:rsid w:val="00D93816"/>
    <w:rsid w:val="00DB5A95"/>
    <w:rsid w:val="00DC5719"/>
    <w:rsid w:val="00DD20D5"/>
    <w:rsid w:val="00DE7437"/>
    <w:rsid w:val="00DF147F"/>
    <w:rsid w:val="00DF49CC"/>
    <w:rsid w:val="00DF4BDA"/>
    <w:rsid w:val="00DF744A"/>
    <w:rsid w:val="00E0793E"/>
    <w:rsid w:val="00E10EEE"/>
    <w:rsid w:val="00E306ED"/>
    <w:rsid w:val="00E31DCE"/>
    <w:rsid w:val="00E331E8"/>
    <w:rsid w:val="00E35B2A"/>
    <w:rsid w:val="00E56173"/>
    <w:rsid w:val="00E67EF5"/>
    <w:rsid w:val="00E715BA"/>
    <w:rsid w:val="00E7518F"/>
    <w:rsid w:val="00E86A2D"/>
    <w:rsid w:val="00E86D17"/>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7D0B"/>
    <w:rsid w:val="00F523AB"/>
    <w:rsid w:val="00F526CD"/>
    <w:rsid w:val="00F60CD6"/>
    <w:rsid w:val="00F617C7"/>
    <w:rsid w:val="00F73BD9"/>
    <w:rsid w:val="00F85050"/>
    <w:rsid w:val="00F95EE0"/>
    <w:rsid w:val="00FA1FB0"/>
    <w:rsid w:val="00FA4F22"/>
    <w:rsid w:val="00FB14DD"/>
    <w:rsid w:val="00FB645F"/>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character" w:customStyle="1" w:styleId="EndNoteBibliographyChar">
    <w:name w:val="EndNote Bibliography Char"/>
    <w:link w:val="EndNoteBibliography"/>
    <w:rsid w:val="00261B2B"/>
    <w:rPr>
      <w:rFonts w:ascii="Calibri" w:hAnsi="Calibri" w:cs="Calibri"/>
    </w:rPr>
  </w:style>
  <w:style w:type="paragraph" w:styleId="Caption">
    <w:name w:val="caption"/>
    <w:basedOn w:val="Normal"/>
    <w:next w:val="Normal"/>
    <w:unhideWhenUsed/>
    <w:qFormat/>
    <w:rsid w:val="000726BA"/>
    <w:pPr>
      <w:spacing w:after="0" w:line="240" w:lineRule="auto"/>
    </w:pPr>
    <w:rPr>
      <w:rFonts w:ascii="Cambria" w:eastAsia="MS Mincho" w:hAnsi="Cambria" w:cs="Times New Roman"/>
      <w:b/>
      <w:bCs/>
      <w:sz w:val="20"/>
      <w:szCs w:val="20"/>
      <w:lang w:eastAsia="ja-JP"/>
    </w:rPr>
  </w:style>
  <w:style w:type="paragraph" w:styleId="NormalWeb">
    <w:name w:val="Normal (Web)"/>
    <w:basedOn w:val="Normal"/>
    <w:link w:val="NormalWebChar"/>
    <w:rsid w:val="00466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Table">
    <w:name w:val="NlTable"/>
    <w:basedOn w:val="Normal"/>
    <w:rsid w:val="00466C9C"/>
    <w:pPr>
      <w:spacing w:before="48" w:after="48" w:line="240" w:lineRule="auto"/>
      <w:ind w:left="144"/>
    </w:pPr>
    <w:rPr>
      <w:rFonts w:ascii="Times New Roman" w:eastAsia="Times New Roman" w:hAnsi="Times New Roman" w:cs="Times New Roman"/>
      <w:sz w:val="24"/>
      <w:szCs w:val="24"/>
    </w:rPr>
  </w:style>
  <w:style w:type="paragraph" w:customStyle="1" w:styleId="Note">
    <w:name w:val="Note"/>
    <w:basedOn w:val="Normal"/>
    <w:rsid w:val="00466C9C"/>
    <w:pPr>
      <w:spacing w:before="48" w:after="48" w:line="240" w:lineRule="auto"/>
      <w:ind w:left="144"/>
    </w:pPr>
    <w:rPr>
      <w:rFonts w:ascii="Times New Roman" w:eastAsia="Times New Roman" w:hAnsi="Times New Roman" w:cs="Times New Roman"/>
      <w:sz w:val="24"/>
      <w:szCs w:val="24"/>
    </w:rPr>
  </w:style>
  <w:style w:type="character" w:customStyle="1" w:styleId="NormalWebChar">
    <w:name w:val="Normal (Web) Char"/>
    <w:link w:val="NormalWeb"/>
    <w:rsid w:val="00466C9C"/>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83A3F"/>
    <w:rPr>
      <w:sz w:val="18"/>
      <w:szCs w:val="18"/>
    </w:rPr>
  </w:style>
  <w:style w:type="paragraph" w:styleId="CommentText">
    <w:name w:val="annotation text"/>
    <w:basedOn w:val="Normal"/>
    <w:link w:val="CommentTextChar"/>
    <w:uiPriority w:val="99"/>
    <w:rsid w:val="00983A3F"/>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983A3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4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9CC"/>
  </w:style>
  <w:style w:type="paragraph" w:styleId="HTMLPreformatted">
    <w:name w:val="HTML Preformatted"/>
    <w:basedOn w:val="Normal"/>
    <w:link w:val="HTMLPreformattedChar"/>
    <w:rsid w:val="00300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00DA9"/>
    <w:rPr>
      <w:rFonts w:ascii="Courier New" w:eastAsia="Times New Roman" w:hAnsi="Courier New" w:cs="Courier New"/>
      <w:sz w:val="20"/>
      <w:szCs w:val="20"/>
    </w:rPr>
  </w:style>
  <w:style w:type="character" w:styleId="Hyperlink">
    <w:name w:val="Hyperlink"/>
    <w:basedOn w:val="DefaultParagraphFont"/>
    <w:uiPriority w:val="99"/>
    <w:unhideWhenUsed/>
    <w:rsid w:val="00CB73CA"/>
    <w:rPr>
      <w:color w:val="0000FF" w:themeColor="hyperlink"/>
      <w:u w:val="single"/>
    </w:rPr>
  </w:style>
  <w:style w:type="paragraph" w:styleId="FootnoteText">
    <w:name w:val="footnote text"/>
    <w:basedOn w:val="Normal"/>
    <w:link w:val="FootnoteTextChar"/>
    <w:uiPriority w:val="99"/>
    <w:semiHidden/>
    <w:rsid w:val="00156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5620D"/>
    <w:rPr>
      <w:rFonts w:ascii="Times New Roman" w:eastAsia="Times New Roman" w:hAnsi="Times New Roman" w:cs="Times New Roman"/>
      <w:sz w:val="20"/>
      <w:szCs w:val="20"/>
    </w:rPr>
  </w:style>
  <w:style w:type="character" w:styleId="FootnoteReference">
    <w:name w:val="footnote reference"/>
    <w:uiPriority w:val="99"/>
    <w:semiHidden/>
    <w:rsid w:val="00156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Rx.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professionals/diagnosis/rapidlab.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bd-2.net" TargetMode="External"/><Relationship Id="rId4" Type="http://schemas.openxmlformats.org/officeDocument/2006/relationships/settings" Target="settings.xml"/><Relationship Id="rId9" Type="http://schemas.openxmlformats.org/officeDocument/2006/relationships/hyperlink" Target="http://www.ebd-2.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8A072-8991-4DBD-8717-6FA46789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Christenson</dc:creator>
  <cp:lastModifiedBy>Michael Kohn</cp:lastModifiedBy>
  <cp:revision>2</cp:revision>
  <dcterms:created xsi:type="dcterms:W3CDTF">2018-10-03T14:42:00Z</dcterms:created>
  <dcterms:modified xsi:type="dcterms:W3CDTF">2018-10-03T14:42:00Z</dcterms:modified>
</cp:coreProperties>
</file>