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766D9" w14:textId="77777777" w:rsidR="00B91CD8" w:rsidRPr="005457F2" w:rsidRDefault="00E0443A" w:rsidP="00CC789A">
      <w:pPr>
        <w:pStyle w:val="Heading1"/>
      </w:pPr>
      <w:r>
        <w:t>5</w:t>
      </w:r>
      <w:r w:rsidR="008652DB" w:rsidRPr="005457F2">
        <w:t xml:space="preserve"> </w:t>
      </w:r>
      <w:r w:rsidR="004F48DE" w:rsidRPr="005457F2">
        <w:t>Reliability and measurement error</w:t>
      </w:r>
    </w:p>
    <w:p w14:paraId="0A117FB5" w14:textId="77777777" w:rsidR="00B91CD8" w:rsidRPr="005457F2" w:rsidRDefault="004F48DE" w:rsidP="00CC789A">
      <w:pPr>
        <w:pStyle w:val="Heading2"/>
      </w:pPr>
      <w:r w:rsidRPr="005457F2">
        <w:t>Introduction</w:t>
      </w:r>
    </w:p>
    <w:p w14:paraId="5C5CF34E" w14:textId="77777777" w:rsidR="0020656C" w:rsidRDefault="004F48DE" w:rsidP="00CC789A">
      <w:pPr>
        <w:pStyle w:val="NormalWeb"/>
      </w:pPr>
      <w:r w:rsidRPr="005457F2">
        <w:t xml:space="preserve">A test </w:t>
      </w:r>
      <w:r w:rsidR="00C76094">
        <w:t>should</w:t>
      </w:r>
      <w:r w:rsidRPr="005457F2">
        <w:t xml:space="preserve"> give the same or similar results when administered repeatedly to the same individual within a time period too short for real biological </w:t>
      </w:r>
      <w:r w:rsidR="00C76094">
        <w:t>variation</w:t>
      </w:r>
      <w:r w:rsidRPr="005457F2">
        <w:t xml:space="preserve"> to take place. </w:t>
      </w:r>
      <w:r w:rsidR="005C3CC1">
        <w:t>Results should be c</w:t>
      </w:r>
      <w:r w:rsidRPr="005457F2">
        <w:t>onsisten</w:t>
      </w:r>
      <w:r w:rsidR="005C3CC1">
        <w:t>t</w:t>
      </w:r>
      <w:r w:rsidRPr="005457F2">
        <w:t xml:space="preserve"> whether the test is repeated by the same </w:t>
      </w:r>
      <w:r w:rsidR="005C3CC1">
        <w:t>observer</w:t>
      </w:r>
      <w:r w:rsidR="00345EEC">
        <w:t xml:space="preserve"> or instrument</w:t>
      </w:r>
      <w:r w:rsidR="005C3CC1" w:rsidRPr="005457F2">
        <w:t xml:space="preserve"> </w:t>
      </w:r>
      <w:r w:rsidRPr="005457F2">
        <w:t xml:space="preserve">or by different </w:t>
      </w:r>
      <w:r w:rsidR="005C3CC1">
        <w:t>observ</w:t>
      </w:r>
      <w:r w:rsidR="005C3CC1" w:rsidRPr="005457F2">
        <w:t>ers</w:t>
      </w:r>
      <w:r w:rsidR="00345EEC">
        <w:t xml:space="preserve"> or instruments</w:t>
      </w:r>
      <w:r w:rsidRPr="005457F2">
        <w:t xml:space="preserve">. This desirable characteristic of a test is called </w:t>
      </w:r>
      <w:r w:rsidR="00B91CD8" w:rsidRPr="005457F2">
        <w:t>“</w:t>
      </w:r>
      <w:r w:rsidRPr="00DF730F">
        <w:rPr>
          <w:color w:val="008000"/>
        </w:rPr>
        <w:t>reliability</w:t>
      </w:r>
      <w:r w:rsidR="00B91CD8" w:rsidRPr="005457F2">
        <w:t>”</w:t>
      </w:r>
      <w:r w:rsidRPr="005457F2">
        <w:t xml:space="preserve"> </w:t>
      </w:r>
      <w:r w:rsidR="00D97E87">
        <w:t xml:space="preserve">or </w:t>
      </w:r>
      <w:r w:rsidR="00B91CD8" w:rsidRPr="005457F2">
        <w:t>“</w:t>
      </w:r>
      <w:r w:rsidRPr="00DF730F">
        <w:rPr>
          <w:color w:val="008000"/>
        </w:rPr>
        <w:t>reproducibility</w:t>
      </w:r>
      <w:r w:rsidRPr="005457F2">
        <w:t>.</w:t>
      </w:r>
      <w:r w:rsidR="00B91CD8" w:rsidRPr="005457F2">
        <w:t>”</w:t>
      </w:r>
      <w:r w:rsidRPr="005457F2">
        <w:t xml:space="preserve"> </w:t>
      </w:r>
      <w:r w:rsidR="00345EEC">
        <w:t xml:space="preserve"> </w:t>
      </w:r>
    </w:p>
    <w:p w14:paraId="74EEEC25" w14:textId="77777777" w:rsidR="0020656C" w:rsidRPr="005457F2" w:rsidRDefault="00345EEC" w:rsidP="0020656C">
      <w:pPr>
        <w:pStyle w:val="NormalWeb"/>
      </w:pPr>
      <w:r>
        <w:t xml:space="preserve">Measures </w:t>
      </w:r>
      <w:r w:rsidR="0020656C">
        <w:t xml:space="preserve">of reliability quantify differences between </w:t>
      </w:r>
      <w:r w:rsidR="00E52B27">
        <w:t>distinct</w:t>
      </w:r>
      <w:r w:rsidR="0020656C">
        <w:t xml:space="preserve"> measurements of the same thing. </w:t>
      </w:r>
      <w:r w:rsidR="00A655BE">
        <w:t xml:space="preserve"> </w:t>
      </w:r>
      <w:r w:rsidR="0020656C" w:rsidRPr="005457F2">
        <w:t>These differences can be random</w:t>
      </w:r>
      <w:r w:rsidR="0020656C">
        <w:t xml:space="preserve">, if there is no particular pattern to the </w:t>
      </w:r>
      <w:r w:rsidR="00E52B27">
        <w:t>disagreements</w:t>
      </w:r>
      <w:r w:rsidR="0020656C">
        <w:t>,</w:t>
      </w:r>
      <w:r w:rsidR="0020656C" w:rsidRPr="005457F2">
        <w:t xml:space="preserve"> or systematic</w:t>
      </w:r>
      <w:r w:rsidR="0020656C">
        <w:t xml:space="preserve"> if the </w:t>
      </w:r>
      <w:r w:rsidR="00E52B27">
        <w:t>disagreements</w:t>
      </w:r>
      <w:r w:rsidR="0020656C">
        <w:t xml:space="preserve"> tend to occur in one direction</w:t>
      </w:r>
      <w:r w:rsidR="00E52B27">
        <w:t>.</w:t>
      </w:r>
      <w:r w:rsidR="0020656C">
        <w:t xml:space="preserve"> </w:t>
      </w:r>
      <w:r w:rsidR="00A655BE">
        <w:t xml:space="preserve">How </w:t>
      </w:r>
      <w:r w:rsidR="00475A27">
        <w:t xml:space="preserve">reliability is </w:t>
      </w:r>
      <w:r w:rsidR="00A655BE">
        <w:t>quantified depend</w:t>
      </w:r>
      <w:r w:rsidR="00475A27">
        <w:t xml:space="preserve">s on </w:t>
      </w:r>
      <w:r w:rsidR="00E52B27">
        <w:t>whether</w:t>
      </w:r>
      <w:r w:rsidR="00475A27">
        <w:t xml:space="preserve"> the result of the measurement is expressed as a number</w:t>
      </w:r>
      <w:r w:rsidR="00D32A6B">
        <w:t xml:space="preserve"> or a category. </w:t>
      </w:r>
      <w:r w:rsidR="00A655BE">
        <w:t xml:space="preserve"> </w:t>
      </w:r>
    </w:p>
    <w:p w14:paraId="0CE64E77" w14:textId="77777777" w:rsidR="00624543" w:rsidRDefault="00D32A6B" w:rsidP="00CC789A">
      <w:pPr>
        <w:pStyle w:val="NormalWeb"/>
      </w:pPr>
      <w:r>
        <w:t>Of course</w:t>
      </w:r>
      <w:r w:rsidR="00067790">
        <w:t>,</w:t>
      </w:r>
      <w:r>
        <w:t xml:space="preserve"> just because two measurements agree</w:t>
      </w:r>
      <w:r w:rsidR="00815548">
        <w:t xml:space="preserve"> </w:t>
      </w:r>
      <w:r>
        <w:t xml:space="preserve">with one another does not mean they are both giving the right answer.  In </w:t>
      </w:r>
      <w:r w:rsidR="0090343F">
        <w:t>C</w:t>
      </w:r>
      <w:r>
        <w:t>hapters 2-4 we</w:t>
      </w:r>
      <w:r w:rsidR="00727277">
        <w:t xml:space="preserve"> assumed that there was a "gold standard" that allowed us to determine</w:t>
      </w:r>
      <w:r w:rsidR="00B57E80">
        <w:t xml:space="preserve"> accuracy</w:t>
      </w:r>
      <w:r w:rsidR="00067790">
        <w:t xml:space="preserve"> -- </w:t>
      </w:r>
      <w:r w:rsidR="00886630">
        <w:t>how often a</w:t>
      </w:r>
      <w:r w:rsidR="00727277">
        <w:t xml:space="preserve"> test gave the right answer</w:t>
      </w:r>
      <w:r w:rsidR="00886630">
        <w:t xml:space="preserve"> in different groups of patients</w:t>
      </w:r>
      <w:r w:rsidR="00B57E80">
        <w:t xml:space="preserve">. </w:t>
      </w:r>
      <w:r w:rsidR="00067790">
        <w:t>However, i</w:t>
      </w:r>
      <w:r w:rsidR="00886630">
        <w:t>n some situations, there is no gold standard</w:t>
      </w:r>
      <w:r w:rsidR="00E34CF2">
        <w:t xml:space="preserve"> and we need to settle for reliability.</w:t>
      </w:r>
      <w:r w:rsidR="005F2D8B">
        <w:t xml:space="preserve">  </w:t>
      </w:r>
      <w:r w:rsidR="00722E5C">
        <w:t xml:space="preserve">Although reliability is no guarantee of accuracy, if a test is not reliable it </w:t>
      </w:r>
      <w:r w:rsidR="00067790">
        <w:t xml:space="preserve">cannot </w:t>
      </w:r>
      <w:r w:rsidR="00722E5C">
        <w:t>be very accurate.</w:t>
      </w:r>
    </w:p>
    <w:p w14:paraId="7A5CEAFE" w14:textId="77777777" w:rsidR="00B91CD8" w:rsidRPr="005457F2" w:rsidRDefault="004F48DE" w:rsidP="0067606C">
      <w:pPr>
        <w:pStyle w:val="Heading2"/>
      </w:pPr>
      <w:r w:rsidRPr="005457F2">
        <w:t>Types of variables</w:t>
      </w:r>
    </w:p>
    <w:p w14:paraId="59B00237" w14:textId="77777777" w:rsidR="00B91CD8" w:rsidRPr="005457F2" w:rsidRDefault="004F48DE" w:rsidP="003D1341">
      <w:pPr>
        <w:pStyle w:val="NormalWeb"/>
      </w:pPr>
      <w:r w:rsidRPr="005457F2">
        <w:t>How we assess reliability of a measurement depends on whether the sca</w:t>
      </w:r>
      <w:r w:rsidR="00B82C68">
        <w:t xml:space="preserve">le of measurement is </w:t>
      </w:r>
      <w:r w:rsidR="006771E5">
        <w:t>numeric,</w:t>
      </w:r>
      <w:r w:rsidR="00C53D66">
        <w:t xml:space="preserve"> the number of poss</w:t>
      </w:r>
      <w:r w:rsidR="00DA3DF1">
        <w:t xml:space="preserve">ible values, and </w:t>
      </w:r>
      <w:r w:rsidR="006771E5">
        <w:t xml:space="preserve">whether </w:t>
      </w:r>
      <w:r w:rsidR="00DA3DF1">
        <w:t xml:space="preserve">they are </w:t>
      </w:r>
      <w:r w:rsidR="006771E5">
        <w:t xml:space="preserve">ordered.  </w:t>
      </w:r>
      <w:r w:rsidR="00DA3DF1" w:rsidRPr="00DA3DF1">
        <w:rPr>
          <w:color w:val="008000"/>
        </w:rPr>
        <w:t>Dichotomous variables</w:t>
      </w:r>
      <w:r w:rsidR="00DA3DF1">
        <w:t xml:space="preserve">, like alive or dead, have only </w:t>
      </w:r>
      <w:r w:rsidR="00DA3DF1" w:rsidRPr="00DA3DF1">
        <w:rPr>
          <w:color w:val="008000"/>
        </w:rPr>
        <w:t>two possible val</w:t>
      </w:r>
      <w:r w:rsidR="00DA3DF1" w:rsidRPr="001B36CE">
        <w:rPr>
          <w:color w:val="008000"/>
        </w:rPr>
        <w:t>ues</w:t>
      </w:r>
      <w:r w:rsidR="00DA3DF1">
        <w:t xml:space="preserve">.  </w:t>
      </w:r>
      <w:r w:rsidR="0036760B" w:rsidRPr="00F7314B">
        <w:rPr>
          <w:color w:val="008000"/>
        </w:rPr>
        <w:t>Nominal</w:t>
      </w:r>
      <w:r w:rsidRPr="00F7314B">
        <w:rPr>
          <w:color w:val="008000"/>
        </w:rPr>
        <w:t xml:space="preserve"> v</w:t>
      </w:r>
      <w:r w:rsidRPr="0045470D">
        <w:rPr>
          <w:color w:val="008000"/>
        </w:rPr>
        <w:t>ariables</w:t>
      </w:r>
      <w:r w:rsidRPr="005457F2">
        <w:t xml:space="preserve"> </w:t>
      </w:r>
      <w:r w:rsidR="00801E49">
        <w:t xml:space="preserve">like </w:t>
      </w:r>
      <w:r w:rsidR="00801E49" w:rsidRPr="005457F2">
        <w:t xml:space="preserve">blood type, race, or cardiac rhythm </w:t>
      </w:r>
      <w:r w:rsidRPr="005457F2">
        <w:t>can take on a limited number of separate values</w:t>
      </w:r>
      <w:r w:rsidR="00EF50E5">
        <w:t xml:space="preserve"> </w:t>
      </w:r>
      <w:r w:rsidR="00BE2AF7">
        <w:t>and have</w:t>
      </w:r>
      <w:r w:rsidR="00EF50E5">
        <w:t xml:space="preserve"> </w:t>
      </w:r>
      <w:r w:rsidR="00EF50E5" w:rsidRPr="0045470D">
        <w:rPr>
          <w:color w:val="008000"/>
        </w:rPr>
        <w:t>no inherent order</w:t>
      </w:r>
      <w:r w:rsidR="0036760B" w:rsidRPr="005457F2">
        <w:t xml:space="preserve">. </w:t>
      </w:r>
      <w:r w:rsidR="00BE2AF7">
        <w:t xml:space="preserve"> </w:t>
      </w:r>
      <w:r w:rsidRPr="0045470D">
        <w:rPr>
          <w:color w:val="008000"/>
        </w:rPr>
        <w:t>Ordinal varia</w:t>
      </w:r>
      <w:r w:rsidRPr="00BD5BD3">
        <w:rPr>
          <w:color w:val="008000"/>
        </w:rPr>
        <w:t>bles</w:t>
      </w:r>
      <w:r w:rsidRPr="005457F2">
        <w:t xml:space="preserve">, such as pain that is rated </w:t>
      </w:r>
      <w:r w:rsidR="00B91CD8" w:rsidRPr="005457F2">
        <w:t>“</w:t>
      </w:r>
      <w:r w:rsidRPr="005457F2">
        <w:t>none,</w:t>
      </w:r>
      <w:r w:rsidR="00B91CD8" w:rsidRPr="005457F2">
        <w:t>”</w:t>
      </w:r>
      <w:r w:rsidRPr="005457F2">
        <w:t xml:space="preserve"> </w:t>
      </w:r>
      <w:r w:rsidR="00B91CD8" w:rsidRPr="005457F2">
        <w:t>“</w:t>
      </w:r>
      <w:r w:rsidRPr="005457F2">
        <w:t>mild,</w:t>
      </w:r>
      <w:r w:rsidR="00B91CD8" w:rsidRPr="005457F2">
        <w:t>”</w:t>
      </w:r>
      <w:r w:rsidRPr="005457F2">
        <w:t xml:space="preserve"> </w:t>
      </w:r>
      <w:r w:rsidR="00B91CD8" w:rsidRPr="005457F2">
        <w:t>“</w:t>
      </w:r>
      <w:r w:rsidRPr="005457F2">
        <w:t>moderate,</w:t>
      </w:r>
      <w:r w:rsidR="00B91CD8" w:rsidRPr="005457F2">
        <w:t>”</w:t>
      </w:r>
      <w:r w:rsidRPr="005457F2">
        <w:t xml:space="preserve"> or </w:t>
      </w:r>
      <w:r w:rsidR="00B91CD8" w:rsidRPr="005457F2">
        <w:t>“</w:t>
      </w:r>
      <w:r w:rsidRPr="005457F2">
        <w:t>severe</w:t>
      </w:r>
      <w:r w:rsidR="0090343F">
        <w:t>,</w:t>
      </w:r>
      <w:r w:rsidR="00B91CD8" w:rsidRPr="005457F2">
        <w:t>”</w:t>
      </w:r>
      <w:r w:rsidRPr="005457F2">
        <w:t xml:space="preserve"> </w:t>
      </w:r>
      <w:r w:rsidR="00BD5BD3" w:rsidRPr="005457F2">
        <w:t xml:space="preserve">have an </w:t>
      </w:r>
      <w:r w:rsidR="00BD5BD3" w:rsidRPr="0045470D">
        <w:rPr>
          <w:color w:val="008000"/>
        </w:rPr>
        <w:t>inherent order</w:t>
      </w:r>
      <w:r w:rsidR="00BD5BD3">
        <w:rPr>
          <w:color w:val="008000"/>
        </w:rPr>
        <w:t xml:space="preserve">. </w:t>
      </w:r>
      <w:r w:rsidR="00BD5BD3" w:rsidRPr="005457F2">
        <w:t xml:space="preserve"> </w:t>
      </w:r>
      <w:r w:rsidRPr="005457F2">
        <w:t>Many scores or scales used in medicine, such as the Glasgow Coma Score, are ordinal variables.</w:t>
      </w:r>
    </w:p>
    <w:p w14:paraId="5051E034" w14:textId="77777777" w:rsidR="00B91CD8" w:rsidRPr="005457F2" w:rsidRDefault="009C2BD1" w:rsidP="003D1341">
      <w:pPr>
        <w:pStyle w:val="NormalWeb"/>
      </w:pPr>
      <w:r w:rsidRPr="00F7314B">
        <w:rPr>
          <w:color w:val="008000"/>
        </w:rPr>
        <w:t>Numeric variables</w:t>
      </w:r>
      <w:r>
        <w:t xml:space="preserve"> </w:t>
      </w:r>
      <w:r w:rsidR="00B72E0C">
        <w:t xml:space="preserve">are </w:t>
      </w:r>
      <w:r w:rsidR="00B72E0C" w:rsidRPr="00404D13">
        <w:rPr>
          <w:color w:val="008000"/>
        </w:rPr>
        <w:t>continuous</w:t>
      </w:r>
      <w:r w:rsidR="00B72E0C">
        <w:t xml:space="preserve"> </w:t>
      </w:r>
      <w:r w:rsidR="00F97BC6">
        <w:t xml:space="preserve">if </w:t>
      </w:r>
      <w:r w:rsidR="00B72E0C">
        <w:t xml:space="preserve">they </w:t>
      </w:r>
      <w:r w:rsidR="004F48DE" w:rsidRPr="005457F2">
        <w:t xml:space="preserve">can take on an </w:t>
      </w:r>
      <w:r w:rsidR="004F48DE" w:rsidRPr="00F7314B">
        <w:rPr>
          <w:color w:val="008000"/>
        </w:rPr>
        <w:t>in</w:t>
      </w:r>
      <w:r w:rsidR="007816D8" w:rsidRPr="00F7314B">
        <w:rPr>
          <w:color w:val="008000"/>
        </w:rPr>
        <w:t>fi</w:t>
      </w:r>
      <w:r w:rsidR="004F48DE" w:rsidRPr="00F7314B">
        <w:rPr>
          <w:color w:val="008000"/>
        </w:rPr>
        <w:t>nite number of val</w:t>
      </w:r>
      <w:r w:rsidR="004F48DE" w:rsidRPr="00BD5BD3">
        <w:rPr>
          <w:color w:val="008000"/>
        </w:rPr>
        <w:t>ues</w:t>
      </w:r>
      <w:r w:rsidR="002818A4">
        <w:rPr>
          <w:color w:val="008000"/>
        </w:rPr>
        <w:t xml:space="preserve">, </w:t>
      </w:r>
      <w:r w:rsidR="002818A4" w:rsidRPr="002818A4">
        <w:t xml:space="preserve">like </w:t>
      </w:r>
      <w:r w:rsidR="00F97BC6" w:rsidRPr="005457F2">
        <w:t>weight, serum glucose, or peak expiratory flow</w:t>
      </w:r>
      <w:r w:rsidR="002818A4">
        <w:t xml:space="preserve">. </w:t>
      </w:r>
      <w:r w:rsidR="004F48DE" w:rsidRPr="005457F2">
        <w:t xml:space="preserve"> In contrast, </w:t>
      </w:r>
      <w:r w:rsidR="002818A4">
        <w:t xml:space="preserve">numeric </w:t>
      </w:r>
      <w:r w:rsidR="004F48DE" w:rsidRPr="005457F2">
        <w:t xml:space="preserve">variables </w:t>
      </w:r>
      <w:r w:rsidR="00404D13">
        <w:t xml:space="preserve">are </w:t>
      </w:r>
      <w:r w:rsidR="00404D13" w:rsidRPr="00404D13">
        <w:rPr>
          <w:color w:val="008000"/>
        </w:rPr>
        <w:t>discrete</w:t>
      </w:r>
      <w:r w:rsidR="00404D13">
        <w:t xml:space="preserve"> </w:t>
      </w:r>
      <w:r w:rsidR="002818A4">
        <w:t xml:space="preserve">if </w:t>
      </w:r>
      <w:r w:rsidR="00404D13">
        <w:t xml:space="preserve">they </w:t>
      </w:r>
      <w:r w:rsidR="004F48DE" w:rsidRPr="005457F2">
        <w:t xml:space="preserve">can take on only a </w:t>
      </w:r>
      <w:r w:rsidR="007816D8" w:rsidRPr="00F7314B">
        <w:rPr>
          <w:color w:val="008000"/>
        </w:rPr>
        <w:t>fi</w:t>
      </w:r>
      <w:r w:rsidR="004F48DE" w:rsidRPr="00F7314B">
        <w:rPr>
          <w:color w:val="008000"/>
        </w:rPr>
        <w:t>nite number of values</w:t>
      </w:r>
      <w:r w:rsidR="002818A4">
        <w:t xml:space="preserve">, like </w:t>
      </w:r>
      <w:r w:rsidR="002818A4" w:rsidRPr="005457F2">
        <w:t xml:space="preserve">the number of previous </w:t>
      </w:r>
      <w:r w:rsidR="002818A4">
        <w:t>pregnancies or heart attacks</w:t>
      </w:r>
      <w:r w:rsidR="002818A4" w:rsidRPr="005457F2">
        <w:t xml:space="preserve">, or the number of </w:t>
      </w:r>
      <w:r w:rsidR="002818A4">
        <w:t>decayed, missing or filled teeth</w:t>
      </w:r>
      <w:r w:rsidR="001B3A79">
        <w:t xml:space="preserve">. </w:t>
      </w:r>
      <w:r w:rsidR="004F48DE" w:rsidRPr="005457F2">
        <w:t xml:space="preserve"> If discrete</w:t>
      </w:r>
      <w:r w:rsidR="00404D13">
        <w:t xml:space="preserve"> numeric</w:t>
      </w:r>
      <w:r w:rsidR="004F48DE" w:rsidRPr="005457F2">
        <w:t xml:space="preserve"> variables take on many possible values, they behave like continuous variables</w:t>
      </w:r>
      <w:r w:rsidR="006771E5">
        <w:t xml:space="preserve">; if there are just a few possible values we </w:t>
      </w:r>
      <w:r w:rsidR="001B3A79">
        <w:t>can</w:t>
      </w:r>
      <w:r w:rsidR="006771E5">
        <w:t xml:space="preserve"> treat them as ordinal variables</w:t>
      </w:r>
      <w:r w:rsidR="004F48DE" w:rsidRPr="005457F2">
        <w:t xml:space="preserve">. Either continuous or discrete </w:t>
      </w:r>
      <w:r w:rsidR="001B3A79">
        <w:t xml:space="preserve">numeric </w:t>
      </w:r>
      <w:r w:rsidR="004F48DE" w:rsidRPr="005457F2">
        <w:t xml:space="preserve">variables can be grouped to create ordinal </w:t>
      </w:r>
      <w:r w:rsidR="00F0472C">
        <w:t xml:space="preserve">or dichotomous </w:t>
      </w:r>
      <w:r w:rsidR="004F48DE" w:rsidRPr="005457F2">
        <w:t>variables.</w:t>
      </w:r>
    </w:p>
    <w:p w14:paraId="70131E21" w14:textId="6944D046" w:rsidR="00B91CD8" w:rsidRPr="005457F2" w:rsidRDefault="004F48DE" w:rsidP="003D1341">
      <w:pPr>
        <w:pStyle w:val="NormalWeb"/>
      </w:pPr>
      <w:r w:rsidRPr="005457F2">
        <w:t xml:space="preserve">In this chapter, we will learn about the </w:t>
      </w:r>
      <w:r w:rsidRPr="00065A56">
        <w:rPr>
          <w:color w:val="008000"/>
        </w:rPr>
        <w:t>kappa</w:t>
      </w:r>
      <w:r w:rsidRPr="005457F2">
        <w:t xml:space="preserve"> statistic for measuring intra- and inter-rater reliability of nominal measurement</w:t>
      </w:r>
      <w:r w:rsidR="00065A56">
        <w:t>s</w:t>
      </w:r>
      <w:r w:rsidRPr="005457F2">
        <w:t xml:space="preserve"> and about the </w:t>
      </w:r>
      <w:r w:rsidRPr="00687285">
        <w:rPr>
          <w:color w:val="008000"/>
        </w:rPr>
        <w:t>weighted kappa</w:t>
      </w:r>
      <w:r w:rsidRPr="005457F2">
        <w:t xml:space="preserve"> statistic for ordinal measurements. Assessment of intra-rater or intra-method reliability of a continuous test requires measurement of either the </w:t>
      </w:r>
      <w:r w:rsidRPr="00687285">
        <w:rPr>
          <w:color w:val="008000"/>
        </w:rPr>
        <w:t>within-subject standard deviation</w:t>
      </w:r>
      <w:r w:rsidRPr="005457F2">
        <w:t xml:space="preserve"> or the </w:t>
      </w:r>
      <w:r w:rsidRPr="00687285">
        <w:rPr>
          <w:color w:val="008000"/>
        </w:rPr>
        <w:t xml:space="preserve">within-subject </w:t>
      </w:r>
      <w:r w:rsidRPr="00687285">
        <w:rPr>
          <w:color w:val="008000"/>
        </w:rPr>
        <w:lastRenderedPageBreak/>
        <w:t>coef</w:t>
      </w:r>
      <w:r w:rsidR="007816D8" w:rsidRPr="00687285">
        <w:rPr>
          <w:color w:val="008000"/>
        </w:rPr>
        <w:t>fi</w:t>
      </w:r>
      <w:r w:rsidRPr="00687285">
        <w:rPr>
          <w:color w:val="008000"/>
        </w:rPr>
        <w:t>cient of variation</w:t>
      </w:r>
      <w:r w:rsidRPr="005457F2">
        <w:t xml:space="preserve"> (depending on whether the random error is proportional to the level of the measurement). A </w:t>
      </w:r>
      <w:r w:rsidRPr="00687285">
        <w:rPr>
          <w:color w:val="008000"/>
        </w:rPr>
        <w:t>Bland–Altman plo</w:t>
      </w:r>
      <w:r w:rsidRPr="005457F2">
        <w:t>t</w:t>
      </w:r>
      <w:r w:rsidR="00BA7E2D">
        <w:fldChar w:fldCharType="begin"/>
      </w:r>
      <w:r w:rsidR="00A842BC">
        <w:instrText xml:space="preserve"> ADDIN EN.CITE &lt;EndNote&gt;&lt;Cite&gt;&lt;Author&gt;Bland&lt;/Author&gt;&lt;Year&gt;1986&lt;/Year&gt;&lt;RecNum&gt;222&lt;/RecNum&gt;&lt;DisplayText&gt;[1]&lt;/DisplayText&gt;&lt;record&gt;&lt;rec-number&gt;222&lt;/rec-number&gt;&lt;foreign-keys&gt;&lt;key app="EN" db-id="0ftvff9p80fp5few5s05f5fw9rd9fefrdzer" timestamp="0"&gt;222&lt;/key&gt;&lt;/foreign-keys&gt;&lt;ref-type name="Journal Article"&gt;17&lt;/ref-type&gt;&lt;contributors&gt;&lt;authors&gt;&lt;author&gt;Bland, J. M.&lt;/author&gt;&lt;author&gt;Altman, D. G.&lt;/author&gt;&lt;/authors&gt;&lt;/contributors&gt;&lt;titles&gt;&lt;title&gt;Statistical methods for assessing agreement between two methods of clinical measurement&lt;/title&gt;&lt;secondary-title&gt;Lancet&lt;/secondary-title&gt;&lt;/titles&gt;&lt;periodical&gt;&lt;full-title&gt;Lancet&lt;/full-title&gt;&lt;/periodical&gt;&lt;pages&gt;307-10&lt;/pages&gt;&lt;volume&gt;1&lt;/volume&gt;&lt;number&gt;8476&lt;/number&gt;&lt;keywords&gt;&lt;keyword&gt;Comparative Study&lt;/keyword&gt;&lt;keyword&gt;Diagnosis/*standards&lt;/keyword&gt;&lt;keyword&gt;Humans&lt;/keyword&gt;&lt;keyword&gt;Peak Expiratory Flow Rate&lt;/keyword&gt;&lt;keyword&gt;*Statistics&lt;/keyword&gt;&lt;/keywords&gt;&lt;dates&gt;&lt;year&gt;1986&lt;/year&gt;&lt;pub-dates&gt;&lt;date&gt;Feb 8&lt;/date&gt;&lt;/pub-dates&gt;&lt;/dates&gt;&lt;accession-num&gt;2868172&lt;/accession-num&gt;&lt;urls&gt;&lt;related-urls&gt;&lt;url&gt;http://www.ncbi.nlm.nih.gov/entrez/query.fcgi?cmd=Retrieve&amp;amp;db=PubMed&amp;amp;dopt=Citation&amp;amp;list_uids=2868172 &lt;/url&gt;&lt;/related-urls&gt;&lt;/urls&gt;&lt;/record&gt;&lt;/Cite&gt;&lt;/EndNote&gt;</w:instrText>
      </w:r>
      <w:r w:rsidR="00BA7E2D">
        <w:fldChar w:fldCharType="separate"/>
      </w:r>
      <w:r w:rsidR="00A842BC">
        <w:rPr>
          <w:noProof/>
        </w:rPr>
        <w:t>[1]</w:t>
      </w:r>
      <w:r w:rsidR="00BA7E2D">
        <w:fldChar w:fldCharType="end"/>
      </w:r>
      <w:r w:rsidRPr="005457F2">
        <w:t xml:space="preserve"> can help estimate both systematic bias and random error. While correlation coef</w:t>
      </w:r>
      <w:r w:rsidR="007816D8" w:rsidRPr="005457F2">
        <w:t>fi</w:t>
      </w:r>
      <w:r w:rsidRPr="005457F2">
        <w:t>cients are often used to assess intra- and inter-rater reliability of a continuous measurement, we will see that they are</w:t>
      </w:r>
      <w:r w:rsidR="00741504">
        <w:t xml:space="preserve"> generally</w:t>
      </w:r>
      <w:r w:rsidRPr="005457F2">
        <w:t xml:space="preserve"> inappropriate for assessing random error and useless for assessing systematic </w:t>
      </w:r>
      <w:r w:rsidR="00687285">
        <w:t>error</w:t>
      </w:r>
      <w:r w:rsidR="00741504">
        <w:t xml:space="preserve"> (bias)</w:t>
      </w:r>
      <w:r w:rsidRPr="005457F2">
        <w:t>.</w:t>
      </w:r>
      <w:r w:rsidR="00E20DA8">
        <w:t xml:space="preserve">  We conclude with a brief discussion of calibration in which a continuous measurement is compared to a reference standard that is also continuous.</w:t>
      </w:r>
    </w:p>
    <w:p w14:paraId="2877BFC4" w14:textId="77777777" w:rsidR="00B91CD8" w:rsidRPr="005457F2" w:rsidRDefault="004F48DE" w:rsidP="002022F2">
      <w:pPr>
        <w:pStyle w:val="Heading2"/>
      </w:pPr>
      <w:r w:rsidRPr="005457F2">
        <w:t>Measuring inter-observer agreement for categorical variables</w:t>
      </w:r>
    </w:p>
    <w:p w14:paraId="15048BB6" w14:textId="77777777" w:rsidR="00B91CD8" w:rsidRPr="005457F2" w:rsidRDefault="004F48DE" w:rsidP="002022F2">
      <w:pPr>
        <w:pStyle w:val="Heading3"/>
      </w:pPr>
      <w:r w:rsidRPr="005457F2">
        <w:t>Agreement</w:t>
      </w:r>
    </w:p>
    <w:p w14:paraId="6A707FDC" w14:textId="77777777" w:rsidR="00B91CD8" w:rsidRPr="005457F2" w:rsidRDefault="004F48DE" w:rsidP="003D1341">
      <w:pPr>
        <w:pStyle w:val="NormalWeb"/>
      </w:pPr>
      <w:r w:rsidRPr="005457F2">
        <w:t xml:space="preserve">When there are two observers or when the same observer repeats a </w:t>
      </w:r>
      <w:r w:rsidR="00700A24">
        <w:t xml:space="preserve">categorical </w:t>
      </w:r>
      <w:r w:rsidRPr="005457F2">
        <w:t xml:space="preserve">measurement on two occasions, the agreement can be summarized in a </w:t>
      </w:r>
      <w:r w:rsidR="00B91CD8" w:rsidRPr="005457F2">
        <w:t>“</w:t>
      </w:r>
      <w:r w:rsidRPr="005457F2">
        <w:t>k by k</w:t>
      </w:r>
      <w:r w:rsidR="00B91CD8" w:rsidRPr="005457F2">
        <w:t>”</w:t>
      </w:r>
      <w:r w:rsidRPr="005457F2">
        <w:t xml:space="preserve"> table, where k is the number of categories. The simplest measure of inter-observer agreement is the concordance or observed agreement rate, that is, the proportion of observations on which the two observers agree. This can be obtained by summing the numbers along the diagonal of the </w:t>
      </w:r>
      <w:r w:rsidR="00B91CD8" w:rsidRPr="005457F2">
        <w:t>“</w:t>
      </w:r>
      <w:r w:rsidRPr="005457F2">
        <w:t>k by k</w:t>
      </w:r>
      <w:r w:rsidR="00B91CD8" w:rsidRPr="005457F2">
        <w:t>”</w:t>
      </w:r>
      <w:r w:rsidRPr="005457F2">
        <w:t xml:space="preserve"> table from the upper left to the lower right and dividing by the total number of observations.</w:t>
      </w:r>
    </w:p>
    <w:p w14:paraId="78E60458" w14:textId="77777777" w:rsidR="00B91CD8" w:rsidRPr="005457F2" w:rsidRDefault="004F48DE" w:rsidP="003D1341">
      <w:pPr>
        <w:pStyle w:val="NormalWeb"/>
      </w:pPr>
      <w:r w:rsidRPr="005457F2">
        <w:t>We start by looking at some simple 2 × 2 (</w:t>
      </w:r>
      <w:r w:rsidR="00B91CD8" w:rsidRPr="005457F2">
        <w:t>“</w:t>
      </w:r>
      <w:r w:rsidRPr="005457F2">
        <w:t>yes or no</w:t>
      </w:r>
      <w:r w:rsidR="00B91CD8" w:rsidRPr="005457F2">
        <w:t>”</w:t>
      </w:r>
      <w:r w:rsidRPr="005457F2">
        <w:t>) examples. Later in the chapter, we will look at examples with more categories.</w:t>
      </w:r>
    </w:p>
    <w:p w14:paraId="2B41939D" w14:textId="77777777" w:rsidR="00B91CD8" w:rsidRPr="005457F2" w:rsidRDefault="008271CC" w:rsidP="003D1341">
      <w:pPr>
        <w:pStyle w:val="NormalWeb"/>
      </w:pPr>
      <w:r>
        <w:rPr>
          <w:b/>
        </w:rPr>
        <w:t>Example 5.</w:t>
      </w:r>
      <w:r w:rsidR="004F48DE" w:rsidRPr="005457F2">
        <w:rPr>
          <w:b/>
        </w:rPr>
        <w:t>1</w:t>
      </w:r>
      <w:r w:rsidR="004F48DE" w:rsidRPr="005457F2">
        <w:t xml:space="preserve"> Suppose you wish to measure inter-radiologist agreement at classifying </w:t>
      </w:r>
      <w:r w:rsidR="00BA6471">
        <w:t>2</w:t>
      </w:r>
      <w:r w:rsidR="004F48DE" w:rsidRPr="005457F2">
        <w:t xml:space="preserve">00 x-rays as either </w:t>
      </w:r>
      <w:r w:rsidR="00B91CD8" w:rsidRPr="005457F2">
        <w:t>“</w:t>
      </w:r>
      <w:r w:rsidR="004F48DE" w:rsidRPr="005457F2">
        <w:t>normal</w:t>
      </w:r>
      <w:r w:rsidR="00B91CD8" w:rsidRPr="005457F2">
        <w:t>”</w:t>
      </w:r>
      <w:r w:rsidR="004F48DE" w:rsidRPr="005457F2">
        <w:t xml:space="preserve"> or </w:t>
      </w:r>
      <w:r w:rsidR="00B91CD8" w:rsidRPr="005457F2">
        <w:t>“</w:t>
      </w:r>
      <w:r w:rsidR="004F48DE" w:rsidRPr="005457F2">
        <w:t>abnormal.</w:t>
      </w:r>
      <w:r w:rsidR="00B91CD8" w:rsidRPr="005457F2">
        <w:t>”</w:t>
      </w:r>
      <w:r w:rsidR="004F48DE" w:rsidRPr="005457F2">
        <w:t xml:space="preserve"> Because there are two possible values, you</w:t>
      </w:r>
      <w:r w:rsidR="00351546" w:rsidRPr="005457F2">
        <w:t xml:space="preserve"> </w:t>
      </w:r>
      <w:r w:rsidR="004F48DE" w:rsidRPr="005457F2">
        <w:t>can</w:t>
      </w:r>
      <w:r w:rsidR="00351546" w:rsidRPr="005457F2">
        <w:t xml:space="preserve"> </w:t>
      </w:r>
      <w:r w:rsidR="004F48DE" w:rsidRPr="005457F2">
        <w:t>put</w:t>
      </w:r>
      <w:r w:rsidR="00351546" w:rsidRPr="005457F2">
        <w:t xml:space="preserve"> </w:t>
      </w:r>
      <w:r w:rsidR="004F48DE" w:rsidRPr="005457F2">
        <w:t>the</w:t>
      </w:r>
      <w:r w:rsidR="00351546" w:rsidRPr="005457F2">
        <w:t xml:space="preserve"> </w:t>
      </w:r>
      <w:r w:rsidR="004F48DE" w:rsidRPr="005457F2">
        <w:t>results</w:t>
      </w:r>
      <w:r w:rsidR="00351546" w:rsidRPr="005457F2">
        <w:t xml:space="preserve"> </w:t>
      </w:r>
      <w:r w:rsidR="004F48DE" w:rsidRPr="005457F2">
        <w:t>in</w:t>
      </w:r>
      <w:r w:rsidR="00351546" w:rsidRPr="005457F2">
        <w:t xml:space="preserve"> </w:t>
      </w:r>
      <w:r w:rsidR="004F48DE" w:rsidRPr="005457F2">
        <w:t>a</w:t>
      </w:r>
      <w:r w:rsidR="00351546" w:rsidRPr="005457F2">
        <w:t xml:space="preserve"> </w:t>
      </w:r>
      <w:r w:rsidR="004F48DE" w:rsidRPr="005457F2">
        <w:t>2 × 2</w:t>
      </w:r>
      <w:r w:rsidR="003C283C" w:rsidRPr="005457F2">
        <w:t xml:space="preserve"> </w:t>
      </w:r>
      <w:r w:rsidR="004F48DE" w:rsidRPr="005457F2">
        <w:t>table.</w:t>
      </w:r>
    </w:p>
    <w:tbl>
      <w:tblPr>
        <w:tblW w:w="0" w:type="auto"/>
        <w:tblInd w:w="108" w:type="dxa"/>
        <w:tblLayout w:type="fixed"/>
        <w:tblLook w:val="04A0" w:firstRow="1" w:lastRow="0" w:firstColumn="1" w:lastColumn="0" w:noHBand="0" w:noVBand="1"/>
      </w:tblPr>
      <w:tblGrid>
        <w:gridCol w:w="1620"/>
        <w:gridCol w:w="1224"/>
        <w:gridCol w:w="216"/>
        <w:gridCol w:w="1350"/>
        <w:gridCol w:w="1386"/>
        <w:gridCol w:w="1404"/>
      </w:tblGrid>
      <w:tr w:rsidR="00152421" w:rsidRPr="005457F2" w14:paraId="68A34553" w14:textId="77777777">
        <w:tc>
          <w:tcPr>
            <w:tcW w:w="7200" w:type="dxa"/>
            <w:gridSpan w:val="6"/>
            <w:shd w:val="clear" w:color="auto" w:fill="auto"/>
          </w:tcPr>
          <w:p w14:paraId="0DC8BA64" w14:textId="77777777" w:rsidR="00152421" w:rsidRPr="005457F2" w:rsidRDefault="00152421" w:rsidP="00BA6471">
            <w:pPr>
              <w:pStyle w:val="NlTable"/>
            </w:pPr>
            <w:r w:rsidRPr="005457F2">
              <w:t>Classi</w:t>
            </w:r>
            <w:r w:rsidR="007816D8" w:rsidRPr="005457F2">
              <w:t>fi</w:t>
            </w:r>
            <w:r w:rsidRPr="005457F2">
              <w:t xml:space="preserve">cation of </w:t>
            </w:r>
            <w:r w:rsidR="00BA6471">
              <w:t>2</w:t>
            </w:r>
            <w:r w:rsidRPr="005457F2">
              <w:t>00 X-rays by 2 Radiologists</w:t>
            </w:r>
          </w:p>
        </w:tc>
      </w:tr>
      <w:tr w:rsidR="00B4469D" w:rsidRPr="005457F2" w14:paraId="739D7177" w14:textId="77777777">
        <w:tc>
          <w:tcPr>
            <w:tcW w:w="1620" w:type="dxa"/>
            <w:shd w:val="clear" w:color="auto" w:fill="auto"/>
          </w:tcPr>
          <w:p w14:paraId="5AA7676E" w14:textId="77777777" w:rsidR="00B4469D" w:rsidRPr="005457F2" w:rsidRDefault="00B4469D" w:rsidP="004973CC">
            <w:pPr>
              <w:pStyle w:val="NlTable"/>
              <w:jc w:val="center"/>
              <w:rPr>
                <w:b/>
              </w:rPr>
            </w:pPr>
          </w:p>
        </w:tc>
        <w:tc>
          <w:tcPr>
            <w:tcW w:w="1224" w:type="dxa"/>
            <w:shd w:val="clear" w:color="auto" w:fill="auto"/>
          </w:tcPr>
          <w:p w14:paraId="6337BE7A" w14:textId="77777777" w:rsidR="00B4469D" w:rsidRPr="005457F2" w:rsidRDefault="00B4469D" w:rsidP="004973CC">
            <w:pPr>
              <w:pStyle w:val="NlTable"/>
              <w:jc w:val="center"/>
              <w:rPr>
                <w:b/>
              </w:rPr>
            </w:pPr>
          </w:p>
        </w:tc>
        <w:tc>
          <w:tcPr>
            <w:tcW w:w="2952" w:type="dxa"/>
            <w:gridSpan w:val="3"/>
            <w:shd w:val="clear" w:color="auto" w:fill="auto"/>
          </w:tcPr>
          <w:p w14:paraId="6C932E27" w14:textId="77777777" w:rsidR="00B4469D" w:rsidRPr="005457F2" w:rsidRDefault="00B4469D" w:rsidP="004973CC">
            <w:pPr>
              <w:pStyle w:val="NlTable"/>
              <w:jc w:val="center"/>
              <w:rPr>
                <w:b/>
              </w:rPr>
            </w:pPr>
            <w:r w:rsidRPr="005457F2">
              <w:rPr>
                <w:b/>
              </w:rPr>
              <w:t>Radiologist #2</w:t>
            </w:r>
          </w:p>
        </w:tc>
        <w:tc>
          <w:tcPr>
            <w:tcW w:w="1404" w:type="dxa"/>
            <w:shd w:val="clear" w:color="auto" w:fill="auto"/>
          </w:tcPr>
          <w:p w14:paraId="655E7438" w14:textId="77777777" w:rsidR="00B4469D" w:rsidRPr="005457F2" w:rsidRDefault="00B4469D" w:rsidP="004973CC">
            <w:pPr>
              <w:pStyle w:val="NormalWeb"/>
              <w:jc w:val="center"/>
              <w:rPr>
                <w:b/>
                <w:sz w:val="22"/>
                <w:szCs w:val="22"/>
              </w:rPr>
            </w:pPr>
          </w:p>
        </w:tc>
      </w:tr>
      <w:tr w:rsidR="00B4469D" w:rsidRPr="005457F2" w14:paraId="7179ED48" w14:textId="77777777">
        <w:tc>
          <w:tcPr>
            <w:tcW w:w="1620" w:type="dxa"/>
            <w:shd w:val="clear" w:color="auto" w:fill="auto"/>
          </w:tcPr>
          <w:p w14:paraId="7A16DC5C" w14:textId="77777777" w:rsidR="00B4469D" w:rsidRPr="005457F2" w:rsidRDefault="00B4469D" w:rsidP="004973CC">
            <w:pPr>
              <w:pStyle w:val="NlTable"/>
              <w:jc w:val="center"/>
              <w:rPr>
                <w:b/>
              </w:rPr>
            </w:pPr>
          </w:p>
        </w:tc>
        <w:tc>
          <w:tcPr>
            <w:tcW w:w="1224" w:type="dxa"/>
            <w:shd w:val="clear" w:color="auto" w:fill="auto"/>
          </w:tcPr>
          <w:p w14:paraId="5A10B89F" w14:textId="77777777" w:rsidR="00B4469D" w:rsidRPr="005457F2" w:rsidRDefault="00B4469D" w:rsidP="004973CC">
            <w:pPr>
              <w:pStyle w:val="NlTable"/>
              <w:jc w:val="center"/>
              <w:rPr>
                <w:b/>
              </w:rPr>
            </w:pPr>
          </w:p>
        </w:tc>
        <w:tc>
          <w:tcPr>
            <w:tcW w:w="1566" w:type="dxa"/>
            <w:gridSpan w:val="2"/>
            <w:tcBorders>
              <w:bottom w:val="single" w:sz="4" w:space="0" w:color="auto"/>
            </w:tcBorders>
            <w:shd w:val="clear" w:color="auto" w:fill="auto"/>
          </w:tcPr>
          <w:p w14:paraId="4E8787B3" w14:textId="77777777" w:rsidR="00B4469D" w:rsidRPr="005457F2" w:rsidRDefault="00B4469D" w:rsidP="004973CC">
            <w:pPr>
              <w:pStyle w:val="NlTable"/>
              <w:jc w:val="center"/>
              <w:rPr>
                <w:b/>
              </w:rPr>
            </w:pPr>
            <w:r w:rsidRPr="005457F2">
              <w:rPr>
                <w:b/>
              </w:rPr>
              <w:t>Abnormal</w:t>
            </w:r>
          </w:p>
        </w:tc>
        <w:tc>
          <w:tcPr>
            <w:tcW w:w="1386" w:type="dxa"/>
            <w:tcBorders>
              <w:bottom w:val="single" w:sz="4" w:space="0" w:color="auto"/>
            </w:tcBorders>
            <w:shd w:val="clear" w:color="auto" w:fill="auto"/>
          </w:tcPr>
          <w:p w14:paraId="406DB2FF" w14:textId="77777777" w:rsidR="00B4469D" w:rsidRPr="005457F2" w:rsidRDefault="00B4469D" w:rsidP="004973CC">
            <w:pPr>
              <w:pStyle w:val="NlTable"/>
              <w:jc w:val="center"/>
              <w:rPr>
                <w:b/>
              </w:rPr>
            </w:pPr>
            <w:r w:rsidRPr="005457F2">
              <w:rPr>
                <w:b/>
              </w:rPr>
              <w:t>Normal</w:t>
            </w:r>
          </w:p>
        </w:tc>
        <w:tc>
          <w:tcPr>
            <w:tcW w:w="1404" w:type="dxa"/>
            <w:shd w:val="clear" w:color="auto" w:fill="auto"/>
          </w:tcPr>
          <w:p w14:paraId="4B78B9BA" w14:textId="77777777" w:rsidR="00B4469D" w:rsidRPr="005457F2" w:rsidRDefault="00B4469D" w:rsidP="004973CC">
            <w:pPr>
              <w:pStyle w:val="NlTable"/>
              <w:jc w:val="center"/>
              <w:rPr>
                <w:b/>
              </w:rPr>
            </w:pPr>
            <w:r w:rsidRPr="005457F2">
              <w:rPr>
                <w:b/>
              </w:rPr>
              <w:t>Total</w:t>
            </w:r>
          </w:p>
        </w:tc>
      </w:tr>
      <w:tr w:rsidR="00B4469D" w:rsidRPr="005457F2" w14:paraId="1CF9EFA6" w14:textId="77777777" w:rsidTr="00C4020E">
        <w:tc>
          <w:tcPr>
            <w:tcW w:w="1620" w:type="dxa"/>
            <w:vMerge w:val="restart"/>
            <w:shd w:val="clear" w:color="auto" w:fill="auto"/>
          </w:tcPr>
          <w:p w14:paraId="6D90E5C1" w14:textId="77777777" w:rsidR="00B4469D" w:rsidRPr="005457F2" w:rsidRDefault="00B4469D" w:rsidP="004973CC">
            <w:pPr>
              <w:pStyle w:val="NlTable"/>
              <w:jc w:val="center"/>
              <w:rPr>
                <w:b/>
              </w:rPr>
            </w:pPr>
            <w:r w:rsidRPr="005457F2">
              <w:rPr>
                <w:b/>
              </w:rPr>
              <w:t>Radiologist #1</w:t>
            </w:r>
          </w:p>
        </w:tc>
        <w:tc>
          <w:tcPr>
            <w:tcW w:w="1440" w:type="dxa"/>
            <w:gridSpan w:val="2"/>
            <w:tcBorders>
              <w:right w:val="single" w:sz="4" w:space="0" w:color="auto"/>
            </w:tcBorders>
            <w:shd w:val="clear" w:color="auto" w:fill="auto"/>
          </w:tcPr>
          <w:p w14:paraId="6ACB0E07" w14:textId="77777777" w:rsidR="00B4469D" w:rsidRPr="005457F2" w:rsidRDefault="00B4469D" w:rsidP="004973CC">
            <w:pPr>
              <w:pStyle w:val="NlTable"/>
              <w:jc w:val="center"/>
              <w:rPr>
                <w:b/>
              </w:rPr>
            </w:pPr>
            <w:r w:rsidRPr="005457F2">
              <w:rPr>
                <w:b/>
              </w:rPr>
              <w:t>Abnormal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E6188F" w14:textId="77777777" w:rsidR="00B4469D" w:rsidRPr="005457F2" w:rsidRDefault="00BA6471" w:rsidP="004973CC">
            <w:pPr>
              <w:pStyle w:val="NlTable"/>
              <w:jc w:val="center"/>
            </w:pPr>
            <w:r>
              <w:rPr>
                <w:lang w:val="en-IN" w:eastAsia="en-IN"/>
              </w:rPr>
              <w:t>4</w:t>
            </w:r>
            <w:r w:rsidR="00B4469D" w:rsidRPr="005457F2">
              <w:rPr>
                <w:lang w:val="en-IN" w:eastAsia="en-IN"/>
              </w:rPr>
              <w:t>0</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848DCB9" w14:textId="77777777" w:rsidR="00B4469D" w:rsidRPr="005457F2" w:rsidRDefault="00BA6471" w:rsidP="004973CC">
            <w:pPr>
              <w:pStyle w:val="NlTable"/>
              <w:jc w:val="center"/>
            </w:pPr>
            <w:r>
              <w:rPr>
                <w:lang w:val="en-IN" w:eastAsia="en-IN"/>
              </w:rPr>
              <w:t>30</w:t>
            </w:r>
          </w:p>
        </w:tc>
        <w:tc>
          <w:tcPr>
            <w:tcW w:w="1404" w:type="dxa"/>
            <w:tcBorders>
              <w:left w:val="single" w:sz="4" w:space="0" w:color="auto"/>
            </w:tcBorders>
            <w:shd w:val="clear" w:color="auto" w:fill="auto"/>
          </w:tcPr>
          <w:p w14:paraId="5E487694" w14:textId="77777777" w:rsidR="00B4469D" w:rsidRPr="005457F2" w:rsidRDefault="00BA6471" w:rsidP="004973CC">
            <w:pPr>
              <w:pStyle w:val="NlTable"/>
              <w:jc w:val="center"/>
            </w:pPr>
            <w:r>
              <w:rPr>
                <w:lang w:val="en-IN" w:eastAsia="en-IN"/>
              </w:rPr>
              <w:t>70</w:t>
            </w:r>
          </w:p>
        </w:tc>
      </w:tr>
      <w:tr w:rsidR="00B4469D" w:rsidRPr="005457F2" w14:paraId="452BF914" w14:textId="77777777" w:rsidTr="00C4020E">
        <w:tc>
          <w:tcPr>
            <w:tcW w:w="1620" w:type="dxa"/>
            <w:vMerge/>
            <w:shd w:val="clear" w:color="auto" w:fill="auto"/>
          </w:tcPr>
          <w:p w14:paraId="3B6B6BA7" w14:textId="77777777" w:rsidR="00B4469D" w:rsidRPr="005457F2" w:rsidRDefault="00B4469D" w:rsidP="004973CC">
            <w:pPr>
              <w:pStyle w:val="NormalWeb"/>
              <w:jc w:val="center"/>
              <w:rPr>
                <w:sz w:val="22"/>
                <w:szCs w:val="22"/>
              </w:rPr>
            </w:pPr>
          </w:p>
        </w:tc>
        <w:tc>
          <w:tcPr>
            <w:tcW w:w="1440" w:type="dxa"/>
            <w:gridSpan w:val="2"/>
            <w:tcBorders>
              <w:right w:val="single" w:sz="4" w:space="0" w:color="auto"/>
            </w:tcBorders>
            <w:shd w:val="clear" w:color="auto" w:fill="auto"/>
          </w:tcPr>
          <w:p w14:paraId="230DAFED" w14:textId="77777777" w:rsidR="00B4469D" w:rsidRPr="005457F2" w:rsidRDefault="00B4469D" w:rsidP="004973CC">
            <w:pPr>
              <w:pStyle w:val="NlTable"/>
              <w:jc w:val="center"/>
              <w:rPr>
                <w:b/>
              </w:rPr>
            </w:pPr>
            <w:r w:rsidRPr="005457F2">
              <w:rPr>
                <w:b/>
                <w:lang w:val="en-IN" w:eastAsia="en-IN"/>
              </w:rPr>
              <w:t>Normal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F22CACC" w14:textId="77777777" w:rsidR="00B4469D" w:rsidRPr="005457F2" w:rsidRDefault="00BA6471" w:rsidP="004973CC">
            <w:pPr>
              <w:pStyle w:val="NlTable"/>
              <w:jc w:val="center"/>
            </w:pPr>
            <w:r>
              <w:rPr>
                <w:lang w:val="en-IN" w:eastAsia="en-IN"/>
              </w:rPr>
              <w:t>2</w:t>
            </w:r>
            <w:r w:rsidR="00B4469D" w:rsidRPr="005457F2">
              <w:rPr>
                <w:lang w:val="en-IN" w:eastAsia="en-IN"/>
              </w:rPr>
              <w:t>0</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4CADAAF" w14:textId="77777777" w:rsidR="00B4469D" w:rsidRPr="005457F2" w:rsidRDefault="00BA6471" w:rsidP="004973CC">
            <w:pPr>
              <w:pStyle w:val="NlTable"/>
              <w:jc w:val="center"/>
            </w:pPr>
            <w:r>
              <w:rPr>
                <w:lang w:val="en-IN" w:eastAsia="en-IN"/>
              </w:rPr>
              <w:t>110</w:t>
            </w:r>
          </w:p>
        </w:tc>
        <w:tc>
          <w:tcPr>
            <w:tcW w:w="1404" w:type="dxa"/>
            <w:tcBorders>
              <w:left w:val="single" w:sz="4" w:space="0" w:color="auto"/>
            </w:tcBorders>
            <w:shd w:val="clear" w:color="auto" w:fill="auto"/>
          </w:tcPr>
          <w:p w14:paraId="05345EF8" w14:textId="77777777" w:rsidR="00B4469D" w:rsidRPr="005457F2" w:rsidRDefault="00BA6471" w:rsidP="004973CC">
            <w:pPr>
              <w:pStyle w:val="NlTable"/>
              <w:jc w:val="center"/>
            </w:pPr>
            <w:r>
              <w:rPr>
                <w:lang w:val="en-IN" w:eastAsia="en-IN"/>
              </w:rPr>
              <w:t>130</w:t>
            </w:r>
          </w:p>
        </w:tc>
      </w:tr>
      <w:tr w:rsidR="00B4469D" w:rsidRPr="005457F2" w14:paraId="1386EBE2" w14:textId="77777777">
        <w:tc>
          <w:tcPr>
            <w:tcW w:w="1620" w:type="dxa"/>
            <w:shd w:val="clear" w:color="auto" w:fill="auto"/>
          </w:tcPr>
          <w:p w14:paraId="42FF5BD1" w14:textId="77777777" w:rsidR="00B4469D" w:rsidRPr="005457F2" w:rsidRDefault="00B4469D" w:rsidP="004973CC">
            <w:pPr>
              <w:pStyle w:val="NlTable"/>
              <w:jc w:val="center"/>
            </w:pPr>
          </w:p>
        </w:tc>
        <w:tc>
          <w:tcPr>
            <w:tcW w:w="1224" w:type="dxa"/>
            <w:shd w:val="clear" w:color="auto" w:fill="auto"/>
          </w:tcPr>
          <w:p w14:paraId="59723BD0" w14:textId="77777777" w:rsidR="00B4469D" w:rsidRPr="005457F2" w:rsidRDefault="00B4469D" w:rsidP="004973CC">
            <w:pPr>
              <w:pStyle w:val="NlTable"/>
              <w:jc w:val="center"/>
              <w:rPr>
                <w:b/>
              </w:rPr>
            </w:pPr>
            <w:r w:rsidRPr="005457F2">
              <w:rPr>
                <w:b/>
                <w:lang w:val="en-IN" w:eastAsia="en-IN"/>
              </w:rPr>
              <w:t>Total</w:t>
            </w:r>
          </w:p>
        </w:tc>
        <w:tc>
          <w:tcPr>
            <w:tcW w:w="1566" w:type="dxa"/>
            <w:gridSpan w:val="2"/>
            <w:tcBorders>
              <w:top w:val="single" w:sz="4" w:space="0" w:color="auto"/>
            </w:tcBorders>
            <w:shd w:val="clear" w:color="auto" w:fill="auto"/>
          </w:tcPr>
          <w:p w14:paraId="0E6D8111" w14:textId="77777777" w:rsidR="00B4469D" w:rsidRPr="005457F2" w:rsidRDefault="00BA6471" w:rsidP="004973CC">
            <w:pPr>
              <w:pStyle w:val="NlTable"/>
              <w:jc w:val="center"/>
              <w:rPr>
                <w:b/>
              </w:rPr>
            </w:pPr>
            <w:r>
              <w:rPr>
                <w:b/>
                <w:lang w:val="en-IN" w:eastAsia="en-IN"/>
              </w:rPr>
              <w:t>60</w:t>
            </w:r>
          </w:p>
        </w:tc>
        <w:tc>
          <w:tcPr>
            <w:tcW w:w="1386" w:type="dxa"/>
            <w:tcBorders>
              <w:top w:val="single" w:sz="4" w:space="0" w:color="auto"/>
            </w:tcBorders>
            <w:shd w:val="clear" w:color="auto" w:fill="auto"/>
          </w:tcPr>
          <w:p w14:paraId="19FD2F3D" w14:textId="77777777" w:rsidR="00B4469D" w:rsidRPr="005457F2" w:rsidRDefault="00BA6471" w:rsidP="004973CC">
            <w:pPr>
              <w:pStyle w:val="NlTable"/>
              <w:jc w:val="center"/>
              <w:rPr>
                <w:b/>
              </w:rPr>
            </w:pPr>
            <w:r>
              <w:rPr>
                <w:b/>
                <w:lang w:val="en-IN" w:eastAsia="en-IN"/>
              </w:rPr>
              <w:t>140</w:t>
            </w:r>
          </w:p>
        </w:tc>
        <w:tc>
          <w:tcPr>
            <w:tcW w:w="1404" w:type="dxa"/>
            <w:shd w:val="clear" w:color="auto" w:fill="auto"/>
          </w:tcPr>
          <w:p w14:paraId="2109E445" w14:textId="77777777" w:rsidR="00B4469D" w:rsidRPr="005457F2" w:rsidRDefault="009652AC" w:rsidP="004973CC">
            <w:pPr>
              <w:pStyle w:val="NlTable"/>
              <w:jc w:val="center"/>
              <w:rPr>
                <w:b/>
              </w:rPr>
            </w:pPr>
            <w:r>
              <w:rPr>
                <w:b/>
                <w:lang w:val="en-IN" w:eastAsia="en-IN"/>
              </w:rPr>
              <w:t>2</w:t>
            </w:r>
            <w:r w:rsidR="00B4469D" w:rsidRPr="005457F2">
              <w:rPr>
                <w:b/>
                <w:lang w:val="en-IN" w:eastAsia="en-IN"/>
              </w:rPr>
              <w:t>00</w:t>
            </w:r>
          </w:p>
        </w:tc>
      </w:tr>
    </w:tbl>
    <w:p w14:paraId="3A13F526" w14:textId="77777777" w:rsidR="00B91CD8" w:rsidRPr="005457F2" w:rsidRDefault="004F48DE" w:rsidP="00286408">
      <w:pPr>
        <w:pStyle w:val="NormalWeb"/>
      </w:pPr>
      <w:r w:rsidRPr="005457F2">
        <w:t xml:space="preserve">In this example, out of </w:t>
      </w:r>
      <w:r w:rsidR="003528CF">
        <w:t>2</w:t>
      </w:r>
      <w:r w:rsidRPr="005457F2">
        <w:t xml:space="preserve">00 x-rays, there were </w:t>
      </w:r>
      <w:r w:rsidR="002E6A64">
        <w:t>4</w:t>
      </w:r>
      <w:r w:rsidRPr="005457F2">
        <w:t>0 that both radiologists classi</w:t>
      </w:r>
      <w:r w:rsidR="007816D8" w:rsidRPr="005457F2">
        <w:t>fi</w:t>
      </w:r>
      <w:r w:rsidRPr="005457F2">
        <w:t xml:space="preserve">ed as abnormal (upper left) and </w:t>
      </w:r>
      <w:r w:rsidR="002E6A64">
        <w:t>110</w:t>
      </w:r>
      <w:r w:rsidRPr="005457F2">
        <w:t xml:space="preserve"> that both radiologists classi</w:t>
      </w:r>
      <w:r w:rsidR="007816D8" w:rsidRPr="005457F2">
        <w:t>fi</w:t>
      </w:r>
      <w:r w:rsidRPr="005457F2">
        <w:t>ed as normal (lower right), for an observed agreement rate of (</w:t>
      </w:r>
      <w:r w:rsidR="002E6A64">
        <w:t>40+110)/2</w:t>
      </w:r>
      <w:r w:rsidRPr="005457F2">
        <w:t>00 = 75%.</w:t>
      </w:r>
    </w:p>
    <w:p w14:paraId="2AB0878D" w14:textId="77777777" w:rsidR="00B91CD8" w:rsidRPr="005457F2" w:rsidRDefault="004F48DE" w:rsidP="003D1341">
      <w:pPr>
        <w:pStyle w:val="NormalWeb"/>
      </w:pPr>
      <w:r w:rsidRPr="005457F2">
        <w:t xml:space="preserve">When the observations are not evenly distributed among the categories (e.g., when the proportion </w:t>
      </w:r>
      <w:r w:rsidR="00B91CD8" w:rsidRPr="005457F2">
        <w:t>“</w:t>
      </w:r>
      <w:r w:rsidRPr="005457F2">
        <w:t>abnormal</w:t>
      </w:r>
      <w:r w:rsidR="00B91CD8" w:rsidRPr="005457F2">
        <w:t>”</w:t>
      </w:r>
      <w:r w:rsidRPr="005457F2">
        <w:t xml:space="preserve"> on a dichotomous test is substantially different from 50%), the observed agreement rate can be misleading.</w:t>
      </w:r>
    </w:p>
    <w:p w14:paraId="514CF068" w14:textId="77777777" w:rsidR="00B91CD8" w:rsidRPr="005457F2" w:rsidRDefault="008271CC" w:rsidP="003D1341">
      <w:pPr>
        <w:pStyle w:val="NormalWeb"/>
      </w:pPr>
      <w:r>
        <w:rPr>
          <w:b/>
        </w:rPr>
        <w:t>Example 5.</w:t>
      </w:r>
      <w:r w:rsidR="004F48DE" w:rsidRPr="005457F2">
        <w:rPr>
          <w:b/>
        </w:rPr>
        <w:t>2</w:t>
      </w:r>
      <w:r w:rsidR="004F48DE" w:rsidRPr="005457F2">
        <w:t xml:space="preserve"> If two radiologists each rate only </w:t>
      </w:r>
      <w:r w:rsidR="00C05263">
        <w:t>5</w:t>
      </w:r>
      <w:r w:rsidR="00C05263" w:rsidRPr="005457F2">
        <w:t xml:space="preserve"> </w:t>
      </w:r>
      <w:r w:rsidR="004F48DE" w:rsidRPr="005457F2">
        <w:t xml:space="preserve">of </w:t>
      </w:r>
      <w:r w:rsidR="0011761F">
        <w:t>2</w:t>
      </w:r>
      <w:r w:rsidR="004F48DE" w:rsidRPr="005457F2">
        <w:t>00 x-rays as abnormal</w:t>
      </w:r>
      <w:r w:rsidR="00E858F7">
        <w:t xml:space="preserve"> (2.5%)</w:t>
      </w:r>
      <w:r w:rsidR="004F48DE" w:rsidRPr="005457F2">
        <w:t xml:space="preserve">, but do not agree </w:t>
      </w:r>
      <w:r w:rsidR="007F6CC4">
        <w:t xml:space="preserve">at all </w:t>
      </w:r>
      <w:r w:rsidR="004F48DE" w:rsidRPr="005457F2">
        <w:t xml:space="preserve">on which ones are abnormal, their observed agreement will still be (0 + </w:t>
      </w:r>
      <w:r w:rsidR="0011761F">
        <w:t>1</w:t>
      </w:r>
      <w:r w:rsidR="004F48DE" w:rsidRPr="005457F2">
        <w:t>90)/</w:t>
      </w:r>
      <w:r w:rsidR="0090343F">
        <w:t>2</w:t>
      </w:r>
      <w:r w:rsidR="0090343F" w:rsidRPr="005457F2">
        <w:t xml:space="preserve">00 </w:t>
      </w:r>
      <w:r w:rsidR="004F48DE" w:rsidRPr="005457F2">
        <w:t>= 9</w:t>
      </w:r>
      <w:r w:rsidR="007F6CC4">
        <w:t>5</w:t>
      </w:r>
      <w:r w:rsidR="004F48DE" w:rsidRPr="005457F2">
        <w:t>%.</w:t>
      </w:r>
    </w:p>
    <w:tbl>
      <w:tblPr>
        <w:tblW w:w="0" w:type="auto"/>
        <w:tblInd w:w="108" w:type="dxa"/>
        <w:tblLayout w:type="fixed"/>
        <w:tblLook w:val="04A0" w:firstRow="1" w:lastRow="0" w:firstColumn="1" w:lastColumn="0" w:noHBand="0" w:noVBand="1"/>
      </w:tblPr>
      <w:tblGrid>
        <w:gridCol w:w="1620"/>
        <w:gridCol w:w="1530"/>
        <w:gridCol w:w="1440"/>
        <w:gridCol w:w="1206"/>
        <w:gridCol w:w="1404"/>
      </w:tblGrid>
      <w:tr w:rsidR="00F95C28" w:rsidRPr="005457F2" w14:paraId="613A9508" w14:textId="77777777">
        <w:tc>
          <w:tcPr>
            <w:tcW w:w="7200" w:type="dxa"/>
            <w:gridSpan w:val="5"/>
            <w:shd w:val="clear" w:color="auto" w:fill="auto"/>
          </w:tcPr>
          <w:p w14:paraId="0FAFAADD" w14:textId="77777777" w:rsidR="00F95C28" w:rsidRPr="005457F2" w:rsidRDefault="00F95C28" w:rsidP="002F5A23">
            <w:pPr>
              <w:pStyle w:val="NlTable"/>
              <w:rPr>
                <w:b/>
              </w:rPr>
            </w:pPr>
          </w:p>
        </w:tc>
      </w:tr>
      <w:tr w:rsidR="00F95C28" w:rsidRPr="005457F2" w14:paraId="256E65F2" w14:textId="77777777" w:rsidTr="00E858F7">
        <w:tc>
          <w:tcPr>
            <w:tcW w:w="1620" w:type="dxa"/>
            <w:shd w:val="clear" w:color="auto" w:fill="auto"/>
          </w:tcPr>
          <w:p w14:paraId="1F744F51" w14:textId="77777777" w:rsidR="00F95C28" w:rsidRPr="005457F2" w:rsidRDefault="00F95C28" w:rsidP="002F5A23">
            <w:pPr>
              <w:pStyle w:val="NlTable"/>
            </w:pPr>
          </w:p>
        </w:tc>
        <w:tc>
          <w:tcPr>
            <w:tcW w:w="1530" w:type="dxa"/>
            <w:shd w:val="clear" w:color="auto" w:fill="auto"/>
          </w:tcPr>
          <w:p w14:paraId="4C13901F" w14:textId="77777777" w:rsidR="00F95C28" w:rsidRPr="005457F2" w:rsidRDefault="00F95C28" w:rsidP="004F48DE">
            <w:pPr>
              <w:pStyle w:val="NormalWeb"/>
              <w:rPr>
                <w:sz w:val="22"/>
                <w:szCs w:val="22"/>
              </w:rPr>
            </w:pPr>
          </w:p>
        </w:tc>
        <w:tc>
          <w:tcPr>
            <w:tcW w:w="2646" w:type="dxa"/>
            <w:gridSpan w:val="2"/>
            <w:shd w:val="clear" w:color="auto" w:fill="auto"/>
          </w:tcPr>
          <w:p w14:paraId="258CC9DC" w14:textId="77777777" w:rsidR="00F95C28" w:rsidRPr="005457F2" w:rsidRDefault="00F95C28" w:rsidP="002F5A23">
            <w:pPr>
              <w:pStyle w:val="NlTable"/>
              <w:jc w:val="center"/>
              <w:rPr>
                <w:b/>
              </w:rPr>
            </w:pPr>
            <w:r w:rsidRPr="005457F2">
              <w:rPr>
                <w:b/>
              </w:rPr>
              <w:t>Radiologist #2</w:t>
            </w:r>
          </w:p>
        </w:tc>
        <w:tc>
          <w:tcPr>
            <w:tcW w:w="1404" w:type="dxa"/>
            <w:shd w:val="clear" w:color="auto" w:fill="auto"/>
          </w:tcPr>
          <w:p w14:paraId="2528B32C" w14:textId="77777777" w:rsidR="00F95C28" w:rsidRPr="005457F2" w:rsidRDefault="00F95C28" w:rsidP="002F5A23">
            <w:pPr>
              <w:pStyle w:val="NormalWeb"/>
              <w:jc w:val="center"/>
              <w:rPr>
                <w:b/>
                <w:sz w:val="22"/>
                <w:szCs w:val="22"/>
              </w:rPr>
            </w:pPr>
          </w:p>
        </w:tc>
      </w:tr>
      <w:tr w:rsidR="00F95C28" w:rsidRPr="005457F2" w14:paraId="56FA1DED" w14:textId="77777777" w:rsidTr="00E858F7">
        <w:tc>
          <w:tcPr>
            <w:tcW w:w="1620" w:type="dxa"/>
            <w:shd w:val="clear" w:color="auto" w:fill="auto"/>
          </w:tcPr>
          <w:p w14:paraId="1749A8EB" w14:textId="77777777" w:rsidR="00F95C28" w:rsidRPr="005457F2" w:rsidRDefault="00F95C28" w:rsidP="002F5A23">
            <w:pPr>
              <w:pStyle w:val="NlTable"/>
            </w:pPr>
          </w:p>
        </w:tc>
        <w:tc>
          <w:tcPr>
            <w:tcW w:w="1530" w:type="dxa"/>
            <w:shd w:val="clear" w:color="auto" w:fill="auto"/>
          </w:tcPr>
          <w:p w14:paraId="7FE1F517" w14:textId="77777777" w:rsidR="00F95C28" w:rsidRPr="005457F2" w:rsidRDefault="00F95C28" w:rsidP="004F48DE">
            <w:pPr>
              <w:pStyle w:val="NormalWeb"/>
              <w:rPr>
                <w:sz w:val="22"/>
                <w:szCs w:val="22"/>
              </w:rPr>
            </w:pPr>
          </w:p>
        </w:tc>
        <w:tc>
          <w:tcPr>
            <w:tcW w:w="1440" w:type="dxa"/>
            <w:tcBorders>
              <w:bottom w:val="single" w:sz="4" w:space="0" w:color="auto"/>
            </w:tcBorders>
            <w:shd w:val="clear" w:color="auto" w:fill="auto"/>
          </w:tcPr>
          <w:p w14:paraId="1A847CA0" w14:textId="77777777" w:rsidR="00F95C28" w:rsidRPr="005457F2" w:rsidRDefault="00F95C28" w:rsidP="002F5A23">
            <w:pPr>
              <w:pStyle w:val="NlTable"/>
              <w:jc w:val="center"/>
              <w:rPr>
                <w:b/>
              </w:rPr>
            </w:pPr>
            <w:r w:rsidRPr="005457F2">
              <w:rPr>
                <w:b/>
              </w:rPr>
              <w:t>Abnormal</w:t>
            </w:r>
          </w:p>
        </w:tc>
        <w:tc>
          <w:tcPr>
            <w:tcW w:w="1206" w:type="dxa"/>
            <w:tcBorders>
              <w:bottom w:val="single" w:sz="4" w:space="0" w:color="auto"/>
            </w:tcBorders>
            <w:shd w:val="clear" w:color="auto" w:fill="auto"/>
          </w:tcPr>
          <w:p w14:paraId="67ADD6F8" w14:textId="77777777" w:rsidR="00F95C28" w:rsidRPr="005457F2" w:rsidRDefault="00F95C28" w:rsidP="002F5A23">
            <w:pPr>
              <w:pStyle w:val="NlTable"/>
              <w:jc w:val="center"/>
              <w:rPr>
                <w:b/>
              </w:rPr>
            </w:pPr>
            <w:r w:rsidRPr="005457F2">
              <w:rPr>
                <w:b/>
              </w:rPr>
              <w:t>Normal</w:t>
            </w:r>
          </w:p>
        </w:tc>
        <w:tc>
          <w:tcPr>
            <w:tcW w:w="1404" w:type="dxa"/>
            <w:shd w:val="clear" w:color="auto" w:fill="auto"/>
          </w:tcPr>
          <w:p w14:paraId="131CE7ED" w14:textId="77777777" w:rsidR="00F95C28" w:rsidRPr="005457F2" w:rsidRDefault="00F95C28" w:rsidP="002F5A23">
            <w:pPr>
              <w:pStyle w:val="NlTable"/>
              <w:jc w:val="center"/>
              <w:rPr>
                <w:b/>
              </w:rPr>
            </w:pPr>
            <w:r w:rsidRPr="005457F2">
              <w:rPr>
                <w:b/>
              </w:rPr>
              <w:t>Total</w:t>
            </w:r>
          </w:p>
        </w:tc>
      </w:tr>
      <w:tr w:rsidR="00F95C28" w:rsidRPr="005457F2" w14:paraId="31B04F07" w14:textId="77777777" w:rsidTr="00E858F7">
        <w:tc>
          <w:tcPr>
            <w:tcW w:w="1620" w:type="dxa"/>
            <w:vMerge w:val="restart"/>
            <w:shd w:val="clear" w:color="auto" w:fill="auto"/>
          </w:tcPr>
          <w:p w14:paraId="545AFB17" w14:textId="77777777" w:rsidR="00F95C28" w:rsidRPr="005457F2" w:rsidRDefault="00F95C28" w:rsidP="002F5A23">
            <w:pPr>
              <w:pStyle w:val="NlTable"/>
              <w:rPr>
                <w:b/>
              </w:rPr>
            </w:pPr>
            <w:r w:rsidRPr="005457F2">
              <w:rPr>
                <w:b/>
              </w:rPr>
              <w:t>Radiologist #1</w:t>
            </w:r>
          </w:p>
        </w:tc>
        <w:tc>
          <w:tcPr>
            <w:tcW w:w="1530" w:type="dxa"/>
            <w:tcBorders>
              <w:right w:val="single" w:sz="4" w:space="0" w:color="auto"/>
            </w:tcBorders>
            <w:shd w:val="clear" w:color="auto" w:fill="auto"/>
          </w:tcPr>
          <w:p w14:paraId="415F9412" w14:textId="77777777" w:rsidR="00F95C28" w:rsidRPr="005457F2" w:rsidRDefault="00F95C28" w:rsidP="002F5A23">
            <w:pPr>
              <w:pStyle w:val="NlTable"/>
              <w:rPr>
                <w:b/>
              </w:rPr>
            </w:pPr>
            <w:r w:rsidRPr="005457F2">
              <w:rPr>
                <w:b/>
              </w:rPr>
              <w:t>Abnormal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C053E7" w14:textId="77777777" w:rsidR="00F95C28" w:rsidRPr="005457F2" w:rsidRDefault="00F95C28" w:rsidP="002F5A23">
            <w:pPr>
              <w:pStyle w:val="NlTable"/>
              <w:jc w:val="center"/>
            </w:pPr>
            <w:r w:rsidRPr="005457F2">
              <w:rPr>
                <w:lang w:val="en-IN" w:eastAsia="en-IN"/>
              </w:rPr>
              <w:t>0</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F84D6" w14:textId="77777777" w:rsidR="00F95C28" w:rsidRPr="005457F2" w:rsidRDefault="00F95C28" w:rsidP="002F5A23">
            <w:pPr>
              <w:pStyle w:val="NlTable"/>
              <w:jc w:val="center"/>
            </w:pPr>
            <w:r w:rsidRPr="005457F2">
              <w:rPr>
                <w:lang w:val="en-IN" w:eastAsia="en-IN"/>
              </w:rPr>
              <w:t>5</w:t>
            </w:r>
          </w:p>
        </w:tc>
        <w:tc>
          <w:tcPr>
            <w:tcW w:w="1404" w:type="dxa"/>
            <w:tcBorders>
              <w:left w:val="single" w:sz="4" w:space="0" w:color="auto"/>
            </w:tcBorders>
            <w:shd w:val="clear" w:color="auto" w:fill="auto"/>
          </w:tcPr>
          <w:p w14:paraId="5E77B6E5" w14:textId="77777777" w:rsidR="00F95C28" w:rsidRPr="005457F2" w:rsidRDefault="00F95C28" w:rsidP="002F5A23">
            <w:pPr>
              <w:pStyle w:val="NlTable"/>
              <w:jc w:val="center"/>
            </w:pPr>
            <w:r w:rsidRPr="005457F2">
              <w:rPr>
                <w:lang w:val="en-IN" w:eastAsia="en-IN"/>
              </w:rPr>
              <w:t>5</w:t>
            </w:r>
          </w:p>
        </w:tc>
      </w:tr>
      <w:tr w:rsidR="00F95C28" w:rsidRPr="005457F2" w14:paraId="0904B663" w14:textId="77777777" w:rsidTr="00E858F7">
        <w:tc>
          <w:tcPr>
            <w:tcW w:w="1620" w:type="dxa"/>
            <w:vMerge/>
            <w:shd w:val="clear" w:color="auto" w:fill="auto"/>
          </w:tcPr>
          <w:p w14:paraId="53D47F3B" w14:textId="77777777" w:rsidR="00F95C28" w:rsidRPr="005457F2" w:rsidRDefault="00F95C28" w:rsidP="004F48DE">
            <w:pPr>
              <w:pStyle w:val="NormalWeb"/>
              <w:rPr>
                <w:b/>
                <w:sz w:val="22"/>
                <w:szCs w:val="22"/>
              </w:rPr>
            </w:pPr>
          </w:p>
        </w:tc>
        <w:tc>
          <w:tcPr>
            <w:tcW w:w="1530" w:type="dxa"/>
            <w:tcBorders>
              <w:right w:val="single" w:sz="4" w:space="0" w:color="auto"/>
            </w:tcBorders>
            <w:shd w:val="clear" w:color="auto" w:fill="auto"/>
          </w:tcPr>
          <w:p w14:paraId="1A21E369" w14:textId="77777777" w:rsidR="00F95C28" w:rsidRPr="005457F2" w:rsidRDefault="00F95C28" w:rsidP="002F5A23">
            <w:pPr>
              <w:pStyle w:val="NlTable"/>
              <w:rPr>
                <w:b/>
              </w:rPr>
            </w:pPr>
            <w:r w:rsidRPr="005457F2">
              <w:rPr>
                <w:b/>
                <w:lang w:val="en-IN" w:eastAsia="en-IN"/>
              </w:rPr>
              <w:t>Normal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1DF8FB" w14:textId="77777777" w:rsidR="00F95C28" w:rsidRPr="005457F2" w:rsidRDefault="00F95C28" w:rsidP="002F5A23">
            <w:pPr>
              <w:pStyle w:val="NlTable"/>
              <w:jc w:val="center"/>
            </w:pPr>
            <w:r w:rsidRPr="005457F2">
              <w:rPr>
                <w:lang w:val="en-IN" w:eastAsia="en-IN"/>
              </w:rPr>
              <w:t>5</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5E573C0" w14:textId="77777777" w:rsidR="00F95C28" w:rsidRPr="005457F2" w:rsidRDefault="007F6CC4" w:rsidP="002F5A23">
            <w:pPr>
              <w:pStyle w:val="NlTable"/>
              <w:jc w:val="center"/>
            </w:pPr>
            <w:r>
              <w:rPr>
                <w:lang w:val="en-IN" w:eastAsia="en-IN"/>
              </w:rPr>
              <w:t>1</w:t>
            </w:r>
            <w:r w:rsidR="00F95C28" w:rsidRPr="005457F2">
              <w:rPr>
                <w:lang w:val="en-IN" w:eastAsia="en-IN"/>
              </w:rPr>
              <w:t>90</w:t>
            </w:r>
          </w:p>
        </w:tc>
        <w:tc>
          <w:tcPr>
            <w:tcW w:w="1404" w:type="dxa"/>
            <w:tcBorders>
              <w:left w:val="single" w:sz="4" w:space="0" w:color="auto"/>
            </w:tcBorders>
            <w:shd w:val="clear" w:color="auto" w:fill="auto"/>
          </w:tcPr>
          <w:p w14:paraId="1E9659EE" w14:textId="77777777" w:rsidR="00F95C28" w:rsidRPr="005457F2" w:rsidRDefault="007F6CC4" w:rsidP="002F5A23">
            <w:pPr>
              <w:pStyle w:val="NlTable"/>
              <w:jc w:val="center"/>
            </w:pPr>
            <w:r>
              <w:rPr>
                <w:lang w:val="en-IN" w:eastAsia="en-IN"/>
              </w:rPr>
              <w:t>1</w:t>
            </w:r>
            <w:r w:rsidR="00F95C28" w:rsidRPr="005457F2">
              <w:rPr>
                <w:lang w:val="en-IN" w:eastAsia="en-IN"/>
              </w:rPr>
              <w:t>95</w:t>
            </w:r>
          </w:p>
        </w:tc>
      </w:tr>
      <w:tr w:rsidR="00F95C28" w:rsidRPr="005457F2" w14:paraId="33161FCB" w14:textId="77777777" w:rsidTr="00E858F7">
        <w:tc>
          <w:tcPr>
            <w:tcW w:w="1620" w:type="dxa"/>
            <w:shd w:val="clear" w:color="auto" w:fill="auto"/>
          </w:tcPr>
          <w:p w14:paraId="14D5ACEA" w14:textId="77777777" w:rsidR="00F95C28" w:rsidRPr="005457F2" w:rsidRDefault="00F95C28" w:rsidP="002F5A23">
            <w:pPr>
              <w:pStyle w:val="NlTable"/>
              <w:rPr>
                <w:b/>
              </w:rPr>
            </w:pPr>
          </w:p>
        </w:tc>
        <w:tc>
          <w:tcPr>
            <w:tcW w:w="1530" w:type="dxa"/>
            <w:shd w:val="clear" w:color="auto" w:fill="auto"/>
          </w:tcPr>
          <w:p w14:paraId="64574248" w14:textId="77777777" w:rsidR="00F95C28" w:rsidRPr="005457F2" w:rsidRDefault="00F95C28" w:rsidP="002F5A23">
            <w:pPr>
              <w:pStyle w:val="NlTable"/>
              <w:rPr>
                <w:b/>
              </w:rPr>
            </w:pPr>
            <w:r w:rsidRPr="005457F2">
              <w:rPr>
                <w:b/>
                <w:lang w:val="en-IN" w:eastAsia="en-IN"/>
              </w:rPr>
              <w:t>Total</w:t>
            </w:r>
          </w:p>
        </w:tc>
        <w:tc>
          <w:tcPr>
            <w:tcW w:w="1440" w:type="dxa"/>
            <w:tcBorders>
              <w:top w:val="single" w:sz="4" w:space="0" w:color="auto"/>
            </w:tcBorders>
            <w:shd w:val="clear" w:color="auto" w:fill="auto"/>
          </w:tcPr>
          <w:p w14:paraId="0296A39E" w14:textId="77777777" w:rsidR="00F95C28" w:rsidRPr="005457F2" w:rsidRDefault="00F95C28" w:rsidP="002F5A23">
            <w:pPr>
              <w:pStyle w:val="NlTable"/>
              <w:jc w:val="center"/>
              <w:rPr>
                <w:b/>
              </w:rPr>
            </w:pPr>
            <w:r w:rsidRPr="005457F2">
              <w:rPr>
                <w:b/>
                <w:lang w:val="en-IN" w:eastAsia="en-IN"/>
              </w:rPr>
              <w:t>5</w:t>
            </w:r>
          </w:p>
        </w:tc>
        <w:tc>
          <w:tcPr>
            <w:tcW w:w="1206" w:type="dxa"/>
            <w:tcBorders>
              <w:top w:val="single" w:sz="4" w:space="0" w:color="auto"/>
            </w:tcBorders>
            <w:shd w:val="clear" w:color="auto" w:fill="auto"/>
          </w:tcPr>
          <w:p w14:paraId="680FA79B" w14:textId="77777777" w:rsidR="00F95C28" w:rsidRPr="005457F2" w:rsidRDefault="007F6CC4" w:rsidP="002F5A23">
            <w:pPr>
              <w:pStyle w:val="NlTable"/>
              <w:jc w:val="center"/>
              <w:rPr>
                <w:b/>
              </w:rPr>
            </w:pPr>
            <w:r>
              <w:rPr>
                <w:b/>
                <w:lang w:val="en-IN" w:eastAsia="en-IN"/>
              </w:rPr>
              <w:t>1</w:t>
            </w:r>
            <w:r w:rsidR="00F95C28" w:rsidRPr="005457F2">
              <w:rPr>
                <w:b/>
                <w:lang w:val="en-IN" w:eastAsia="en-IN"/>
              </w:rPr>
              <w:t>95</w:t>
            </w:r>
          </w:p>
        </w:tc>
        <w:tc>
          <w:tcPr>
            <w:tcW w:w="1404" w:type="dxa"/>
            <w:shd w:val="clear" w:color="auto" w:fill="auto"/>
          </w:tcPr>
          <w:p w14:paraId="3B9DE2E4" w14:textId="77777777" w:rsidR="00F95C28" w:rsidRPr="005457F2" w:rsidRDefault="007F6CC4" w:rsidP="002F5A23">
            <w:pPr>
              <w:pStyle w:val="NlTable"/>
              <w:jc w:val="center"/>
              <w:rPr>
                <w:b/>
              </w:rPr>
            </w:pPr>
            <w:r>
              <w:rPr>
                <w:b/>
                <w:lang w:val="en-IN" w:eastAsia="en-IN"/>
              </w:rPr>
              <w:t>2</w:t>
            </w:r>
            <w:r w:rsidR="00F95C28" w:rsidRPr="005457F2">
              <w:rPr>
                <w:b/>
                <w:lang w:val="en-IN" w:eastAsia="en-IN"/>
              </w:rPr>
              <w:t>00</w:t>
            </w:r>
          </w:p>
        </w:tc>
      </w:tr>
    </w:tbl>
    <w:p w14:paraId="72CE75DA" w14:textId="77777777" w:rsidR="00B91CD8" w:rsidRPr="005457F2" w:rsidRDefault="004F48DE" w:rsidP="002F5A23">
      <w:pPr>
        <w:pStyle w:val="NormalWeb"/>
      </w:pPr>
      <w:r w:rsidRPr="005457F2">
        <w:t>In fact, if two observers both know an abnormality is uncommon, they can have nearly perfect agreement just by never or rarely saying that it is present.</w:t>
      </w:r>
    </w:p>
    <w:p w14:paraId="758C147E" w14:textId="77777777" w:rsidR="00B91CD8" w:rsidRPr="005457F2" w:rsidRDefault="004F48DE" w:rsidP="008A024C">
      <w:pPr>
        <w:pStyle w:val="Heading3"/>
      </w:pPr>
      <w:r w:rsidRPr="005457F2">
        <w:t>Kappa for dichotomous variables</w:t>
      </w:r>
    </w:p>
    <w:p w14:paraId="19FB1FFC" w14:textId="77777777" w:rsidR="00B91CD8" w:rsidRPr="005457F2" w:rsidRDefault="004F48DE" w:rsidP="00804A8F">
      <w:pPr>
        <w:pStyle w:val="NormalWeb"/>
      </w:pPr>
      <w:r w:rsidRPr="005457F2">
        <w:t xml:space="preserve">To address this problem, another measure of inter-observer agreement, called kappa (the Greek letter </w:t>
      </w:r>
      <w:r w:rsidRPr="005457F2">
        <w:rPr>
          <w:i/>
        </w:rPr>
        <w:t>κ</w:t>
      </w:r>
      <w:r w:rsidRPr="005457F2">
        <w:t>), is sometimes used. Kappa measures the extent of agreement inside a table, such as the ones in Examples 2.1 and 2.2, beyond what would be expected from the observers</w:t>
      </w:r>
      <w:r w:rsidR="00B91CD8" w:rsidRPr="005457F2">
        <w:t>’</w:t>
      </w:r>
      <w:r w:rsidRPr="005457F2">
        <w:t xml:space="preserve"> overall estimates of the frequency of the different categories. The observers</w:t>
      </w:r>
      <w:r w:rsidR="00B91CD8" w:rsidRPr="005457F2">
        <w:t>’</w:t>
      </w:r>
      <w:r w:rsidRPr="005457F2">
        <w:t xml:space="preserve"> estimated frequency of observations in each category is found from the totals for each row and column on the outside of the table. These outside totals are called the </w:t>
      </w:r>
      <w:r w:rsidR="00B91CD8" w:rsidRPr="005457F2">
        <w:t>“</w:t>
      </w:r>
      <w:r w:rsidRPr="005457F2">
        <w:t>marginals</w:t>
      </w:r>
      <w:r w:rsidR="00B91CD8" w:rsidRPr="005457F2">
        <w:t>”</w:t>
      </w:r>
      <w:r w:rsidRPr="005457F2">
        <w:t xml:space="preserve"> in the table. </w:t>
      </w:r>
      <w:r w:rsidR="00A36489">
        <w:t>Thus, k</w:t>
      </w:r>
      <w:r w:rsidRPr="005457F2">
        <w:t xml:space="preserve">appa measures agreement beyond what would be expected from the marginals. </w:t>
      </w:r>
      <w:r w:rsidR="003B3860">
        <w:t xml:space="preserve"> </w:t>
      </w:r>
      <w:r w:rsidRPr="005457F2">
        <w:t>Kappa ranges from −1</w:t>
      </w:r>
      <w:r w:rsidR="00C76F19" w:rsidRPr="005457F2">
        <w:t xml:space="preserve"> </w:t>
      </w:r>
      <w:r w:rsidRPr="005457F2">
        <w:t xml:space="preserve">(perfect disagreement) to 1 (perfect agreement). A kappa of 0 indicates that the amount of agreement was exactly </w:t>
      </w:r>
      <w:r w:rsidR="008864FB">
        <w:t xml:space="preserve">what would be </w:t>
      </w:r>
      <w:r w:rsidRPr="005457F2">
        <w:t>expected from the marginals. Kappa is calculated as:</w:t>
      </w:r>
    </w:p>
    <w:tbl>
      <w:tblPr>
        <w:tblW w:w="0" w:type="auto"/>
        <w:tblInd w:w="108" w:type="dxa"/>
        <w:tblLook w:val="04A0" w:firstRow="1" w:lastRow="0" w:firstColumn="1" w:lastColumn="0" w:noHBand="0" w:noVBand="1"/>
      </w:tblPr>
      <w:tblGrid>
        <w:gridCol w:w="6710"/>
        <w:gridCol w:w="1822"/>
      </w:tblGrid>
      <w:tr w:rsidR="00F5727E" w:rsidRPr="005457F2" w14:paraId="793BA326" w14:textId="77777777">
        <w:tc>
          <w:tcPr>
            <w:tcW w:w="6750" w:type="dxa"/>
            <w:shd w:val="clear" w:color="auto" w:fill="auto"/>
          </w:tcPr>
          <w:p w14:paraId="5206C3EA" w14:textId="77777777" w:rsidR="00F5727E" w:rsidRPr="005457F2" w:rsidRDefault="002F589D" w:rsidP="002E370E">
            <w:pPr>
              <w:pStyle w:val="NormalWeb"/>
              <w:jc w:val="center"/>
            </w:pPr>
            <w:r>
              <w:rPr>
                <w:noProof/>
                <w:position w:val="-28"/>
              </w:rPr>
              <w:drawing>
                <wp:inline distT="0" distB="0" distL="0" distR="0" wp14:anchorId="118278E7" wp14:editId="576CE965">
                  <wp:extent cx="3657600" cy="430530"/>
                  <wp:effectExtent l="0" t="0" r="0" b="127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430530"/>
                          </a:xfrm>
                          <a:prstGeom prst="rect">
                            <a:avLst/>
                          </a:prstGeom>
                          <a:noFill/>
                          <a:ln>
                            <a:noFill/>
                          </a:ln>
                        </pic:spPr>
                      </pic:pic>
                    </a:graphicData>
                  </a:graphic>
                </wp:inline>
              </w:drawing>
            </w:r>
          </w:p>
        </w:tc>
        <w:tc>
          <w:tcPr>
            <w:tcW w:w="1890" w:type="dxa"/>
            <w:shd w:val="clear" w:color="auto" w:fill="auto"/>
          </w:tcPr>
          <w:p w14:paraId="6896B8C7" w14:textId="77777777" w:rsidR="00F5727E" w:rsidRPr="005457F2" w:rsidRDefault="00F5727E" w:rsidP="002E370E">
            <w:pPr>
              <w:pStyle w:val="NormalWeb"/>
              <w:jc w:val="right"/>
              <w:rPr>
                <w:sz w:val="22"/>
                <w:szCs w:val="22"/>
              </w:rPr>
            </w:pPr>
            <w:r w:rsidRPr="005457F2">
              <w:rPr>
                <w:sz w:val="22"/>
                <w:szCs w:val="22"/>
              </w:rPr>
              <w:t>(</w:t>
            </w:r>
            <w:r w:rsidR="002D1EB0">
              <w:rPr>
                <w:sz w:val="22"/>
                <w:szCs w:val="22"/>
              </w:rPr>
              <w:t>Eq. 5</w:t>
            </w:r>
            <w:r w:rsidRPr="005457F2">
              <w:rPr>
                <w:sz w:val="22"/>
                <w:szCs w:val="22"/>
              </w:rPr>
              <w:t>.1)</w:t>
            </w:r>
          </w:p>
        </w:tc>
      </w:tr>
    </w:tbl>
    <w:p w14:paraId="7FEEE87B" w14:textId="77777777" w:rsidR="0059628F" w:rsidRPr="005457F2" w:rsidRDefault="0059628F" w:rsidP="0059628F">
      <w:pPr>
        <w:pStyle w:val="NormalWeb"/>
      </w:pPr>
      <w:r w:rsidRPr="005457F2">
        <w:t>Observed % agreement is the same as the concordance rate.</w:t>
      </w:r>
    </w:p>
    <w:p w14:paraId="0B59A44F" w14:textId="77777777" w:rsidR="00B91CD8" w:rsidRPr="005457F2" w:rsidRDefault="004F48DE" w:rsidP="008136A1">
      <w:pPr>
        <w:pStyle w:val="NormalWeb"/>
      </w:pPr>
      <w:r w:rsidRPr="005457F2">
        <w:rPr>
          <w:b/>
        </w:rPr>
        <w:t xml:space="preserve">Table </w:t>
      </w:r>
      <w:r w:rsidR="003746B4">
        <w:rPr>
          <w:b/>
        </w:rPr>
        <w:t>5</w:t>
      </w:r>
      <w:r w:rsidRPr="005457F2">
        <w:rPr>
          <w:b/>
        </w:rPr>
        <w:t>.1.</w:t>
      </w:r>
      <w:r w:rsidRPr="005457F2">
        <w:t xml:space="preserve"> Formula for kappa</w:t>
      </w:r>
    </w:p>
    <w:tbl>
      <w:tblPr>
        <w:tblW w:w="0" w:type="auto"/>
        <w:tblInd w:w="108" w:type="dxa"/>
        <w:tblLook w:val="04A0" w:firstRow="1" w:lastRow="0" w:firstColumn="1" w:lastColumn="0" w:noHBand="0" w:noVBand="1"/>
      </w:tblPr>
      <w:tblGrid>
        <w:gridCol w:w="1260"/>
        <w:gridCol w:w="990"/>
        <w:gridCol w:w="1170"/>
        <w:gridCol w:w="990"/>
        <w:gridCol w:w="900"/>
        <w:gridCol w:w="2880"/>
      </w:tblGrid>
      <w:tr w:rsidR="00AE5ECB" w:rsidRPr="005457F2" w14:paraId="4340DDA3" w14:textId="77777777">
        <w:tc>
          <w:tcPr>
            <w:tcW w:w="5310" w:type="dxa"/>
            <w:gridSpan w:val="5"/>
            <w:tcBorders>
              <w:bottom w:val="single" w:sz="4" w:space="0" w:color="auto"/>
            </w:tcBorders>
            <w:shd w:val="clear" w:color="auto" w:fill="auto"/>
          </w:tcPr>
          <w:p w14:paraId="0901144A" w14:textId="77777777" w:rsidR="00AE5ECB" w:rsidRPr="005457F2" w:rsidRDefault="00AE5ECB" w:rsidP="004253FA">
            <w:pPr>
              <w:pStyle w:val="Table"/>
              <w:jc w:val="center"/>
              <w:rPr>
                <w:sz w:val="22"/>
                <w:szCs w:val="22"/>
              </w:rPr>
            </w:pPr>
            <w:proofErr w:type="spellStart"/>
            <w:r w:rsidRPr="005457F2">
              <w:rPr>
                <w:sz w:val="22"/>
                <w:szCs w:val="22"/>
                <w:lang w:val="en-IN" w:eastAsia="en-IN"/>
              </w:rPr>
              <w:t>Rater</w:t>
            </w:r>
            <w:proofErr w:type="spellEnd"/>
            <w:r w:rsidRPr="005457F2">
              <w:rPr>
                <w:sz w:val="22"/>
                <w:szCs w:val="22"/>
                <w:lang w:val="en-IN" w:eastAsia="en-IN"/>
              </w:rPr>
              <w:t xml:space="preserve"> #2</w:t>
            </w:r>
          </w:p>
        </w:tc>
        <w:tc>
          <w:tcPr>
            <w:tcW w:w="2880" w:type="dxa"/>
            <w:tcBorders>
              <w:bottom w:val="single" w:sz="4" w:space="0" w:color="auto"/>
            </w:tcBorders>
            <w:shd w:val="clear" w:color="auto" w:fill="auto"/>
          </w:tcPr>
          <w:p w14:paraId="09740718" w14:textId="77777777" w:rsidR="00AE5ECB" w:rsidRPr="005457F2" w:rsidRDefault="00AE5ECB" w:rsidP="00405B93">
            <w:pPr>
              <w:pStyle w:val="Table"/>
              <w:rPr>
                <w:sz w:val="22"/>
                <w:szCs w:val="22"/>
                <w:lang w:val="en-IN" w:eastAsia="en-IN"/>
              </w:rPr>
            </w:pPr>
          </w:p>
        </w:tc>
      </w:tr>
      <w:tr w:rsidR="00AE5ECB" w:rsidRPr="005457F2" w14:paraId="32EE59E5" w14:textId="77777777">
        <w:tc>
          <w:tcPr>
            <w:tcW w:w="1260" w:type="dxa"/>
            <w:tcBorders>
              <w:top w:val="single" w:sz="4" w:space="0" w:color="auto"/>
            </w:tcBorders>
            <w:shd w:val="clear" w:color="auto" w:fill="auto"/>
          </w:tcPr>
          <w:p w14:paraId="2A839FB7" w14:textId="77777777" w:rsidR="00AE5ECB" w:rsidRPr="005457F2" w:rsidRDefault="00AE5ECB" w:rsidP="00405B93">
            <w:pPr>
              <w:pStyle w:val="Table"/>
              <w:rPr>
                <w:sz w:val="22"/>
                <w:szCs w:val="22"/>
              </w:rPr>
            </w:pPr>
          </w:p>
        </w:tc>
        <w:tc>
          <w:tcPr>
            <w:tcW w:w="990" w:type="dxa"/>
            <w:tcBorders>
              <w:top w:val="single" w:sz="4" w:space="0" w:color="auto"/>
            </w:tcBorders>
            <w:shd w:val="clear" w:color="auto" w:fill="auto"/>
          </w:tcPr>
          <w:p w14:paraId="1692FFBB" w14:textId="77777777" w:rsidR="00AE5ECB" w:rsidRPr="005457F2" w:rsidRDefault="00AE5ECB" w:rsidP="00871793">
            <w:pPr>
              <w:pStyle w:val="Table"/>
              <w:jc w:val="center"/>
              <w:rPr>
                <w:sz w:val="22"/>
                <w:szCs w:val="22"/>
              </w:rPr>
            </w:pPr>
          </w:p>
        </w:tc>
        <w:tc>
          <w:tcPr>
            <w:tcW w:w="1170" w:type="dxa"/>
            <w:tcBorders>
              <w:top w:val="single" w:sz="4" w:space="0" w:color="auto"/>
              <w:bottom w:val="single" w:sz="4" w:space="0" w:color="auto"/>
            </w:tcBorders>
            <w:shd w:val="clear" w:color="auto" w:fill="auto"/>
          </w:tcPr>
          <w:p w14:paraId="20697104" w14:textId="77777777" w:rsidR="00AE5ECB" w:rsidRPr="005457F2" w:rsidRDefault="00AE5ECB" w:rsidP="00871793">
            <w:pPr>
              <w:pStyle w:val="Table"/>
              <w:jc w:val="center"/>
              <w:rPr>
                <w:sz w:val="22"/>
                <w:szCs w:val="22"/>
              </w:rPr>
            </w:pPr>
            <w:r w:rsidRPr="005457F2">
              <w:rPr>
                <w:sz w:val="22"/>
                <w:szCs w:val="22"/>
              </w:rPr>
              <w:t>+</w:t>
            </w:r>
          </w:p>
        </w:tc>
        <w:tc>
          <w:tcPr>
            <w:tcW w:w="990" w:type="dxa"/>
            <w:tcBorders>
              <w:top w:val="single" w:sz="4" w:space="0" w:color="auto"/>
              <w:bottom w:val="single" w:sz="4" w:space="0" w:color="auto"/>
            </w:tcBorders>
            <w:shd w:val="clear" w:color="auto" w:fill="auto"/>
          </w:tcPr>
          <w:p w14:paraId="08217641" w14:textId="77777777" w:rsidR="00AE5ECB" w:rsidRPr="005457F2" w:rsidRDefault="00AE5ECB" w:rsidP="00871793">
            <w:pPr>
              <w:pStyle w:val="Table"/>
              <w:jc w:val="center"/>
              <w:rPr>
                <w:sz w:val="22"/>
                <w:szCs w:val="22"/>
              </w:rPr>
            </w:pPr>
            <w:r w:rsidRPr="005457F2">
              <w:rPr>
                <w:sz w:val="22"/>
                <w:szCs w:val="22"/>
              </w:rPr>
              <w:t>−</w:t>
            </w:r>
          </w:p>
        </w:tc>
        <w:tc>
          <w:tcPr>
            <w:tcW w:w="900" w:type="dxa"/>
            <w:tcBorders>
              <w:top w:val="single" w:sz="4" w:space="0" w:color="auto"/>
            </w:tcBorders>
            <w:shd w:val="clear" w:color="auto" w:fill="auto"/>
          </w:tcPr>
          <w:p w14:paraId="06C26040" w14:textId="77777777" w:rsidR="00AE5ECB" w:rsidRPr="005457F2" w:rsidRDefault="00AE5ECB" w:rsidP="00405B93">
            <w:pPr>
              <w:pStyle w:val="Table"/>
              <w:rPr>
                <w:sz w:val="22"/>
                <w:szCs w:val="22"/>
              </w:rPr>
            </w:pPr>
            <w:r w:rsidRPr="005457F2">
              <w:rPr>
                <w:sz w:val="22"/>
                <w:szCs w:val="22"/>
                <w:lang w:val="en-IN" w:eastAsia="en-IN"/>
              </w:rPr>
              <w:t>Total</w:t>
            </w:r>
          </w:p>
        </w:tc>
        <w:tc>
          <w:tcPr>
            <w:tcW w:w="2880" w:type="dxa"/>
            <w:tcBorders>
              <w:top w:val="single" w:sz="4" w:space="0" w:color="auto"/>
            </w:tcBorders>
            <w:shd w:val="clear" w:color="auto" w:fill="auto"/>
          </w:tcPr>
          <w:p w14:paraId="69F33969" w14:textId="77777777" w:rsidR="00AE5ECB" w:rsidRPr="005457F2" w:rsidRDefault="00AE5ECB" w:rsidP="00405B93">
            <w:pPr>
              <w:pStyle w:val="Table"/>
              <w:rPr>
                <w:sz w:val="22"/>
                <w:szCs w:val="22"/>
                <w:lang w:val="en-IN" w:eastAsia="en-IN"/>
              </w:rPr>
            </w:pPr>
          </w:p>
        </w:tc>
      </w:tr>
      <w:tr w:rsidR="00AE5ECB" w:rsidRPr="005457F2" w14:paraId="43CF83C6" w14:textId="77777777">
        <w:tc>
          <w:tcPr>
            <w:tcW w:w="1260" w:type="dxa"/>
            <w:shd w:val="clear" w:color="auto" w:fill="auto"/>
          </w:tcPr>
          <w:p w14:paraId="7CFB7D7B" w14:textId="77777777" w:rsidR="00AE5ECB" w:rsidRPr="005457F2" w:rsidRDefault="00871793" w:rsidP="00405B93">
            <w:pPr>
              <w:pStyle w:val="Table"/>
              <w:rPr>
                <w:sz w:val="22"/>
                <w:szCs w:val="22"/>
              </w:rPr>
            </w:pPr>
            <w:proofErr w:type="spellStart"/>
            <w:r w:rsidRPr="005457F2">
              <w:rPr>
                <w:sz w:val="22"/>
                <w:szCs w:val="22"/>
                <w:lang w:val="en-IN" w:eastAsia="en-IN"/>
              </w:rPr>
              <w:t>Rater</w:t>
            </w:r>
            <w:proofErr w:type="spellEnd"/>
            <w:r w:rsidRPr="005457F2">
              <w:rPr>
                <w:sz w:val="22"/>
                <w:szCs w:val="22"/>
                <w:lang w:val="en-IN" w:eastAsia="en-IN"/>
              </w:rPr>
              <w:t xml:space="preserve"> #1</w:t>
            </w:r>
          </w:p>
        </w:tc>
        <w:tc>
          <w:tcPr>
            <w:tcW w:w="990" w:type="dxa"/>
            <w:tcBorders>
              <w:right w:val="single" w:sz="4" w:space="0" w:color="auto"/>
            </w:tcBorders>
            <w:shd w:val="clear" w:color="auto" w:fill="auto"/>
          </w:tcPr>
          <w:p w14:paraId="5709C8F9" w14:textId="77777777" w:rsidR="00AE5ECB" w:rsidRPr="005457F2" w:rsidRDefault="00AE5ECB" w:rsidP="00871793">
            <w:pPr>
              <w:pStyle w:val="Table"/>
              <w:jc w:val="center"/>
              <w:rPr>
                <w:sz w:val="22"/>
                <w:szCs w:val="22"/>
              </w:rPr>
            </w:pPr>
            <w:r w:rsidRPr="005457F2">
              <w:rPr>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D6FEAE0" w14:textId="77777777" w:rsidR="00AE5ECB" w:rsidRPr="005457F2" w:rsidRDefault="00AE5ECB" w:rsidP="00871793">
            <w:pPr>
              <w:pStyle w:val="Table"/>
              <w:jc w:val="center"/>
              <w:rPr>
                <w:sz w:val="22"/>
                <w:szCs w:val="22"/>
              </w:rPr>
            </w:pPr>
            <w:r w:rsidRPr="005457F2">
              <w:rPr>
                <w:sz w:val="22"/>
                <w:szCs w:val="22"/>
              </w:rPr>
              <w:t>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99254DD" w14:textId="77777777" w:rsidR="00AE5ECB" w:rsidRPr="005457F2" w:rsidRDefault="00AE5ECB" w:rsidP="00871793">
            <w:pPr>
              <w:pStyle w:val="Table"/>
              <w:jc w:val="center"/>
              <w:rPr>
                <w:sz w:val="22"/>
                <w:szCs w:val="22"/>
              </w:rPr>
            </w:pPr>
            <w:r w:rsidRPr="005457F2">
              <w:rPr>
                <w:sz w:val="22"/>
                <w:szCs w:val="22"/>
              </w:rPr>
              <w:t>b</w:t>
            </w:r>
          </w:p>
        </w:tc>
        <w:tc>
          <w:tcPr>
            <w:tcW w:w="900" w:type="dxa"/>
            <w:tcBorders>
              <w:left w:val="single" w:sz="4" w:space="0" w:color="auto"/>
            </w:tcBorders>
            <w:shd w:val="clear" w:color="auto" w:fill="auto"/>
          </w:tcPr>
          <w:p w14:paraId="3DCE72AF" w14:textId="77777777" w:rsidR="00AE5ECB" w:rsidRPr="005457F2" w:rsidRDefault="00AE5ECB" w:rsidP="00405B93">
            <w:pPr>
              <w:pStyle w:val="Table"/>
              <w:rPr>
                <w:sz w:val="22"/>
                <w:szCs w:val="22"/>
              </w:rPr>
            </w:pPr>
            <w:r w:rsidRPr="005457F2">
              <w:rPr>
                <w:sz w:val="22"/>
                <w:szCs w:val="22"/>
                <w:lang w:val="en-IN" w:eastAsia="en-IN"/>
              </w:rPr>
              <w:t>R</w:t>
            </w:r>
            <w:r w:rsidRPr="005457F2">
              <w:rPr>
                <w:sz w:val="22"/>
                <w:szCs w:val="22"/>
                <w:vertAlign w:val="subscript"/>
              </w:rPr>
              <w:t>1</w:t>
            </w:r>
          </w:p>
        </w:tc>
        <w:tc>
          <w:tcPr>
            <w:tcW w:w="2880" w:type="dxa"/>
            <w:shd w:val="clear" w:color="auto" w:fill="auto"/>
          </w:tcPr>
          <w:p w14:paraId="34127998" w14:textId="77777777" w:rsidR="00AE5ECB" w:rsidRPr="005457F2" w:rsidRDefault="00AE5ECB" w:rsidP="00405B93">
            <w:pPr>
              <w:pStyle w:val="Table"/>
              <w:rPr>
                <w:sz w:val="22"/>
                <w:szCs w:val="22"/>
                <w:lang w:val="en-IN" w:eastAsia="en-IN"/>
              </w:rPr>
            </w:pPr>
          </w:p>
        </w:tc>
      </w:tr>
      <w:tr w:rsidR="00AE5ECB" w:rsidRPr="005457F2" w14:paraId="5CD54C66" w14:textId="77777777">
        <w:tc>
          <w:tcPr>
            <w:tcW w:w="1260" w:type="dxa"/>
            <w:shd w:val="clear" w:color="auto" w:fill="auto"/>
          </w:tcPr>
          <w:p w14:paraId="0AFF2EAE" w14:textId="77777777" w:rsidR="00AE5ECB" w:rsidRPr="005457F2" w:rsidRDefault="00AE5ECB" w:rsidP="00405B93">
            <w:pPr>
              <w:pStyle w:val="Table"/>
              <w:rPr>
                <w:sz w:val="22"/>
                <w:szCs w:val="22"/>
              </w:rPr>
            </w:pPr>
          </w:p>
        </w:tc>
        <w:tc>
          <w:tcPr>
            <w:tcW w:w="990" w:type="dxa"/>
            <w:tcBorders>
              <w:right w:val="single" w:sz="4" w:space="0" w:color="auto"/>
            </w:tcBorders>
            <w:shd w:val="clear" w:color="auto" w:fill="auto"/>
          </w:tcPr>
          <w:p w14:paraId="7AAE8453" w14:textId="77777777" w:rsidR="00AE5ECB" w:rsidRPr="005457F2" w:rsidRDefault="00AE5ECB" w:rsidP="00871793">
            <w:pPr>
              <w:pStyle w:val="Table"/>
              <w:jc w:val="center"/>
              <w:rPr>
                <w:sz w:val="22"/>
                <w:szCs w:val="22"/>
              </w:rPr>
            </w:pPr>
            <w:r w:rsidRPr="005457F2">
              <w:rPr>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17706C" w14:textId="77777777" w:rsidR="00AE5ECB" w:rsidRPr="005457F2" w:rsidRDefault="00AE5ECB" w:rsidP="00871793">
            <w:pPr>
              <w:pStyle w:val="Table"/>
              <w:jc w:val="center"/>
              <w:rPr>
                <w:sz w:val="22"/>
                <w:szCs w:val="22"/>
              </w:rPr>
            </w:pPr>
            <w:r w:rsidRPr="005457F2">
              <w:rPr>
                <w:sz w:val="22"/>
                <w:szCs w:val="22"/>
              </w:rPr>
              <w:t>c</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4093E8" w14:textId="77777777" w:rsidR="00AE5ECB" w:rsidRPr="005457F2" w:rsidRDefault="00AE5ECB" w:rsidP="00871793">
            <w:pPr>
              <w:pStyle w:val="Table"/>
              <w:jc w:val="center"/>
              <w:rPr>
                <w:sz w:val="22"/>
                <w:szCs w:val="22"/>
              </w:rPr>
            </w:pPr>
            <w:r w:rsidRPr="005457F2">
              <w:rPr>
                <w:sz w:val="22"/>
                <w:szCs w:val="22"/>
              </w:rPr>
              <w:t>d</w:t>
            </w:r>
          </w:p>
        </w:tc>
        <w:tc>
          <w:tcPr>
            <w:tcW w:w="900" w:type="dxa"/>
            <w:tcBorders>
              <w:left w:val="single" w:sz="4" w:space="0" w:color="auto"/>
            </w:tcBorders>
            <w:shd w:val="clear" w:color="auto" w:fill="auto"/>
          </w:tcPr>
          <w:p w14:paraId="62771FB8" w14:textId="77777777" w:rsidR="00AE5ECB" w:rsidRPr="005457F2" w:rsidRDefault="00AE5ECB" w:rsidP="00405B93">
            <w:pPr>
              <w:pStyle w:val="Table"/>
              <w:rPr>
                <w:sz w:val="22"/>
                <w:szCs w:val="22"/>
              </w:rPr>
            </w:pPr>
            <w:r w:rsidRPr="005457F2">
              <w:rPr>
                <w:sz w:val="22"/>
                <w:szCs w:val="22"/>
                <w:lang w:val="en-IN" w:eastAsia="en-IN"/>
              </w:rPr>
              <w:t>R</w:t>
            </w:r>
            <w:r w:rsidRPr="005457F2">
              <w:rPr>
                <w:sz w:val="22"/>
                <w:szCs w:val="22"/>
                <w:vertAlign w:val="subscript"/>
              </w:rPr>
              <w:t>2</w:t>
            </w:r>
          </w:p>
        </w:tc>
        <w:tc>
          <w:tcPr>
            <w:tcW w:w="2880" w:type="dxa"/>
            <w:shd w:val="clear" w:color="auto" w:fill="auto"/>
          </w:tcPr>
          <w:p w14:paraId="0F08BA07" w14:textId="77777777" w:rsidR="00AE5ECB" w:rsidRPr="005457F2" w:rsidRDefault="00AE5ECB" w:rsidP="00405B93">
            <w:pPr>
              <w:pStyle w:val="Table"/>
              <w:rPr>
                <w:sz w:val="22"/>
                <w:szCs w:val="22"/>
                <w:lang w:val="en-IN" w:eastAsia="en-IN"/>
              </w:rPr>
            </w:pPr>
          </w:p>
        </w:tc>
      </w:tr>
      <w:tr w:rsidR="00AE5ECB" w:rsidRPr="005457F2" w14:paraId="2AE97853" w14:textId="77777777">
        <w:tc>
          <w:tcPr>
            <w:tcW w:w="1260" w:type="dxa"/>
            <w:tcBorders>
              <w:bottom w:val="single" w:sz="4" w:space="0" w:color="auto"/>
            </w:tcBorders>
            <w:shd w:val="clear" w:color="auto" w:fill="auto"/>
          </w:tcPr>
          <w:p w14:paraId="7DE0C52F" w14:textId="77777777" w:rsidR="00AE5ECB" w:rsidRPr="005457F2" w:rsidRDefault="00AE5ECB" w:rsidP="00405B93">
            <w:pPr>
              <w:pStyle w:val="Table"/>
              <w:rPr>
                <w:sz w:val="22"/>
                <w:szCs w:val="22"/>
              </w:rPr>
            </w:pPr>
          </w:p>
        </w:tc>
        <w:tc>
          <w:tcPr>
            <w:tcW w:w="990" w:type="dxa"/>
            <w:tcBorders>
              <w:bottom w:val="single" w:sz="4" w:space="0" w:color="auto"/>
            </w:tcBorders>
            <w:shd w:val="clear" w:color="auto" w:fill="auto"/>
          </w:tcPr>
          <w:p w14:paraId="32F99E00" w14:textId="77777777" w:rsidR="00AE5ECB" w:rsidRPr="005457F2" w:rsidRDefault="00AE5ECB" w:rsidP="00871793">
            <w:pPr>
              <w:pStyle w:val="Table"/>
              <w:jc w:val="center"/>
              <w:rPr>
                <w:sz w:val="22"/>
                <w:szCs w:val="22"/>
              </w:rPr>
            </w:pPr>
            <w:r w:rsidRPr="005457F2">
              <w:rPr>
                <w:sz w:val="22"/>
                <w:szCs w:val="22"/>
                <w:lang w:val="en-IN" w:eastAsia="en-IN"/>
              </w:rPr>
              <w:t>Total</w:t>
            </w:r>
          </w:p>
        </w:tc>
        <w:tc>
          <w:tcPr>
            <w:tcW w:w="1170" w:type="dxa"/>
            <w:tcBorders>
              <w:top w:val="single" w:sz="4" w:space="0" w:color="auto"/>
              <w:bottom w:val="single" w:sz="4" w:space="0" w:color="auto"/>
            </w:tcBorders>
            <w:shd w:val="clear" w:color="auto" w:fill="auto"/>
          </w:tcPr>
          <w:p w14:paraId="2D2F3EA4" w14:textId="77777777" w:rsidR="00AE5ECB" w:rsidRPr="005457F2" w:rsidRDefault="00AE5ECB" w:rsidP="00871793">
            <w:pPr>
              <w:pStyle w:val="Table"/>
              <w:jc w:val="center"/>
              <w:rPr>
                <w:sz w:val="22"/>
                <w:szCs w:val="22"/>
              </w:rPr>
            </w:pPr>
            <w:r w:rsidRPr="005457F2">
              <w:rPr>
                <w:sz w:val="22"/>
                <w:szCs w:val="22"/>
                <w:lang w:val="en-IN" w:eastAsia="en-IN"/>
              </w:rPr>
              <w:t>C</w:t>
            </w:r>
            <w:r w:rsidRPr="005457F2">
              <w:rPr>
                <w:sz w:val="22"/>
                <w:szCs w:val="22"/>
                <w:vertAlign w:val="subscript"/>
              </w:rPr>
              <w:t>1</w:t>
            </w:r>
          </w:p>
        </w:tc>
        <w:tc>
          <w:tcPr>
            <w:tcW w:w="990" w:type="dxa"/>
            <w:tcBorders>
              <w:top w:val="single" w:sz="4" w:space="0" w:color="auto"/>
              <w:bottom w:val="single" w:sz="4" w:space="0" w:color="auto"/>
            </w:tcBorders>
            <w:shd w:val="clear" w:color="auto" w:fill="auto"/>
          </w:tcPr>
          <w:p w14:paraId="0882EEDA" w14:textId="77777777" w:rsidR="00AE5ECB" w:rsidRPr="005457F2" w:rsidRDefault="00AE5ECB" w:rsidP="00871793">
            <w:pPr>
              <w:pStyle w:val="Table"/>
              <w:jc w:val="center"/>
              <w:rPr>
                <w:sz w:val="22"/>
                <w:szCs w:val="22"/>
              </w:rPr>
            </w:pPr>
            <w:r w:rsidRPr="005457F2">
              <w:rPr>
                <w:sz w:val="22"/>
                <w:szCs w:val="22"/>
                <w:lang w:val="en-IN" w:eastAsia="en-IN"/>
              </w:rPr>
              <w:t>C</w:t>
            </w:r>
            <w:r w:rsidRPr="005457F2">
              <w:rPr>
                <w:sz w:val="22"/>
                <w:szCs w:val="22"/>
                <w:vertAlign w:val="subscript"/>
              </w:rPr>
              <w:t>2</w:t>
            </w:r>
          </w:p>
        </w:tc>
        <w:tc>
          <w:tcPr>
            <w:tcW w:w="900" w:type="dxa"/>
            <w:tcBorders>
              <w:bottom w:val="single" w:sz="4" w:space="0" w:color="auto"/>
            </w:tcBorders>
            <w:shd w:val="clear" w:color="auto" w:fill="auto"/>
          </w:tcPr>
          <w:p w14:paraId="2211C96F" w14:textId="77777777" w:rsidR="00AE5ECB" w:rsidRPr="005457F2" w:rsidRDefault="00AE5ECB" w:rsidP="00405B93">
            <w:pPr>
              <w:pStyle w:val="Table"/>
              <w:rPr>
                <w:sz w:val="22"/>
                <w:szCs w:val="22"/>
              </w:rPr>
            </w:pPr>
            <w:r w:rsidRPr="005457F2">
              <w:rPr>
                <w:sz w:val="22"/>
                <w:szCs w:val="22"/>
              </w:rPr>
              <w:t>N</w:t>
            </w:r>
          </w:p>
        </w:tc>
        <w:tc>
          <w:tcPr>
            <w:tcW w:w="2880" w:type="dxa"/>
            <w:tcBorders>
              <w:bottom w:val="single" w:sz="4" w:space="0" w:color="auto"/>
            </w:tcBorders>
            <w:shd w:val="clear" w:color="auto" w:fill="auto"/>
          </w:tcPr>
          <w:p w14:paraId="1F696F8F" w14:textId="77777777" w:rsidR="00AE5ECB" w:rsidRPr="005457F2" w:rsidRDefault="00AE5ECB" w:rsidP="00405B93">
            <w:pPr>
              <w:pStyle w:val="Table"/>
              <w:rPr>
                <w:sz w:val="22"/>
                <w:szCs w:val="22"/>
              </w:rPr>
            </w:pPr>
          </w:p>
        </w:tc>
      </w:tr>
      <w:tr w:rsidR="00AE5ECB" w:rsidRPr="005457F2" w14:paraId="6B8FF5DF" w14:textId="77777777">
        <w:tc>
          <w:tcPr>
            <w:tcW w:w="4410" w:type="dxa"/>
            <w:gridSpan w:val="4"/>
            <w:tcBorders>
              <w:top w:val="single" w:sz="4" w:space="0" w:color="auto"/>
            </w:tcBorders>
            <w:shd w:val="clear" w:color="auto" w:fill="auto"/>
          </w:tcPr>
          <w:p w14:paraId="59B9C48B" w14:textId="77777777" w:rsidR="00AE5ECB" w:rsidRPr="005457F2" w:rsidRDefault="00AE5ECB" w:rsidP="00871793">
            <w:pPr>
              <w:pStyle w:val="Table"/>
              <w:jc w:val="center"/>
              <w:rPr>
                <w:sz w:val="22"/>
                <w:szCs w:val="22"/>
              </w:rPr>
            </w:pPr>
            <w:r w:rsidRPr="005457F2">
              <w:rPr>
                <w:sz w:val="22"/>
                <w:szCs w:val="22"/>
                <w:lang w:val="en-IN" w:eastAsia="en-IN"/>
              </w:rPr>
              <w:t>Observed % Agreement (sum along diagonal and divide by N):</w:t>
            </w:r>
          </w:p>
        </w:tc>
        <w:tc>
          <w:tcPr>
            <w:tcW w:w="900" w:type="dxa"/>
            <w:tcBorders>
              <w:top w:val="single" w:sz="4" w:space="0" w:color="auto"/>
            </w:tcBorders>
            <w:shd w:val="clear" w:color="auto" w:fill="auto"/>
          </w:tcPr>
          <w:p w14:paraId="46B5F1C5" w14:textId="77777777" w:rsidR="00AE5ECB" w:rsidRPr="005457F2" w:rsidRDefault="00AE5ECB" w:rsidP="00405B93">
            <w:pPr>
              <w:pStyle w:val="Table"/>
              <w:rPr>
                <w:sz w:val="22"/>
                <w:szCs w:val="22"/>
              </w:rPr>
            </w:pPr>
          </w:p>
        </w:tc>
        <w:tc>
          <w:tcPr>
            <w:tcW w:w="2880" w:type="dxa"/>
            <w:tcBorders>
              <w:top w:val="single" w:sz="4" w:space="0" w:color="auto"/>
            </w:tcBorders>
            <w:shd w:val="clear" w:color="auto" w:fill="auto"/>
          </w:tcPr>
          <w:p w14:paraId="4D08F446" w14:textId="77777777" w:rsidR="00AE5ECB" w:rsidRPr="005457F2" w:rsidRDefault="00CE36FD" w:rsidP="00405B93">
            <w:pPr>
              <w:pStyle w:val="Table"/>
              <w:rPr>
                <w:sz w:val="22"/>
                <w:szCs w:val="22"/>
              </w:rPr>
            </w:pPr>
            <w:r w:rsidRPr="005457F2">
              <w:rPr>
                <w:sz w:val="22"/>
                <w:szCs w:val="22"/>
                <w:lang w:val="en-IN" w:eastAsia="en-IN"/>
              </w:rPr>
              <w:t>(a + d)</w:t>
            </w:r>
            <w:r w:rsidRPr="005457F2">
              <w:rPr>
                <w:i/>
                <w:iCs/>
                <w:sz w:val="22"/>
                <w:szCs w:val="22"/>
                <w:lang w:val="en-IN" w:eastAsia="en-IN"/>
              </w:rPr>
              <w:t>/</w:t>
            </w:r>
            <w:r w:rsidRPr="005457F2">
              <w:rPr>
                <w:sz w:val="22"/>
                <w:szCs w:val="22"/>
                <w:lang w:val="en-IN" w:eastAsia="en-IN"/>
              </w:rPr>
              <w:t>N</w:t>
            </w:r>
          </w:p>
        </w:tc>
      </w:tr>
      <w:tr w:rsidR="00AE5ECB" w:rsidRPr="005457F2" w14:paraId="6169763E" w14:textId="77777777">
        <w:tc>
          <w:tcPr>
            <w:tcW w:w="4410" w:type="dxa"/>
            <w:gridSpan w:val="4"/>
            <w:shd w:val="clear" w:color="auto" w:fill="auto"/>
          </w:tcPr>
          <w:p w14:paraId="0CD8610E" w14:textId="77777777" w:rsidR="00AE5ECB" w:rsidRPr="005457F2" w:rsidRDefault="00AE5ECB" w:rsidP="00405B93">
            <w:pPr>
              <w:pStyle w:val="Table"/>
              <w:rPr>
                <w:sz w:val="22"/>
                <w:szCs w:val="22"/>
              </w:rPr>
            </w:pPr>
            <w:r w:rsidRPr="005457F2">
              <w:rPr>
                <w:sz w:val="22"/>
                <w:szCs w:val="22"/>
                <w:lang w:val="en-IN" w:eastAsia="en-IN"/>
              </w:rPr>
              <w:t>Expected number for +</w:t>
            </w:r>
            <w:r w:rsidRPr="005457F2">
              <w:rPr>
                <w:i/>
                <w:iCs/>
                <w:sz w:val="22"/>
                <w:szCs w:val="22"/>
                <w:lang w:val="en-IN" w:eastAsia="en-IN"/>
              </w:rPr>
              <w:t>/</w:t>
            </w:r>
            <w:r w:rsidRPr="005457F2">
              <w:rPr>
                <w:sz w:val="22"/>
                <w:szCs w:val="22"/>
                <w:lang w:val="en-IN" w:eastAsia="en-IN"/>
              </w:rPr>
              <w:t>+ cell:</w:t>
            </w:r>
          </w:p>
        </w:tc>
        <w:tc>
          <w:tcPr>
            <w:tcW w:w="900" w:type="dxa"/>
            <w:shd w:val="clear" w:color="auto" w:fill="auto"/>
          </w:tcPr>
          <w:p w14:paraId="640FFF12" w14:textId="77777777" w:rsidR="00AE5ECB" w:rsidRPr="005457F2" w:rsidRDefault="00AE5ECB" w:rsidP="00405B93">
            <w:pPr>
              <w:pStyle w:val="Table"/>
              <w:rPr>
                <w:sz w:val="22"/>
                <w:szCs w:val="22"/>
              </w:rPr>
            </w:pPr>
          </w:p>
        </w:tc>
        <w:tc>
          <w:tcPr>
            <w:tcW w:w="2880" w:type="dxa"/>
            <w:shd w:val="clear" w:color="auto" w:fill="auto"/>
          </w:tcPr>
          <w:p w14:paraId="54B93D17" w14:textId="77777777" w:rsidR="00AE5ECB" w:rsidRPr="005457F2" w:rsidRDefault="00CE36FD" w:rsidP="00405B93">
            <w:pPr>
              <w:pStyle w:val="Table"/>
              <w:rPr>
                <w:sz w:val="22"/>
                <w:szCs w:val="22"/>
              </w:rPr>
            </w:pPr>
            <w:r w:rsidRPr="005457F2">
              <w:rPr>
                <w:sz w:val="22"/>
                <w:szCs w:val="22"/>
                <w:lang w:val="en-IN" w:eastAsia="en-IN"/>
              </w:rPr>
              <w:t>R</w:t>
            </w:r>
            <w:r w:rsidRPr="005457F2">
              <w:rPr>
                <w:sz w:val="22"/>
                <w:szCs w:val="22"/>
                <w:vertAlign w:val="subscript"/>
                <w:lang w:val="en-IN" w:eastAsia="en-IN"/>
              </w:rPr>
              <w:t>1</w:t>
            </w:r>
            <w:r w:rsidRPr="005457F2">
              <w:rPr>
                <w:i/>
                <w:iCs/>
                <w:sz w:val="22"/>
                <w:szCs w:val="22"/>
                <w:lang w:val="en-IN" w:eastAsia="en-IN"/>
              </w:rPr>
              <w:t>/</w:t>
            </w:r>
            <w:r w:rsidRPr="005457F2">
              <w:rPr>
                <w:sz w:val="22"/>
                <w:szCs w:val="22"/>
                <w:lang w:val="en-IN" w:eastAsia="en-IN"/>
              </w:rPr>
              <w:t>N × C</w:t>
            </w:r>
            <w:r w:rsidRPr="005457F2">
              <w:rPr>
                <w:sz w:val="22"/>
                <w:szCs w:val="22"/>
                <w:vertAlign w:val="subscript"/>
                <w:lang w:val="en-IN" w:eastAsia="en-IN"/>
              </w:rPr>
              <w:t>1</w:t>
            </w:r>
          </w:p>
        </w:tc>
      </w:tr>
      <w:tr w:rsidR="00AE5ECB" w:rsidRPr="005457F2" w14:paraId="619FE1AF" w14:textId="77777777">
        <w:tc>
          <w:tcPr>
            <w:tcW w:w="4410" w:type="dxa"/>
            <w:gridSpan w:val="4"/>
            <w:shd w:val="clear" w:color="auto" w:fill="auto"/>
          </w:tcPr>
          <w:p w14:paraId="25EA0F07" w14:textId="77777777" w:rsidR="00AE5ECB" w:rsidRPr="005457F2" w:rsidRDefault="00AE5ECB" w:rsidP="00405B93">
            <w:pPr>
              <w:pStyle w:val="Table"/>
              <w:rPr>
                <w:sz w:val="22"/>
                <w:szCs w:val="22"/>
              </w:rPr>
            </w:pPr>
            <w:r w:rsidRPr="005457F2">
              <w:rPr>
                <w:sz w:val="22"/>
                <w:szCs w:val="22"/>
                <w:lang w:val="en-IN" w:eastAsia="en-IN"/>
              </w:rPr>
              <w:t>Expected number for −</w:t>
            </w:r>
            <w:r w:rsidRPr="005457F2">
              <w:rPr>
                <w:i/>
                <w:iCs/>
                <w:sz w:val="22"/>
                <w:szCs w:val="22"/>
                <w:lang w:val="en-IN" w:eastAsia="en-IN"/>
              </w:rPr>
              <w:t>/</w:t>
            </w:r>
            <w:r w:rsidRPr="005457F2">
              <w:rPr>
                <w:sz w:val="22"/>
                <w:szCs w:val="22"/>
                <w:lang w:val="en-IN" w:eastAsia="en-IN"/>
              </w:rPr>
              <w:t>− cell:</w:t>
            </w:r>
          </w:p>
        </w:tc>
        <w:tc>
          <w:tcPr>
            <w:tcW w:w="900" w:type="dxa"/>
            <w:shd w:val="clear" w:color="auto" w:fill="auto"/>
          </w:tcPr>
          <w:p w14:paraId="1F4F459A" w14:textId="77777777" w:rsidR="00AE5ECB" w:rsidRPr="005457F2" w:rsidRDefault="00AE5ECB" w:rsidP="00405B93">
            <w:pPr>
              <w:pStyle w:val="Table"/>
              <w:rPr>
                <w:sz w:val="22"/>
                <w:szCs w:val="22"/>
              </w:rPr>
            </w:pPr>
          </w:p>
        </w:tc>
        <w:tc>
          <w:tcPr>
            <w:tcW w:w="2880" w:type="dxa"/>
            <w:shd w:val="clear" w:color="auto" w:fill="auto"/>
          </w:tcPr>
          <w:p w14:paraId="3F2DF86A" w14:textId="77777777" w:rsidR="00AE5ECB" w:rsidRPr="005457F2" w:rsidRDefault="00CE36FD" w:rsidP="00405B93">
            <w:pPr>
              <w:pStyle w:val="Table"/>
              <w:rPr>
                <w:sz w:val="22"/>
                <w:szCs w:val="22"/>
              </w:rPr>
            </w:pPr>
            <w:r w:rsidRPr="005457F2">
              <w:rPr>
                <w:sz w:val="22"/>
                <w:szCs w:val="22"/>
                <w:lang w:val="en-IN" w:eastAsia="en-IN"/>
              </w:rPr>
              <w:t>R</w:t>
            </w:r>
            <w:r w:rsidRPr="005457F2">
              <w:rPr>
                <w:sz w:val="22"/>
                <w:szCs w:val="22"/>
                <w:vertAlign w:val="subscript"/>
                <w:lang w:val="en-IN" w:eastAsia="en-IN"/>
              </w:rPr>
              <w:t>2</w:t>
            </w:r>
            <w:r w:rsidRPr="005457F2">
              <w:rPr>
                <w:i/>
                <w:iCs/>
                <w:sz w:val="22"/>
                <w:szCs w:val="22"/>
                <w:lang w:val="en-IN" w:eastAsia="en-IN"/>
              </w:rPr>
              <w:t>/</w:t>
            </w:r>
            <w:r w:rsidRPr="005457F2">
              <w:rPr>
                <w:sz w:val="22"/>
                <w:szCs w:val="22"/>
                <w:lang w:val="en-IN" w:eastAsia="en-IN"/>
              </w:rPr>
              <w:t>N × C</w:t>
            </w:r>
            <w:r w:rsidRPr="005457F2">
              <w:rPr>
                <w:sz w:val="22"/>
                <w:szCs w:val="22"/>
                <w:vertAlign w:val="subscript"/>
                <w:lang w:val="en-IN" w:eastAsia="en-IN"/>
              </w:rPr>
              <w:t>2</w:t>
            </w:r>
          </w:p>
        </w:tc>
      </w:tr>
      <w:tr w:rsidR="00AE5ECB" w:rsidRPr="005457F2" w14:paraId="4DB63A0A" w14:textId="77777777">
        <w:tc>
          <w:tcPr>
            <w:tcW w:w="4410" w:type="dxa"/>
            <w:gridSpan w:val="4"/>
            <w:shd w:val="clear" w:color="auto" w:fill="auto"/>
          </w:tcPr>
          <w:p w14:paraId="4DA1D4FC" w14:textId="77777777" w:rsidR="00AE5ECB" w:rsidRPr="005457F2" w:rsidRDefault="00AE5ECB" w:rsidP="00405B93">
            <w:pPr>
              <w:pStyle w:val="Table"/>
              <w:rPr>
                <w:sz w:val="22"/>
                <w:szCs w:val="22"/>
                <w:lang w:val="en-IN" w:eastAsia="en-IN"/>
              </w:rPr>
            </w:pPr>
            <w:r w:rsidRPr="005457F2">
              <w:rPr>
                <w:sz w:val="22"/>
                <w:szCs w:val="22"/>
                <w:lang w:val="en-IN" w:eastAsia="en-IN"/>
              </w:rPr>
              <w:t>Expected % Agreement (sum expected numbers along diagonal and divide by N) :</w:t>
            </w:r>
          </w:p>
        </w:tc>
        <w:tc>
          <w:tcPr>
            <w:tcW w:w="900" w:type="dxa"/>
            <w:shd w:val="clear" w:color="auto" w:fill="auto"/>
          </w:tcPr>
          <w:p w14:paraId="54749C4A" w14:textId="77777777" w:rsidR="00AE5ECB" w:rsidRPr="005457F2" w:rsidRDefault="00AE5ECB" w:rsidP="00405B93">
            <w:pPr>
              <w:pStyle w:val="Table"/>
              <w:rPr>
                <w:sz w:val="22"/>
                <w:szCs w:val="22"/>
              </w:rPr>
            </w:pPr>
          </w:p>
        </w:tc>
        <w:tc>
          <w:tcPr>
            <w:tcW w:w="2880" w:type="dxa"/>
            <w:shd w:val="clear" w:color="auto" w:fill="auto"/>
          </w:tcPr>
          <w:p w14:paraId="189CAD6F" w14:textId="77777777" w:rsidR="00AE5ECB" w:rsidRPr="005457F2" w:rsidRDefault="00CE36FD" w:rsidP="00405B93">
            <w:pPr>
              <w:pStyle w:val="Table"/>
              <w:rPr>
                <w:sz w:val="22"/>
                <w:szCs w:val="22"/>
              </w:rPr>
            </w:pPr>
            <w:r w:rsidRPr="005457F2">
              <w:rPr>
                <w:sz w:val="22"/>
                <w:szCs w:val="22"/>
                <w:lang w:val="en-IN" w:eastAsia="en-IN"/>
              </w:rPr>
              <w:t>(R</w:t>
            </w:r>
            <w:r w:rsidRPr="005457F2">
              <w:rPr>
                <w:sz w:val="22"/>
                <w:szCs w:val="22"/>
                <w:vertAlign w:val="subscript"/>
                <w:lang w:val="en-IN" w:eastAsia="en-IN"/>
              </w:rPr>
              <w:t>1</w:t>
            </w:r>
            <w:r w:rsidRPr="005457F2">
              <w:rPr>
                <w:i/>
                <w:iCs/>
                <w:sz w:val="22"/>
                <w:szCs w:val="22"/>
                <w:lang w:val="en-IN" w:eastAsia="en-IN"/>
              </w:rPr>
              <w:t>/</w:t>
            </w:r>
            <w:r w:rsidRPr="005457F2">
              <w:rPr>
                <w:sz w:val="22"/>
                <w:szCs w:val="22"/>
                <w:lang w:val="en-IN" w:eastAsia="en-IN"/>
              </w:rPr>
              <w:t>N × C</w:t>
            </w:r>
            <w:r w:rsidRPr="005457F2">
              <w:rPr>
                <w:sz w:val="22"/>
                <w:szCs w:val="22"/>
                <w:vertAlign w:val="subscript"/>
                <w:lang w:val="en-IN" w:eastAsia="en-IN"/>
              </w:rPr>
              <w:t>1</w:t>
            </w:r>
            <w:r w:rsidRPr="005457F2">
              <w:rPr>
                <w:sz w:val="22"/>
                <w:szCs w:val="22"/>
                <w:lang w:val="en-IN" w:eastAsia="en-IN"/>
              </w:rPr>
              <w:t xml:space="preserve"> + R</w:t>
            </w:r>
            <w:r w:rsidRPr="005457F2">
              <w:rPr>
                <w:sz w:val="22"/>
                <w:szCs w:val="22"/>
                <w:vertAlign w:val="subscript"/>
                <w:lang w:val="en-IN" w:eastAsia="en-IN"/>
              </w:rPr>
              <w:t>2</w:t>
            </w:r>
            <w:r w:rsidRPr="005457F2">
              <w:rPr>
                <w:i/>
                <w:iCs/>
                <w:sz w:val="22"/>
                <w:szCs w:val="22"/>
                <w:lang w:val="en-IN" w:eastAsia="en-IN"/>
              </w:rPr>
              <w:t>/</w:t>
            </w:r>
            <w:r w:rsidRPr="005457F2">
              <w:rPr>
                <w:sz w:val="22"/>
                <w:szCs w:val="22"/>
                <w:lang w:val="en-IN" w:eastAsia="en-IN"/>
              </w:rPr>
              <w:t>N × C</w:t>
            </w:r>
            <w:r w:rsidRPr="005457F2">
              <w:rPr>
                <w:sz w:val="22"/>
                <w:szCs w:val="22"/>
                <w:vertAlign w:val="subscript"/>
                <w:lang w:val="en-IN" w:eastAsia="en-IN"/>
              </w:rPr>
              <w:t>2</w:t>
            </w:r>
            <w:r w:rsidRPr="005457F2">
              <w:rPr>
                <w:sz w:val="22"/>
                <w:szCs w:val="22"/>
                <w:lang w:val="en-IN" w:eastAsia="en-IN"/>
              </w:rPr>
              <w:t>)</w:t>
            </w:r>
            <w:r w:rsidRPr="005457F2">
              <w:rPr>
                <w:i/>
                <w:iCs/>
                <w:sz w:val="22"/>
                <w:szCs w:val="22"/>
                <w:lang w:val="en-IN" w:eastAsia="en-IN"/>
              </w:rPr>
              <w:t>/</w:t>
            </w:r>
            <w:r w:rsidRPr="005457F2">
              <w:rPr>
                <w:sz w:val="22"/>
                <w:szCs w:val="22"/>
                <w:lang w:val="en-IN" w:eastAsia="en-IN"/>
              </w:rPr>
              <w:t>N</w:t>
            </w:r>
            <w:r w:rsidR="008B3C36">
              <w:rPr>
                <w:sz w:val="22"/>
                <w:szCs w:val="22"/>
                <w:lang w:val="en-IN" w:eastAsia="en-IN"/>
              </w:rPr>
              <w:br/>
              <w:t xml:space="preserve">= </w:t>
            </w:r>
            <w:r w:rsidR="008B3C36" w:rsidRPr="005457F2">
              <w:rPr>
                <w:sz w:val="22"/>
                <w:szCs w:val="22"/>
                <w:lang w:val="en-IN" w:eastAsia="en-IN"/>
              </w:rPr>
              <w:t>(R</w:t>
            </w:r>
            <w:r w:rsidR="008B3C36" w:rsidRPr="005457F2">
              <w:rPr>
                <w:sz w:val="22"/>
                <w:szCs w:val="22"/>
                <w:vertAlign w:val="subscript"/>
                <w:lang w:val="en-IN" w:eastAsia="en-IN"/>
              </w:rPr>
              <w:t>1</w:t>
            </w:r>
            <w:r w:rsidR="008B3C36">
              <w:rPr>
                <w:sz w:val="22"/>
                <w:szCs w:val="22"/>
                <w:lang w:val="en-IN" w:eastAsia="en-IN"/>
              </w:rPr>
              <w:t xml:space="preserve"> </w:t>
            </w:r>
            <w:r w:rsidR="008B3C36" w:rsidRPr="005457F2">
              <w:rPr>
                <w:sz w:val="22"/>
                <w:szCs w:val="22"/>
                <w:lang w:val="en-IN" w:eastAsia="en-IN"/>
              </w:rPr>
              <w:t>× C</w:t>
            </w:r>
            <w:r w:rsidR="008B3C36" w:rsidRPr="005457F2">
              <w:rPr>
                <w:sz w:val="22"/>
                <w:szCs w:val="22"/>
                <w:vertAlign w:val="subscript"/>
                <w:lang w:val="en-IN" w:eastAsia="en-IN"/>
              </w:rPr>
              <w:t>1</w:t>
            </w:r>
            <w:r w:rsidR="008B3C36" w:rsidRPr="005457F2">
              <w:rPr>
                <w:sz w:val="22"/>
                <w:szCs w:val="22"/>
                <w:lang w:val="en-IN" w:eastAsia="en-IN"/>
              </w:rPr>
              <w:t xml:space="preserve"> + R</w:t>
            </w:r>
            <w:r w:rsidR="008B3C36" w:rsidRPr="005457F2">
              <w:rPr>
                <w:sz w:val="22"/>
                <w:szCs w:val="22"/>
                <w:vertAlign w:val="subscript"/>
                <w:lang w:val="en-IN" w:eastAsia="en-IN"/>
              </w:rPr>
              <w:t>2</w:t>
            </w:r>
            <w:r w:rsidR="008B3C36">
              <w:rPr>
                <w:i/>
                <w:iCs/>
                <w:sz w:val="22"/>
                <w:szCs w:val="22"/>
                <w:lang w:val="en-IN" w:eastAsia="en-IN"/>
              </w:rPr>
              <w:t xml:space="preserve"> </w:t>
            </w:r>
            <w:r w:rsidR="008B3C36" w:rsidRPr="005457F2">
              <w:rPr>
                <w:sz w:val="22"/>
                <w:szCs w:val="22"/>
                <w:lang w:val="en-IN" w:eastAsia="en-IN"/>
              </w:rPr>
              <w:t>× C</w:t>
            </w:r>
            <w:r w:rsidR="008B3C36" w:rsidRPr="005457F2">
              <w:rPr>
                <w:sz w:val="22"/>
                <w:szCs w:val="22"/>
                <w:vertAlign w:val="subscript"/>
                <w:lang w:val="en-IN" w:eastAsia="en-IN"/>
              </w:rPr>
              <w:t>2</w:t>
            </w:r>
            <w:r w:rsidR="008B3C36" w:rsidRPr="005457F2">
              <w:rPr>
                <w:sz w:val="22"/>
                <w:szCs w:val="22"/>
                <w:lang w:val="en-IN" w:eastAsia="en-IN"/>
              </w:rPr>
              <w:t>)</w:t>
            </w:r>
            <w:r w:rsidR="008B3C36" w:rsidRPr="005457F2">
              <w:rPr>
                <w:i/>
                <w:iCs/>
                <w:sz w:val="22"/>
                <w:szCs w:val="22"/>
                <w:lang w:val="en-IN" w:eastAsia="en-IN"/>
              </w:rPr>
              <w:t>/</w:t>
            </w:r>
            <w:r w:rsidR="008B3C36" w:rsidRPr="005457F2">
              <w:rPr>
                <w:sz w:val="22"/>
                <w:szCs w:val="22"/>
                <w:lang w:val="en-IN" w:eastAsia="en-IN"/>
              </w:rPr>
              <w:t>N</w:t>
            </w:r>
            <w:r w:rsidR="008B3C36" w:rsidRPr="008B3C36">
              <w:rPr>
                <w:sz w:val="22"/>
                <w:szCs w:val="22"/>
                <w:vertAlign w:val="superscript"/>
                <w:lang w:val="en-IN" w:eastAsia="en-IN"/>
              </w:rPr>
              <w:t>2</w:t>
            </w:r>
          </w:p>
        </w:tc>
      </w:tr>
      <w:tr w:rsidR="00703426" w:rsidRPr="005457F2" w14:paraId="63A1B06E" w14:textId="77777777">
        <w:tc>
          <w:tcPr>
            <w:tcW w:w="8190" w:type="dxa"/>
            <w:gridSpan w:val="6"/>
            <w:tcBorders>
              <w:bottom w:val="single" w:sz="4" w:space="0" w:color="auto"/>
            </w:tcBorders>
            <w:shd w:val="clear" w:color="auto" w:fill="auto"/>
          </w:tcPr>
          <w:p w14:paraId="62DD6CBE" w14:textId="77777777" w:rsidR="00703426" w:rsidRPr="005457F2" w:rsidRDefault="002F589D" w:rsidP="004253FA">
            <w:pPr>
              <w:pStyle w:val="Table"/>
              <w:jc w:val="center"/>
              <w:rPr>
                <w:sz w:val="22"/>
                <w:szCs w:val="22"/>
              </w:rPr>
            </w:pPr>
            <w:r>
              <w:rPr>
                <w:noProof/>
                <w:position w:val="-28"/>
                <w:sz w:val="22"/>
                <w:szCs w:val="22"/>
              </w:rPr>
              <w:lastRenderedPageBreak/>
              <w:drawing>
                <wp:inline distT="0" distB="0" distL="0" distR="0" wp14:anchorId="1D62E1F5" wp14:editId="0842AB46">
                  <wp:extent cx="3657600" cy="430530"/>
                  <wp:effectExtent l="0" t="0" r="0" b="12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430530"/>
                          </a:xfrm>
                          <a:prstGeom prst="rect">
                            <a:avLst/>
                          </a:prstGeom>
                          <a:noFill/>
                          <a:ln>
                            <a:noFill/>
                          </a:ln>
                        </pic:spPr>
                      </pic:pic>
                    </a:graphicData>
                  </a:graphic>
                </wp:inline>
              </w:drawing>
            </w:r>
          </w:p>
        </w:tc>
      </w:tr>
    </w:tbl>
    <w:p w14:paraId="4CFA4C05" w14:textId="77777777" w:rsidR="00B91CD8" w:rsidRPr="005457F2" w:rsidRDefault="004F48DE" w:rsidP="000C5D67">
      <w:pPr>
        <w:pStyle w:val="Heading4"/>
      </w:pPr>
      <w:r w:rsidRPr="005457F2">
        <w:t>Calculating expected agreement</w:t>
      </w:r>
    </w:p>
    <w:p w14:paraId="39433069" w14:textId="77777777" w:rsidR="00B91CD8" w:rsidRPr="005457F2" w:rsidRDefault="004F48DE" w:rsidP="003D1341">
      <w:pPr>
        <w:pStyle w:val="NormalWeb"/>
      </w:pPr>
      <w:r w:rsidRPr="005457F2">
        <w:t>We obtain expected agreement by adding the expected agreement in each cell along the diagonal. For each cell, the number of agreements expected from the marginals is the proportion of total observations found in that cell</w:t>
      </w:r>
      <w:r w:rsidR="00B91CD8" w:rsidRPr="005457F2">
        <w:t>’</w:t>
      </w:r>
      <w:r w:rsidRPr="005457F2">
        <w:t>s row (the row total divided by the sample size) times the number of observations found in that cell</w:t>
      </w:r>
      <w:r w:rsidR="00B91CD8" w:rsidRPr="005457F2">
        <w:t>’</w:t>
      </w:r>
      <w:r w:rsidRPr="005457F2">
        <w:t>s column (the</w:t>
      </w:r>
      <w:r w:rsidR="00E66CCE" w:rsidRPr="005457F2">
        <w:t xml:space="preserve"> </w:t>
      </w:r>
      <w:r w:rsidRPr="005457F2">
        <w:t>column</w:t>
      </w:r>
      <w:r w:rsidR="00E66CCE" w:rsidRPr="005457F2">
        <w:t xml:space="preserve"> </w:t>
      </w:r>
      <w:r w:rsidRPr="005457F2">
        <w:t>total).</w:t>
      </w:r>
      <w:r w:rsidR="004A638A" w:rsidRPr="005457F2">
        <w:t xml:space="preserve"> </w:t>
      </w:r>
      <w:r w:rsidRPr="005457F2">
        <w:t>We</w:t>
      </w:r>
      <w:r w:rsidR="00E66CCE" w:rsidRPr="005457F2">
        <w:t xml:space="preserve"> </w:t>
      </w:r>
      <w:r w:rsidRPr="005457F2">
        <w:t>will</w:t>
      </w:r>
      <w:r w:rsidR="00E66CCE" w:rsidRPr="005457F2">
        <w:t xml:space="preserve"> </w:t>
      </w:r>
      <w:r w:rsidRPr="005457F2">
        <w:t>illustrate</w:t>
      </w:r>
      <w:r w:rsidR="00E66CCE" w:rsidRPr="005457F2">
        <w:t xml:space="preserve"> </w:t>
      </w:r>
      <w:r w:rsidRPr="005457F2">
        <w:t>why</w:t>
      </w:r>
      <w:r w:rsidR="00E66CCE" w:rsidRPr="005457F2">
        <w:t xml:space="preserve"> </w:t>
      </w:r>
      <w:r w:rsidRPr="005457F2">
        <w:t>this</w:t>
      </w:r>
      <w:r w:rsidR="00E66CCE" w:rsidRPr="005457F2">
        <w:t xml:space="preserve"> </w:t>
      </w:r>
      <w:r w:rsidRPr="005457F2">
        <w:t>is</w:t>
      </w:r>
      <w:r w:rsidR="00E66CCE" w:rsidRPr="005457F2">
        <w:t xml:space="preserve"> </w:t>
      </w:r>
      <w:r w:rsidRPr="005457F2">
        <w:t>so</w:t>
      </w:r>
      <w:r w:rsidR="00E66CCE" w:rsidRPr="005457F2">
        <w:t xml:space="preserve"> </w:t>
      </w:r>
      <w:r w:rsidR="00493CA7">
        <w:t>in the next section</w:t>
      </w:r>
      <w:r w:rsidRPr="005457F2">
        <w:t>.</w:t>
      </w:r>
    </w:p>
    <w:p w14:paraId="61A508C1" w14:textId="77777777" w:rsidR="00B91CD8" w:rsidRPr="005457F2" w:rsidRDefault="004F48DE" w:rsidP="00397496">
      <w:pPr>
        <w:pStyle w:val="NormalWeb"/>
      </w:pPr>
      <w:r w:rsidRPr="005457F2">
        <w:t xml:space="preserve">In </w:t>
      </w:r>
      <w:r w:rsidR="008271CC">
        <w:t>Example 5.</w:t>
      </w:r>
      <w:r w:rsidRPr="005457F2">
        <w:t xml:space="preserve">1, the expected number in the </w:t>
      </w:r>
      <w:r w:rsidR="00B91CD8" w:rsidRPr="005457F2">
        <w:t>“</w:t>
      </w:r>
      <w:r w:rsidRPr="005457F2">
        <w:t>Abnormal/Abnormal</w:t>
      </w:r>
      <w:r w:rsidR="00B91CD8" w:rsidRPr="005457F2">
        <w:t>”</w:t>
      </w:r>
      <w:r w:rsidRPr="005457F2">
        <w:t xml:space="preserve"> cell is </w:t>
      </w:r>
      <w:r w:rsidR="00F41C71">
        <w:t>6</w:t>
      </w:r>
      <w:r w:rsidRPr="005457F2">
        <w:t>0/</w:t>
      </w:r>
      <w:r w:rsidR="00F41C71">
        <w:t>2</w:t>
      </w:r>
      <w:r w:rsidRPr="005457F2">
        <w:t xml:space="preserve">00 × </w:t>
      </w:r>
      <w:r w:rsidR="00F41C71">
        <w:t>70</w:t>
      </w:r>
      <w:r w:rsidR="004C278F">
        <w:t xml:space="preserve"> </w:t>
      </w:r>
      <w:r w:rsidRPr="005457F2">
        <w:t xml:space="preserve">= </w:t>
      </w:r>
      <w:r w:rsidR="004C278F">
        <w:t>21</w:t>
      </w:r>
      <w:r w:rsidRPr="005457F2">
        <w:t xml:space="preserve">. The expected number in the </w:t>
      </w:r>
      <w:r w:rsidR="00B91CD8" w:rsidRPr="005457F2">
        <w:t>“</w:t>
      </w:r>
      <w:r w:rsidRPr="005457F2">
        <w:t>Normal/Normal</w:t>
      </w:r>
      <w:r w:rsidR="00B91CD8" w:rsidRPr="005457F2">
        <w:t>”</w:t>
      </w:r>
      <w:r w:rsidRPr="005457F2">
        <w:t xml:space="preserve"> cell is </w:t>
      </w:r>
      <w:r w:rsidR="004C278F">
        <w:t>140</w:t>
      </w:r>
      <w:r w:rsidRPr="005457F2">
        <w:rPr>
          <w:i/>
        </w:rPr>
        <w:t>/</w:t>
      </w:r>
      <w:r w:rsidR="004C278F">
        <w:t>2</w:t>
      </w:r>
      <w:r w:rsidRPr="005457F2">
        <w:t xml:space="preserve">00 × </w:t>
      </w:r>
      <w:r w:rsidR="004C278F">
        <w:t>130</w:t>
      </w:r>
      <w:r w:rsidRPr="005457F2">
        <w:t xml:space="preserve"> = 0.7 × </w:t>
      </w:r>
      <w:r w:rsidR="004C278F">
        <w:t>130</w:t>
      </w:r>
      <w:r w:rsidRPr="005457F2">
        <w:t xml:space="preserve"> = </w:t>
      </w:r>
      <w:r w:rsidR="004C278F">
        <w:t>91</w:t>
      </w:r>
      <w:r w:rsidRPr="005457F2">
        <w:t>. So</w:t>
      </w:r>
      <w:r w:rsidR="00620CB4">
        <w:t>,</w:t>
      </w:r>
      <w:r w:rsidRPr="005457F2">
        <w:t xml:space="preserve"> the total expected number of agreements is </w:t>
      </w:r>
      <w:r w:rsidR="004C278F">
        <w:t>21</w:t>
      </w:r>
      <w:r w:rsidRPr="005457F2">
        <w:t xml:space="preserve"> + </w:t>
      </w:r>
      <w:r w:rsidR="004C278F">
        <w:t>91</w:t>
      </w:r>
      <w:r w:rsidRPr="005457F2">
        <w:t xml:space="preserve"> = </w:t>
      </w:r>
      <w:r w:rsidR="004C278F">
        <w:t>112</w:t>
      </w:r>
      <w:r w:rsidRPr="005457F2">
        <w:t xml:space="preserve">, and the expected % agreement is </w:t>
      </w:r>
      <w:r w:rsidR="00280928">
        <w:t>112</w:t>
      </w:r>
      <w:r w:rsidRPr="005457F2">
        <w:rPr>
          <w:i/>
        </w:rPr>
        <w:t>/</w:t>
      </w:r>
      <w:r w:rsidR="00280928">
        <w:t>2</w:t>
      </w:r>
      <w:r w:rsidRPr="005457F2">
        <w:t xml:space="preserve">00 = 56%. In contrast, in </w:t>
      </w:r>
      <w:r w:rsidR="008271CC">
        <w:t>Example 5.</w:t>
      </w:r>
      <w:r w:rsidRPr="005457F2">
        <w:t>2, in which both observers agree that abnormality was uncommon, the expected % agreement is much higher: [(5/</w:t>
      </w:r>
      <w:r w:rsidR="00280928">
        <w:t>2</w:t>
      </w:r>
      <w:r w:rsidRPr="005457F2">
        <w:t>00 × 5) + (</w:t>
      </w:r>
      <w:r w:rsidR="00280928">
        <w:t>19</w:t>
      </w:r>
      <w:r w:rsidR="00D14D00">
        <w:t>5</w:t>
      </w:r>
      <w:r w:rsidRPr="005457F2">
        <w:t>/</w:t>
      </w:r>
      <w:r w:rsidR="00280928">
        <w:t>2</w:t>
      </w:r>
      <w:r w:rsidRPr="005457F2">
        <w:t xml:space="preserve">00 × </w:t>
      </w:r>
      <w:r w:rsidR="00280928">
        <w:t>19</w:t>
      </w:r>
      <w:r w:rsidR="00D14D00">
        <w:t>5</w:t>
      </w:r>
      <w:r w:rsidRPr="005457F2">
        <w:t>)]/</w:t>
      </w:r>
      <w:r w:rsidR="00280928">
        <w:t>2</w:t>
      </w:r>
      <w:r w:rsidR="00C37CB1">
        <w:t xml:space="preserve">00 </w:t>
      </w:r>
      <w:r w:rsidR="00C670A8">
        <w:t>~</w:t>
      </w:r>
      <w:r w:rsidRPr="005457F2">
        <w:t xml:space="preserve"> </w:t>
      </w:r>
      <w:r w:rsidR="00C670A8">
        <w:t>95</w:t>
      </w:r>
      <w:r w:rsidRPr="005457F2">
        <w:t>%.</w:t>
      </w:r>
    </w:p>
    <w:p w14:paraId="134DC170" w14:textId="77777777" w:rsidR="00B91CD8" w:rsidRPr="005457F2" w:rsidRDefault="004F48DE" w:rsidP="000C5D67">
      <w:pPr>
        <w:pStyle w:val="Heading4"/>
      </w:pPr>
      <w:r w:rsidRPr="005457F2">
        <w:t>Understanding expected agreement</w:t>
      </w:r>
    </w:p>
    <w:p w14:paraId="290299B1" w14:textId="77777777" w:rsidR="00B91CD8" w:rsidRPr="005457F2" w:rsidRDefault="004F48DE" w:rsidP="003D1341">
      <w:pPr>
        <w:pStyle w:val="NormalWeb"/>
      </w:pPr>
      <w:r w:rsidRPr="005457F2">
        <w:t>The expected agreement used in calculating kappa is sometimes referred to as the agreement</w:t>
      </w:r>
      <w:r w:rsidR="00CD0413" w:rsidRPr="005457F2">
        <w:t xml:space="preserve"> </w:t>
      </w:r>
      <w:r w:rsidRPr="005457F2">
        <w:t>expected</w:t>
      </w:r>
      <w:r w:rsidR="00CD0413" w:rsidRPr="005457F2">
        <w:t xml:space="preserve"> </w:t>
      </w:r>
      <w:r w:rsidRPr="005457F2">
        <w:t>by</w:t>
      </w:r>
      <w:r w:rsidR="00CD0413" w:rsidRPr="005457F2">
        <w:t xml:space="preserve"> </w:t>
      </w:r>
      <w:r w:rsidRPr="005457F2">
        <w:t>chance</w:t>
      </w:r>
      <w:r w:rsidR="00CD0413" w:rsidRPr="005457F2">
        <w:t xml:space="preserve"> </w:t>
      </w:r>
      <w:r w:rsidRPr="005457F2">
        <w:t>alone.</w:t>
      </w:r>
      <w:r w:rsidR="00C00098" w:rsidRPr="005457F2">
        <w:t xml:space="preserve"> </w:t>
      </w:r>
      <w:r w:rsidRPr="005457F2">
        <w:t>We</w:t>
      </w:r>
      <w:r w:rsidR="00C00098" w:rsidRPr="005457F2">
        <w:t xml:space="preserve"> </w:t>
      </w:r>
      <w:r w:rsidRPr="005457F2">
        <w:t>prefer</w:t>
      </w:r>
      <w:r w:rsidR="00C00098" w:rsidRPr="005457F2">
        <w:t xml:space="preserve"> </w:t>
      </w:r>
      <w:r w:rsidRPr="005457F2">
        <w:t>to</w:t>
      </w:r>
      <w:r w:rsidR="00C00098" w:rsidRPr="005457F2">
        <w:t xml:space="preserve"> </w:t>
      </w:r>
      <w:r w:rsidRPr="005457F2">
        <w:t>call</w:t>
      </w:r>
      <w:r w:rsidR="00C00098" w:rsidRPr="005457F2">
        <w:t xml:space="preserve"> </w:t>
      </w:r>
      <w:r w:rsidRPr="005457F2">
        <w:t>it</w:t>
      </w:r>
      <w:r w:rsidR="00C00098" w:rsidRPr="005457F2">
        <w:t xml:space="preserve"> </w:t>
      </w:r>
      <w:r w:rsidRPr="005457F2">
        <w:t>agreement</w:t>
      </w:r>
      <w:r w:rsidR="00C00098" w:rsidRPr="005457F2">
        <w:t xml:space="preserve"> </w:t>
      </w:r>
      <w:r w:rsidRPr="005457F2">
        <w:t>expected</w:t>
      </w:r>
      <w:r w:rsidR="00C00098" w:rsidRPr="005457F2">
        <w:t xml:space="preserve"> </w:t>
      </w:r>
      <w:r w:rsidRPr="005457F2">
        <w:t>from</w:t>
      </w:r>
      <w:r w:rsidR="00C00098" w:rsidRPr="005457F2">
        <w:t xml:space="preserve"> </w:t>
      </w:r>
      <w:r w:rsidRPr="005457F2">
        <w:t xml:space="preserve">the marginals, because it is the agreement expected by chance only under the assumption that the marginals are </w:t>
      </w:r>
      <w:r w:rsidR="007816D8" w:rsidRPr="005457F2">
        <w:t>fi</w:t>
      </w:r>
      <w:r w:rsidRPr="005457F2">
        <w:t>xed and known to the observers, which is generally not the case.</w:t>
      </w:r>
    </w:p>
    <w:p w14:paraId="63CED106" w14:textId="77777777" w:rsidR="00B91CD8" w:rsidRPr="005457F2" w:rsidRDefault="004F48DE" w:rsidP="003D1341">
      <w:pPr>
        <w:pStyle w:val="NormalWeb"/>
      </w:pPr>
      <w:r w:rsidRPr="005457F2">
        <w:t xml:space="preserve">To understand where the expected agreement comes from, consider the following </w:t>
      </w:r>
      <w:r w:rsidR="00103713">
        <w:t xml:space="preserve">thought </w:t>
      </w:r>
      <w:r w:rsidRPr="005457F2">
        <w:t xml:space="preserve">experiment. After the initial reading that resulted in </w:t>
      </w:r>
      <w:r w:rsidR="00582F24">
        <w:t>Table 5.</w:t>
      </w:r>
      <w:r w:rsidRPr="005457F2">
        <w:t xml:space="preserve">1, suppose our </w:t>
      </w:r>
      <w:r w:rsidR="0090343F">
        <w:t>two</w:t>
      </w:r>
      <w:r w:rsidR="0090343F" w:rsidRPr="005457F2">
        <w:t xml:space="preserve"> </w:t>
      </w:r>
      <w:r w:rsidRPr="005457F2">
        <w:t xml:space="preserve">radiologists are each given back their stack of </w:t>
      </w:r>
      <w:r w:rsidR="0090343F">
        <w:t>2</w:t>
      </w:r>
      <w:r w:rsidR="0090343F" w:rsidRPr="005457F2">
        <w:t xml:space="preserve">00 </w:t>
      </w:r>
      <w:r w:rsidR="007816D8" w:rsidRPr="005457F2">
        <w:t>fi</w:t>
      </w:r>
      <w:r w:rsidRPr="005457F2">
        <w:t xml:space="preserve">lms with a jellybean jar containing numbers of red and green jelly beans corresponding to their initial readings. For example, since Radiologist #1 rated </w:t>
      </w:r>
      <w:r w:rsidR="0090343F">
        <w:t>70</w:t>
      </w:r>
      <w:r w:rsidR="0090343F" w:rsidRPr="005457F2">
        <w:t xml:space="preserve"> </w:t>
      </w:r>
      <w:r w:rsidRPr="005457F2">
        <w:t xml:space="preserve">of the </w:t>
      </w:r>
      <w:r w:rsidR="007816D8" w:rsidRPr="005457F2">
        <w:t>fi</w:t>
      </w:r>
      <w:r w:rsidRPr="005457F2">
        <w:t xml:space="preserve">lms abnormal and </w:t>
      </w:r>
      <w:r w:rsidR="0090343F">
        <w:t>130</w:t>
      </w:r>
      <w:r w:rsidR="0090343F" w:rsidRPr="005457F2">
        <w:t xml:space="preserve"> </w:t>
      </w:r>
      <w:r w:rsidRPr="005457F2">
        <w:t xml:space="preserve">normal, </w:t>
      </w:r>
      <w:r w:rsidR="00103713">
        <w:t>s</w:t>
      </w:r>
      <w:r w:rsidRPr="005457F2">
        <w:t xml:space="preserve">he would get a jar with exactly </w:t>
      </w:r>
      <w:r w:rsidR="0090343F">
        <w:t>70</w:t>
      </w:r>
      <w:r w:rsidR="0090343F" w:rsidRPr="005457F2">
        <w:t xml:space="preserve"> </w:t>
      </w:r>
      <w:r w:rsidRPr="005457F2">
        <w:t xml:space="preserve">red and </w:t>
      </w:r>
      <w:r w:rsidR="0090343F">
        <w:t>130</w:t>
      </w:r>
      <w:r w:rsidR="0090343F" w:rsidRPr="005457F2">
        <w:t xml:space="preserve"> </w:t>
      </w:r>
      <w:r w:rsidRPr="005457F2">
        <w:t xml:space="preserve">green jellybeans. </w:t>
      </w:r>
      <w:r w:rsidR="00103713">
        <w:t>Her</w:t>
      </w:r>
      <w:r w:rsidRPr="005457F2">
        <w:t xml:space="preserve"> instruction is then to close h</w:t>
      </w:r>
      <w:r w:rsidR="00103713">
        <w:t>er</w:t>
      </w:r>
      <w:r w:rsidRPr="005457F2">
        <w:t xml:space="preserve"> eyes and draw out a jellybean for each x-ray in the stack. If the jellybean is red, </w:t>
      </w:r>
      <w:r w:rsidR="00441459">
        <w:t>s</w:t>
      </w:r>
      <w:r w:rsidRPr="005457F2">
        <w:t xml:space="preserve">he calls the </w:t>
      </w:r>
      <w:r w:rsidR="007816D8" w:rsidRPr="005457F2">
        <w:t>fi</w:t>
      </w:r>
      <w:r w:rsidRPr="005457F2">
        <w:t xml:space="preserve">lm abnormal. If the jellybean is green, </w:t>
      </w:r>
      <w:r w:rsidR="00441459">
        <w:t>s</w:t>
      </w:r>
      <w:r w:rsidRPr="005457F2">
        <w:t xml:space="preserve">he calls the </w:t>
      </w:r>
      <w:r w:rsidR="007816D8" w:rsidRPr="005457F2">
        <w:t>fi</w:t>
      </w:r>
      <w:r w:rsidRPr="005457F2">
        <w:t xml:space="preserve">lm normal. After </w:t>
      </w:r>
      <w:r w:rsidR="00441459">
        <w:t>s</w:t>
      </w:r>
      <w:r w:rsidRPr="005457F2">
        <w:t xml:space="preserve">he has </w:t>
      </w:r>
      <w:r w:rsidR="00B91CD8" w:rsidRPr="005457F2">
        <w:t>“</w:t>
      </w:r>
      <w:r w:rsidRPr="005457F2">
        <w:t>read</w:t>
      </w:r>
      <w:r w:rsidR="00B91CD8" w:rsidRPr="005457F2">
        <w:t>”</w:t>
      </w:r>
      <w:r w:rsidRPr="005457F2">
        <w:t xml:space="preserve"> the </w:t>
      </w:r>
      <w:r w:rsidR="007816D8" w:rsidRPr="005457F2">
        <w:t>fi</w:t>
      </w:r>
      <w:r w:rsidRPr="005457F2">
        <w:t xml:space="preserve">lm, </w:t>
      </w:r>
      <w:r w:rsidR="00441459">
        <w:t>s</w:t>
      </w:r>
      <w:r w:rsidRPr="005457F2">
        <w:t>he eats the jellybean. (This is known in statistic</w:t>
      </w:r>
      <w:r w:rsidR="00441459">
        <w:t xml:space="preserve">s </w:t>
      </w:r>
      <w:r w:rsidRPr="005457F2">
        <w:t>as</w:t>
      </w:r>
      <w:r w:rsidR="0036009B" w:rsidRPr="005457F2">
        <w:t xml:space="preserve"> </w:t>
      </w:r>
      <w:r w:rsidR="00441459">
        <w:t>"</w:t>
      </w:r>
      <w:r w:rsidRPr="005457F2">
        <w:t>sampling without replacement.</w:t>
      </w:r>
      <w:r w:rsidR="00441459">
        <w:t>"</w:t>
      </w:r>
      <w:r w:rsidRPr="005457F2">
        <w:t xml:space="preserve">) When </w:t>
      </w:r>
      <w:r w:rsidR="00441459">
        <w:t>s</w:t>
      </w:r>
      <w:r w:rsidRPr="005457F2">
        <w:t xml:space="preserve">he is </w:t>
      </w:r>
      <w:r w:rsidR="007816D8" w:rsidRPr="005457F2">
        <w:t>fi</w:t>
      </w:r>
      <w:r w:rsidRPr="005457F2">
        <w:t xml:space="preserve">nished, </w:t>
      </w:r>
      <w:r w:rsidR="00441459">
        <w:t>s</w:t>
      </w:r>
      <w:r w:rsidRPr="005457F2">
        <w:t xml:space="preserve">he takes the stack of </w:t>
      </w:r>
      <w:r w:rsidR="008631A4">
        <w:t>2</w:t>
      </w:r>
      <w:r w:rsidR="008631A4" w:rsidRPr="005457F2">
        <w:t xml:space="preserve">00 </w:t>
      </w:r>
      <w:r w:rsidR="007816D8" w:rsidRPr="005457F2">
        <w:t>fi</w:t>
      </w:r>
      <w:r w:rsidRPr="005457F2">
        <w:t>lms to Radiologist #2</w:t>
      </w:r>
      <w:r w:rsidR="00E73028">
        <w:t xml:space="preserve"> </w:t>
      </w:r>
      <w:r w:rsidR="00697A47">
        <w:t>(</w:t>
      </w:r>
      <w:r w:rsidR="00E73028">
        <w:t xml:space="preserve">and retreats to the privacy of the reading room to </w:t>
      </w:r>
      <w:r w:rsidR="00791EB1">
        <w:t>reflect on the wisdom of eating 200 jellybeans</w:t>
      </w:r>
      <w:r w:rsidR="00697A47">
        <w:t>)</w:t>
      </w:r>
      <w:r w:rsidRPr="005457F2">
        <w:t xml:space="preserve">. </w:t>
      </w:r>
      <w:r w:rsidR="00697A47">
        <w:t>Radiologist #2</w:t>
      </w:r>
      <w:r w:rsidR="00697A47" w:rsidRPr="005457F2">
        <w:t xml:space="preserve"> </w:t>
      </w:r>
      <w:r w:rsidRPr="005457F2">
        <w:t xml:space="preserve">is given the same instructions; only </w:t>
      </w:r>
      <w:r w:rsidR="00441459">
        <w:t>his</w:t>
      </w:r>
      <w:r w:rsidRPr="005457F2">
        <w:t xml:space="preserve"> bottle has the numbers of colored jellybeans in proportion to h</w:t>
      </w:r>
      <w:r w:rsidR="00441459">
        <w:t>is</w:t>
      </w:r>
      <w:r w:rsidRPr="005457F2">
        <w:t xml:space="preserve"> initial reading, that is, </w:t>
      </w:r>
      <w:r w:rsidR="008631A4">
        <w:t>6</w:t>
      </w:r>
      <w:r w:rsidR="008631A4" w:rsidRPr="005457F2">
        <w:t xml:space="preserve">0 </w:t>
      </w:r>
      <w:r w:rsidRPr="005457F2">
        <w:t xml:space="preserve">red jellybeans and </w:t>
      </w:r>
      <w:r w:rsidR="008631A4">
        <w:t>14</w:t>
      </w:r>
      <w:r w:rsidR="008631A4" w:rsidRPr="005457F2">
        <w:t xml:space="preserve">0 </w:t>
      </w:r>
      <w:r w:rsidRPr="005457F2">
        <w:t xml:space="preserve">green ones. The average agreement between the </w:t>
      </w:r>
      <w:r w:rsidR="008631A4">
        <w:t>two</w:t>
      </w:r>
      <w:r w:rsidR="008631A4" w:rsidRPr="005457F2">
        <w:t xml:space="preserve"> </w:t>
      </w:r>
      <w:r w:rsidRPr="005457F2">
        <w:t>radiologists over many repetitions of the jellybean method is the expected agreement, given their marginals.</w:t>
      </w:r>
    </w:p>
    <w:p w14:paraId="1035B617" w14:textId="77777777" w:rsidR="00B91CD8" w:rsidRPr="005457F2" w:rsidRDefault="004F48DE" w:rsidP="000F666F">
      <w:pPr>
        <w:pStyle w:val="NormalWeb"/>
      </w:pPr>
      <w:r w:rsidRPr="005457F2">
        <w:t xml:space="preserve">If </w:t>
      </w:r>
      <w:r w:rsidR="00E81BE5" w:rsidRPr="005457F2">
        <w:t>both</w:t>
      </w:r>
      <w:r w:rsidRPr="005457F2">
        <w:t xml:space="preserve"> </w:t>
      </w:r>
      <w:r w:rsidR="00697A47">
        <w:t xml:space="preserve">radiologists </w:t>
      </w:r>
      <w:r w:rsidRPr="005457F2">
        <w:t xml:space="preserve">have mostly green or mostly red jellybeans, their expected agreement will be more than 50%. In fact, in the extreme example, where both observers call </w:t>
      </w:r>
      <w:r w:rsidR="00E81BE5" w:rsidRPr="005457F2">
        <w:t>all</w:t>
      </w:r>
      <w:r w:rsidRPr="005457F2">
        <w:t xml:space="preserve"> the </w:t>
      </w:r>
      <w:r w:rsidR="007816D8" w:rsidRPr="005457F2">
        <w:t>fi</w:t>
      </w:r>
      <w:r w:rsidRPr="005457F2">
        <w:t>lms normal or abnormal, they will be g</w:t>
      </w:r>
      <w:r w:rsidR="00182EB9" w:rsidRPr="005457F2">
        <w:t>iven all green or all red jelly</w:t>
      </w:r>
      <w:r w:rsidRPr="005457F2">
        <w:t xml:space="preserve">beans, and their </w:t>
      </w:r>
      <w:r w:rsidR="00B91CD8" w:rsidRPr="005457F2">
        <w:t>“</w:t>
      </w:r>
      <w:r w:rsidRPr="005457F2">
        <w:t>expected</w:t>
      </w:r>
      <w:r w:rsidR="00B91CD8" w:rsidRPr="005457F2">
        <w:t>”</w:t>
      </w:r>
      <w:r w:rsidRPr="005457F2">
        <w:t xml:space="preserve"> agreement will be 100%. Kappa addresses the question: How well did the observers do compared with how well they would have done if they had jars of colored </w:t>
      </w:r>
      <w:r w:rsidRPr="005457F2">
        <w:lastRenderedPageBreak/>
        <w:t>jelly beans in proportion to their totals (marginals), and they had used</w:t>
      </w:r>
      <w:r w:rsidR="00B61C3D" w:rsidRPr="005457F2">
        <w:t xml:space="preserve"> </w:t>
      </w:r>
      <w:r w:rsidRPr="005457F2">
        <w:t>the</w:t>
      </w:r>
      <w:r w:rsidR="00B61C3D" w:rsidRPr="005457F2">
        <w:t xml:space="preserve"> </w:t>
      </w:r>
      <w:r w:rsidRPr="005457F2">
        <w:t>jellybean</w:t>
      </w:r>
      <w:r w:rsidR="00B61C3D" w:rsidRPr="005457F2">
        <w:t xml:space="preserve"> </w:t>
      </w:r>
      <w:r w:rsidRPr="005457F2">
        <w:t>color</w:t>
      </w:r>
      <w:r w:rsidR="00B61C3D" w:rsidRPr="005457F2">
        <w:t xml:space="preserve"> </w:t>
      </w:r>
      <w:r w:rsidRPr="005457F2">
        <w:t>to</w:t>
      </w:r>
      <w:r w:rsidR="00B61C3D" w:rsidRPr="005457F2">
        <w:t xml:space="preserve"> </w:t>
      </w:r>
      <w:r w:rsidRPr="005457F2">
        <w:t>read</w:t>
      </w:r>
      <w:r w:rsidR="00B61C3D" w:rsidRPr="005457F2">
        <w:t xml:space="preserve"> </w:t>
      </w:r>
      <w:r w:rsidRPr="005457F2">
        <w:t>the</w:t>
      </w:r>
      <w:r w:rsidR="00B61C3D" w:rsidRPr="005457F2">
        <w:t xml:space="preserve"> </w:t>
      </w:r>
      <w:r w:rsidR="007816D8" w:rsidRPr="005457F2">
        <w:t>fi</w:t>
      </w:r>
      <w:r w:rsidRPr="005457F2">
        <w:t>lm?</w:t>
      </w:r>
    </w:p>
    <w:p w14:paraId="77973AD6" w14:textId="0FF70013" w:rsidR="00B91CD8" w:rsidRPr="005457F2" w:rsidRDefault="004F48DE" w:rsidP="006A6903">
      <w:pPr>
        <w:pStyle w:val="NormalWeb"/>
      </w:pPr>
      <w:r w:rsidRPr="005457F2">
        <w:t>Now, why does multiplying the proportion in each cell</w:t>
      </w:r>
      <w:r w:rsidR="00B91CD8" w:rsidRPr="005457F2">
        <w:t>’</w:t>
      </w:r>
      <w:r w:rsidRPr="005457F2">
        <w:t>s row by the number in that cell</w:t>
      </w:r>
      <w:r w:rsidR="00B91CD8" w:rsidRPr="005457F2">
        <w:t>’</w:t>
      </w:r>
      <w:r w:rsidRPr="005457F2">
        <w:t xml:space="preserve">s column give you the expected number in that cell? Because if Radiologist #1 thinks 35% of the </w:t>
      </w:r>
      <w:r w:rsidR="007816D8" w:rsidRPr="005457F2">
        <w:t>fi</w:t>
      </w:r>
      <w:r w:rsidRPr="005457F2">
        <w:t xml:space="preserve">lms are abnormal and agrees with Radiologist #2 no more than at a level expected from that, then </w:t>
      </w:r>
      <w:r w:rsidR="00620CB4">
        <w:t>s</w:t>
      </w:r>
      <w:r w:rsidRPr="005457F2">
        <w:t xml:space="preserve">he should think 35% of the </w:t>
      </w:r>
      <w:r w:rsidR="007816D8" w:rsidRPr="005457F2">
        <w:t>fi</w:t>
      </w:r>
      <w:r w:rsidRPr="005457F2">
        <w:t>lms rated by Radiologist #2 are abnormal, regardless of how they are rated by Radiologist #2.</w:t>
      </w:r>
      <w:r w:rsidR="006128A6" w:rsidRPr="005457F2">
        <w:rPr>
          <w:rStyle w:val="FootnoteReference"/>
        </w:rPr>
        <w:footnoteReference w:id="1"/>
      </w:r>
    </w:p>
    <w:p w14:paraId="7FB92391" w14:textId="77777777" w:rsidR="00B91CD8" w:rsidRPr="005457F2" w:rsidRDefault="00B91CD8" w:rsidP="003D1341">
      <w:pPr>
        <w:pStyle w:val="NormalWeb"/>
      </w:pPr>
      <w:r w:rsidRPr="005457F2">
        <w:t>“</w:t>
      </w:r>
      <w:r w:rsidR="004F48DE" w:rsidRPr="005457F2">
        <w:t>Wait a minute!</w:t>
      </w:r>
      <w:r w:rsidRPr="005457F2">
        <w:t>”</w:t>
      </w:r>
      <w:r w:rsidR="004F48DE" w:rsidRPr="005457F2">
        <w:t xml:space="preserve"> we hear you cry, </w:t>
      </w:r>
      <w:r w:rsidRPr="005457F2">
        <w:t>“</w:t>
      </w:r>
      <w:r w:rsidR="004F48DE" w:rsidRPr="005457F2">
        <w:t xml:space="preserve">In real life studies, the marginals are seldom </w:t>
      </w:r>
      <w:r w:rsidR="007816D8" w:rsidRPr="005457F2">
        <w:t>fi</w:t>
      </w:r>
      <w:r w:rsidR="004F48DE" w:rsidRPr="005457F2">
        <w:t>xed.</w:t>
      </w:r>
      <w:r w:rsidRPr="005457F2">
        <w:t>”</w:t>
      </w:r>
      <w:r w:rsidR="004F48DE" w:rsidRPr="005457F2">
        <w:t xml:space="preserve"> In general, no one tells the participants what proportion of the subjects are normal. You might think that, if they manage to agree on the fact that most are normal, they should get some credit. This is, in fact, what can be counter-intuitive about kappa. But that</w:t>
      </w:r>
      <w:r w:rsidR="00620CB4">
        <w:t xml:space="preserve"> is</w:t>
      </w:r>
      <w:r w:rsidR="008631A4">
        <w:t xml:space="preserve"> </w:t>
      </w:r>
      <w:r w:rsidR="004F48DE" w:rsidRPr="005457F2">
        <w:t>how kappa is de</w:t>
      </w:r>
      <w:r w:rsidR="007816D8" w:rsidRPr="005457F2">
        <w:t>fi</w:t>
      </w:r>
      <w:r w:rsidR="004F48DE" w:rsidRPr="005457F2">
        <w:t>ned, so if you want to give credit for agreement on the marginals, you will need to use another statistic.</w:t>
      </w:r>
    </w:p>
    <w:p w14:paraId="7C966D61" w14:textId="77777777" w:rsidR="00B91CD8" w:rsidRPr="005457F2" w:rsidRDefault="004F48DE" w:rsidP="000C5D67">
      <w:pPr>
        <w:pStyle w:val="Heading4"/>
      </w:pPr>
      <w:r w:rsidRPr="005457F2">
        <w:t>Understanding the kappa formula</w:t>
      </w:r>
    </w:p>
    <w:p w14:paraId="31EF1E3F" w14:textId="77777777" w:rsidR="00B91CD8" w:rsidRPr="005457F2" w:rsidRDefault="004F48DE" w:rsidP="003D1341">
      <w:pPr>
        <w:pStyle w:val="NormalWeb"/>
      </w:pPr>
      <w:r w:rsidRPr="005457F2">
        <w:t>Before we calculate some values of kappa, let us make sure you understand Equation 2.1. The numerator is how much better agreement was than what would be expected from the marginals. The denominator is how much better it could have been, if it were perfect. So</w:t>
      </w:r>
      <w:r w:rsidR="00620CB4">
        <w:t>,</w:t>
      </w:r>
      <w:r w:rsidR="00F56C95">
        <w:t xml:space="preserve"> </w:t>
      </w:r>
      <w:r w:rsidRPr="005457F2">
        <w:t xml:space="preserve">kappa can be understood as </w:t>
      </w:r>
      <w:r w:rsidR="00987649">
        <w:t>the percent of the way</w:t>
      </w:r>
      <w:r w:rsidRPr="005457F2">
        <w:t xml:space="preserve"> from the expected agreement to perfect agreement the observed agreement was.</w:t>
      </w:r>
    </w:p>
    <w:p w14:paraId="3D68220A" w14:textId="5F86349C" w:rsidR="00B91CD8" w:rsidRPr="005457F2" w:rsidRDefault="008271CC" w:rsidP="004635F0">
      <w:pPr>
        <w:pStyle w:val="NormalWeb"/>
      </w:pPr>
      <w:r>
        <w:rPr>
          <w:b/>
        </w:rPr>
        <w:t>Example 5.</w:t>
      </w:r>
      <w:r w:rsidR="004F48DE" w:rsidRPr="005457F2">
        <w:rPr>
          <w:b/>
        </w:rPr>
        <w:t>3</w:t>
      </w:r>
      <w:r w:rsidR="004F48DE" w:rsidRPr="005457F2">
        <w:t xml:space="preserve"> Fill in the blanks: If expected agreement is 60% and observed agreement is 90%, then kappa would be</w:t>
      </w:r>
      <w:r w:rsidR="002A5E59">
        <w:t xml:space="preserve"> </w:t>
      </w:r>
      <w:r w:rsidR="007D19EB" w:rsidRPr="005457F2">
        <w:t>__</w:t>
      </w:r>
      <w:r w:rsidR="002A5E59">
        <w:t xml:space="preserve"> </w:t>
      </w:r>
      <w:r w:rsidR="004F48DE" w:rsidRPr="005457F2">
        <w:t>because</w:t>
      </w:r>
      <w:r w:rsidR="00987649">
        <w:t xml:space="preserve"> </w:t>
      </w:r>
      <w:r w:rsidR="004F48DE" w:rsidRPr="005457F2">
        <w:t>90% is</w:t>
      </w:r>
      <w:r w:rsidR="00987649">
        <w:t xml:space="preserve"> </w:t>
      </w:r>
      <w:r w:rsidR="00987649" w:rsidRPr="005457F2">
        <w:t>__</w:t>
      </w:r>
      <w:r w:rsidR="004F48DE" w:rsidRPr="005457F2">
        <w:t xml:space="preserve">% of the way from 60% to 100% (see </w:t>
      </w:r>
      <w:r w:rsidR="002E44F8" w:rsidRPr="000C43EF">
        <w:rPr>
          <w:highlight w:val="yellow"/>
        </w:rPr>
        <w:t>Figure 5.</w:t>
      </w:r>
      <w:r w:rsidR="004F48DE" w:rsidRPr="000C43EF">
        <w:rPr>
          <w:highlight w:val="yellow"/>
        </w:rPr>
        <w:t>1</w:t>
      </w:r>
      <w:r w:rsidR="004F48DE" w:rsidRPr="005457F2">
        <w:t>).</w:t>
      </w:r>
    </w:p>
    <w:p w14:paraId="5EEEBA97" w14:textId="77777777" w:rsidR="00B91CD8" w:rsidRPr="005457F2" w:rsidRDefault="004F48DE" w:rsidP="00635AE3">
      <w:pPr>
        <w:pStyle w:val="NormalWeb"/>
        <w:rPr>
          <w:i/>
        </w:rPr>
      </w:pPr>
      <w:r w:rsidRPr="005457F2">
        <w:rPr>
          <w:i/>
        </w:rPr>
        <w:t>Answers: 0.75, 75.</w:t>
      </w:r>
    </w:p>
    <w:p w14:paraId="07790E59" w14:textId="38327E91" w:rsidR="00B91CD8" w:rsidRPr="005457F2" w:rsidRDefault="008271CC" w:rsidP="003D1341">
      <w:pPr>
        <w:pStyle w:val="NormalWeb"/>
      </w:pPr>
      <w:r>
        <w:rPr>
          <w:b/>
        </w:rPr>
        <w:t>Example 5.</w:t>
      </w:r>
      <w:r w:rsidR="004F48DE" w:rsidRPr="005457F2">
        <w:rPr>
          <w:b/>
        </w:rPr>
        <w:t>4</w:t>
      </w:r>
      <w:r w:rsidR="004F48DE" w:rsidRPr="005457F2">
        <w:t xml:space="preserve"> Fill in the blanks: If expected agreement is 70% and observed agreem</w:t>
      </w:r>
      <w:r w:rsidR="007D19EB" w:rsidRPr="005457F2">
        <w:t>ent is 80%, then kappa would be</w:t>
      </w:r>
      <w:r w:rsidR="002A5E59">
        <w:t xml:space="preserve"> </w:t>
      </w:r>
      <w:r w:rsidR="007D19EB" w:rsidRPr="005457F2">
        <w:t>__</w:t>
      </w:r>
      <w:r w:rsidR="002A5E59">
        <w:t xml:space="preserve"> </w:t>
      </w:r>
      <w:r w:rsidR="007D19EB" w:rsidRPr="005457F2">
        <w:t>because 80% is__</w:t>
      </w:r>
      <w:r w:rsidR="004F48DE" w:rsidRPr="005457F2">
        <w:t>% of the way from 70% to 100%.</w:t>
      </w:r>
    </w:p>
    <w:p w14:paraId="4A28177E" w14:textId="77777777" w:rsidR="00B91CD8" w:rsidRPr="005457F2" w:rsidRDefault="004F48DE" w:rsidP="00F627E8">
      <w:pPr>
        <w:pStyle w:val="NormalWeb"/>
        <w:rPr>
          <w:i/>
        </w:rPr>
      </w:pPr>
      <w:r w:rsidRPr="005457F2">
        <w:rPr>
          <w:i/>
        </w:rPr>
        <w:t>Answers: 0.33, 33</w:t>
      </w:r>
    </w:p>
    <w:p w14:paraId="7F1A0839" w14:textId="77777777" w:rsidR="00713CD0" w:rsidRDefault="004F48DE" w:rsidP="003D1341">
      <w:pPr>
        <w:pStyle w:val="NormalWeb"/>
      </w:pPr>
      <w:r w:rsidRPr="005457F2">
        <w:t xml:space="preserve">Returning to </w:t>
      </w:r>
      <w:r w:rsidR="008271CC">
        <w:t>Example 5.</w:t>
      </w:r>
      <w:r w:rsidRPr="005457F2">
        <w:t xml:space="preserve">1, because the observed agreement is 75% and expected agreement 56%, kappa is (75% </w:t>
      </w:r>
      <w:r w:rsidR="0040633E" w:rsidRPr="005457F2">
        <w:t>−</w:t>
      </w:r>
      <w:r w:rsidRPr="005457F2">
        <w:t xml:space="preserve"> 56%)</w:t>
      </w:r>
      <w:proofErr w:type="gramStart"/>
      <w:r w:rsidRPr="005457F2">
        <w:t>/(</w:t>
      </w:r>
      <w:proofErr w:type="gramEnd"/>
      <w:r w:rsidRPr="005457F2">
        <w:t>100% − 56%) = 0.43. That is, the agreement beyond expected, 75% − 56% = 19%, is 43% of the maximum</w:t>
      </w:r>
      <w:r w:rsidR="005C2AB8" w:rsidRPr="005457F2">
        <w:t xml:space="preserve"> </w:t>
      </w:r>
      <w:r w:rsidRPr="005457F2">
        <w:t xml:space="preserve">agreement beyond expected, 100% − 56% = 44%. This is respectable, if somewhat less impressive than 75% agreement. Similarly, in </w:t>
      </w:r>
      <w:r w:rsidR="008271CC">
        <w:t>Example 5.</w:t>
      </w:r>
      <w:r w:rsidRPr="005457F2">
        <w:t>2, kappa is (9</w:t>
      </w:r>
      <w:r w:rsidR="00E02578">
        <w:t>5</w:t>
      </w:r>
      <w:r w:rsidRPr="005457F2">
        <w:t>% − 9</w:t>
      </w:r>
      <w:r w:rsidR="00E02578">
        <w:t>5%)</w:t>
      </w:r>
      <w:proofErr w:type="gramStart"/>
      <w:r w:rsidR="00E02578">
        <w:t>/(</w:t>
      </w:r>
      <w:proofErr w:type="gramEnd"/>
      <w:r w:rsidR="00E02578">
        <w:t>100% − 9</w:t>
      </w:r>
      <w:r w:rsidRPr="005457F2">
        <w:t>5%) =</w:t>
      </w:r>
      <w:r w:rsidR="006C54F4" w:rsidRPr="005457F2">
        <w:t xml:space="preserve"> </w:t>
      </w:r>
      <w:r w:rsidR="002F7260">
        <w:t>0</w:t>
      </w:r>
      <w:r w:rsidRPr="005457F2">
        <w:t xml:space="preserve">, indicating that the degree of agreement was </w:t>
      </w:r>
      <w:r w:rsidR="002F7260">
        <w:t xml:space="preserve">only </w:t>
      </w:r>
      <w:r w:rsidRPr="005457F2">
        <w:t>what would be expected based on the marginals.</w:t>
      </w:r>
    </w:p>
    <w:p w14:paraId="24BA6F8A" w14:textId="77777777" w:rsidR="00B91CD8" w:rsidRPr="005457F2" w:rsidRDefault="00713CD0" w:rsidP="003D1341">
      <w:pPr>
        <w:pStyle w:val="NormalWeb"/>
      </w:pPr>
      <w:r>
        <w:br w:type="page"/>
      </w:r>
      <w:r w:rsidR="00F34806">
        <w:rPr>
          <w:noProof/>
        </w:rPr>
        <w:lastRenderedPageBreak/>
        <w:drawing>
          <wp:inline distT="0" distB="0" distL="0" distR="0" wp14:anchorId="46B06746" wp14:editId="7876C304">
            <wp:extent cx="5486400" cy="2120900"/>
            <wp:effectExtent l="0" t="0" r="0" b="0"/>
            <wp:docPr id="3" name="Picture 3" descr="Fig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ig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120900"/>
                    </a:xfrm>
                    <a:prstGeom prst="rect">
                      <a:avLst/>
                    </a:prstGeom>
                    <a:noFill/>
                    <a:ln>
                      <a:noFill/>
                    </a:ln>
                  </pic:spPr>
                </pic:pic>
              </a:graphicData>
            </a:graphic>
          </wp:inline>
        </w:drawing>
      </w:r>
    </w:p>
    <w:p w14:paraId="1F55CC4A" w14:textId="77777777" w:rsidR="005C2AB8" w:rsidRPr="005457F2" w:rsidRDefault="002E44F8" w:rsidP="00F83242">
      <w:pPr>
        <w:pStyle w:val="NormalWeb"/>
      </w:pPr>
      <w:r w:rsidRPr="00F332C2">
        <w:rPr>
          <w:highlight w:val="yellow"/>
        </w:rPr>
        <w:t>Figure 5.</w:t>
      </w:r>
      <w:r w:rsidR="005C2AB8" w:rsidRPr="00F332C2">
        <w:rPr>
          <w:highlight w:val="yellow"/>
        </w:rPr>
        <w:t>1</w:t>
      </w:r>
      <w:r w:rsidR="005C2AB8" w:rsidRPr="005457F2">
        <w:t xml:space="preserve"> Visualizing kappa as the proportion of the way from expected to perfect agreement the observed agreement was for </w:t>
      </w:r>
      <w:r w:rsidR="008271CC">
        <w:t>Example 5.</w:t>
      </w:r>
      <w:r w:rsidR="005C2AB8" w:rsidRPr="005457F2">
        <w:t>3.</w:t>
      </w:r>
    </w:p>
    <w:p w14:paraId="398AED7A" w14:textId="77777777" w:rsidR="005F5040" w:rsidRDefault="004F48DE" w:rsidP="000C5D67">
      <w:pPr>
        <w:pStyle w:val="Heading4"/>
      </w:pPr>
      <w:r w:rsidRPr="005457F2">
        <w:t>Impact of the marginals</w:t>
      </w:r>
    </w:p>
    <w:p w14:paraId="21C53CCF" w14:textId="77777777" w:rsidR="00103F42" w:rsidRPr="005457F2" w:rsidRDefault="00103F42" w:rsidP="00103F42">
      <w:pPr>
        <w:pStyle w:val="NormalWeb"/>
      </w:pPr>
      <w:r w:rsidRPr="005457F2">
        <w:t>If the percent agreement stays roughly the same, kappa will decrease as the proportion of positive ratings becomes more extreme (farther from 50%). This is because, as the expected agreement increases, the room for agreement beyond expected is reduced. Although this has been called a paradox (Feinstein and Cicchetti 1990), it only feels that way because of our ambivalence about whether two observers should get credit for recognizing how rare or common a finding is.</w:t>
      </w:r>
    </w:p>
    <w:p w14:paraId="26BAA2B9" w14:textId="66E992AC" w:rsidR="005F5040" w:rsidRDefault="00103F42" w:rsidP="00103F42">
      <w:pPr>
        <w:pStyle w:val="NormalWeb"/>
      </w:pPr>
      <w:r>
        <w:rPr>
          <w:b/>
        </w:rPr>
        <w:t>Example 5.</w:t>
      </w:r>
      <w:r w:rsidRPr="005457F2">
        <w:rPr>
          <w:b/>
        </w:rPr>
        <w:t>5</w:t>
      </w:r>
      <w:r w:rsidRPr="005457F2">
        <w:t xml:space="preserve"> Yen et al.</w:t>
      </w:r>
      <w:r w:rsidR="009275E1" w:rsidRPr="009275E1">
        <w:t xml:space="preserve"> </w:t>
      </w:r>
      <w:r w:rsidR="009275E1">
        <w:fldChar w:fldCharType="begin"/>
      </w:r>
      <w:r w:rsidR="00A842BC">
        <w:instrText xml:space="preserve"> ADDIN EN.CITE &lt;EndNote&gt;&lt;Cite&gt;&lt;Author&gt;Yen&lt;/Author&gt;&lt;Year&gt;2005&lt;/Year&gt;&lt;RecNum&gt;211&lt;/RecNum&gt;&lt;DisplayText&gt;[2]&lt;/DisplayText&gt;&lt;record&gt;&lt;rec-number&gt;211&lt;/rec-number&gt;&lt;foreign-keys&gt;&lt;key app="EN" db-id="0ftvff9p80fp5few5s05f5fw9rd9fefrdzer" timestamp="0"&gt;211&lt;/key&gt;&lt;/foreign-keys&gt;&lt;ref-type name="Journal Article"&gt;17&lt;/ref-type&gt;&lt;contributors&gt;&lt;authors&gt;&lt;author&gt;Yen, K.&lt;/author&gt;&lt;author&gt;Karpas, A.&lt;/author&gt;&lt;author&gt;Pinkerton, H. J.&lt;/author&gt;&lt;author&gt;Gorelick, M. H.&lt;/author&gt;&lt;/authors&gt;&lt;/contributors&gt;&lt;auth-address&gt;Department of Pediatrics, Section of Pediatric Emergency Medicine, Medical College of Wisconsin, 9000 W. Wisconsin Avenue, Milwaukee, WI 53224, USA. kyen@mail.mcw.edu&lt;/auth-address&gt;&lt;titles&gt;&lt;title&gt;Interexaminer reliability in physical examination of pediatric patients with abdominal pain&lt;/title&gt;&lt;secondary-title&gt;Arch Pediatr Adolesc Med&lt;/secondary-title&gt;&lt;/titles&gt;&lt;periodical&gt;&lt;full-title&gt;Arch Pediatr Adolesc Med&lt;/full-title&gt;&lt;/periodical&gt;&lt;pages&gt;373-6&lt;/pages&gt;&lt;volume&gt;159&lt;/volume&gt;&lt;number&gt;4&lt;/number&gt;&lt;keywords&gt;&lt;keyword&gt;Abdominal Pain/*etiology&lt;/keyword&gt;&lt;keyword&gt;Acute Disease&lt;/keyword&gt;&lt;keyword&gt;Adolescent&lt;/keyword&gt;&lt;keyword&gt;Adult&lt;/keyword&gt;&lt;keyword&gt;Child&lt;/keyword&gt;&lt;keyword&gt;Child, Preschool&lt;/keyword&gt;&lt;keyword&gt;Comparative Study&lt;/keyword&gt;&lt;keyword&gt;Cross-Sectional Studies&lt;/keyword&gt;&lt;keyword&gt;Emergency Medicine/*standards&lt;/keyword&gt;&lt;keyword&gt;Female&lt;/keyword&gt;&lt;keyword&gt;Humans&lt;/keyword&gt;&lt;keyword&gt;Internship and Residency&lt;/keyword&gt;&lt;keyword&gt;Male&lt;/keyword&gt;&lt;keyword&gt;Observer Variation&lt;/keyword&gt;&lt;keyword&gt;Pediatrics/*standards&lt;/keyword&gt;&lt;keyword&gt;Physical Examination/methods/*standards&lt;/keyword&gt;&lt;keyword&gt;Prospective Studies&lt;/keyword&gt;&lt;keyword&gt;Reproducibility of Results&lt;/keyword&gt;&lt;/keywords&gt;&lt;dates&gt;&lt;year&gt;2005&lt;/year&gt;&lt;pub-dates&gt;&lt;date&gt;Apr&lt;/date&gt;&lt;/pub-dates&gt;&lt;/dates&gt;&lt;accession-num&gt;15809393&lt;/accession-num&gt;&lt;urls&gt;&lt;related-urls&gt;&lt;url&gt;http://www.ncbi.nlm.nih.gov/entrez/query.fcgi?cmd=Retrieve&amp;amp;db=PubMed&amp;amp;dopt=Citation&amp;amp;list_uids=15809393&lt;/url&gt;&lt;/related-urls&gt;&lt;/urls&gt;&lt;/record&gt;&lt;/Cite&gt;&lt;/EndNote&gt;</w:instrText>
      </w:r>
      <w:r w:rsidR="009275E1">
        <w:fldChar w:fldCharType="separate"/>
      </w:r>
      <w:r w:rsidR="00A842BC">
        <w:rPr>
          <w:noProof/>
        </w:rPr>
        <w:t>[2]</w:t>
      </w:r>
      <w:r w:rsidR="009275E1">
        <w:fldChar w:fldCharType="end"/>
      </w:r>
      <w:r w:rsidRPr="005457F2">
        <w:t xml:space="preserve"> compared abdominal exam findings suggestive of appendicitis, such as tenderness to palpation and absence of bowel sounds, between pediatric emergency physicians and pediatric surgical residents. Abdominal tenderness was present in roughly 60% of the patients, and bowel sounds were absent in only about 6% of patients. The physicians agreed on the presence or absence of tenderness only 65% of the time, and the kappa was 0.34. In contrast, they agreed on the presence or absence of bowel sounds an impressive 89% of the time, but because absence of bowel sounds was rare, kappa was essentially zero (−0.04). They got no credit for agreeing that absence of bowel sounds was a rare finding.</w:t>
      </w:r>
    </w:p>
    <w:p w14:paraId="61015EA8" w14:textId="77777777" w:rsidR="00B91CD8" w:rsidRPr="005457F2" w:rsidRDefault="005F5040" w:rsidP="000C5D67">
      <w:pPr>
        <w:pStyle w:val="Heading4"/>
      </w:pPr>
      <w:r>
        <w:t>B</w:t>
      </w:r>
      <w:r w:rsidR="004F48DE" w:rsidRPr="005457F2">
        <w:t>alanced versus unbalanced disagreement</w:t>
      </w:r>
    </w:p>
    <w:p w14:paraId="0C994FDE" w14:textId="21F3FCDC" w:rsidR="00A91BD3" w:rsidRDefault="00A51DDF" w:rsidP="003D1341">
      <w:pPr>
        <w:pStyle w:val="NormalWeb"/>
      </w:pPr>
      <w:r>
        <w:t xml:space="preserve">When, as is often the case, </w:t>
      </w:r>
      <w:r w:rsidR="00403793">
        <w:t>kappa</w:t>
      </w:r>
      <w:r>
        <w:t xml:space="preserve"> is disappointing, </w:t>
      </w:r>
      <w:r w:rsidR="00DF6BC9">
        <w:t>we should</w:t>
      </w:r>
      <w:r w:rsidR="00403793">
        <w:t xml:space="preserve"> try to understand why.  In many cases additional investigation, and then targeted training</w:t>
      </w:r>
      <w:r w:rsidR="00A91BD3">
        <w:t>, can help improve reliability.</w:t>
      </w:r>
      <w:bookmarkStart w:id="0" w:name="_GoBack"/>
      <w:bookmarkEnd w:id="0"/>
    </w:p>
    <w:p w14:paraId="70999C49" w14:textId="6C9EE63A" w:rsidR="005A1837" w:rsidRDefault="00A91BD3" w:rsidP="003D1341">
      <w:pPr>
        <w:pStyle w:val="NormalWeb"/>
      </w:pPr>
      <w:r>
        <w:t xml:space="preserve">One reason for poor reliability that suggests a possible solution is when disagreement is </w:t>
      </w:r>
      <w:r>
        <w:rPr>
          <w:i/>
        </w:rPr>
        <w:t xml:space="preserve">unbalanced.  </w:t>
      </w:r>
      <w:r>
        <w:t xml:space="preserve">Unbalanced disagreement can occur if one observer has a lower threshold </w:t>
      </w:r>
      <w:r w:rsidR="00F129EC">
        <w:t xml:space="preserve">than the other </w:t>
      </w:r>
      <w:r>
        <w:t xml:space="preserve">for </w:t>
      </w:r>
      <w:r w:rsidR="00F129EC">
        <w:t xml:space="preserve">stating that a finding is present.  (This is reminiscent of different cutoffs for defining a positive test, for which we used ROC curves in Chapter 3.)  </w:t>
      </w:r>
      <w:r w:rsidR="009B37C7">
        <w:t xml:space="preserve"> For example, </w:t>
      </w:r>
      <w:r w:rsidR="00DA70F3">
        <w:t xml:space="preserve">if one of the observers is </w:t>
      </w:r>
      <w:r w:rsidR="0055328D">
        <w:t>hard of hearing</w:t>
      </w:r>
      <w:r w:rsidR="00DA70F3">
        <w:t xml:space="preserve">, he won't hear as many </w:t>
      </w:r>
      <w:r w:rsidR="00850807">
        <w:t xml:space="preserve">heart </w:t>
      </w:r>
      <w:r w:rsidR="00DA70F3">
        <w:t>murmurs as the other unless he gets an amplified stethoscope.</w:t>
      </w:r>
      <w:r w:rsidR="009B37C7">
        <w:t xml:space="preserve">  </w:t>
      </w:r>
      <w:r w:rsidR="000E36D3">
        <w:t>Alternatively, if one observer attaches greater importance to</w:t>
      </w:r>
      <w:r w:rsidR="00CE329C">
        <w:t xml:space="preserve"> avoiding false-negatives (i.e., to</w:t>
      </w:r>
      <w:r w:rsidR="000E36D3">
        <w:t xml:space="preserve"> not missing a finding</w:t>
      </w:r>
      <w:r w:rsidR="00CE329C">
        <w:t>)</w:t>
      </w:r>
      <w:r w:rsidR="000E36D3">
        <w:t>, he will</w:t>
      </w:r>
      <w:r w:rsidR="00CE329C">
        <w:t xml:space="preserve"> call </w:t>
      </w:r>
      <w:r w:rsidR="00CE329C">
        <w:lastRenderedPageBreak/>
        <w:t xml:space="preserve">more questionable findings </w:t>
      </w:r>
      <w:r w:rsidR="002D3118">
        <w:t>present</w:t>
      </w:r>
      <w:r w:rsidR="00CE329C">
        <w:t xml:space="preserve"> than an observer who wants to avoid false-positives. </w:t>
      </w:r>
      <w:r w:rsidR="005A1837">
        <w:t xml:space="preserve"> While two such observers will have different overall prevalence of positive findings (as reflected in their</w:t>
      </w:r>
      <w:r w:rsidR="00042E71">
        <w:t xml:space="preserve"> marginals), a better way to look for this kind of </w:t>
      </w:r>
      <w:r w:rsidR="00042E71" w:rsidRPr="00850807">
        <w:rPr>
          <w:color w:val="008000"/>
        </w:rPr>
        <w:t>unbalanced disagreement</w:t>
      </w:r>
      <w:r w:rsidR="00042E71">
        <w:t xml:space="preserve"> is to focus on the subjects in whom the</w:t>
      </w:r>
      <w:r w:rsidR="000F00F6">
        <w:t>y</w:t>
      </w:r>
      <w:r w:rsidR="00042E71">
        <w:t xml:space="preserve"> disagree</w:t>
      </w:r>
      <w:r w:rsidR="000F00F6">
        <w:t>.</w:t>
      </w:r>
      <w:r w:rsidR="002D3118">
        <w:t xml:space="preserve">  That is, compare the numbers above and be</w:t>
      </w:r>
      <w:r w:rsidR="00810E3D">
        <w:t xml:space="preserve">low the agreement diagonal. </w:t>
      </w:r>
    </w:p>
    <w:p w14:paraId="500D95E7" w14:textId="3B2DAAE2" w:rsidR="000F00F6" w:rsidRDefault="000F00F6" w:rsidP="003D1341">
      <w:pPr>
        <w:pStyle w:val="NormalWeb"/>
      </w:pPr>
      <w:r w:rsidRPr="000F00F6">
        <w:rPr>
          <w:b/>
        </w:rPr>
        <w:t>Example 5.6</w:t>
      </w:r>
      <w:r>
        <w:rPr>
          <w:b/>
        </w:rPr>
        <w:t xml:space="preserve">  </w:t>
      </w:r>
      <w:r>
        <w:t xml:space="preserve">The age at which girls in the United States first experience breast </w:t>
      </w:r>
      <w:r w:rsidR="003D2BCB" w:rsidRPr="003D2BCB">
        <w:t xml:space="preserve"> </w:t>
      </w:r>
      <w:r>
        <w:t xml:space="preserve">development </w:t>
      </w:r>
      <w:r w:rsidR="00586450">
        <w:t>h</w:t>
      </w:r>
      <w:r>
        <w:t xml:space="preserve">as been dropping over the last </w:t>
      </w:r>
      <w:r w:rsidR="00D368DF">
        <w:t>generation</w:t>
      </w:r>
      <w:r w:rsidR="00FD7C52">
        <w:t>,</w:t>
      </w:r>
      <w:r w:rsidR="007F4D5A">
        <w:fldChar w:fldCharType="begin"/>
      </w:r>
      <w:r w:rsidR="00A842BC">
        <w:instrText xml:space="preserve"> ADDIN EN.CITE &lt;EndNote&gt;&lt;Cite&gt;&lt;Author&gt;Kaplowitz&lt;/Author&gt;&lt;Year&gt;1999&lt;/Year&gt;&lt;RecNum&gt;1401&lt;/RecNum&gt;&lt;DisplayText&gt;[3]&lt;/DisplayText&gt;&lt;record&gt;&lt;rec-number&gt;1401&lt;/rec-number&gt;&lt;foreign-keys&gt;&lt;key app="EN" db-id="0ftvff9p80fp5few5s05f5fw9rd9fefrdzer" timestamp="1504209387"&gt;1401&lt;/key&gt;&lt;/foreign-keys&gt;&lt;ref-type name="Journal Article"&gt;17&lt;/ref-type&gt;&lt;contributors&gt;&lt;authors&gt;&lt;author&gt;Kaplowitz, P. B.&lt;/author&gt;&lt;author&gt;Oberfield, S. E.&lt;/author&gt;&lt;/authors&gt;&lt;/contributors&gt;&lt;auth-address&gt;Department of Pediatrics, the Medical College of Virginia of Virginia Commonwealth University, Richmond, Virginia, USA. pkaplowitz@hsc.vcu.edu&lt;/auth-address&gt;&lt;titles&gt;&lt;title&gt;Reexamination of the age limit for defining when puberty is precocious in girls in the United States: implications for evaluation and treatment. Drug and Therapeutics and Executive Committees of the Lawson Wilkins Pediatric Endocrine Society&lt;/title&gt;&lt;secondary-title&gt;Pediatrics&lt;/secondary-title&gt;&lt;/titles&gt;&lt;periodical&gt;&lt;full-title&gt;Pediatrics&lt;/full-title&gt;&lt;/periodical&gt;&lt;pages&gt;936-41&lt;/pages&gt;&lt;volume&gt;104&lt;/volume&gt;&lt;number&gt;4 Pt 1&lt;/number&gt;&lt;keywords&gt;&lt;keyword&gt;Age of Onset&lt;/keyword&gt;&lt;keyword&gt;Breast/growth &amp;amp; development&lt;/keyword&gt;&lt;keyword&gt;Child&lt;/keyword&gt;&lt;keyword&gt;Child, Preschool&lt;/keyword&gt;&lt;keyword&gt;Female&lt;/keyword&gt;&lt;keyword&gt;Fertility Agents, Female/therapeutic use&lt;/keyword&gt;&lt;keyword&gt;Gonadotropin-Releasing Hormone/therapeutic use&lt;/keyword&gt;&lt;keyword&gt;Growth Disorders/etiology/prevention &amp;amp; control&lt;/keyword&gt;&lt;keyword&gt;Humans&lt;/keyword&gt;&lt;keyword&gt;Practice Guidelines as Topic&lt;/keyword&gt;&lt;keyword&gt;Puberty/*physiology&lt;/keyword&gt;&lt;keyword&gt;Puberty, Precocious/complications/*diagnosis/drug therapy/epidemiology&lt;/keyword&gt;&lt;keyword&gt;Reference Values&lt;/keyword&gt;&lt;keyword&gt;United States/epidemiology&lt;/keyword&gt;&lt;/keywords&gt;&lt;dates&gt;&lt;year&gt;1999&lt;/year&gt;&lt;pub-dates&gt;&lt;date&gt;Oct&lt;/date&gt;&lt;/pub-dates&gt;&lt;/dates&gt;&lt;isbn&gt;0031-4005 (Print)&amp;#xD;0031-4005 (Linking)&lt;/isbn&gt;&lt;accession-num&gt;10506238&lt;/accession-num&gt;&lt;urls&gt;&lt;related-urls&gt;&lt;url&gt;https://www.ncbi.nlm.nih.gov/pubmed/10506238&lt;/url&gt;&lt;/related-urls&gt;&lt;/urls&gt;&lt;/record&gt;&lt;/Cite&gt;&lt;/EndNote&gt;</w:instrText>
      </w:r>
      <w:r w:rsidR="007F4D5A">
        <w:fldChar w:fldCharType="separate"/>
      </w:r>
      <w:r w:rsidR="00A842BC">
        <w:rPr>
          <w:noProof/>
        </w:rPr>
        <w:t>[3]</w:t>
      </w:r>
      <w:r w:rsidR="007F4D5A">
        <w:fldChar w:fldCharType="end"/>
      </w:r>
      <w:r w:rsidR="00FD7C52">
        <w:t xml:space="preserve"> likely due to some combination of increasing obesity and exposure to environmental </w:t>
      </w:r>
      <w:r w:rsidR="00052D9C">
        <w:t>pollutants</w:t>
      </w:r>
      <w:r w:rsidR="00CD6F82">
        <w:t>.</w:t>
      </w:r>
      <w:r w:rsidR="003D2BCB">
        <w:fldChar w:fldCharType="begin">
          <w:fldData xml:space="preserve">PEVuZE5vdGU+PENpdGU+PEF1dGhvcj5NYXJvbjwvQXV0aG9yPjxZZWFyPjIwMTU8L1llYXI+PFJl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</w:fldData>
        </w:fldChar>
      </w:r>
      <w:r w:rsidR="00A842BC">
        <w:instrText xml:space="preserve"> ADDIN EN.CITE </w:instrText>
      </w:r>
      <w:r w:rsidR="00A842BC">
        <w:fldChar w:fldCharType="begin">
          <w:fldData xml:space="preserve">PEVuZE5vdGU+PENpdGU+PEF1dGhvcj5NYXJvbjwvQXV0aG9yPjxZZWFyPjIwMTU8L1llYXI+PFJl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</w:fldData>
        </w:fldChar>
      </w:r>
      <w:r w:rsidR="00A842BC">
        <w:instrText xml:space="preserve"> ADDIN EN.CITE.DATA </w:instrText>
      </w:r>
      <w:r w:rsidR="00A842BC">
        <w:fldChar w:fldCharType="end"/>
      </w:r>
      <w:r w:rsidR="003D2BCB">
        <w:fldChar w:fldCharType="separate"/>
      </w:r>
      <w:r w:rsidR="00A842BC">
        <w:rPr>
          <w:noProof/>
        </w:rPr>
        <w:t>[4, 5]</w:t>
      </w:r>
      <w:r w:rsidR="003D2BCB">
        <w:fldChar w:fldCharType="end"/>
      </w:r>
      <w:r w:rsidR="00D368DF">
        <w:t xml:space="preserve">  </w:t>
      </w:r>
      <w:r w:rsidR="009C0D7E">
        <w:t>Terry et al</w:t>
      </w:r>
      <w:r w:rsidR="00B40951">
        <w:t xml:space="preserve"> </w:t>
      </w:r>
      <w:r w:rsidR="007F4D5A">
        <w:fldChar w:fldCharType="begin">
          <w:fldData xml:space="preserve">PEVuZE5vdGU+PENpdGU+PEF1dGhvcj5UZXJyeTwvQXV0aG9yPjxZZWFyPjIwMTY8L1llYXI+PFJl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</w:fldData>
        </w:fldChar>
      </w:r>
      <w:r w:rsidR="00A842BC">
        <w:instrText xml:space="preserve"> ADDIN EN.CITE </w:instrText>
      </w:r>
      <w:r w:rsidR="00A842BC">
        <w:fldChar w:fldCharType="begin">
          <w:fldData xml:space="preserve">PEVuZE5vdGU+PENpdGU+PEF1dGhvcj5UZXJyeTwvQXV0aG9yPjxZZWFyPjIwMTY8L1llYXI+PFJl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</w:fldData>
        </w:fldChar>
      </w:r>
      <w:r w:rsidR="00A842BC">
        <w:instrText xml:space="preserve"> ADDIN EN.CITE.DATA </w:instrText>
      </w:r>
      <w:r w:rsidR="00A842BC">
        <w:fldChar w:fldCharType="end"/>
      </w:r>
      <w:r w:rsidR="007F4D5A">
        <w:fldChar w:fldCharType="separate"/>
      </w:r>
      <w:r w:rsidR="00A842BC">
        <w:rPr>
          <w:noProof/>
        </w:rPr>
        <w:t>[6]</w:t>
      </w:r>
      <w:r w:rsidR="007F4D5A">
        <w:fldChar w:fldCharType="end"/>
      </w:r>
      <w:r w:rsidR="009C0D7E">
        <w:t xml:space="preserve"> </w:t>
      </w:r>
      <w:r w:rsidR="00281280">
        <w:t xml:space="preserve">compared </w:t>
      </w:r>
      <w:r w:rsidR="00A953B1">
        <w:t>ratings of mothers and trained clinicians as to whethe</w:t>
      </w:r>
      <w:r w:rsidR="00846503">
        <w:t xml:space="preserve">r breast development had begun among </w:t>
      </w:r>
      <w:r w:rsidR="00523F95">
        <w:t>282 girls</w:t>
      </w:r>
      <w:r w:rsidR="00E423C3">
        <w:t xml:space="preserve"> aged</w:t>
      </w:r>
      <w:r w:rsidR="00523F95">
        <w:t xml:space="preserve"> </w:t>
      </w:r>
      <w:r w:rsidR="00281280">
        <w:t xml:space="preserve">6 to 15 years old </w:t>
      </w:r>
      <w:r w:rsidR="00E423C3">
        <w:t>(mean age 9.5 years).</w:t>
      </w:r>
      <w:r w:rsidR="004F363C">
        <w:t xml:space="preserve">  </w:t>
      </w:r>
      <w:r w:rsidR="003746B4">
        <w:t>Results are shown in Table 5.</w:t>
      </w:r>
      <w:r w:rsidR="00582F24">
        <w:t>2</w:t>
      </w:r>
      <w:r w:rsidR="008B7AD0">
        <w:t xml:space="preserve">.  </w:t>
      </w:r>
      <w:r w:rsidR="001A188F">
        <w:t xml:space="preserve">You can see that clinicians detected breast development in 44% of the girls, </w:t>
      </w:r>
      <w:r w:rsidR="006F0412">
        <w:t xml:space="preserve">slightly more than the 37% detected by the mothers, but </w:t>
      </w:r>
      <w:r w:rsidR="007A066F">
        <w:t xml:space="preserve">this difference does not seem </w:t>
      </w:r>
      <w:r w:rsidR="00434C90">
        <w:t xml:space="preserve">particularly impressive.  </w:t>
      </w:r>
    </w:p>
    <w:p w14:paraId="343CA2A6" w14:textId="77777777" w:rsidR="00434C90" w:rsidRDefault="00434C90" w:rsidP="003D1341">
      <w:pPr>
        <w:pStyle w:val="NormalWeb"/>
      </w:pPr>
      <w:r>
        <w:t xml:space="preserve">However, if you look at the girls on whom they disagreed, a clear pattern is evident: there were 28 girls in whom </w:t>
      </w:r>
      <w:r w:rsidR="00BB3B90">
        <w:t>the clinician but not the mother believed breast development had begun, but only 9 in whom the opposite was the case.</w:t>
      </w:r>
      <w:r w:rsidR="00581322">
        <w:t xml:space="preserve"> </w:t>
      </w:r>
      <w:r w:rsidR="00793FFD">
        <w:t xml:space="preserve"> This imbalance can be tested statistically using McNemar's test; the P-value </w:t>
      </w:r>
      <w:r w:rsidR="003D4DC8">
        <w:t>i</w:t>
      </w:r>
      <w:r w:rsidR="00793FFD">
        <w:t>s 0.003.</w:t>
      </w:r>
      <w:r w:rsidR="00151BAC">
        <w:rPr>
          <w:rStyle w:val="FootnoteReference"/>
        </w:rPr>
        <w:footnoteReference w:id="2"/>
      </w:r>
      <w:r w:rsidR="00581322">
        <w:t xml:space="preserve"> </w:t>
      </w:r>
    </w:p>
    <w:p w14:paraId="15388B15" w14:textId="77777777" w:rsidR="00581322" w:rsidRDefault="00581322" w:rsidP="003D1341">
      <w:pPr>
        <w:pStyle w:val="NormalWeb"/>
      </w:pPr>
    </w:p>
    <w:tbl>
      <w:tblPr>
        <w:tblW w:w="5860" w:type="dxa"/>
        <w:tblInd w:w="93" w:type="dxa"/>
        <w:tblLook w:val="04A0" w:firstRow="1" w:lastRow="0" w:firstColumn="1" w:lastColumn="0" w:noHBand="0" w:noVBand="1"/>
      </w:tblPr>
      <w:tblGrid>
        <w:gridCol w:w="1568"/>
        <w:gridCol w:w="797"/>
        <w:gridCol w:w="797"/>
        <w:gridCol w:w="1334"/>
        <w:gridCol w:w="1364"/>
      </w:tblGrid>
      <w:tr w:rsidR="00D56237" w:rsidRPr="00D56237" w14:paraId="65F32227" w14:textId="77777777" w:rsidTr="00D56237">
        <w:trPr>
          <w:trHeight w:val="960"/>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53C50C3" w14:textId="77777777" w:rsidR="00D56237" w:rsidRPr="00D56237" w:rsidRDefault="00D56237" w:rsidP="00D56237">
            <w:pPr>
              <w:rPr>
                <w:rFonts w:ascii="Calibri" w:hAnsi="Calibri"/>
                <w:color w:val="000000"/>
              </w:rPr>
            </w:pPr>
            <w:r w:rsidRPr="00D56237">
              <w:rPr>
                <w:rFonts w:ascii="Calibri" w:hAnsi="Calibri"/>
                <w:b/>
                <w:bCs/>
                <w:color w:val="000000"/>
              </w:rPr>
              <w:t>Table 5.2:</w:t>
            </w:r>
            <w:r w:rsidRPr="00D56237">
              <w:rPr>
                <w:rFonts w:ascii="Calibri" w:hAnsi="Calibri"/>
                <w:color w:val="000000"/>
              </w:rPr>
              <w:t xml:space="preserve"> Comparison of mothers' and clinicians' determinations of whether breast development had begun in 282 girls.  Data from Terry et al (2016)</w:t>
            </w:r>
          </w:p>
        </w:tc>
      </w:tr>
      <w:tr w:rsidR="00D56237" w:rsidRPr="00D56237" w14:paraId="7D21BD2B" w14:textId="77777777" w:rsidTr="00D56237">
        <w:trPr>
          <w:trHeight w:val="300"/>
        </w:trPr>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3B721FCA" w14:textId="77777777" w:rsidR="00D56237" w:rsidRPr="00D56237" w:rsidRDefault="00D56237" w:rsidP="00D56237">
            <w:pPr>
              <w:rPr>
                <w:rFonts w:ascii="Calibri" w:hAnsi="Calibri"/>
                <w:b/>
                <w:bCs/>
                <w:color w:val="000000"/>
              </w:rPr>
            </w:pPr>
            <w:r w:rsidRPr="00D56237">
              <w:rPr>
                <w:rFonts w:ascii="Calibri" w:hAnsi="Calibri"/>
                <w:b/>
                <w:bCs/>
                <w:color w:val="000000"/>
              </w:rPr>
              <w:t> </w:t>
            </w:r>
          </w:p>
        </w:tc>
        <w:tc>
          <w:tcPr>
            <w:tcW w:w="2928" w:type="dxa"/>
            <w:gridSpan w:val="3"/>
            <w:tcBorders>
              <w:top w:val="single" w:sz="4" w:space="0" w:color="auto"/>
              <w:left w:val="nil"/>
              <w:bottom w:val="single" w:sz="4" w:space="0" w:color="auto"/>
              <w:right w:val="nil"/>
            </w:tcBorders>
            <w:shd w:val="clear" w:color="auto" w:fill="auto"/>
            <w:noWrap/>
            <w:vAlign w:val="bottom"/>
            <w:hideMark/>
          </w:tcPr>
          <w:p w14:paraId="243A5842" w14:textId="77777777" w:rsidR="00D56237" w:rsidRPr="00D56237" w:rsidRDefault="00D56237" w:rsidP="00D56237">
            <w:pPr>
              <w:jc w:val="center"/>
              <w:rPr>
                <w:rFonts w:ascii="Calibri" w:hAnsi="Calibri"/>
                <w:b/>
                <w:bCs/>
                <w:color w:val="000000"/>
              </w:rPr>
            </w:pPr>
            <w:r w:rsidRPr="00D56237">
              <w:rPr>
                <w:rFonts w:ascii="Calibri" w:hAnsi="Calibri"/>
                <w:b/>
                <w:bCs/>
                <w:color w:val="000000"/>
              </w:rPr>
              <w:t>Clinicians</w:t>
            </w:r>
          </w:p>
        </w:tc>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6D58A794" w14:textId="77777777" w:rsidR="00D56237" w:rsidRPr="00D56237" w:rsidRDefault="00D56237" w:rsidP="00D56237">
            <w:pPr>
              <w:jc w:val="center"/>
              <w:rPr>
                <w:rFonts w:ascii="Calibri" w:hAnsi="Calibri"/>
                <w:b/>
                <w:bCs/>
                <w:color w:val="000000"/>
              </w:rPr>
            </w:pPr>
            <w:r w:rsidRPr="00D56237">
              <w:rPr>
                <w:rFonts w:ascii="Calibri" w:hAnsi="Calibri"/>
                <w:b/>
                <w:bCs/>
                <w:color w:val="000000"/>
              </w:rPr>
              <w:t> </w:t>
            </w:r>
          </w:p>
        </w:tc>
      </w:tr>
      <w:tr w:rsidR="00D56237" w:rsidRPr="00D56237" w14:paraId="415DEA50" w14:textId="77777777" w:rsidTr="00D56237">
        <w:trPr>
          <w:trHeight w:val="300"/>
        </w:trPr>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126303C0" w14:textId="77777777" w:rsidR="00D56237" w:rsidRPr="00D56237" w:rsidRDefault="00D56237" w:rsidP="00D56237">
            <w:pPr>
              <w:rPr>
                <w:rFonts w:ascii="Calibri" w:hAnsi="Calibri"/>
                <w:b/>
                <w:bCs/>
                <w:color w:val="000000"/>
              </w:rPr>
            </w:pPr>
            <w:r w:rsidRPr="00D56237">
              <w:rPr>
                <w:rFonts w:ascii="Calibri" w:hAnsi="Calibri"/>
                <w:b/>
                <w:bCs/>
                <w:color w:val="000000"/>
              </w:rPr>
              <w:t>Mothers</w:t>
            </w:r>
          </w:p>
        </w:tc>
        <w:tc>
          <w:tcPr>
            <w:tcW w:w="797" w:type="dxa"/>
            <w:tcBorders>
              <w:top w:val="nil"/>
              <w:left w:val="nil"/>
              <w:bottom w:val="single" w:sz="4" w:space="0" w:color="auto"/>
              <w:right w:val="single" w:sz="4" w:space="0" w:color="auto"/>
            </w:tcBorders>
            <w:shd w:val="clear" w:color="auto" w:fill="auto"/>
            <w:noWrap/>
            <w:vAlign w:val="bottom"/>
            <w:hideMark/>
          </w:tcPr>
          <w:p w14:paraId="7B938A3A" w14:textId="77777777" w:rsidR="00D56237" w:rsidRPr="00D56237" w:rsidRDefault="00D56237" w:rsidP="00D56237">
            <w:pPr>
              <w:jc w:val="center"/>
              <w:rPr>
                <w:rFonts w:ascii="Calibri" w:hAnsi="Calibri"/>
                <w:b/>
                <w:bCs/>
                <w:color w:val="000000"/>
              </w:rPr>
            </w:pPr>
            <w:r w:rsidRPr="00D56237">
              <w:rPr>
                <w:rFonts w:ascii="Calibri" w:hAnsi="Calibri"/>
                <w:b/>
                <w:bCs/>
                <w:color w:val="000000"/>
              </w:rPr>
              <w:t>No</w:t>
            </w:r>
          </w:p>
        </w:tc>
        <w:tc>
          <w:tcPr>
            <w:tcW w:w="797" w:type="dxa"/>
            <w:tcBorders>
              <w:top w:val="nil"/>
              <w:left w:val="nil"/>
              <w:bottom w:val="single" w:sz="4" w:space="0" w:color="auto"/>
              <w:right w:val="single" w:sz="4" w:space="0" w:color="auto"/>
            </w:tcBorders>
            <w:shd w:val="clear" w:color="auto" w:fill="auto"/>
            <w:noWrap/>
            <w:vAlign w:val="bottom"/>
            <w:hideMark/>
          </w:tcPr>
          <w:p w14:paraId="662ADD16" w14:textId="77777777" w:rsidR="00D56237" w:rsidRPr="00D56237" w:rsidRDefault="00D56237" w:rsidP="00D56237">
            <w:pPr>
              <w:jc w:val="center"/>
              <w:rPr>
                <w:rFonts w:ascii="Calibri" w:hAnsi="Calibri"/>
                <w:b/>
                <w:bCs/>
                <w:color w:val="000000"/>
              </w:rPr>
            </w:pPr>
            <w:r w:rsidRPr="00D56237">
              <w:rPr>
                <w:rFonts w:ascii="Calibri" w:hAnsi="Calibri"/>
                <w:b/>
                <w:bCs/>
                <w:color w:val="000000"/>
              </w:rPr>
              <w:t>Yes</w:t>
            </w:r>
          </w:p>
        </w:tc>
        <w:tc>
          <w:tcPr>
            <w:tcW w:w="1334" w:type="dxa"/>
            <w:tcBorders>
              <w:top w:val="nil"/>
              <w:left w:val="nil"/>
              <w:bottom w:val="single" w:sz="4" w:space="0" w:color="auto"/>
              <w:right w:val="single" w:sz="4" w:space="0" w:color="auto"/>
            </w:tcBorders>
            <w:shd w:val="clear" w:color="auto" w:fill="auto"/>
            <w:noWrap/>
            <w:vAlign w:val="bottom"/>
            <w:hideMark/>
          </w:tcPr>
          <w:p w14:paraId="15708550" w14:textId="77777777" w:rsidR="00D56237" w:rsidRPr="00D56237" w:rsidRDefault="00D56237" w:rsidP="00D56237">
            <w:pPr>
              <w:jc w:val="center"/>
              <w:rPr>
                <w:rFonts w:ascii="Calibri" w:hAnsi="Calibri"/>
                <w:b/>
                <w:bCs/>
                <w:color w:val="000000"/>
              </w:rPr>
            </w:pPr>
            <w:r w:rsidRPr="00D56237">
              <w:rPr>
                <w:rFonts w:ascii="Calibri" w:hAnsi="Calibri"/>
                <w:b/>
                <w:bCs/>
                <w:color w:val="000000"/>
              </w:rPr>
              <w:t>Total N</w:t>
            </w:r>
          </w:p>
        </w:tc>
        <w:tc>
          <w:tcPr>
            <w:tcW w:w="1364" w:type="dxa"/>
            <w:tcBorders>
              <w:top w:val="nil"/>
              <w:left w:val="nil"/>
              <w:bottom w:val="single" w:sz="4" w:space="0" w:color="auto"/>
              <w:right w:val="single" w:sz="4" w:space="0" w:color="auto"/>
            </w:tcBorders>
            <w:shd w:val="clear" w:color="auto" w:fill="auto"/>
            <w:noWrap/>
            <w:vAlign w:val="bottom"/>
            <w:hideMark/>
          </w:tcPr>
          <w:p w14:paraId="18B70C41" w14:textId="77777777" w:rsidR="00D56237" w:rsidRPr="00D56237" w:rsidRDefault="00D56237" w:rsidP="00D56237">
            <w:pPr>
              <w:jc w:val="center"/>
              <w:rPr>
                <w:rFonts w:ascii="Calibri" w:hAnsi="Calibri"/>
                <w:b/>
                <w:bCs/>
                <w:color w:val="000000"/>
              </w:rPr>
            </w:pPr>
            <w:r w:rsidRPr="00D56237">
              <w:rPr>
                <w:rFonts w:ascii="Calibri" w:hAnsi="Calibri"/>
                <w:b/>
                <w:bCs/>
                <w:color w:val="000000"/>
              </w:rPr>
              <w:t>Total %</w:t>
            </w:r>
          </w:p>
        </w:tc>
      </w:tr>
      <w:tr w:rsidR="00D56237" w:rsidRPr="00D56237" w14:paraId="272E7BBB" w14:textId="77777777" w:rsidTr="00D56237">
        <w:trPr>
          <w:trHeight w:val="300"/>
        </w:trPr>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4AF2CA97" w14:textId="77777777" w:rsidR="00D56237" w:rsidRPr="00D56237" w:rsidRDefault="00D56237" w:rsidP="00D56237">
            <w:pPr>
              <w:jc w:val="right"/>
              <w:rPr>
                <w:rFonts w:ascii="Calibri" w:hAnsi="Calibri"/>
                <w:b/>
                <w:bCs/>
                <w:color w:val="000000"/>
              </w:rPr>
            </w:pPr>
            <w:r w:rsidRPr="00D56237">
              <w:rPr>
                <w:rFonts w:ascii="Calibri" w:hAnsi="Calibri"/>
                <w:b/>
                <w:bCs/>
                <w:color w:val="000000"/>
              </w:rPr>
              <w:t>No</w:t>
            </w:r>
          </w:p>
        </w:tc>
        <w:tc>
          <w:tcPr>
            <w:tcW w:w="797" w:type="dxa"/>
            <w:tcBorders>
              <w:top w:val="nil"/>
              <w:left w:val="nil"/>
              <w:bottom w:val="single" w:sz="4" w:space="0" w:color="auto"/>
              <w:right w:val="single" w:sz="4" w:space="0" w:color="auto"/>
            </w:tcBorders>
            <w:shd w:val="clear" w:color="auto" w:fill="auto"/>
            <w:noWrap/>
            <w:vAlign w:val="bottom"/>
            <w:hideMark/>
          </w:tcPr>
          <w:p w14:paraId="5F52E04A" w14:textId="77777777" w:rsidR="00D56237" w:rsidRPr="00D56237" w:rsidRDefault="00D56237" w:rsidP="00D56237">
            <w:pPr>
              <w:jc w:val="center"/>
              <w:rPr>
                <w:rFonts w:ascii="Calibri" w:hAnsi="Calibri"/>
                <w:color w:val="000000"/>
              </w:rPr>
            </w:pPr>
            <w:r w:rsidRPr="00D56237">
              <w:rPr>
                <w:rFonts w:ascii="Calibri" w:hAnsi="Calibri"/>
                <w:color w:val="000000"/>
              </w:rPr>
              <w:t>150</w:t>
            </w:r>
          </w:p>
        </w:tc>
        <w:tc>
          <w:tcPr>
            <w:tcW w:w="797" w:type="dxa"/>
            <w:tcBorders>
              <w:top w:val="nil"/>
              <w:left w:val="nil"/>
              <w:bottom w:val="single" w:sz="4" w:space="0" w:color="auto"/>
              <w:right w:val="single" w:sz="4" w:space="0" w:color="auto"/>
            </w:tcBorders>
            <w:shd w:val="clear" w:color="auto" w:fill="auto"/>
            <w:noWrap/>
            <w:vAlign w:val="bottom"/>
            <w:hideMark/>
          </w:tcPr>
          <w:p w14:paraId="09736422" w14:textId="77777777" w:rsidR="00D56237" w:rsidRPr="00D56237" w:rsidRDefault="00D56237" w:rsidP="00D56237">
            <w:pPr>
              <w:jc w:val="center"/>
              <w:rPr>
                <w:rFonts w:ascii="Calibri" w:hAnsi="Calibri"/>
                <w:color w:val="000000"/>
              </w:rPr>
            </w:pPr>
            <w:r w:rsidRPr="00D56237">
              <w:rPr>
                <w:rFonts w:ascii="Calibri" w:hAnsi="Calibri"/>
                <w:color w:val="000000"/>
              </w:rPr>
              <w:t>28</w:t>
            </w:r>
          </w:p>
        </w:tc>
        <w:tc>
          <w:tcPr>
            <w:tcW w:w="1334" w:type="dxa"/>
            <w:tcBorders>
              <w:top w:val="nil"/>
              <w:left w:val="nil"/>
              <w:bottom w:val="single" w:sz="4" w:space="0" w:color="auto"/>
              <w:right w:val="single" w:sz="4" w:space="0" w:color="auto"/>
            </w:tcBorders>
            <w:shd w:val="clear" w:color="auto" w:fill="auto"/>
            <w:noWrap/>
            <w:vAlign w:val="bottom"/>
            <w:hideMark/>
          </w:tcPr>
          <w:p w14:paraId="2AD51963" w14:textId="77777777" w:rsidR="00D56237" w:rsidRPr="00D56237" w:rsidRDefault="00D56237" w:rsidP="00D56237">
            <w:pPr>
              <w:jc w:val="center"/>
              <w:rPr>
                <w:rFonts w:ascii="Calibri" w:hAnsi="Calibri"/>
                <w:color w:val="000000"/>
              </w:rPr>
            </w:pPr>
            <w:r w:rsidRPr="00D56237">
              <w:rPr>
                <w:rFonts w:ascii="Calibri" w:hAnsi="Calibri"/>
                <w:color w:val="000000"/>
              </w:rPr>
              <w:t>178</w:t>
            </w:r>
          </w:p>
        </w:tc>
        <w:tc>
          <w:tcPr>
            <w:tcW w:w="1364" w:type="dxa"/>
            <w:tcBorders>
              <w:top w:val="nil"/>
              <w:left w:val="nil"/>
              <w:bottom w:val="single" w:sz="4" w:space="0" w:color="auto"/>
              <w:right w:val="single" w:sz="4" w:space="0" w:color="auto"/>
            </w:tcBorders>
            <w:shd w:val="clear" w:color="auto" w:fill="auto"/>
            <w:noWrap/>
            <w:vAlign w:val="bottom"/>
            <w:hideMark/>
          </w:tcPr>
          <w:p w14:paraId="4C3BA4CF" w14:textId="77777777" w:rsidR="00D56237" w:rsidRPr="00D56237" w:rsidRDefault="00D56237" w:rsidP="00D56237">
            <w:pPr>
              <w:jc w:val="center"/>
              <w:rPr>
                <w:rFonts w:ascii="Calibri" w:hAnsi="Calibri"/>
                <w:b/>
                <w:bCs/>
                <w:color w:val="000000"/>
              </w:rPr>
            </w:pPr>
            <w:r w:rsidRPr="00D56237">
              <w:rPr>
                <w:rFonts w:ascii="Calibri" w:hAnsi="Calibri"/>
                <w:b/>
                <w:bCs/>
                <w:color w:val="000000"/>
              </w:rPr>
              <w:t>63%</w:t>
            </w:r>
          </w:p>
        </w:tc>
      </w:tr>
      <w:tr w:rsidR="00D56237" w:rsidRPr="00D56237" w14:paraId="3E6D7624" w14:textId="77777777" w:rsidTr="00D56237">
        <w:trPr>
          <w:trHeight w:val="300"/>
        </w:trPr>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3D4D894E" w14:textId="77777777" w:rsidR="00D56237" w:rsidRPr="00D56237" w:rsidRDefault="00D56237" w:rsidP="00D56237">
            <w:pPr>
              <w:jc w:val="right"/>
              <w:rPr>
                <w:rFonts w:ascii="Calibri" w:hAnsi="Calibri"/>
                <w:b/>
                <w:bCs/>
                <w:color w:val="000000"/>
              </w:rPr>
            </w:pPr>
            <w:r w:rsidRPr="00D56237">
              <w:rPr>
                <w:rFonts w:ascii="Calibri" w:hAnsi="Calibri"/>
                <w:b/>
                <w:bCs/>
                <w:color w:val="000000"/>
              </w:rPr>
              <w:t>Yes</w:t>
            </w:r>
          </w:p>
        </w:tc>
        <w:tc>
          <w:tcPr>
            <w:tcW w:w="797" w:type="dxa"/>
            <w:tcBorders>
              <w:top w:val="nil"/>
              <w:left w:val="nil"/>
              <w:bottom w:val="single" w:sz="4" w:space="0" w:color="auto"/>
              <w:right w:val="single" w:sz="4" w:space="0" w:color="auto"/>
            </w:tcBorders>
            <w:shd w:val="clear" w:color="auto" w:fill="auto"/>
            <w:noWrap/>
            <w:vAlign w:val="bottom"/>
            <w:hideMark/>
          </w:tcPr>
          <w:p w14:paraId="62993D0A" w14:textId="77777777" w:rsidR="00D56237" w:rsidRPr="00D56237" w:rsidRDefault="00D56237" w:rsidP="00D56237">
            <w:pPr>
              <w:jc w:val="center"/>
              <w:rPr>
                <w:rFonts w:ascii="Calibri" w:hAnsi="Calibri"/>
                <w:color w:val="000000"/>
              </w:rPr>
            </w:pPr>
            <w:r w:rsidRPr="00D56237">
              <w:rPr>
                <w:rFonts w:ascii="Calibri" w:hAnsi="Calibri"/>
                <w:color w:val="000000"/>
              </w:rPr>
              <w:t>9</w:t>
            </w:r>
          </w:p>
        </w:tc>
        <w:tc>
          <w:tcPr>
            <w:tcW w:w="797" w:type="dxa"/>
            <w:tcBorders>
              <w:top w:val="nil"/>
              <w:left w:val="nil"/>
              <w:bottom w:val="single" w:sz="4" w:space="0" w:color="auto"/>
              <w:right w:val="single" w:sz="4" w:space="0" w:color="auto"/>
            </w:tcBorders>
            <w:shd w:val="clear" w:color="auto" w:fill="auto"/>
            <w:noWrap/>
            <w:vAlign w:val="bottom"/>
            <w:hideMark/>
          </w:tcPr>
          <w:p w14:paraId="2BC7A251" w14:textId="77777777" w:rsidR="00D56237" w:rsidRPr="00D56237" w:rsidRDefault="00D56237" w:rsidP="00D56237">
            <w:pPr>
              <w:jc w:val="center"/>
              <w:rPr>
                <w:rFonts w:ascii="Calibri" w:hAnsi="Calibri"/>
                <w:color w:val="000000"/>
              </w:rPr>
            </w:pPr>
            <w:r w:rsidRPr="00D56237">
              <w:rPr>
                <w:rFonts w:ascii="Calibri" w:hAnsi="Calibri"/>
                <w:color w:val="000000"/>
              </w:rPr>
              <w:t>95</w:t>
            </w:r>
          </w:p>
        </w:tc>
        <w:tc>
          <w:tcPr>
            <w:tcW w:w="1334" w:type="dxa"/>
            <w:tcBorders>
              <w:top w:val="nil"/>
              <w:left w:val="nil"/>
              <w:bottom w:val="single" w:sz="4" w:space="0" w:color="auto"/>
              <w:right w:val="single" w:sz="4" w:space="0" w:color="auto"/>
            </w:tcBorders>
            <w:shd w:val="clear" w:color="auto" w:fill="auto"/>
            <w:noWrap/>
            <w:vAlign w:val="bottom"/>
            <w:hideMark/>
          </w:tcPr>
          <w:p w14:paraId="24AAD6AB" w14:textId="77777777" w:rsidR="00D56237" w:rsidRPr="00D56237" w:rsidRDefault="00D56237" w:rsidP="00D56237">
            <w:pPr>
              <w:jc w:val="center"/>
              <w:rPr>
                <w:rFonts w:ascii="Calibri" w:hAnsi="Calibri"/>
                <w:color w:val="000000"/>
              </w:rPr>
            </w:pPr>
            <w:r w:rsidRPr="00D56237">
              <w:rPr>
                <w:rFonts w:ascii="Calibri" w:hAnsi="Calibri"/>
                <w:color w:val="000000"/>
              </w:rPr>
              <w:t>104</w:t>
            </w:r>
          </w:p>
        </w:tc>
        <w:tc>
          <w:tcPr>
            <w:tcW w:w="1364" w:type="dxa"/>
            <w:tcBorders>
              <w:top w:val="nil"/>
              <w:left w:val="nil"/>
              <w:bottom w:val="single" w:sz="4" w:space="0" w:color="auto"/>
              <w:right w:val="single" w:sz="4" w:space="0" w:color="auto"/>
            </w:tcBorders>
            <w:shd w:val="clear" w:color="auto" w:fill="auto"/>
            <w:noWrap/>
            <w:vAlign w:val="bottom"/>
            <w:hideMark/>
          </w:tcPr>
          <w:p w14:paraId="48FA1E69" w14:textId="77777777" w:rsidR="00D56237" w:rsidRPr="00D56237" w:rsidRDefault="00D56237" w:rsidP="00D56237">
            <w:pPr>
              <w:jc w:val="center"/>
              <w:rPr>
                <w:rFonts w:ascii="Calibri" w:hAnsi="Calibri"/>
                <w:b/>
                <w:bCs/>
                <w:color w:val="000000"/>
              </w:rPr>
            </w:pPr>
            <w:r w:rsidRPr="00D56237">
              <w:rPr>
                <w:rFonts w:ascii="Calibri" w:hAnsi="Calibri"/>
                <w:b/>
                <w:bCs/>
                <w:color w:val="000000"/>
              </w:rPr>
              <w:t>37%</w:t>
            </w:r>
          </w:p>
        </w:tc>
      </w:tr>
      <w:tr w:rsidR="00D56237" w:rsidRPr="00D56237" w14:paraId="764CD01A" w14:textId="77777777" w:rsidTr="00D56237">
        <w:trPr>
          <w:trHeight w:val="300"/>
        </w:trPr>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085A0E4F" w14:textId="77777777" w:rsidR="00D56237" w:rsidRPr="00D56237" w:rsidRDefault="00D56237" w:rsidP="00D56237">
            <w:pPr>
              <w:jc w:val="right"/>
              <w:rPr>
                <w:rFonts w:ascii="Calibri" w:hAnsi="Calibri"/>
                <w:b/>
                <w:bCs/>
                <w:color w:val="000000"/>
              </w:rPr>
            </w:pPr>
            <w:r w:rsidRPr="00D56237">
              <w:rPr>
                <w:rFonts w:ascii="Calibri" w:hAnsi="Calibri"/>
                <w:b/>
                <w:bCs/>
                <w:color w:val="000000"/>
              </w:rPr>
              <w:t>Total N</w:t>
            </w:r>
          </w:p>
        </w:tc>
        <w:tc>
          <w:tcPr>
            <w:tcW w:w="797" w:type="dxa"/>
            <w:tcBorders>
              <w:top w:val="nil"/>
              <w:left w:val="nil"/>
              <w:bottom w:val="single" w:sz="4" w:space="0" w:color="auto"/>
              <w:right w:val="single" w:sz="4" w:space="0" w:color="auto"/>
            </w:tcBorders>
            <w:shd w:val="clear" w:color="auto" w:fill="auto"/>
            <w:noWrap/>
            <w:vAlign w:val="bottom"/>
            <w:hideMark/>
          </w:tcPr>
          <w:p w14:paraId="01E3AE44" w14:textId="77777777" w:rsidR="00D56237" w:rsidRPr="00D56237" w:rsidRDefault="00D56237" w:rsidP="00D56237">
            <w:pPr>
              <w:jc w:val="center"/>
              <w:rPr>
                <w:rFonts w:ascii="Calibri" w:hAnsi="Calibri"/>
                <w:color w:val="000000"/>
              </w:rPr>
            </w:pPr>
            <w:r w:rsidRPr="00D56237">
              <w:rPr>
                <w:rFonts w:ascii="Calibri" w:hAnsi="Calibri"/>
                <w:color w:val="000000"/>
              </w:rPr>
              <w:t>159</w:t>
            </w:r>
          </w:p>
        </w:tc>
        <w:tc>
          <w:tcPr>
            <w:tcW w:w="797" w:type="dxa"/>
            <w:tcBorders>
              <w:top w:val="nil"/>
              <w:left w:val="nil"/>
              <w:bottom w:val="single" w:sz="4" w:space="0" w:color="auto"/>
              <w:right w:val="single" w:sz="4" w:space="0" w:color="auto"/>
            </w:tcBorders>
            <w:shd w:val="clear" w:color="auto" w:fill="auto"/>
            <w:noWrap/>
            <w:vAlign w:val="bottom"/>
            <w:hideMark/>
          </w:tcPr>
          <w:p w14:paraId="16A117B6" w14:textId="77777777" w:rsidR="00D56237" w:rsidRPr="00D56237" w:rsidRDefault="00D56237" w:rsidP="00D56237">
            <w:pPr>
              <w:jc w:val="center"/>
              <w:rPr>
                <w:rFonts w:ascii="Calibri" w:hAnsi="Calibri"/>
                <w:color w:val="000000"/>
              </w:rPr>
            </w:pPr>
            <w:r w:rsidRPr="00D56237">
              <w:rPr>
                <w:rFonts w:ascii="Calibri" w:hAnsi="Calibri"/>
                <w:color w:val="000000"/>
              </w:rPr>
              <w:t>123</w:t>
            </w:r>
          </w:p>
        </w:tc>
        <w:tc>
          <w:tcPr>
            <w:tcW w:w="1334" w:type="dxa"/>
            <w:tcBorders>
              <w:top w:val="nil"/>
              <w:left w:val="nil"/>
              <w:bottom w:val="single" w:sz="4" w:space="0" w:color="auto"/>
              <w:right w:val="single" w:sz="4" w:space="0" w:color="auto"/>
            </w:tcBorders>
            <w:shd w:val="clear" w:color="auto" w:fill="auto"/>
            <w:noWrap/>
            <w:vAlign w:val="bottom"/>
            <w:hideMark/>
          </w:tcPr>
          <w:p w14:paraId="3D174CA7" w14:textId="77777777" w:rsidR="00D56237" w:rsidRPr="00D56237" w:rsidRDefault="00D56237" w:rsidP="00D56237">
            <w:pPr>
              <w:jc w:val="center"/>
              <w:rPr>
                <w:rFonts w:ascii="Calibri" w:hAnsi="Calibri"/>
                <w:color w:val="000000"/>
              </w:rPr>
            </w:pPr>
            <w:r w:rsidRPr="00D56237">
              <w:rPr>
                <w:rFonts w:ascii="Calibri" w:hAnsi="Calibri"/>
                <w:color w:val="000000"/>
              </w:rPr>
              <w:t>282</w:t>
            </w:r>
          </w:p>
        </w:tc>
        <w:tc>
          <w:tcPr>
            <w:tcW w:w="1364" w:type="dxa"/>
            <w:tcBorders>
              <w:top w:val="nil"/>
              <w:left w:val="nil"/>
              <w:bottom w:val="single" w:sz="4" w:space="0" w:color="auto"/>
              <w:right w:val="single" w:sz="4" w:space="0" w:color="auto"/>
            </w:tcBorders>
            <w:shd w:val="clear" w:color="auto" w:fill="auto"/>
            <w:noWrap/>
            <w:vAlign w:val="bottom"/>
            <w:hideMark/>
          </w:tcPr>
          <w:p w14:paraId="41E4819A" w14:textId="77777777" w:rsidR="00D56237" w:rsidRPr="00D56237" w:rsidRDefault="00D56237" w:rsidP="00D56237">
            <w:pPr>
              <w:jc w:val="center"/>
              <w:rPr>
                <w:rFonts w:ascii="Calibri" w:hAnsi="Calibri"/>
                <w:b/>
                <w:bCs/>
                <w:color w:val="000000"/>
              </w:rPr>
            </w:pPr>
            <w:r w:rsidRPr="00D56237">
              <w:rPr>
                <w:rFonts w:ascii="Calibri" w:hAnsi="Calibri"/>
                <w:b/>
                <w:bCs/>
                <w:color w:val="000000"/>
              </w:rPr>
              <w:t>100%</w:t>
            </w:r>
          </w:p>
        </w:tc>
      </w:tr>
      <w:tr w:rsidR="00D56237" w:rsidRPr="00D56237" w14:paraId="5131987D" w14:textId="77777777" w:rsidTr="00D56237">
        <w:trPr>
          <w:trHeight w:val="300"/>
        </w:trPr>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7BD86982" w14:textId="77777777" w:rsidR="00D56237" w:rsidRPr="00D56237" w:rsidRDefault="00D56237" w:rsidP="00D56237">
            <w:pPr>
              <w:rPr>
                <w:rFonts w:ascii="Calibri" w:hAnsi="Calibri"/>
                <w:b/>
                <w:bCs/>
                <w:color w:val="000000"/>
              </w:rPr>
            </w:pPr>
            <w:r w:rsidRPr="00D56237">
              <w:rPr>
                <w:rFonts w:ascii="Calibri" w:hAnsi="Calibri"/>
                <w:b/>
                <w:bCs/>
                <w:color w:val="000000"/>
              </w:rPr>
              <w:t>Total %</w:t>
            </w:r>
          </w:p>
        </w:tc>
        <w:tc>
          <w:tcPr>
            <w:tcW w:w="797" w:type="dxa"/>
            <w:tcBorders>
              <w:top w:val="nil"/>
              <w:left w:val="nil"/>
              <w:bottom w:val="single" w:sz="4" w:space="0" w:color="auto"/>
              <w:right w:val="single" w:sz="4" w:space="0" w:color="auto"/>
            </w:tcBorders>
            <w:shd w:val="clear" w:color="auto" w:fill="auto"/>
            <w:noWrap/>
            <w:vAlign w:val="bottom"/>
            <w:hideMark/>
          </w:tcPr>
          <w:p w14:paraId="38548801" w14:textId="77777777" w:rsidR="00D56237" w:rsidRPr="00D56237" w:rsidRDefault="00D56237" w:rsidP="00D56237">
            <w:pPr>
              <w:jc w:val="center"/>
              <w:rPr>
                <w:rFonts w:ascii="Calibri" w:hAnsi="Calibri"/>
                <w:b/>
                <w:bCs/>
                <w:color w:val="000000"/>
              </w:rPr>
            </w:pPr>
            <w:r w:rsidRPr="00D56237">
              <w:rPr>
                <w:rFonts w:ascii="Calibri" w:hAnsi="Calibri"/>
                <w:b/>
                <w:bCs/>
                <w:color w:val="000000"/>
              </w:rPr>
              <w:t>56%</w:t>
            </w:r>
          </w:p>
        </w:tc>
        <w:tc>
          <w:tcPr>
            <w:tcW w:w="797" w:type="dxa"/>
            <w:tcBorders>
              <w:top w:val="nil"/>
              <w:left w:val="nil"/>
              <w:bottom w:val="single" w:sz="4" w:space="0" w:color="auto"/>
              <w:right w:val="single" w:sz="4" w:space="0" w:color="auto"/>
            </w:tcBorders>
            <w:shd w:val="clear" w:color="auto" w:fill="auto"/>
            <w:noWrap/>
            <w:vAlign w:val="bottom"/>
            <w:hideMark/>
          </w:tcPr>
          <w:p w14:paraId="1DF257DF" w14:textId="77777777" w:rsidR="00D56237" w:rsidRPr="00D56237" w:rsidRDefault="00D56237" w:rsidP="00D56237">
            <w:pPr>
              <w:jc w:val="center"/>
              <w:rPr>
                <w:rFonts w:ascii="Calibri" w:hAnsi="Calibri"/>
                <w:b/>
                <w:bCs/>
                <w:color w:val="000000"/>
              </w:rPr>
            </w:pPr>
            <w:r w:rsidRPr="00D56237">
              <w:rPr>
                <w:rFonts w:ascii="Calibri" w:hAnsi="Calibri"/>
                <w:b/>
                <w:bCs/>
                <w:color w:val="000000"/>
              </w:rPr>
              <w:t>44%</w:t>
            </w:r>
          </w:p>
        </w:tc>
        <w:tc>
          <w:tcPr>
            <w:tcW w:w="1334" w:type="dxa"/>
            <w:tcBorders>
              <w:top w:val="nil"/>
              <w:left w:val="nil"/>
              <w:bottom w:val="single" w:sz="4" w:space="0" w:color="auto"/>
              <w:right w:val="single" w:sz="4" w:space="0" w:color="auto"/>
            </w:tcBorders>
            <w:shd w:val="clear" w:color="auto" w:fill="auto"/>
            <w:noWrap/>
            <w:vAlign w:val="bottom"/>
            <w:hideMark/>
          </w:tcPr>
          <w:p w14:paraId="7521C0C1" w14:textId="77777777" w:rsidR="00D56237" w:rsidRPr="00D56237" w:rsidRDefault="00D56237" w:rsidP="00D56237">
            <w:pPr>
              <w:jc w:val="center"/>
              <w:rPr>
                <w:rFonts w:ascii="Calibri" w:hAnsi="Calibri"/>
                <w:b/>
                <w:bCs/>
                <w:color w:val="000000"/>
              </w:rPr>
            </w:pPr>
            <w:r w:rsidRPr="00D56237">
              <w:rPr>
                <w:rFonts w:ascii="Calibri" w:hAnsi="Calibri"/>
                <w:b/>
                <w:bCs/>
                <w:color w:val="000000"/>
              </w:rPr>
              <w:t>100%</w:t>
            </w:r>
          </w:p>
        </w:tc>
        <w:tc>
          <w:tcPr>
            <w:tcW w:w="1364" w:type="dxa"/>
            <w:tcBorders>
              <w:top w:val="nil"/>
              <w:left w:val="nil"/>
              <w:bottom w:val="single" w:sz="4" w:space="0" w:color="auto"/>
              <w:right w:val="single" w:sz="4" w:space="0" w:color="auto"/>
            </w:tcBorders>
            <w:shd w:val="clear" w:color="auto" w:fill="auto"/>
            <w:noWrap/>
            <w:vAlign w:val="bottom"/>
            <w:hideMark/>
          </w:tcPr>
          <w:p w14:paraId="2AEC958A" w14:textId="77777777" w:rsidR="00D56237" w:rsidRPr="00D56237" w:rsidRDefault="00D56237" w:rsidP="00D56237">
            <w:pPr>
              <w:jc w:val="center"/>
              <w:rPr>
                <w:rFonts w:ascii="Calibri" w:hAnsi="Calibri"/>
                <w:b/>
                <w:bCs/>
                <w:color w:val="000000"/>
              </w:rPr>
            </w:pPr>
            <w:r w:rsidRPr="00D56237">
              <w:rPr>
                <w:rFonts w:ascii="Calibri" w:hAnsi="Calibri"/>
                <w:b/>
                <w:bCs/>
                <w:color w:val="000000"/>
              </w:rPr>
              <w:t> </w:t>
            </w:r>
          </w:p>
        </w:tc>
      </w:tr>
    </w:tbl>
    <w:p w14:paraId="76B3C694" w14:textId="77777777" w:rsidR="00194884" w:rsidRDefault="00194884" w:rsidP="003D1341">
      <w:pPr>
        <w:pStyle w:val="NormalWeb"/>
      </w:pPr>
    </w:p>
    <w:p w14:paraId="69D60D6E" w14:textId="77777777" w:rsidR="00B91CD8" w:rsidRDefault="00F26865" w:rsidP="003D1341">
      <w:pPr>
        <w:pStyle w:val="NormalWeb"/>
      </w:pPr>
      <w:r>
        <w:t>Although less common, u</w:t>
      </w:r>
      <w:r w:rsidR="00D8427B">
        <w:t>nbalanced disagreement</w:t>
      </w:r>
      <w:r w:rsidR="002C55E1">
        <w:t xml:space="preserve"> of</w:t>
      </w:r>
      <w:r w:rsidR="004F48DE" w:rsidRPr="005457F2">
        <w:t xml:space="preserve"> ratings </w:t>
      </w:r>
      <w:r w:rsidR="002C55E1">
        <w:t xml:space="preserve">can </w:t>
      </w:r>
      <w:r w:rsidR="004F48DE" w:rsidRPr="005457F2">
        <w:t xml:space="preserve">occur in studies of </w:t>
      </w:r>
      <w:r w:rsidR="002C55E1" w:rsidRPr="005457F2">
        <w:t>intra-rater reliability (comparing the same observer at different time points</w:t>
      </w:r>
      <w:r>
        <w:t>)</w:t>
      </w:r>
      <w:r w:rsidR="002C55E1">
        <w:t xml:space="preserve"> as well as </w:t>
      </w:r>
      <w:r w:rsidR="002C55E1" w:rsidRPr="005457F2">
        <w:t>inter-rater reliability</w:t>
      </w:r>
      <w:r w:rsidR="004F48DE" w:rsidRPr="005457F2">
        <w:t xml:space="preserve"> (compari</w:t>
      </w:r>
      <w:r>
        <w:t>ng two or more different observers)</w:t>
      </w:r>
      <w:r w:rsidR="004F48DE" w:rsidRPr="005457F2">
        <w:t xml:space="preserve">. </w:t>
      </w:r>
      <w:r>
        <w:t xml:space="preserve"> For example</w:t>
      </w:r>
      <w:r w:rsidR="004F48DE" w:rsidRPr="005457F2">
        <w:t xml:space="preserve">, imagine a radiologist reviewing the same set of x-rays before and after </w:t>
      </w:r>
      <w:r w:rsidR="000D3DA3">
        <w:t>being</w:t>
      </w:r>
      <w:r w:rsidR="004F48DE" w:rsidRPr="005457F2">
        <w:t xml:space="preserve"> sued for missing an abnormality. We might expect </w:t>
      </w:r>
      <w:r w:rsidR="0001251C">
        <w:t>the</w:t>
      </w:r>
      <w:r w:rsidR="004F48DE" w:rsidRPr="005457F2">
        <w:t xml:space="preserve"> readings to differ systematically, with unbalanced disagreements favoring abnormality on the second reading that were normal on the </w:t>
      </w:r>
      <w:r w:rsidR="007816D8" w:rsidRPr="005457F2">
        <w:t>fi</w:t>
      </w:r>
      <w:r w:rsidR="004F48DE" w:rsidRPr="005457F2">
        <w:t>rst reading.</w:t>
      </w:r>
      <w:r w:rsidR="00194884">
        <w:br/>
      </w:r>
    </w:p>
    <w:p w14:paraId="53CE23EE" w14:textId="77777777" w:rsidR="00FE3E3D" w:rsidRDefault="00FE3E3D" w:rsidP="00FE3E3D">
      <w:pPr>
        <w:pStyle w:val="Heading4"/>
      </w:pPr>
      <w:r>
        <w:lastRenderedPageBreak/>
        <w:t>Kappa v</w:t>
      </w:r>
      <w:r w:rsidR="00EA7529">
        <w:t>ersus</w:t>
      </w:r>
      <w:r>
        <w:t xml:space="preserve"> Sensitivity and Specificity</w:t>
      </w:r>
    </w:p>
    <w:p w14:paraId="26453BAD" w14:textId="77777777" w:rsidR="006E29B5" w:rsidRDefault="006C0276" w:rsidP="006E29B5">
      <w:r>
        <w:t xml:space="preserve">In the study </w:t>
      </w:r>
      <w:r w:rsidR="000D4473">
        <w:t>described in Example 5.6, the girls</w:t>
      </w:r>
      <w:r w:rsidR="0090020A">
        <w:t xml:space="preserve"> themselves were also asked </w:t>
      </w:r>
      <w:r w:rsidR="00E81BE5">
        <w:t xml:space="preserve">to </w:t>
      </w:r>
      <w:r w:rsidR="0090020A">
        <w:t xml:space="preserve">determine </w:t>
      </w:r>
      <w:r w:rsidR="00F21FFA">
        <w:t>their stage of pubertal development</w:t>
      </w:r>
      <w:r w:rsidR="00E43F8D">
        <w:t xml:space="preserve"> (on questionnaires that used line drawings to depict the five Tanner stages</w:t>
      </w:r>
      <w:r w:rsidR="007C109C">
        <w:t xml:space="preserve"> of puberty</w:t>
      </w:r>
      <w:r w:rsidR="00E43F8D">
        <w:t xml:space="preserve">), so their answers could also be compared with </w:t>
      </w:r>
      <w:r w:rsidR="007C109C">
        <w:t xml:space="preserve">those of </w:t>
      </w:r>
      <w:r w:rsidR="00E43F8D">
        <w:t>their mot</w:t>
      </w:r>
      <w:r w:rsidR="003D082D">
        <w:t xml:space="preserve">hers and the clinicians.  In addition to providing kappa statistics, the authors reported sensitivity and specificity of </w:t>
      </w:r>
      <w:r w:rsidR="007251EE">
        <w:t xml:space="preserve">the </w:t>
      </w:r>
      <w:r w:rsidR="003D082D">
        <w:t>girls</w:t>
      </w:r>
      <w:r w:rsidR="000B1165">
        <w:t xml:space="preserve"> (</w:t>
      </w:r>
      <w:r w:rsidR="008A6164">
        <w:t xml:space="preserve">for those at least </w:t>
      </w:r>
      <w:r w:rsidR="000B1165">
        <w:t>10 years old)</w:t>
      </w:r>
      <w:r w:rsidR="003D082D">
        <w:t xml:space="preserve"> and their mothers at determining whether breast development had begun, using clinicians as the gold standard.  </w:t>
      </w:r>
      <w:r w:rsidR="002C3466">
        <w:t xml:space="preserve">They found that </w:t>
      </w:r>
      <w:r w:rsidR="000B1165">
        <w:t>similar sensitivities (both 83%), but lower specificity of the girls compared with their mothers (</w:t>
      </w:r>
      <w:r w:rsidR="00C70824">
        <w:t xml:space="preserve">61% vs 79%).  </w:t>
      </w:r>
    </w:p>
    <w:p w14:paraId="490F29FF" w14:textId="77777777" w:rsidR="00C70824" w:rsidRDefault="00C70824" w:rsidP="006E29B5"/>
    <w:p w14:paraId="65CB06C8" w14:textId="77777777" w:rsidR="00A023C0" w:rsidRDefault="00D37870" w:rsidP="006E29B5">
      <w:r>
        <w:t xml:space="preserve">As discussed in Chapter 4, </w:t>
      </w:r>
      <w:r w:rsidR="00A50103">
        <w:t xml:space="preserve">if </w:t>
      </w:r>
      <w:r w:rsidR="00C70824">
        <w:t xml:space="preserve">the clinicians </w:t>
      </w:r>
      <w:r w:rsidR="00A50103">
        <w:t xml:space="preserve">were an imperfect </w:t>
      </w:r>
      <w:r w:rsidR="00C70824">
        <w:t>gold standard</w:t>
      </w:r>
      <w:r w:rsidR="00A50103">
        <w:t xml:space="preserve">, the sensitivity and </w:t>
      </w:r>
      <w:r>
        <w:t>specificit</w:t>
      </w:r>
      <w:r w:rsidR="00A50103">
        <w:t xml:space="preserve">y reported </w:t>
      </w:r>
      <w:r w:rsidR="007251EE">
        <w:t xml:space="preserve">above </w:t>
      </w:r>
      <w:r w:rsidR="00A50103">
        <w:t>could be misleading – either t</w:t>
      </w:r>
      <w:r w:rsidR="00E81BE5">
        <w:t>o</w:t>
      </w:r>
      <w:r w:rsidR="00A50103">
        <w:t>o high</w:t>
      </w:r>
      <w:r w:rsidR="000D3DA3">
        <w:t>,</w:t>
      </w:r>
      <w:r w:rsidR="00A50103">
        <w:t xml:space="preserve"> if errors were correlated</w:t>
      </w:r>
      <w:r w:rsidR="000D3DA3">
        <w:t>,</w:t>
      </w:r>
      <w:r w:rsidR="00A50103">
        <w:t xml:space="preserve"> or too low if not. </w:t>
      </w:r>
      <w:r w:rsidR="00651AE8">
        <w:t xml:space="preserve"> To help justify their use of clinicians as a gold standard, the authors also reported inter-rater reliability between clinicians.  This </w:t>
      </w:r>
      <w:r w:rsidR="004423B7">
        <w:t xml:space="preserve">was excellent, </w:t>
      </w:r>
      <w:r w:rsidR="00A023C0">
        <w:t xml:space="preserve">with kappa </w:t>
      </w:r>
      <w:r w:rsidR="004423B7">
        <w:t>ran</w:t>
      </w:r>
      <w:r w:rsidR="00A023C0">
        <w:t>g</w:t>
      </w:r>
      <w:r w:rsidR="004423B7">
        <w:t xml:space="preserve">ing </w:t>
      </w:r>
      <w:r w:rsidR="00FE4CF2">
        <w:t>f</w:t>
      </w:r>
      <w:r w:rsidR="00A43630">
        <w:t xml:space="preserve">rom 0.94 to 1.00 </w:t>
      </w:r>
      <w:r w:rsidR="000030F0">
        <w:t>for pairwise comparisons between the three raters</w:t>
      </w:r>
      <w:r w:rsidR="00A023C0">
        <w:t xml:space="preserve">, suggesting </w:t>
      </w:r>
      <w:r w:rsidR="000D3DA3">
        <w:t xml:space="preserve">that </w:t>
      </w:r>
      <w:r w:rsidR="00A023C0">
        <w:t>using them as a gold standard was reasonable.</w:t>
      </w:r>
    </w:p>
    <w:p w14:paraId="38D01D1E" w14:textId="77777777" w:rsidR="00A023C0" w:rsidRDefault="00A023C0" w:rsidP="006E29B5"/>
    <w:p w14:paraId="22F9E868" w14:textId="6AEA498A" w:rsidR="00C92B5E" w:rsidRDefault="00A023C0" w:rsidP="006E29B5">
      <w:r>
        <w:t xml:space="preserve">In contrast, </w:t>
      </w:r>
      <w:r w:rsidR="00FE4CF2">
        <w:t>Siew et al</w:t>
      </w:r>
      <w:r w:rsidR="007F4D5A">
        <w:fldChar w:fldCharType="begin"/>
      </w:r>
      <w:r w:rsidR="00A842BC">
        <w:instrText xml:space="preserve"> ADDIN EN.CITE &lt;EndNote&gt;&lt;Cite&gt;&lt;Author&gt;Siew&lt;/Author&gt;&lt;Year&gt;2016&lt;/Year&gt;&lt;RecNum&gt;1402&lt;/RecNum&gt;&lt;DisplayText&gt;[7]&lt;/DisplayText&gt;&lt;record&gt;&lt;rec-number&gt;1402&lt;/rec-number&gt;&lt;foreign-keys&gt;&lt;key app="EN" db-id="0ftvff9p80fp5few5s05f5fw9rd9fefrdzer" timestamp="1504219361"&gt;1402&lt;/key&gt;&lt;/foreign-keys&gt;&lt;ref-type name="Journal Article"&gt;17&lt;/ref-type&gt;&lt;contributors&gt;&lt;authors&gt;&lt;author&gt;Siew, L.&lt;/author&gt;&lt;author&gt;Hsiao, A.&lt;/author&gt;&lt;author&gt;McCarthy, P.&lt;/author&gt;&lt;author&gt;Agarwal, A.&lt;/author&gt;&lt;author&gt;Lee, E.&lt;/author&gt;&lt;author&gt;Chen, L.&lt;/author&gt;&lt;/authors&gt;&lt;/contributors&gt;&lt;auth-address&gt;Departments of Pediatrics, Section of Pediatric Emergency Medicine, lawrence.siew@yale.edu.&amp;#xD;Departments of Pediatrics, Section of Pediatric Emergency Medicine.&amp;#xD;Pediatrics, Yale University School of Medicine, and.&amp;#xD;Department of Medicine, Westchester Medical Center, Valhalla, New York.&amp;#xD;Yale University School of Medicine, New Haven, Connecticut; and.&lt;/auth-address&gt;&lt;titles&gt;&lt;title&gt;Reliability of Telemedicine in the Assessment of Seriously Ill Children&lt;/title&gt;&lt;secondary-title&gt;Pediatrics&lt;/secondary-title&gt;&lt;/titles&gt;&lt;periodical&gt;&lt;full-title&gt;Pediatrics&lt;/full-title&gt;&lt;/periodical&gt;&lt;pages&gt;e20150712&lt;/pages&gt;&lt;volume&gt;137&lt;/volume&gt;&lt;number&gt;3&lt;/number&gt;&lt;keywords&gt;&lt;keyword&gt;Adolescent&lt;/keyword&gt;&lt;keyword&gt;Checklist&lt;/keyword&gt;&lt;keyword&gt;Child&lt;/keyword&gt;&lt;keyword&gt;Child, Preschool&lt;/keyword&gt;&lt;keyword&gt;Female&lt;/keyword&gt;&lt;keyword&gt;Fever/*diagnosis/etiology&lt;/keyword&gt;&lt;keyword&gt;Humans&lt;/keyword&gt;&lt;keyword&gt;Infant&lt;/keyword&gt;&lt;keyword&gt;Male&lt;/keyword&gt;&lt;keyword&gt;Observer Variation&lt;/keyword&gt;&lt;keyword&gt;Prospective Studies&lt;/keyword&gt;&lt;keyword&gt;Respiratory Insufficiency/*diagnosis/etiology&lt;/keyword&gt;&lt;keyword&gt;Severity of Illness Index&lt;/keyword&gt;&lt;keyword&gt;*Telemedicine&lt;/keyword&gt;&lt;/keywords&gt;&lt;dates&gt;&lt;year&gt;2016&lt;/year&gt;&lt;pub-dates&gt;&lt;date&gt;Mar&lt;/date&gt;&lt;/pub-dates&gt;&lt;/dates&gt;&lt;isbn&gt;1098-4275 (Electronic)&amp;#xD;0031-4005 (Linking)&lt;/isbn&gt;&lt;accession-num&gt;26908666&lt;/accession-num&gt;&lt;urls&gt;&lt;related-urls&gt;&lt;url&gt;https://www.ncbi.nlm.nih.gov/pubmed/26908666&lt;/url&gt;&lt;/related-urls&gt;&lt;/urls&gt;&lt;electronic-resource-num&gt;10.1542/peds.2015-0712&lt;/electronic-resource-num&gt;&lt;/record&gt;&lt;/Cite&gt;&lt;/EndNote&gt;</w:instrText>
      </w:r>
      <w:r w:rsidR="007F4D5A">
        <w:fldChar w:fldCharType="separate"/>
      </w:r>
      <w:r w:rsidR="00A842BC">
        <w:rPr>
          <w:noProof/>
        </w:rPr>
        <w:t>[7]</w:t>
      </w:r>
      <w:r w:rsidR="007F4D5A">
        <w:fldChar w:fldCharType="end"/>
      </w:r>
      <w:r w:rsidR="00FE4CF2">
        <w:t xml:space="preserve"> studied reliability of telemedicine for the assessment of seriously ill children.  They </w:t>
      </w:r>
      <w:r w:rsidR="00FE3816">
        <w:t>compared ratings of 7 items</w:t>
      </w:r>
      <w:r w:rsidR="00E0152A">
        <w:t xml:space="preserve"> on a respiratory Observation Checklist</w:t>
      </w:r>
      <w:r w:rsidR="00FE3816">
        <w:t xml:space="preserve"> </w:t>
      </w:r>
      <w:r w:rsidR="00F1222C">
        <w:t>between observers performing the examination at the bedside and telemedicine observers watching via</w:t>
      </w:r>
      <w:r w:rsidR="00A90EA6">
        <w:t xml:space="preserve"> FaceTime</w:t>
      </w:r>
      <w:r w:rsidR="00E0152A">
        <w:t>®</w:t>
      </w:r>
      <w:r w:rsidR="00A90EA6">
        <w:t xml:space="preserve"> on an </w:t>
      </w:r>
      <w:proofErr w:type="gramStart"/>
      <w:r w:rsidR="00A90EA6">
        <w:t>iPad.</w:t>
      </w:r>
      <w:r w:rsidR="00E0152A">
        <w:t>®</w:t>
      </w:r>
      <w:proofErr w:type="gramEnd"/>
      <w:r w:rsidR="00A90EA6">
        <w:t xml:space="preserve"> </w:t>
      </w:r>
      <w:r w:rsidR="00F1222C">
        <w:t xml:space="preserve"> </w:t>
      </w:r>
      <w:r w:rsidR="00E0152A">
        <w:t xml:space="preserve"> </w:t>
      </w:r>
      <w:r w:rsidR="00AA5C44">
        <w:t xml:space="preserve">They found good </w:t>
      </w:r>
      <w:r w:rsidR="00450395">
        <w:t>interobserver agreement between</w:t>
      </w:r>
      <w:r w:rsidR="00FB407B">
        <w:t xml:space="preserve"> the bedside and telemedicine observers (kappa 0.6 to 0.8 for different items</w:t>
      </w:r>
      <w:r w:rsidR="00B4485C">
        <w:t>)</w:t>
      </w:r>
      <w:r w:rsidR="00FB407B">
        <w:t xml:space="preserve">.  </w:t>
      </w:r>
    </w:p>
    <w:p w14:paraId="6855B5D2" w14:textId="77777777" w:rsidR="00C92B5E" w:rsidRDefault="00C92B5E" w:rsidP="006E29B5"/>
    <w:p w14:paraId="3B2D238A" w14:textId="77777777" w:rsidR="00C70824" w:rsidRDefault="00C92B5E" w:rsidP="006E29B5">
      <w:r>
        <w:t>Importantly, t</w:t>
      </w:r>
      <w:r w:rsidR="00FB407B">
        <w:t xml:space="preserve">hey did not </w:t>
      </w:r>
      <w:r w:rsidR="003C50AE">
        <w:t xml:space="preserve">use </w:t>
      </w:r>
      <w:r w:rsidR="00FB407B">
        <w:t>the observations of the bedside observer as the gold st</w:t>
      </w:r>
      <w:r w:rsidR="00D278DA">
        <w:t xml:space="preserve">andard </w:t>
      </w:r>
      <w:r w:rsidR="003C50AE">
        <w:t xml:space="preserve">to </w:t>
      </w:r>
      <w:r w:rsidR="00D278DA">
        <w:t>estimate sensitivity and specificity, which would have suggested that disagreements were due to errors by the telemedicine observer.  Instead, they measured interobserver agreement between</w:t>
      </w:r>
      <w:r w:rsidR="00F473BE">
        <w:t xml:space="preserve"> two bedside observers and found kappa values in the same </w:t>
      </w:r>
      <w:r w:rsidR="00752126">
        <w:t xml:space="preserve">0.6 to 0.8 </w:t>
      </w:r>
      <w:r w:rsidR="00F473BE">
        <w:t xml:space="preserve">range, supporting their conclusion that telemedicine observations </w:t>
      </w:r>
      <w:r>
        <w:t xml:space="preserve">were </w:t>
      </w:r>
      <w:r w:rsidR="00236F71">
        <w:t xml:space="preserve">similar in </w:t>
      </w:r>
      <w:r>
        <w:t>reliab</w:t>
      </w:r>
      <w:r w:rsidR="00236F71">
        <w:t>ility to bedside observation</w:t>
      </w:r>
      <w:r w:rsidR="0017592E">
        <w:t>s</w:t>
      </w:r>
      <w:r>
        <w:t>.</w:t>
      </w:r>
    </w:p>
    <w:p w14:paraId="4DB92E56" w14:textId="77777777" w:rsidR="005F457F" w:rsidRDefault="005F457F" w:rsidP="006E29B5"/>
    <w:p w14:paraId="543384D7" w14:textId="367D3BC8" w:rsidR="005F457F" w:rsidRDefault="009A3902" w:rsidP="006E29B5">
      <w:r>
        <w:t xml:space="preserve">Sometimes </w:t>
      </w:r>
      <w:r w:rsidR="00E81BE5">
        <w:t>k</w:t>
      </w:r>
      <w:r>
        <w:t>appa is used, rather than sensitivity and specificity, even when there is a gold standard.  This is most common when there are multiple possible diagnoses</w:t>
      </w:r>
      <w:r w:rsidR="00DC6EFB">
        <w:t xml:space="preserve"> being considered simultaneously, so that both the test result and the gold standard are nominal variables.</w:t>
      </w:r>
      <w:r w:rsidR="005D50F0">
        <w:t xml:space="preserve">  For example, Perry et al</w:t>
      </w:r>
      <w:r w:rsidR="002A09E2">
        <w:t xml:space="preserve"> </w:t>
      </w:r>
      <w:r w:rsidR="007F4D5A">
        <w:fldChar w:fldCharType="begin"/>
      </w:r>
      <w:r w:rsidR="00A842BC">
        <w:instrText xml:space="preserve"> ADDIN EN.CITE &lt;EndNote&gt;&lt;Cite&gt;&lt;Author&gt;Perry&lt;/Author&gt;&lt;Year&gt;2016&lt;/Year&gt;&lt;RecNum&gt;1403&lt;/RecNum&gt;&lt;DisplayText&gt;[8]&lt;/DisplayText&gt;&lt;record&gt;&lt;rec-number&gt;1403&lt;/rec-number&gt;&lt;foreign-keys&gt;&lt;key app="EN" db-id="0ftvff9p80fp5few5s05f5fw9rd9fefrdzer" timestamp="1504312663"&gt;1403&lt;/key&gt;&lt;/foreign-keys&gt;&lt;ref-type name="Journal Article"&gt;17&lt;/ref-type&gt;&lt;contributors&gt;&lt;authors&gt;&lt;author&gt;Perry, H.&lt;/author&gt;&lt;author&gt;Foley, K. G.&lt;/author&gt;&lt;author&gt;Witherspoon, J.&lt;/author&gt;&lt;author&gt;Powell-Chandler, A.&lt;/author&gt;&lt;author&gt;Abdelrahman, T.&lt;/author&gt;&lt;author&gt;Roberts, A.&lt;/author&gt;&lt;author&gt;Lewis, W. G.&lt;/author&gt;&lt;/authors&gt;&lt;/contributors&gt;&lt;auth-address&gt;1 Department of General Surgery, University Hospital of Wales, Cardiff, UK.&amp;#xD;2 Department of Radiology, University Hospital of Wales, Cardiff, UK.&lt;/auth-address&gt;&lt;titles&gt;&lt;title&gt;Relative accuracy of emergency CT in adults with non-traumatic abdominal pain&lt;/title&gt;&lt;secondary-title&gt;Br J Radiol&lt;/secondary-title&gt;&lt;/titles&gt;&lt;periodical&gt;&lt;full-title&gt;Br J Radiol&lt;/full-title&gt;&lt;/periodical&gt;&lt;pages&gt;20150416&lt;/pages&gt;&lt;volume&gt;89&lt;/volume&gt;&lt;number&gt;1059&lt;/number&gt;&lt;keywords&gt;&lt;keyword&gt;Abdominal Pain/*diagnostic imaging&lt;/keyword&gt;&lt;keyword&gt;Adolescent&lt;/keyword&gt;&lt;keyword&gt;Adult&lt;/keyword&gt;&lt;keyword&gt;Aged&lt;/keyword&gt;&lt;keyword&gt;Aged, 80 and over&lt;/keyword&gt;&lt;keyword&gt;*Emergency Service, Hospital&lt;/keyword&gt;&lt;keyword&gt;Female&lt;/keyword&gt;&lt;keyword&gt;Humans&lt;/keyword&gt;&lt;keyword&gt;Intestine, Small/*diagnostic imaging&lt;/keyword&gt;&lt;keyword&gt;Male&lt;/keyword&gt;&lt;keyword&gt;Middle Aged&lt;/keyword&gt;&lt;keyword&gt;Reproducibility of Results&lt;/keyword&gt;&lt;keyword&gt;*Tomography, X-Ray Computed&lt;/keyword&gt;&lt;keyword&gt;Young Adult&lt;/keyword&gt;&lt;/keywords&gt;&lt;dates&gt;&lt;year&gt;2016&lt;/year&gt;&lt;/dates&gt;&lt;isbn&gt;1748-880X (Electronic)&amp;#xD;0007-1285 (Linking)&lt;/isbn&gt;&lt;accession-num&gt;26790835&lt;/accession-num&gt;&lt;urls&gt;&lt;related-urls&gt;&lt;url&gt;https://www.ncbi.nlm.nih.gov/pubmed/26790835&lt;/url&gt;&lt;/related-urls&gt;&lt;/urls&gt;&lt;custom2&gt;PMC4986479&lt;/custom2&gt;&lt;electronic-resource-num&gt;10.1259/bjr.20150416&lt;/electronic-resource-num&gt;&lt;/record&gt;&lt;/Cite&gt;&lt;/EndNote&gt;</w:instrText>
      </w:r>
      <w:r w:rsidR="007F4D5A">
        <w:fldChar w:fldCharType="separate"/>
      </w:r>
      <w:r w:rsidR="00A842BC">
        <w:rPr>
          <w:noProof/>
        </w:rPr>
        <w:t>[8]</w:t>
      </w:r>
      <w:r w:rsidR="007F4D5A">
        <w:fldChar w:fldCharType="end"/>
      </w:r>
      <w:r w:rsidR="00D1196A">
        <w:t xml:space="preserve"> </w:t>
      </w:r>
      <w:r w:rsidR="00221A69">
        <w:t xml:space="preserve">compared results of pre-operative CT scans with operative results in adults with nontraumatic abdominal pain.  </w:t>
      </w:r>
      <w:r w:rsidR="004A31B1">
        <w:t>They classified</w:t>
      </w:r>
      <w:r w:rsidR="00541980">
        <w:t xml:space="preserve"> CT scans </w:t>
      </w:r>
      <w:r w:rsidR="005916E6">
        <w:t xml:space="preserve">and operative findings by </w:t>
      </w:r>
      <w:r w:rsidR="00541980">
        <w:t>anatomic location (</w:t>
      </w:r>
      <w:r w:rsidR="005224D6">
        <w:t xml:space="preserve">e.g., </w:t>
      </w:r>
      <w:r w:rsidR="008A1BD1">
        <w:t>upper gastrointestinal, lower gastrointestinal, etc.) and pathology (perforation, obstruction, bleeding, etc.)</w:t>
      </w:r>
      <w:r w:rsidR="005916E6">
        <w:t xml:space="preserve">.  They found that </w:t>
      </w:r>
      <w:r w:rsidR="003B3860">
        <w:t>k</w:t>
      </w:r>
      <w:r w:rsidR="001A3D3D">
        <w:t xml:space="preserve">appa for agreement </w:t>
      </w:r>
      <w:r w:rsidR="00953731">
        <w:t>between CT and</w:t>
      </w:r>
      <w:r w:rsidR="001A3D3D">
        <w:t xml:space="preserve"> operative findings </w:t>
      </w:r>
      <w:r w:rsidR="002715EF">
        <w:t xml:space="preserve">was similar for scans performed during regular working </w:t>
      </w:r>
      <w:r w:rsidR="000D3DA3">
        <w:t xml:space="preserve">hours </w:t>
      </w:r>
      <w:r w:rsidR="002715EF">
        <w:t>and scans performed on nights and weekends.</w:t>
      </w:r>
    </w:p>
    <w:p w14:paraId="577BFFA6" w14:textId="77777777" w:rsidR="006E29B5" w:rsidRDefault="006E29B5" w:rsidP="006E29B5"/>
    <w:p w14:paraId="4B0B7173" w14:textId="77777777" w:rsidR="00B91CD8" w:rsidRPr="005457F2" w:rsidRDefault="004F48DE" w:rsidP="000C5D67">
      <w:pPr>
        <w:pStyle w:val="Heading3"/>
      </w:pPr>
      <w:r w:rsidRPr="005457F2">
        <w:lastRenderedPageBreak/>
        <w:t>Kappa for three or more categories</w:t>
      </w:r>
    </w:p>
    <w:p w14:paraId="110C2312" w14:textId="77777777" w:rsidR="00B91CD8" w:rsidRPr="005457F2" w:rsidRDefault="004F48DE" w:rsidP="000C5D67">
      <w:pPr>
        <w:pStyle w:val="Heading4"/>
      </w:pPr>
      <w:r w:rsidRPr="005457F2">
        <w:t>Unweighted</w:t>
      </w:r>
      <w:r w:rsidR="0023217D">
        <w:t xml:space="preserve"> </w:t>
      </w:r>
      <w:r w:rsidR="003B3860">
        <w:t>k</w:t>
      </w:r>
      <w:r w:rsidR="00516FDD">
        <w:t>appa</w:t>
      </w:r>
    </w:p>
    <w:p w14:paraId="19AA184C" w14:textId="77777777" w:rsidR="00B91CD8" w:rsidRDefault="004F48DE" w:rsidP="003D1341">
      <w:pPr>
        <w:pStyle w:val="NormalWeb"/>
      </w:pPr>
      <w:r w:rsidRPr="005457F2">
        <w:t xml:space="preserve">So far, our examples for calculating kappa have been dichotomous ratings, like abnormal versus normal radiographs or presence </w:t>
      </w:r>
      <w:r w:rsidR="00007791">
        <w:t>versus</w:t>
      </w:r>
      <w:r w:rsidR="00007791" w:rsidRPr="005457F2">
        <w:t xml:space="preserve"> </w:t>
      </w:r>
      <w:r w:rsidRPr="005457F2">
        <w:t xml:space="preserve">absence of </w:t>
      </w:r>
      <w:r w:rsidR="005137AB">
        <w:t>breast development</w:t>
      </w:r>
      <w:r w:rsidRPr="005457F2">
        <w:t xml:space="preserve">. </w:t>
      </w:r>
      <w:r w:rsidR="003D2931">
        <w:t xml:space="preserve"> When there are </w:t>
      </w:r>
      <w:r w:rsidR="003D2931" w:rsidRPr="005457F2">
        <w:t xml:space="preserve">three or more </w:t>
      </w:r>
      <w:r w:rsidR="003D2931">
        <w:t xml:space="preserve">nominal (not ordered) </w:t>
      </w:r>
      <w:r w:rsidR="003D2931" w:rsidRPr="005457F2">
        <w:t>categories</w:t>
      </w:r>
      <w:r w:rsidR="003D2931">
        <w:t xml:space="preserve">, the calculation of kappa is the same: </w:t>
      </w:r>
      <w:r w:rsidR="00A82530">
        <w:t xml:space="preserve">observed </w:t>
      </w:r>
      <w:r w:rsidR="00251EC1">
        <w:t xml:space="preserve">agreement is </w:t>
      </w:r>
      <w:r w:rsidR="00CE5A65">
        <w:t xml:space="preserve">still calculated by looking at the proportion of observations along </w:t>
      </w:r>
      <w:r w:rsidR="00251EC1">
        <w:t xml:space="preserve">the diagonal, and expected agreement is calculated </w:t>
      </w:r>
      <w:r w:rsidR="00376175">
        <w:t xml:space="preserve">as before: </w:t>
      </w:r>
      <w:r w:rsidR="001F2AF5">
        <w:t xml:space="preserve">for each cell along the diagonal </w:t>
      </w:r>
      <w:r w:rsidR="00376175">
        <w:t xml:space="preserve">the </w:t>
      </w:r>
      <w:r w:rsidR="001F2AF5">
        <w:t xml:space="preserve">expected agreement is the </w:t>
      </w:r>
      <w:r w:rsidR="00376175">
        <w:t xml:space="preserve">proportion in that row times the proportion in that column. </w:t>
      </w:r>
      <w:r w:rsidR="00030374">
        <w:t xml:space="preserve"> </w:t>
      </w:r>
    </w:p>
    <w:p w14:paraId="2D72DC46" w14:textId="77777777" w:rsidR="00030374" w:rsidRPr="005457F2" w:rsidRDefault="00030374" w:rsidP="003D1341">
      <w:pPr>
        <w:pStyle w:val="NormalWeb"/>
      </w:pPr>
      <w:r>
        <w:t xml:space="preserve">Of course, the more categories there are, </w:t>
      </w:r>
      <w:r w:rsidR="00F076C4">
        <w:t xml:space="preserve">all else being equal, </w:t>
      </w:r>
      <w:r>
        <w:t xml:space="preserve">the </w:t>
      </w:r>
      <w:r w:rsidR="00F076C4">
        <w:t>less likely it is that observers will agree on the category by chance alone</w:t>
      </w:r>
      <w:r w:rsidR="00CE5A65">
        <w:t xml:space="preserve">.  </w:t>
      </w:r>
      <w:r w:rsidR="00582A40">
        <w:t>The key feature of unweighted kappa is that there is no credit for being close: only agreeing exactly on the category counts.</w:t>
      </w:r>
    </w:p>
    <w:p w14:paraId="2A7939E8" w14:textId="77777777" w:rsidR="00A40860" w:rsidRDefault="00A40860" w:rsidP="000C5D67">
      <w:pPr>
        <w:pStyle w:val="Heading4"/>
      </w:pPr>
      <w:r>
        <w:t xml:space="preserve">Weighted </w:t>
      </w:r>
      <w:r w:rsidR="003B3860">
        <w:t>k</w:t>
      </w:r>
      <w:r>
        <w:t>appa</w:t>
      </w:r>
    </w:p>
    <w:p w14:paraId="07AF2FE8" w14:textId="77777777" w:rsidR="00B91CD8" w:rsidRPr="005457F2" w:rsidRDefault="004F48DE" w:rsidP="00A40860">
      <w:pPr>
        <w:pStyle w:val="Heading5"/>
      </w:pPr>
      <w:r w:rsidRPr="005457F2">
        <w:t>Linear weights</w:t>
      </w:r>
    </w:p>
    <w:p w14:paraId="66CD9AB7" w14:textId="77777777" w:rsidR="00B91CD8" w:rsidRPr="005457F2" w:rsidRDefault="004F48DE" w:rsidP="00A40860">
      <w:pPr>
        <w:pStyle w:val="NormalWeb"/>
      </w:pPr>
      <w:r w:rsidRPr="005457F2">
        <w:t xml:space="preserve">When there are more than two categories, it is important to distinguish between ordinal variables and nominal variables. For ordinal variables, kappa fails to capture all the information in the data, because it does not give partial credit for ratings that are similar, but not </w:t>
      </w:r>
      <w:r w:rsidR="00C42910" w:rsidRPr="005457F2">
        <w:t>the same</w:t>
      </w:r>
      <w:r w:rsidRPr="005457F2">
        <w:t xml:space="preserve">. Weighted kappa allows for such partial credit. The formula for weighted kappa is the same as that for regular kappa, except that observed and expected agreement are calculated by summing cells, not just along the diagonal, but for the whole table, with each cell </w:t>
      </w:r>
      <w:r w:rsidR="007816D8" w:rsidRPr="005457F2">
        <w:t>fi</w:t>
      </w:r>
      <w:r w:rsidRPr="005457F2">
        <w:t>rst multiplied by a weight for that cell.</w:t>
      </w:r>
    </w:p>
    <w:p w14:paraId="78B54A99" w14:textId="77777777" w:rsidR="00B91CD8" w:rsidRPr="005457F2" w:rsidRDefault="004F48DE" w:rsidP="00A40860">
      <w:pPr>
        <w:pStyle w:val="NormalWeb"/>
      </w:pPr>
      <w:r w:rsidRPr="005457F2">
        <w:t>The weights for partial agreement can be anything you want, as long as they are used to calculate both the observed and expected levels of agreement. The most straightforward way to do the weights (and the default for most statistical packages) is to assign a weight of 0 when the two raters are maximally far apart (i.e., the upper right and lower left corners of the k × k table), a weight of 1 when there is exact agreement</w:t>
      </w:r>
      <w:r w:rsidR="000C3ED4">
        <w:t xml:space="preserve"> (along the diagonal from upper left to lower right)</w:t>
      </w:r>
      <w:r w:rsidRPr="005457F2">
        <w:t xml:space="preserve">, and weights proportionally spaced in between for intermediate levels of agreement. Because a plot of these weights against the number of categories between the ratings of the two observers yields a straight line, these are sometimes called </w:t>
      </w:r>
      <w:r w:rsidR="00B91CD8" w:rsidRPr="005457F2">
        <w:t>“</w:t>
      </w:r>
      <w:r w:rsidRPr="005457F2">
        <w:t>linear weights.</w:t>
      </w:r>
      <w:r w:rsidR="00B91CD8" w:rsidRPr="005457F2">
        <w:t>”</w:t>
      </w:r>
      <w:r w:rsidRPr="005457F2">
        <w:t xml:space="preserve"> We will give you the formula below, but it is easier to just look at some examples and see what we mean.</w:t>
      </w:r>
    </w:p>
    <w:p w14:paraId="5DFBD3E7" w14:textId="77777777" w:rsidR="00B91CD8" w:rsidRPr="005457F2" w:rsidRDefault="00003A3D" w:rsidP="00A40860">
      <w:pPr>
        <w:pStyle w:val="NormalWeb"/>
      </w:pPr>
      <w:r>
        <w:t>If</w:t>
      </w:r>
      <w:r w:rsidR="004F48DE" w:rsidRPr="005457F2">
        <w:t xml:space="preserve"> there are three categories</w:t>
      </w:r>
      <w:r w:rsidR="00B06690">
        <w:t>, the ratings can be at most two categories apart</w:t>
      </w:r>
      <w:r w:rsidR="004F48DE" w:rsidRPr="005457F2">
        <w:t>.</w:t>
      </w:r>
      <w:r w:rsidR="00B06690">
        <w:t xml:space="preserve">  The cells in the upper right and lower left corners</w:t>
      </w:r>
      <w:r w:rsidR="00661894">
        <w:t>, with ma</w:t>
      </w:r>
      <w:r w:rsidR="00652879">
        <w:t xml:space="preserve">ximal disagreement, </w:t>
      </w:r>
      <w:r w:rsidR="008746F1">
        <w:t xml:space="preserve">get </w:t>
      </w:r>
      <w:r w:rsidR="008D6248">
        <w:t>a</w:t>
      </w:r>
      <w:r w:rsidR="007602C3">
        <w:t xml:space="preserve"> </w:t>
      </w:r>
      <w:r w:rsidR="00652879">
        <w:t xml:space="preserve">weight </w:t>
      </w:r>
      <w:r w:rsidR="008746F1">
        <w:t xml:space="preserve">of </w:t>
      </w:r>
      <w:r w:rsidR="00652879">
        <w:t xml:space="preserve">zero.  </w:t>
      </w:r>
      <w:r w:rsidR="004F48DE" w:rsidRPr="005457F2">
        <w:t xml:space="preserve"> </w:t>
      </w:r>
      <w:r w:rsidR="00661894">
        <w:t>The cells along the diagonal get a weight of 1 for perfect agreement.  There is only one other group of cells</w:t>
      </w:r>
      <w:r w:rsidR="008746F1">
        <w:t>, and they are half way between the other cells, so it makes sense that they get a weight of 1/2</w:t>
      </w:r>
      <w:r w:rsidR="008E66E3">
        <w:t xml:space="preserve"> (Table 5.2</w:t>
      </w:r>
      <w:r w:rsidR="008746F1">
        <w:t>.</w:t>
      </w:r>
      <w:r w:rsidR="008D6248">
        <w:t>)</w:t>
      </w:r>
      <w:r w:rsidR="008746F1">
        <w:t xml:space="preserve"> </w:t>
      </w:r>
      <w:r w:rsidR="00661894">
        <w:t xml:space="preserve"> </w:t>
      </w:r>
    </w:p>
    <w:p w14:paraId="20FD3CBB" w14:textId="77777777" w:rsidR="00B91CD8" w:rsidRPr="005457F2" w:rsidRDefault="004F48DE" w:rsidP="00A40860">
      <w:pPr>
        <w:pStyle w:val="NormalWeb"/>
      </w:pPr>
      <w:r w:rsidRPr="005457F2">
        <w:t xml:space="preserve">Similar logic holds for larger numbers of categories. As shown in </w:t>
      </w:r>
      <w:r w:rsidR="00582F24">
        <w:t>Table 5.</w:t>
      </w:r>
      <w:r w:rsidRPr="005457F2">
        <w:t>3, if there are four categories, the weights would be 0, 1/3, 2/3, and 1.</w:t>
      </w:r>
    </w:p>
    <w:p w14:paraId="2E0F966B" w14:textId="77777777" w:rsidR="00B91CD8" w:rsidRPr="005457F2" w:rsidRDefault="004F48DE" w:rsidP="00A40860">
      <w:pPr>
        <w:pStyle w:val="NormalWeb"/>
      </w:pPr>
      <w:r w:rsidRPr="005457F2">
        <w:lastRenderedPageBreak/>
        <w:t xml:space="preserve">Now for the formula: If there are k ordered categories, </w:t>
      </w:r>
      <w:r w:rsidR="00AB4F39">
        <w:t>for each cell</w:t>
      </w:r>
      <w:r w:rsidRPr="005457F2">
        <w:t xml:space="preserve"> take the number of categories between the two rat</w:t>
      </w:r>
      <w:r w:rsidR="00AB4F39">
        <w:t>ers</w:t>
      </w:r>
      <w:r w:rsidRPr="005457F2">
        <w:t>, divide by k − 1 (the farthest they could be apart) and</w:t>
      </w:r>
      <w:r w:rsidR="00CE1960" w:rsidRPr="005457F2">
        <w:t xml:space="preserve"> </w:t>
      </w:r>
      <w:r w:rsidRPr="005457F2">
        <w:t>subtract</w:t>
      </w:r>
      <w:r w:rsidR="00CE1960" w:rsidRPr="005457F2">
        <w:t xml:space="preserve"> </w:t>
      </w:r>
      <w:r w:rsidRPr="005457F2">
        <w:t>from</w:t>
      </w:r>
      <w:r w:rsidR="008746F1">
        <w:t xml:space="preserve"> </w:t>
      </w:r>
      <w:r w:rsidRPr="005457F2">
        <w:t>1.</w:t>
      </w:r>
      <w:r w:rsidR="00CE1960" w:rsidRPr="005457F2">
        <w:t xml:space="preserve"> </w:t>
      </w:r>
      <w:r w:rsidRPr="005457F2">
        <w:t>That</w:t>
      </w:r>
      <w:r w:rsidR="00F405B0" w:rsidRPr="005457F2">
        <w:t xml:space="preserve"> </w:t>
      </w:r>
      <w:r w:rsidRPr="005457F2">
        <w:t>is,</w:t>
      </w:r>
    </w:p>
    <w:tbl>
      <w:tblPr>
        <w:tblW w:w="0" w:type="auto"/>
        <w:tblInd w:w="108" w:type="dxa"/>
        <w:tblLook w:val="04A0" w:firstRow="1" w:lastRow="0" w:firstColumn="1" w:lastColumn="0" w:noHBand="0" w:noVBand="1"/>
      </w:tblPr>
      <w:tblGrid>
        <w:gridCol w:w="6107"/>
        <w:gridCol w:w="2425"/>
      </w:tblGrid>
      <w:tr w:rsidR="003F0826" w:rsidRPr="005457F2" w14:paraId="2AEAFCAE" w14:textId="77777777">
        <w:tc>
          <w:tcPr>
            <w:tcW w:w="6120" w:type="dxa"/>
            <w:shd w:val="clear" w:color="auto" w:fill="auto"/>
          </w:tcPr>
          <w:p w14:paraId="270A6176" w14:textId="77777777" w:rsidR="003F0826" w:rsidRPr="005457F2" w:rsidRDefault="003F0826" w:rsidP="00A40860">
            <w:pPr>
              <w:pStyle w:val="NormalWeb"/>
              <w:rPr>
                <w:sz w:val="22"/>
                <w:szCs w:val="22"/>
              </w:rPr>
            </w:pPr>
            <w:r w:rsidRPr="005457F2">
              <w:rPr>
                <w:sz w:val="22"/>
                <w:szCs w:val="22"/>
              </w:rPr>
              <w:t xml:space="preserve">Linear Weight for the Cell in “Row </w:t>
            </w:r>
            <w:proofErr w:type="spellStart"/>
            <w:r w:rsidRPr="005457F2">
              <w:rPr>
                <w:sz w:val="22"/>
                <w:szCs w:val="22"/>
              </w:rPr>
              <w:t>i</w:t>
            </w:r>
            <w:proofErr w:type="spellEnd"/>
            <w:r w:rsidRPr="005457F2">
              <w:rPr>
                <w:sz w:val="22"/>
                <w:szCs w:val="22"/>
              </w:rPr>
              <w:t>, Column j”</w:t>
            </w:r>
            <w:r w:rsidR="002F589D">
              <w:rPr>
                <w:noProof/>
                <w:position w:val="-24"/>
                <w:sz w:val="22"/>
                <w:szCs w:val="22"/>
              </w:rPr>
              <w:drawing>
                <wp:inline distT="0" distB="0" distL="0" distR="0" wp14:anchorId="7F246171" wp14:editId="00B15F45">
                  <wp:extent cx="653415" cy="43053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 cy="430530"/>
                          </a:xfrm>
                          <a:prstGeom prst="rect">
                            <a:avLst/>
                          </a:prstGeom>
                          <a:noFill/>
                          <a:ln>
                            <a:noFill/>
                          </a:ln>
                        </pic:spPr>
                      </pic:pic>
                    </a:graphicData>
                  </a:graphic>
                </wp:inline>
              </w:drawing>
            </w:r>
          </w:p>
        </w:tc>
        <w:tc>
          <w:tcPr>
            <w:tcW w:w="2430" w:type="dxa"/>
            <w:shd w:val="clear" w:color="auto" w:fill="auto"/>
          </w:tcPr>
          <w:p w14:paraId="5449B67F" w14:textId="77777777" w:rsidR="003F0826" w:rsidRPr="005457F2" w:rsidRDefault="003F0826" w:rsidP="00A40860">
            <w:pPr>
              <w:pStyle w:val="NormalWeb"/>
              <w:jc w:val="right"/>
              <w:rPr>
                <w:sz w:val="22"/>
                <w:szCs w:val="22"/>
              </w:rPr>
            </w:pPr>
            <w:r w:rsidRPr="005457F2">
              <w:rPr>
                <w:sz w:val="22"/>
                <w:szCs w:val="22"/>
              </w:rPr>
              <w:t>(</w:t>
            </w:r>
            <w:r w:rsidR="002D1EB0">
              <w:rPr>
                <w:sz w:val="22"/>
                <w:szCs w:val="22"/>
              </w:rPr>
              <w:t>Eq. 5</w:t>
            </w:r>
            <w:r w:rsidRPr="005457F2">
              <w:rPr>
                <w:sz w:val="22"/>
                <w:szCs w:val="22"/>
              </w:rPr>
              <w:t>.2)</w:t>
            </w:r>
          </w:p>
        </w:tc>
      </w:tr>
    </w:tbl>
    <w:p w14:paraId="13EC712F" w14:textId="77777777" w:rsidR="00B91CD8" w:rsidRPr="005457F2" w:rsidRDefault="004F48DE" w:rsidP="00A40860">
      <w:pPr>
        <w:pStyle w:val="NormalWeb"/>
      </w:pPr>
      <w:r w:rsidRPr="005457F2">
        <w:t xml:space="preserve">Along the diagonal, </w:t>
      </w:r>
      <w:proofErr w:type="spellStart"/>
      <w:r w:rsidRPr="005457F2">
        <w:t>i</w:t>
      </w:r>
      <w:proofErr w:type="spellEnd"/>
      <w:r w:rsidRPr="005457F2">
        <w:t xml:space="preserve"> = j and the weight </w:t>
      </w:r>
      <w:proofErr w:type="gramStart"/>
      <w:r w:rsidRPr="005457F2">
        <w:t>is</w:t>
      </w:r>
      <w:proofErr w:type="gramEnd"/>
      <w:r w:rsidRPr="005457F2">
        <w:t xml:space="preserve"> 1, for perfect agreement. At the upper right and lower left corners, |</w:t>
      </w:r>
      <w:proofErr w:type="spellStart"/>
      <w:r w:rsidRPr="005457F2">
        <w:t>i</w:t>
      </w:r>
      <w:proofErr w:type="spellEnd"/>
      <w:r w:rsidRPr="005457F2">
        <w:t xml:space="preserve"> − j|= (k − 1), and the weights are 0.</w:t>
      </w:r>
      <w:r w:rsidR="00317386">
        <w:t xml:space="preserve"> You can think of the second part of the weight, which gets subtracted from 1, as the penalty for not being exactly right, which is maximized when the raters disagree completely.</w:t>
      </w:r>
    </w:p>
    <w:p w14:paraId="70BEE6F9" w14:textId="77777777" w:rsidR="00B91CD8" w:rsidRPr="005457F2" w:rsidRDefault="00582F24" w:rsidP="00A40860">
      <w:pPr>
        <w:pStyle w:val="NormalWeb"/>
      </w:pPr>
      <w:r>
        <w:rPr>
          <w:b/>
        </w:rPr>
        <w:t>Table 5.</w:t>
      </w:r>
      <w:r w:rsidR="004F48DE" w:rsidRPr="005457F2">
        <w:rPr>
          <w:b/>
        </w:rPr>
        <w:t>2.</w:t>
      </w:r>
      <w:r w:rsidR="004F48DE" w:rsidRPr="005457F2">
        <w:t xml:space="preserve"> Linear weights for three categories</w:t>
      </w:r>
    </w:p>
    <w:tbl>
      <w:tblPr>
        <w:tblW w:w="87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3"/>
        <w:gridCol w:w="1771"/>
        <w:gridCol w:w="1771"/>
        <w:gridCol w:w="1771"/>
        <w:gridCol w:w="1754"/>
      </w:tblGrid>
      <w:tr w:rsidR="00C40D0D" w:rsidRPr="005457F2" w14:paraId="5A122103" w14:textId="77777777" w:rsidTr="00E84447">
        <w:tc>
          <w:tcPr>
            <w:tcW w:w="1663" w:type="dxa"/>
            <w:tcBorders>
              <w:left w:val="nil"/>
            </w:tcBorders>
            <w:shd w:val="clear" w:color="auto" w:fill="auto"/>
          </w:tcPr>
          <w:p w14:paraId="66AFC28F" w14:textId="77777777" w:rsidR="00C40D0D" w:rsidRPr="005457F2" w:rsidRDefault="00C40D0D" w:rsidP="00A40860">
            <w:pPr>
              <w:pStyle w:val="Table"/>
              <w:rPr>
                <w:sz w:val="22"/>
                <w:szCs w:val="22"/>
              </w:rPr>
            </w:pPr>
          </w:p>
        </w:tc>
        <w:tc>
          <w:tcPr>
            <w:tcW w:w="1771" w:type="dxa"/>
            <w:shd w:val="clear" w:color="auto" w:fill="auto"/>
          </w:tcPr>
          <w:p w14:paraId="7FC7DB8F" w14:textId="77777777" w:rsidR="00C40D0D" w:rsidRPr="005457F2" w:rsidRDefault="00C40D0D" w:rsidP="00A40860">
            <w:pPr>
              <w:pStyle w:val="Table"/>
              <w:rPr>
                <w:sz w:val="22"/>
                <w:szCs w:val="22"/>
              </w:rPr>
            </w:pPr>
          </w:p>
        </w:tc>
        <w:tc>
          <w:tcPr>
            <w:tcW w:w="5296" w:type="dxa"/>
            <w:gridSpan w:val="3"/>
            <w:tcBorders>
              <w:top w:val="single" w:sz="4" w:space="0" w:color="auto"/>
              <w:bottom w:val="single" w:sz="4" w:space="0" w:color="auto"/>
              <w:right w:val="nil"/>
            </w:tcBorders>
            <w:shd w:val="clear" w:color="auto" w:fill="auto"/>
          </w:tcPr>
          <w:p w14:paraId="313F0791" w14:textId="77777777" w:rsidR="00C40D0D" w:rsidRPr="005457F2" w:rsidRDefault="00C40D0D" w:rsidP="00A40860">
            <w:pPr>
              <w:pStyle w:val="Table"/>
              <w:jc w:val="center"/>
              <w:rPr>
                <w:sz w:val="22"/>
                <w:szCs w:val="22"/>
              </w:rPr>
            </w:pPr>
            <w:proofErr w:type="spellStart"/>
            <w:r w:rsidRPr="005457F2">
              <w:rPr>
                <w:sz w:val="22"/>
                <w:szCs w:val="22"/>
                <w:lang w:val="en-IN" w:eastAsia="en-IN"/>
              </w:rPr>
              <w:t>Rater</w:t>
            </w:r>
            <w:proofErr w:type="spellEnd"/>
            <w:r w:rsidRPr="005457F2">
              <w:rPr>
                <w:sz w:val="22"/>
                <w:szCs w:val="22"/>
                <w:lang w:val="en-IN" w:eastAsia="en-IN"/>
              </w:rPr>
              <w:t xml:space="preserve"> #2</w:t>
            </w:r>
          </w:p>
        </w:tc>
      </w:tr>
      <w:tr w:rsidR="00C40D0D" w:rsidRPr="005457F2" w14:paraId="5E665F39" w14:textId="77777777" w:rsidTr="00E84447">
        <w:tc>
          <w:tcPr>
            <w:tcW w:w="1663" w:type="dxa"/>
            <w:tcBorders>
              <w:left w:val="nil"/>
              <w:bottom w:val="single" w:sz="4" w:space="0" w:color="auto"/>
            </w:tcBorders>
            <w:shd w:val="clear" w:color="auto" w:fill="auto"/>
          </w:tcPr>
          <w:p w14:paraId="04895A0B" w14:textId="77777777" w:rsidR="00C40D0D" w:rsidRPr="005457F2" w:rsidRDefault="00C40D0D" w:rsidP="00A40860">
            <w:pPr>
              <w:pStyle w:val="Table"/>
              <w:rPr>
                <w:sz w:val="22"/>
                <w:szCs w:val="22"/>
              </w:rPr>
            </w:pPr>
          </w:p>
        </w:tc>
        <w:tc>
          <w:tcPr>
            <w:tcW w:w="1771" w:type="dxa"/>
            <w:tcBorders>
              <w:bottom w:val="single" w:sz="4" w:space="0" w:color="auto"/>
            </w:tcBorders>
            <w:shd w:val="clear" w:color="auto" w:fill="auto"/>
          </w:tcPr>
          <w:p w14:paraId="24500554" w14:textId="77777777" w:rsidR="00C40D0D" w:rsidRPr="005457F2" w:rsidRDefault="00C40D0D" w:rsidP="00A40860">
            <w:pPr>
              <w:pStyle w:val="Table"/>
              <w:rPr>
                <w:sz w:val="22"/>
                <w:szCs w:val="22"/>
              </w:rPr>
            </w:pPr>
          </w:p>
        </w:tc>
        <w:tc>
          <w:tcPr>
            <w:tcW w:w="1771" w:type="dxa"/>
            <w:tcBorders>
              <w:top w:val="single" w:sz="4" w:space="0" w:color="auto"/>
              <w:bottom w:val="single" w:sz="4" w:space="0" w:color="auto"/>
            </w:tcBorders>
            <w:shd w:val="clear" w:color="auto" w:fill="auto"/>
          </w:tcPr>
          <w:p w14:paraId="2CE93D3C" w14:textId="77777777" w:rsidR="00C40D0D" w:rsidRPr="005457F2" w:rsidRDefault="00C40D0D" w:rsidP="00A40860">
            <w:pPr>
              <w:pStyle w:val="Table"/>
              <w:jc w:val="center"/>
              <w:rPr>
                <w:sz w:val="22"/>
                <w:szCs w:val="22"/>
              </w:rPr>
            </w:pPr>
            <w:r w:rsidRPr="005457F2">
              <w:rPr>
                <w:sz w:val="22"/>
                <w:szCs w:val="22"/>
                <w:lang w:val="en-IN" w:eastAsia="en-IN"/>
              </w:rPr>
              <w:t>Category 1</w:t>
            </w:r>
          </w:p>
        </w:tc>
        <w:tc>
          <w:tcPr>
            <w:tcW w:w="1771" w:type="dxa"/>
            <w:tcBorders>
              <w:top w:val="single" w:sz="4" w:space="0" w:color="auto"/>
              <w:bottom w:val="single" w:sz="4" w:space="0" w:color="auto"/>
            </w:tcBorders>
            <w:shd w:val="clear" w:color="auto" w:fill="auto"/>
          </w:tcPr>
          <w:p w14:paraId="0ADEF8D9" w14:textId="77777777" w:rsidR="00C40D0D" w:rsidRPr="005457F2" w:rsidRDefault="00C40D0D" w:rsidP="00A40860">
            <w:pPr>
              <w:pStyle w:val="Table"/>
              <w:jc w:val="center"/>
              <w:rPr>
                <w:sz w:val="22"/>
                <w:szCs w:val="22"/>
              </w:rPr>
            </w:pPr>
            <w:r w:rsidRPr="005457F2">
              <w:rPr>
                <w:sz w:val="22"/>
                <w:szCs w:val="22"/>
                <w:lang w:val="en-IN" w:eastAsia="en-IN"/>
              </w:rPr>
              <w:t>Category 2</w:t>
            </w:r>
          </w:p>
        </w:tc>
        <w:tc>
          <w:tcPr>
            <w:tcW w:w="1754" w:type="dxa"/>
            <w:tcBorders>
              <w:top w:val="single" w:sz="4" w:space="0" w:color="auto"/>
              <w:bottom w:val="single" w:sz="4" w:space="0" w:color="auto"/>
              <w:right w:val="nil"/>
            </w:tcBorders>
            <w:shd w:val="clear" w:color="auto" w:fill="auto"/>
          </w:tcPr>
          <w:p w14:paraId="26FD4C57" w14:textId="77777777" w:rsidR="00C40D0D" w:rsidRPr="005457F2" w:rsidRDefault="00C40D0D" w:rsidP="00A40860">
            <w:pPr>
              <w:pStyle w:val="Table"/>
              <w:jc w:val="center"/>
              <w:rPr>
                <w:sz w:val="22"/>
                <w:szCs w:val="22"/>
              </w:rPr>
            </w:pPr>
            <w:r w:rsidRPr="005457F2">
              <w:rPr>
                <w:sz w:val="22"/>
                <w:szCs w:val="22"/>
                <w:lang w:val="en-IN" w:eastAsia="en-IN"/>
              </w:rPr>
              <w:t>Category 3</w:t>
            </w:r>
          </w:p>
        </w:tc>
      </w:tr>
      <w:tr w:rsidR="00C40D0D" w:rsidRPr="005457F2" w14:paraId="7CC157F5" w14:textId="77777777" w:rsidTr="00E84447">
        <w:tc>
          <w:tcPr>
            <w:tcW w:w="1663" w:type="dxa"/>
            <w:tcBorders>
              <w:top w:val="single" w:sz="4" w:space="0" w:color="auto"/>
              <w:left w:val="nil"/>
            </w:tcBorders>
            <w:shd w:val="clear" w:color="auto" w:fill="auto"/>
          </w:tcPr>
          <w:p w14:paraId="186001B3" w14:textId="77777777" w:rsidR="00C40D0D" w:rsidRPr="005457F2" w:rsidRDefault="00C40D0D" w:rsidP="00A40860">
            <w:pPr>
              <w:pStyle w:val="Table"/>
              <w:rPr>
                <w:sz w:val="22"/>
                <w:szCs w:val="22"/>
              </w:rPr>
            </w:pPr>
          </w:p>
        </w:tc>
        <w:tc>
          <w:tcPr>
            <w:tcW w:w="1771" w:type="dxa"/>
            <w:tcBorders>
              <w:top w:val="single" w:sz="4" w:space="0" w:color="auto"/>
            </w:tcBorders>
            <w:shd w:val="clear" w:color="auto" w:fill="auto"/>
          </w:tcPr>
          <w:p w14:paraId="362DEA66" w14:textId="77777777" w:rsidR="00C40D0D" w:rsidRPr="005457F2" w:rsidRDefault="00C40D0D" w:rsidP="00A40860">
            <w:pPr>
              <w:pStyle w:val="Table"/>
              <w:rPr>
                <w:sz w:val="22"/>
                <w:szCs w:val="22"/>
              </w:rPr>
            </w:pPr>
            <w:r w:rsidRPr="005457F2">
              <w:rPr>
                <w:sz w:val="22"/>
                <w:szCs w:val="22"/>
                <w:lang w:val="en-IN" w:eastAsia="en-IN"/>
              </w:rPr>
              <w:t>Category 1</w:t>
            </w:r>
          </w:p>
        </w:tc>
        <w:tc>
          <w:tcPr>
            <w:tcW w:w="1771" w:type="dxa"/>
            <w:tcBorders>
              <w:top w:val="single" w:sz="4" w:space="0" w:color="auto"/>
            </w:tcBorders>
            <w:shd w:val="clear" w:color="auto" w:fill="auto"/>
          </w:tcPr>
          <w:p w14:paraId="1A8611A4" w14:textId="77777777" w:rsidR="00C40D0D" w:rsidRPr="005457F2" w:rsidRDefault="00C40D0D" w:rsidP="00A40860">
            <w:pPr>
              <w:pStyle w:val="Table"/>
              <w:jc w:val="center"/>
              <w:rPr>
                <w:sz w:val="22"/>
                <w:szCs w:val="22"/>
              </w:rPr>
            </w:pPr>
            <w:r w:rsidRPr="005457F2">
              <w:rPr>
                <w:sz w:val="22"/>
                <w:szCs w:val="22"/>
                <w:lang w:val="en-IN" w:eastAsia="en-IN"/>
              </w:rPr>
              <w:t>1</w:t>
            </w:r>
          </w:p>
        </w:tc>
        <w:tc>
          <w:tcPr>
            <w:tcW w:w="1771" w:type="dxa"/>
            <w:tcBorders>
              <w:top w:val="single" w:sz="4" w:space="0" w:color="auto"/>
            </w:tcBorders>
            <w:shd w:val="clear" w:color="auto" w:fill="auto"/>
          </w:tcPr>
          <w:p w14:paraId="245F781A" w14:textId="77777777" w:rsidR="00C40D0D" w:rsidRPr="005457F2" w:rsidRDefault="00C40D0D" w:rsidP="00A40860">
            <w:pPr>
              <w:pStyle w:val="Table"/>
              <w:jc w:val="center"/>
              <w:rPr>
                <w:sz w:val="22"/>
                <w:szCs w:val="22"/>
              </w:rPr>
            </w:pPr>
            <w:r w:rsidRPr="005457F2">
              <w:rPr>
                <w:sz w:val="22"/>
                <w:szCs w:val="22"/>
                <w:lang w:val="en-IN" w:eastAsia="en-IN"/>
              </w:rPr>
              <w:t>1/2</w:t>
            </w:r>
          </w:p>
        </w:tc>
        <w:tc>
          <w:tcPr>
            <w:tcW w:w="1754" w:type="dxa"/>
            <w:tcBorders>
              <w:top w:val="single" w:sz="4" w:space="0" w:color="auto"/>
              <w:right w:val="nil"/>
            </w:tcBorders>
            <w:shd w:val="clear" w:color="auto" w:fill="auto"/>
          </w:tcPr>
          <w:p w14:paraId="7D8F47C5" w14:textId="77777777" w:rsidR="00C40D0D" w:rsidRPr="005457F2" w:rsidRDefault="00C40D0D" w:rsidP="00A40860">
            <w:pPr>
              <w:pStyle w:val="Table"/>
              <w:jc w:val="center"/>
              <w:rPr>
                <w:sz w:val="22"/>
                <w:szCs w:val="22"/>
              </w:rPr>
            </w:pPr>
            <w:r w:rsidRPr="005457F2">
              <w:rPr>
                <w:sz w:val="22"/>
                <w:szCs w:val="22"/>
                <w:lang w:val="en-IN" w:eastAsia="en-IN"/>
              </w:rPr>
              <w:t>0</w:t>
            </w:r>
          </w:p>
        </w:tc>
      </w:tr>
      <w:tr w:rsidR="00C40D0D" w:rsidRPr="005457F2" w14:paraId="3208F85F" w14:textId="77777777" w:rsidTr="00E84447">
        <w:tc>
          <w:tcPr>
            <w:tcW w:w="1663" w:type="dxa"/>
            <w:tcBorders>
              <w:left w:val="nil"/>
            </w:tcBorders>
            <w:shd w:val="clear" w:color="auto" w:fill="auto"/>
          </w:tcPr>
          <w:p w14:paraId="20585AE6" w14:textId="77777777" w:rsidR="00C40D0D" w:rsidRPr="005457F2" w:rsidRDefault="00C40D0D" w:rsidP="00A40860">
            <w:pPr>
              <w:pStyle w:val="Table"/>
              <w:rPr>
                <w:sz w:val="22"/>
                <w:szCs w:val="22"/>
              </w:rPr>
            </w:pPr>
            <w:proofErr w:type="spellStart"/>
            <w:r w:rsidRPr="005457F2">
              <w:rPr>
                <w:sz w:val="22"/>
                <w:szCs w:val="22"/>
                <w:lang w:val="en-IN" w:eastAsia="en-IN"/>
              </w:rPr>
              <w:t>Rater</w:t>
            </w:r>
            <w:proofErr w:type="spellEnd"/>
            <w:r w:rsidRPr="005457F2">
              <w:rPr>
                <w:sz w:val="22"/>
                <w:szCs w:val="22"/>
                <w:lang w:val="en-IN" w:eastAsia="en-IN"/>
              </w:rPr>
              <w:t xml:space="preserve"> #1</w:t>
            </w:r>
          </w:p>
        </w:tc>
        <w:tc>
          <w:tcPr>
            <w:tcW w:w="1771" w:type="dxa"/>
            <w:shd w:val="clear" w:color="auto" w:fill="auto"/>
          </w:tcPr>
          <w:p w14:paraId="78A3FDFF" w14:textId="77777777" w:rsidR="00C40D0D" w:rsidRPr="005457F2" w:rsidRDefault="00C40D0D" w:rsidP="00A40860">
            <w:pPr>
              <w:pStyle w:val="Table"/>
              <w:rPr>
                <w:sz w:val="22"/>
                <w:szCs w:val="22"/>
              </w:rPr>
            </w:pPr>
            <w:r w:rsidRPr="005457F2">
              <w:rPr>
                <w:sz w:val="22"/>
                <w:szCs w:val="22"/>
                <w:lang w:val="en-IN" w:eastAsia="en-IN"/>
              </w:rPr>
              <w:t>Category 2</w:t>
            </w:r>
          </w:p>
        </w:tc>
        <w:tc>
          <w:tcPr>
            <w:tcW w:w="1771" w:type="dxa"/>
            <w:shd w:val="clear" w:color="auto" w:fill="auto"/>
          </w:tcPr>
          <w:p w14:paraId="465414AD" w14:textId="77777777" w:rsidR="00C40D0D" w:rsidRPr="005457F2" w:rsidRDefault="00C40D0D" w:rsidP="00A40860">
            <w:pPr>
              <w:pStyle w:val="Table"/>
              <w:jc w:val="center"/>
              <w:rPr>
                <w:sz w:val="22"/>
                <w:szCs w:val="22"/>
              </w:rPr>
            </w:pPr>
            <w:r w:rsidRPr="005457F2">
              <w:rPr>
                <w:sz w:val="22"/>
                <w:szCs w:val="22"/>
                <w:lang w:val="en-IN" w:eastAsia="en-IN"/>
              </w:rPr>
              <w:t>1/2</w:t>
            </w:r>
          </w:p>
        </w:tc>
        <w:tc>
          <w:tcPr>
            <w:tcW w:w="1771" w:type="dxa"/>
            <w:shd w:val="clear" w:color="auto" w:fill="auto"/>
          </w:tcPr>
          <w:p w14:paraId="22AA0033" w14:textId="77777777" w:rsidR="00C40D0D" w:rsidRPr="005457F2" w:rsidRDefault="00C40D0D" w:rsidP="00A40860">
            <w:pPr>
              <w:pStyle w:val="Table"/>
              <w:jc w:val="center"/>
              <w:rPr>
                <w:sz w:val="22"/>
                <w:szCs w:val="22"/>
              </w:rPr>
            </w:pPr>
            <w:r w:rsidRPr="005457F2">
              <w:rPr>
                <w:sz w:val="22"/>
                <w:szCs w:val="22"/>
                <w:lang w:val="en-IN" w:eastAsia="en-IN"/>
              </w:rPr>
              <w:t>1</w:t>
            </w:r>
          </w:p>
        </w:tc>
        <w:tc>
          <w:tcPr>
            <w:tcW w:w="1754" w:type="dxa"/>
            <w:tcBorders>
              <w:right w:val="nil"/>
            </w:tcBorders>
            <w:shd w:val="clear" w:color="auto" w:fill="auto"/>
          </w:tcPr>
          <w:p w14:paraId="6ED665B6" w14:textId="77777777" w:rsidR="00C40D0D" w:rsidRPr="005457F2" w:rsidRDefault="00C40D0D" w:rsidP="00A40860">
            <w:pPr>
              <w:pStyle w:val="Table"/>
              <w:jc w:val="center"/>
              <w:rPr>
                <w:sz w:val="22"/>
                <w:szCs w:val="22"/>
              </w:rPr>
            </w:pPr>
            <w:r w:rsidRPr="005457F2">
              <w:rPr>
                <w:sz w:val="22"/>
                <w:szCs w:val="22"/>
                <w:lang w:val="en-IN" w:eastAsia="en-IN"/>
              </w:rPr>
              <w:t>1/2</w:t>
            </w:r>
          </w:p>
        </w:tc>
      </w:tr>
      <w:tr w:rsidR="00C40D0D" w:rsidRPr="005457F2" w14:paraId="30C89453" w14:textId="77777777" w:rsidTr="00E84447">
        <w:tc>
          <w:tcPr>
            <w:tcW w:w="1663" w:type="dxa"/>
            <w:tcBorders>
              <w:left w:val="nil"/>
            </w:tcBorders>
            <w:shd w:val="clear" w:color="auto" w:fill="auto"/>
          </w:tcPr>
          <w:p w14:paraId="1D2D14BA" w14:textId="77777777" w:rsidR="00C40D0D" w:rsidRPr="005457F2" w:rsidRDefault="00C40D0D" w:rsidP="00A40860">
            <w:pPr>
              <w:pStyle w:val="Table"/>
              <w:rPr>
                <w:sz w:val="22"/>
                <w:szCs w:val="22"/>
              </w:rPr>
            </w:pPr>
          </w:p>
        </w:tc>
        <w:tc>
          <w:tcPr>
            <w:tcW w:w="1771" w:type="dxa"/>
            <w:shd w:val="clear" w:color="auto" w:fill="auto"/>
          </w:tcPr>
          <w:p w14:paraId="6580F098" w14:textId="77777777" w:rsidR="00C40D0D" w:rsidRPr="005457F2" w:rsidRDefault="00C40D0D" w:rsidP="00A40860">
            <w:pPr>
              <w:pStyle w:val="Table"/>
              <w:rPr>
                <w:sz w:val="22"/>
                <w:szCs w:val="22"/>
              </w:rPr>
            </w:pPr>
            <w:r w:rsidRPr="005457F2">
              <w:rPr>
                <w:sz w:val="22"/>
                <w:szCs w:val="22"/>
                <w:lang w:val="en-IN" w:eastAsia="en-IN"/>
              </w:rPr>
              <w:t>Category 3</w:t>
            </w:r>
          </w:p>
        </w:tc>
        <w:tc>
          <w:tcPr>
            <w:tcW w:w="1771" w:type="dxa"/>
            <w:shd w:val="clear" w:color="auto" w:fill="auto"/>
          </w:tcPr>
          <w:p w14:paraId="1E9AECEF" w14:textId="77777777" w:rsidR="00C40D0D" w:rsidRPr="005457F2" w:rsidRDefault="00C40D0D" w:rsidP="00A40860">
            <w:pPr>
              <w:pStyle w:val="Table"/>
              <w:jc w:val="center"/>
              <w:rPr>
                <w:sz w:val="22"/>
                <w:szCs w:val="22"/>
              </w:rPr>
            </w:pPr>
            <w:r w:rsidRPr="005457F2">
              <w:rPr>
                <w:sz w:val="22"/>
                <w:szCs w:val="22"/>
                <w:lang w:val="en-IN" w:eastAsia="en-IN"/>
              </w:rPr>
              <w:t>0</w:t>
            </w:r>
          </w:p>
        </w:tc>
        <w:tc>
          <w:tcPr>
            <w:tcW w:w="1771" w:type="dxa"/>
            <w:shd w:val="clear" w:color="auto" w:fill="auto"/>
          </w:tcPr>
          <w:p w14:paraId="38804E03" w14:textId="77777777" w:rsidR="00C40D0D" w:rsidRPr="005457F2" w:rsidRDefault="00C40D0D" w:rsidP="00A40860">
            <w:pPr>
              <w:pStyle w:val="Table"/>
              <w:jc w:val="center"/>
              <w:rPr>
                <w:sz w:val="22"/>
                <w:szCs w:val="22"/>
              </w:rPr>
            </w:pPr>
            <w:r w:rsidRPr="005457F2">
              <w:rPr>
                <w:sz w:val="22"/>
                <w:szCs w:val="22"/>
                <w:lang w:val="en-IN" w:eastAsia="en-IN"/>
              </w:rPr>
              <w:t>1/2</w:t>
            </w:r>
          </w:p>
        </w:tc>
        <w:tc>
          <w:tcPr>
            <w:tcW w:w="1754" w:type="dxa"/>
            <w:tcBorders>
              <w:right w:val="nil"/>
            </w:tcBorders>
            <w:shd w:val="clear" w:color="auto" w:fill="auto"/>
          </w:tcPr>
          <w:p w14:paraId="2D3DA3FB" w14:textId="77777777" w:rsidR="00C40D0D" w:rsidRPr="005457F2" w:rsidRDefault="00C40D0D" w:rsidP="00A40860">
            <w:pPr>
              <w:pStyle w:val="Table"/>
              <w:jc w:val="center"/>
              <w:rPr>
                <w:sz w:val="22"/>
                <w:szCs w:val="22"/>
              </w:rPr>
            </w:pPr>
            <w:r w:rsidRPr="005457F2">
              <w:rPr>
                <w:sz w:val="22"/>
                <w:szCs w:val="22"/>
                <w:lang w:val="en-IN" w:eastAsia="en-IN"/>
              </w:rPr>
              <w:t>1</w:t>
            </w:r>
          </w:p>
        </w:tc>
      </w:tr>
    </w:tbl>
    <w:p w14:paraId="19EEFA37" w14:textId="77777777" w:rsidR="003C3018" w:rsidRPr="005457F2" w:rsidRDefault="003C3018" w:rsidP="00A40860">
      <w:pPr>
        <w:pStyle w:val="NormalWeb"/>
        <w:sectPr w:rsidR="003C3018" w:rsidRPr="005457F2" w:rsidSect="008652DB">
          <w:headerReference w:type="default" r:id="rId10"/>
          <w:footerReference w:type="even" r:id="rId11"/>
          <w:footerReference w:type="default" r:id="rId12"/>
          <w:pgSz w:w="12240" w:h="15840"/>
          <w:pgMar w:top="1440" w:right="1800" w:bottom="1440" w:left="1800" w:header="720" w:footer="720" w:gutter="0"/>
          <w:cols w:space="720"/>
          <w:noEndnote/>
        </w:sectPr>
      </w:pPr>
    </w:p>
    <w:p w14:paraId="0001BD17" w14:textId="77777777" w:rsidR="00B817E6" w:rsidRDefault="00003A3D" w:rsidP="00003A3D">
      <w:r w:rsidRPr="008E66E3">
        <w:rPr>
          <w:b/>
        </w:rPr>
        <w:lastRenderedPageBreak/>
        <w:t xml:space="preserve">Example </w:t>
      </w:r>
      <w:proofErr w:type="gramStart"/>
      <w:r w:rsidRPr="008E66E3">
        <w:rPr>
          <w:b/>
        </w:rPr>
        <w:t>5.</w:t>
      </w:r>
      <w:r w:rsidR="008E66E3" w:rsidRPr="008E66E3">
        <w:rPr>
          <w:b/>
        </w:rPr>
        <w:t>6.B</w:t>
      </w:r>
      <w:r w:rsidR="008E66E3">
        <w:rPr>
          <w:b/>
        </w:rPr>
        <w:t xml:space="preserve">  </w:t>
      </w:r>
      <w:r w:rsidR="00F929B6">
        <w:t>The</w:t>
      </w:r>
      <w:proofErr w:type="gramEnd"/>
      <w:r w:rsidR="00F929B6">
        <w:t xml:space="preserve"> mothers, daughters</w:t>
      </w:r>
      <w:r w:rsidR="008D6248">
        <w:t>,</w:t>
      </w:r>
      <w:r w:rsidR="00F929B6">
        <w:t xml:space="preserve"> and clinicians in the study by Perry at al </w:t>
      </w:r>
      <w:r w:rsidR="006C4646">
        <w:t xml:space="preserve">actually </w:t>
      </w:r>
      <w:r w:rsidR="007F78B2">
        <w:t xml:space="preserve">rated the </w:t>
      </w:r>
      <w:r w:rsidR="005A536A">
        <w:t>breast development of</w:t>
      </w:r>
      <w:r w:rsidR="007F78B2">
        <w:t xml:space="preserve"> the girls according to five Tanner stages</w:t>
      </w:r>
      <w:r w:rsidR="006C4646">
        <w:t xml:space="preserve">, with stage 1 indicating </w:t>
      </w:r>
      <w:r w:rsidR="008D4726">
        <w:t xml:space="preserve">no breast development and stage 5 </w:t>
      </w:r>
      <w:r w:rsidR="00955EAA">
        <w:t>indicating complete breast development</w:t>
      </w:r>
      <w:r w:rsidR="007F78B2">
        <w:t xml:space="preserve">.  </w:t>
      </w:r>
      <w:r w:rsidR="00BC3300">
        <w:t>Results</w:t>
      </w:r>
      <w:r w:rsidR="00AF70C3">
        <w:t xml:space="preserve"> comparing mothers to clinicians</w:t>
      </w:r>
      <w:r w:rsidR="00BC3300">
        <w:t xml:space="preserve"> are shown in Table 5.3.  Because Tanner stage is an ordinal variable, it makes sense to use a weighted </w:t>
      </w:r>
      <w:r w:rsidR="00E81BE5">
        <w:t>kappa</w:t>
      </w:r>
      <w:r w:rsidR="00BC3300">
        <w:t xml:space="preserve">.  </w:t>
      </w:r>
      <w:r w:rsidR="000F62DF" w:rsidRPr="000F62DF">
        <w:t xml:space="preserve"> </w:t>
      </w:r>
      <w:r w:rsidR="0048655F">
        <w:t>The authors reported a</w:t>
      </w:r>
      <w:r w:rsidR="00BB0DC6">
        <w:t>n unweighted</w:t>
      </w:r>
      <w:r w:rsidR="0048655F">
        <w:t xml:space="preserve"> kappa </w:t>
      </w:r>
      <w:r w:rsidR="008D4726">
        <w:t>of</w:t>
      </w:r>
      <w:r w:rsidR="008A6AC9">
        <w:t xml:space="preserve"> 0.54 and weighted </w:t>
      </w:r>
      <w:r w:rsidR="00E81BE5">
        <w:t>k</w:t>
      </w:r>
      <w:r w:rsidR="008A6AC9">
        <w:t>appa of 0.72</w:t>
      </w:r>
      <w:r w:rsidR="0020410F">
        <w:t xml:space="preserve"> for these results</w:t>
      </w:r>
      <w:r w:rsidR="008A6AC9">
        <w:t>.</w:t>
      </w:r>
      <w:r w:rsidR="0020410F">
        <w:t xml:space="preserve">  That </w:t>
      </w:r>
      <w:r w:rsidR="00B478C0">
        <w:t xml:space="preserve">the </w:t>
      </w:r>
      <w:r w:rsidR="0020410F">
        <w:t xml:space="preserve">weighted </w:t>
      </w:r>
      <w:r w:rsidR="00E81BE5">
        <w:t>k</w:t>
      </w:r>
      <w:r w:rsidR="0020410F">
        <w:t xml:space="preserve">appa was higher than unweighted </w:t>
      </w:r>
      <w:r w:rsidR="00E81BE5">
        <w:t>k</w:t>
      </w:r>
      <w:r w:rsidR="0020410F">
        <w:t xml:space="preserve">appa is typical; </w:t>
      </w:r>
      <w:r w:rsidR="006150EB">
        <w:t xml:space="preserve">you can see that the observations cluster along the main </w:t>
      </w:r>
      <w:r w:rsidR="00842793">
        <w:t>diagonal</w:t>
      </w:r>
      <w:r w:rsidR="006150EB">
        <w:t xml:space="preserve"> and along the two diagonals above a</w:t>
      </w:r>
      <w:r w:rsidR="00F36A52">
        <w:t xml:space="preserve">nd below it.  </w:t>
      </w:r>
      <w:r w:rsidR="00842793">
        <w:t>This means that most of the time when there was not perfect agreement, the mothers and clinicians disagreed by only one Tanner stage.</w:t>
      </w:r>
      <w:r w:rsidR="008B59E1">
        <w:t xml:space="preserve">   For 5 categories, linear </w:t>
      </w:r>
      <w:r w:rsidR="00E81BE5">
        <w:t>k</w:t>
      </w:r>
      <w:r w:rsidR="008B59E1">
        <w:t xml:space="preserve">appa weights are 1.0, 0.75, 0.5, 0.25 and 0, so </w:t>
      </w:r>
      <w:r w:rsidR="00881794">
        <w:t xml:space="preserve">parents and clinicians got 75% credit for </w:t>
      </w:r>
      <w:r w:rsidR="0063272B">
        <w:t>those</w:t>
      </w:r>
      <w:r w:rsidR="00881794">
        <w:t xml:space="preserve"> </w:t>
      </w:r>
      <w:r w:rsidR="00FC177E">
        <w:t>(27+7+4+</w:t>
      </w:r>
      <w:proofErr w:type="gramStart"/>
      <w:r w:rsidR="00FC177E">
        <w:t>8</w:t>
      </w:r>
      <w:r w:rsidR="008D6248">
        <w:t xml:space="preserve">  </w:t>
      </w:r>
      <w:r w:rsidR="00FC177E">
        <w:t>+</w:t>
      </w:r>
      <w:proofErr w:type="gramEnd"/>
      <w:r w:rsidR="0063272B">
        <w:t xml:space="preserve">  </w:t>
      </w:r>
      <w:r w:rsidR="00FC177E">
        <w:t>8+7+4+4 =) 69 girls</w:t>
      </w:r>
      <w:r w:rsidR="0063272B">
        <w:t>.</w:t>
      </w:r>
    </w:p>
    <w:p w14:paraId="5DBFDC2B" w14:textId="77777777" w:rsidR="005A536A" w:rsidRDefault="005A536A" w:rsidP="00003A3D"/>
    <w:tbl>
      <w:tblPr>
        <w:tblW w:w="6580" w:type="dxa"/>
        <w:tblInd w:w="93" w:type="dxa"/>
        <w:tblLayout w:type="fixed"/>
        <w:tblLook w:val="04A0" w:firstRow="1" w:lastRow="0" w:firstColumn="1" w:lastColumn="0" w:noHBand="0" w:noVBand="1"/>
      </w:tblPr>
      <w:tblGrid>
        <w:gridCol w:w="1545"/>
        <w:gridCol w:w="1170"/>
        <w:gridCol w:w="944"/>
        <w:gridCol w:w="646"/>
        <w:gridCol w:w="646"/>
        <w:gridCol w:w="734"/>
        <w:gridCol w:w="895"/>
      </w:tblGrid>
      <w:tr w:rsidR="005A536A" w:rsidRPr="005A536A" w14:paraId="3401E183" w14:textId="77777777" w:rsidTr="005A536A">
        <w:trPr>
          <w:trHeight w:val="960"/>
        </w:trPr>
        <w:tc>
          <w:tcPr>
            <w:tcW w:w="658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46E3C09" w14:textId="77777777" w:rsidR="005A536A" w:rsidRPr="005A536A" w:rsidRDefault="005A536A" w:rsidP="005A536A">
            <w:pPr>
              <w:rPr>
                <w:rFonts w:ascii="Calibri" w:hAnsi="Calibri"/>
                <w:color w:val="000000"/>
              </w:rPr>
            </w:pPr>
            <w:r w:rsidRPr="005A536A">
              <w:rPr>
                <w:rFonts w:ascii="Calibri" w:hAnsi="Calibri"/>
                <w:color w:val="000000"/>
              </w:rPr>
              <w:t>Table 5.3 Comparison of m</w:t>
            </w:r>
            <w:r w:rsidR="006C4646">
              <w:rPr>
                <w:rFonts w:ascii="Calibri" w:hAnsi="Calibri"/>
                <w:color w:val="000000"/>
              </w:rPr>
              <w:t xml:space="preserve">others' and clinicians' Tanner </w:t>
            </w:r>
            <w:r w:rsidRPr="005A536A">
              <w:rPr>
                <w:rFonts w:ascii="Calibri" w:hAnsi="Calibri"/>
                <w:color w:val="000000"/>
              </w:rPr>
              <w:t>stage ratings for breast development of 282 girls.  Data from Terry et al (2016)</w:t>
            </w:r>
          </w:p>
        </w:tc>
      </w:tr>
      <w:tr w:rsidR="005A536A" w:rsidRPr="005A536A" w14:paraId="3AED89CE"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473539ED" w14:textId="77777777" w:rsidR="005A536A" w:rsidRPr="005A536A" w:rsidRDefault="005A536A" w:rsidP="005A536A">
            <w:pPr>
              <w:jc w:val="center"/>
              <w:rPr>
                <w:rFonts w:ascii="Calibri" w:hAnsi="Calibri"/>
                <w:color w:val="000000"/>
              </w:rPr>
            </w:pPr>
            <w:r w:rsidRPr="005A536A">
              <w:rPr>
                <w:rFonts w:ascii="Calibri" w:hAnsi="Calibri"/>
                <w:color w:val="000000"/>
              </w:rPr>
              <w:t> </w:t>
            </w:r>
          </w:p>
        </w:tc>
        <w:tc>
          <w:tcPr>
            <w:tcW w:w="414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FFC230B" w14:textId="77777777" w:rsidR="005A536A" w:rsidRPr="005A536A" w:rsidRDefault="005A536A" w:rsidP="005A536A">
            <w:pPr>
              <w:jc w:val="center"/>
              <w:rPr>
                <w:rFonts w:ascii="Calibri" w:hAnsi="Calibri"/>
                <w:b/>
                <w:bCs/>
                <w:color w:val="000000"/>
              </w:rPr>
            </w:pPr>
            <w:r w:rsidRPr="005A536A">
              <w:rPr>
                <w:rFonts w:ascii="Calibri" w:hAnsi="Calibri"/>
                <w:b/>
                <w:bCs/>
                <w:color w:val="000000"/>
              </w:rPr>
              <w:t>Clinicians</w:t>
            </w:r>
          </w:p>
        </w:tc>
        <w:tc>
          <w:tcPr>
            <w:tcW w:w="895" w:type="dxa"/>
            <w:tcBorders>
              <w:top w:val="nil"/>
              <w:left w:val="nil"/>
              <w:bottom w:val="single" w:sz="4" w:space="0" w:color="auto"/>
              <w:right w:val="single" w:sz="4" w:space="0" w:color="auto"/>
            </w:tcBorders>
            <w:shd w:val="clear" w:color="auto" w:fill="auto"/>
            <w:noWrap/>
            <w:vAlign w:val="bottom"/>
            <w:hideMark/>
          </w:tcPr>
          <w:p w14:paraId="66D9570D" w14:textId="77777777" w:rsidR="005A536A" w:rsidRPr="005A536A" w:rsidRDefault="005A536A" w:rsidP="005A536A">
            <w:pPr>
              <w:jc w:val="center"/>
              <w:rPr>
                <w:rFonts w:ascii="Calibri" w:hAnsi="Calibri"/>
                <w:color w:val="000000"/>
              </w:rPr>
            </w:pPr>
            <w:r w:rsidRPr="005A536A">
              <w:rPr>
                <w:rFonts w:ascii="Calibri" w:hAnsi="Calibri"/>
                <w:color w:val="000000"/>
              </w:rPr>
              <w:t> </w:t>
            </w:r>
          </w:p>
        </w:tc>
      </w:tr>
      <w:tr w:rsidR="005A536A" w:rsidRPr="005A536A" w14:paraId="3BA65F56"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45CC75E2" w14:textId="77777777" w:rsidR="005A536A" w:rsidRPr="005A536A" w:rsidRDefault="005A536A" w:rsidP="005A536A">
            <w:pPr>
              <w:jc w:val="center"/>
              <w:rPr>
                <w:rFonts w:ascii="Calibri" w:hAnsi="Calibri"/>
                <w:b/>
                <w:bCs/>
                <w:color w:val="000000"/>
              </w:rPr>
            </w:pPr>
            <w:r w:rsidRPr="005A536A">
              <w:rPr>
                <w:rFonts w:ascii="Calibri" w:hAnsi="Calibri"/>
                <w:b/>
                <w:bCs/>
                <w:color w:val="000000"/>
              </w:rPr>
              <w:t>Mothers</w:t>
            </w:r>
          </w:p>
        </w:tc>
        <w:tc>
          <w:tcPr>
            <w:tcW w:w="1170" w:type="dxa"/>
            <w:tcBorders>
              <w:top w:val="nil"/>
              <w:left w:val="nil"/>
              <w:bottom w:val="single" w:sz="4" w:space="0" w:color="auto"/>
              <w:right w:val="single" w:sz="4" w:space="0" w:color="auto"/>
            </w:tcBorders>
            <w:shd w:val="clear" w:color="auto" w:fill="auto"/>
            <w:noWrap/>
            <w:vAlign w:val="bottom"/>
            <w:hideMark/>
          </w:tcPr>
          <w:p w14:paraId="4FD334F8" w14:textId="77777777" w:rsidR="005A536A" w:rsidRPr="005A536A" w:rsidRDefault="005A536A" w:rsidP="005A536A">
            <w:pPr>
              <w:jc w:val="center"/>
              <w:rPr>
                <w:rFonts w:ascii="Calibri" w:hAnsi="Calibri"/>
                <w:b/>
                <w:bCs/>
                <w:color w:val="000000"/>
              </w:rPr>
            </w:pPr>
            <w:r w:rsidRPr="005A536A">
              <w:rPr>
                <w:rFonts w:ascii="Calibri" w:hAnsi="Calibri"/>
                <w:b/>
                <w:bCs/>
                <w:color w:val="000000"/>
              </w:rPr>
              <w:t>1</w:t>
            </w:r>
          </w:p>
        </w:tc>
        <w:tc>
          <w:tcPr>
            <w:tcW w:w="944" w:type="dxa"/>
            <w:tcBorders>
              <w:top w:val="nil"/>
              <w:left w:val="nil"/>
              <w:bottom w:val="single" w:sz="4" w:space="0" w:color="auto"/>
              <w:right w:val="single" w:sz="4" w:space="0" w:color="auto"/>
            </w:tcBorders>
            <w:shd w:val="clear" w:color="auto" w:fill="auto"/>
            <w:noWrap/>
            <w:vAlign w:val="bottom"/>
            <w:hideMark/>
          </w:tcPr>
          <w:p w14:paraId="74A3EE13" w14:textId="77777777" w:rsidR="005A536A" w:rsidRPr="005A536A" w:rsidRDefault="005A536A" w:rsidP="005A536A">
            <w:pPr>
              <w:jc w:val="center"/>
              <w:rPr>
                <w:rFonts w:ascii="Calibri" w:hAnsi="Calibri"/>
                <w:b/>
                <w:bCs/>
                <w:color w:val="000000"/>
              </w:rPr>
            </w:pPr>
            <w:r w:rsidRPr="005A536A">
              <w:rPr>
                <w:rFonts w:ascii="Calibri" w:hAnsi="Calibri"/>
                <w:b/>
                <w:bCs/>
                <w:color w:val="000000"/>
              </w:rPr>
              <w:t>2</w:t>
            </w:r>
          </w:p>
        </w:tc>
        <w:tc>
          <w:tcPr>
            <w:tcW w:w="646" w:type="dxa"/>
            <w:tcBorders>
              <w:top w:val="nil"/>
              <w:left w:val="nil"/>
              <w:bottom w:val="single" w:sz="4" w:space="0" w:color="auto"/>
              <w:right w:val="single" w:sz="4" w:space="0" w:color="auto"/>
            </w:tcBorders>
            <w:shd w:val="clear" w:color="auto" w:fill="auto"/>
            <w:noWrap/>
            <w:vAlign w:val="bottom"/>
            <w:hideMark/>
          </w:tcPr>
          <w:p w14:paraId="4FF142E4" w14:textId="77777777" w:rsidR="005A536A" w:rsidRPr="005A536A" w:rsidRDefault="005A536A" w:rsidP="005A536A">
            <w:pPr>
              <w:jc w:val="center"/>
              <w:rPr>
                <w:rFonts w:ascii="Calibri" w:hAnsi="Calibri"/>
                <w:b/>
                <w:bCs/>
                <w:color w:val="000000"/>
              </w:rPr>
            </w:pPr>
            <w:r w:rsidRPr="005A536A">
              <w:rPr>
                <w:rFonts w:ascii="Calibri" w:hAnsi="Calibri"/>
                <w:b/>
                <w:bCs/>
                <w:color w:val="000000"/>
              </w:rPr>
              <w:t>3</w:t>
            </w:r>
          </w:p>
        </w:tc>
        <w:tc>
          <w:tcPr>
            <w:tcW w:w="646" w:type="dxa"/>
            <w:tcBorders>
              <w:top w:val="nil"/>
              <w:left w:val="nil"/>
              <w:bottom w:val="single" w:sz="4" w:space="0" w:color="auto"/>
              <w:right w:val="single" w:sz="4" w:space="0" w:color="auto"/>
            </w:tcBorders>
            <w:shd w:val="clear" w:color="auto" w:fill="auto"/>
            <w:noWrap/>
            <w:vAlign w:val="bottom"/>
            <w:hideMark/>
          </w:tcPr>
          <w:p w14:paraId="75A0058F" w14:textId="77777777" w:rsidR="005A536A" w:rsidRPr="005A536A" w:rsidRDefault="005A536A" w:rsidP="005A536A">
            <w:pPr>
              <w:jc w:val="center"/>
              <w:rPr>
                <w:rFonts w:ascii="Calibri" w:hAnsi="Calibri"/>
                <w:b/>
                <w:bCs/>
                <w:color w:val="000000"/>
              </w:rPr>
            </w:pPr>
            <w:r w:rsidRPr="005A536A">
              <w:rPr>
                <w:rFonts w:ascii="Calibri" w:hAnsi="Calibri"/>
                <w:b/>
                <w:bCs/>
                <w:color w:val="000000"/>
              </w:rPr>
              <w:t>4</w:t>
            </w:r>
          </w:p>
        </w:tc>
        <w:tc>
          <w:tcPr>
            <w:tcW w:w="734" w:type="dxa"/>
            <w:tcBorders>
              <w:top w:val="nil"/>
              <w:left w:val="nil"/>
              <w:bottom w:val="single" w:sz="4" w:space="0" w:color="auto"/>
              <w:right w:val="single" w:sz="4" w:space="0" w:color="auto"/>
            </w:tcBorders>
            <w:shd w:val="clear" w:color="auto" w:fill="auto"/>
            <w:noWrap/>
            <w:vAlign w:val="bottom"/>
            <w:hideMark/>
          </w:tcPr>
          <w:p w14:paraId="17022BE6" w14:textId="77777777" w:rsidR="005A536A" w:rsidRPr="005A536A" w:rsidRDefault="005A536A" w:rsidP="005A536A">
            <w:pPr>
              <w:jc w:val="center"/>
              <w:rPr>
                <w:rFonts w:ascii="Calibri" w:hAnsi="Calibri"/>
                <w:b/>
                <w:bCs/>
                <w:color w:val="000000"/>
              </w:rPr>
            </w:pPr>
            <w:r w:rsidRPr="005A536A">
              <w:rPr>
                <w:rFonts w:ascii="Calibri" w:hAnsi="Calibri"/>
                <w:b/>
                <w:bCs/>
                <w:color w:val="000000"/>
              </w:rPr>
              <w:t>5</w:t>
            </w:r>
          </w:p>
        </w:tc>
        <w:tc>
          <w:tcPr>
            <w:tcW w:w="895" w:type="dxa"/>
            <w:tcBorders>
              <w:top w:val="nil"/>
              <w:left w:val="nil"/>
              <w:bottom w:val="single" w:sz="4" w:space="0" w:color="auto"/>
              <w:right w:val="single" w:sz="4" w:space="0" w:color="auto"/>
            </w:tcBorders>
            <w:shd w:val="clear" w:color="auto" w:fill="auto"/>
            <w:noWrap/>
            <w:vAlign w:val="bottom"/>
            <w:hideMark/>
          </w:tcPr>
          <w:p w14:paraId="495ACE3A" w14:textId="77777777" w:rsidR="005A536A" w:rsidRPr="005A536A" w:rsidRDefault="005A536A" w:rsidP="005A536A">
            <w:pPr>
              <w:jc w:val="center"/>
              <w:rPr>
                <w:rFonts w:ascii="Calibri" w:hAnsi="Calibri"/>
                <w:b/>
                <w:bCs/>
                <w:color w:val="000000"/>
              </w:rPr>
            </w:pPr>
            <w:r w:rsidRPr="005A536A">
              <w:rPr>
                <w:rFonts w:ascii="Calibri" w:hAnsi="Calibri"/>
                <w:b/>
                <w:bCs/>
                <w:color w:val="000000"/>
              </w:rPr>
              <w:t>Total</w:t>
            </w:r>
          </w:p>
        </w:tc>
      </w:tr>
      <w:tr w:rsidR="005A536A" w:rsidRPr="005A536A" w14:paraId="7A4571A3"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78A43F07" w14:textId="77777777" w:rsidR="005A536A" w:rsidRPr="005A536A" w:rsidRDefault="005A536A" w:rsidP="005A536A">
            <w:pPr>
              <w:jc w:val="center"/>
              <w:rPr>
                <w:rFonts w:ascii="Calibri" w:hAnsi="Calibri"/>
                <w:b/>
                <w:bCs/>
                <w:color w:val="000000"/>
              </w:rPr>
            </w:pPr>
            <w:r w:rsidRPr="005A536A">
              <w:rPr>
                <w:rFonts w:ascii="Calibri" w:hAnsi="Calibri"/>
                <w:b/>
                <w:bCs/>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14:paraId="5012F91C" w14:textId="77777777" w:rsidR="005A536A" w:rsidRPr="005A536A" w:rsidRDefault="005A536A" w:rsidP="005A536A">
            <w:pPr>
              <w:jc w:val="center"/>
              <w:rPr>
                <w:rFonts w:ascii="Calibri" w:hAnsi="Calibri"/>
                <w:color w:val="000000"/>
              </w:rPr>
            </w:pPr>
            <w:r w:rsidRPr="005A536A">
              <w:rPr>
                <w:rFonts w:ascii="Calibri" w:hAnsi="Calibri"/>
                <w:color w:val="000000"/>
              </w:rPr>
              <w:t>150</w:t>
            </w:r>
          </w:p>
        </w:tc>
        <w:tc>
          <w:tcPr>
            <w:tcW w:w="944" w:type="dxa"/>
            <w:tcBorders>
              <w:top w:val="nil"/>
              <w:left w:val="nil"/>
              <w:bottom w:val="single" w:sz="4" w:space="0" w:color="auto"/>
              <w:right w:val="single" w:sz="4" w:space="0" w:color="auto"/>
            </w:tcBorders>
            <w:shd w:val="clear" w:color="auto" w:fill="auto"/>
            <w:noWrap/>
            <w:vAlign w:val="bottom"/>
            <w:hideMark/>
          </w:tcPr>
          <w:p w14:paraId="02EB93E6" w14:textId="77777777" w:rsidR="005A536A" w:rsidRPr="005A536A" w:rsidRDefault="005A536A" w:rsidP="005A536A">
            <w:pPr>
              <w:jc w:val="center"/>
              <w:rPr>
                <w:rFonts w:ascii="Calibri" w:hAnsi="Calibri"/>
                <w:color w:val="000000"/>
              </w:rPr>
            </w:pPr>
            <w:r w:rsidRPr="005A536A">
              <w:rPr>
                <w:rFonts w:ascii="Calibri" w:hAnsi="Calibri"/>
                <w:color w:val="000000"/>
              </w:rPr>
              <w:t>27</w:t>
            </w:r>
          </w:p>
        </w:tc>
        <w:tc>
          <w:tcPr>
            <w:tcW w:w="646" w:type="dxa"/>
            <w:tcBorders>
              <w:top w:val="nil"/>
              <w:left w:val="nil"/>
              <w:bottom w:val="single" w:sz="4" w:space="0" w:color="auto"/>
              <w:right w:val="single" w:sz="4" w:space="0" w:color="auto"/>
            </w:tcBorders>
            <w:shd w:val="clear" w:color="auto" w:fill="auto"/>
            <w:noWrap/>
            <w:vAlign w:val="bottom"/>
            <w:hideMark/>
          </w:tcPr>
          <w:p w14:paraId="2295812C" w14:textId="77777777" w:rsidR="005A536A" w:rsidRPr="005A536A" w:rsidRDefault="005A536A" w:rsidP="005A536A">
            <w:pPr>
              <w:jc w:val="center"/>
              <w:rPr>
                <w:rFonts w:ascii="Calibri" w:hAnsi="Calibri"/>
                <w:color w:val="000000"/>
              </w:rPr>
            </w:pPr>
            <w:r w:rsidRPr="005A536A">
              <w:rPr>
                <w:rFonts w:ascii="Calibri" w:hAnsi="Calibri"/>
                <w:color w:val="000000"/>
              </w:rPr>
              <w:t>1</w:t>
            </w:r>
          </w:p>
        </w:tc>
        <w:tc>
          <w:tcPr>
            <w:tcW w:w="646" w:type="dxa"/>
            <w:tcBorders>
              <w:top w:val="nil"/>
              <w:left w:val="nil"/>
              <w:bottom w:val="single" w:sz="4" w:space="0" w:color="auto"/>
              <w:right w:val="single" w:sz="4" w:space="0" w:color="auto"/>
            </w:tcBorders>
            <w:shd w:val="clear" w:color="auto" w:fill="auto"/>
            <w:noWrap/>
            <w:vAlign w:val="bottom"/>
            <w:hideMark/>
          </w:tcPr>
          <w:p w14:paraId="5C894BAD"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734" w:type="dxa"/>
            <w:tcBorders>
              <w:top w:val="nil"/>
              <w:left w:val="nil"/>
              <w:bottom w:val="single" w:sz="4" w:space="0" w:color="auto"/>
              <w:right w:val="single" w:sz="4" w:space="0" w:color="auto"/>
            </w:tcBorders>
            <w:shd w:val="clear" w:color="auto" w:fill="auto"/>
            <w:noWrap/>
            <w:vAlign w:val="bottom"/>
            <w:hideMark/>
          </w:tcPr>
          <w:p w14:paraId="1A2922C3"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895" w:type="dxa"/>
            <w:tcBorders>
              <w:top w:val="nil"/>
              <w:left w:val="nil"/>
              <w:bottom w:val="single" w:sz="4" w:space="0" w:color="auto"/>
              <w:right w:val="single" w:sz="4" w:space="0" w:color="auto"/>
            </w:tcBorders>
            <w:shd w:val="clear" w:color="auto" w:fill="auto"/>
            <w:noWrap/>
            <w:vAlign w:val="bottom"/>
            <w:hideMark/>
          </w:tcPr>
          <w:p w14:paraId="3727506F" w14:textId="77777777" w:rsidR="005A536A" w:rsidRPr="005A536A" w:rsidRDefault="005A536A" w:rsidP="005A536A">
            <w:pPr>
              <w:jc w:val="center"/>
              <w:rPr>
                <w:rFonts w:ascii="Calibri" w:hAnsi="Calibri"/>
                <w:b/>
                <w:bCs/>
                <w:color w:val="000000"/>
              </w:rPr>
            </w:pPr>
            <w:r w:rsidRPr="005A536A">
              <w:rPr>
                <w:rFonts w:ascii="Calibri" w:hAnsi="Calibri"/>
                <w:b/>
                <w:bCs/>
                <w:color w:val="000000"/>
              </w:rPr>
              <w:t>178</w:t>
            </w:r>
          </w:p>
        </w:tc>
      </w:tr>
      <w:tr w:rsidR="005A536A" w:rsidRPr="005A536A" w14:paraId="257BE69D"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552566B6" w14:textId="77777777" w:rsidR="005A536A" w:rsidRPr="005A536A" w:rsidRDefault="005A536A" w:rsidP="005A536A">
            <w:pPr>
              <w:jc w:val="center"/>
              <w:rPr>
                <w:rFonts w:ascii="Calibri" w:hAnsi="Calibri"/>
                <w:b/>
                <w:bCs/>
                <w:color w:val="000000"/>
              </w:rPr>
            </w:pPr>
            <w:r w:rsidRPr="005A536A">
              <w:rPr>
                <w:rFonts w:ascii="Calibri" w:hAnsi="Calibri"/>
                <w:b/>
                <w:bCs/>
                <w:color w:val="000000"/>
              </w:rPr>
              <w:t>2</w:t>
            </w:r>
          </w:p>
        </w:tc>
        <w:tc>
          <w:tcPr>
            <w:tcW w:w="1170" w:type="dxa"/>
            <w:tcBorders>
              <w:top w:val="nil"/>
              <w:left w:val="nil"/>
              <w:bottom w:val="single" w:sz="4" w:space="0" w:color="auto"/>
              <w:right w:val="single" w:sz="4" w:space="0" w:color="auto"/>
            </w:tcBorders>
            <w:shd w:val="clear" w:color="auto" w:fill="auto"/>
            <w:noWrap/>
            <w:vAlign w:val="bottom"/>
            <w:hideMark/>
          </w:tcPr>
          <w:p w14:paraId="16E22E8F" w14:textId="77777777" w:rsidR="005A536A" w:rsidRPr="005A536A" w:rsidRDefault="005A536A" w:rsidP="005A536A">
            <w:pPr>
              <w:jc w:val="center"/>
              <w:rPr>
                <w:rFonts w:ascii="Calibri" w:hAnsi="Calibri"/>
                <w:color w:val="000000"/>
              </w:rPr>
            </w:pPr>
            <w:r w:rsidRPr="005A536A">
              <w:rPr>
                <w:rFonts w:ascii="Calibri" w:hAnsi="Calibri"/>
                <w:color w:val="000000"/>
              </w:rPr>
              <w:t>8</w:t>
            </w:r>
          </w:p>
        </w:tc>
        <w:tc>
          <w:tcPr>
            <w:tcW w:w="944" w:type="dxa"/>
            <w:tcBorders>
              <w:top w:val="nil"/>
              <w:left w:val="nil"/>
              <w:bottom w:val="single" w:sz="4" w:space="0" w:color="auto"/>
              <w:right w:val="single" w:sz="4" w:space="0" w:color="auto"/>
            </w:tcBorders>
            <w:shd w:val="clear" w:color="auto" w:fill="auto"/>
            <w:noWrap/>
            <w:vAlign w:val="bottom"/>
            <w:hideMark/>
          </w:tcPr>
          <w:p w14:paraId="7E20E0A3" w14:textId="77777777" w:rsidR="005A536A" w:rsidRPr="005A536A" w:rsidRDefault="005A536A" w:rsidP="005A536A">
            <w:pPr>
              <w:jc w:val="center"/>
              <w:rPr>
                <w:rFonts w:ascii="Calibri" w:hAnsi="Calibri"/>
                <w:color w:val="000000"/>
              </w:rPr>
            </w:pPr>
            <w:r w:rsidRPr="005A536A">
              <w:rPr>
                <w:rFonts w:ascii="Calibri" w:hAnsi="Calibri"/>
                <w:color w:val="000000"/>
              </w:rPr>
              <w:t>25</w:t>
            </w:r>
          </w:p>
        </w:tc>
        <w:tc>
          <w:tcPr>
            <w:tcW w:w="646" w:type="dxa"/>
            <w:tcBorders>
              <w:top w:val="nil"/>
              <w:left w:val="nil"/>
              <w:bottom w:val="single" w:sz="4" w:space="0" w:color="auto"/>
              <w:right w:val="single" w:sz="4" w:space="0" w:color="auto"/>
            </w:tcBorders>
            <w:shd w:val="clear" w:color="auto" w:fill="auto"/>
            <w:noWrap/>
            <w:vAlign w:val="bottom"/>
            <w:hideMark/>
          </w:tcPr>
          <w:p w14:paraId="4E56D25D" w14:textId="77777777" w:rsidR="005A536A" w:rsidRPr="005A536A" w:rsidRDefault="005A536A" w:rsidP="005A536A">
            <w:pPr>
              <w:jc w:val="center"/>
              <w:rPr>
                <w:rFonts w:ascii="Calibri" w:hAnsi="Calibri"/>
                <w:color w:val="000000"/>
              </w:rPr>
            </w:pPr>
            <w:r w:rsidRPr="005A536A">
              <w:rPr>
                <w:rFonts w:ascii="Calibri" w:hAnsi="Calibri"/>
                <w:color w:val="000000"/>
              </w:rPr>
              <w:t>7</w:t>
            </w:r>
          </w:p>
        </w:tc>
        <w:tc>
          <w:tcPr>
            <w:tcW w:w="646" w:type="dxa"/>
            <w:tcBorders>
              <w:top w:val="nil"/>
              <w:left w:val="nil"/>
              <w:bottom w:val="single" w:sz="4" w:space="0" w:color="auto"/>
              <w:right w:val="single" w:sz="4" w:space="0" w:color="auto"/>
            </w:tcBorders>
            <w:shd w:val="clear" w:color="auto" w:fill="auto"/>
            <w:noWrap/>
            <w:vAlign w:val="bottom"/>
            <w:hideMark/>
          </w:tcPr>
          <w:p w14:paraId="73D10B14" w14:textId="77777777" w:rsidR="005A536A" w:rsidRPr="005A536A" w:rsidRDefault="005A536A" w:rsidP="005A536A">
            <w:pPr>
              <w:jc w:val="center"/>
              <w:rPr>
                <w:rFonts w:ascii="Calibri" w:hAnsi="Calibri"/>
                <w:color w:val="000000"/>
              </w:rPr>
            </w:pPr>
            <w:r w:rsidRPr="005A536A">
              <w:rPr>
                <w:rFonts w:ascii="Calibri" w:hAnsi="Calibri"/>
                <w:color w:val="000000"/>
              </w:rPr>
              <w:t>3</w:t>
            </w:r>
          </w:p>
        </w:tc>
        <w:tc>
          <w:tcPr>
            <w:tcW w:w="734" w:type="dxa"/>
            <w:tcBorders>
              <w:top w:val="nil"/>
              <w:left w:val="nil"/>
              <w:bottom w:val="single" w:sz="4" w:space="0" w:color="auto"/>
              <w:right w:val="single" w:sz="4" w:space="0" w:color="auto"/>
            </w:tcBorders>
            <w:shd w:val="clear" w:color="auto" w:fill="auto"/>
            <w:noWrap/>
            <w:vAlign w:val="bottom"/>
            <w:hideMark/>
          </w:tcPr>
          <w:p w14:paraId="35A3018A"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895" w:type="dxa"/>
            <w:tcBorders>
              <w:top w:val="nil"/>
              <w:left w:val="nil"/>
              <w:bottom w:val="single" w:sz="4" w:space="0" w:color="auto"/>
              <w:right w:val="single" w:sz="4" w:space="0" w:color="auto"/>
            </w:tcBorders>
            <w:shd w:val="clear" w:color="auto" w:fill="auto"/>
            <w:noWrap/>
            <w:vAlign w:val="bottom"/>
            <w:hideMark/>
          </w:tcPr>
          <w:p w14:paraId="497EEDF7" w14:textId="77777777" w:rsidR="005A536A" w:rsidRPr="005A536A" w:rsidRDefault="005A536A" w:rsidP="005A536A">
            <w:pPr>
              <w:jc w:val="center"/>
              <w:rPr>
                <w:rFonts w:ascii="Calibri" w:hAnsi="Calibri"/>
                <w:b/>
                <w:bCs/>
                <w:color w:val="000000"/>
              </w:rPr>
            </w:pPr>
            <w:r w:rsidRPr="005A536A">
              <w:rPr>
                <w:rFonts w:ascii="Calibri" w:hAnsi="Calibri"/>
                <w:b/>
                <w:bCs/>
                <w:color w:val="000000"/>
              </w:rPr>
              <w:t>43</w:t>
            </w:r>
          </w:p>
        </w:tc>
      </w:tr>
      <w:tr w:rsidR="005A536A" w:rsidRPr="005A536A" w14:paraId="3A82D34F"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1D4ACC42" w14:textId="77777777" w:rsidR="005A536A" w:rsidRPr="005A536A" w:rsidRDefault="005A536A" w:rsidP="005A536A">
            <w:pPr>
              <w:jc w:val="center"/>
              <w:rPr>
                <w:rFonts w:ascii="Calibri" w:hAnsi="Calibri"/>
                <w:b/>
                <w:bCs/>
                <w:color w:val="000000"/>
              </w:rPr>
            </w:pPr>
            <w:r w:rsidRPr="005A536A">
              <w:rPr>
                <w:rFonts w:ascii="Calibri" w:hAnsi="Calibri"/>
                <w:b/>
                <w:bCs/>
                <w:color w:val="000000"/>
              </w:rPr>
              <w:t>3</w:t>
            </w:r>
          </w:p>
        </w:tc>
        <w:tc>
          <w:tcPr>
            <w:tcW w:w="1170" w:type="dxa"/>
            <w:tcBorders>
              <w:top w:val="nil"/>
              <w:left w:val="nil"/>
              <w:bottom w:val="single" w:sz="4" w:space="0" w:color="auto"/>
              <w:right w:val="single" w:sz="4" w:space="0" w:color="auto"/>
            </w:tcBorders>
            <w:shd w:val="clear" w:color="auto" w:fill="auto"/>
            <w:noWrap/>
            <w:vAlign w:val="bottom"/>
            <w:hideMark/>
          </w:tcPr>
          <w:p w14:paraId="598AD4CB" w14:textId="77777777" w:rsidR="005A536A" w:rsidRPr="005A536A" w:rsidRDefault="005A536A" w:rsidP="005A536A">
            <w:pPr>
              <w:jc w:val="center"/>
              <w:rPr>
                <w:rFonts w:ascii="Calibri" w:hAnsi="Calibri"/>
                <w:color w:val="000000"/>
              </w:rPr>
            </w:pPr>
            <w:r w:rsidRPr="005A536A">
              <w:rPr>
                <w:rFonts w:ascii="Calibri" w:hAnsi="Calibri"/>
                <w:color w:val="000000"/>
              </w:rPr>
              <w:t>1</w:t>
            </w:r>
          </w:p>
        </w:tc>
        <w:tc>
          <w:tcPr>
            <w:tcW w:w="944" w:type="dxa"/>
            <w:tcBorders>
              <w:top w:val="nil"/>
              <w:left w:val="nil"/>
              <w:bottom w:val="single" w:sz="4" w:space="0" w:color="auto"/>
              <w:right w:val="single" w:sz="4" w:space="0" w:color="auto"/>
            </w:tcBorders>
            <w:shd w:val="clear" w:color="auto" w:fill="auto"/>
            <w:noWrap/>
            <w:vAlign w:val="bottom"/>
            <w:hideMark/>
          </w:tcPr>
          <w:p w14:paraId="3E126143" w14:textId="77777777" w:rsidR="005A536A" w:rsidRPr="005A536A" w:rsidRDefault="005A536A" w:rsidP="005A536A">
            <w:pPr>
              <w:jc w:val="center"/>
              <w:rPr>
                <w:rFonts w:ascii="Calibri" w:hAnsi="Calibri"/>
                <w:color w:val="000000"/>
              </w:rPr>
            </w:pPr>
            <w:r w:rsidRPr="005A536A">
              <w:rPr>
                <w:rFonts w:ascii="Calibri" w:hAnsi="Calibri"/>
                <w:color w:val="000000"/>
              </w:rPr>
              <w:t>7</w:t>
            </w:r>
          </w:p>
        </w:tc>
        <w:tc>
          <w:tcPr>
            <w:tcW w:w="646" w:type="dxa"/>
            <w:tcBorders>
              <w:top w:val="nil"/>
              <w:left w:val="nil"/>
              <w:bottom w:val="single" w:sz="4" w:space="0" w:color="auto"/>
              <w:right w:val="single" w:sz="4" w:space="0" w:color="auto"/>
            </w:tcBorders>
            <w:shd w:val="clear" w:color="auto" w:fill="auto"/>
            <w:noWrap/>
            <w:vAlign w:val="bottom"/>
            <w:hideMark/>
          </w:tcPr>
          <w:p w14:paraId="622A284C" w14:textId="77777777" w:rsidR="005A536A" w:rsidRPr="005A536A" w:rsidRDefault="005A536A" w:rsidP="005A536A">
            <w:pPr>
              <w:jc w:val="center"/>
              <w:rPr>
                <w:rFonts w:ascii="Calibri" w:hAnsi="Calibri"/>
                <w:color w:val="000000"/>
              </w:rPr>
            </w:pPr>
            <w:r w:rsidRPr="005A536A">
              <w:rPr>
                <w:rFonts w:ascii="Calibri" w:hAnsi="Calibri"/>
                <w:color w:val="000000"/>
              </w:rPr>
              <w:t>19</w:t>
            </w:r>
          </w:p>
        </w:tc>
        <w:tc>
          <w:tcPr>
            <w:tcW w:w="646" w:type="dxa"/>
            <w:tcBorders>
              <w:top w:val="nil"/>
              <w:left w:val="nil"/>
              <w:bottom w:val="single" w:sz="4" w:space="0" w:color="auto"/>
              <w:right w:val="single" w:sz="4" w:space="0" w:color="auto"/>
            </w:tcBorders>
            <w:shd w:val="clear" w:color="auto" w:fill="auto"/>
            <w:noWrap/>
            <w:vAlign w:val="bottom"/>
            <w:hideMark/>
          </w:tcPr>
          <w:p w14:paraId="0658C71A" w14:textId="77777777" w:rsidR="005A536A" w:rsidRPr="005A536A" w:rsidRDefault="005A536A" w:rsidP="005A536A">
            <w:pPr>
              <w:jc w:val="center"/>
              <w:rPr>
                <w:rFonts w:ascii="Calibri" w:hAnsi="Calibri"/>
                <w:color w:val="000000"/>
              </w:rPr>
            </w:pPr>
            <w:r w:rsidRPr="005A536A">
              <w:rPr>
                <w:rFonts w:ascii="Calibri" w:hAnsi="Calibri"/>
                <w:color w:val="000000"/>
              </w:rPr>
              <w:t>4</w:t>
            </w:r>
          </w:p>
        </w:tc>
        <w:tc>
          <w:tcPr>
            <w:tcW w:w="734" w:type="dxa"/>
            <w:tcBorders>
              <w:top w:val="nil"/>
              <w:left w:val="nil"/>
              <w:bottom w:val="single" w:sz="4" w:space="0" w:color="auto"/>
              <w:right w:val="single" w:sz="4" w:space="0" w:color="auto"/>
            </w:tcBorders>
            <w:shd w:val="clear" w:color="auto" w:fill="auto"/>
            <w:noWrap/>
            <w:vAlign w:val="bottom"/>
            <w:hideMark/>
          </w:tcPr>
          <w:p w14:paraId="16DADB9B" w14:textId="77777777" w:rsidR="005A536A" w:rsidRPr="005A536A" w:rsidRDefault="005A536A" w:rsidP="005A536A">
            <w:pPr>
              <w:jc w:val="center"/>
              <w:rPr>
                <w:rFonts w:ascii="Calibri" w:hAnsi="Calibri"/>
                <w:color w:val="000000"/>
              </w:rPr>
            </w:pPr>
            <w:r w:rsidRPr="005A536A">
              <w:rPr>
                <w:rFonts w:ascii="Calibri" w:hAnsi="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14:paraId="652794C2" w14:textId="77777777" w:rsidR="005A536A" w:rsidRPr="005A536A" w:rsidRDefault="005A536A" w:rsidP="005A536A">
            <w:pPr>
              <w:jc w:val="center"/>
              <w:rPr>
                <w:rFonts w:ascii="Calibri" w:hAnsi="Calibri"/>
                <w:b/>
                <w:bCs/>
                <w:color w:val="000000"/>
              </w:rPr>
            </w:pPr>
            <w:r w:rsidRPr="005A536A">
              <w:rPr>
                <w:rFonts w:ascii="Calibri" w:hAnsi="Calibri"/>
                <w:b/>
                <w:bCs/>
                <w:color w:val="000000"/>
              </w:rPr>
              <w:t>32</w:t>
            </w:r>
          </w:p>
        </w:tc>
      </w:tr>
      <w:tr w:rsidR="005A536A" w:rsidRPr="005A536A" w14:paraId="0BA032F5"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47F148B4" w14:textId="77777777" w:rsidR="005A536A" w:rsidRPr="005A536A" w:rsidRDefault="005A536A" w:rsidP="005A536A">
            <w:pPr>
              <w:jc w:val="center"/>
              <w:rPr>
                <w:rFonts w:ascii="Calibri" w:hAnsi="Calibri"/>
                <w:b/>
                <w:bCs/>
                <w:color w:val="000000"/>
              </w:rPr>
            </w:pPr>
            <w:r w:rsidRPr="005A536A">
              <w:rPr>
                <w:rFonts w:ascii="Calibri" w:hAnsi="Calibri"/>
                <w:b/>
                <w:bCs/>
                <w:color w:val="000000"/>
              </w:rPr>
              <w:t>4</w:t>
            </w:r>
          </w:p>
        </w:tc>
        <w:tc>
          <w:tcPr>
            <w:tcW w:w="1170" w:type="dxa"/>
            <w:tcBorders>
              <w:top w:val="nil"/>
              <w:left w:val="nil"/>
              <w:bottom w:val="single" w:sz="4" w:space="0" w:color="auto"/>
              <w:right w:val="single" w:sz="4" w:space="0" w:color="auto"/>
            </w:tcBorders>
            <w:shd w:val="clear" w:color="auto" w:fill="auto"/>
            <w:noWrap/>
            <w:vAlign w:val="bottom"/>
            <w:hideMark/>
          </w:tcPr>
          <w:p w14:paraId="0E7EF46A"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14:paraId="377343E0" w14:textId="77777777" w:rsidR="005A536A" w:rsidRPr="005A536A" w:rsidRDefault="005A536A" w:rsidP="005A536A">
            <w:pPr>
              <w:jc w:val="center"/>
              <w:rPr>
                <w:rFonts w:ascii="Calibri" w:hAnsi="Calibri"/>
                <w:color w:val="000000"/>
              </w:rPr>
            </w:pPr>
            <w:r w:rsidRPr="005A536A">
              <w:rPr>
                <w:rFonts w:ascii="Calibri" w:hAnsi="Calibri"/>
                <w:color w:val="000000"/>
              </w:rPr>
              <w:t>1</w:t>
            </w:r>
          </w:p>
        </w:tc>
        <w:tc>
          <w:tcPr>
            <w:tcW w:w="646" w:type="dxa"/>
            <w:tcBorders>
              <w:top w:val="nil"/>
              <w:left w:val="nil"/>
              <w:bottom w:val="single" w:sz="4" w:space="0" w:color="auto"/>
              <w:right w:val="single" w:sz="4" w:space="0" w:color="auto"/>
            </w:tcBorders>
            <w:shd w:val="clear" w:color="auto" w:fill="auto"/>
            <w:noWrap/>
            <w:vAlign w:val="bottom"/>
            <w:hideMark/>
          </w:tcPr>
          <w:p w14:paraId="5BFFB925" w14:textId="77777777" w:rsidR="005A536A" w:rsidRPr="005A536A" w:rsidRDefault="005A536A" w:rsidP="005A536A">
            <w:pPr>
              <w:jc w:val="center"/>
              <w:rPr>
                <w:rFonts w:ascii="Calibri" w:hAnsi="Calibri"/>
                <w:color w:val="000000"/>
              </w:rPr>
            </w:pPr>
            <w:r w:rsidRPr="005A536A">
              <w:rPr>
                <w:rFonts w:ascii="Calibri" w:hAnsi="Calibri"/>
                <w:color w:val="000000"/>
              </w:rPr>
              <w:t>4</w:t>
            </w:r>
          </w:p>
        </w:tc>
        <w:tc>
          <w:tcPr>
            <w:tcW w:w="646" w:type="dxa"/>
            <w:tcBorders>
              <w:top w:val="nil"/>
              <w:left w:val="nil"/>
              <w:bottom w:val="single" w:sz="4" w:space="0" w:color="auto"/>
              <w:right w:val="single" w:sz="4" w:space="0" w:color="auto"/>
            </w:tcBorders>
            <w:shd w:val="clear" w:color="auto" w:fill="auto"/>
            <w:noWrap/>
            <w:vAlign w:val="bottom"/>
            <w:hideMark/>
          </w:tcPr>
          <w:p w14:paraId="7C6EB94C" w14:textId="77777777" w:rsidR="005A536A" w:rsidRPr="005A536A" w:rsidRDefault="005A536A" w:rsidP="005A536A">
            <w:pPr>
              <w:jc w:val="center"/>
              <w:rPr>
                <w:rFonts w:ascii="Calibri" w:hAnsi="Calibri"/>
                <w:color w:val="000000"/>
              </w:rPr>
            </w:pPr>
            <w:r w:rsidRPr="005A536A">
              <w:rPr>
                <w:rFonts w:ascii="Calibri" w:hAnsi="Calibri"/>
                <w:color w:val="000000"/>
              </w:rPr>
              <w:t>12</w:t>
            </w:r>
          </w:p>
        </w:tc>
        <w:tc>
          <w:tcPr>
            <w:tcW w:w="734" w:type="dxa"/>
            <w:tcBorders>
              <w:top w:val="nil"/>
              <w:left w:val="nil"/>
              <w:bottom w:val="single" w:sz="4" w:space="0" w:color="auto"/>
              <w:right w:val="single" w:sz="4" w:space="0" w:color="auto"/>
            </w:tcBorders>
            <w:shd w:val="clear" w:color="auto" w:fill="auto"/>
            <w:noWrap/>
            <w:vAlign w:val="bottom"/>
            <w:hideMark/>
          </w:tcPr>
          <w:p w14:paraId="3EC7984A" w14:textId="77777777" w:rsidR="005A536A" w:rsidRPr="005A536A" w:rsidRDefault="005A536A" w:rsidP="005A536A">
            <w:pPr>
              <w:jc w:val="center"/>
              <w:rPr>
                <w:rFonts w:ascii="Calibri" w:hAnsi="Calibri"/>
                <w:color w:val="000000"/>
              </w:rPr>
            </w:pPr>
            <w:r w:rsidRPr="005A536A">
              <w:rPr>
                <w:rFonts w:ascii="Calibri" w:hAnsi="Calibri"/>
                <w:color w:val="000000"/>
              </w:rPr>
              <w:t>8</w:t>
            </w:r>
          </w:p>
        </w:tc>
        <w:tc>
          <w:tcPr>
            <w:tcW w:w="895" w:type="dxa"/>
            <w:tcBorders>
              <w:top w:val="nil"/>
              <w:left w:val="nil"/>
              <w:bottom w:val="single" w:sz="4" w:space="0" w:color="auto"/>
              <w:right w:val="single" w:sz="4" w:space="0" w:color="auto"/>
            </w:tcBorders>
            <w:shd w:val="clear" w:color="auto" w:fill="auto"/>
            <w:noWrap/>
            <w:vAlign w:val="bottom"/>
            <w:hideMark/>
          </w:tcPr>
          <w:p w14:paraId="0A2A1625" w14:textId="77777777" w:rsidR="005A536A" w:rsidRPr="005A536A" w:rsidRDefault="005A536A" w:rsidP="005A536A">
            <w:pPr>
              <w:jc w:val="center"/>
              <w:rPr>
                <w:rFonts w:ascii="Calibri" w:hAnsi="Calibri"/>
                <w:b/>
                <w:bCs/>
                <w:color w:val="000000"/>
              </w:rPr>
            </w:pPr>
            <w:r w:rsidRPr="005A536A">
              <w:rPr>
                <w:rFonts w:ascii="Calibri" w:hAnsi="Calibri"/>
                <w:b/>
                <w:bCs/>
                <w:color w:val="000000"/>
              </w:rPr>
              <w:t>25</w:t>
            </w:r>
          </w:p>
        </w:tc>
      </w:tr>
      <w:tr w:rsidR="005A536A" w:rsidRPr="005A536A" w14:paraId="6BA6F92E"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1BCF863F" w14:textId="77777777" w:rsidR="005A536A" w:rsidRPr="005A536A" w:rsidRDefault="005A536A" w:rsidP="005A536A">
            <w:pPr>
              <w:jc w:val="center"/>
              <w:rPr>
                <w:rFonts w:ascii="Calibri" w:hAnsi="Calibri"/>
                <w:b/>
                <w:bCs/>
                <w:color w:val="000000"/>
              </w:rPr>
            </w:pPr>
            <w:r w:rsidRPr="005A536A">
              <w:rPr>
                <w:rFonts w:ascii="Calibri" w:hAnsi="Calibri"/>
                <w:b/>
                <w:bCs/>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14:paraId="035DDCEE"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14:paraId="42F15939"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646" w:type="dxa"/>
            <w:tcBorders>
              <w:top w:val="nil"/>
              <w:left w:val="nil"/>
              <w:bottom w:val="single" w:sz="4" w:space="0" w:color="auto"/>
              <w:right w:val="single" w:sz="4" w:space="0" w:color="auto"/>
            </w:tcBorders>
            <w:shd w:val="clear" w:color="auto" w:fill="auto"/>
            <w:noWrap/>
            <w:vAlign w:val="bottom"/>
            <w:hideMark/>
          </w:tcPr>
          <w:p w14:paraId="3FF8B37A"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646" w:type="dxa"/>
            <w:tcBorders>
              <w:top w:val="nil"/>
              <w:left w:val="nil"/>
              <w:bottom w:val="single" w:sz="4" w:space="0" w:color="auto"/>
              <w:right w:val="single" w:sz="4" w:space="0" w:color="auto"/>
            </w:tcBorders>
            <w:shd w:val="clear" w:color="auto" w:fill="auto"/>
            <w:noWrap/>
            <w:vAlign w:val="bottom"/>
            <w:hideMark/>
          </w:tcPr>
          <w:p w14:paraId="430A2C02" w14:textId="77777777" w:rsidR="005A536A" w:rsidRPr="005A536A" w:rsidRDefault="005A536A" w:rsidP="005A536A">
            <w:pPr>
              <w:jc w:val="center"/>
              <w:rPr>
                <w:rFonts w:ascii="Calibri" w:hAnsi="Calibri"/>
                <w:color w:val="000000"/>
              </w:rPr>
            </w:pPr>
            <w:r w:rsidRPr="005A536A">
              <w:rPr>
                <w:rFonts w:ascii="Calibri" w:hAnsi="Calibri"/>
                <w:color w:val="000000"/>
              </w:rPr>
              <w:t>4</w:t>
            </w:r>
          </w:p>
        </w:tc>
        <w:tc>
          <w:tcPr>
            <w:tcW w:w="734" w:type="dxa"/>
            <w:tcBorders>
              <w:top w:val="nil"/>
              <w:left w:val="nil"/>
              <w:bottom w:val="single" w:sz="4" w:space="0" w:color="auto"/>
              <w:right w:val="single" w:sz="4" w:space="0" w:color="auto"/>
            </w:tcBorders>
            <w:shd w:val="clear" w:color="auto" w:fill="auto"/>
            <w:noWrap/>
            <w:vAlign w:val="bottom"/>
            <w:hideMark/>
          </w:tcPr>
          <w:p w14:paraId="784716A6" w14:textId="77777777" w:rsidR="005A536A" w:rsidRPr="005A536A" w:rsidRDefault="005A536A" w:rsidP="005A536A">
            <w:pPr>
              <w:jc w:val="center"/>
              <w:rPr>
                <w:rFonts w:ascii="Calibri" w:hAnsi="Calibri"/>
                <w:color w:val="000000"/>
              </w:rPr>
            </w:pPr>
            <w:r w:rsidRPr="005A536A">
              <w:rPr>
                <w:rFonts w:ascii="Calibri" w:hAnsi="Calibri"/>
                <w:color w:val="000000"/>
              </w:rPr>
              <w:t>0</w:t>
            </w:r>
          </w:p>
        </w:tc>
        <w:tc>
          <w:tcPr>
            <w:tcW w:w="895" w:type="dxa"/>
            <w:tcBorders>
              <w:top w:val="nil"/>
              <w:left w:val="nil"/>
              <w:bottom w:val="single" w:sz="4" w:space="0" w:color="auto"/>
              <w:right w:val="single" w:sz="4" w:space="0" w:color="auto"/>
            </w:tcBorders>
            <w:shd w:val="clear" w:color="auto" w:fill="auto"/>
            <w:noWrap/>
            <w:vAlign w:val="bottom"/>
            <w:hideMark/>
          </w:tcPr>
          <w:p w14:paraId="5A3CDAE9" w14:textId="77777777" w:rsidR="005A536A" w:rsidRPr="005A536A" w:rsidRDefault="005A536A" w:rsidP="005A536A">
            <w:pPr>
              <w:jc w:val="center"/>
              <w:rPr>
                <w:rFonts w:ascii="Calibri" w:hAnsi="Calibri"/>
                <w:b/>
                <w:bCs/>
                <w:color w:val="000000"/>
              </w:rPr>
            </w:pPr>
            <w:r w:rsidRPr="005A536A">
              <w:rPr>
                <w:rFonts w:ascii="Calibri" w:hAnsi="Calibri"/>
                <w:b/>
                <w:bCs/>
                <w:color w:val="000000"/>
              </w:rPr>
              <w:t>4</w:t>
            </w:r>
          </w:p>
        </w:tc>
      </w:tr>
      <w:tr w:rsidR="005A536A" w:rsidRPr="005A536A" w14:paraId="696153B6" w14:textId="77777777" w:rsidTr="005A536A">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7FB2400F" w14:textId="77777777" w:rsidR="005A536A" w:rsidRPr="005A536A" w:rsidRDefault="005A536A" w:rsidP="005A536A">
            <w:pPr>
              <w:jc w:val="center"/>
              <w:rPr>
                <w:rFonts w:ascii="Calibri" w:hAnsi="Calibri"/>
                <w:b/>
                <w:bCs/>
                <w:color w:val="000000"/>
              </w:rPr>
            </w:pPr>
            <w:r w:rsidRPr="005A536A">
              <w:rPr>
                <w:rFonts w:ascii="Calibri" w:hAnsi="Calibri"/>
                <w:b/>
                <w:bCs/>
                <w:color w:val="000000"/>
              </w:rPr>
              <w:t>Total</w:t>
            </w:r>
          </w:p>
        </w:tc>
        <w:tc>
          <w:tcPr>
            <w:tcW w:w="1170" w:type="dxa"/>
            <w:tcBorders>
              <w:top w:val="nil"/>
              <w:left w:val="nil"/>
              <w:bottom w:val="single" w:sz="4" w:space="0" w:color="auto"/>
              <w:right w:val="single" w:sz="4" w:space="0" w:color="auto"/>
            </w:tcBorders>
            <w:shd w:val="clear" w:color="auto" w:fill="auto"/>
            <w:noWrap/>
            <w:vAlign w:val="bottom"/>
            <w:hideMark/>
          </w:tcPr>
          <w:p w14:paraId="74508472" w14:textId="77777777" w:rsidR="005A536A" w:rsidRPr="005A536A" w:rsidRDefault="005A536A" w:rsidP="005A536A">
            <w:pPr>
              <w:jc w:val="center"/>
              <w:rPr>
                <w:rFonts w:ascii="Calibri" w:hAnsi="Calibri"/>
                <w:b/>
                <w:bCs/>
                <w:color w:val="000000"/>
              </w:rPr>
            </w:pPr>
            <w:r w:rsidRPr="005A536A">
              <w:rPr>
                <w:rFonts w:ascii="Calibri" w:hAnsi="Calibri"/>
                <w:b/>
                <w:bCs/>
                <w:color w:val="000000"/>
              </w:rPr>
              <w:t>159</w:t>
            </w:r>
          </w:p>
        </w:tc>
        <w:tc>
          <w:tcPr>
            <w:tcW w:w="944" w:type="dxa"/>
            <w:tcBorders>
              <w:top w:val="nil"/>
              <w:left w:val="nil"/>
              <w:bottom w:val="single" w:sz="4" w:space="0" w:color="auto"/>
              <w:right w:val="single" w:sz="4" w:space="0" w:color="auto"/>
            </w:tcBorders>
            <w:shd w:val="clear" w:color="auto" w:fill="auto"/>
            <w:noWrap/>
            <w:vAlign w:val="bottom"/>
            <w:hideMark/>
          </w:tcPr>
          <w:p w14:paraId="4FF5F323" w14:textId="77777777" w:rsidR="005A536A" w:rsidRPr="005A536A" w:rsidRDefault="005A536A" w:rsidP="005A536A">
            <w:pPr>
              <w:jc w:val="center"/>
              <w:rPr>
                <w:rFonts w:ascii="Calibri" w:hAnsi="Calibri"/>
                <w:b/>
                <w:bCs/>
                <w:color w:val="000000"/>
              </w:rPr>
            </w:pPr>
            <w:r w:rsidRPr="005A536A">
              <w:rPr>
                <w:rFonts w:ascii="Calibri" w:hAnsi="Calibri"/>
                <w:b/>
                <w:bCs/>
                <w:color w:val="000000"/>
              </w:rPr>
              <w:t>60</w:t>
            </w:r>
          </w:p>
        </w:tc>
        <w:tc>
          <w:tcPr>
            <w:tcW w:w="646" w:type="dxa"/>
            <w:tcBorders>
              <w:top w:val="nil"/>
              <w:left w:val="nil"/>
              <w:bottom w:val="single" w:sz="4" w:space="0" w:color="auto"/>
              <w:right w:val="single" w:sz="4" w:space="0" w:color="auto"/>
            </w:tcBorders>
            <w:shd w:val="clear" w:color="auto" w:fill="auto"/>
            <w:noWrap/>
            <w:vAlign w:val="bottom"/>
            <w:hideMark/>
          </w:tcPr>
          <w:p w14:paraId="297D6AF2" w14:textId="77777777" w:rsidR="005A536A" w:rsidRPr="005A536A" w:rsidRDefault="005A536A" w:rsidP="005A536A">
            <w:pPr>
              <w:jc w:val="center"/>
              <w:rPr>
                <w:rFonts w:ascii="Calibri" w:hAnsi="Calibri"/>
                <w:b/>
                <w:bCs/>
                <w:color w:val="000000"/>
              </w:rPr>
            </w:pPr>
            <w:r w:rsidRPr="005A536A">
              <w:rPr>
                <w:rFonts w:ascii="Calibri" w:hAnsi="Calibri"/>
                <w:b/>
                <w:bCs/>
                <w:color w:val="000000"/>
              </w:rPr>
              <w:t>31</w:t>
            </w:r>
          </w:p>
        </w:tc>
        <w:tc>
          <w:tcPr>
            <w:tcW w:w="646" w:type="dxa"/>
            <w:tcBorders>
              <w:top w:val="nil"/>
              <w:left w:val="nil"/>
              <w:bottom w:val="single" w:sz="4" w:space="0" w:color="auto"/>
              <w:right w:val="single" w:sz="4" w:space="0" w:color="auto"/>
            </w:tcBorders>
            <w:shd w:val="clear" w:color="auto" w:fill="auto"/>
            <w:noWrap/>
            <w:vAlign w:val="bottom"/>
            <w:hideMark/>
          </w:tcPr>
          <w:p w14:paraId="4B7C889A" w14:textId="77777777" w:rsidR="005A536A" w:rsidRPr="005A536A" w:rsidRDefault="005A536A" w:rsidP="005A536A">
            <w:pPr>
              <w:jc w:val="center"/>
              <w:rPr>
                <w:rFonts w:ascii="Calibri" w:hAnsi="Calibri"/>
                <w:b/>
                <w:bCs/>
                <w:color w:val="000000"/>
              </w:rPr>
            </w:pPr>
            <w:r w:rsidRPr="005A536A">
              <w:rPr>
                <w:rFonts w:ascii="Calibri" w:hAnsi="Calibri"/>
                <w:b/>
                <w:bCs/>
                <w:color w:val="000000"/>
              </w:rPr>
              <w:t>23</w:t>
            </w:r>
          </w:p>
        </w:tc>
        <w:tc>
          <w:tcPr>
            <w:tcW w:w="734" w:type="dxa"/>
            <w:tcBorders>
              <w:top w:val="nil"/>
              <w:left w:val="nil"/>
              <w:bottom w:val="single" w:sz="4" w:space="0" w:color="auto"/>
              <w:right w:val="single" w:sz="4" w:space="0" w:color="auto"/>
            </w:tcBorders>
            <w:shd w:val="clear" w:color="auto" w:fill="auto"/>
            <w:noWrap/>
            <w:vAlign w:val="bottom"/>
            <w:hideMark/>
          </w:tcPr>
          <w:p w14:paraId="039148C0" w14:textId="77777777" w:rsidR="005A536A" w:rsidRPr="005A536A" w:rsidRDefault="005A536A" w:rsidP="005A536A">
            <w:pPr>
              <w:jc w:val="center"/>
              <w:rPr>
                <w:rFonts w:ascii="Calibri" w:hAnsi="Calibri"/>
                <w:b/>
                <w:bCs/>
                <w:color w:val="000000"/>
              </w:rPr>
            </w:pPr>
            <w:r w:rsidRPr="005A536A">
              <w:rPr>
                <w:rFonts w:ascii="Calibri" w:hAnsi="Calibri"/>
                <w:b/>
                <w:bCs/>
                <w:color w:val="000000"/>
              </w:rPr>
              <w:t>9</w:t>
            </w:r>
          </w:p>
        </w:tc>
        <w:tc>
          <w:tcPr>
            <w:tcW w:w="895" w:type="dxa"/>
            <w:tcBorders>
              <w:top w:val="nil"/>
              <w:left w:val="nil"/>
              <w:bottom w:val="single" w:sz="4" w:space="0" w:color="auto"/>
              <w:right w:val="single" w:sz="4" w:space="0" w:color="auto"/>
            </w:tcBorders>
            <w:shd w:val="clear" w:color="auto" w:fill="auto"/>
            <w:noWrap/>
            <w:vAlign w:val="bottom"/>
            <w:hideMark/>
          </w:tcPr>
          <w:p w14:paraId="77A0A831" w14:textId="77777777" w:rsidR="005A536A" w:rsidRPr="005A536A" w:rsidRDefault="005A536A" w:rsidP="005A536A">
            <w:pPr>
              <w:jc w:val="center"/>
              <w:rPr>
                <w:rFonts w:ascii="Calibri" w:hAnsi="Calibri"/>
                <w:b/>
                <w:bCs/>
                <w:color w:val="000000"/>
              </w:rPr>
            </w:pPr>
            <w:r w:rsidRPr="005A536A">
              <w:rPr>
                <w:rFonts w:ascii="Calibri" w:hAnsi="Calibri"/>
                <w:b/>
                <w:bCs/>
                <w:color w:val="000000"/>
              </w:rPr>
              <w:t>282</w:t>
            </w:r>
          </w:p>
        </w:tc>
      </w:tr>
    </w:tbl>
    <w:p w14:paraId="55D56D52" w14:textId="77777777" w:rsidR="0048655F" w:rsidRDefault="0048655F" w:rsidP="00003A3D"/>
    <w:p w14:paraId="77CFB475" w14:textId="77777777" w:rsidR="0018500C" w:rsidRPr="005457F2" w:rsidRDefault="0018500C" w:rsidP="00A40860">
      <w:pPr>
        <w:pStyle w:val="Heading5"/>
      </w:pPr>
      <w:r w:rsidRPr="005457F2">
        <w:t>Quadratic weights</w:t>
      </w:r>
    </w:p>
    <w:p w14:paraId="764AEC41" w14:textId="77777777" w:rsidR="0018500C" w:rsidRPr="005457F2" w:rsidRDefault="0018500C" w:rsidP="00A40860">
      <w:pPr>
        <w:pStyle w:val="NormalWeb"/>
      </w:pPr>
      <w:r w:rsidRPr="005457F2">
        <w:t xml:space="preserve">A commonly used alternative to linear weights is quadratic weights. With quadratic weights, the penalty for disagreement at each level, </w:t>
      </w:r>
      <w:r w:rsidR="002F589D">
        <w:rPr>
          <w:noProof/>
          <w:position w:val="-24"/>
          <w:sz w:val="22"/>
          <w:szCs w:val="22"/>
        </w:rPr>
        <w:drawing>
          <wp:inline distT="0" distB="0" distL="0" distR="0" wp14:anchorId="741F110C" wp14:editId="2FA08E71">
            <wp:extent cx="353695" cy="46101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695" cy="461010"/>
                    </a:xfrm>
                    <a:prstGeom prst="rect">
                      <a:avLst/>
                    </a:prstGeom>
                    <a:noFill/>
                    <a:ln>
                      <a:noFill/>
                    </a:ln>
                  </pic:spPr>
                </pic:pic>
              </a:graphicData>
            </a:graphic>
          </wp:inline>
        </w:drawing>
      </w:r>
      <w:r w:rsidRPr="005457F2">
        <w:t>, is squared:</w:t>
      </w:r>
    </w:p>
    <w:tbl>
      <w:tblPr>
        <w:tblW w:w="0" w:type="auto"/>
        <w:tblInd w:w="108" w:type="dxa"/>
        <w:tblLook w:val="04A0" w:firstRow="1" w:lastRow="0" w:firstColumn="1" w:lastColumn="0" w:noHBand="0" w:noVBand="1"/>
      </w:tblPr>
      <w:tblGrid>
        <w:gridCol w:w="6376"/>
        <w:gridCol w:w="2156"/>
      </w:tblGrid>
      <w:tr w:rsidR="0018500C" w:rsidRPr="005457F2" w14:paraId="1E3FABAF" w14:textId="77777777">
        <w:trPr>
          <w:trHeight w:val="827"/>
        </w:trPr>
        <w:tc>
          <w:tcPr>
            <w:tcW w:w="6390" w:type="dxa"/>
            <w:shd w:val="clear" w:color="auto" w:fill="auto"/>
          </w:tcPr>
          <w:p w14:paraId="33566E47" w14:textId="77777777" w:rsidR="0018500C" w:rsidRPr="005457F2" w:rsidRDefault="0018500C" w:rsidP="00A40860">
            <w:pPr>
              <w:pStyle w:val="NormalWeb"/>
            </w:pPr>
            <w:r w:rsidRPr="005457F2">
              <w:t xml:space="preserve">Quadratic Weight for Cell at Row </w:t>
            </w:r>
            <w:proofErr w:type="spellStart"/>
            <w:r w:rsidRPr="005457F2">
              <w:t>i</w:t>
            </w:r>
            <w:proofErr w:type="spellEnd"/>
            <w:r w:rsidRPr="005457F2">
              <w:t xml:space="preserve"> and Column </w:t>
            </w:r>
            <w:r w:rsidR="002F589D">
              <w:rPr>
                <w:noProof/>
                <w:position w:val="-28"/>
              </w:rPr>
              <w:drawing>
                <wp:inline distT="0" distB="0" distL="0" distR="0" wp14:anchorId="6C2381FC" wp14:editId="3D855D9E">
                  <wp:extent cx="960755" cy="46863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755" cy="468630"/>
                          </a:xfrm>
                          <a:prstGeom prst="rect">
                            <a:avLst/>
                          </a:prstGeom>
                          <a:noFill/>
                          <a:ln>
                            <a:noFill/>
                          </a:ln>
                        </pic:spPr>
                      </pic:pic>
                    </a:graphicData>
                  </a:graphic>
                </wp:inline>
              </w:drawing>
            </w:r>
          </w:p>
        </w:tc>
        <w:tc>
          <w:tcPr>
            <w:tcW w:w="2160" w:type="dxa"/>
            <w:shd w:val="clear" w:color="auto" w:fill="auto"/>
          </w:tcPr>
          <w:p w14:paraId="15D16C97" w14:textId="77777777" w:rsidR="0018500C" w:rsidRPr="005457F2" w:rsidRDefault="0018500C" w:rsidP="00A40860">
            <w:pPr>
              <w:pStyle w:val="NormalWeb"/>
              <w:jc w:val="right"/>
            </w:pPr>
            <w:r w:rsidRPr="005457F2">
              <w:t>(</w:t>
            </w:r>
            <w:r>
              <w:t>Eq. 5</w:t>
            </w:r>
            <w:r w:rsidRPr="005457F2">
              <w:t>.3)</w:t>
            </w:r>
          </w:p>
        </w:tc>
      </w:tr>
    </w:tbl>
    <w:p w14:paraId="0BAA0F5A" w14:textId="77777777" w:rsidR="0018500C" w:rsidRPr="005457F2" w:rsidRDefault="0018500C" w:rsidP="00A40860">
      <w:pPr>
        <w:pStyle w:val="NormalWeb"/>
      </w:pPr>
      <w:r w:rsidRPr="005457F2">
        <w:t xml:space="preserve">Because this penalty </w:t>
      </w:r>
      <w:r w:rsidR="002F589D">
        <w:rPr>
          <w:noProof/>
          <w:position w:val="-12"/>
        </w:rPr>
        <w:drawing>
          <wp:inline distT="0" distB="0" distL="0" distR="0" wp14:anchorId="62EBD498" wp14:editId="40655033">
            <wp:extent cx="207645" cy="24574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 cy="245745"/>
                    </a:xfrm>
                    <a:prstGeom prst="rect">
                      <a:avLst/>
                    </a:prstGeom>
                    <a:noFill/>
                    <a:ln>
                      <a:noFill/>
                    </a:ln>
                  </pic:spPr>
                </pic:pic>
              </a:graphicData>
            </a:graphic>
          </wp:inline>
        </w:drawing>
      </w:r>
      <w:r w:rsidRPr="005457F2">
        <w:t xml:space="preserve"> is less than 1, squaring it makes it smaller</w:t>
      </w:r>
      <w:r w:rsidR="009279DC">
        <w:t xml:space="preserve">.  Smaller penalties mean that </w:t>
      </w:r>
      <w:r w:rsidRPr="005457F2">
        <w:t xml:space="preserve">quadratic weights give </w:t>
      </w:r>
      <w:r w:rsidRPr="005457F2">
        <w:rPr>
          <w:i/>
        </w:rPr>
        <w:t>more credit</w:t>
      </w:r>
      <w:r w:rsidRPr="005457F2">
        <w:t xml:space="preserve"> for partial agreement. For example, if there are three categories, the weight for partial agreement is 1 − (1/2)</w:t>
      </w:r>
      <w:r w:rsidRPr="005457F2">
        <w:rPr>
          <w:vertAlign w:val="superscript"/>
        </w:rPr>
        <w:t>2</w:t>
      </w:r>
      <w:r w:rsidRPr="005457F2">
        <w:t xml:space="preserve"> = 0.75, rather than 0.5; if there are four categories, the weight for being off by one category is 1 − (1/3)</w:t>
      </w:r>
      <w:r w:rsidRPr="005457F2">
        <w:rPr>
          <w:vertAlign w:val="superscript"/>
        </w:rPr>
        <w:t>2</w:t>
      </w:r>
      <w:r w:rsidRPr="005457F2">
        <w:t xml:space="preserve"> = 8/9, rather than 2/3.</w:t>
      </w:r>
    </w:p>
    <w:p w14:paraId="161B9AB5" w14:textId="77777777" w:rsidR="0018500C" w:rsidRPr="005457F2" w:rsidRDefault="007934CF" w:rsidP="00A40860">
      <w:pPr>
        <w:pStyle w:val="NormalWeb"/>
      </w:pPr>
      <w:r>
        <w:t>Table 5.4 shows</w:t>
      </w:r>
      <w:r w:rsidR="0018500C" w:rsidRPr="005457F2">
        <w:t xml:space="preserve"> the quadratic weights for </w:t>
      </w:r>
      <w:r w:rsidR="003A7CBC">
        <w:t>a 5-category variable like Tanner Stage</w:t>
      </w:r>
      <w:r>
        <w:t>.</w:t>
      </w:r>
    </w:p>
    <w:tbl>
      <w:tblPr>
        <w:tblW w:w="0" w:type="auto"/>
        <w:tblInd w:w="40" w:type="dxa"/>
        <w:tblLayout w:type="fixed"/>
        <w:tblCellMar>
          <w:left w:w="40" w:type="dxa"/>
          <w:right w:w="40" w:type="dxa"/>
        </w:tblCellMar>
        <w:tblLook w:val="0000" w:firstRow="0" w:lastRow="0" w:firstColumn="0" w:lastColumn="0" w:noHBand="0" w:noVBand="0"/>
      </w:tblPr>
      <w:tblGrid>
        <w:gridCol w:w="7020"/>
      </w:tblGrid>
      <w:tr w:rsidR="0018500C" w:rsidRPr="005457F2" w14:paraId="05BE68C8" w14:textId="77777777">
        <w:trPr>
          <w:trHeight w:val="20"/>
        </w:trPr>
        <w:tc>
          <w:tcPr>
            <w:tcW w:w="7020" w:type="dxa"/>
            <w:tcBorders>
              <w:top w:val="nil"/>
              <w:left w:val="nil"/>
              <w:bottom w:val="nil"/>
              <w:right w:val="nil"/>
            </w:tcBorders>
            <w:shd w:val="clear" w:color="auto" w:fill="FFFFFF"/>
          </w:tcPr>
          <w:p w14:paraId="3C0ACF45" w14:textId="77777777" w:rsidR="0018500C" w:rsidRPr="005457F2" w:rsidRDefault="0018500C" w:rsidP="00A40860">
            <w:pPr>
              <w:pStyle w:val="NlTable"/>
              <w:ind w:left="0"/>
              <w:rPr>
                <w:b/>
              </w:rPr>
            </w:pPr>
          </w:p>
        </w:tc>
      </w:tr>
    </w:tbl>
    <w:p w14:paraId="74C6648B" w14:textId="77777777" w:rsidR="00B74EF0" w:rsidRDefault="00B74EF0" w:rsidP="00A40860">
      <w:pPr>
        <w:pStyle w:val="NormalWeb"/>
      </w:pPr>
    </w:p>
    <w:tbl>
      <w:tblPr>
        <w:tblW w:w="5480" w:type="dxa"/>
        <w:tblInd w:w="93" w:type="dxa"/>
        <w:tblLook w:val="04A0" w:firstRow="1" w:lastRow="0" w:firstColumn="1" w:lastColumn="0" w:noHBand="0" w:noVBand="1"/>
      </w:tblPr>
      <w:tblGrid>
        <w:gridCol w:w="1105"/>
        <w:gridCol w:w="885"/>
        <w:gridCol w:w="885"/>
        <w:gridCol w:w="885"/>
        <w:gridCol w:w="885"/>
        <w:gridCol w:w="885"/>
      </w:tblGrid>
      <w:tr w:rsidR="00B74EF0" w:rsidRPr="00B74EF0" w14:paraId="3F8ACC76" w14:textId="77777777" w:rsidTr="00B74EF0">
        <w:trPr>
          <w:trHeight w:val="340"/>
        </w:trPr>
        <w:tc>
          <w:tcPr>
            <w:tcW w:w="5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A0C28EC" w14:textId="77777777" w:rsidR="00B74EF0" w:rsidRPr="00B74EF0" w:rsidRDefault="00B74EF0" w:rsidP="00B74EF0">
            <w:pPr>
              <w:rPr>
                <w:rFonts w:ascii="Calibri" w:hAnsi="Calibri"/>
                <w:color w:val="000000"/>
              </w:rPr>
            </w:pPr>
            <w:r w:rsidRPr="00B74EF0">
              <w:rPr>
                <w:rFonts w:ascii="Calibri" w:hAnsi="Calibri"/>
                <w:color w:val="000000"/>
              </w:rPr>
              <w:t>Table 5.4 quadratic weights for 5 Tanner stages</w:t>
            </w:r>
          </w:p>
        </w:tc>
      </w:tr>
      <w:tr w:rsidR="00B74EF0" w:rsidRPr="00B74EF0" w14:paraId="69431E3C"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4AD2A5E8" w14:textId="77777777" w:rsidR="00B74EF0" w:rsidRPr="00B74EF0" w:rsidRDefault="00B74EF0" w:rsidP="00B74EF0">
            <w:pPr>
              <w:jc w:val="center"/>
              <w:rPr>
                <w:rFonts w:ascii="Calibri" w:hAnsi="Calibri"/>
                <w:color w:val="000000"/>
              </w:rPr>
            </w:pPr>
            <w:r w:rsidRPr="00B74EF0">
              <w:rPr>
                <w:rFonts w:ascii="Calibri" w:hAnsi="Calibri"/>
                <w:color w:val="000000"/>
              </w:rPr>
              <w:t> </w:t>
            </w:r>
          </w:p>
        </w:tc>
        <w:tc>
          <w:tcPr>
            <w:tcW w:w="4375" w:type="dxa"/>
            <w:gridSpan w:val="5"/>
            <w:tcBorders>
              <w:top w:val="single" w:sz="4" w:space="0" w:color="auto"/>
              <w:left w:val="nil"/>
              <w:bottom w:val="single" w:sz="4" w:space="0" w:color="auto"/>
              <w:right w:val="single" w:sz="4" w:space="0" w:color="auto"/>
            </w:tcBorders>
            <w:shd w:val="clear" w:color="auto" w:fill="auto"/>
            <w:noWrap/>
            <w:vAlign w:val="bottom"/>
            <w:hideMark/>
          </w:tcPr>
          <w:p w14:paraId="0E33835C" w14:textId="77777777" w:rsidR="00B74EF0" w:rsidRPr="00B74EF0" w:rsidRDefault="00B74EF0" w:rsidP="00B74EF0">
            <w:pPr>
              <w:jc w:val="center"/>
              <w:rPr>
                <w:rFonts w:ascii="Calibri" w:hAnsi="Calibri"/>
                <w:b/>
                <w:bCs/>
                <w:color w:val="000000"/>
              </w:rPr>
            </w:pPr>
            <w:r w:rsidRPr="00B74EF0">
              <w:rPr>
                <w:rFonts w:ascii="Calibri" w:hAnsi="Calibri"/>
                <w:b/>
                <w:bCs/>
                <w:color w:val="000000"/>
              </w:rPr>
              <w:t>Clinicians</w:t>
            </w:r>
          </w:p>
        </w:tc>
      </w:tr>
      <w:tr w:rsidR="00B74EF0" w:rsidRPr="00B74EF0" w14:paraId="6F0800A9"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4EEBDE61" w14:textId="77777777" w:rsidR="00B74EF0" w:rsidRPr="00B74EF0" w:rsidRDefault="00B74EF0" w:rsidP="00B74EF0">
            <w:pPr>
              <w:jc w:val="center"/>
              <w:rPr>
                <w:rFonts w:ascii="Calibri" w:hAnsi="Calibri"/>
                <w:b/>
                <w:bCs/>
                <w:color w:val="000000"/>
              </w:rPr>
            </w:pPr>
            <w:r w:rsidRPr="00B74EF0">
              <w:rPr>
                <w:rFonts w:ascii="Calibri" w:hAnsi="Calibri"/>
                <w:b/>
                <w:bCs/>
                <w:color w:val="000000"/>
              </w:rPr>
              <w:t>Mothers</w:t>
            </w:r>
          </w:p>
        </w:tc>
        <w:tc>
          <w:tcPr>
            <w:tcW w:w="875" w:type="dxa"/>
            <w:tcBorders>
              <w:top w:val="nil"/>
              <w:left w:val="nil"/>
              <w:bottom w:val="single" w:sz="4" w:space="0" w:color="auto"/>
              <w:right w:val="single" w:sz="4" w:space="0" w:color="auto"/>
            </w:tcBorders>
            <w:shd w:val="clear" w:color="auto" w:fill="auto"/>
            <w:noWrap/>
            <w:vAlign w:val="bottom"/>
            <w:hideMark/>
          </w:tcPr>
          <w:p w14:paraId="49BF0F5F" w14:textId="77777777" w:rsidR="00B74EF0" w:rsidRPr="00B74EF0" w:rsidRDefault="00B74EF0" w:rsidP="00B74EF0">
            <w:pPr>
              <w:jc w:val="center"/>
              <w:rPr>
                <w:rFonts w:ascii="Calibri" w:hAnsi="Calibri"/>
                <w:b/>
                <w:bCs/>
                <w:color w:val="000000"/>
              </w:rPr>
            </w:pPr>
            <w:r w:rsidRPr="00B74EF0">
              <w:rPr>
                <w:rFonts w:ascii="Calibri" w:hAnsi="Calibri"/>
                <w:b/>
                <w:bCs/>
                <w:color w:val="000000"/>
              </w:rPr>
              <w:t>1</w:t>
            </w:r>
          </w:p>
        </w:tc>
        <w:tc>
          <w:tcPr>
            <w:tcW w:w="875" w:type="dxa"/>
            <w:tcBorders>
              <w:top w:val="nil"/>
              <w:left w:val="nil"/>
              <w:bottom w:val="single" w:sz="4" w:space="0" w:color="auto"/>
              <w:right w:val="single" w:sz="4" w:space="0" w:color="auto"/>
            </w:tcBorders>
            <w:shd w:val="clear" w:color="auto" w:fill="auto"/>
            <w:noWrap/>
            <w:vAlign w:val="bottom"/>
            <w:hideMark/>
          </w:tcPr>
          <w:p w14:paraId="41BD8B13" w14:textId="77777777" w:rsidR="00B74EF0" w:rsidRPr="00B74EF0" w:rsidRDefault="00B74EF0" w:rsidP="00B74EF0">
            <w:pPr>
              <w:jc w:val="center"/>
              <w:rPr>
                <w:rFonts w:ascii="Calibri" w:hAnsi="Calibri"/>
                <w:b/>
                <w:bCs/>
                <w:color w:val="000000"/>
              </w:rPr>
            </w:pPr>
            <w:r w:rsidRPr="00B74EF0">
              <w:rPr>
                <w:rFonts w:ascii="Calibri" w:hAnsi="Calibri"/>
                <w:b/>
                <w:bCs/>
                <w:color w:val="000000"/>
              </w:rPr>
              <w:t>2</w:t>
            </w:r>
          </w:p>
        </w:tc>
        <w:tc>
          <w:tcPr>
            <w:tcW w:w="875" w:type="dxa"/>
            <w:tcBorders>
              <w:top w:val="nil"/>
              <w:left w:val="nil"/>
              <w:bottom w:val="single" w:sz="4" w:space="0" w:color="auto"/>
              <w:right w:val="single" w:sz="4" w:space="0" w:color="auto"/>
            </w:tcBorders>
            <w:shd w:val="clear" w:color="auto" w:fill="auto"/>
            <w:noWrap/>
            <w:vAlign w:val="bottom"/>
            <w:hideMark/>
          </w:tcPr>
          <w:p w14:paraId="1F8D3065" w14:textId="77777777" w:rsidR="00B74EF0" w:rsidRPr="00B74EF0" w:rsidRDefault="00B74EF0" w:rsidP="00B74EF0">
            <w:pPr>
              <w:jc w:val="center"/>
              <w:rPr>
                <w:rFonts w:ascii="Calibri" w:hAnsi="Calibri"/>
                <w:b/>
                <w:bCs/>
                <w:color w:val="000000"/>
              </w:rPr>
            </w:pPr>
            <w:r w:rsidRPr="00B74EF0">
              <w:rPr>
                <w:rFonts w:ascii="Calibri" w:hAnsi="Calibri"/>
                <w:b/>
                <w:bCs/>
                <w:color w:val="000000"/>
              </w:rPr>
              <w:t>3</w:t>
            </w:r>
          </w:p>
        </w:tc>
        <w:tc>
          <w:tcPr>
            <w:tcW w:w="875" w:type="dxa"/>
            <w:tcBorders>
              <w:top w:val="nil"/>
              <w:left w:val="nil"/>
              <w:bottom w:val="single" w:sz="4" w:space="0" w:color="auto"/>
              <w:right w:val="single" w:sz="4" w:space="0" w:color="auto"/>
            </w:tcBorders>
            <w:shd w:val="clear" w:color="auto" w:fill="auto"/>
            <w:noWrap/>
            <w:vAlign w:val="bottom"/>
            <w:hideMark/>
          </w:tcPr>
          <w:p w14:paraId="06865A07" w14:textId="77777777" w:rsidR="00B74EF0" w:rsidRPr="00B74EF0" w:rsidRDefault="00B74EF0" w:rsidP="00B74EF0">
            <w:pPr>
              <w:jc w:val="center"/>
              <w:rPr>
                <w:rFonts w:ascii="Calibri" w:hAnsi="Calibri"/>
                <w:b/>
                <w:bCs/>
                <w:color w:val="000000"/>
              </w:rPr>
            </w:pPr>
            <w:r w:rsidRPr="00B74EF0">
              <w:rPr>
                <w:rFonts w:ascii="Calibri" w:hAnsi="Calibri"/>
                <w:b/>
                <w:bCs/>
                <w:color w:val="000000"/>
              </w:rPr>
              <w:t>4</w:t>
            </w:r>
          </w:p>
        </w:tc>
        <w:tc>
          <w:tcPr>
            <w:tcW w:w="875" w:type="dxa"/>
            <w:tcBorders>
              <w:top w:val="nil"/>
              <w:left w:val="nil"/>
              <w:bottom w:val="single" w:sz="4" w:space="0" w:color="auto"/>
              <w:right w:val="single" w:sz="4" w:space="0" w:color="auto"/>
            </w:tcBorders>
            <w:shd w:val="clear" w:color="auto" w:fill="auto"/>
            <w:noWrap/>
            <w:vAlign w:val="bottom"/>
            <w:hideMark/>
          </w:tcPr>
          <w:p w14:paraId="6B386F05" w14:textId="77777777" w:rsidR="00B74EF0" w:rsidRPr="00B74EF0" w:rsidRDefault="00B74EF0" w:rsidP="00B74EF0">
            <w:pPr>
              <w:jc w:val="center"/>
              <w:rPr>
                <w:rFonts w:ascii="Calibri" w:hAnsi="Calibri"/>
                <w:b/>
                <w:bCs/>
                <w:color w:val="000000"/>
              </w:rPr>
            </w:pPr>
            <w:r w:rsidRPr="00B74EF0">
              <w:rPr>
                <w:rFonts w:ascii="Calibri" w:hAnsi="Calibri"/>
                <w:b/>
                <w:bCs/>
                <w:color w:val="000000"/>
              </w:rPr>
              <w:t>5</w:t>
            </w:r>
          </w:p>
        </w:tc>
      </w:tr>
      <w:tr w:rsidR="00B74EF0" w:rsidRPr="00B74EF0" w14:paraId="19D0D6A3"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210E3853" w14:textId="77777777" w:rsidR="00B74EF0" w:rsidRPr="00B74EF0" w:rsidRDefault="00B74EF0" w:rsidP="00B74EF0">
            <w:pPr>
              <w:jc w:val="center"/>
              <w:rPr>
                <w:rFonts w:ascii="Calibri" w:hAnsi="Calibri"/>
                <w:b/>
                <w:bCs/>
                <w:color w:val="000000"/>
              </w:rPr>
            </w:pPr>
            <w:r w:rsidRPr="00B74EF0">
              <w:rPr>
                <w:rFonts w:ascii="Calibri" w:hAnsi="Calibri"/>
                <w:b/>
                <w:bCs/>
                <w:color w:val="000000"/>
              </w:rPr>
              <w:t>1</w:t>
            </w:r>
          </w:p>
        </w:tc>
        <w:tc>
          <w:tcPr>
            <w:tcW w:w="875" w:type="dxa"/>
            <w:tcBorders>
              <w:top w:val="nil"/>
              <w:left w:val="nil"/>
              <w:bottom w:val="single" w:sz="4" w:space="0" w:color="auto"/>
              <w:right w:val="single" w:sz="4" w:space="0" w:color="auto"/>
            </w:tcBorders>
            <w:shd w:val="clear" w:color="auto" w:fill="auto"/>
            <w:noWrap/>
            <w:vAlign w:val="bottom"/>
            <w:hideMark/>
          </w:tcPr>
          <w:p w14:paraId="39939567" w14:textId="77777777" w:rsidR="00B74EF0" w:rsidRPr="00B74EF0" w:rsidRDefault="00B74EF0" w:rsidP="00B74EF0">
            <w:pPr>
              <w:jc w:val="center"/>
              <w:rPr>
                <w:rFonts w:ascii="Calibri" w:hAnsi="Calibri"/>
                <w:color w:val="000000"/>
              </w:rPr>
            </w:pPr>
            <w:r w:rsidRPr="00B74EF0">
              <w:rPr>
                <w:rFonts w:ascii="Calibri" w:hAnsi="Calibri"/>
                <w:color w:val="000000"/>
              </w:rPr>
              <w:t>1</w:t>
            </w:r>
          </w:p>
        </w:tc>
        <w:tc>
          <w:tcPr>
            <w:tcW w:w="875" w:type="dxa"/>
            <w:tcBorders>
              <w:top w:val="nil"/>
              <w:left w:val="nil"/>
              <w:bottom w:val="single" w:sz="4" w:space="0" w:color="auto"/>
              <w:right w:val="single" w:sz="4" w:space="0" w:color="auto"/>
            </w:tcBorders>
            <w:shd w:val="clear" w:color="auto" w:fill="auto"/>
            <w:noWrap/>
            <w:vAlign w:val="bottom"/>
            <w:hideMark/>
          </w:tcPr>
          <w:p w14:paraId="6DD774AB"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7DA3C5AB" w14:textId="77777777" w:rsidR="00B74EF0" w:rsidRPr="00B74EF0" w:rsidRDefault="00B74EF0" w:rsidP="00B74EF0">
            <w:pPr>
              <w:jc w:val="center"/>
              <w:rPr>
                <w:rFonts w:ascii="Calibri" w:hAnsi="Calibri"/>
                <w:color w:val="000000"/>
              </w:rPr>
            </w:pPr>
            <w:r w:rsidRPr="00B74EF0">
              <w:rPr>
                <w:rFonts w:ascii="Calibri" w:hAnsi="Calibri"/>
                <w:color w:val="000000"/>
              </w:rPr>
              <w:t>0.75</w:t>
            </w:r>
          </w:p>
        </w:tc>
        <w:tc>
          <w:tcPr>
            <w:tcW w:w="875" w:type="dxa"/>
            <w:tcBorders>
              <w:top w:val="nil"/>
              <w:left w:val="nil"/>
              <w:bottom w:val="single" w:sz="4" w:space="0" w:color="auto"/>
              <w:right w:val="single" w:sz="4" w:space="0" w:color="auto"/>
            </w:tcBorders>
            <w:shd w:val="clear" w:color="auto" w:fill="auto"/>
            <w:noWrap/>
            <w:vAlign w:val="bottom"/>
            <w:hideMark/>
          </w:tcPr>
          <w:p w14:paraId="0EE33393" w14:textId="77777777" w:rsidR="00B74EF0" w:rsidRPr="00B74EF0" w:rsidRDefault="00B74EF0" w:rsidP="00B74EF0">
            <w:pPr>
              <w:jc w:val="center"/>
              <w:rPr>
                <w:rFonts w:ascii="Calibri" w:hAnsi="Calibri"/>
                <w:color w:val="000000"/>
              </w:rPr>
            </w:pPr>
            <w:r w:rsidRPr="00B74EF0">
              <w:rPr>
                <w:rFonts w:ascii="Calibri" w:hAnsi="Calibri"/>
                <w:color w:val="000000"/>
              </w:rPr>
              <w:t>0.4375</w:t>
            </w:r>
          </w:p>
        </w:tc>
        <w:tc>
          <w:tcPr>
            <w:tcW w:w="875" w:type="dxa"/>
            <w:tcBorders>
              <w:top w:val="nil"/>
              <w:left w:val="nil"/>
              <w:bottom w:val="single" w:sz="4" w:space="0" w:color="auto"/>
              <w:right w:val="single" w:sz="4" w:space="0" w:color="auto"/>
            </w:tcBorders>
            <w:shd w:val="clear" w:color="auto" w:fill="auto"/>
            <w:noWrap/>
            <w:vAlign w:val="bottom"/>
            <w:hideMark/>
          </w:tcPr>
          <w:p w14:paraId="3D3E4B05" w14:textId="77777777" w:rsidR="00B74EF0" w:rsidRPr="00B74EF0" w:rsidRDefault="00B74EF0" w:rsidP="00B74EF0">
            <w:pPr>
              <w:jc w:val="center"/>
              <w:rPr>
                <w:rFonts w:ascii="Calibri" w:hAnsi="Calibri"/>
                <w:color w:val="000000"/>
              </w:rPr>
            </w:pPr>
            <w:r w:rsidRPr="00B74EF0">
              <w:rPr>
                <w:rFonts w:ascii="Calibri" w:hAnsi="Calibri"/>
                <w:color w:val="000000"/>
              </w:rPr>
              <w:t>0</w:t>
            </w:r>
          </w:p>
        </w:tc>
      </w:tr>
      <w:tr w:rsidR="00B74EF0" w:rsidRPr="00B74EF0" w14:paraId="49883D00"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7BC6DA31" w14:textId="77777777" w:rsidR="00B74EF0" w:rsidRPr="00B74EF0" w:rsidRDefault="00B74EF0" w:rsidP="00B74EF0">
            <w:pPr>
              <w:jc w:val="center"/>
              <w:rPr>
                <w:rFonts w:ascii="Calibri" w:hAnsi="Calibri"/>
                <w:b/>
                <w:bCs/>
                <w:color w:val="000000"/>
              </w:rPr>
            </w:pPr>
            <w:r w:rsidRPr="00B74EF0">
              <w:rPr>
                <w:rFonts w:ascii="Calibri" w:hAnsi="Calibri"/>
                <w:b/>
                <w:bCs/>
                <w:color w:val="000000"/>
              </w:rPr>
              <w:t>2</w:t>
            </w:r>
          </w:p>
        </w:tc>
        <w:tc>
          <w:tcPr>
            <w:tcW w:w="875" w:type="dxa"/>
            <w:tcBorders>
              <w:top w:val="nil"/>
              <w:left w:val="nil"/>
              <w:bottom w:val="single" w:sz="4" w:space="0" w:color="auto"/>
              <w:right w:val="single" w:sz="4" w:space="0" w:color="auto"/>
            </w:tcBorders>
            <w:shd w:val="clear" w:color="auto" w:fill="auto"/>
            <w:noWrap/>
            <w:vAlign w:val="bottom"/>
            <w:hideMark/>
          </w:tcPr>
          <w:p w14:paraId="16AD85BC"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19F0418F" w14:textId="77777777" w:rsidR="00B74EF0" w:rsidRPr="00B74EF0" w:rsidRDefault="00B74EF0" w:rsidP="00B74EF0">
            <w:pPr>
              <w:jc w:val="center"/>
              <w:rPr>
                <w:rFonts w:ascii="Calibri" w:hAnsi="Calibri"/>
                <w:color w:val="000000"/>
              </w:rPr>
            </w:pPr>
            <w:r w:rsidRPr="00B74EF0">
              <w:rPr>
                <w:rFonts w:ascii="Calibri" w:hAnsi="Calibri"/>
                <w:color w:val="000000"/>
              </w:rPr>
              <w:t>1</w:t>
            </w:r>
          </w:p>
        </w:tc>
        <w:tc>
          <w:tcPr>
            <w:tcW w:w="875" w:type="dxa"/>
            <w:tcBorders>
              <w:top w:val="nil"/>
              <w:left w:val="nil"/>
              <w:bottom w:val="single" w:sz="4" w:space="0" w:color="auto"/>
              <w:right w:val="single" w:sz="4" w:space="0" w:color="auto"/>
            </w:tcBorders>
            <w:shd w:val="clear" w:color="auto" w:fill="auto"/>
            <w:noWrap/>
            <w:vAlign w:val="bottom"/>
            <w:hideMark/>
          </w:tcPr>
          <w:p w14:paraId="310FD0A2"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46C3ADD8" w14:textId="77777777" w:rsidR="00B74EF0" w:rsidRPr="00B74EF0" w:rsidRDefault="00B74EF0" w:rsidP="00B74EF0">
            <w:pPr>
              <w:jc w:val="center"/>
              <w:rPr>
                <w:rFonts w:ascii="Calibri" w:hAnsi="Calibri"/>
                <w:color w:val="000000"/>
              </w:rPr>
            </w:pPr>
            <w:r w:rsidRPr="00B74EF0">
              <w:rPr>
                <w:rFonts w:ascii="Calibri" w:hAnsi="Calibri"/>
                <w:color w:val="000000"/>
              </w:rPr>
              <w:t>0.75</w:t>
            </w:r>
          </w:p>
        </w:tc>
        <w:tc>
          <w:tcPr>
            <w:tcW w:w="875" w:type="dxa"/>
            <w:tcBorders>
              <w:top w:val="nil"/>
              <w:left w:val="nil"/>
              <w:bottom w:val="single" w:sz="4" w:space="0" w:color="auto"/>
              <w:right w:val="single" w:sz="4" w:space="0" w:color="auto"/>
            </w:tcBorders>
            <w:shd w:val="clear" w:color="auto" w:fill="auto"/>
            <w:noWrap/>
            <w:vAlign w:val="bottom"/>
            <w:hideMark/>
          </w:tcPr>
          <w:p w14:paraId="5BF10CE3" w14:textId="77777777" w:rsidR="00B74EF0" w:rsidRPr="00B74EF0" w:rsidRDefault="00B74EF0" w:rsidP="00B74EF0">
            <w:pPr>
              <w:jc w:val="center"/>
              <w:rPr>
                <w:rFonts w:ascii="Calibri" w:hAnsi="Calibri"/>
                <w:color w:val="000000"/>
              </w:rPr>
            </w:pPr>
            <w:r w:rsidRPr="00B74EF0">
              <w:rPr>
                <w:rFonts w:ascii="Calibri" w:hAnsi="Calibri"/>
                <w:color w:val="000000"/>
              </w:rPr>
              <w:t>0.4375</w:t>
            </w:r>
          </w:p>
        </w:tc>
      </w:tr>
      <w:tr w:rsidR="00B74EF0" w:rsidRPr="00B74EF0" w14:paraId="1F4F590A"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0A990F5B" w14:textId="77777777" w:rsidR="00B74EF0" w:rsidRPr="00B74EF0" w:rsidRDefault="00B74EF0" w:rsidP="00B74EF0">
            <w:pPr>
              <w:jc w:val="center"/>
              <w:rPr>
                <w:rFonts w:ascii="Calibri" w:hAnsi="Calibri"/>
                <w:b/>
                <w:bCs/>
                <w:color w:val="000000"/>
              </w:rPr>
            </w:pPr>
            <w:r w:rsidRPr="00B74EF0">
              <w:rPr>
                <w:rFonts w:ascii="Calibri" w:hAnsi="Calibri"/>
                <w:b/>
                <w:bCs/>
                <w:color w:val="000000"/>
              </w:rPr>
              <w:t>3</w:t>
            </w:r>
          </w:p>
        </w:tc>
        <w:tc>
          <w:tcPr>
            <w:tcW w:w="875" w:type="dxa"/>
            <w:tcBorders>
              <w:top w:val="nil"/>
              <w:left w:val="nil"/>
              <w:bottom w:val="single" w:sz="4" w:space="0" w:color="auto"/>
              <w:right w:val="single" w:sz="4" w:space="0" w:color="auto"/>
            </w:tcBorders>
            <w:shd w:val="clear" w:color="auto" w:fill="auto"/>
            <w:noWrap/>
            <w:vAlign w:val="bottom"/>
            <w:hideMark/>
          </w:tcPr>
          <w:p w14:paraId="2CEECE2E" w14:textId="77777777" w:rsidR="00B74EF0" w:rsidRPr="00B74EF0" w:rsidRDefault="00B74EF0" w:rsidP="00B74EF0">
            <w:pPr>
              <w:jc w:val="center"/>
              <w:rPr>
                <w:rFonts w:ascii="Calibri" w:hAnsi="Calibri"/>
                <w:color w:val="000000"/>
              </w:rPr>
            </w:pPr>
            <w:r w:rsidRPr="00B74EF0">
              <w:rPr>
                <w:rFonts w:ascii="Calibri" w:hAnsi="Calibri"/>
                <w:color w:val="000000"/>
              </w:rPr>
              <w:t>0.75</w:t>
            </w:r>
          </w:p>
        </w:tc>
        <w:tc>
          <w:tcPr>
            <w:tcW w:w="875" w:type="dxa"/>
            <w:tcBorders>
              <w:top w:val="nil"/>
              <w:left w:val="nil"/>
              <w:bottom w:val="single" w:sz="4" w:space="0" w:color="auto"/>
              <w:right w:val="single" w:sz="4" w:space="0" w:color="auto"/>
            </w:tcBorders>
            <w:shd w:val="clear" w:color="auto" w:fill="auto"/>
            <w:noWrap/>
            <w:vAlign w:val="bottom"/>
            <w:hideMark/>
          </w:tcPr>
          <w:p w14:paraId="6068966C"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275F93AA" w14:textId="77777777" w:rsidR="00B74EF0" w:rsidRPr="00B74EF0" w:rsidRDefault="00B74EF0" w:rsidP="00B74EF0">
            <w:pPr>
              <w:jc w:val="center"/>
              <w:rPr>
                <w:rFonts w:ascii="Calibri" w:hAnsi="Calibri"/>
                <w:color w:val="000000"/>
              </w:rPr>
            </w:pPr>
            <w:r w:rsidRPr="00B74EF0">
              <w:rPr>
                <w:rFonts w:ascii="Calibri" w:hAnsi="Calibri"/>
                <w:color w:val="000000"/>
              </w:rPr>
              <w:t>1</w:t>
            </w:r>
          </w:p>
        </w:tc>
        <w:tc>
          <w:tcPr>
            <w:tcW w:w="875" w:type="dxa"/>
            <w:tcBorders>
              <w:top w:val="nil"/>
              <w:left w:val="nil"/>
              <w:bottom w:val="single" w:sz="4" w:space="0" w:color="auto"/>
              <w:right w:val="single" w:sz="4" w:space="0" w:color="auto"/>
            </w:tcBorders>
            <w:shd w:val="clear" w:color="auto" w:fill="auto"/>
            <w:noWrap/>
            <w:vAlign w:val="bottom"/>
            <w:hideMark/>
          </w:tcPr>
          <w:p w14:paraId="18B09FDA"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4AF11F6C" w14:textId="77777777" w:rsidR="00B74EF0" w:rsidRPr="00B74EF0" w:rsidRDefault="00B74EF0" w:rsidP="00B74EF0">
            <w:pPr>
              <w:jc w:val="center"/>
              <w:rPr>
                <w:rFonts w:ascii="Calibri" w:hAnsi="Calibri"/>
                <w:color w:val="000000"/>
              </w:rPr>
            </w:pPr>
            <w:r w:rsidRPr="00B74EF0">
              <w:rPr>
                <w:rFonts w:ascii="Calibri" w:hAnsi="Calibri"/>
                <w:color w:val="000000"/>
              </w:rPr>
              <w:t>0.75</w:t>
            </w:r>
          </w:p>
        </w:tc>
      </w:tr>
      <w:tr w:rsidR="00B74EF0" w:rsidRPr="00B74EF0" w14:paraId="320323AA"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42179033" w14:textId="77777777" w:rsidR="00B74EF0" w:rsidRPr="00B74EF0" w:rsidRDefault="00B74EF0" w:rsidP="00B74EF0">
            <w:pPr>
              <w:jc w:val="center"/>
              <w:rPr>
                <w:rFonts w:ascii="Calibri" w:hAnsi="Calibri"/>
                <w:b/>
                <w:bCs/>
                <w:color w:val="000000"/>
              </w:rPr>
            </w:pPr>
            <w:r w:rsidRPr="00B74EF0">
              <w:rPr>
                <w:rFonts w:ascii="Calibri" w:hAnsi="Calibri"/>
                <w:b/>
                <w:bCs/>
                <w:color w:val="000000"/>
              </w:rPr>
              <w:t>4</w:t>
            </w:r>
          </w:p>
        </w:tc>
        <w:tc>
          <w:tcPr>
            <w:tcW w:w="875" w:type="dxa"/>
            <w:tcBorders>
              <w:top w:val="nil"/>
              <w:left w:val="nil"/>
              <w:bottom w:val="single" w:sz="4" w:space="0" w:color="auto"/>
              <w:right w:val="single" w:sz="4" w:space="0" w:color="auto"/>
            </w:tcBorders>
            <w:shd w:val="clear" w:color="auto" w:fill="auto"/>
            <w:noWrap/>
            <w:vAlign w:val="bottom"/>
            <w:hideMark/>
          </w:tcPr>
          <w:p w14:paraId="1D03DDE1" w14:textId="77777777" w:rsidR="00B74EF0" w:rsidRPr="00B74EF0" w:rsidRDefault="00B74EF0" w:rsidP="00B74EF0">
            <w:pPr>
              <w:jc w:val="center"/>
              <w:rPr>
                <w:rFonts w:ascii="Calibri" w:hAnsi="Calibri"/>
                <w:color w:val="000000"/>
              </w:rPr>
            </w:pPr>
            <w:r w:rsidRPr="00B74EF0">
              <w:rPr>
                <w:rFonts w:ascii="Calibri" w:hAnsi="Calibri"/>
                <w:color w:val="000000"/>
              </w:rPr>
              <w:t>0.4375</w:t>
            </w:r>
          </w:p>
        </w:tc>
        <w:tc>
          <w:tcPr>
            <w:tcW w:w="875" w:type="dxa"/>
            <w:tcBorders>
              <w:top w:val="nil"/>
              <w:left w:val="nil"/>
              <w:bottom w:val="single" w:sz="4" w:space="0" w:color="auto"/>
              <w:right w:val="single" w:sz="4" w:space="0" w:color="auto"/>
            </w:tcBorders>
            <w:shd w:val="clear" w:color="auto" w:fill="auto"/>
            <w:noWrap/>
            <w:vAlign w:val="bottom"/>
            <w:hideMark/>
          </w:tcPr>
          <w:p w14:paraId="3863C30D" w14:textId="77777777" w:rsidR="00B74EF0" w:rsidRPr="00B74EF0" w:rsidRDefault="00B74EF0" w:rsidP="00B74EF0">
            <w:pPr>
              <w:jc w:val="center"/>
              <w:rPr>
                <w:rFonts w:ascii="Calibri" w:hAnsi="Calibri"/>
                <w:color w:val="000000"/>
              </w:rPr>
            </w:pPr>
            <w:r w:rsidRPr="00B74EF0">
              <w:rPr>
                <w:rFonts w:ascii="Calibri" w:hAnsi="Calibri"/>
                <w:color w:val="000000"/>
              </w:rPr>
              <w:t>0.75</w:t>
            </w:r>
          </w:p>
        </w:tc>
        <w:tc>
          <w:tcPr>
            <w:tcW w:w="875" w:type="dxa"/>
            <w:tcBorders>
              <w:top w:val="nil"/>
              <w:left w:val="nil"/>
              <w:bottom w:val="single" w:sz="4" w:space="0" w:color="auto"/>
              <w:right w:val="single" w:sz="4" w:space="0" w:color="auto"/>
            </w:tcBorders>
            <w:shd w:val="clear" w:color="auto" w:fill="auto"/>
            <w:noWrap/>
            <w:vAlign w:val="bottom"/>
            <w:hideMark/>
          </w:tcPr>
          <w:p w14:paraId="663E9A0B"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0AA88D6A" w14:textId="77777777" w:rsidR="00B74EF0" w:rsidRPr="00B74EF0" w:rsidRDefault="00B74EF0" w:rsidP="00B74EF0">
            <w:pPr>
              <w:jc w:val="center"/>
              <w:rPr>
                <w:rFonts w:ascii="Calibri" w:hAnsi="Calibri"/>
                <w:color w:val="000000"/>
              </w:rPr>
            </w:pPr>
            <w:r w:rsidRPr="00B74EF0">
              <w:rPr>
                <w:rFonts w:ascii="Calibri" w:hAnsi="Calibri"/>
                <w:color w:val="000000"/>
              </w:rPr>
              <w:t>1</w:t>
            </w:r>
          </w:p>
        </w:tc>
        <w:tc>
          <w:tcPr>
            <w:tcW w:w="875" w:type="dxa"/>
            <w:tcBorders>
              <w:top w:val="nil"/>
              <w:left w:val="nil"/>
              <w:bottom w:val="single" w:sz="4" w:space="0" w:color="auto"/>
              <w:right w:val="single" w:sz="4" w:space="0" w:color="auto"/>
            </w:tcBorders>
            <w:shd w:val="clear" w:color="auto" w:fill="auto"/>
            <w:noWrap/>
            <w:vAlign w:val="bottom"/>
            <w:hideMark/>
          </w:tcPr>
          <w:p w14:paraId="7F45C0D2"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r>
      <w:tr w:rsidR="00B74EF0" w:rsidRPr="00B74EF0" w14:paraId="57B1A946" w14:textId="77777777" w:rsidTr="00B74EF0">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3D7BEF79" w14:textId="77777777" w:rsidR="00B74EF0" w:rsidRPr="00B74EF0" w:rsidRDefault="00B74EF0" w:rsidP="00B74EF0">
            <w:pPr>
              <w:jc w:val="center"/>
              <w:rPr>
                <w:rFonts w:ascii="Calibri" w:hAnsi="Calibri"/>
                <w:b/>
                <w:bCs/>
                <w:color w:val="000000"/>
              </w:rPr>
            </w:pPr>
            <w:r w:rsidRPr="00B74EF0">
              <w:rPr>
                <w:rFonts w:ascii="Calibri" w:hAnsi="Calibri"/>
                <w:b/>
                <w:bCs/>
                <w:color w:val="000000"/>
              </w:rPr>
              <w:t>5</w:t>
            </w:r>
          </w:p>
        </w:tc>
        <w:tc>
          <w:tcPr>
            <w:tcW w:w="875" w:type="dxa"/>
            <w:tcBorders>
              <w:top w:val="nil"/>
              <w:left w:val="nil"/>
              <w:bottom w:val="single" w:sz="4" w:space="0" w:color="auto"/>
              <w:right w:val="single" w:sz="4" w:space="0" w:color="auto"/>
            </w:tcBorders>
            <w:shd w:val="clear" w:color="auto" w:fill="auto"/>
            <w:noWrap/>
            <w:vAlign w:val="bottom"/>
            <w:hideMark/>
          </w:tcPr>
          <w:p w14:paraId="569ED012" w14:textId="77777777" w:rsidR="00B74EF0" w:rsidRPr="00B74EF0" w:rsidRDefault="00B74EF0" w:rsidP="00B74EF0">
            <w:pPr>
              <w:jc w:val="center"/>
              <w:rPr>
                <w:rFonts w:ascii="Calibri" w:hAnsi="Calibri"/>
                <w:color w:val="000000"/>
              </w:rPr>
            </w:pPr>
            <w:r w:rsidRPr="00B74EF0">
              <w:rPr>
                <w:rFonts w:ascii="Calibri" w:hAnsi="Calibri"/>
                <w:color w:val="000000"/>
              </w:rPr>
              <w:t>0</w:t>
            </w:r>
          </w:p>
        </w:tc>
        <w:tc>
          <w:tcPr>
            <w:tcW w:w="875" w:type="dxa"/>
            <w:tcBorders>
              <w:top w:val="nil"/>
              <w:left w:val="nil"/>
              <w:bottom w:val="single" w:sz="4" w:space="0" w:color="auto"/>
              <w:right w:val="single" w:sz="4" w:space="0" w:color="auto"/>
            </w:tcBorders>
            <w:shd w:val="clear" w:color="auto" w:fill="auto"/>
            <w:noWrap/>
            <w:vAlign w:val="bottom"/>
            <w:hideMark/>
          </w:tcPr>
          <w:p w14:paraId="25A11796" w14:textId="77777777" w:rsidR="00B74EF0" w:rsidRPr="00B74EF0" w:rsidRDefault="00B74EF0" w:rsidP="00B74EF0">
            <w:pPr>
              <w:jc w:val="center"/>
              <w:rPr>
                <w:rFonts w:ascii="Calibri" w:hAnsi="Calibri"/>
                <w:color w:val="000000"/>
              </w:rPr>
            </w:pPr>
            <w:r w:rsidRPr="00B74EF0">
              <w:rPr>
                <w:rFonts w:ascii="Calibri" w:hAnsi="Calibri"/>
                <w:color w:val="000000"/>
              </w:rPr>
              <w:t>0.4375</w:t>
            </w:r>
          </w:p>
        </w:tc>
        <w:tc>
          <w:tcPr>
            <w:tcW w:w="875" w:type="dxa"/>
            <w:tcBorders>
              <w:top w:val="nil"/>
              <w:left w:val="nil"/>
              <w:bottom w:val="single" w:sz="4" w:space="0" w:color="auto"/>
              <w:right w:val="single" w:sz="4" w:space="0" w:color="auto"/>
            </w:tcBorders>
            <w:shd w:val="clear" w:color="auto" w:fill="auto"/>
            <w:noWrap/>
            <w:vAlign w:val="bottom"/>
            <w:hideMark/>
          </w:tcPr>
          <w:p w14:paraId="30128F30" w14:textId="77777777" w:rsidR="00B74EF0" w:rsidRPr="00B74EF0" w:rsidRDefault="00B74EF0" w:rsidP="00B74EF0">
            <w:pPr>
              <w:jc w:val="center"/>
              <w:rPr>
                <w:rFonts w:ascii="Calibri" w:hAnsi="Calibri"/>
                <w:color w:val="000000"/>
              </w:rPr>
            </w:pPr>
            <w:r w:rsidRPr="00B74EF0">
              <w:rPr>
                <w:rFonts w:ascii="Calibri" w:hAnsi="Calibri"/>
                <w:color w:val="000000"/>
              </w:rPr>
              <w:t>0.75</w:t>
            </w:r>
          </w:p>
        </w:tc>
        <w:tc>
          <w:tcPr>
            <w:tcW w:w="875" w:type="dxa"/>
            <w:tcBorders>
              <w:top w:val="nil"/>
              <w:left w:val="nil"/>
              <w:bottom w:val="single" w:sz="4" w:space="0" w:color="auto"/>
              <w:right w:val="single" w:sz="4" w:space="0" w:color="auto"/>
            </w:tcBorders>
            <w:shd w:val="clear" w:color="auto" w:fill="auto"/>
            <w:noWrap/>
            <w:vAlign w:val="bottom"/>
            <w:hideMark/>
          </w:tcPr>
          <w:p w14:paraId="530BF908" w14:textId="77777777" w:rsidR="00B74EF0" w:rsidRPr="00B74EF0" w:rsidRDefault="00B74EF0" w:rsidP="00B74EF0">
            <w:pPr>
              <w:jc w:val="center"/>
              <w:rPr>
                <w:rFonts w:ascii="Calibri" w:hAnsi="Calibri"/>
                <w:color w:val="000000"/>
              </w:rPr>
            </w:pPr>
            <w:r w:rsidRPr="00B74EF0">
              <w:rPr>
                <w:rFonts w:ascii="Calibri" w:hAnsi="Calibri"/>
                <w:color w:val="000000"/>
              </w:rPr>
              <w:t>0.9375</w:t>
            </w:r>
          </w:p>
        </w:tc>
        <w:tc>
          <w:tcPr>
            <w:tcW w:w="875" w:type="dxa"/>
            <w:tcBorders>
              <w:top w:val="nil"/>
              <w:left w:val="nil"/>
              <w:bottom w:val="single" w:sz="4" w:space="0" w:color="auto"/>
              <w:right w:val="single" w:sz="4" w:space="0" w:color="auto"/>
            </w:tcBorders>
            <w:shd w:val="clear" w:color="auto" w:fill="auto"/>
            <w:noWrap/>
            <w:vAlign w:val="bottom"/>
            <w:hideMark/>
          </w:tcPr>
          <w:p w14:paraId="0D5D8485" w14:textId="77777777" w:rsidR="00B74EF0" w:rsidRPr="00B74EF0" w:rsidRDefault="00B74EF0" w:rsidP="00B74EF0">
            <w:pPr>
              <w:jc w:val="center"/>
              <w:rPr>
                <w:rFonts w:ascii="Calibri" w:hAnsi="Calibri"/>
                <w:color w:val="000000"/>
              </w:rPr>
            </w:pPr>
            <w:r w:rsidRPr="00B74EF0">
              <w:rPr>
                <w:rFonts w:ascii="Calibri" w:hAnsi="Calibri"/>
                <w:color w:val="000000"/>
              </w:rPr>
              <w:t>1</w:t>
            </w:r>
          </w:p>
        </w:tc>
      </w:tr>
    </w:tbl>
    <w:p w14:paraId="55B7BCCB" w14:textId="77777777" w:rsidR="00B74EF0" w:rsidRDefault="00E63561" w:rsidP="00A40860">
      <w:pPr>
        <w:pStyle w:val="NormalWeb"/>
      </w:pPr>
      <w:r>
        <w:t xml:space="preserve">Recall that the linear weight for being off by one in a 5 × 5 table was 0.75, so the penalty was 0.25, or </w:t>
      </w:r>
      <w:r w:rsidR="008D430A">
        <w:t>1/4.  If we square that penalty, we get 1/</w:t>
      </w:r>
      <w:r w:rsidR="009279DC">
        <w:t>1</w:t>
      </w:r>
      <w:r w:rsidR="008D430A">
        <w:t>6, or 0.0625, so the quadratic weight is 0.9375.  Not surprisin</w:t>
      </w:r>
      <w:r w:rsidR="00D362BD">
        <w:t xml:space="preserve">gly, calculating </w:t>
      </w:r>
      <w:r w:rsidR="003B3860">
        <w:t>k</w:t>
      </w:r>
      <w:r w:rsidR="00D362BD">
        <w:t>appa for Table 5.3 using quadratic weights gives a</w:t>
      </w:r>
      <w:r w:rsidR="00F45201">
        <w:t>n even</w:t>
      </w:r>
      <w:r w:rsidR="00D362BD">
        <w:t xml:space="preserve"> higher value</w:t>
      </w:r>
      <w:r w:rsidR="00F45201">
        <w:t xml:space="preserve">: 0.86.   (Recall unweighted </w:t>
      </w:r>
      <w:r w:rsidR="003B3860">
        <w:t>k</w:t>
      </w:r>
      <w:r w:rsidR="00F45201">
        <w:t xml:space="preserve">appa was </w:t>
      </w:r>
      <w:r w:rsidR="007F4CB7">
        <w:t xml:space="preserve">0.54 and weighted </w:t>
      </w:r>
      <w:r w:rsidR="003B3860">
        <w:t>k</w:t>
      </w:r>
      <w:r w:rsidR="007F4CB7">
        <w:t xml:space="preserve">appa was 0.72.) </w:t>
      </w:r>
      <w:r w:rsidR="008D430A">
        <w:t xml:space="preserve"> </w:t>
      </w:r>
    </w:p>
    <w:p w14:paraId="04D293D6" w14:textId="77777777" w:rsidR="0018500C" w:rsidRPr="005457F2" w:rsidRDefault="0018500C" w:rsidP="00A40860">
      <w:pPr>
        <w:pStyle w:val="NormalWeb"/>
      </w:pPr>
      <w:r w:rsidRPr="005457F2">
        <w:t>Quadratic weighted kappa will generally be higher (and hence look better) than linear weighted kappa, because the penalty for anything other than complete disagreement is smaller.</w:t>
      </w:r>
      <w:r w:rsidR="007F4CB7">
        <w:t xml:space="preserve">  Thus</w:t>
      </w:r>
      <w:r w:rsidR="008124F8">
        <w:t>,</w:t>
      </w:r>
      <w:r w:rsidR="007F4CB7">
        <w:t xml:space="preserve"> </w:t>
      </w:r>
      <w:r w:rsidR="00F21712">
        <w:t>a</w:t>
      </w:r>
      <w:r w:rsidR="007F4CB7">
        <w:t xml:space="preserve"> simple manipulation available to authors </w:t>
      </w:r>
      <w:r w:rsidR="00F21712">
        <w:t xml:space="preserve">studying </w:t>
      </w:r>
      <w:r w:rsidR="00B52DB1">
        <w:t>reproducibility</w:t>
      </w:r>
      <w:r w:rsidR="00F21712">
        <w:t xml:space="preserve"> who want to report higher </w:t>
      </w:r>
      <w:proofErr w:type="spellStart"/>
      <w:r w:rsidR="00F21712">
        <w:t>kappas</w:t>
      </w:r>
      <w:proofErr w:type="spellEnd"/>
      <w:r w:rsidR="00F21712">
        <w:t xml:space="preserve"> without actually improving inter-rater agreement</w:t>
      </w:r>
      <w:r w:rsidR="00320590">
        <w:t xml:space="preserve"> is to </w:t>
      </w:r>
      <w:r w:rsidR="00F21712">
        <w:t xml:space="preserve">use </w:t>
      </w:r>
      <w:r w:rsidR="00B52DB1">
        <w:t xml:space="preserve">quadratic </w:t>
      </w:r>
      <w:r w:rsidR="00F21712">
        <w:t xml:space="preserve">weights. </w:t>
      </w:r>
      <w:r w:rsidR="00B52DB1">
        <w:t xml:space="preserve">  </w:t>
      </w:r>
    </w:p>
    <w:p w14:paraId="1D7E3549" w14:textId="77777777" w:rsidR="00B91CD8" w:rsidRPr="005457F2" w:rsidRDefault="004F48DE" w:rsidP="00A40860">
      <w:pPr>
        <w:pStyle w:val="Heading5"/>
      </w:pPr>
      <w:r w:rsidRPr="005457F2">
        <w:t>Custom weights</w:t>
      </w:r>
    </w:p>
    <w:p w14:paraId="0DCF025F" w14:textId="77777777" w:rsidR="00B91CD8" w:rsidRPr="005457F2" w:rsidRDefault="004F48DE" w:rsidP="00A40860">
      <w:pPr>
        <w:pStyle w:val="NormalWeb"/>
      </w:pPr>
      <w:r w:rsidRPr="005457F2">
        <w:t>Of course, these linear</w:t>
      </w:r>
      <w:r w:rsidR="00F003BB">
        <w:t xml:space="preserve"> and quadratic</w:t>
      </w:r>
      <w:r w:rsidRPr="005457F2">
        <w:t xml:space="preserve"> weights are just </w:t>
      </w:r>
      <w:r w:rsidR="00F003BB">
        <w:t>two ways to do the weighting</w:t>
      </w:r>
      <w:r w:rsidRPr="005457F2">
        <w:t xml:space="preserve">. </w:t>
      </w:r>
      <w:r w:rsidR="002A1CEC">
        <w:t xml:space="preserve">If you want more generous weights than </w:t>
      </w:r>
      <w:r w:rsidR="00B60601">
        <w:t xml:space="preserve">linear weights, quadratic weights will do the trick.  </w:t>
      </w:r>
      <w:r w:rsidR="000A359B">
        <w:t>B</w:t>
      </w:r>
      <w:r w:rsidR="00B60601">
        <w:t xml:space="preserve">ut </w:t>
      </w:r>
      <w:r w:rsidR="00BE234B">
        <w:t>if</w:t>
      </w:r>
      <w:r w:rsidR="00B60601">
        <w:t xml:space="preserve"> you want weights</w:t>
      </w:r>
      <w:r w:rsidR="000A359B">
        <w:t xml:space="preserve"> less generous than linear weights, or you believe</w:t>
      </w:r>
      <w:r w:rsidR="000A359B" w:rsidRPr="005457F2">
        <w:t xml:space="preserve"> some disagreements are much worse than others</w:t>
      </w:r>
      <w:r w:rsidR="00BE234B">
        <w:t xml:space="preserve"> that differ by the same number of categories, you can create your own weights</w:t>
      </w:r>
      <w:r w:rsidR="000A359B" w:rsidRPr="005457F2">
        <w:t>.</w:t>
      </w:r>
      <w:r w:rsidR="000A359B">
        <w:t xml:space="preserve"> </w:t>
      </w:r>
    </w:p>
    <w:p w14:paraId="599AA99D" w14:textId="411F5045" w:rsidR="00B91CD8" w:rsidRPr="005457F2" w:rsidRDefault="008271CC" w:rsidP="00A40860">
      <w:pPr>
        <w:pStyle w:val="NormalWeb"/>
      </w:pPr>
      <w:r>
        <w:rPr>
          <w:b/>
        </w:rPr>
        <w:t xml:space="preserve">Example </w:t>
      </w:r>
      <w:proofErr w:type="gramStart"/>
      <w:r>
        <w:rPr>
          <w:b/>
        </w:rPr>
        <w:t>5.</w:t>
      </w:r>
      <w:r w:rsidR="00BE234B">
        <w:rPr>
          <w:b/>
        </w:rPr>
        <w:t>7</w:t>
      </w:r>
      <w:r w:rsidR="004F48DE" w:rsidRPr="005457F2">
        <w:t xml:space="preserve"> </w:t>
      </w:r>
      <w:r w:rsidR="00C65507">
        <w:t xml:space="preserve"> The</w:t>
      </w:r>
      <w:proofErr w:type="gramEnd"/>
      <w:r w:rsidR="00C65507">
        <w:t xml:space="preserve"> Glasgow Coma Scale</w:t>
      </w:r>
      <w:r w:rsidR="00792C10">
        <w:t xml:space="preserve"> (GCS)</w:t>
      </w:r>
      <w:r w:rsidR="00C65507">
        <w:t xml:space="preserve"> is commonly used in emergency department patients to quantify level of consciousness. </w:t>
      </w:r>
      <w:r w:rsidR="006B1B4D" w:rsidRPr="005457F2">
        <w:t>Gill et al</w:t>
      </w:r>
      <w:r w:rsidR="004D713F">
        <w:fldChar w:fldCharType="begin"/>
      </w:r>
      <w:r w:rsidR="00A842BC">
        <w:instrText xml:space="preserve"> ADDIN EN.CITE &lt;EndNote&gt;&lt;Cite&gt;&lt;Author&gt;Gill&lt;/Author&gt;&lt;Year&gt;2004&lt;/Year&gt;&lt;RecNum&gt;167&lt;/RecNum&gt;&lt;DisplayText&gt;[9]&lt;/DisplayText&gt;&lt;record&gt;&lt;rec-number&gt;167&lt;/rec-number&gt;&lt;foreign-keys&gt;&lt;key app="EN" db-id="0ftvff9p80fp5few5s05f5fw9rd9fefrdzer" timestamp="0"&gt;167&lt;/key&gt;&lt;/foreign-keys&gt;&lt;ref-type name="Journal Article"&gt;17&lt;/ref-type&gt;&lt;contributors&gt;&lt;authors&gt;&lt;author&gt;Gill, M. R.&lt;/author&gt;&lt;author&gt;Reiley, D. G.&lt;/author&gt;&lt;author&gt;Green, S. M.&lt;/author&gt;&lt;/authors&gt;&lt;/contributors&gt;&lt;auth-address&gt;Department of Emergency Medicine, Loma Linda University School of Medicine, Loma Linda, CA, USA. michelle_gill@yahoo.com&lt;/auth-address&gt;&lt;titles&gt;&lt;title&gt;Interrater reliability of Glasgow Coma Scale scores in the emergency department&lt;/title&gt;&lt;secondary-title&gt;Ann Emerg Med&lt;/secondary-title&gt;&lt;/titles&gt;&lt;periodical&gt;&lt;full-title&gt;Ann Emerg Med&lt;/full-title&gt;&lt;/periodical&gt;&lt;pages&gt;215-23&lt;/pages&gt;&lt;volume&gt;43&lt;/volume&gt;&lt;number&gt;2&lt;/number&gt;&lt;keywords&gt;&lt;keyword&gt;Adolescent&lt;/keyword&gt;&lt;keyword&gt;Adult&lt;/keyword&gt;&lt;keyword&gt;Aged&lt;/keyword&gt;&lt;keyword&gt;Emergency Medicine&lt;/keyword&gt;&lt;keyword&gt;Emergency Service, Hospital&lt;/keyword&gt;&lt;keyword&gt;Female&lt;/keyword&gt;&lt;keyword&gt;*Glasgow Coma Scale&lt;/keyword&gt;&lt;keyword&gt;Human&lt;/keyword&gt;&lt;keyword&gt;Male&lt;/keyword&gt;&lt;keyword&gt;Medical Staff, Hospital&lt;/keyword&gt;&lt;keyword&gt;Middle Aged&lt;/keyword&gt;&lt;keyword&gt;*Observer Variation&lt;/keyword&gt;&lt;keyword&gt;Prospective Studies&lt;/keyword&gt;&lt;keyword&gt;Reproducibility of Results&lt;/keyword&gt;&lt;keyword&gt;Single-Blind Method&lt;/keyword&gt;&lt;keyword&gt;Statistics, Nonparametric&lt;/keyword&gt;&lt;/keywords&gt;&lt;dates&gt;&lt;year&gt;2004&lt;/year&gt;&lt;pub-dates&gt;&lt;date&gt;Feb&lt;/date&gt;&lt;/pub-dates&gt;&lt;/dates&gt;&lt;accession-num&gt;14747811&lt;/accession-num&gt;&lt;urls&gt;&lt;related-urls&gt;&lt;url&gt;http://www.ncbi.nlm.nih.gov/entrez/query.fcgi?cmd=Retrieve&amp;amp;db=PubMed&amp;amp;dopt=Citation&amp;amp;list_uids=14747811&lt;/url&gt;&lt;/related-urls&gt;&lt;/urls&gt;&lt;/record&gt;&lt;/Cite&gt;&lt;/EndNote&gt;</w:instrText>
      </w:r>
      <w:r w:rsidR="004D713F">
        <w:fldChar w:fldCharType="separate"/>
      </w:r>
      <w:r w:rsidR="00A842BC">
        <w:rPr>
          <w:noProof/>
        </w:rPr>
        <w:t>[9]</w:t>
      </w:r>
      <w:r w:rsidR="004D713F">
        <w:fldChar w:fldCharType="end"/>
      </w:r>
      <w:r w:rsidR="006B1B4D" w:rsidRPr="005457F2">
        <w:t xml:space="preserve">. examined the reliability of the components of the </w:t>
      </w:r>
      <w:r w:rsidR="00792C10">
        <w:t>GCS</w:t>
      </w:r>
      <w:r w:rsidR="00317582">
        <w:t xml:space="preserve"> </w:t>
      </w:r>
      <w:r w:rsidR="006740F8">
        <w:t xml:space="preserve">by comparing </w:t>
      </w:r>
      <w:r w:rsidR="006B1B4D" w:rsidRPr="005457F2">
        <w:t>score</w:t>
      </w:r>
      <w:r w:rsidR="006740F8">
        <w:t>s</w:t>
      </w:r>
      <w:r w:rsidR="006B1B4D" w:rsidRPr="005457F2">
        <w:t xml:space="preserve"> of two emergency physicians independently assessing the same patient. </w:t>
      </w:r>
      <w:r w:rsidR="00317582">
        <w:t xml:space="preserve"> They chose to use custom weights, </w:t>
      </w:r>
      <w:r w:rsidR="004F48DE" w:rsidRPr="005457F2">
        <w:t xml:space="preserve">giving half-credit for disagreements differing by only one category and no credit for disagreements differing by two or three categories. Their custom weights </w:t>
      </w:r>
      <w:r w:rsidR="00792C10">
        <w:t xml:space="preserve">for the eye-opening component of the </w:t>
      </w:r>
      <w:r w:rsidR="00407257">
        <w:t>GCS are shown below</w:t>
      </w:r>
      <w:r w:rsidR="004F48DE" w:rsidRPr="005457F2">
        <w:t>.</w:t>
      </w:r>
    </w:p>
    <w:tbl>
      <w:tblPr>
        <w:tblW w:w="0" w:type="auto"/>
        <w:tblInd w:w="40" w:type="dxa"/>
        <w:tblLayout w:type="fixed"/>
        <w:tblCellMar>
          <w:left w:w="40" w:type="dxa"/>
          <w:right w:w="40" w:type="dxa"/>
        </w:tblCellMar>
        <w:tblLook w:val="0000" w:firstRow="0" w:lastRow="0" w:firstColumn="0" w:lastColumn="0" w:noHBand="0" w:noVBand="0"/>
      </w:tblPr>
      <w:tblGrid>
        <w:gridCol w:w="1890"/>
        <w:gridCol w:w="990"/>
        <w:gridCol w:w="1170"/>
        <w:gridCol w:w="1890"/>
        <w:gridCol w:w="1980"/>
      </w:tblGrid>
      <w:tr w:rsidR="005E6A8E" w:rsidRPr="005457F2" w14:paraId="7D26BC10" w14:textId="77777777">
        <w:trPr>
          <w:trHeight w:val="20"/>
        </w:trPr>
        <w:tc>
          <w:tcPr>
            <w:tcW w:w="7920" w:type="dxa"/>
            <w:gridSpan w:val="5"/>
            <w:tcBorders>
              <w:top w:val="nil"/>
              <w:left w:val="nil"/>
              <w:bottom w:val="nil"/>
              <w:right w:val="nil"/>
            </w:tcBorders>
            <w:shd w:val="clear" w:color="auto" w:fill="FFFFFF"/>
          </w:tcPr>
          <w:p w14:paraId="1D69C13B" w14:textId="77777777" w:rsidR="005E6A8E" w:rsidRPr="005457F2" w:rsidRDefault="005E6A8E" w:rsidP="00A40860">
            <w:pPr>
              <w:pStyle w:val="NlTable"/>
              <w:ind w:left="0"/>
              <w:rPr>
                <w:b/>
              </w:rPr>
            </w:pPr>
            <w:r w:rsidRPr="005457F2">
              <w:rPr>
                <w:b/>
              </w:rPr>
              <w:t>Custom</w:t>
            </w:r>
            <w:r w:rsidR="00A05118" w:rsidRPr="005457F2">
              <w:rPr>
                <w:b/>
              </w:rPr>
              <w:t xml:space="preserve"> </w:t>
            </w:r>
            <w:r w:rsidRPr="005457F2">
              <w:rPr>
                <w:b/>
              </w:rPr>
              <w:t>Weights for the Four Eye-Opening Ratings</w:t>
            </w:r>
          </w:p>
        </w:tc>
      </w:tr>
      <w:tr w:rsidR="001248C4" w:rsidRPr="005457F2" w14:paraId="10827EEC" w14:textId="77777777">
        <w:trPr>
          <w:trHeight w:val="20"/>
        </w:trPr>
        <w:tc>
          <w:tcPr>
            <w:tcW w:w="1890" w:type="dxa"/>
            <w:tcBorders>
              <w:top w:val="nil"/>
              <w:left w:val="nil"/>
              <w:bottom w:val="nil"/>
              <w:right w:val="nil"/>
            </w:tcBorders>
            <w:shd w:val="clear" w:color="auto" w:fill="FFFFFF"/>
          </w:tcPr>
          <w:p w14:paraId="5209A487" w14:textId="77777777" w:rsidR="001248C4" w:rsidRPr="005457F2" w:rsidRDefault="001248C4" w:rsidP="00A40860">
            <w:pPr>
              <w:pStyle w:val="NlTable"/>
            </w:pPr>
          </w:p>
        </w:tc>
        <w:tc>
          <w:tcPr>
            <w:tcW w:w="990" w:type="dxa"/>
            <w:tcBorders>
              <w:top w:val="nil"/>
              <w:left w:val="nil"/>
              <w:bottom w:val="nil"/>
              <w:right w:val="nil"/>
            </w:tcBorders>
            <w:shd w:val="clear" w:color="auto" w:fill="FFFFFF"/>
          </w:tcPr>
          <w:p w14:paraId="56F9AC7A" w14:textId="77777777" w:rsidR="001248C4" w:rsidRPr="005457F2" w:rsidRDefault="001248C4" w:rsidP="00A40860">
            <w:pPr>
              <w:pStyle w:val="NlTable"/>
              <w:rPr>
                <w:b/>
              </w:rPr>
            </w:pPr>
            <w:r w:rsidRPr="005457F2">
              <w:rPr>
                <w:b/>
              </w:rPr>
              <w:t>None</w:t>
            </w:r>
          </w:p>
        </w:tc>
        <w:tc>
          <w:tcPr>
            <w:tcW w:w="1170" w:type="dxa"/>
            <w:tcBorders>
              <w:top w:val="nil"/>
              <w:left w:val="nil"/>
              <w:bottom w:val="nil"/>
              <w:right w:val="nil"/>
            </w:tcBorders>
            <w:shd w:val="clear" w:color="auto" w:fill="FFFFFF"/>
          </w:tcPr>
          <w:p w14:paraId="435AB191" w14:textId="77777777" w:rsidR="001248C4" w:rsidRPr="005457F2" w:rsidRDefault="001248C4" w:rsidP="00A40860">
            <w:pPr>
              <w:pStyle w:val="NlTable"/>
              <w:rPr>
                <w:b/>
              </w:rPr>
            </w:pPr>
            <w:r w:rsidRPr="005457F2">
              <w:rPr>
                <w:b/>
              </w:rPr>
              <w:t>To Pain</w:t>
            </w:r>
          </w:p>
        </w:tc>
        <w:tc>
          <w:tcPr>
            <w:tcW w:w="1890" w:type="dxa"/>
            <w:tcBorders>
              <w:top w:val="nil"/>
              <w:left w:val="nil"/>
              <w:bottom w:val="nil"/>
              <w:right w:val="nil"/>
            </w:tcBorders>
            <w:shd w:val="clear" w:color="auto" w:fill="FFFFFF"/>
          </w:tcPr>
          <w:p w14:paraId="095ADB13" w14:textId="77777777" w:rsidR="001248C4" w:rsidRPr="005457F2" w:rsidRDefault="001248C4" w:rsidP="00A40860">
            <w:pPr>
              <w:pStyle w:val="NlTable"/>
              <w:rPr>
                <w:b/>
              </w:rPr>
            </w:pPr>
            <w:r w:rsidRPr="005457F2">
              <w:rPr>
                <w:b/>
              </w:rPr>
              <w:t>To Command</w:t>
            </w:r>
          </w:p>
        </w:tc>
        <w:tc>
          <w:tcPr>
            <w:tcW w:w="1980" w:type="dxa"/>
            <w:tcBorders>
              <w:top w:val="nil"/>
              <w:left w:val="nil"/>
              <w:bottom w:val="nil"/>
              <w:right w:val="nil"/>
            </w:tcBorders>
            <w:shd w:val="clear" w:color="auto" w:fill="FFFFFF"/>
          </w:tcPr>
          <w:p w14:paraId="7D9321BE" w14:textId="77777777" w:rsidR="001248C4" w:rsidRPr="005457F2" w:rsidRDefault="001248C4" w:rsidP="00A40860">
            <w:pPr>
              <w:pStyle w:val="NlTable"/>
              <w:rPr>
                <w:b/>
              </w:rPr>
            </w:pPr>
            <w:r w:rsidRPr="005457F2">
              <w:rPr>
                <w:b/>
              </w:rPr>
              <w:t>Spontaneous</w:t>
            </w:r>
          </w:p>
        </w:tc>
      </w:tr>
      <w:tr w:rsidR="001248C4" w:rsidRPr="005457F2" w14:paraId="6F6E132D" w14:textId="77777777">
        <w:trPr>
          <w:trHeight w:val="20"/>
        </w:trPr>
        <w:tc>
          <w:tcPr>
            <w:tcW w:w="1890" w:type="dxa"/>
            <w:tcBorders>
              <w:top w:val="nil"/>
              <w:left w:val="nil"/>
              <w:bottom w:val="nil"/>
              <w:right w:val="nil"/>
            </w:tcBorders>
            <w:shd w:val="clear" w:color="auto" w:fill="FFFFFF"/>
          </w:tcPr>
          <w:p w14:paraId="794BD1D0" w14:textId="77777777" w:rsidR="001248C4" w:rsidRPr="005457F2" w:rsidRDefault="001248C4" w:rsidP="00A40860">
            <w:pPr>
              <w:pStyle w:val="NlTable"/>
              <w:rPr>
                <w:b/>
              </w:rPr>
            </w:pPr>
            <w:r w:rsidRPr="005457F2">
              <w:rPr>
                <w:b/>
              </w:rPr>
              <w:t>None</w:t>
            </w:r>
          </w:p>
        </w:tc>
        <w:tc>
          <w:tcPr>
            <w:tcW w:w="990" w:type="dxa"/>
            <w:tcBorders>
              <w:top w:val="nil"/>
              <w:left w:val="nil"/>
              <w:bottom w:val="nil"/>
              <w:right w:val="nil"/>
            </w:tcBorders>
            <w:shd w:val="clear" w:color="auto" w:fill="FFFFFF"/>
          </w:tcPr>
          <w:p w14:paraId="6CBD0D99" w14:textId="77777777" w:rsidR="001248C4" w:rsidRPr="005457F2" w:rsidRDefault="001248C4" w:rsidP="00A40860">
            <w:pPr>
              <w:pStyle w:val="NlTable"/>
              <w:ind w:left="360"/>
            </w:pPr>
            <w:r w:rsidRPr="005457F2">
              <w:t>1</w:t>
            </w:r>
          </w:p>
        </w:tc>
        <w:tc>
          <w:tcPr>
            <w:tcW w:w="1170" w:type="dxa"/>
            <w:tcBorders>
              <w:top w:val="nil"/>
              <w:left w:val="nil"/>
              <w:bottom w:val="nil"/>
              <w:right w:val="nil"/>
            </w:tcBorders>
            <w:shd w:val="clear" w:color="auto" w:fill="FFFFFF"/>
          </w:tcPr>
          <w:p w14:paraId="2BBF9C4C" w14:textId="77777777" w:rsidR="001248C4" w:rsidRPr="005457F2" w:rsidRDefault="001248C4" w:rsidP="00A40860">
            <w:pPr>
              <w:pStyle w:val="NlTable"/>
              <w:ind w:left="270"/>
            </w:pPr>
            <w:r w:rsidRPr="005457F2">
              <w:t>0.5</w:t>
            </w:r>
          </w:p>
        </w:tc>
        <w:tc>
          <w:tcPr>
            <w:tcW w:w="1890" w:type="dxa"/>
            <w:tcBorders>
              <w:top w:val="nil"/>
              <w:left w:val="nil"/>
              <w:bottom w:val="nil"/>
              <w:right w:val="nil"/>
            </w:tcBorders>
            <w:shd w:val="clear" w:color="auto" w:fill="FFFFFF"/>
          </w:tcPr>
          <w:p w14:paraId="70DBD0DF" w14:textId="77777777" w:rsidR="001248C4" w:rsidRPr="005457F2" w:rsidRDefault="001248C4" w:rsidP="00A40860">
            <w:pPr>
              <w:pStyle w:val="NlTable"/>
              <w:ind w:left="581"/>
            </w:pPr>
            <w:r w:rsidRPr="005457F2">
              <w:t>0</w:t>
            </w:r>
          </w:p>
        </w:tc>
        <w:tc>
          <w:tcPr>
            <w:tcW w:w="1980" w:type="dxa"/>
            <w:tcBorders>
              <w:top w:val="nil"/>
              <w:left w:val="nil"/>
              <w:bottom w:val="nil"/>
              <w:right w:val="nil"/>
            </w:tcBorders>
            <w:shd w:val="clear" w:color="auto" w:fill="FFFFFF"/>
          </w:tcPr>
          <w:p w14:paraId="3BE8DCDE" w14:textId="77777777" w:rsidR="001248C4" w:rsidRPr="005457F2" w:rsidRDefault="001248C4" w:rsidP="00A40860">
            <w:pPr>
              <w:pStyle w:val="NlTable"/>
              <w:ind w:left="662"/>
            </w:pPr>
            <w:r w:rsidRPr="005457F2">
              <w:t>0</w:t>
            </w:r>
          </w:p>
        </w:tc>
      </w:tr>
      <w:tr w:rsidR="001248C4" w:rsidRPr="005457F2" w14:paraId="5B036F0E" w14:textId="77777777">
        <w:trPr>
          <w:trHeight w:val="20"/>
        </w:trPr>
        <w:tc>
          <w:tcPr>
            <w:tcW w:w="1890" w:type="dxa"/>
            <w:tcBorders>
              <w:top w:val="nil"/>
              <w:left w:val="nil"/>
              <w:bottom w:val="nil"/>
              <w:right w:val="nil"/>
            </w:tcBorders>
            <w:shd w:val="clear" w:color="auto" w:fill="FFFFFF"/>
          </w:tcPr>
          <w:p w14:paraId="6CE2A014" w14:textId="77777777" w:rsidR="001248C4" w:rsidRPr="005457F2" w:rsidRDefault="001248C4" w:rsidP="00A40860">
            <w:pPr>
              <w:pStyle w:val="NlTable"/>
              <w:rPr>
                <w:b/>
              </w:rPr>
            </w:pPr>
            <w:r w:rsidRPr="005457F2">
              <w:rPr>
                <w:b/>
              </w:rPr>
              <w:t>To Pain</w:t>
            </w:r>
          </w:p>
        </w:tc>
        <w:tc>
          <w:tcPr>
            <w:tcW w:w="990" w:type="dxa"/>
            <w:tcBorders>
              <w:top w:val="nil"/>
              <w:left w:val="nil"/>
              <w:bottom w:val="nil"/>
              <w:right w:val="nil"/>
            </w:tcBorders>
            <w:shd w:val="clear" w:color="auto" w:fill="FFFFFF"/>
          </w:tcPr>
          <w:p w14:paraId="4D240D7C" w14:textId="77777777" w:rsidR="001248C4" w:rsidRPr="005457F2" w:rsidRDefault="001248C4" w:rsidP="00A40860">
            <w:pPr>
              <w:pStyle w:val="NlTable"/>
              <w:ind w:left="360"/>
            </w:pPr>
            <w:r w:rsidRPr="005457F2">
              <w:t>0.5</w:t>
            </w:r>
          </w:p>
        </w:tc>
        <w:tc>
          <w:tcPr>
            <w:tcW w:w="1170" w:type="dxa"/>
            <w:tcBorders>
              <w:top w:val="nil"/>
              <w:left w:val="nil"/>
              <w:bottom w:val="nil"/>
              <w:right w:val="nil"/>
            </w:tcBorders>
            <w:shd w:val="clear" w:color="auto" w:fill="FFFFFF"/>
          </w:tcPr>
          <w:p w14:paraId="7B262F60" w14:textId="77777777" w:rsidR="001248C4" w:rsidRPr="005457F2" w:rsidRDefault="001248C4" w:rsidP="00A40860">
            <w:pPr>
              <w:pStyle w:val="NlTable"/>
              <w:ind w:left="270"/>
            </w:pPr>
            <w:r w:rsidRPr="005457F2">
              <w:t>1</w:t>
            </w:r>
          </w:p>
        </w:tc>
        <w:tc>
          <w:tcPr>
            <w:tcW w:w="1890" w:type="dxa"/>
            <w:tcBorders>
              <w:top w:val="nil"/>
              <w:left w:val="nil"/>
              <w:bottom w:val="nil"/>
              <w:right w:val="nil"/>
            </w:tcBorders>
            <w:shd w:val="clear" w:color="auto" w:fill="FFFFFF"/>
          </w:tcPr>
          <w:p w14:paraId="02F47435" w14:textId="77777777" w:rsidR="001248C4" w:rsidRPr="005457F2" w:rsidRDefault="001248C4" w:rsidP="00A40860">
            <w:pPr>
              <w:pStyle w:val="NlTable"/>
              <w:ind w:left="581"/>
            </w:pPr>
            <w:r w:rsidRPr="005457F2">
              <w:t>0.5</w:t>
            </w:r>
          </w:p>
        </w:tc>
        <w:tc>
          <w:tcPr>
            <w:tcW w:w="1980" w:type="dxa"/>
            <w:tcBorders>
              <w:top w:val="nil"/>
              <w:left w:val="nil"/>
              <w:bottom w:val="nil"/>
              <w:right w:val="nil"/>
            </w:tcBorders>
            <w:shd w:val="clear" w:color="auto" w:fill="FFFFFF"/>
          </w:tcPr>
          <w:p w14:paraId="771AD251" w14:textId="77777777" w:rsidR="001248C4" w:rsidRPr="005457F2" w:rsidRDefault="001248C4" w:rsidP="00A40860">
            <w:pPr>
              <w:pStyle w:val="NlTable"/>
              <w:ind w:left="662"/>
            </w:pPr>
            <w:r w:rsidRPr="005457F2">
              <w:t>0</w:t>
            </w:r>
          </w:p>
        </w:tc>
      </w:tr>
      <w:tr w:rsidR="001248C4" w:rsidRPr="005457F2" w14:paraId="44B9B8FA" w14:textId="77777777">
        <w:trPr>
          <w:trHeight w:val="20"/>
        </w:trPr>
        <w:tc>
          <w:tcPr>
            <w:tcW w:w="1890" w:type="dxa"/>
            <w:tcBorders>
              <w:top w:val="nil"/>
              <w:left w:val="nil"/>
              <w:bottom w:val="nil"/>
              <w:right w:val="nil"/>
            </w:tcBorders>
            <w:shd w:val="clear" w:color="auto" w:fill="FFFFFF"/>
          </w:tcPr>
          <w:p w14:paraId="2DC83FC8" w14:textId="77777777" w:rsidR="001248C4" w:rsidRPr="005457F2" w:rsidRDefault="001248C4" w:rsidP="00A40860">
            <w:pPr>
              <w:pStyle w:val="NlTable"/>
              <w:rPr>
                <w:b/>
              </w:rPr>
            </w:pPr>
            <w:r w:rsidRPr="005457F2">
              <w:rPr>
                <w:b/>
              </w:rPr>
              <w:t>To Command</w:t>
            </w:r>
          </w:p>
        </w:tc>
        <w:tc>
          <w:tcPr>
            <w:tcW w:w="990" w:type="dxa"/>
            <w:tcBorders>
              <w:top w:val="nil"/>
              <w:left w:val="nil"/>
              <w:bottom w:val="nil"/>
              <w:right w:val="nil"/>
            </w:tcBorders>
            <w:shd w:val="clear" w:color="auto" w:fill="FFFFFF"/>
          </w:tcPr>
          <w:p w14:paraId="7643B15F" w14:textId="77777777" w:rsidR="001248C4" w:rsidRPr="005457F2" w:rsidRDefault="001248C4" w:rsidP="00A40860">
            <w:pPr>
              <w:pStyle w:val="NlTable"/>
              <w:ind w:left="360"/>
            </w:pPr>
            <w:r w:rsidRPr="005457F2">
              <w:t>0</w:t>
            </w:r>
          </w:p>
        </w:tc>
        <w:tc>
          <w:tcPr>
            <w:tcW w:w="1170" w:type="dxa"/>
            <w:tcBorders>
              <w:top w:val="nil"/>
              <w:left w:val="nil"/>
              <w:bottom w:val="nil"/>
              <w:right w:val="nil"/>
            </w:tcBorders>
            <w:shd w:val="clear" w:color="auto" w:fill="FFFFFF"/>
          </w:tcPr>
          <w:p w14:paraId="1DF881ED" w14:textId="77777777" w:rsidR="001248C4" w:rsidRPr="005457F2" w:rsidRDefault="001248C4" w:rsidP="00A40860">
            <w:pPr>
              <w:pStyle w:val="NlTable"/>
              <w:ind w:left="270"/>
            </w:pPr>
            <w:r w:rsidRPr="005457F2">
              <w:t>0.5</w:t>
            </w:r>
          </w:p>
        </w:tc>
        <w:tc>
          <w:tcPr>
            <w:tcW w:w="1890" w:type="dxa"/>
            <w:tcBorders>
              <w:top w:val="nil"/>
              <w:left w:val="nil"/>
              <w:bottom w:val="nil"/>
              <w:right w:val="nil"/>
            </w:tcBorders>
            <w:shd w:val="clear" w:color="auto" w:fill="FFFFFF"/>
          </w:tcPr>
          <w:p w14:paraId="619D10AD" w14:textId="77777777" w:rsidR="001248C4" w:rsidRPr="005457F2" w:rsidRDefault="001248C4" w:rsidP="00A40860">
            <w:pPr>
              <w:pStyle w:val="NlTable"/>
              <w:ind w:left="581"/>
            </w:pPr>
            <w:r w:rsidRPr="005457F2">
              <w:t>1</w:t>
            </w:r>
          </w:p>
        </w:tc>
        <w:tc>
          <w:tcPr>
            <w:tcW w:w="1980" w:type="dxa"/>
            <w:tcBorders>
              <w:top w:val="nil"/>
              <w:left w:val="nil"/>
              <w:bottom w:val="nil"/>
              <w:right w:val="nil"/>
            </w:tcBorders>
            <w:shd w:val="clear" w:color="auto" w:fill="FFFFFF"/>
          </w:tcPr>
          <w:p w14:paraId="6195A3CC" w14:textId="77777777" w:rsidR="001248C4" w:rsidRPr="005457F2" w:rsidRDefault="001248C4" w:rsidP="00A40860">
            <w:pPr>
              <w:pStyle w:val="NlTable"/>
              <w:ind w:left="662"/>
            </w:pPr>
            <w:r w:rsidRPr="005457F2">
              <w:t>0.5</w:t>
            </w:r>
          </w:p>
        </w:tc>
      </w:tr>
      <w:tr w:rsidR="001248C4" w:rsidRPr="005457F2" w14:paraId="5C6D0F63" w14:textId="77777777">
        <w:trPr>
          <w:trHeight w:val="20"/>
        </w:trPr>
        <w:tc>
          <w:tcPr>
            <w:tcW w:w="1890" w:type="dxa"/>
            <w:tcBorders>
              <w:top w:val="nil"/>
              <w:left w:val="nil"/>
              <w:bottom w:val="nil"/>
              <w:right w:val="nil"/>
            </w:tcBorders>
            <w:shd w:val="clear" w:color="auto" w:fill="FFFFFF"/>
          </w:tcPr>
          <w:p w14:paraId="23FA2FEE" w14:textId="77777777" w:rsidR="001248C4" w:rsidRPr="005457F2" w:rsidRDefault="001248C4" w:rsidP="00A40860">
            <w:pPr>
              <w:pStyle w:val="NlTable"/>
              <w:rPr>
                <w:b/>
              </w:rPr>
            </w:pPr>
            <w:r w:rsidRPr="005457F2">
              <w:rPr>
                <w:b/>
              </w:rPr>
              <w:t>Spontaneous</w:t>
            </w:r>
          </w:p>
        </w:tc>
        <w:tc>
          <w:tcPr>
            <w:tcW w:w="990" w:type="dxa"/>
            <w:tcBorders>
              <w:top w:val="nil"/>
              <w:left w:val="nil"/>
              <w:bottom w:val="nil"/>
              <w:right w:val="nil"/>
            </w:tcBorders>
            <w:shd w:val="clear" w:color="auto" w:fill="FFFFFF"/>
          </w:tcPr>
          <w:p w14:paraId="500D8085" w14:textId="77777777" w:rsidR="001248C4" w:rsidRPr="005457F2" w:rsidRDefault="001248C4" w:rsidP="00A40860">
            <w:pPr>
              <w:pStyle w:val="NlTable"/>
              <w:ind w:left="360"/>
            </w:pPr>
            <w:r w:rsidRPr="005457F2">
              <w:t>0</w:t>
            </w:r>
          </w:p>
        </w:tc>
        <w:tc>
          <w:tcPr>
            <w:tcW w:w="1170" w:type="dxa"/>
            <w:tcBorders>
              <w:top w:val="nil"/>
              <w:left w:val="nil"/>
              <w:bottom w:val="nil"/>
              <w:right w:val="nil"/>
            </w:tcBorders>
            <w:shd w:val="clear" w:color="auto" w:fill="FFFFFF"/>
          </w:tcPr>
          <w:p w14:paraId="31085DF6" w14:textId="77777777" w:rsidR="001248C4" w:rsidRPr="005457F2" w:rsidRDefault="001248C4" w:rsidP="00A40860">
            <w:pPr>
              <w:pStyle w:val="NlTable"/>
              <w:ind w:left="270"/>
            </w:pPr>
            <w:r w:rsidRPr="005457F2">
              <w:t>0</w:t>
            </w:r>
          </w:p>
        </w:tc>
        <w:tc>
          <w:tcPr>
            <w:tcW w:w="1890" w:type="dxa"/>
            <w:tcBorders>
              <w:top w:val="nil"/>
              <w:left w:val="nil"/>
              <w:bottom w:val="nil"/>
              <w:right w:val="nil"/>
            </w:tcBorders>
            <w:shd w:val="clear" w:color="auto" w:fill="FFFFFF"/>
          </w:tcPr>
          <w:p w14:paraId="29097292" w14:textId="77777777" w:rsidR="001248C4" w:rsidRPr="005457F2" w:rsidRDefault="001248C4" w:rsidP="00A40860">
            <w:pPr>
              <w:pStyle w:val="NlTable"/>
              <w:ind w:left="581"/>
            </w:pPr>
            <w:r w:rsidRPr="005457F2">
              <w:t>0.5</w:t>
            </w:r>
          </w:p>
        </w:tc>
        <w:tc>
          <w:tcPr>
            <w:tcW w:w="1980" w:type="dxa"/>
            <w:tcBorders>
              <w:top w:val="nil"/>
              <w:left w:val="nil"/>
              <w:bottom w:val="nil"/>
              <w:right w:val="nil"/>
            </w:tcBorders>
            <w:shd w:val="clear" w:color="auto" w:fill="FFFFFF"/>
          </w:tcPr>
          <w:p w14:paraId="6A7D1A76" w14:textId="77777777" w:rsidR="001248C4" w:rsidRPr="005457F2" w:rsidRDefault="001248C4" w:rsidP="00A40860">
            <w:pPr>
              <w:pStyle w:val="NlTable"/>
              <w:ind w:left="662"/>
            </w:pPr>
            <w:r w:rsidRPr="005457F2">
              <w:t>1</w:t>
            </w:r>
          </w:p>
        </w:tc>
      </w:tr>
    </w:tbl>
    <w:p w14:paraId="5EF41FBB" w14:textId="77777777" w:rsidR="00B91CD8" w:rsidRPr="005457F2" w:rsidRDefault="004F48DE" w:rsidP="00A40860">
      <w:pPr>
        <w:pStyle w:val="NormalWeb"/>
      </w:pPr>
      <w:r w:rsidRPr="005457F2">
        <w:lastRenderedPageBreak/>
        <w:t>In this case, the kappa using custom weights was greater than the unweighted kappa and slightly less than the linear weighted kappa. This makes sense because linear weighted kappa gave more credit for disagreements differing by one category (2/3 vs. 1/2 weight)</w:t>
      </w:r>
      <w:r w:rsidR="0062320A">
        <w:t xml:space="preserve"> or two categories (1/3 vs. 0 weight)</w:t>
      </w:r>
      <w:r w:rsidRPr="005457F2">
        <w:t>.</w:t>
      </w:r>
    </w:p>
    <w:p w14:paraId="56722FCF" w14:textId="62116F46" w:rsidR="00B91CD8" w:rsidRPr="005457F2" w:rsidRDefault="004F48DE" w:rsidP="00A40860">
      <w:pPr>
        <w:pStyle w:val="NormalWeb"/>
      </w:pPr>
      <w:r w:rsidRPr="005457F2">
        <w:t>Although weighted kappa is generally used for ordinal variables, it can be used for nominal variables as well, if some types of disagreement are more signi</w:t>
      </w:r>
      <w:r w:rsidR="007816D8" w:rsidRPr="005457F2">
        <w:t>fi</w:t>
      </w:r>
      <w:r w:rsidRPr="005457F2">
        <w:t>cant than others.</w:t>
      </w:r>
      <w:r w:rsidR="00C13F4C">
        <w:t xml:space="preserve">  </w:t>
      </w:r>
      <w:r w:rsidR="0047505A">
        <w:t xml:space="preserve">For example, </w:t>
      </w:r>
      <w:r w:rsidR="000F0BFF">
        <w:t>in the previou</w:t>
      </w:r>
      <w:r w:rsidR="009B40B0">
        <w:t>sly described study of CT scans</w:t>
      </w:r>
      <w:r w:rsidR="00F72EC2">
        <w:t xml:space="preserve"> for nontraumatic abdominal pain</w:t>
      </w:r>
      <w:r w:rsidR="007F4D5A">
        <w:fldChar w:fldCharType="begin"/>
      </w:r>
      <w:r w:rsidR="00A842BC">
        <w:instrText xml:space="preserve"> ADDIN EN.CITE &lt;EndNote&gt;&lt;Cite&gt;&lt;Author&gt;Perry&lt;/Author&gt;&lt;Year&gt;2016&lt;/Year&gt;&lt;RecNum&gt;1403&lt;/RecNum&gt;&lt;DisplayText&gt;[8]&lt;/DisplayText&gt;&lt;record&gt;&lt;rec-number&gt;1403&lt;/rec-number&gt;&lt;foreign-keys&gt;&lt;key app="EN" db-id="0ftvff9p80fp5few5s05f5fw9rd9fefrdzer" timestamp="1504312663"&gt;1403&lt;/key&gt;&lt;/foreign-keys&gt;&lt;ref-type name="Journal Article"&gt;17&lt;/ref-type&gt;&lt;contributors&gt;&lt;authors&gt;&lt;author&gt;Perry, H.&lt;/author&gt;&lt;author&gt;Foley, K. G.&lt;/author&gt;&lt;author&gt;Witherspoon, J.&lt;/author&gt;&lt;author&gt;Powell-Chandler, A.&lt;/author&gt;&lt;author&gt;Abdelrahman, T.&lt;/author&gt;&lt;author&gt;Roberts, A.&lt;/author&gt;&lt;author&gt;Lewis, W. G.&lt;/author&gt;&lt;/authors&gt;&lt;/contributors&gt;&lt;auth-address&gt;1 Department of General Surgery, University Hospital of Wales, Cardiff, UK.&amp;#xD;2 Department of Radiology, University Hospital of Wales, Cardiff, UK.&lt;/auth-address&gt;&lt;titles&gt;&lt;title&gt;Relative accuracy of emergency CT in adults with non-traumatic abdominal pain&lt;/title&gt;&lt;secondary-title&gt;Br J Radiol&lt;/secondary-title&gt;&lt;/titles&gt;&lt;periodical&gt;&lt;full-title&gt;Br J Radiol&lt;/full-title&gt;&lt;/periodical&gt;&lt;pages&gt;20150416&lt;/pages&gt;&lt;volume&gt;89&lt;/volume&gt;&lt;number&gt;1059&lt;/number&gt;&lt;keywords&gt;&lt;keyword&gt;Abdominal Pain/*diagnostic imaging&lt;/keyword&gt;&lt;keyword&gt;Adolescent&lt;/keyword&gt;&lt;keyword&gt;Adult&lt;/keyword&gt;&lt;keyword&gt;Aged&lt;/keyword&gt;&lt;keyword&gt;Aged, 80 and over&lt;/keyword&gt;&lt;keyword&gt;*Emergency Service, Hospital&lt;/keyword&gt;&lt;keyword&gt;Female&lt;/keyword&gt;&lt;keyword&gt;Humans&lt;/keyword&gt;&lt;keyword&gt;Intestine, Small/*diagnostic imaging&lt;/keyword&gt;&lt;keyword&gt;Male&lt;/keyword&gt;&lt;keyword&gt;Middle Aged&lt;/keyword&gt;&lt;keyword&gt;Reproducibility of Results&lt;/keyword&gt;&lt;keyword&gt;*Tomography, X-Ray Computed&lt;/keyword&gt;&lt;keyword&gt;Young Adult&lt;/keyword&gt;&lt;/keywords&gt;&lt;dates&gt;&lt;year&gt;2016&lt;/year&gt;&lt;/dates&gt;&lt;isbn&gt;1748-880X (Electronic)&amp;#xD;0007-1285 (Linking)&lt;/isbn&gt;&lt;accession-num&gt;26790835&lt;/accession-num&gt;&lt;urls&gt;&lt;related-urls&gt;&lt;url&gt;https://www.ncbi.nlm.nih.gov/pubmed/26790835&lt;/url&gt;&lt;/related-urls&gt;&lt;/urls&gt;&lt;custom2&gt;PMC4986479&lt;/custom2&gt;&lt;electronic-resource-num&gt;10.1259/bjr.20150416&lt;/electronic-resource-num&gt;&lt;/record&gt;&lt;/Cite&gt;&lt;/EndNote&gt;</w:instrText>
      </w:r>
      <w:r w:rsidR="007F4D5A">
        <w:fldChar w:fldCharType="separate"/>
      </w:r>
      <w:r w:rsidR="00A842BC">
        <w:rPr>
          <w:noProof/>
        </w:rPr>
        <w:t>[8]</w:t>
      </w:r>
      <w:r w:rsidR="007F4D5A">
        <w:fldChar w:fldCharType="end"/>
      </w:r>
      <w:r w:rsidR="000663D0">
        <w:t>,</w:t>
      </w:r>
      <w:r w:rsidR="009B40B0">
        <w:t xml:space="preserve"> the authors </w:t>
      </w:r>
      <w:r w:rsidR="00AF6F55">
        <w:t>used a weighting scheme that gave more credit if the CT</w:t>
      </w:r>
      <w:r w:rsidR="000663D0">
        <w:t xml:space="preserve"> </w:t>
      </w:r>
      <w:r w:rsidR="00AF6F55">
        <w:t>scan</w:t>
      </w:r>
      <w:r w:rsidR="000663D0">
        <w:t>’s</w:t>
      </w:r>
      <w:r w:rsidR="00AF6F55">
        <w:t xml:space="preserve"> anatomic location was closer to that found </w:t>
      </w:r>
      <w:r w:rsidR="000663D0">
        <w:t xml:space="preserve">at </w:t>
      </w:r>
      <w:r w:rsidR="00AF6F55">
        <w:t>operation</w:t>
      </w:r>
      <w:r w:rsidR="00C1661F">
        <w:t xml:space="preserve"> (e.g., small </w:t>
      </w:r>
      <w:r w:rsidR="007A5D61">
        <w:t>bowel</w:t>
      </w:r>
      <w:r w:rsidR="000663D0">
        <w:t xml:space="preserve"> vs </w:t>
      </w:r>
      <w:r w:rsidR="007A5D61">
        <w:t>colon)</w:t>
      </w:r>
      <w:r w:rsidR="00AF6F55">
        <w:t xml:space="preserve"> </w:t>
      </w:r>
      <w:r w:rsidR="00C1661F">
        <w:t>than if it was farther away</w:t>
      </w:r>
      <w:r w:rsidR="007A5D61">
        <w:t xml:space="preserve"> (e.g., stomach</w:t>
      </w:r>
      <w:r w:rsidR="000663D0">
        <w:t xml:space="preserve"> vs </w:t>
      </w:r>
      <w:r w:rsidR="007A5D61">
        <w:t xml:space="preserve">colon).  </w:t>
      </w:r>
      <w:r w:rsidR="00F72EC2">
        <w:t>This might make sense if, for example,</w:t>
      </w:r>
      <w:r w:rsidR="00040DA9">
        <w:t xml:space="preserve"> the CT scan determined the location of the incision made by the surgeon.</w:t>
      </w:r>
    </w:p>
    <w:p w14:paraId="75A10119" w14:textId="77777777" w:rsidR="00B91CD8" w:rsidRPr="005457F2" w:rsidRDefault="004F48DE" w:rsidP="00A40860">
      <w:pPr>
        <w:pStyle w:val="NormalWeb"/>
      </w:pPr>
      <w:r w:rsidRPr="005457F2">
        <w:t>Whatever weighting scheme we choose, it should be symmetric along the diagonal, so that the answer does not depend on which observer is #1 and which is #2.</w:t>
      </w:r>
    </w:p>
    <w:p w14:paraId="3CB40150" w14:textId="48E53DEA" w:rsidR="00B91CD8" w:rsidRPr="005457F2" w:rsidRDefault="004F48DE" w:rsidP="008F2353">
      <w:pPr>
        <w:pStyle w:val="NormalWeb"/>
      </w:pPr>
      <w:r w:rsidRPr="005457F2">
        <w:t>Kappa also generalizes to more than two observers, although then it is much easier to use a statistics software package.</w:t>
      </w:r>
      <w:r w:rsidR="008F2353">
        <w:t xml:space="preserve">  For more than two </w:t>
      </w:r>
      <w:r w:rsidR="00A811FA">
        <w:t>observers</w:t>
      </w:r>
      <w:r w:rsidR="008F2353">
        <w:t xml:space="preserve">, </w:t>
      </w:r>
      <w:r w:rsidR="00A811FA">
        <w:t xml:space="preserve">kappa does not depend on whether the same observers rate each subject in the sample.  If Observers A, B, and C, rate the first subject, D, E, and F can rate the second subject, and B, C, and D can rate the third.  Even the number of raters can vary from subject to subject.  </w:t>
      </w:r>
      <w:r w:rsidR="0033327F">
        <w:t xml:space="preserve">This same approach works </w:t>
      </w:r>
      <w:r w:rsidR="008F2353">
        <w:t xml:space="preserve">with two </w:t>
      </w:r>
      <w:r w:rsidR="0033327F">
        <w:t>observers</w:t>
      </w:r>
      <w:r w:rsidR="008F2353">
        <w:t xml:space="preserve"> when the </w:t>
      </w:r>
      <w:r w:rsidR="0033327F">
        <w:t>observers</w:t>
      </w:r>
      <w:r w:rsidR="008F2353">
        <w:t>’ identities vary.</w:t>
      </w:r>
      <w:r w:rsidR="0033327F" w:rsidRPr="005457F2" w:rsidDel="0033327F">
        <w:t xml:space="preserve"> </w:t>
      </w:r>
      <w:r w:rsidR="0033327F">
        <w:t xml:space="preserve">  Of course, the only way to identify systematic differences between observers is to have them rate the same subjects.</w:t>
      </w:r>
    </w:p>
    <w:p w14:paraId="60A31CD2" w14:textId="77777777" w:rsidR="00B91CD8" w:rsidRPr="005457F2" w:rsidRDefault="004F48DE" w:rsidP="006738B9">
      <w:pPr>
        <w:pStyle w:val="NormalWeb"/>
      </w:pPr>
      <w:r w:rsidRPr="005457F2">
        <w:t>What is a good kappa?</w:t>
      </w:r>
    </w:p>
    <w:p w14:paraId="6C959E6B" w14:textId="77777777" w:rsidR="00B91CD8" w:rsidRDefault="007035C4" w:rsidP="003D1341">
      <w:pPr>
        <w:pStyle w:val="NormalWeb"/>
      </w:pPr>
      <w:r>
        <w:t>Students frequently ask us</w:t>
      </w:r>
      <w:r w:rsidR="004F48DE" w:rsidRPr="005457F2">
        <w:t xml:space="preserve"> what constitutes a good kappa. </w:t>
      </w:r>
      <w:r w:rsidR="008D3436">
        <w:t>Two</w:t>
      </w:r>
      <w:r w:rsidR="004F48DE" w:rsidRPr="005457F2">
        <w:t xml:space="preserve"> sample classi</w:t>
      </w:r>
      <w:r w:rsidR="007816D8" w:rsidRPr="005457F2">
        <w:t>fi</w:t>
      </w:r>
      <w:r w:rsidR="004F48DE" w:rsidRPr="005457F2">
        <w:t xml:space="preserve">cations are shown in </w:t>
      </w:r>
      <w:r w:rsidR="00582F24">
        <w:t>Table 5.</w:t>
      </w:r>
      <w:r w:rsidR="0076082E">
        <w:t>6</w:t>
      </w:r>
      <w:r w:rsidR="004F48DE" w:rsidRPr="005457F2">
        <w:t>.</w:t>
      </w:r>
      <w:r w:rsidR="00F14509">
        <w:t xml:space="preserve">  </w:t>
      </w:r>
      <w:r w:rsidR="0076082E">
        <w:t>For reasons discussed below, the classifications in Table 5.6 are probably most appropriate for dichotomous variables.</w:t>
      </w:r>
      <w:r w:rsidR="0076082E" w:rsidRPr="005457F2">
        <w:t xml:space="preserve"> </w:t>
      </w:r>
      <w:r w:rsidR="00F14509">
        <w:t xml:space="preserve">However, </w:t>
      </w:r>
      <w:r w:rsidR="0076082E">
        <w:t xml:space="preserve">what constitutes a good </w:t>
      </w:r>
      <w:r w:rsidR="003B3860">
        <w:t>k</w:t>
      </w:r>
      <w:r w:rsidR="0076082E">
        <w:t>appa</w:t>
      </w:r>
      <w:r w:rsidR="00EF3C45">
        <w:t xml:space="preserve"> also</w:t>
      </w:r>
      <w:r>
        <w:t xml:space="preserve"> depends on the clinical context.  The </w:t>
      </w:r>
      <w:r w:rsidR="008D3436">
        <w:t xml:space="preserve">classifications </w:t>
      </w:r>
      <w:r w:rsidR="00EF3C45">
        <w:t>in Table 5.6</w:t>
      </w:r>
      <w:r>
        <w:t xml:space="preserve"> seem appropriate for physical examination findings, </w:t>
      </w:r>
      <w:r w:rsidR="00D45606">
        <w:t xml:space="preserve">on which agreement is often moderate or worse, and which </w:t>
      </w:r>
      <w:r w:rsidR="005148B8">
        <w:t xml:space="preserve">generally determine which tests to do or at most whether to start </w:t>
      </w:r>
      <w:r w:rsidR="00974B58">
        <w:t xml:space="preserve">treatments that are not particularly onerous.  On the other hand, if the kappa is describing agreement between pathologists whose </w:t>
      </w:r>
      <w:r w:rsidR="006A6993">
        <w:t>diagnosis</w:t>
      </w:r>
      <w:r w:rsidR="00974B58">
        <w:t xml:space="preserve"> </w:t>
      </w:r>
      <w:r w:rsidR="005263B2">
        <w:t>could</w:t>
      </w:r>
      <w:r w:rsidR="00974B58">
        <w:t xml:space="preserve"> </w:t>
      </w:r>
      <w:r w:rsidR="006A6993">
        <w:t xml:space="preserve">mean the difference between a sigh of relief and </w:t>
      </w:r>
      <w:r w:rsidR="00974B58">
        <w:t>a long course of chemotherapy,</w:t>
      </w:r>
      <w:r w:rsidR="005263B2">
        <w:t xml:space="preserve"> we would hesitate to call a kappa of 0.81 "almost perfect"</w:t>
      </w:r>
      <w:r w:rsidR="009B7576">
        <w:t xml:space="preserve"> or even “very good”!</w:t>
      </w:r>
      <w:r w:rsidR="005263B2">
        <w:t xml:space="preserve"> </w:t>
      </w:r>
    </w:p>
    <w:p w14:paraId="42EB71EC" w14:textId="77777777" w:rsidR="00AA5AE6" w:rsidRPr="005457F2" w:rsidRDefault="00AA5AE6" w:rsidP="00AA5AE6">
      <w:pPr>
        <w:pStyle w:val="NormalWeb"/>
      </w:pPr>
      <w:r>
        <w:rPr>
          <w:b/>
        </w:rPr>
        <w:t>Table 5.</w:t>
      </w:r>
      <w:r w:rsidR="00BB1F00">
        <w:rPr>
          <w:b/>
        </w:rPr>
        <w:t>6</w:t>
      </w:r>
      <w:r w:rsidRPr="005457F2">
        <w:rPr>
          <w:b/>
        </w:rPr>
        <w:t>.</w:t>
      </w:r>
      <w:r w:rsidRPr="005457F2">
        <w:t xml:space="preserve"> Kappa classifications</w:t>
      </w:r>
    </w:p>
    <w:tbl>
      <w:tblPr>
        <w:tblW w:w="0" w:type="auto"/>
        <w:tblInd w:w="40" w:type="dxa"/>
        <w:tblLayout w:type="fixed"/>
        <w:tblCellMar>
          <w:left w:w="40" w:type="dxa"/>
          <w:right w:w="40" w:type="dxa"/>
        </w:tblCellMar>
        <w:tblLook w:val="0000" w:firstRow="0" w:lastRow="0" w:firstColumn="0" w:lastColumn="0" w:noHBand="0" w:noVBand="0"/>
      </w:tblPr>
      <w:tblGrid>
        <w:gridCol w:w="1620"/>
        <w:gridCol w:w="2250"/>
        <w:gridCol w:w="2610"/>
      </w:tblGrid>
      <w:tr w:rsidR="00AA5AE6" w:rsidRPr="005457F2" w14:paraId="2F46EA6F" w14:textId="77777777" w:rsidTr="00AA5AE6">
        <w:trPr>
          <w:trHeight w:val="20"/>
        </w:trPr>
        <w:tc>
          <w:tcPr>
            <w:tcW w:w="1620" w:type="dxa"/>
            <w:tcBorders>
              <w:top w:val="single" w:sz="6" w:space="0" w:color="auto"/>
              <w:left w:val="nil"/>
              <w:bottom w:val="single" w:sz="6" w:space="0" w:color="auto"/>
              <w:right w:val="nil"/>
            </w:tcBorders>
            <w:shd w:val="clear" w:color="auto" w:fill="FFFFFF"/>
          </w:tcPr>
          <w:p w14:paraId="5D7E38BC" w14:textId="77777777" w:rsidR="00AA5AE6" w:rsidRPr="005457F2" w:rsidRDefault="00AA5AE6" w:rsidP="00AA5AE6">
            <w:pPr>
              <w:pStyle w:val="Table"/>
              <w:rPr>
                <w:sz w:val="22"/>
                <w:szCs w:val="22"/>
              </w:rPr>
            </w:pPr>
            <w:r w:rsidRPr="005457F2">
              <w:rPr>
                <w:sz w:val="22"/>
                <w:szCs w:val="22"/>
              </w:rPr>
              <w:t>Kappa</w:t>
            </w:r>
          </w:p>
        </w:tc>
        <w:tc>
          <w:tcPr>
            <w:tcW w:w="2250" w:type="dxa"/>
            <w:tcBorders>
              <w:top w:val="single" w:sz="6" w:space="0" w:color="auto"/>
              <w:left w:val="nil"/>
              <w:bottom w:val="single" w:sz="6" w:space="0" w:color="auto"/>
              <w:right w:val="nil"/>
            </w:tcBorders>
            <w:shd w:val="clear" w:color="auto" w:fill="FFFFFF"/>
          </w:tcPr>
          <w:p w14:paraId="4E536182" w14:textId="2E2901BA" w:rsidR="00AA5AE6" w:rsidRPr="005457F2" w:rsidRDefault="00AA5AE6" w:rsidP="00A842BC">
            <w:pPr>
              <w:pStyle w:val="Table"/>
              <w:rPr>
                <w:sz w:val="22"/>
                <w:szCs w:val="22"/>
              </w:rPr>
            </w:pPr>
            <w:r w:rsidRPr="005457F2">
              <w:rPr>
                <w:sz w:val="22"/>
                <w:szCs w:val="22"/>
                <w:lang w:val="sq-AL"/>
              </w:rPr>
              <w:t xml:space="preserve">Sackett et al. </w:t>
            </w:r>
            <w:r w:rsidR="002C50E8">
              <w:rPr>
                <w:sz w:val="22"/>
                <w:szCs w:val="22"/>
                <w:lang w:val="sq-AL"/>
              </w:rPr>
              <w:fldChar w:fldCharType="begin"/>
            </w:r>
            <w:r w:rsidR="00A842BC">
              <w:rPr>
                <w:sz w:val="22"/>
                <w:szCs w:val="22"/>
                <w:lang w:val="sq-AL"/>
              </w:rPr>
              <w:instrText xml:space="preserve"> ADDIN EN.CITE &lt;EndNote&gt;&lt;Cite&gt;&lt;Author&gt;Sackett&lt;/Author&gt;&lt;Year&gt;1991&lt;/Year&gt;&lt;RecNum&gt;745&lt;/RecNum&gt;&lt;DisplayText&gt;[10]&lt;/DisplayText&gt;&lt;record&gt;&lt;rec-number&gt;745&lt;/rec-number&gt;&lt;foreign-keys&gt;&lt;key app="EN" db-id="0ftvff9p80fp5few5s05f5fw9rd9fefrdzer" timestamp="0"&gt;745&lt;/key&gt;&lt;/foreign-keys&gt;&lt;ref-type name="Book"&gt;6&lt;/ref-type&gt;&lt;contributors&gt;&lt;authors&gt;&lt;author&gt;Sackett, DS&lt;/author&gt;&lt;author&gt;Haynes, RB&lt;/author&gt;&lt;author&gt;Guyatt, GH&lt;/author&gt;&lt;author&gt;Tugwell, P&lt;/author&gt;&lt;/authors&gt;&lt;/contributors&gt;&lt;titles&gt;&lt;title&gt;Clinical Epidemiology: A Basic Science for Clinical Medicine&lt;/title&gt;&lt;/titles&gt;&lt;pages&gt;52&lt;/pages&gt;&lt;dates&gt;&lt;year&gt;1991&lt;/year&gt;&lt;/dates&gt;&lt;pub-location&gt;Boston&lt;/pub-location&gt;&lt;publisher&gt;Little, Brown and Company&lt;/publisher&gt;&lt;urls&gt;&lt;/urls&gt;&lt;/record&gt;&lt;/Cite&gt;&lt;/EndNote&gt;</w:instrText>
            </w:r>
            <w:r w:rsidR="002C50E8">
              <w:rPr>
                <w:sz w:val="22"/>
                <w:szCs w:val="22"/>
                <w:lang w:val="sq-AL"/>
              </w:rPr>
              <w:fldChar w:fldCharType="separate"/>
            </w:r>
            <w:r w:rsidR="00A842BC">
              <w:rPr>
                <w:noProof/>
                <w:sz w:val="22"/>
                <w:szCs w:val="22"/>
                <w:lang w:val="sq-AL"/>
              </w:rPr>
              <w:t>[10]</w:t>
            </w:r>
            <w:r w:rsidR="002C50E8">
              <w:rPr>
                <w:sz w:val="22"/>
                <w:szCs w:val="22"/>
                <w:lang w:val="sq-AL"/>
              </w:rPr>
              <w:fldChar w:fldCharType="end"/>
            </w:r>
            <w:r w:rsidR="002C50E8" w:rsidRPr="002C50E8">
              <w:rPr>
                <w:sz w:val="22"/>
                <w:szCs w:val="22"/>
                <w:lang w:val="sq-AL"/>
              </w:rPr>
              <w:t xml:space="preserve"> </w:t>
            </w:r>
          </w:p>
        </w:tc>
        <w:tc>
          <w:tcPr>
            <w:tcW w:w="2610" w:type="dxa"/>
            <w:tcBorders>
              <w:top w:val="single" w:sz="6" w:space="0" w:color="auto"/>
              <w:left w:val="nil"/>
              <w:bottom w:val="single" w:sz="6" w:space="0" w:color="auto"/>
              <w:right w:val="nil"/>
            </w:tcBorders>
            <w:shd w:val="clear" w:color="auto" w:fill="FFFFFF"/>
          </w:tcPr>
          <w:p w14:paraId="6FD09090" w14:textId="3EE8D284" w:rsidR="00AA5AE6" w:rsidRPr="005457F2" w:rsidRDefault="00AA5AE6" w:rsidP="00A842BC">
            <w:pPr>
              <w:pStyle w:val="Table"/>
              <w:rPr>
                <w:sz w:val="22"/>
                <w:szCs w:val="22"/>
              </w:rPr>
            </w:pPr>
            <w:r w:rsidRPr="005457F2">
              <w:rPr>
                <w:sz w:val="22"/>
                <w:szCs w:val="22"/>
                <w:lang w:val="sq-AL"/>
              </w:rPr>
              <w:t>Altman</w:t>
            </w:r>
            <w:r w:rsidR="00A842BC">
              <w:rPr>
                <w:sz w:val="22"/>
                <w:szCs w:val="22"/>
                <w:lang w:val="sq-AL"/>
              </w:rPr>
              <w:fldChar w:fldCharType="begin"/>
            </w:r>
            <w:r w:rsidR="00A842BC">
              <w:rPr>
                <w:sz w:val="22"/>
                <w:szCs w:val="22"/>
                <w:lang w:val="sq-AL"/>
              </w:rPr>
              <w:instrText xml:space="preserve"> ADDIN EN.CITE &lt;EndNote&gt;&lt;Cite&gt;&lt;Author&gt;Altman&lt;/Author&gt;&lt;Year&gt;1991&lt;/Year&gt;&lt;RecNum&gt;888&lt;/RecNum&gt;&lt;DisplayText&gt;[11]&lt;/DisplayText&gt;&lt;record&gt;&lt;rec-number&gt;888&lt;/rec-number&gt;&lt;foreign-keys&gt;&lt;key app="EN" db-id="0ftvff9p80fp5few5s05f5fw9rd9fefrdzer" timestamp="0"&gt;888&lt;/key&gt;&lt;/foreign-keys&gt;&lt;ref-type name="Book"&gt;6&lt;/ref-type&gt;&lt;contributors&gt;&lt;authors&gt;&lt;author&gt;Altman, Douglas G.&lt;/author&gt;&lt;/authors&gt;&lt;/contributors&gt;&lt;titles&gt;&lt;title&gt;Practical statistics for medical research&lt;/title&gt;&lt;/titles&gt;&lt;pages&gt;xii, 611 p.&lt;/pages&gt;&lt;edition&gt;1st&lt;/edition&gt;&lt;keywords&gt;&lt;keyword&gt;Medicine Research Statistical methods.&lt;/keyword&gt;&lt;/keywords&gt;&lt;dates&gt;&lt;year&gt;1991&lt;/year&gt;&lt;/dates&gt;&lt;pub-location&gt;London ; New York&lt;/pub-location&gt;&lt;publisher&gt;Chapman and Hall&lt;/publisher&gt;&lt;isbn&gt;0412276305&amp;#xD;0412386208 (pbk.)&lt;/isbn&gt;&lt;call-num&gt;Jefferson or Adams Bldg General or Area Studies Reading Rms R853.S7 A48 1991&lt;/call-num&gt;&lt;urls&gt;&lt;related-urls&gt;&lt;url&gt;http://www.loc.gov/catdir/enhancements/fy0646/91124890-d.html &lt;/url&gt;&lt;/related-urls&gt;&lt;/urls&gt;&lt;/record&gt;&lt;/Cite&gt;&lt;/EndNote&gt;</w:instrText>
            </w:r>
            <w:r w:rsidR="00A842BC">
              <w:rPr>
                <w:sz w:val="22"/>
                <w:szCs w:val="22"/>
                <w:lang w:val="sq-AL"/>
              </w:rPr>
              <w:fldChar w:fldCharType="separate"/>
            </w:r>
            <w:r w:rsidR="00A842BC">
              <w:rPr>
                <w:noProof/>
                <w:sz w:val="22"/>
                <w:szCs w:val="22"/>
                <w:lang w:val="sq-AL"/>
              </w:rPr>
              <w:t>[11]</w:t>
            </w:r>
            <w:r w:rsidR="00A842BC">
              <w:rPr>
                <w:sz w:val="22"/>
                <w:szCs w:val="22"/>
                <w:lang w:val="sq-AL"/>
              </w:rPr>
              <w:fldChar w:fldCharType="end"/>
            </w:r>
          </w:p>
        </w:tc>
      </w:tr>
      <w:tr w:rsidR="00AA5AE6" w:rsidRPr="005457F2" w14:paraId="03E11106" w14:textId="77777777" w:rsidTr="00AA5AE6">
        <w:trPr>
          <w:trHeight w:val="20"/>
        </w:trPr>
        <w:tc>
          <w:tcPr>
            <w:tcW w:w="1620" w:type="dxa"/>
            <w:tcBorders>
              <w:top w:val="single" w:sz="6" w:space="0" w:color="auto"/>
              <w:left w:val="nil"/>
              <w:bottom w:val="nil"/>
              <w:right w:val="nil"/>
            </w:tcBorders>
            <w:shd w:val="clear" w:color="auto" w:fill="FFFFFF"/>
          </w:tcPr>
          <w:p w14:paraId="4E9C838F" w14:textId="77777777" w:rsidR="00AA5AE6" w:rsidRPr="005457F2" w:rsidRDefault="00AA5AE6" w:rsidP="00AA5AE6">
            <w:pPr>
              <w:pStyle w:val="Table"/>
              <w:rPr>
                <w:sz w:val="22"/>
                <w:szCs w:val="22"/>
              </w:rPr>
            </w:pPr>
            <w:r w:rsidRPr="005457F2">
              <w:rPr>
                <w:sz w:val="22"/>
                <w:szCs w:val="22"/>
              </w:rPr>
              <w:t>0−0.2</w:t>
            </w:r>
          </w:p>
        </w:tc>
        <w:tc>
          <w:tcPr>
            <w:tcW w:w="2250" w:type="dxa"/>
            <w:tcBorders>
              <w:top w:val="single" w:sz="6" w:space="0" w:color="auto"/>
              <w:left w:val="nil"/>
              <w:bottom w:val="nil"/>
              <w:right w:val="nil"/>
            </w:tcBorders>
            <w:shd w:val="clear" w:color="auto" w:fill="FFFFFF"/>
          </w:tcPr>
          <w:p w14:paraId="656FD99E" w14:textId="77777777" w:rsidR="00AA5AE6" w:rsidRPr="005457F2" w:rsidRDefault="00AA5AE6" w:rsidP="00AA5AE6">
            <w:pPr>
              <w:pStyle w:val="Table"/>
              <w:rPr>
                <w:sz w:val="22"/>
                <w:szCs w:val="22"/>
              </w:rPr>
            </w:pPr>
            <w:r w:rsidRPr="005457F2">
              <w:rPr>
                <w:sz w:val="22"/>
                <w:szCs w:val="22"/>
              </w:rPr>
              <w:t>Slight</w:t>
            </w:r>
          </w:p>
        </w:tc>
        <w:tc>
          <w:tcPr>
            <w:tcW w:w="2610" w:type="dxa"/>
            <w:tcBorders>
              <w:top w:val="single" w:sz="6" w:space="0" w:color="auto"/>
              <w:left w:val="nil"/>
              <w:bottom w:val="nil"/>
              <w:right w:val="nil"/>
            </w:tcBorders>
            <w:shd w:val="clear" w:color="auto" w:fill="FFFFFF"/>
          </w:tcPr>
          <w:p w14:paraId="0EFC65FB" w14:textId="77777777" w:rsidR="00AA5AE6" w:rsidRPr="005457F2" w:rsidRDefault="00AA5AE6" w:rsidP="00AA5AE6">
            <w:pPr>
              <w:pStyle w:val="Table"/>
              <w:rPr>
                <w:sz w:val="22"/>
                <w:szCs w:val="22"/>
              </w:rPr>
            </w:pPr>
            <w:r w:rsidRPr="005457F2">
              <w:rPr>
                <w:sz w:val="22"/>
                <w:szCs w:val="22"/>
              </w:rPr>
              <w:t>Poor</w:t>
            </w:r>
          </w:p>
        </w:tc>
      </w:tr>
      <w:tr w:rsidR="00AA5AE6" w:rsidRPr="005457F2" w14:paraId="0323DF0F" w14:textId="77777777" w:rsidTr="00AA5AE6">
        <w:trPr>
          <w:trHeight w:val="20"/>
        </w:trPr>
        <w:tc>
          <w:tcPr>
            <w:tcW w:w="1620" w:type="dxa"/>
            <w:tcBorders>
              <w:top w:val="nil"/>
              <w:left w:val="nil"/>
              <w:bottom w:val="nil"/>
              <w:right w:val="nil"/>
            </w:tcBorders>
            <w:shd w:val="clear" w:color="auto" w:fill="FFFFFF"/>
          </w:tcPr>
          <w:p w14:paraId="6C56C78D" w14:textId="77777777" w:rsidR="00AA5AE6" w:rsidRPr="005457F2" w:rsidRDefault="00AA5AE6" w:rsidP="00AA5AE6">
            <w:pPr>
              <w:pStyle w:val="Table"/>
              <w:rPr>
                <w:sz w:val="22"/>
                <w:szCs w:val="22"/>
              </w:rPr>
            </w:pPr>
            <w:r w:rsidRPr="005457F2">
              <w:rPr>
                <w:sz w:val="22"/>
                <w:szCs w:val="22"/>
              </w:rPr>
              <w:t>0.2−0.4</w:t>
            </w:r>
          </w:p>
        </w:tc>
        <w:tc>
          <w:tcPr>
            <w:tcW w:w="2250" w:type="dxa"/>
            <w:tcBorders>
              <w:top w:val="nil"/>
              <w:left w:val="nil"/>
              <w:bottom w:val="nil"/>
              <w:right w:val="nil"/>
            </w:tcBorders>
            <w:shd w:val="clear" w:color="auto" w:fill="FFFFFF"/>
          </w:tcPr>
          <w:p w14:paraId="58326B26" w14:textId="77777777" w:rsidR="00AA5AE6" w:rsidRPr="005457F2" w:rsidRDefault="00AA5AE6" w:rsidP="00AA5AE6">
            <w:pPr>
              <w:pStyle w:val="Table"/>
              <w:rPr>
                <w:sz w:val="22"/>
                <w:szCs w:val="22"/>
              </w:rPr>
            </w:pPr>
            <w:r w:rsidRPr="005457F2">
              <w:rPr>
                <w:sz w:val="22"/>
                <w:szCs w:val="22"/>
              </w:rPr>
              <w:t>Fair</w:t>
            </w:r>
          </w:p>
        </w:tc>
        <w:tc>
          <w:tcPr>
            <w:tcW w:w="2610" w:type="dxa"/>
            <w:tcBorders>
              <w:top w:val="nil"/>
              <w:left w:val="nil"/>
              <w:bottom w:val="nil"/>
              <w:right w:val="nil"/>
            </w:tcBorders>
            <w:shd w:val="clear" w:color="auto" w:fill="FFFFFF"/>
          </w:tcPr>
          <w:p w14:paraId="2145859F" w14:textId="77777777" w:rsidR="00AA5AE6" w:rsidRPr="005457F2" w:rsidRDefault="00AA5AE6" w:rsidP="00AA5AE6">
            <w:pPr>
              <w:pStyle w:val="Table"/>
              <w:rPr>
                <w:sz w:val="22"/>
                <w:szCs w:val="22"/>
              </w:rPr>
            </w:pPr>
            <w:r w:rsidRPr="005457F2">
              <w:rPr>
                <w:sz w:val="22"/>
                <w:szCs w:val="22"/>
              </w:rPr>
              <w:t>Fair</w:t>
            </w:r>
          </w:p>
        </w:tc>
      </w:tr>
      <w:tr w:rsidR="00AA5AE6" w:rsidRPr="005457F2" w14:paraId="59576A86" w14:textId="77777777" w:rsidTr="00AA5AE6">
        <w:trPr>
          <w:trHeight w:val="20"/>
        </w:trPr>
        <w:tc>
          <w:tcPr>
            <w:tcW w:w="1620" w:type="dxa"/>
            <w:tcBorders>
              <w:top w:val="nil"/>
              <w:left w:val="nil"/>
              <w:bottom w:val="nil"/>
              <w:right w:val="nil"/>
            </w:tcBorders>
            <w:shd w:val="clear" w:color="auto" w:fill="FFFFFF"/>
          </w:tcPr>
          <w:p w14:paraId="12310211" w14:textId="77777777" w:rsidR="00AA5AE6" w:rsidRPr="005457F2" w:rsidRDefault="00AA5AE6" w:rsidP="00AA5AE6">
            <w:pPr>
              <w:pStyle w:val="Table"/>
              <w:rPr>
                <w:sz w:val="22"/>
                <w:szCs w:val="22"/>
              </w:rPr>
            </w:pPr>
            <w:r w:rsidRPr="005457F2">
              <w:rPr>
                <w:sz w:val="22"/>
                <w:szCs w:val="22"/>
              </w:rPr>
              <w:t>0.4−0.6</w:t>
            </w:r>
          </w:p>
        </w:tc>
        <w:tc>
          <w:tcPr>
            <w:tcW w:w="2250" w:type="dxa"/>
            <w:tcBorders>
              <w:top w:val="nil"/>
              <w:left w:val="nil"/>
              <w:bottom w:val="nil"/>
              <w:right w:val="nil"/>
            </w:tcBorders>
            <w:shd w:val="clear" w:color="auto" w:fill="FFFFFF"/>
          </w:tcPr>
          <w:p w14:paraId="7D2901D1" w14:textId="77777777" w:rsidR="00AA5AE6" w:rsidRPr="005457F2" w:rsidRDefault="00AA5AE6" w:rsidP="00AA5AE6">
            <w:pPr>
              <w:pStyle w:val="Table"/>
              <w:rPr>
                <w:sz w:val="22"/>
                <w:szCs w:val="22"/>
              </w:rPr>
            </w:pPr>
            <w:r w:rsidRPr="005457F2">
              <w:rPr>
                <w:sz w:val="22"/>
                <w:szCs w:val="22"/>
              </w:rPr>
              <w:t>Moderate</w:t>
            </w:r>
          </w:p>
        </w:tc>
        <w:tc>
          <w:tcPr>
            <w:tcW w:w="2610" w:type="dxa"/>
            <w:tcBorders>
              <w:top w:val="nil"/>
              <w:left w:val="nil"/>
              <w:bottom w:val="nil"/>
              <w:right w:val="nil"/>
            </w:tcBorders>
            <w:shd w:val="clear" w:color="auto" w:fill="FFFFFF"/>
          </w:tcPr>
          <w:p w14:paraId="2937B63F" w14:textId="77777777" w:rsidR="00AA5AE6" w:rsidRPr="005457F2" w:rsidRDefault="00AA5AE6" w:rsidP="00AA5AE6">
            <w:pPr>
              <w:pStyle w:val="Table"/>
              <w:rPr>
                <w:sz w:val="22"/>
                <w:szCs w:val="22"/>
              </w:rPr>
            </w:pPr>
            <w:r w:rsidRPr="005457F2">
              <w:rPr>
                <w:sz w:val="22"/>
                <w:szCs w:val="22"/>
              </w:rPr>
              <w:t>Moderate</w:t>
            </w:r>
          </w:p>
        </w:tc>
      </w:tr>
      <w:tr w:rsidR="00AA5AE6" w:rsidRPr="005457F2" w14:paraId="3F27D568" w14:textId="77777777" w:rsidTr="00AA5AE6">
        <w:trPr>
          <w:trHeight w:val="20"/>
        </w:trPr>
        <w:tc>
          <w:tcPr>
            <w:tcW w:w="1620" w:type="dxa"/>
            <w:tcBorders>
              <w:top w:val="nil"/>
              <w:left w:val="nil"/>
              <w:bottom w:val="nil"/>
              <w:right w:val="nil"/>
            </w:tcBorders>
            <w:shd w:val="clear" w:color="auto" w:fill="FFFFFF"/>
          </w:tcPr>
          <w:p w14:paraId="099E7624" w14:textId="77777777" w:rsidR="00AA5AE6" w:rsidRPr="005457F2" w:rsidRDefault="00AA5AE6" w:rsidP="00AA5AE6">
            <w:pPr>
              <w:pStyle w:val="Table"/>
              <w:rPr>
                <w:sz w:val="22"/>
                <w:szCs w:val="22"/>
              </w:rPr>
            </w:pPr>
            <w:r w:rsidRPr="005457F2">
              <w:rPr>
                <w:sz w:val="22"/>
                <w:szCs w:val="22"/>
              </w:rPr>
              <w:t>0.6−0.8</w:t>
            </w:r>
          </w:p>
        </w:tc>
        <w:tc>
          <w:tcPr>
            <w:tcW w:w="2250" w:type="dxa"/>
            <w:tcBorders>
              <w:top w:val="nil"/>
              <w:left w:val="nil"/>
              <w:bottom w:val="nil"/>
              <w:right w:val="nil"/>
            </w:tcBorders>
            <w:shd w:val="clear" w:color="auto" w:fill="FFFFFF"/>
          </w:tcPr>
          <w:p w14:paraId="1F27064B" w14:textId="77777777" w:rsidR="00AA5AE6" w:rsidRPr="005457F2" w:rsidRDefault="00AA5AE6" w:rsidP="00AA5AE6">
            <w:pPr>
              <w:pStyle w:val="Table"/>
              <w:rPr>
                <w:sz w:val="22"/>
                <w:szCs w:val="22"/>
              </w:rPr>
            </w:pPr>
            <w:r w:rsidRPr="005457F2">
              <w:rPr>
                <w:sz w:val="22"/>
                <w:szCs w:val="22"/>
              </w:rPr>
              <w:t>Substantial</w:t>
            </w:r>
          </w:p>
        </w:tc>
        <w:tc>
          <w:tcPr>
            <w:tcW w:w="2610" w:type="dxa"/>
            <w:tcBorders>
              <w:top w:val="nil"/>
              <w:left w:val="nil"/>
              <w:bottom w:val="nil"/>
              <w:right w:val="nil"/>
            </w:tcBorders>
            <w:shd w:val="clear" w:color="auto" w:fill="FFFFFF"/>
          </w:tcPr>
          <w:p w14:paraId="37291C1A" w14:textId="77777777" w:rsidR="00AA5AE6" w:rsidRPr="005457F2" w:rsidRDefault="00AA5AE6" w:rsidP="00AA5AE6">
            <w:pPr>
              <w:pStyle w:val="Table"/>
              <w:rPr>
                <w:sz w:val="22"/>
                <w:szCs w:val="22"/>
              </w:rPr>
            </w:pPr>
            <w:r w:rsidRPr="005457F2">
              <w:rPr>
                <w:sz w:val="22"/>
                <w:szCs w:val="22"/>
              </w:rPr>
              <w:t>Good</w:t>
            </w:r>
          </w:p>
        </w:tc>
      </w:tr>
      <w:tr w:rsidR="00AA5AE6" w:rsidRPr="005457F2" w14:paraId="15C2FC6C" w14:textId="77777777" w:rsidTr="00AA5AE6">
        <w:trPr>
          <w:trHeight w:val="20"/>
        </w:trPr>
        <w:tc>
          <w:tcPr>
            <w:tcW w:w="1620" w:type="dxa"/>
            <w:tcBorders>
              <w:top w:val="nil"/>
              <w:left w:val="nil"/>
              <w:bottom w:val="single" w:sz="6" w:space="0" w:color="auto"/>
              <w:right w:val="nil"/>
            </w:tcBorders>
            <w:shd w:val="clear" w:color="auto" w:fill="FFFFFF"/>
          </w:tcPr>
          <w:p w14:paraId="7632C6F4" w14:textId="77777777" w:rsidR="00AA5AE6" w:rsidRPr="005457F2" w:rsidRDefault="00AA5AE6" w:rsidP="00AA5AE6">
            <w:pPr>
              <w:pStyle w:val="Table"/>
              <w:rPr>
                <w:sz w:val="22"/>
                <w:szCs w:val="22"/>
              </w:rPr>
            </w:pPr>
            <w:r w:rsidRPr="005457F2">
              <w:rPr>
                <w:sz w:val="22"/>
                <w:szCs w:val="22"/>
              </w:rPr>
              <w:t>0.8−1.0</w:t>
            </w:r>
          </w:p>
        </w:tc>
        <w:tc>
          <w:tcPr>
            <w:tcW w:w="2250" w:type="dxa"/>
            <w:tcBorders>
              <w:top w:val="nil"/>
              <w:left w:val="nil"/>
              <w:bottom w:val="single" w:sz="6" w:space="0" w:color="auto"/>
              <w:right w:val="nil"/>
            </w:tcBorders>
            <w:shd w:val="clear" w:color="auto" w:fill="FFFFFF"/>
          </w:tcPr>
          <w:p w14:paraId="1507661F" w14:textId="77777777" w:rsidR="00AA5AE6" w:rsidRPr="005457F2" w:rsidRDefault="00AA5AE6" w:rsidP="00AA5AE6">
            <w:pPr>
              <w:pStyle w:val="Table"/>
              <w:rPr>
                <w:sz w:val="22"/>
                <w:szCs w:val="22"/>
              </w:rPr>
            </w:pPr>
            <w:r w:rsidRPr="005457F2">
              <w:rPr>
                <w:sz w:val="22"/>
                <w:szCs w:val="22"/>
              </w:rPr>
              <w:t>Almost Perfect</w:t>
            </w:r>
          </w:p>
        </w:tc>
        <w:tc>
          <w:tcPr>
            <w:tcW w:w="2610" w:type="dxa"/>
            <w:tcBorders>
              <w:top w:val="nil"/>
              <w:left w:val="nil"/>
              <w:bottom w:val="single" w:sz="6" w:space="0" w:color="auto"/>
              <w:right w:val="nil"/>
            </w:tcBorders>
            <w:shd w:val="clear" w:color="auto" w:fill="FFFFFF"/>
          </w:tcPr>
          <w:p w14:paraId="57E560E4" w14:textId="77777777" w:rsidR="00AA5AE6" w:rsidRPr="005457F2" w:rsidRDefault="00AA5AE6" w:rsidP="00AA5AE6">
            <w:pPr>
              <w:pStyle w:val="Table"/>
              <w:rPr>
                <w:sz w:val="22"/>
                <w:szCs w:val="22"/>
              </w:rPr>
            </w:pPr>
            <w:r w:rsidRPr="005457F2">
              <w:rPr>
                <w:sz w:val="22"/>
                <w:szCs w:val="22"/>
              </w:rPr>
              <w:t>Very Good</w:t>
            </w:r>
          </w:p>
        </w:tc>
      </w:tr>
    </w:tbl>
    <w:p w14:paraId="745A7CCB" w14:textId="77777777" w:rsidR="00AA5AE6" w:rsidRDefault="00AA5AE6" w:rsidP="00475478">
      <w:pPr>
        <w:pStyle w:val="NormalWeb"/>
      </w:pPr>
    </w:p>
    <w:p w14:paraId="4E72757A" w14:textId="77777777" w:rsidR="00B91CD8" w:rsidRPr="005457F2" w:rsidRDefault="004F48DE" w:rsidP="00475478">
      <w:pPr>
        <w:pStyle w:val="NormalWeb"/>
      </w:pPr>
      <w:r w:rsidRPr="005457F2">
        <w:lastRenderedPageBreak/>
        <w:t xml:space="preserve">We </w:t>
      </w:r>
      <w:r w:rsidR="005447E2">
        <w:t xml:space="preserve">also </w:t>
      </w:r>
      <w:r w:rsidRPr="005457F2">
        <w:t>saw that with two-categor</w:t>
      </w:r>
      <w:r w:rsidR="008D3436">
        <w:t xml:space="preserve">ies and </w:t>
      </w:r>
      <w:r w:rsidRPr="005457F2">
        <w:t xml:space="preserve">a given level of observed agreement, kappa depends on both the overall prevalence of the abnormality and whether disagreements are balanced or unbalanced. In our discussion of kappa for three or more categories, </w:t>
      </w:r>
      <w:r w:rsidR="00B861B9">
        <w:t>another</w:t>
      </w:r>
      <w:r w:rsidRPr="005457F2">
        <w:t xml:space="preserve"> problem became apparent. It should be clear from </w:t>
      </w:r>
      <w:r w:rsidR="008271CC">
        <w:t>Example 5.</w:t>
      </w:r>
      <w:r w:rsidRPr="005457F2">
        <w:t xml:space="preserve">6 that </w:t>
      </w:r>
      <w:r w:rsidR="00D03EC5">
        <w:t xml:space="preserve">kappa depends on </w:t>
      </w:r>
      <w:r w:rsidR="001D0F31">
        <w:t>the weights used</w:t>
      </w:r>
      <w:r w:rsidR="00CF56E5">
        <w:t xml:space="preserve">: </w:t>
      </w:r>
      <w:r w:rsidR="00CB6F7D">
        <w:t>the same dataset generate</w:t>
      </w:r>
      <w:r w:rsidR="00CF56E5">
        <w:t>d</w:t>
      </w:r>
      <w:r w:rsidR="00CB6F7D">
        <w:t xml:space="preserve"> </w:t>
      </w:r>
      <w:r w:rsidR="003B3860">
        <w:t>k</w:t>
      </w:r>
      <w:r w:rsidR="00CB6F7D">
        <w:t xml:space="preserve">appa values from 0.54 for unweighted </w:t>
      </w:r>
      <w:r w:rsidR="003B3860">
        <w:t>k</w:t>
      </w:r>
      <w:r w:rsidR="00CB6F7D">
        <w:t xml:space="preserve">appa to 0.86 using quadratic weights.  The </w:t>
      </w:r>
      <w:r w:rsidR="003B3860">
        <w:t>k</w:t>
      </w:r>
      <w:r w:rsidR="00CB6F7D">
        <w:t>appa classifications in Table 5.6 are probably</w:t>
      </w:r>
      <w:r w:rsidR="00B861B9">
        <w:t xml:space="preserve"> generous for linear weighted </w:t>
      </w:r>
      <w:r w:rsidR="003B3860">
        <w:t>k</w:t>
      </w:r>
      <w:r w:rsidR="00B861B9">
        <w:t xml:space="preserve">appa, and </w:t>
      </w:r>
      <w:r w:rsidR="00CB6F7D">
        <w:t xml:space="preserve">not appropriate for quadratic-weighted </w:t>
      </w:r>
      <w:r w:rsidR="003B3860">
        <w:t>k</w:t>
      </w:r>
      <w:r w:rsidR="00CB6F7D">
        <w:t xml:space="preserve">appa. </w:t>
      </w:r>
    </w:p>
    <w:p w14:paraId="18119B5F" w14:textId="77777777" w:rsidR="00B91CD8" w:rsidRPr="005457F2" w:rsidRDefault="004F48DE" w:rsidP="000C5D67">
      <w:pPr>
        <w:pStyle w:val="Heading2"/>
      </w:pPr>
      <w:r w:rsidRPr="005457F2">
        <w:t>Reliability of continuous measurements</w:t>
      </w:r>
    </w:p>
    <w:p w14:paraId="76823B03" w14:textId="77777777" w:rsidR="00B91CD8" w:rsidRPr="005457F2" w:rsidRDefault="004F48DE" w:rsidP="003D1341">
      <w:pPr>
        <w:pStyle w:val="NormalWeb"/>
      </w:pPr>
      <w:r w:rsidRPr="005457F2">
        <w:t>With continuous variables, just as with categorical and ordinal variables, we are interested in the variability in repeated measurements by the same observer or instrument and in the differences between measurements made by two different observers or instruments.</w:t>
      </w:r>
    </w:p>
    <w:p w14:paraId="7D1EE86F" w14:textId="77777777" w:rsidR="00B91CD8" w:rsidRPr="005457F2" w:rsidRDefault="004F48DE" w:rsidP="00684FCC">
      <w:pPr>
        <w:pStyle w:val="Heading3"/>
      </w:pPr>
      <w:r w:rsidRPr="005457F2">
        <w:t>Test–retest reliability</w:t>
      </w:r>
    </w:p>
    <w:p w14:paraId="25C7DE64" w14:textId="77777777" w:rsidR="00B91CD8" w:rsidRPr="005457F2" w:rsidRDefault="004F48DE" w:rsidP="003D1341">
      <w:pPr>
        <w:pStyle w:val="NormalWeb"/>
      </w:pPr>
      <w:r w:rsidRPr="005457F2">
        <w:t xml:space="preserve">The random variability of some continuous measurements is well known. Blood pressures, peak expiratory </w:t>
      </w:r>
      <w:r w:rsidR="00AF0325" w:rsidRPr="005457F2">
        <w:t>fl</w:t>
      </w:r>
      <w:r w:rsidRPr="005457F2">
        <w:t xml:space="preserve">ows, and grip strengths will vary between measurements done in rapid succession. Because they are easily repeatable, most clinical research studies use the average of several repetitions rather than a single value. We tend to assume that the variability between measurements is random, not systematic, but this may not be the case. For example, the </w:t>
      </w:r>
      <w:r w:rsidR="007816D8" w:rsidRPr="005457F2">
        <w:t>fi</w:t>
      </w:r>
      <w:r w:rsidRPr="005457F2">
        <w:t xml:space="preserve">rst grip strength measurement </w:t>
      </w:r>
      <w:r w:rsidR="009042BF">
        <w:t xml:space="preserve">might </w:t>
      </w:r>
      <w:r w:rsidRPr="005457F2">
        <w:t xml:space="preserve">fatigue the subject so that the second measurement </w:t>
      </w:r>
      <w:r w:rsidR="00C85362">
        <w:t>i</w:t>
      </w:r>
      <w:r w:rsidR="00C85362" w:rsidRPr="005457F2">
        <w:t xml:space="preserve">s </w:t>
      </w:r>
      <w:r w:rsidRPr="005457F2">
        <w:t>systematically lower</w:t>
      </w:r>
      <w:r w:rsidR="00C2796D">
        <w:t xml:space="preserve">.  Similarly, </w:t>
      </w:r>
      <w:r w:rsidR="00C85362">
        <w:t xml:space="preserve">a </w:t>
      </w:r>
      <w:r w:rsidRPr="005457F2">
        <w:t xml:space="preserve">patient </w:t>
      </w:r>
      <w:r w:rsidR="009042BF">
        <w:t xml:space="preserve">might get </w:t>
      </w:r>
      <w:r w:rsidRPr="005457F2">
        <w:t xml:space="preserve">better at peak </w:t>
      </w:r>
      <w:r w:rsidR="00AF0325" w:rsidRPr="005457F2">
        <w:t>fl</w:t>
      </w:r>
      <w:r w:rsidRPr="005457F2">
        <w:t>ow measurement with practice</w:t>
      </w:r>
      <w:r w:rsidR="00C2796D">
        <w:t>.  I</w:t>
      </w:r>
      <w:r w:rsidR="003B2D18">
        <w:t>n these cases of systematic variability</w:t>
      </w:r>
      <w:r w:rsidR="00C85362">
        <w:t>,</w:t>
      </w:r>
      <w:r w:rsidR="003B2D18">
        <w:t xml:space="preserve"> w</w:t>
      </w:r>
      <w:r w:rsidRPr="005457F2">
        <w:t xml:space="preserve">e </w:t>
      </w:r>
      <w:r w:rsidR="00C85362">
        <w:t>can</w:t>
      </w:r>
      <w:r w:rsidRPr="005457F2">
        <w:t>not assess test–retest reliability</w:t>
      </w:r>
      <w:r w:rsidR="003B2D18">
        <w:t>,</w:t>
      </w:r>
      <w:r w:rsidRPr="005457F2">
        <w:t xml:space="preserve"> because the quantities (grip strength and peak </w:t>
      </w:r>
      <w:r w:rsidR="00AF0325" w:rsidRPr="005457F2">
        <w:t>fl</w:t>
      </w:r>
      <w:r w:rsidRPr="005457F2">
        <w:t>ow) are changed by the measurement process itself.</w:t>
      </w:r>
    </w:p>
    <w:p w14:paraId="7FAB63BD" w14:textId="623A30C2" w:rsidR="00B91CD8" w:rsidRPr="005457F2" w:rsidRDefault="004F48DE" w:rsidP="003D1341">
      <w:pPr>
        <w:pStyle w:val="NormalWeb"/>
      </w:pPr>
      <w:r w:rsidRPr="005457F2">
        <w:t>When the variability can be assumed to be purely random</w:t>
      </w:r>
      <w:r w:rsidR="00E644B6">
        <w:t>,</w:t>
      </w:r>
      <w:r w:rsidR="000E71E0">
        <w:t xml:space="preserve"> it</w:t>
      </w:r>
      <w:r w:rsidRPr="005457F2">
        <w:t xml:space="preserve"> can be approximately constant across all magnitudes of the measurement or it can vary (usually increase) with the magnitude of the measurement.</w:t>
      </w:r>
    </w:p>
    <w:p w14:paraId="6D1E3973" w14:textId="77777777" w:rsidR="00B91CD8" w:rsidRPr="005457F2" w:rsidRDefault="004F48DE" w:rsidP="00ED5EC1">
      <w:pPr>
        <w:pStyle w:val="Heading4"/>
      </w:pPr>
      <w:r w:rsidRPr="005457F2">
        <w:t>Within-subject standard deviation and repeatability</w:t>
      </w:r>
    </w:p>
    <w:p w14:paraId="3B8EF148" w14:textId="41FE4879" w:rsidR="00B91CD8" w:rsidRPr="005457F2" w:rsidRDefault="004F48DE" w:rsidP="00881AF7">
      <w:pPr>
        <w:pStyle w:val="NormalWeb"/>
      </w:pPr>
      <w:r w:rsidRPr="005457F2">
        <w:t>The simplest description of a continuous measurement</w:t>
      </w:r>
      <w:r w:rsidR="00B91CD8" w:rsidRPr="005457F2">
        <w:t>’</w:t>
      </w:r>
      <w:r w:rsidRPr="005457F2">
        <w:t xml:space="preserve">s variability is the within-subject standard deviation, </w:t>
      </w:r>
      <w:r w:rsidRPr="005457F2">
        <w:rPr>
          <w:b/>
        </w:rPr>
        <w:t>S</w:t>
      </w:r>
      <w:r w:rsidRPr="005457F2">
        <w:rPr>
          <w:b/>
          <w:vertAlign w:val="subscript"/>
        </w:rPr>
        <w:t>w</w:t>
      </w:r>
      <w:r w:rsidR="00B209C1">
        <w:rPr>
          <w:b/>
          <w:vertAlign w:val="subscript"/>
        </w:rPr>
        <w:t>.</w:t>
      </w:r>
      <w:r w:rsidRPr="005457F2">
        <w:t xml:space="preserve"> </w:t>
      </w:r>
      <w:r w:rsidR="00B209C1">
        <w:fldChar w:fldCharType="begin"/>
      </w:r>
      <w:r w:rsidR="00A842BC">
        <w:instrText xml:space="preserve"> ADDIN EN.CITE &lt;EndNote&gt;&lt;Cite&gt;&lt;Author&gt;Bland&lt;/Author&gt;&lt;Year&gt;1996&lt;/Year&gt;&lt;RecNum&gt;92&lt;/RecNum&gt;&lt;DisplayText&gt;[12]&lt;/DisplayText&gt;&lt;record&gt;&lt;rec-number&gt;92&lt;/rec-number&gt;&lt;foreign-keys&gt;&lt;key app="EN" db-id="0ftvff9p80fp5few5s05f5fw9rd9fefrdzer" timestamp="0"&gt;92&lt;/key&gt;&lt;/foreign-keys&gt;&lt;ref-type name="Journal Article"&gt;17&lt;/ref-type&gt;&lt;contributors&gt;&lt;authors&gt;&lt;author&gt;Bland, J. M.&lt;/author&gt;&lt;author&gt;Altman, D. G.&lt;/author&gt;&lt;/authors&gt;&lt;/contributors&gt;&lt;auth-address&gt;Department of Public Health Sciences, St George&amp;apos;s Hospital Medical School, London.&lt;/auth-address&gt;&lt;titles&gt;&lt;title&gt;Measurement error&lt;/title&gt;&lt;secondary-title&gt;Bmj&lt;/secondary-title&gt;&lt;/titles&gt;&lt;periodical&gt;&lt;full-title&gt;BMJ&lt;/full-title&gt;&lt;/periodical&gt;&lt;pages&gt;744&lt;/pages&gt;&lt;volume&gt;313&lt;/volume&gt;&lt;number&gt;7059&lt;/number&gt;&lt;keywords&gt;&lt;keyword&gt;Analysis of Variance&lt;/keyword&gt;&lt;keyword&gt;Child&lt;/keyword&gt;&lt;keyword&gt;*Data Interpretation, Statistical&lt;/keyword&gt;&lt;keyword&gt;Human&lt;/keyword&gt;&lt;keyword&gt;Peak Expiratory Flow Rate&lt;/keyword&gt;&lt;keyword&gt;*Reproducibility of Results&lt;/keyword&gt;&lt;/keywords&gt;&lt;dates&gt;&lt;year&gt;1996&lt;/year&gt;&lt;pub-dates&gt;&lt;date&gt;Sep 21&lt;/date&gt;&lt;/pub-dates&gt;&lt;/dates&gt;&lt;accession-num&gt;8819450&lt;/accession-num&gt;&lt;urls&gt;&lt;related-urls&gt;&lt;url&gt;http://www.ncbi.nlm.nih.gov/entrez/query.fcgi?cmd=Retrieve&amp;amp;db=PubMed&amp;amp;dopt=Citation&amp;amp;list_uids=8819450&lt;/url&gt;&lt;/related-urls&gt;&lt;/urls&gt;&lt;/record&gt;&lt;/Cite&gt;&lt;/EndNote&gt;</w:instrText>
      </w:r>
      <w:r w:rsidR="00B209C1">
        <w:fldChar w:fldCharType="separate"/>
      </w:r>
      <w:r w:rsidR="00A842BC">
        <w:rPr>
          <w:noProof/>
        </w:rPr>
        <w:t>[12]</w:t>
      </w:r>
      <w:r w:rsidR="00B209C1">
        <w:fldChar w:fldCharType="end"/>
      </w:r>
      <w:r w:rsidRPr="005457F2">
        <w:t xml:space="preserve"> This requires a dataset of several subjects on whom the measurement was repeated multiple times. You calculate each subject</w:t>
      </w:r>
      <w:r w:rsidR="00B91CD8" w:rsidRPr="005457F2">
        <w:t>’</w:t>
      </w:r>
      <w:r w:rsidRPr="005457F2">
        <w:t>s sample variance according to the following formula:</w:t>
      </w:r>
    </w:p>
    <w:tbl>
      <w:tblPr>
        <w:tblW w:w="0" w:type="auto"/>
        <w:tblInd w:w="108" w:type="dxa"/>
        <w:tblLook w:val="04A0" w:firstRow="1" w:lastRow="0" w:firstColumn="1" w:lastColumn="0" w:noHBand="0" w:noVBand="1"/>
      </w:tblPr>
      <w:tblGrid>
        <w:gridCol w:w="7448"/>
        <w:gridCol w:w="1084"/>
      </w:tblGrid>
      <w:tr w:rsidR="007667DD" w:rsidRPr="005457F2" w14:paraId="0A94B35C" w14:textId="77777777">
        <w:tc>
          <w:tcPr>
            <w:tcW w:w="7469" w:type="dxa"/>
            <w:shd w:val="clear" w:color="auto" w:fill="auto"/>
          </w:tcPr>
          <w:p w14:paraId="75CB1E69" w14:textId="77777777" w:rsidR="007667DD" w:rsidRPr="005457F2" w:rsidRDefault="002F589D" w:rsidP="003D1341">
            <w:pPr>
              <w:pStyle w:val="NormalWeb"/>
            </w:pPr>
            <w:r>
              <w:rPr>
                <w:noProof/>
                <w:position w:val="-38"/>
              </w:rPr>
              <w:drawing>
                <wp:inline distT="0" distB="0" distL="0" distR="0" wp14:anchorId="38A467CC" wp14:editId="09C295F0">
                  <wp:extent cx="4518025" cy="391795"/>
                  <wp:effectExtent l="0" t="0" r="3175" b="190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8025" cy="391795"/>
                          </a:xfrm>
                          <a:prstGeom prst="rect">
                            <a:avLst/>
                          </a:prstGeom>
                          <a:noFill/>
                          <a:ln>
                            <a:noFill/>
                          </a:ln>
                        </pic:spPr>
                      </pic:pic>
                    </a:graphicData>
                  </a:graphic>
                </wp:inline>
              </w:drawing>
            </w:r>
          </w:p>
        </w:tc>
        <w:tc>
          <w:tcPr>
            <w:tcW w:w="1171" w:type="dxa"/>
            <w:shd w:val="clear" w:color="auto" w:fill="auto"/>
          </w:tcPr>
          <w:p w14:paraId="0C5A9863" w14:textId="77777777" w:rsidR="007667DD" w:rsidRPr="005457F2" w:rsidRDefault="007667DD" w:rsidP="003D1341">
            <w:pPr>
              <w:pStyle w:val="NormalWeb"/>
            </w:pPr>
            <w:r w:rsidRPr="005457F2">
              <w:t>(</w:t>
            </w:r>
            <w:r w:rsidR="002D1EB0">
              <w:t>Eq. 5</w:t>
            </w:r>
            <w:r w:rsidRPr="005457F2">
              <w:t>.4)</w:t>
            </w:r>
          </w:p>
        </w:tc>
      </w:tr>
    </w:tbl>
    <w:p w14:paraId="05B1760A" w14:textId="77777777" w:rsidR="00B91CD8" w:rsidRPr="005457F2" w:rsidRDefault="004F48DE" w:rsidP="003D1341">
      <w:pPr>
        <w:pStyle w:val="NormalWeb"/>
      </w:pPr>
      <w:r w:rsidRPr="005457F2">
        <w:t>Where</w:t>
      </w:r>
    </w:p>
    <w:p w14:paraId="040A1828" w14:textId="77777777" w:rsidR="00C81D3B" w:rsidRPr="005457F2" w:rsidRDefault="004F48DE" w:rsidP="003D1341">
      <w:pPr>
        <w:pStyle w:val="NormalWeb"/>
      </w:pPr>
      <w:r w:rsidRPr="005457F2">
        <w:t>N is the number of repeated measur</w:t>
      </w:r>
      <w:r w:rsidR="00C81D3B" w:rsidRPr="005457F2">
        <w:t>ements on a single subject,</w:t>
      </w:r>
    </w:p>
    <w:p w14:paraId="124D64B1" w14:textId="77777777" w:rsidR="00557533" w:rsidRPr="005457F2" w:rsidRDefault="004F48DE" w:rsidP="003D1341">
      <w:pPr>
        <w:pStyle w:val="NormalWeb"/>
      </w:pPr>
      <w:r w:rsidRPr="005457F2">
        <w:t>M</w:t>
      </w:r>
      <w:r w:rsidRPr="005457F2">
        <w:rPr>
          <w:vertAlign w:val="subscript"/>
        </w:rPr>
        <w:t>1</w:t>
      </w:r>
      <w:r w:rsidRPr="005457F2">
        <w:rPr>
          <w:i/>
        </w:rPr>
        <w:t>,</w:t>
      </w:r>
      <w:r w:rsidRPr="005457F2">
        <w:t xml:space="preserve"> M</w:t>
      </w:r>
      <w:r w:rsidRPr="005457F2">
        <w:rPr>
          <w:vertAlign w:val="subscript"/>
        </w:rPr>
        <w:t>2</w:t>
      </w:r>
      <w:r w:rsidRPr="005457F2">
        <w:rPr>
          <w:i/>
        </w:rPr>
        <w:t>,</w:t>
      </w:r>
      <w:r w:rsidRPr="005457F2">
        <w:t xml:space="preserve"> M</w:t>
      </w:r>
      <w:r w:rsidRPr="005457F2">
        <w:rPr>
          <w:vertAlign w:val="subscript"/>
        </w:rPr>
        <w:t>3</w:t>
      </w:r>
      <w:r w:rsidRPr="005457F2">
        <w:rPr>
          <w:i/>
        </w:rPr>
        <w:t xml:space="preserve"> ...</w:t>
      </w:r>
      <w:r w:rsidRPr="005457F2">
        <w:t xml:space="preserve"> M</w:t>
      </w:r>
      <w:r w:rsidRPr="005457F2">
        <w:rPr>
          <w:vertAlign w:val="subscript"/>
        </w:rPr>
        <w:t>N</w:t>
      </w:r>
      <w:r w:rsidRPr="005457F2">
        <w:t xml:space="preserve"> are the repeated measur</w:t>
      </w:r>
      <w:r w:rsidR="00557533" w:rsidRPr="005457F2">
        <w:t>ements on a single subject, and</w:t>
      </w:r>
    </w:p>
    <w:p w14:paraId="3E1C8995" w14:textId="77777777" w:rsidR="00B91CD8" w:rsidRPr="005457F2" w:rsidRDefault="004F48DE" w:rsidP="003D1341">
      <w:pPr>
        <w:pStyle w:val="NormalWeb"/>
      </w:pPr>
      <w:proofErr w:type="spellStart"/>
      <w:r w:rsidRPr="005457F2">
        <w:lastRenderedPageBreak/>
        <w:t>M</w:t>
      </w:r>
      <w:r w:rsidRPr="005457F2">
        <w:rPr>
          <w:vertAlign w:val="subscript"/>
        </w:rPr>
        <w:t>avg</w:t>
      </w:r>
      <w:proofErr w:type="spellEnd"/>
      <w:r w:rsidRPr="005457F2">
        <w:t xml:space="preserve"> is the average of all N measurements on a single subject.</w:t>
      </w:r>
    </w:p>
    <w:p w14:paraId="67D6E434" w14:textId="77777777" w:rsidR="00B91CD8" w:rsidRPr="005457F2" w:rsidRDefault="004F48DE" w:rsidP="00EE4F7C">
      <w:pPr>
        <w:pStyle w:val="NormalWeb"/>
      </w:pPr>
      <w:r w:rsidRPr="005457F2">
        <w:t xml:space="preserve">Then, you average these sample variances across all the subjects in the sample and take the square root to get </w:t>
      </w:r>
      <w:r w:rsidRPr="005457F2">
        <w:rPr>
          <w:b/>
        </w:rPr>
        <w:t>S</w:t>
      </w:r>
      <w:r w:rsidRPr="005457F2">
        <w:rPr>
          <w:b/>
          <w:vertAlign w:val="subscript"/>
        </w:rPr>
        <w:t>w</w:t>
      </w:r>
      <w:r w:rsidRPr="005457F2">
        <w:t>. When there are only two measurements per subject, the formula for within</w:t>
      </w:r>
      <w:r w:rsidR="001C27C6">
        <w:t>-</w:t>
      </w:r>
      <w:r w:rsidRPr="005457F2">
        <w:t>subject sample variance simpli</w:t>
      </w:r>
      <w:r w:rsidR="007816D8" w:rsidRPr="005457F2">
        <w:t>fi</w:t>
      </w:r>
      <w:r w:rsidRPr="005457F2">
        <w:t>es to:</w:t>
      </w:r>
    </w:p>
    <w:tbl>
      <w:tblPr>
        <w:tblW w:w="0" w:type="auto"/>
        <w:tblInd w:w="108" w:type="dxa"/>
        <w:tblLook w:val="04A0" w:firstRow="1" w:lastRow="0" w:firstColumn="1" w:lastColumn="0" w:noHBand="0" w:noVBand="1"/>
      </w:tblPr>
      <w:tblGrid>
        <w:gridCol w:w="6574"/>
        <w:gridCol w:w="1958"/>
      </w:tblGrid>
      <w:tr w:rsidR="00C02397" w:rsidRPr="005457F2" w14:paraId="23E00280" w14:textId="77777777">
        <w:trPr>
          <w:trHeight w:val="440"/>
        </w:trPr>
        <w:tc>
          <w:tcPr>
            <w:tcW w:w="6660" w:type="dxa"/>
            <w:shd w:val="clear" w:color="auto" w:fill="auto"/>
          </w:tcPr>
          <w:p w14:paraId="39FD9F3E" w14:textId="77777777" w:rsidR="00C02397" w:rsidRPr="005457F2" w:rsidRDefault="00C02397" w:rsidP="003D1341">
            <w:pPr>
              <w:pStyle w:val="NormalWeb"/>
            </w:pPr>
            <w:r w:rsidRPr="005457F2">
              <w:t>Sample Variance for two measurements = (M</w:t>
            </w:r>
            <w:r w:rsidRPr="005457F2">
              <w:rPr>
                <w:vertAlign w:val="subscript"/>
              </w:rPr>
              <w:t>1</w:t>
            </w:r>
            <w:r w:rsidRPr="005457F2">
              <w:t xml:space="preserve"> − M</w:t>
            </w:r>
            <w:r w:rsidRPr="005457F2">
              <w:rPr>
                <w:vertAlign w:val="subscript"/>
              </w:rPr>
              <w:t>2</w:t>
            </w:r>
            <w:r w:rsidRPr="005457F2">
              <w:t>)</w:t>
            </w:r>
            <w:r w:rsidRPr="005457F2">
              <w:rPr>
                <w:vertAlign w:val="superscript"/>
              </w:rPr>
              <w:t>2</w:t>
            </w:r>
            <w:r w:rsidRPr="005457F2">
              <w:rPr>
                <w:i/>
              </w:rPr>
              <w:t>/</w:t>
            </w:r>
            <w:r w:rsidRPr="005457F2">
              <w:t>2</w:t>
            </w:r>
          </w:p>
        </w:tc>
        <w:tc>
          <w:tcPr>
            <w:tcW w:w="1980" w:type="dxa"/>
            <w:shd w:val="clear" w:color="auto" w:fill="auto"/>
          </w:tcPr>
          <w:p w14:paraId="51D2ED22" w14:textId="77777777" w:rsidR="00C02397" w:rsidRPr="005457F2" w:rsidRDefault="00C02397" w:rsidP="002025B9">
            <w:pPr>
              <w:pStyle w:val="NormalWeb"/>
            </w:pPr>
            <w:r w:rsidRPr="005457F2">
              <w:t>(</w:t>
            </w:r>
            <w:r w:rsidR="002D1EB0">
              <w:t>Eq. 5</w:t>
            </w:r>
            <w:r w:rsidRPr="005457F2">
              <w:t>.5)</w:t>
            </w:r>
            <w:r w:rsidR="002025B9" w:rsidRPr="005457F2">
              <w:rPr>
                <w:rStyle w:val="FootnoteReference"/>
              </w:rPr>
              <w:footnoteReference w:id="3"/>
            </w:r>
          </w:p>
        </w:tc>
      </w:tr>
    </w:tbl>
    <w:p w14:paraId="63CCB779" w14:textId="77777777" w:rsidR="00B91CD8" w:rsidRPr="005457F2" w:rsidRDefault="008271CC" w:rsidP="009606F5">
      <w:pPr>
        <w:pStyle w:val="NormalWeb"/>
      </w:pPr>
      <w:r>
        <w:rPr>
          <w:b/>
        </w:rPr>
        <w:t>Example 5.</w:t>
      </w:r>
      <w:r w:rsidR="004F48DE" w:rsidRPr="005457F2">
        <w:rPr>
          <w:b/>
        </w:rPr>
        <w:t>11</w:t>
      </w:r>
      <w:r w:rsidR="004F48DE" w:rsidRPr="005457F2">
        <w:t xml:space="preserve"> Suppose you want to assess the test–retest reliability of a new pocket </w:t>
      </w:r>
      <w:r w:rsidR="00680ED6">
        <w:t>blood glucose meter</w:t>
      </w:r>
      <w:r w:rsidR="004F48DE" w:rsidRPr="005457F2">
        <w:t xml:space="preserve">. You measure the </w:t>
      </w:r>
      <w:r w:rsidR="007816D8" w:rsidRPr="005457F2">
        <w:t>fi</w:t>
      </w:r>
      <w:r w:rsidR="004F48DE" w:rsidRPr="005457F2">
        <w:t>nger-stick glucose twice on each of ten different subjects:</w:t>
      </w:r>
    </w:p>
    <w:tbl>
      <w:tblPr>
        <w:tblW w:w="0" w:type="auto"/>
        <w:tblInd w:w="40" w:type="dxa"/>
        <w:tblLayout w:type="fixed"/>
        <w:tblCellMar>
          <w:left w:w="40" w:type="dxa"/>
          <w:right w:w="40" w:type="dxa"/>
        </w:tblCellMar>
        <w:tblLook w:val="0000" w:firstRow="0" w:lastRow="0" w:firstColumn="0" w:lastColumn="0" w:noHBand="0" w:noVBand="0"/>
      </w:tblPr>
      <w:tblGrid>
        <w:gridCol w:w="1170"/>
        <w:gridCol w:w="1251"/>
        <w:gridCol w:w="766"/>
        <w:gridCol w:w="413"/>
        <w:gridCol w:w="1629"/>
        <w:gridCol w:w="1971"/>
      </w:tblGrid>
      <w:tr w:rsidR="0087283A" w:rsidRPr="005457F2" w14:paraId="191A640A" w14:textId="77777777">
        <w:trPr>
          <w:trHeight w:val="20"/>
        </w:trPr>
        <w:tc>
          <w:tcPr>
            <w:tcW w:w="7200" w:type="dxa"/>
            <w:gridSpan w:val="6"/>
            <w:tcBorders>
              <w:top w:val="nil"/>
              <w:left w:val="nil"/>
              <w:bottom w:val="nil"/>
              <w:right w:val="nil"/>
            </w:tcBorders>
            <w:shd w:val="clear" w:color="auto" w:fill="FFFFFF"/>
          </w:tcPr>
          <w:p w14:paraId="3FA78808" w14:textId="77777777" w:rsidR="0087283A" w:rsidRPr="005457F2" w:rsidRDefault="0087283A" w:rsidP="008F5598">
            <w:pPr>
              <w:pStyle w:val="NlTable"/>
              <w:rPr>
                <w:b/>
              </w:rPr>
            </w:pPr>
            <w:r w:rsidRPr="005457F2">
              <w:rPr>
                <w:b/>
              </w:rPr>
              <w:t>Calculation of</w:t>
            </w:r>
            <w:r w:rsidR="00025B8C" w:rsidRPr="005457F2">
              <w:rPr>
                <w:b/>
              </w:rPr>
              <w:t xml:space="preserve"> </w:t>
            </w:r>
            <w:r w:rsidRPr="005457F2">
              <w:rPr>
                <w:b/>
              </w:rPr>
              <w:t>Within-Subject Standard Deviation on Duplicate Glucose Measurements</w:t>
            </w:r>
          </w:p>
        </w:tc>
      </w:tr>
      <w:tr w:rsidR="0087283A" w:rsidRPr="005457F2" w14:paraId="505405B1" w14:textId="77777777">
        <w:trPr>
          <w:trHeight w:val="20"/>
        </w:trPr>
        <w:tc>
          <w:tcPr>
            <w:tcW w:w="1170" w:type="dxa"/>
            <w:tcBorders>
              <w:top w:val="nil"/>
              <w:left w:val="nil"/>
              <w:bottom w:val="nil"/>
              <w:right w:val="nil"/>
            </w:tcBorders>
            <w:shd w:val="clear" w:color="auto" w:fill="FFFFFF"/>
          </w:tcPr>
          <w:p w14:paraId="247C91E6" w14:textId="77777777" w:rsidR="0087283A" w:rsidRPr="005457F2" w:rsidRDefault="0087283A" w:rsidP="008F5598">
            <w:pPr>
              <w:pStyle w:val="NlTable"/>
              <w:jc w:val="center"/>
              <w:rPr>
                <w:b/>
              </w:rPr>
            </w:pPr>
          </w:p>
        </w:tc>
        <w:tc>
          <w:tcPr>
            <w:tcW w:w="2430" w:type="dxa"/>
            <w:gridSpan w:val="3"/>
            <w:tcBorders>
              <w:top w:val="nil"/>
              <w:left w:val="nil"/>
              <w:bottom w:val="nil"/>
              <w:right w:val="nil"/>
            </w:tcBorders>
            <w:shd w:val="clear" w:color="auto" w:fill="FFFFFF"/>
          </w:tcPr>
          <w:p w14:paraId="59F5FC38" w14:textId="77777777" w:rsidR="0087283A" w:rsidRPr="005457F2" w:rsidRDefault="0087283A" w:rsidP="008F5598">
            <w:pPr>
              <w:pStyle w:val="NlTable"/>
              <w:jc w:val="center"/>
              <w:rPr>
                <w:b/>
              </w:rPr>
            </w:pPr>
            <w:r w:rsidRPr="005457F2">
              <w:rPr>
                <w:b/>
              </w:rPr>
              <w:t>Glucose Measurement (mg/dL)</w:t>
            </w:r>
          </w:p>
        </w:tc>
        <w:tc>
          <w:tcPr>
            <w:tcW w:w="1629" w:type="dxa"/>
            <w:tcBorders>
              <w:top w:val="nil"/>
              <w:left w:val="nil"/>
              <w:bottom w:val="nil"/>
              <w:right w:val="nil"/>
            </w:tcBorders>
            <w:shd w:val="clear" w:color="auto" w:fill="FFFFFF"/>
          </w:tcPr>
          <w:p w14:paraId="4CD9DE1D" w14:textId="77777777" w:rsidR="0087283A" w:rsidRPr="005457F2" w:rsidRDefault="0087283A" w:rsidP="008F5598">
            <w:pPr>
              <w:pStyle w:val="NlTable"/>
              <w:jc w:val="center"/>
              <w:rPr>
                <w:b/>
              </w:rPr>
            </w:pPr>
          </w:p>
        </w:tc>
        <w:tc>
          <w:tcPr>
            <w:tcW w:w="1971" w:type="dxa"/>
            <w:tcBorders>
              <w:top w:val="nil"/>
              <w:left w:val="nil"/>
              <w:bottom w:val="nil"/>
              <w:right w:val="nil"/>
            </w:tcBorders>
            <w:shd w:val="clear" w:color="auto" w:fill="FFFFFF"/>
          </w:tcPr>
          <w:p w14:paraId="5D2ADC58" w14:textId="77777777" w:rsidR="0087283A" w:rsidRPr="005457F2" w:rsidRDefault="0087283A" w:rsidP="008F5598">
            <w:pPr>
              <w:pStyle w:val="NlTable"/>
              <w:jc w:val="center"/>
              <w:rPr>
                <w:b/>
              </w:rPr>
            </w:pPr>
          </w:p>
        </w:tc>
      </w:tr>
      <w:tr w:rsidR="0087283A" w:rsidRPr="005457F2" w14:paraId="51785A34" w14:textId="77777777">
        <w:trPr>
          <w:trHeight w:val="20"/>
        </w:trPr>
        <w:tc>
          <w:tcPr>
            <w:tcW w:w="1170" w:type="dxa"/>
            <w:tcBorders>
              <w:top w:val="nil"/>
              <w:left w:val="nil"/>
              <w:bottom w:val="nil"/>
              <w:right w:val="nil"/>
            </w:tcBorders>
            <w:shd w:val="clear" w:color="auto" w:fill="FFFFFF"/>
          </w:tcPr>
          <w:p w14:paraId="426B3C74" w14:textId="77777777" w:rsidR="0087283A" w:rsidRPr="005457F2" w:rsidRDefault="0087283A" w:rsidP="008F5598">
            <w:pPr>
              <w:pStyle w:val="NlTable"/>
              <w:jc w:val="center"/>
              <w:rPr>
                <w:b/>
              </w:rPr>
            </w:pPr>
            <w:r w:rsidRPr="005457F2">
              <w:rPr>
                <w:b/>
              </w:rPr>
              <w:t>Specimen</w:t>
            </w:r>
          </w:p>
        </w:tc>
        <w:tc>
          <w:tcPr>
            <w:tcW w:w="1251" w:type="dxa"/>
            <w:tcBorders>
              <w:top w:val="nil"/>
              <w:left w:val="nil"/>
              <w:bottom w:val="nil"/>
              <w:right w:val="nil"/>
            </w:tcBorders>
            <w:shd w:val="clear" w:color="auto" w:fill="FFFFFF"/>
          </w:tcPr>
          <w:p w14:paraId="26FB1039" w14:textId="77777777" w:rsidR="0087283A" w:rsidRPr="005457F2" w:rsidRDefault="0087283A" w:rsidP="008F5598">
            <w:pPr>
              <w:pStyle w:val="NlTable"/>
              <w:jc w:val="center"/>
              <w:rPr>
                <w:b/>
              </w:rPr>
            </w:pPr>
            <w:r w:rsidRPr="005457F2">
              <w:rPr>
                <w:b/>
              </w:rPr>
              <w:t>#1</w:t>
            </w:r>
          </w:p>
        </w:tc>
        <w:tc>
          <w:tcPr>
            <w:tcW w:w="1179" w:type="dxa"/>
            <w:gridSpan w:val="2"/>
            <w:tcBorders>
              <w:top w:val="nil"/>
              <w:left w:val="nil"/>
              <w:bottom w:val="nil"/>
              <w:right w:val="nil"/>
            </w:tcBorders>
            <w:shd w:val="clear" w:color="auto" w:fill="FFFFFF"/>
          </w:tcPr>
          <w:p w14:paraId="08AA2BA2" w14:textId="77777777" w:rsidR="0087283A" w:rsidRPr="005457F2" w:rsidRDefault="0087283A" w:rsidP="008F5598">
            <w:pPr>
              <w:pStyle w:val="NlTable"/>
              <w:jc w:val="center"/>
              <w:rPr>
                <w:b/>
              </w:rPr>
            </w:pPr>
            <w:r w:rsidRPr="005457F2">
              <w:rPr>
                <w:b/>
              </w:rPr>
              <w:t>#2</w:t>
            </w:r>
          </w:p>
        </w:tc>
        <w:tc>
          <w:tcPr>
            <w:tcW w:w="1629" w:type="dxa"/>
            <w:tcBorders>
              <w:top w:val="nil"/>
              <w:left w:val="nil"/>
              <w:bottom w:val="nil"/>
              <w:right w:val="nil"/>
            </w:tcBorders>
            <w:shd w:val="clear" w:color="auto" w:fill="FFFFFF"/>
          </w:tcPr>
          <w:p w14:paraId="03589FED" w14:textId="77777777" w:rsidR="0087283A" w:rsidRPr="005457F2" w:rsidRDefault="0087283A" w:rsidP="008F5598">
            <w:pPr>
              <w:pStyle w:val="NlTable"/>
              <w:jc w:val="center"/>
              <w:rPr>
                <w:b/>
              </w:rPr>
            </w:pPr>
            <w:r w:rsidRPr="005457F2">
              <w:rPr>
                <w:b/>
              </w:rPr>
              <w:t>Difference</w:t>
            </w:r>
          </w:p>
        </w:tc>
        <w:tc>
          <w:tcPr>
            <w:tcW w:w="1971" w:type="dxa"/>
            <w:tcBorders>
              <w:top w:val="nil"/>
              <w:left w:val="nil"/>
              <w:bottom w:val="nil"/>
              <w:right w:val="nil"/>
            </w:tcBorders>
            <w:shd w:val="clear" w:color="auto" w:fill="FFFFFF"/>
          </w:tcPr>
          <w:p w14:paraId="79FBF1CE" w14:textId="77777777" w:rsidR="0087283A" w:rsidRPr="005457F2" w:rsidRDefault="0087283A" w:rsidP="008F5598">
            <w:pPr>
              <w:pStyle w:val="NlTable"/>
              <w:jc w:val="center"/>
              <w:rPr>
                <w:b/>
              </w:rPr>
            </w:pPr>
            <w:r w:rsidRPr="005457F2">
              <w:rPr>
                <w:b/>
              </w:rPr>
              <w:t>Variance = (M</w:t>
            </w:r>
            <w:r w:rsidRPr="005457F2">
              <w:rPr>
                <w:b/>
                <w:vertAlign w:val="subscript"/>
              </w:rPr>
              <w:t>1</w:t>
            </w:r>
            <w:r w:rsidRPr="005457F2">
              <w:rPr>
                <w:b/>
              </w:rPr>
              <w:t>- M</w:t>
            </w:r>
            <w:r w:rsidRPr="005457F2">
              <w:rPr>
                <w:b/>
                <w:vertAlign w:val="subscript"/>
              </w:rPr>
              <w:t>2</w:t>
            </w:r>
            <w:r w:rsidRPr="005457F2">
              <w:rPr>
                <w:b/>
              </w:rPr>
              <w:t>)</w:t>
            </w:r>
            <w:r w:rsidRPr="005457F2">
              <w:rPr>
                <w:b/>
                <w:vertAlign w:val="superscript"/>
              </w:rPr>
              <w:t>2</w:t>
            </w:r>
            <w:r w:rsidRPr="005457F2">
              <w:rPr>
                <w:b/>
                <w:bCs/>
                <w:i/>
                <w:iCs/>
              </w:rPr>
              <w:t>/</w:t>
            </w:r>
            <w:r w:rsidRPr="005457F2">
              <w:rPr>
                <w:b/>
              </w:rPr>
              <w:t>2</w:t>
            </w:r>
          </w:p>
        </w:tc>
      </w:tr>
      <w:tr w:rsidR="0087283A" w:rsidRPr="005457F2" w14:paraId="5AF1BD42" w14:textId="77777777">
        <w:trPr>
          <w:trHeight w:val="20"/>
        </w:trPr>
        <w:tc>
          <w:tcPr>
            <w:tcW w:w="1170" w:type="dxa"/>
            <w:tcBorders>
              <w:top w:val="nil"/>
              <w:left w:val="nil"/>
              <w:bottom w:val="nil"/>
              <w:right w:val="nil"/>
            </w:tcBorders>
            <w:shd w:val="clear" w:color="auto" w:fill="FFFFFF"/>
          </w:tcPr>
          <w:p w14:paraId="11296C2A" w14:textId="77777777" w:rsidR="0087283A" w:rsidRPr="005457F2" w:rsidRDefault="0087283A" w:rsidP="00A977B4">
            <w:pPr>
              <w:pStyle w:val="NlTable"/>
              <w:ind w:right="572"/>
              <w:jc w:val="right"/>
              <w:rPr>
                <w:b/>
              </w:rPr>
            </w:pPr>
            <w:r w:rsidRPr="005457F2">
              <w:rPr>
                <w:b/>
              </w:rPr>
              <w:t>1</w:t>
            </w:r>
          </w:p>
        </w:tc>
        <w:tc>
          <w:tcPr>
            <w:tcW w:w="1251" w:type="dxa"/>
            <w:tcBorders>
              <w:top w:val="nil"/>
              <w:left w:val="nil"/>
              <w:bottom w:val="nil"/>
              <w:right w:val="nil"/>
            </w:tcBorders>
            <w:shd w:val="clear" w:color="auto" w:fill="FFFFFF"/>
          </w:tcPr>
          <w:p w14:paraId="7D27309D" w14:textId="77777777" w:rsidR="0087283A" w:rsidRPr="005457F2" w:rsidRDefault="0087283A" w:rsidP="00E41CAD">
            <w:pPr>
              <w:pStyle w:val="NlTable"/>
              <w:ind w:right="482"/>
              <w:jc w:val="right"/>
            </w:pPr>
            <w:r w:rsidRPr="005457F2">
              <w:t>80</w:t>
            </w:r>
          </w:p>
        </w:tc>
        <w:tc>
          <w:tcPr>
            <w:tcW w:w="1179" w:type="dxa"/>
            <w:gridSpan w:val="2"/>
            <w:tcBorders>
              <w:top w:val="nil"/>
              <w:left w:val="nil"/>
              <w:bottom w:val="nil"/>
              <w:right w:val="nil"/>
            </w:tcBorders>
            <w:shd w:val="clear" w:color="auto" w:fill="FFFFFF"/>
          </w:tcPr>
          <w:p w14:paraId="6381016D" w14:textId="77777777" w:rsidR="0087283A" w:rsidRPr="005457F2" w:rsidRDefault="0087283A" w:rsidP="00B713AC">
            <w:pPr>
              <w:pStyle w:val="NlTable"/>
              <w:ind w:right="135"/>
              <w:jc w:val="right"/>
            </w:pPr>
            <w:r w:rsidRPr="005457F2">
              <w:t>92</w:t>
            </w:r>
          </w:p>
        </w:tc>
        <w:tc>
          <w:tcPr>
            <w:tcW w:w="1629" w:type="dxa"/>
            <w:tcBorders>
              <w:top w:val="nil"/>
              <w:left w:val="nil"/>
              <w:bottom w:val="nil"/>
              <w:right w:val="nil"/>
            </w:tcBorders>
            <w:shd w:val="clear" w:color="auto" w:fill="FFFFFF"/>
          </w:tcPr>
          <w:p w14:paraId="67209F51" w14:textId="77777777" w:rsidR="0087283A" w:rsidRPr="005457F2" w:rsidRDefault="00862644" w:rsidP="000E6564">
            <w:pPr>
              <w:pStyle w:val="NlTable"/>
              <w:ind w:left="0" w:right="270"/>
              <w:jc w:val="right"/>
            </w:pPr>
            <w:r w:rsidRPr="005457F2">
              <w:t>−</w:t>
            </w:r>
            <w:r w:rsidR="0087283A" w:rsidRPr="005457F2">
              <w:t>12</w:t>
            </w:r>
          </w:p>
        </w:tc>
        <w:tc>
          <w:tcPr>
            <w:tcW w:w="1971" w:type="dxa"/>
            <w:tcBorders>
              <w:top w:val="nil"/>
              <w:left w:val="nil"/>
              <w:bottom w:val="nil"/>
              <w:right w:val="nil"/>
            </w:tcBorders>
            <w:shd w:val="clear" w:color="auto" w:fill="FFFFFF"/>
          </w:tcPr>
          <w:p w14:paraId="698CD5C4" w14:textId="77777777" w:rsidR="0087283A" w:rsidRPr="005457F2" w:rsidRDefault="0087283A" w:rsidP="0087283A">
            <w:pPr>
              <w:pStyle w:val="NlTable"/>
              <w:jc w:val="center"/>
            </w:pPr>
            <w:r w:rsidRPr="005457F2">
              <w:t>72</w:t>
            </w:r>
          </w:p>
        </w:tc>
      </w:tr>
      <w:tr w:rsidR="0087283A" w:rsidRPr="005457F2" w14:paraId="1E63CBEB" w14:textId="77777777">
        <w:trPr>
          <w:trHeight w:val="20"/>
        </w:trPr>
        <w:tc>
          <w:tcPr>
            <w:tcW w:w="1170" w:type="dxa"/>
            <w:tcBorders>
              <w:top w:val="nil"/>
              <w:left w:val="nil"/>
              <w:bottom w:val="nil"/>
              <w:right w:val="nil"/>
            </w:tcBorders>
            <w:shd w:val="clear" w:color="auto" w:fill="FFFFFF"/>
          </w:tcPr>
          <w:p w14:paraId="06F66CE3" w14:textId="77777777" w:rsidR="0087283A" w:rsidRPr="005457F2" w:rsidRDefault="0087283A" w:rsidP="00A977B4">
            <w:pPr>
              <w:pStyle w:val="NlTable"/>
              <w:ind w:right="572"/>
              <w:jc w:val="right"/>
              <w:rPr>
                <w:b/>
              </w:rPr>
            </w:pPr>
            <w:r w:rsidRPr="005457F2">
              <w:rPr>
                <w:b/>
              </w:rPr>
              <w:t>2</w:t>
            </w:r>
          </w:p>
        </w:tc>
        <w:tc>
          <w:tcPr>
            <w:tcW w:w="1251" w:type="dxa"/>
            <w:tcBorders>
              <w:top w:val="nil"/>
              <w:left w:val="nil"/>
              <w:bottom w:val="nil"/>
              <w:right w:val="nil"/>
            </w:tcBorders>
            <w:shd w:val="clear" w:color="auto" w:fill="FFFFFF"/>
          </w:tcPr>
          <w:p w14:paraId="36BC0720" w14:textId="77777777" w:rsidR="0087283A" w:rsidRPr="005457F2" w:rsidRDefault="0087283A" w:rsidP="00E41CAD">
            <w:pPr>
              <w:pStyle w:val="NlTable"/>
              <w:ind w:right="482"/>
              <w:jc w:val="right"/>
            </w:pPr>
            <w:r w:rsidRPr="005457F2">
              <w:t>89</w:t>
            </w:r>
          </w:p>
        </w:tc>
        <w:tc>
          <w:tcPr>
            <w:tcW w:w="1179" w:type="dxa"/>
            <w:gridSpan w:val="2"/>
            <w:tcBorders>
              <w:top w:val="nil"/>
              <w:left w:val="nil"/>
              <w:bottom w:val="nil"/>
              <w:right w:val="nil"/>
            </w:tcBorders>
            <w:shd w:val="clear" w:color="auto" w:fill="FFFFFF"/>
          </w:tcPr>
          <w:p w14:paraId="666A151D" w14:textId="77777777" w:rsidR="0087283A" w:rsidRPr="005457F2" w:rsidRDefault="0087283A" w:rsidP="00B713AC">
            <w:pPr>
              <w:pStyle w:val="NlTable"/>
              <w:ind w:right="135"/>
              <w:jc w:val="right"/>
            </w:pPr>
            <w:r w:rsidRPr="005457F2">
              <w:t>92</w:t>
            </w:r>
          </w:p>
        </w:tc>
        <w:tc>
          <w:tcPr>
            <w:tcW w:w="1629" w:type="dxa"/>
            <w:tcBorders>
              <w:top w:val="nil"/>
              <w:left w:val="nil"/>
              <w:bottom w:val="nil"/>
              <w:right w:val="nil"/>
            </w:tcBorders>
            <w:shd w:val="clear" w:color="auto" w:fill="FFFFFF"/>
          </w:tcPr>
          <w:p w14:paraId="0EB8E61C" w14:textId="77777777" w:rsidR="0087283A" w:rsidRPr="005457F2" w:rsidRDefault="00862644" w:rsidP="000E6564">
            <w:pPr>
              <w:pStyle w:val="NlTable"/>
              <w:ind w:left="0" w:right="270"/>
              <w:jc w:val="right"/>
            </w:pPr>
            <w:r w:rsidRPr="005457F2">
              <w:t>−</w:t>
            </w:r>
            <w:r w:rsidR="0087283A" w:rsidRPr="005457F2">
              <w:t>3</w:t>
            </w:r>
          </w:p>
        </w:tc>
        <w:tc>
          <w:tcPr>
            <w:tcW w:w="1971" w:type="dxa"/>
            <w:tcBorders>
              <w:top w:val="nil"/>
              <w:left w:val="nil"/>
              <w:bottom w:val="nil"/>
              <w:right w:val="nil"/>
            </w:tcBorders>
            <w:shd w:val="clear" w:color="auto" w:fill="FFFFFF"/>
          </w:tcPr>
          <w:p w14:paraId="66607B37" w14:textId="77777777" w:rsidR="0087283A" w:rsidRPr="005457F2" w:rsidRDefault="0087283A" w:rsidP="00DD23EA">
            <w:pPr>
              <w:pStyle w:val="NlTable"/>
              <w:ind w:left="590"/>
              <w:jc w:val="center"/>
            </w:pPr>
            <w:r w:rsidRPr="005457F2">
              <w:t>4.5</w:t>
            </w:r>
          </w:p>
        </w:tc>
      </w:tr>
      <w:tr w:rsidR="0087283A" w:rsidRPr="005457F2" w14:paraId="0D056D76" w14:textId="77777777">
        <w:trPr>
          <w:trHeight w:val="20"/>
        </w:trPr>
        <w:tc>
          <w:tcPr>
            <w:tcW w:w="1170" w:type="dxa"/>
            <w:tcBorders>
              <w:top w:val="nil"/>
              <w:left w:val="nil"/>
              <w:bottom w:val="nil"/>
              <w:right w:val="nil"/>
            </w:tcBorders>
            <w:shd w:val="clear" w:color="auto" w:fill="FFFFFF"/>
          </w:tcPr>
          <w:p w14:paraId="7592AF2A" w14:textId="77777777" w:rsidR="0087283A" w:rsidRPr="005457F2" w:rsidRDefault="0087283A" w:rsidP="00A977B4">
            <w:pPr>
              <w:pStyle w:val="NlTable"/>
              <w:ind w:right="572"/>
              <w:jc w:val="right"/>
              <w:rPr>
                <w:b/>
              </w:rPr>
            </w:pPr>
            <w:r w:rsidRPr="005457F2">
              <w:rPr>
                <w:b/>
              </w:rPr>
              <w:t>3</w:t>
            </w:r>
          </w:p>
        </w:tc>
        <w:tc>
          <w:tcPr>
            <w:tcW w:w="1251" w:type="dxa"/>
            <w:tcBorders>
              <w:top w:val="nil"/>
              <w:left w:val="nil"/>
              <w:bottom w:val="nil"/>
              <w:right w:val="nil"/>
            </w:tcBorders>
            <w:shd w:val="clear" w:color="auto" w:fill="FFFFFF"/>
          </w:tcPr>
          <w:p w14:paraId="1756D253" w14:textId="77777777" w:rsidR="0087283A" w:rsidRPr="005457F2" w:rsidRDefault="0087283A" w:rsidP="00E41CAD">
            <w:pPr>
              <w:pStyle w:val="NlTable"/>
              <w:ind w:right="482"/>
              <w:jc w:val="right"/>
            </w:pPr>
            <w:r w:rsidRPr="005457F2">
              <w:t>93</w:t>
            </w:r>
          </w:p>
        </w:tc>
        <w:tc>
          <w:tcPr>
            <w:tcW w:w="1179" w:type="dxa"/>
            <w:gridSpan w:val="2"/>
            <w:tcBorders>
              <w:top w:val="nil"/>
              <w:left w:val="nil"/>
              <w:bottom w:val="nil"/>
              <w:right w:val="nil"/>
            </w:tcBorders>
            <w:shd w:val="clear" w:color="auto" w:fill="FFFFFF"/>
          </w:tcPr>
          <w:p w14:paraId="78CF7B90" w14:textId="77777777" w:rsidR="0087283A" w:rsidRPr="005457F2" w:rsidRDefault="0087283A" w:rsidP="00B713AC">
            <w:pPr>
              <w:pStyle w:val="NlTable"/>
              <w:ind w:right="135"/>
              <w:jc w:val="right"/>
            </w:pPr>
            <w:r w:rsidRPr="005457F2">
              <w:t>109</w:t>
            </w:r>
          </w:p>
        </w:tc>
        <w:tc>
          <w:tcPr>
            <w:tcW w:w="1629" w:type="dxa"/>
            <w:tcBorders>
              <w:top w:val="nil"/>
              <w:left w:val="nil"/>
              <w:bottom w:val="nil"/>
              <w:right w:val="nil"/>
            </w:tcBorders>
            <w:shd w:val="clear" w:color="auto" w:fill="FFFFFF"/>
          </w:tcPr>
          <w:p w14:paraId="4AC4331B" w14:textId="77777777" w:rsidR="0087283A" w:rsidRPr="005457F2" w:rsidRDefault="00862644" w:rsidP="000E6564">
            <w:pPr>
              <w:pStyle w:val="NlTable"/>
              <w:ind w:left="0" w:right="270"/>
              <w:jc w:val="right"/>
            </w:pPr>
            <w:r w:rsidRPr="005457F2">
              <w:t>−</w:t>
            </w:r>
            <w:r w:rsidR="0087283A" w:rsidRPr="005457F2">
              <w:t>16</w:t>
            </w:r>
          </w:p>
        </w:tc>
        <w:tc>
          <w:tcPr>
            <w:tcW w:w="1971" w:type="dxa"/>
            <w:tcBorders>
              <w:top w:val="nil"/>
              <w:left w:val="nil"/>
              <w:bottom w:val="nil"/>
              <w:right w:val="nil"/>
            </w:tcBorders>
            <w:shd w:val="clear" w:color="auto" w:fill="FFFFFF"/>
          </w:tcPr>
          <w:p w14:paraId="63E96CF2" w14:textId="77777777" w:rsidR="0087283A" w:rsidRPr="005457F2" w:rsidRDefault="0087283A" w:rsidP="0087283A">
            <w:pPr>
              <w:pStyle w:val="NlTable"/>
              <w:jc w:val="center"/>
            </w:pPr>
            <w:r w:rsidRPr="005457F2">
              <w:t>128</w:t>
            </w:r>
          </w:p>
        </w:tc>
      </w:tr>
      <w:tr w:rsidR="0087283A" w:rsidRPr="005457F2" w14:paraId="29DC04B8" w14:textId="77777777">
        <w:trPr>
          <w:trHeight w:val="20"/>
        </w:trPr>
        <w:tc>
          <w:tcPr>
            <w:tcW w:w="1170" w:type="dxa"/>
            <w:tcBorders>
              <w:top w:val="nil"/>
              <w:left w:val="nil"/>
              <w:bottom w:val="nil"/>
              <w:right w:val="nil"/>
            </w:tcBorders>
            <w:shd w:val="clear" w:color="auto" w:fill="FFFFFF"/>
          </w:tcPr>
          <w:p w14:paraId="244510C6" w14:textId="77777777" w:rsidR="0087283A" w:rsidRPr="005457F2" w:rsidRDefault="0087283A" w:rsidP="00A977B4">
            <w:pPr>
              <w:pStyle w:val="NlTable"/>
              <w:ind w:right="572"/>
              <w:jc w:val="right"/>
              <w:rPr>
                <w:b/>
              </w:rPr>
            </w:pPr>
            <w:r w:rsidRPr="005457F2">
              <w:rPr>
                <w:b/>
              </w:rPr>
              <w:t>4</w:t>
            </w:r>
          </w:p>
        </w:tc>
        <w:tc>
          <w:tcPr>
            <w:tcW w:w="1251" w:type="dxa"/>
            <w:tcBorders>
              <w:top w:val="nil"/>
              <w:left w:val="nil"/>
              <w:bottom w:val="nil"/>
              <w:right w:val="nil"/>
            </w:tcBorders>
            <w:shd w:val="clear" w:color="auto" w:fill="FFFFFF"/>
          </w:tcPr>
          <w:p w14:paraId="08A14BA8" w14:textId="77777777" w:rsidR="0087283A" w:rsidRPr="005457F2" w:rsidRDefault="0087283A" w:rsidP="00E41CAD">
            <w:pPr>
              <w:pStyle w:val="NlTable"/>
              <w:ind w:right="482"/>
              <w:jc w:val="right"/>
            </w:pPr>
            <w:r w:rsidRPr="005457F2">
              <w:t>97</w:t>
            </w:r>
          </w:p>
        </w:tc>
        <w:tc>
          <w:tcPr>
            <w:tcW w:w="1179" w:type="dxa"/>
            <w:gridSpan w:val="2"/>
            <w:tcBorders>
              <w:top w:val="nil"/>
              <w:left w:val="nil"/>
              <w:bottom w:val="nil"/>
              <w:right w:val="nil"/>
            </w:tcBorders>
            <w:shd w:val="clear" w:color="auto" w:fill="FFFFFF"/>
          </w:tcPr>
          <w:p w14:paraId="2EE029B3" w14:textId="77777777" w:rsidR="0087283A" w:rsidRPr="005457F2" w:rsidRDefault="0087283A" w:rsidP="00B713AC">
            <w:pPr>
              <w:pStyle w:val="NlTable"/>
              <w:ind w:right="135"/>
              <w:jc w:val="right"/>
            </w:pPr>
            <w:r w:rsidRPr="005457F2">
              <w:t>106</w:t>
            </w:r>
          </w:p>
        </w:tc>
        <w:tc>
          <w:tcPr>
            <w:tcW w:w="1629" w:type="dxa"/>
            <w:tcBorders>
              <w:top w:val="nil"/>
              <w:left w:val="nil"/>
              <w:bottom w:val="nil"/>
              <w:right w:val="nil"/>
            </w:tcBorders>
            <w:shd w:val="clear" w:color="auto" w:fill="FFFFFF"/>
          </w:tcPr>
          <w:p w14:paraId="68AC7E4F" w14:textId="77777777" w:rsidR="0087283A" w:rsidRPr="005457F2" w:rsidRDefault="00862644" w:rsidP="000E6564">
            <w:pPr>
              <w:pStyle w:val="NlTable"/>
              <w:ind w:left="0" w:right="270"/>
              <w:jc w:val="right"/>
            </w:pPr>
            <w:r w:rsidRPr="005457F2">
              <w:t>−</w:t>
            </w:r>
            <w:r w:rsidR="0087283A" w:rsidRPr="005457F2">
              <w:t>9</w:t>
            </w:r>
          </w:p>
        </w:tc>
        <w:tc>
          <w:tcPr>
            <w:tcW w:w="1971" w:type="dxa"/>
            <w:tcBorders>
              <w:top w:val="nil"/>
              <w:left w:val="nil"/>
              <w:bottom w:val="nil"/>
              <w:right w:val="nil"/>
            </w:tcBorders>
            <w:shd w:val="clear" w:color="auto" w:fill="FFFFFF"/>
          </w:tcPr>
          <w:p w14:paraId="3C768513" w14:textId="77777777" w:rsidR="0087283A" w:rsidRPr="005457F2" w:rsidRDefault="0087283A" w:rsidP="00B86D10">
            <w:pPr>
              <w:pStyle w:val="NlTable"/>
              <w:ind w:left="500"/>
              <w:jc w:val="center"/>
            </w:pPr>
            <w:r w:rsidRPr="005457F2">
              <w:t>40.5</w:t>
            </w:r>
          </w:p>
        </w:tc>
      </w:tr>
      <w:tr w:rsidR="0087283A" w:rsidRPr="005457F2" w14:paraId="25B62837" w14:textId="77777777">
        <w:trPr>
          <w:trHeight w:val="20"/>
        </w:trPr>
        <w:tc>
          <w:tcPr>
            <w:tcW w:w="1170" w:type="dxa"/>
            <w:tcBorders>
              <w:top w:val="nil"/>
              <w:left w:val="nil"/>
              <w:bottom w:val="nil"/>
              <w:right w:val="nil"/>
            </w:tcBorders>
            <w:shd w:val="clear" w:color="auto" w:fill="FFFFFF"/>
          </w:tcPr>
          <w:p w14:paraId="78ADC003" w14:textId="77777777" w:rsidR="0087283A" w:rsidRPr="005457F2" w:rsidRDefault="0087283A" w:rsidP="00A977B4">
            <w:pPr>
              <w:pStyle w:val="NlTable"/>
              <w:ind w:right="572"/>
              <w:jc w:val="right"/>
              <w:rPr>
                <w:b/>
              </w:rPr>
            </w:pPr>
            <w:r w:rsidRPr="005457F2">
              <w:rPr>
                <w:b/>
              </w:rPr>
              <w:t>5</w:t>
            </w:r>
          </w:p>
        </w:tc>
        <w:tc>
          <w:tcPr>
            <w:tcW w:w="1251" w:type="dxa"/>
            <w:tcBorders>
              <w:top w:val="nil"/>
              <w:left w:val="nil"/>
              <w:bottom w:val="nil"/>
              <w:right w:val="nil"/>
            </w:tcBorders>
            <w:shd w:val="clear" w:color="auto" w:fill="FFFFFF"/>
          </w:tcPr>
          <w:p w14:paraId="3CAC23A2" w14:textId="77777777" w:rsidR="0087283A" w:rsidRPr="005457F2" w:rsidRDefault="0087283A" w:rsidP="00E41CAD">
            <w:pPr>
              <w:pStyle w:val="NlTable"/>
              <w:ind w:right="482"/>
              <w:jc w:val="right"/>
            </w:pPr>
            <w:r w:rsidRPr="005457F2">
              <w:t>103</w:t>
            </w:r>
          </w:p>
        </w:tc>
        <w:tc>
          <w:tcPr>
            <w:tcW w:w="1179" w:type="dxa"/>
            <w:gridSpan w:val="2"/>
            <w:tcBorders>
              <w:top w:val="nil"/>
              <w:left w:val="nil"/>
              <w:bottom w:val="nil"/>
              <w:right w:val="nil"/>
            </w:tcBorders>
            <w:shd w:val="clear" w:color="auto" w:fill="FFFFFF"/>
          </w:tcPr>
          <w:p w14:paraId="32DFD119" w14:textId="77777777" w:rsidR="0087283A" w:rsidRPr="005457F2" w:rsidRDefault="0087283A" w:rsidP="00B713AC">
            <w:pPr>
              <w:pStyle w:val="NlTable"/>
              <w:ind w:right="135"/>
              <w:jc w:val="right"/>
            </w:pPr>
            <w:r w:rsidRPr="005457F2">
              <w:t>87</w:t>
            </w:r>
          </w:p>
        </w:tc>
        <w:tc>
          <w:tcPr>
            <w:tcW w:w="1629" w:type="dxa"/>
            <w:tcBorders>
              <w:top w:val="nil"/>
              <w:left w:val="nil"/>
              <w:bottom w:val="nil"/>
              <w:right w:val="nil"/>
            </w:tcBorders>
            <w:shd w:val="clear" w:color="auto" w:fill="FFFFFF"/>
          </w:tcPr>
          <w:p w14:paraId="4F657E5A" w14:textId="77777777" w:rsidR="0087283A" w:rsidRPr="005457F2" w:rsidRDefault="0087283A" w:rsidP="000E6564">
            <w:pPr>
              <w:pStyle w:val="NlTable"/>
              <w:ind w:left="0" w:right="270"/>
              <w:jc w:val="right"/>
            </w:pPr>
            <w:r w:rsidRPr="005457F2">
              <w:t>16</w:t>
            </w:r>
          </w:p>
        </w:tc>
        <w:tc>
          <w:tcPr>
            <w:tcW w:w="1971" w:type="dxa"/>
            <w:tcBorders>
              <w:top w:val="nil"/>
              <w:left w:val="nil"/>
              <w:bottom w:val="nil"/>
              <w:right w:val="nil"/>
            </w:tcBorders>
            <w:shd w:val="clear" w:color="auto" w:fill="FFFFFF"/>
          </w:tcPr>
          <w:p w14:paraId="03AD2D79" w14:textId="77777777" w:rsidR="0087283A" w:rsidRPr="005457F2" w:rsidRDefault="0087283A" w:rsidP="0087283A">
            <w:pPr>
              <w:pStyle w:val="NlTable"/>
              <w:jc w:val="center"/>
            </w:pPr>
            <w:r w:rsidRPr="005457F2">
              <w:t>128</w:t>
            </w:r>
          </w:p>
        </w:tc>
      </w:tr>
      <w:tr w:rsidR="0087283A" w:rsidRPr="005457F2" w14:paraId="0E00407B" w14:textId="77777777">
        <w:trPr>
          <w:trHeight w:val="20"/>
        </w:trPr>
        <w:tc>
          <w:tcPr>
            <w:tcW w:w="1170" w:type="dxa"/>
            <w:tcBorders>
              <w:top w:val="nil"/>
              <w:left w:val="nil"/>
              <w:bottom w:val="nil"/>
              <w:right w:val="nil"/>
            </w:tcBorders>
            <w:shd w:val="clear" w:color="auto" w:fill="FFFFFF"/>
          </w:tcPr>
          <w:p w14:paraId="583194BB" w14:textId="77777777" w:rsidR="0087283A" w:rsidRPr="005457F2" w:rsidRDefault="0087283A" w:rsidP="00A977B4">
            <w:pPr>
              <w:pStyle w:val="NlTable"/>
              <w:ind w:right="572"/>
              <w:jc w:val="right"/>
              <w:rPr>
                <w:b/>
              </w:rPr>
            </w:pPr>
            <w:r w:rsidRPr="005457F2">
              <w:rPr>
                <w:b/>
              </w:rPr>
              <w:t>6</w:t>
            </w:r>
          </w:p>
        </w:tc>
        <w:tc>
          <w:tcPr>
            <w:tcW w:w="1251" w:type="dxa"/>
            <w:tcBorders>
              <w:top w:val="nil"/>
              <w:left w:val="nil"/>
              <w:bottom w:val="nil"/>
              <w:right w:val="nil"/>
            </w:tcBorders>
            <w:shd w:val="clear" w:color="auto" w:fill="FFFFFF"/>
          </w:tcPr>
          <w:p w14:paraId="0123A01B" w14:textId="77777777" w:rsidR="0087283A" w:rsidRPr="005457F2" w:rsidRDefault="0087283A" w:rsidP="00E41CAD">
            <w:pPr>
              <w:pStyle w:val="NlTable"/>
              <w:ind w:right="482"/>
              <w:jc w:val="right"/>
            </w:pPr>
            <w:r w:rsidRPr="005457F2">
              <w:t>107</w:t>
            </w:r>
          </w:p>
        </w:tc>
        <w:tc>
          <w:tcPr>
            <w:tcW w:w="1179" w:type="dxa"/>
            <w:gridSpan w:val="2"/>
            <w:tcBorders>
              <w:top w:val="nil"/>
              <w:left w:val="nil"/>
              <w:bottom w:val="nil"/>
              <w:right w:val="nil"/>
            </w:tcBorders>
            <w:shd w:val="clear" w:color="auto" w:fill="FFFFFF"/>
          </w:tcPr>
          <w:p w14:paraId="4EC1DAF0" w14:textId="77777777" w:rsidR="0087283A" w:rsidRPr="005457F2" w:rsidRDefault="0087283A" w:rsidP="00B713AC">
            <w:pPr>
              <w:pStyle w:val="NlTable"/>
              <w:ind w:right="135"/>
              <w:jc w:val="right"/>
            </w:pPr>
            <w:r w:rsidRPr="005457F2">
              <w:t>104</w:t>
            </w:r>
          </w:p>
        </w:tc>
        <w:tc>
          <w:tcPr>
            <w:tcW w:w="1629" w:type="dxa"/>
            <w:tcBorders>
              <w:top w:val="nil"/>
              <w:left w:val="nil"/>
              <w:bottom w:val="nil"/>
              <w:right w:val="nil"/>
            </w:tcBorders>
            <w:shd w:val="clear" w:color="auto" w:fill="FFFFFF"/>
          </w:tcPr>
          <w:p w14:paraId="7DF90CB1" w14:textId="77777777" w:rsidR="0087283A" w:rsidRPr="005457F2" w:rsidRDefault="0087283A" w:rsidP="000E6564">
            <w:pPr>
              <w:pStyle w:val="NlTable"/>
              <w:ind w:left="0" w:right="270"/>
              <w:jc w:val="right"/>
            </w:pPr>
            <w:r w:rsidRPr="005457F2">
              <w:t>3</w:t>
            </w:r>
          </w:p>
        </w:tc>
        <w:tc>
          <w:tcPr>
            <w:tcW w:w="1971" w:type="dxa"/>
            <w:tcBorders>
              <w:top w:val="nil"/>
              <w:left w:val="nil"/>
              <w:bottom w:val="nil"/>
              <w:right w:val="nil"/>
            </w:tcBorders>
            <w:shd w:val="clear" w:color="auto" w:fill="FFFFFF"/>
          </w:tcPr>
          <w:p w14:paraId="5668CFFF" w14:textId="77777777" w:rsidR="0087283A" w:rsidRPr="005457F2" w:rsidRDefault="0087283A" w:rsidP="001E47D0">
            <w:pPr>
              <w:pStyle w:val="NlTable"/>
              <w:ind w:left="527"/>
              <w:jc w:val="center"/>
            </w:pPr>
            <w:r w:rsidRPr="005457F2">
              <w:t>4.5</w:t>
            </w:r>
          </w:p>
        </w:tc>
      </w:tr>
      <w:tr w:rsidR="0087283A" w:rsidRPr="005457F2" w14:paraId="4BD0B8FB" w14:textId="77777777">
        <w:trPr>
          <w:trHeight w:val="20"/>
        </w:trPr>
        <w:tc>
          <w:tcPr>
            <w:tcW w:w="1170" w:type="dxa"/>
            <w:tcBorders>
              <w:top w:val="nil"/>
              <w:left w:val="nil"/>
              <w:bottom w:val="nil"/>
              <w:right w:val="nil"/>
            </w:tcBorders>
            <w:shd w:val="clear" w:color="auto" w:fill="FFFFFF"/>
          </w:tcPr>
          <w:p w14:paraId="3AB6762A" w14:textId="77777777" w:rsidR="0087283A" w:rsidRPr="005457F2" w:rsidRDefault="0087283A" w:rsidP="00A977B4">
            <w:pPr>
              <w:pStyle w:val="NlTable"/>
              <w:ind w:right="572"/>
              <w:jc w:val="right"/>
              <w:rPr>
                <w:b/>
              </w:rPr>
            </w:pPr>
            <w:r w:rsidRPr="005457F2">
              <w:rPr>
                <w:b/>
              </w:rPr>
              <w:t>7</w:t>
            </w:r>
          </w:p>
        </w:tc>
        <w:tc>
          <w:tcPr>
            <w:tcW w:w="1251" w:type="dxa"/>
            <w:tcBorders>
              <w:top w:val="nil"/>
              <w:left w:val="nil"/>
              <w:bottom w:val="nil"/>
              <w:right w:val="nil"/>
            </w:tcBorders>
            <w:shd w:val="clear" w:color="auto" w:fill="FFFFFF"/>
          </w:tcPr>
          <w:p w14:paraId="04E00E0A" w14:textId="77777777" w:rsidR="0087283A" w:rsidRPr="005457F2" w:rsidRDefault="0087283A" w:rsidP="00E41CAD">
            <w:pPr>
              <w:pStyle w:val="NlTable"/>
              <w:ind w:right="482"/>
              <w:jc w:val="right"/>
            </w:pPr>
            <w:r w:rsidRPr="005457F2">
              <w:t>100</w:t>
            </w:r>
          </w:p>
        </w:tc>
        <w:tc>
          <w:tcPr>
            <w:tcW w:w="1179" w:type="dxa"/>
            <w:gridSpan w:val="2"/>
            <w:tcBorders>
              <w:top w:val="nil"/>
              <w:left w:val="nil"/>
              <w:bottom w:val="nil"/>
              <w:right w:val="nil"/>
            </w:tcBorders>
            <w:shd w:val="clear" w:color="auto" w:fill="FFFFFF"/>
          </w:tcPr>
          <w:p w14:paraId="228754E0" w14:textId="77777777" w:rsidR="0087283A" w:rsidRPr="005457F2" w:rsidRDefault="0087283A" w:rsidP="00B713AC">
            <w:pPr>
              <w:pStyle w:val="NlTable"/>
              <w:ind w:right="135"/>
              <w:jc w:val="right"/>
            </w:pPr>
            <w:r w:rsidRPr="005457F2">
              <w:t>105</w:t>
            </w:r>
          </w:p>
        </w:tc>
        <w:tc>
          <w:tcPr>
            <w:tcW w:w="1629" w:type="dxa"/>
            <w:tcBorders>
              <w:top w:val="nil"/>
              <w:left w:val="nil"/>
              <w:bottom w:val="nil"/>
              <w:right w:val="nil"/>
            </w:tcBorders>
            <w:shd w:val="clear" w:color="auto" w:fill="FFFFFF"/>
          </w:tcPr>
          <w:p w14:paraId="3CCFD48A" w14:textId="77777777" w:rsidR="0087283A" w:rsidRPr="005457F2" w:rsidRDefault="0034785F" w:rsidP="000E6564">
            <w:pPr>
              <w:pStyle w:val="NlTable"/>
              <w:ind w:left="0" w:right="270"/>
              <w:jc w:val="right"/>
            </w:pPr>
            <w:r w:rsidRPr="005457F2">
              <w:t>−</w:t>
            </w:r>
            <w:r w:rsidR="0087283A" w:rsidRPr="005457F2">
              <w:t>5</w:t>
            </w:r>
          </w:p>
        </w:tc>
        <w:tc>
          <w:tcPr>
            <w:tcW w:w="1971" w:type="dxa"/>
            <w:tcBorders>
              <w:top w:val="nil"/>
              <w:left w:val="nil"/>
              <w:bottom w:val="nil"/>
              <w:right w:val="nil"/>
            </w:tcBorders>
            <w:shd w:val="clear" w:color="auto" w:fill="FFFFFF"/>
          </w:tcPr>
          <w:p w14:paraId="0C1990B2" w14:textId="77777777" w:rsidR="0087283A" w:rsidRPr="005457F2" w:rsidRDefault="0087283A" w:rsidP="0087283A">
            <w:pPr>
              <w:pStyle w:val="NlTable"/>
              <w:jc w:val="center"/>
            </w:pPr>
            <w:r w:rsidRPr="005457F2">
              <w:t>12.5</w:t>
            </w:r>
          </w:p>
        </w:tc>
      </w:tr>
      <w:tr w:rsidR="0087283A" w:rsidRPr="005457F2" w14:paraId="10960DFE" w14:textId="77777777">
        <w:trPr>
          <w:trHeight w:val="20"/>
        </w:trPr>
        <w:tc>
          <w:tcPr>
            <w:tcW w:w="1170" w:type="dxa"/>
            <w:tcBorders>
              <w:top w:val="nil"/>
              <w:left w:val="nil"/>
              <w:bottom w:val="nil"/>
              <w:right w:val="nil"/>
            </w:tcBorders>
            <w:shd w:val="clear" w:color="auto" w:fill="FFFFFF"/>
          </w:tcPr>
          <w:p w14:paraId="2155577E" w14:textId="77777777" w:rsidR="0087283A" w:rsidRPr="005457F2" w:rsidRDefault="0087283A" w:rsidP="00A977B4">
            <w:pPr>
              <w:pStyle w:val="NlTable"/>
              <w:ind w:right="572"/>
              <w:jc w:val="right"/>
              <w:rPr>
                <w:b/>
              </w:rPr>
            </w:pPr>
            <w:r w:rsidRPr="005457F2">
              <w:rPr>
                <w:b/>
              </w:rPr>
              <w:t>8</w:t>
            </w:r>
          </w:p>
        </w:tc>
        <w:tc>
          <w:tcPr>
            <w:tcW w:w="1251" w:type="dxa"/>
            <w:tcBorders>
              <w:top w:val="nil"/>
              <w:left w:val="nil"/>
              <w:bottom w:val="nil"/>
              <w:right w:val="nil"/>
            </w:tcBorders>
            <w:shd w:val="clear" w:color="auto" w:fill="FFFFFF"/>
          </w:tcPr>
          <w:p w14:paraId="620A3C3C" w14:textId="77777777" w:rsidR="0087283A" w:rsidRPr="005457F2" w:rsidRDefault="0087283A" w:rsidP="00E41CAD">
            <w:pPr>
              <w:pStyle w:val="NlTable"/>
              <w:ind w:right="482"/>
              <w:jc w:val="right"/>
            </w:pPr>
            <w:r w:rsidRPr="005457F2">
              <w:t>112</w:t>
            </w:r>
          </w:p>
        </w:tc>
        <w:tc>
          <w:tcPr>
            <w:tcW w:w="1179" w:type="dxa"/>
            <w:gridSpan w:val="2"/>
            <w:tcBorders>
              <w:top w:val="nil"/>
              <w:left w:val="nil"/>
              <w:bottom w:val="nil"/>
              <w:right w:val="nil"/>
            </w:tcBorders>
            <w:shd w:val="clear" w:color="auto" w:fill="FFFFFF"/>
          </w:tcPr>
          <w:p w14:paraId="3DB5C43B" w14:textId="77777777" w:rsidR="0087283A" w:rsidRPr="005457F2" w:rsidRDefault="0087283A" w:rsidP="00B713AC">
            <w:pPr>
              <w:pStyle w:val="NlTable"/>
              <w:ind w:right="135"/>
              <w:jc w:val="right"/>
            </w:pPr>
            <w:r w:rsidRPr="005457F2">
              <w:t>104</w:t>
            </w:r>
          </w:p>
        </w:tc>
        <w:tc>
          <w:tcPr>
            <w:tcW w:w="1629" w:type="dxa"/>
            <w:tcBorders>
              <w:top w:val="nil"/>
              <w:left w:val="nil"/>
              <w:bottom w:val="nil"/>
              <w:right w:val="nil"/>
            </w:tcBorders>
            <w:shd w:val="clear" w:color="auto" w:fill="FFFFFF"/>
          </w:tcPr>
          <w:p w14:paraId="0135DDA2" w14:textId="77777777" w:rsidR="0087283A" w:rsidRPr="005457F2" w:rsidRDefault="0087283A" w:rsidP="000E6564">
            <w:pPr>
              <w:pStyle w:val="NlTable"/>
              <w:ind w:left="0" w:right="270"/>
              <w:jc w:val="right"/>
            </w:pPr>
            <w:r w:rsidRPr="005457F2">
              <w:t>8</w:t>
            </w:r>
          </w:p>
        </w:tc>
        <w:tc>
          <w:tcPr>
            <w:tcW w:w="1971" w:type="dxa"/>
            <w:tcBorders>
              <w:top w:val="nil"/>
              <w:left w:val="nil"/>
              <w:bottom w:val="nil"/>
              <w:right w:val="nil"/>
            </w:tcBorders>
            <w:shd w:val="clear" w:color="auto" w:fill="FFFFFF"/>
          </w:tcPr>
          <w:p w14:paraId="0A844D4C" w14:textId="77777777" w:rsidR="0087283A" w:rsidRPr="005457F2" w:rsidRDefault="0087283A" w:rsidP="007B113B">
            <w:pPr>
              <w:pStyle w:val="NlTable"/>
              <w:ind w:right="140"/>
              <w:jc w:val="center"/>
            </w:pPr>
            <w:r w:rsidRPr="005457F2">
              <w:t>32</w:t>
            </w:r>
          </w:p>
        </w:tc>
      </w:tr>
      <w:tr w:rsidR="0087283A" w:rsidRPr="005457F2" w14:paraId="4FAF9C2E" w14:textId="77777777">
        <w:trPr>
          <w:trHeight w:val="20"/>
        </w:trPr>
        <w:tc>
          <w:tcPr>
            <w:tcW w:w="1170" w:type="dxa"/>
            <w:tcBorders>
              <w:top w:val="nil"/>
              <w:left w:val="nil"/>
              <w:bottom w:val="nil"/>
              <w:right w:val="nil"/>
            </w:tcBorders>
            <w:shd w:val="clear" w:color="auto" w:fill="FFFFFF"/>
          </w:tcPr>
          <w:p w14:paraId="67A37CC9" w14:textId="77777777" w:rsidR="0087283A" w:rsidRPr="005457F2" w:rsidRDefault="0087283A" w:rsidP="00A977B4">
            <w:pPr>
              <w:pStyle w:val="NlTable"/>
              <w:ind w:right="572"/>
              <w:jc w:val="right"/>
              <w:rPr>
                <w:b/>
              </w:rPr>
            </w:pPr>
            <w:r w:rsidRPr="005457F2">
              <w:rPr>
                <w:b/>
              </w:rPr>
              <w:t>9</w:t>
            </w:r>
          </w:p>
        </w:tc>
        <w:tc>
          <w:tcPr>
            <w:tcW w:w="1251" w:type="dxa"/>
            <w:tcBorders>
              <w:top w:val="nil"/>
              <w:left w:val="nil"/>
              <w:bottom w:val="nil"/>
              <w:right w:val="nil"/>
            </w:tcBorders>
            <w:shd w:val="clear" w:color="auto" w:fill="FFFFFF"/>
          </w:tcPr>
          <w:p w14:paraId="05F7135C" w14:textId="77777777" w:rsidR="0087283A" w:rsidRPr="005457F2" w:rsidRDefault="0087283A" w:rsidP="00E41CAD">
            <w:pPr>
              <w:pStyle w:val="NlTable"/>
              <w:ind w:right="482"/>
              <w:jc w:val="right"/>
            </w:pPr>
            <w:r w:rsidRPr="005457F2">
              <w:t>123</w:t>
            </w:r>
          </w:p>
        </w:tc>
        <w:tc>
          <w:tcPr>
            <w:tcW w:w="1179" w:type="dxa"/>
            <w:gridSpan w:val="2"/>
            <w:tcBorders>
              <w:top w:val="nil"/>
              <w:left w:val="nil"/>
              <w:bottom w:val="nil"/>
              <w:right w:val="nil"/>
            </w:tcBorders>
            <w:shd w:val="clear" w:color="auto" w:fill="FFFFFF"/>
          </w:tcPr>
          <w:p w14:paraId="72AE749B" w14:textId="77777777" w:rsidR="0087283A" w:rsidRPr="005457F2" w:rsidRDefault="0087283A" w:rsidP="00B713AC">
            <w:pPr>
              <w:pStyle w:val="NlTable"/>
              <w:ind w:right="135"/>
              <w:jc w:val="right"/>
            </w:pPr>
            <w:r w:rsidRPr="005457F2">
              <w:t>110</w:t>
            </w:r>
          </w:p>
        </w:tc>
        <w:tc>
          <w:tcPr>
            <w:tcW w:w="1629" w:type="dxa"/>
            <w:tcBorders>
              <w:top w:val="nil"/>
              <w:left w:val="nil"/>
              <w:bottom w:val="nil"/>
              <w:right w:val="nil"/>
            </w:tcBorders>
            <w:shd w:val="clear" w:color="auto" w:fill="FFFFFF"/>
          </w:tcPr>
          <w:p w14:paraId="29BC4363" w14:textId="77777777" w:rsidR="0087283A" w:rsidRPr="005457F2" w:rsidRDefault="0087283A" w:rsidP="000E6564">
            <w:pPr>
              <w:pStyle w:val="NlTable"/>
              <w:ind w:left="0" w:right="270"/>
              <w:jc w:val="right"/>
            </w:pPr>
            <w:r w:rsidRPr="005457F2">
              <w:t>13</w:t>
            </w:r>
          </w:p>
        </w:tc>
        <w:tc>
          <w:tcPr>
            <w:tcW w:w="1971" w:type="dxa"/>
            <w:tcBorders>
              <w:top w:val="nil"/>
              <w:left w:val="nil"/>
              <w:bottom w:val="nil"/>
              <w:right w:val="nil"/>
            </w:tcBorders>
            <w:shd w:val="clear" w:color="auto" w:fill="FFFFFF"/>
          </w:tcPr>
          <w:p w14:paraId="36720827" w14:textId="77777777" w:rsidR="0087283A" w:rsidRPr="005457F2" w:rsidRDefault="0087283A" w:rsidP="0087283A">
            <w:pPr>
              <w:pStyle w:val="NlTable"/>
              <w:jc w:val="center"/>
            </w:pPr>
            <w:r w:rsidRPr="005457F2">
              <w:t>84.5</w:t>
            </w:r>
          </w:p>
        </w:tc>
      </w:tr>
      <w:tr w:rsidR="0087283A" w:rsidRPr="005457F2" w14:paraId="1BC7C0AF" w14:textId="77777777">
        <w:trPr>
          <w:trHeight w:val="20"/>
        </w:trPr>
        <w:tc>
          <w:tcPr>
            <w:tcW w:w="1170" w:type="dxa"/>
            <w:tcBorders>
              <w:top w:val="nil"/>
              <w:left w:val="nil"/>
              <w:bottom w:val="nil"/>
              <w:right w:val="nil"/>
            </w:tcBorders>
            <w:shd w:val="clear" w:color="auto" w:fill="FFFFFF"/>
          </w:tcPr>
          <w:p w14:paraId="1F076CA6" w14:textId="77777777" w:rsidR="0087283A" w:rsidRPr="005457F2" w:rsidRDefault="0087283A" w:rsidP="00A977B4">
            <w:pPr>
              <w:pStyle w:val="NlTable"/>
              <w:ind w:right="572"/>
              <w:jc w:val="right"/>
              <w:rPr>
                <w:b/>
              </w:rPr>
            </w:pPr>
            <w:r w:rsidRPr="005457F2">
              <w:rPr>
                <w:b/>
              </w:rPr>
              <w:t>10</w:t>
            </w:r>
          </w:p>
        </w:tc>
        <w:tc>
          <w:tcPr>
            <w:tcW w:w="1251" w:type="dxa"/>
            <w:tcBorders>
              <w:top w:val="nil"/>
              <w:left w:val="nil"/>
              <w:bottom w:val="nil"/>
              <w:right w:val="nil"/>
            </w:tcBorders>
            <w:shd w:val="clear" w:color="auto" w:fill="FFFFFF"/>
          </w:tcPr>
          <w:p w14:paraId="7ADFF145" w14:textId="77777777" w:rsidR="0087283A" w:rsidRPr="005457F2" w:rsidRDefault="0087283A" w:rsidP="00E41CAD">
            <w:pPr>
              <w:pStyle w:val="NlTable"/>
              <w:ind w:right="482"/>
              <w:jc w:val="right"/>
            </w:pPr>
            <w:r w:rsidRPr="005457F2">
              <w:t>127</w:t>
            </w:r>
          </w:p>
        </w:tc>
        <w:tc>
          <w:tcPr>
            <w:tcW w:w="1179" w:type="dxa"/>
            <w:gridSpan w:val="2"/>
            <w:tcBorders>
              <w:top w:val="nil"/>
              <w:left w:val="nil"/>
              <w:bottom w:val="nil"/>
              <w:right w:val="nil"/>
            </w:tcBorders>
            <w:shd w:val="clear" w:color="auto" w:fill="FFFFFF"/>
          </w:tcPr>
          <w:p w14:paraId="7C37E384" w14:textId="77777777" w:rsidR="0087283A" w:rsidRPr="005457F2" w:rsidRDefault="0087283A" w:rsidP="00B713AC">
            <w:pPr>
              <w:pStyle w:val="NlTable"/>
              <w:ind w:right="135"/>
              <w:jc w:val="right"/>
            </w:pPr>
            <w:r w:rsidRPr="005457F2">
              <w:t>120</w:t>
            </w:r>
          </w:p>
        </w:tc>
        <w:tc>
          <w:tcPr>
            <w:tcW w:w="1629" w:type="dxa"/>
            <w:tcBorders>
              <w:top w:val="nil"/>
              <w:left w:val="nil"/>
              <w:bottom w:val="nil"/>
              <w:right w:val="nil"/>
            </w:tcBorders>
            <w:shd w:val="clear" w:color="auto" w:fill="FFFFFF"/>
          </w:tcPr>
          <w:p w14:paraId="07203E1C" w14:textId="77777777" w:rsidR="0087283A" w:rsidRPr="005457F2" w:rsidRDefault="0087283A" w:rsidP="000E6564">
            <w:pPr>
              <w:pStyle w:val="NlTable"/>
              <w:ind w:left="0" w:right="270"/>
              <w:jc w:val="right"/>
            </w:pPr>
            <w:r w:rsidRPr="005457F2">
              <w:t>7</w:t>
            </w:r>
          </w:p>
        </w:tc>
        <w:tc>
          <w:tcPr>
            <w:tcW w:w="1971" w:type="dxa"/>
            <w:tcBorders>
              <w:top w:val="nil"/>
              <w:left w:val="nil"/>
              <w:bottom w:val="nil"/>
              <w:right w:val="nil"/>
            </w:tcBorders>
            <w:shd w:val="clear" w:color="auto" w:fill="FFFFFF"/>
          </w:tcPr>
          <w:p w14:paraId="7AFB7516" w14:textId="77777777" w:rsidR="0087283A" w:rsidRPr="005457F2" w:rsidRDefault="0087283A" w:rsidP="0087283A">
            <w:pPr>
              <w:pStyle w:val="NlTable"/>
              <w:jc w:val="center"/>
            </w:pPr>
            <w:r w:rsidRPr="005457F2">
              <w:t>24.5</w:t>
            </w:r>
          </w:p>
        </w:tc>
      </w:tr>
      <w:tr w:rsidR="00C3668C" w:rsidRPr="005457F2" w14:paraId="3F4BFEEB" w14:textId="77777777" w:rsidTr="00D861F7">
        <w:trPr>
          <w:trHeight w:val="720"/>
        </w:trPr>
        <w:tc>
          <w:tcPr>
            <w:tcW w:w="1170" w:type="dxa"/>
            <w:tcBorders>
              <w:top w:val="nil"/>
              <w:left w:val="nil"/>
              <w:bottom w:val="nil"/>
              <w:right w:val="nil"/>
            </w:tcBorders>
            <w:shd w:val="clear" w:color="auto" w:fill="FFFFFF"/>
          </w:tcPr>
          <w:p w14:paraId="5937BE6F" w14:textId="77777777" w:rsidR="00C3668C" w:rsidRPr="005457F2" w:rsidRDefault="00C3668C" w:rsidP="00A977B4">
            <w:pPr>
              <w:pStyle w:val="NlTable"/>
              <w:ind w:right="572"/>
              <w:jc w:val="right"/>
            </w:pPr>
          </w:p>
        </w:tc>
        <w:tc>
          <w:tcPr>
            <w:tcW w:w="1251" w:type="dxa"/>
            <w:tcBorders>
              <w:top w:val="nil"/>
              <w:left w:val="nil"/>
              <w:bottom w:val="nil"/>
              <w:right w:val="nil"/>
            </w:tcBorders>
            <w:shd w:val="clear" w:color="auto" w:fill="FFFFFF"/>
          </w:tcPr>
          <w:p w14:paraId="4A917F64" w14:textId="77777777" w:rsidR="00C3668C" w:rsidRPr="005457F2" w:rsidRDefault="00C3668C" w:rsidP="00E41CAD">
            <w:pPr>
              <w:pStyle w:val="NlTable"/>
              <w:ind w:right="482"/>
              <w:jc w:val="right"/>
            </w:pPr>
          </w:p>
        </w:tc>
        <w:tc>
          <w:tcPr>
            <w:tcW w:w="4779" w:type="dxa"/>
            <w:gridSpan w:val="4"/>
            <w:tcBorders>
              <w:top w:val="nil"/>
              <w:left w:val="nil"/>
              <w:bottom w:val="nil"/>
              <w:right w:val="nil"/>
            </w:tcBorders>
            <w:shd w:val="clear" w:color="auto" w:fill="FFFFFF"/>
          </w:tcPr>
          <w:p w14:paraId="4AD0FBB7" w14:textId="77777777" w:rsidR="00C3668C" w:rsidRPr="005457F2" w:rsidRDefault="00C3668C" w:rsidP="00217675">
            <w:pPr>
              <w:pStyle w:val="NlTable"/>
              <w:jc w:val="right"/>
            </w:pPr>
            <w:r>
              <w:rPr>
                <w:b/>
              </w:rPr>
              <w:t xml:space="preserve"> </w:t>
            </w:r>
          </w:p>
          <w:p w14:paraId="4E5573E5" w14:textId="77777777" w:rsidR="00C3668C" w:rsidRPr="005457F2" w:rsidRDefault="00C3668C" w:rsidP="00217675">
            <w:pPr>
              <w:pStyle w:val="NlTable"/>
              <w:jc w:val="right"/>
            </w:pPr>
            <w:r w:rsidRPr="005457F2">
              <w:rPr>
                <w:b/>
              </w:rPr>
              <w:t xml:space="preserve">Average Variance </w:t>
            </w:r>
            <w:r w:rsidRPr="005457F2">
              <w:t xml:space="preserve">= </w:t>
            </w:r>
            <w:r w:rsidRPr="005457F2">
              <w:rPr>
                <w:b/>
              </w:rPr>
              <w:t>53.1</w:t>
            </w:r>
          </w:p>
        </w:tc>
      </w:tr>
      <w:tr w:rsidR="0087283A" w:rsidRPr="005457F2" w14:paraId="5F002576" w14:textId="77777777">
        <w:trPr>
          <w:trHeight w:val="20"/>
        </w:trPr>
        <w:tc>
          <w:tcPr>
            <w:tcW w:w="1170" w:type="dxa"/>
            <w:tcBorders>
              <w:top w:val="nil"/>
              <w:left w:val="nil"/>
              <w:bottom w:val="nil"/>
              <w:right w:val="nil"/>
            </w:tcBorders>
            <w:shd w:val="clear" w:color="auto" w:fill="FFFFFF"/>
          </w:tcPr>
          <w:p w14:paraId="617F5855" w14:textId="77777777" w:rsidR="0087283A" w:rsidRPr="005457F2" w:rsidRDefault="0087283A" w:rsidP="00A977B4">
            <w:pPr>
              <w:pStyle w:val="NlTable"/>
              <w:ind w:right="572"/>
              <w:jc w:val="right"/>
            </w:pPr>
          </w:p>
        </w:tc>
        <w:tc>
          <w:tcPr>
            <w:tcW w:w="1251" w:type="dxa"/>
            <w:tcBorders>
              <w:top w:val="nil"/>
              <w:left w:val="nil"/>
              <w:bottom w:val="nil"/>
              <w:right w:val="nil"/>
            </w:tcBorders>
            <w:shd w:val="clear" w:color="auto" w:fill="FFFFFF"/>
          </w:tcPr>
          <w:p w14:paraId="6D6CA259" w14:textId="77777777" w:rsidR="0087283A" w:rsidRPr="005457F2" w:rsidRDefault="0087283A" w:rsidP="00E41CAD">
            <w:pPr>
              <w:pStyle w:val="NlTable"/>
              <w:ind w:right="482"/>
              <w:jc w:val="right"/>
            </w:pPr>
          </w:p>
        </w:tc>
        <w:tc>
          <w:tcPr>
            <w:tcW w:w="766" w:type="dxa"/>
            <w:tcBorders>
              <w:top w:val="nil"/>
              <w:left w:val="nil"/>
              <w:bottom w:val="nil"/>
              <w:right w:val="nil"/>
            </w:tcBorders>
            <w:shd w:val="clear" w:color="auto" w:fill="FFFFFF"/>
          </w:tcPr>
          <w:p w14:paraId="7B9D18A1" w14:textId="77777777" w:rsidR="0087283A" w:rsidRPr="005457F2" w:rsidRDefault="0087283A" w:rsidP="0087283A">
            <w:pPr>
              <w:pStyle w:val="NlTable"/>
            </w:pPr>
          </w:p>
        </w:tc>
        <w:tc>
          <w:tcPr>
            <w:tcW w:w="2042" w:type="dxa"/>
            <w:gridSpan w:val="2"/>
            <w:tcBorders>
              <w:top w:val="nil"/>
              <w:left w:val="nil"/>
              <w:bottom w:val="nil"/>
              <w:right w:val="nil"/>
            </w:tcBorders>
            <w:shd w:val="clear" w:color="auto" w:fill="FFFFFF"/>
          </w:tcPr>
          <w:p w14:paraId="54C6D2B2" w14:textId="77777777" w:rsidR="0087283A" w:rsidRPr="005457F2" w:rsidRDefault="0087283A" w:rsidP="00782A20">
            <w:pPr>
              <w:pStyle w:val="NlTable"/>
              <w:ind w:left="850"/>
              <w:jc w:val="center"/>
            </w:pPr>
          </w:p>
        </w:tc>
        <w:tc>
          <w:tcPr>
            <w:tcW w:w="1971" w:type="dxa"/>
            <w:tcBorders>
              <w:top w:val="nil"/>
              <w:left w:val="nil"/>
              <w:bottom w:val="nil"/>
              <w:right w:val="nil"/>
            </w:tcBorders>
            <w:shd w:val="clear" w:color="auto" w:fill="FFFFFF"/>
          </w:tcPr>
          <w:p w14:paraId="6A8DDA64" w14:textId="77777777" w:rsidR="0087283A" w:rsidRPr="005457F2" w:rsidRDefault="00C3668C" w:rsidP="002907C1">
            <w:pPr>
              <w:pStyle w:val="NlTable"/>
              <w:jc w:val="right"/>
            </w:pPr>
            <w:proofErr w:type="spellStart"/>
            <w:r w:rsidRPr="005457F2">
              <w:rPr>
                <w:b/>
              </w:rPr>
              <w:t>S</w:t>
            </w:r>
            <w:r w:rsidRPr="005457F2">
              <w:rPr>
                <w:b/>
                <w:vertAlign w:val="subscript"/>
              </w:rPr>
              <w:t>w</w:t>
            </w:r>
            <w:proofErr w:type="spellEnd"/>
            <w:r w:rsidRPr="005457F2">
              <w:rPr>
                <w:b/>
              </w:rPr>
              <w:t xml:space="preserve"> </w:t>
            </w:r>
            <w:proofErr w:type="gramStart"/>
            <w:r w:rsidRPr="005457F2">
              <w:rPr>
                <w:b/>
              </w:rPr>
              <w:t xml:space="preserve">= </w:t>
            </w:r>
            <w:r w:rsidR="002907C1" w:rsidRPr="005457F2">
              <w:t xml:space="preserve"> </w:t>
            </w:r>
            <w:r w:rsidRPr="005457F2">
              <w:rPr>
                <w:b/>
              </w:rPr>
              <w:t>7</w:t>
            </w:r>
            <w:proofErr w:type="gramEnd"/>
            <w:r w:rsidRPr="005457F2">
              <w:rPr>
                <w:b/>
              </w:rPr>
              <w:t>.3</w:t>
            </w:r>
          </w:p>
        </w:tc>
      </w:tr>
    </w:tbl>
    <w:p w14:paraId="23AA18BB" w14:textId="77777777" w:rsidR="00B91CD8" w:rsidRPr="005457F2" w:rsidRDefault="004F48DE" w:rsidP="00113F16">
      <w:pPr>
        <w:pStyle w:val="NormalWeb"/>
      </w:pPr>
      <w:r w:rsidRPr="005457F2">
        <w:t>For Subject 1, the difference between the two measurements was −12. You square this to get 144, and divide by 2 to get a within-subject variance of 72. Averaging together all ten variances yields 53.1, so the within-subject standard deviation</w:t>
      </w:r>
      <w:r w:rsidRPr="005457F2">
        <w:rPr>
          <w:b/>
        </w:rPr>
        <w:t xml:space="preserve"> </w:t>
      </w:r>
      <w:proofErr w:type="spellStart"/>
      <w:r w:rsidRPr="005457F2">
        <w:rPr>
          <w:b/>
        </w:rPr>
        <w:t>S</w:t>
      </w:r>
      <w:r w:rsidRPr="005457F2">
        <w:rPr>
          <w:b/>
          <w:vertAlign w:val="subscript"/>
        </w:rPr>
        <w:t>w</w:t>
      </w:r>
      <w:proofErr w:type="spellEnd"/>
      <w:r w:rsidRPr="005457F2">
        <w:rPr>
          <w:b/>
        </w:rPr>
        <w:t xml:space="preserve"> </w:t>
      </w:r>
      <w:r w:rsidRPr="005457F2">
        <w:t>is</w:t>
      </w:r>
      <w:r w:rsidR="006E7071" w:rsidRPr="005457F2">
        <w:t xml:space="preserve"> </w:t>
      </w:r>
      <w:r w:rsidR="002F589D">
        <w:rPr>
          <w:noProof/>
          <w:position w:val="-8"/>
        </w:rPr>
        <w:drawing>
          <wp:inline distT="0" distB="0" distL="0" distR="0" wp14:anchorId="1B557858" wp14:editId="08FED0C3">
            <wp:extent cx="407035" cy="23050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035" cy="230505"/>
                    </a:xfrm>
                    <a:prstGeom prst="rect">
                      <a:avLst/>
                    </a:prstGeom>
                    <a:noFill/>
                    <a:ln>
                      <a:noFill/>
                    </a:ln>
                  </pic:spPr>
                </pic:pic>
              </a:graphicData>
            </a:graphic>
          </wp:inline>
        </w:drawing>
      </w:r>
      <w:r w:rsidRPr="005457F2">
        <w:t xml:space="preserve"> or 7.3.</w:t>
      </w:r>
      <w:r w:rsidR="007C02E1" w:rsidRPr="005457F2">
        <w:rPr>
          <w:rStyle w:val="FootnoteReference"/>
        </w:rPr>
        <w:footnoteReference w:id="4"/>
      </w:r>
    </w:p>
    <w:p w14:paraId="4F8370E2" w14:textId="77777777" w:rsidR="00B91CD8" w:rsidRPr="005457F2" w:rsidRDefault="004F48DE" w:rsidP="00686C49">
      <w:pPr>
        <w:pStyle w:val="NormalWeb"/>
      </w:pPr>
      <w:r w:rsidRPr="005457F2">
        <w:lastRenderedPageBreak/>
        <w:t>If we assume that the measurement error is distributed in a normal (Gaussian or bell-shaped) distribution, then about 95% of our measurements (on a single specimen) will be within 1.96</w:t>
      </w:r>
      <w:r w:rsidRPr="005457F2">
        <w:rPr>
          <w:b/>
        </w:rPr>
        <w:t xml:space="preserve"> </w:t>
      </w:r>
      <w:proofErr w:type="spellStart"/>
      <w:r w:rsidRPr="005457F2">
        <w:rPr>
          <w:b/>
        </w:rPr>
        <w:t>S</w:t>
      </w:r>
      <w:r w:rsidRPr="005457F2">
        <w:rPr>
          <w:b/>
          <w:vertAlign w:val="subscript"/>
        </w:rPr>
        <w:t>w</w:t>
      </w:r>
      <w:proofErr w:type="spellEnd"/>
      <w:r w:rsidRPr="005457F2">
        <w:t xml:space="preserve"> of the theoretical </w:t>
      </w:r>
      <w:r w:rsidR="002907C1">
        <w:t>true</w:t>
      </w:r>
      <w:r w:rsidRPr="005457F2">
        <w:t xml:space="preserve"> value for that specimen. In this case, 1.96 × 7.3 = 14.3 mg/dL. So about 95% of the </w:t>
      </w:r>
      <w:r w:rsidR="002907C1">
        <w:t xml:space="preserve">meter </w:t>
      </w:r>
      <w:r w:rsidRPr="005457F2">
        <w:t xml:space="preserve">readings will be within about 14 mg/dL of the </w:t>
      </w:r>
      <w:r w:rsidR="002907C1">
        <w:t>true</w:t>
      </w:r>
      <w:r w:rsidRPr="005457F2">
        <w:t xml:space="preserve"> value. The difference between two measurements on the same subject is expected to be within (1</w:t>
      </w:r>
      <w:r w:rsidRPr="005457F2">
        <w:rPr>
          <w:i/>
        </w:rPr>
        <w:t>.</w:t>
      </w:r>
      <w:r w:rsidRPr="005457F2">
        <w:t>96</w:t>
      </w:r>
      <w:r w:rsidR="006763D7" w:rsidRPr="005457F2">
        <w:t xml:space="preserve"> × </w:t>
      </w:r>
      <w:r w:rsidR="002F589D">
        <w:rPr>
          <w:noProof/>
          <w:position w:val="-6"/>
        </w:rPr>
        <w:drawing>
          <wp:inline distT="0" distB="0" distL="0" distR="0" wp14:anchorId="6440A6B2" wp14:editId="329B81A3">
            <wp:extent cx="245745" cy="222885"/>
            <wp:effectExtent l="0" t="0" r="0" b="571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 cy="222885"/>
                    </a:xfrm>
                    <a:prstGeom prst="rect">
                      <a:avLst/>
                    </a:prstGeom>
                    <a:noFill/>
                    <a:ln>
                      <a:noFill/>
                    </a:ln>
                  </pic:spPr>
                </pic:pic>
              </a:graphicData>
            </a:graphic>
          </wp:inline>
        </w:drawing>
      </w:r>
      <w:r w:rsidRPr="005457F2">
        <w:t>) = 2</w:t>
      </w:r>
      <w:r w:rsidRPr="005457F2">
        <w:rPr>
          <w:i/>
        </w:rPr>
        <w:t>.</w:t>
      </w:r>
      <w:r w:rsidRPr="005457F2">
        <w:t xml:space="preserve">77 × </w:t>
      </w:r>
      <w:proofErr w:type="spellStart"/>
      <w:r w:rsidRPr="005457F2">
        <w:rPr>
          <w:b/>
        </w:rPr>
        <w:t>S</w:t>
      </w:r>
      <w:r w:rsidRPr="005457F2">
        <w:rPr>
          <w:b/>
          <w:vertAlign w:val="subscript"/>
        </w:rPr>
        <w:t>w</w:t>
      </w:r>
      <w:proofErr w:type="spellEnd"/>
      <w:r w:rsidRPr="005457F2">
        <w:t xml:space="preserve"> 95% of the time.</w:t>
      </w:r>
      <w:r w:rsidR="000C5C8B" w:rsidRPr="005457F2">
        <w:rPr>
          <w:rStyle w:val="FootnoteReference"/>
        </w:rPr>
        <w:footnoteReference w:id="5"/>
      </w:r>
      <w:r w:rsidRPr="005457F2">
        <w:t xml:space="preserve"> In this example, 2.77 × </w:t>
      </w:r>
      <w:proofErr w:type="spellStart"/>
      <w:r w:rsidRPr="005457F2">
        <w:rPr>
          <w:b/>
        </w:rPr>
        <w:t>S</w:t>
      </w:r>
      <w:r w:rsidRPr="005457F2">
        <w:rPr>
          <w:b/>
          <w:vertAlign w:val="subscript"/>
        </w:rPr>
        <w:t>w</w:t>
      </w:r>
      <w:proofErr w:type="spellEnd"/>
      <w:r w:rsidRPr="005457F2">
        <w:t xml:space="preserve"> = 2.77 × 7.3 = 20.2. This is called the repeatability. We can expect the difference between two measurements on the same specimen to be less than 20.2 mg/dL 95% of the time.</w:t>
      </w:r>
    </w:p>
    <w:p w14:paraId="008E7BBA" w14:textId="77777777" w:rsidR="00B91CD8" w:rsidRPr="005457F2" w:rsidRDefault="004F48DE" w:rsidP="003260FB">
      <w:pPr>
        <w:pStyle w:val="Heading4"/>
      </w:pPr>
      <w:r w:rsidRPr="005457F2">
        <w:t>Why not use average standard deviation?</w:t>
      </w:r>
    </w:p>
    <w:p w14:paraId="752D3814" w14:textId="77777777" w:rsidR="00B91CD8" w:rsidRPr="005457F2" w:rsidRDefault="004F48DE" w:rsidP="0055423E">
      <w:pPr>
        <w:pStyle w:val="NormalWeb"/>
      </w:pPr>
      <w:r w:rsidRPr="005457F2">
        <w:t>Rather than take the square root of the variance for each subject (that subject</w:t>
      </w:r>
      <w:r w:rsidR="00B91CD8" w:rsidRPr="005457F2">
        <w:t>’</w:t>
      </w:r>
      <w:r w:rsidRPr="005457F2">
        <w:t>s standard deviation) and then average those to get</w:t>
      </w:r>
      <w:r w:rsidRPr="005457F2">
        <w:rPr>
          <w:b/>
        </w:rPr>
        <w:t xml:space="preserve"> </w:t>
      </w:r>
      <w:proofErr w:type="spellStart"/>
      <w:r w:rsidRPr="005457F2">
        <w:rPr>
          <w:b/>
        </w:rPr>
        <w:t>S</w:t>
      </w:r>
      <w:r w:rsidRPr="005457F2">
        <w:rPr>
          <w:b/>
          <w:vertAlign w:val="subscript"/>
        </w:rPr>
        <w:t>w</w:t>
      </w:r>
      <w:proofErr w:type="spellEnd"/>
      <w:r w:rsidRPr="005457F2">
        <w:t xml:space="preserve">, we </w:t>
      </w:r>
      <w:r w:rsidR="007816D8" w:rsidRPr="005457F2">
        <w:t>fi</w:t>
      </w:r>
      <w:r w:rsidRPr="005457F2">
        <w:t>rst averaged the variances and then took the square root. We did this to preserve desirable mathematical properties – the same general reason that we use the standard deviation (the square root of the mean square deviation) rather than average deviation. However, because the quantities we are going to average are squared, the effect of outliers (subjects from whom the measurement error was much larger than average) is magni</w:t>
      </w:r>
      <w:r w:rsidR="007816D8" w:rsidRPr="005457F2">
        <w:t>fi</w:t>
      </w:r>
      <w:r w:rsidRPr="005457F2">
        <w:t>ed.</w:t>
      </w:r>
    </w:p>
    <w:p w14:paraId="62CD493B" w14:textId="77777777" w:rsidR="00B91CD8" w:rsidRPr="005457F2" w:rsidRDefault="004F48DE" w:rsidP="003260FB">
      <w:pPr>
        <w:pStyle w:val="Heading4"/>
      </w:pPr>
      <w:r w:rsidRPr="005457F2">
        <w:t>Why not use the correlation coefficient?</w:t>
      </w:r>
    </w:p>
    <w:p w14:paraId="787F4C73" w14:textId="77777777" w:rsidR="00B91CD8" w:rsidRPr="005457F2" w:rsidRDefault="004F48DE" w:rsidP="003D1341">
      <w:pPr>
        <w:pStyle w:val="NormalWeb"/>
      </w:pPr>
      <w:r w:rsidRPr="005457F2">
        <w:t xml:space="preserve">A scatterplot of the data in </w:t>
      </w:r>
      <w:r w:rsidR="008271CC">
        <w:t>Example 5.</w:t>
      </w:r>
      <w:r w:rsidRPr="005457F2">
        <w:t xml:space="preserve">11 </w:t>
      </w:r>
      <w:r w:rsidR="00A21962">
        <w:t>is shown in</w:t>
      </w:r>
      <w:r w:rsidRPr="005457F2">
        <w:t xml:space="preserve"> </w:t>
      </w:r>
      <w:r w:rsidR="002E44F8" w:rsidRPr="00D861F7">
        <w:rPr>
          <w:highlight w:val="yellow"/>
        </w:rPr>
        <w:t>Figure 5.</w:t>
      </w:r>
      <w:r w:rsidRPr="00D861F7">
        <w:rPr>
          <w:highlight w:val="yellow"/>
        </w:rPr>
        <w:t>2.</w:t>
      </w:r>
    </w:p>
    <w:p w14:paraId="46A4C6D2" w14:textId="7B35F891" w:rsidR="00B91CD8" w:rsidRPr="005457F2" w:rsidRDefault="004F48DE" w:rsidP="003D1341">
      <w:pPr>
        <w:pStyle w:val="NormalWeb"/>
      </w:pPr>
      <w:r w:rsidRPr="005457F2">
        <w:t>You may recall from your basic statistics course that the correlation coef</w:t>
      </w:r>
      <w:r w:rsidR="007816D8" w:rsidRPr="005457F2">
        <w:t>fi</w:t>
      </w:r>
      <w:r w:rsidRPr="005457F2">
        <w:t xml:space="preserve">cient measures linear correlation between two measurements, ranging from −1 (for perfect inverse correlation) to 1 (for perfect correlation) with a value of 0 if the two variables </w:t>
      </w:r>
      <w:r w:rsidR="001A4ADF">
        <w:t>have no linear correlation</w:t>
      </w:r>
      <w:r w:rsidR="001A4ADF" w:rsidRPr="005457F2">
        <w:t xml:space="preserve"> </w:t>
      </w:r>
      <w:r w:rsidR="001A4ADF">
        <w:t xml:space="preserve">or </w:t>
      </w:r>
      <w:r w:rsidRPr="005457F2">
        <w:t>are independent.</w:t>
      </w:r>
      <w:r w:rsidR="007B6A11">
        <w:rPr>
          <w:rStyle w:val="FootnoteReference"/>
        </w:rPr>
        <w:footnoteReference w:id="6"/>
      </w:r>
      <w:r w:rsidRPr="005457F2">
        <w:t xml:space="preserve"> For these data, the correlation coef</w:t>
      </w:r>
      <w:r w:rsidR="007816D8" w:rsidRPr="005457F2">
        <w:t>fi</w:t>
      </w:r>
      <w:r w:rsidRPr="005457F2">
        <w:t>cient is</w:t>
      </w:r>
      <w:r w:rsidR="001E6E1E" w:rsidRPr="005457F2">
        <w:t xml:space="preserve"> </w:t>
      </w:r>
      <w:r w:rsidRPr="005457F2">
        <w:t xml:space="preserve">0.67. Is this a good measure of test-retest reliability? Before you answer, see </w:t>
      </w:r>
      <w:r w:rsidR="008271CC">
        <w:t>Example 5.</w:t>
      </w:r>
      <w:r w:rsidRPr="005457F2">
        <w:t>12.</w:t>
      </w:r>
    </w:p>
    <w:p w14:paraId="3A6C479F" w14:textId="1B6F25C1" w:rsidR="00B91CD8" w:rsidRPr="005457F2" w:rsidRDefault="008271CC" w:rsidP="001F1CE1">
      <w:pPr>
        <w:pStyle w:val="NormalWeb"/>
      </w:pPr>
      <w:r>
        <w:rPr>
          <w:b/>
        </w:rPr>
        <w:t>Example 5.</w:t>
      </w:r>
      <w:r w:rsidR="004F48DE" w:rsidRPr="005457F2">
        <w:rPr>
          <w:b/>
        </w:rPr>
        <w:t>12</w:t>
      </w:r>
      <w:r w:rsidR="004F48DE" w:rsidRPr="005457F2">
        <w:t xml:space="preserve"> Let us replace the last pair of measurements (127, 120) in </w:t>
      </w:r>
      <w:r>
        <w:t>Example 5.</w:t>
      </w:r>
      <w:r w:rsidR="004F48DE" w:rsidRPr="005457F2">
        <w:t>11 with a pair of measurements (300, 600) on a hyperglycemic specimen. This pair of measurements does not show very good reliability. The glucose level of 300 might or</w:t>
      </w:r>
      <w:r w:rsidR="00110AB6" w:rsidRPr="005457F2">
        <w:t xml:space="preserve"> </w:t>
      </w:r>
      <w:r w:rsidR="004F48DE" w:rsidRPr="005457F2">
        <w:t xml:space="preserve">might not prompt </w:t>
      </w:r>
      <w:r w:rsidR="008C00D6">
        <w:t xml:space="preserve">a patient using the pocket glucose </w:t>
      </w:r>
      <w:r w:rsidR="004F48DE" w:rsidRPr="005457F2">
        <w:t>meter to adjust his insulin dose. The glucose level of 600 should prompt him to call his doctor. Here are the new data:</w:t>
      </w:r>
    </w:p>
    <w:p w14:paraId="670476BA" w14:textId="77777777" w:rsidR="00D861F7" w:rsidRDefault="00F34806" w:rsidP="00A5574C">
      <w:pPr>
        <w:pStyle w:val="NormalWeb"/>
      </w:pPr>
      <w:r>
        <w:rPr>
          <w:noProof/>
        </w:rPr>
        <w:lastRenderedPageBreak/>
        <w:drawing>
          <wp:inline distT="0" distB="0" distL="0" distR="0" wp14:anchorId="6E4EE354" wp14:editId="6373FD15">
            <wp:extent cx="5473700" cy="2946400"/>
            <wp:effectExtent l="0" t="0" r="0" b="0"/>
            <wp:docPr id="11" name="Picture 11" descr="Figur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igure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0" cy="2946400"/>
                    </a:xfrm>
                    <a:prstGeom prst="rect">
                      <a:avLst/>
                    </a:prstGeom>
                    <a:noFill/>
                    <a:ln>
                      <a:noFill/>
                    </a:ln>
                  </pic:spPr>
                </pic:pic>
              </a:graphicData>
            </a:graphic>
          </wp:inline>
        </w:drawing>
      </w:r>
    </w:p>
    <w:p w14:paraId="314BA0DA" w14:textId="77777777" w:rsidR="00110AB6" w:rsidRPr="005457F2" w:rsidRDefault="002E44F8" w:rsidP="00A5574C">
      <w:pPr>
        <w:pStyle w:val="NormalWeb"/>
      </w:pPr>
      <w:r w:rsidRPr="00335EF4">
        <w:rPr>
          <w:highlight w:val="yellow"/>
        </w:rPr>
        <w:t>Figure 5.</w:t>
      </w:r>
      <w:r w:rsidR="00110AB6" w:rsidRPr="00335EF4">
        <w:rPr>
          <w:highlight w:val="yellow"/>
        </w:rPr>
        <w:t>2</w:t>
      </w:r>
      <w:r w:rsidR="00110AB6" w:rsidRPr="005457F2">
        <w:t xml:space="preserve"> Scatterplot of the </w:t>
      </w:r>
      <w:r w:rsidR="00D861F7">
        <w:t xml:space="preserve">blood glucose </w:t>
      </w:r>
      <w:r w:rsidR="00D861F7" w:rsidRPr="005457F2">
        <w:t xml:space="preserve">meter </w:t>
      </w:r>
      <w:r w:rsidR="00110AB6" w:rsidRPr="005457F2">
        <w:t xml:space="preserve">readings in </w:t>
      </w:r>
      <w:r w:rsidR="008271CC">
        <w:t>Example 5.</w:t>
      </w:r>
      <w:r w:rsidR="00110AB6" w:rsidRPr="005457F2">
        <w:t>11. Correlation coefficient = 0.67.</w:t>
      </w:r>
    </w:p>
    <w:tbl>
      <w:tblPr>
        <w:tblW w:w="0" w:type="auto"/>
        <w:tblInd w:w="40" w:type="dxa"/>
        <w:tblLayout w:type="fixed"/>
        <w:tblCellMar>
          <w:left w:w="40" w:type="dxa"/>
          <w:right w:w="40" w:type="dxa"/>
        </w:tblCellMar>
        <w:tblLook w:val="0000" w:firstRow="0" w:lastRow="0" w:firstColumn="0" w:lastColumn="0" w:noHBand="0" w:noVBand="0"/>
      </w:tblPr>
      <w:tblGrid>
        <w:gridCol w:w="1170"/>
        <w:gridCol w:w="1179"/>
        <w:gridCol w:w="1521"/>
        <w:gridCol w:w="2205"/>
        <w:gridCol w:w="1584"/>
      </w:tblGrid>
      <w:tr w:rsidR="000E7C1A" w:rsidRPr="005457F2" w14:paraId="23F6118A" w14:textId="77777777">
        <w:trPr>
          <w:trHeight w:val="20"/>
        </w:trPr>
        <w:tc>
          <w:tcPr>
            <w:tcW w:w="7659" w:type="dxa"/>
            <w:gridSpan w:val="5"/>
            <w:tcBorders>
              <w:top w:val="nil"/>
              <w:left w:val="nil"/>
              <w:bottom w:val="nil"/>
              <w:right w:val="nil"/>
            </w:tcBorders>
            <w:shd w:val="clear" w:color="auto" w:fill="FFFFFF"/>
          </w:tcPr>
          <w:p w14:paraId="3D669886" w14:textId="77777777" w:rsidR="000E7C1A" w:rsidRPr="005457F2" w:rsidRDefault="000E7C1A" w:rsidP="000E7C1A">
            <w:pPr>
              <w:pStyle w:val="NlTable"/>
            </w:pPr>
            <w:r w:rsidRPr="005457F2">
              <w:rPr>
                <w:b/>
              </w:rPr>
              <w:t xml:space="preserve">Duplicate </w:t>
            </w:r>
            <w:proofErr w:type="spellStart"/>
            <w:r w:rsidRPr="005457F2">
              <w:rPr>
                <w:b/>
              </w:rPr>
              <w:t>GlucoseMeasurements</w:t>
            </w:r>
            <w:proofErr w:type="spellEnd"/>
            <w:r w:rsidRPr="005457F2">
              <w:rPr>
                <w:b/>
              </w:rPr>
              <w:t xml:space="preserve"> from </w:t>
            </w:r>
            <w:r w:rsidR="008271CC">
              <w:rPr>
                <w:b/>
              </w:rPr>
              <w:t>Example 5.</w:t>
            </w:r>
            <w:r w:rsidRPr="005457F2">
              <w:rPr>
                <w:b/>
              </w:rPr>
              <w:t>11</w:t>
            </w:r>
            <w:r w:rsidRPr="005457F2">
              <w:t xml:space="preserve"> (except for the last observation)</w:t>
            </w:r>
          </w:p>
        </w:tc>
      </w:tr>
      <w:tr w:rsidR="000E7C1A" w:rsidRPr="005457F2" w14:paraId="30141C55" w14:textId="77777777">
        <w:trPr>
          <w:trHeight w:val="20"/>
        </w:trPr>
        <w:tc>
          <w:tcPr>
            <w:tcW w:w="1170" w:type="dxa"/>
            <w:tcBorders>
              <w:top w:val="nil"/>
              <w:left w:val="nil"/>
              <w:bottom w:val="nil"/>
              <w:right w:val="nil"/>
            </w:tcBorders>
            <w:shd w:val="clear" w:color="auto" w:fill="FFFFFF"/>
          </w:tcPr>
          <w:p w14:paraId="320BB233" w14:textId="77777777" w:rsidR="000E7C1A" w:rsidRPr="005457F2" w:rsidRDefault="000E7C1A" w:rsidP="000E7C1A">
            <w:pPr>
              <w:pStyle w:val="NlTable"/>
            </w:pPr>
          </w:p>
        </w:tc>
        <w:tc>
          <w:tcPr>
            <w:tcW w:w="2700" w:type="dxa"/>
            <w:gridSpan w:val="2"/>
            <w:tcBorders>
              <w:top w:val="nil"/>
              <w:left w:val="nil"/>
              <w:bottom w:val="nil"/>
              <w:right w:val="nil"/>
            </w:tcBorders>
            <w:shd w:val="clear" w:color="auto" w:fill="FFFFFF"/>
          </w:tcPr>
          <w:p w14:paraId="05C02AEB" w14:textId="77777777" w:rsidR="000E7C1A" w:rsidRPr="005457F2" w:rsidRDefault="000E7C1A" w:rsidP="0024075E">
            <w:pPr>
              <w:pStyle w:val="NlTable"/>
              <w:jc w:val="center"/>
              <w:rPr>
                <w:b/>
              </w:rPr>
            </w:pPr>
            <w:r w:rsidRPr="005457F2">
              <w:rPr>
                <w:b/>
              </w:rPr>
              <w:t>Glucose Measurement (mg/dL)</w:t>
            </w:r>
          </w:p>
        </w:tc>
        <w:tc>
          <w:tcPr>
            <w:tcW w:w="2205" w:type="dxa"/>
            <w:tcBorders>
              <w:top w:val="nil"/>
              <w:left w:val="nil"/>
              <w:bottom w:val="nil"/>
              <w:right w:val="nil"/>
            </w:tcBorders>
            <w:shd w:val="clear" w:color="auto" w:fill="FFFFFF"/>
          </w:tcPr>
          <w:p w14:paraId="383B2B6D" w14:textId="77777777" w:rsidR="000E7C1A" w:rsidRPr="005457F2" w:rsidRDefault="000E7C1A" w:rsidP="000E7C1A">
            <w:pPr>
              <w:pStyle w:val="NlTable"/>
            </w:pPr>
          </w:p>
        </w:tc>
        <w:tc>
          <w:tcPr>
            <w:tcW w:w="1584" w:type="dxa"/>
            <w:tcBorders>
              <w:top w:val="nil"/>
              <w:left w:val="nil"/>
              <w:bottom w:val="nil"/>
              <w:right w:val="nil"/>
            </w:tcBorders>
            <w:shd w:val="clear" w:color="auto" w:fill="FFFFFF"/>
          </w:tcPr>
          <w:p w14:paraId="50FDB4F6" w14:textId="77777777" w:rsidR="000E7C1A" w:rsidRPr="005457F2" w:rsidRDefault="000E7C1A" w:rsidP="000E7C1A">
            <w:pPr>
              <w:pStyle w:val="NlTable"/>
            </w:pPr>
          </w:p>
        </w:tc>
      </w:tr>
      <w:tr w:rsidR="000E7C1A" w:rsidRPr="005457F2" w14:paraId="48A502BD" w14:textId="77777777">
        <w:trPr>
          <w:trHeight w:val="20"/>
        </w:trPr>
        <w:tc>
          <w:tcPr>
            <w:tcW w:w="1170" w:type="dxa"/>
            <w:tcBorders>
              <w:top w:val="nil"/>
              <w:left w:val="nil"/>
              <w:bottom w:val="nil"/>
              <w:right w:val="nil"/>
            </w:tcBorders>
            <w:shd w:val="clear" w:color="auto" w:fill="FFFFFF"/>
          </w:tcPr>
          <w:p w14:paraId="0E8FAFFD" w14:textId="77777777" w:rsidR="000E7C1A" w:rsidRPr="005457F2" w:rsidRDefault="000E7C1A" w:rsidP="000E7C1A">
            <w:pPr>
              <w:pStyle w:val="NlTable"/>
              <w:rPr>
                <w:b/>
              </w:rPr>
            </w:pPr>
            <w:r w:rsidRPr="005457F2">
              <w:rPr>
                <w:b/>
              </w:rPr>
              <w:t>Specimen</w:t>
            </w:r>
          </w:p>
        </w:tc>
        <w:tc>
          <w:tcPr>
            <w:tcW w:w="1179" w:type="dxa"/>
            <w:tcBorders>
              <w:top w:val="nil"/>
              <w:left w:val="nil"/>
              <w:bottom w:val="nil"/>
              <w:right w:val="nil"/>
            </w:tcBorders>
            <w:shd w:val="clear" w:color="auto" w:fill="FFFFFF"/>
          </w:tcPr>
          <w:p w14:paraId="395F3ED9" w14:textId="77777777" w:rsidR="000E7C1A" w:rsidRPr="005457F2" w:rsidRDefault="000E7C1A" w:rsidP="00D12A0A">
            <w:pPr>
              <w:pStyle w:val="NlTable"/>
              <w:ind w:right="287"/>
              <w:jc w:val="right"/>
              <w:rPr>
                <w:b/>
              </w:rPr>
            </w:pPr>
            <w:r w:rsidRPr="005457F2">
              <w:rPr>
                <w:b/>
              </w:rPr>
              <w:t>#1</w:t>
            </w:r>
          </w:p>
        </w:tc>
        <w:tc>
          <w:tcPr>
            <w:tcW w:w="1521" w:type="dxa"/>
            <w:tcBorders>
              <w:top w:val="nil"/>
              <w:left w:val="nil"/>
              <w:bottom w:val="nil"/>
              <w:right w:val="nil"/>
            </w:tcBorders>
            <w:shd w:val="clear" w:color="auto" w:fill="FFFFFF"/>
          </w:tcPr>
          <w:p w14:paraId="15FADEAE" w14:textId="77777777" w:rsidR="000E7C1A" w:rsidRPr="005457F2" w:rsidRDefault="000E7C1A" w:rsidP="001340CC">
            <w:pPr>
              <w:pStyle w:val="NlTable"/>
              <w:ind w:right="518"/>
              <w:jc w:val="right"/>
              <w:rPr>
                <w:b/>
              </w:rPr>
            </w:pPr>
            <w:r w:rsidRPr="005457F2">
              <w:rPr>
                <w:b/>
              </w:rPr>
              <w:t>#2</w:t>
            </w:r>
          </w:p>
        </w:tc>
        <w:tc>
          <w:tcPr>
            <w:tcW w:w="2205" w:type="dxa"/>
            <w:tcBorders>
              <w:top w:val="nil"/>
              <w:left w:val="nil"/>
              <w:bottom w:val="nil"/>
              <w:right w:val="nil"/>
            </w:tcBorders>
            <w:shd w:val="clear" w:color="auto" w:fill="FFFFFF"/>
          </w:tcPr>
          <w:p w14:paraId="543D7680" w14:textId="77777777" w:rsidR="000E7C1A" w:rsidRPr="005457F2" w:rsidRDefault="000E7C1A" w:rsidP="000E7C1A">
            <w:pPr>
              <w:pStyle w:val="NlTable"/>
              <w:rPr>
                <w:b/>
              </w:rPr>
            </w:pPr>
            <w:r w:rsidRPr="005457F2">
              <w:rPr>
                <w:b/>
              </w:rPr>
              <w:t>Difference</w:t>
            </w:r>
          </w:p>
        </w:tc>
        <w:tc>
          <w:tcPr>
            <w:tcW w:w="1584" w:type="dxa"/>
            <w:tcBorders>
              <w:top w:val="nil"/>
              <w:left w:val="nil"/>
              <w:bottom w:val="nil"/>
              <w:right w:val="nil"/>
            </w:tcBorders>
            <w:shd w:val="clear" w:color="auto" w:fill="FFFFFF"/>
          </w:tcPr>
          <w:p w14:paraId="54F7FCAB" w14:textId="77777777" w:rsidR="000E7C1A" w:rsidRPr="005457F2" w:rsidRDefault="000E7C1A" w:rsidP="000E7C1A">
            <w:pPr>
              <w:pStyle w:val="NlTable"/>
              <w:rPr>
                <w:b/>
              </w:rPr>
            </w:pPr>
            <w:r w:rsidRPr="005457F2">
              <w:rPr>
                <w:b/>
              </w:rPr>
              <w:t>Variance</w:t>
            </w:r>
          </w:p>
        </w:tc>
      </w:tr>
      <w:tr w:rsidR="000E7C1A" w:rsidRPr="005457F2" w14:paraId="41F940ED" w14:textId="77777777">
        <w:trPr>
          <w:trHeight w:val="20"/>
        </w:trPr>
        <w:tc>
          <w:tcPr>
            <w:tcW w:w="1170" w:type="dxa"/>
            <w:tcBorders>
              <w:top w:val="nil"/>
              <w:left w:val="nil"/>
              <w:bottom w:val="nil"/>
              <w:right w:val="nil"/>
            </w:tcBorders>
            <w:shd w:val="clear" w:color="auto" w:fill="FFFFFF"/>
          </w:tcPr>
          <w:p w14:paraId="7D66E599" w14:textId="77777777" w:rsidR="000E7C1A" w:rsidRPr="005457F2" w:rsidRDefault="000E7C1A" w:rsidP="000E7C1A">
            <w:pPr>
              <w:pStyle w:val="NlTable"/>
              <w:rPr>
                <w:b/>
              </w:rPr>
            </w:pPr>
            <w:r w:rsidRPr="005457F2">
              <w:rPr>
                <w:b/>
              </w:rPr>
              <w:t>1</w:t>
            </w:r>
          </w:p>
        </w:tc>
        <w:tc>
          <w:tcPr>
            <w:tcW w:w="1179" w:type="dxa"/>
            <w:tcBorders>
              <w:top w:val="nil"/>
              <w:left w:val="nil"/>
              <w:bottom w:val="nil"/>
              <w:right w:val="nil"/>
            </w:tcBorders>
            <w:shd w:val="clear" w:color="auto" w:fill="FFFFFF"/>
          </w:tcPr>
          <w:p w14:paraId="6F830FB9" w14:textId="77777777" w:rsidR="000E7C1A" w:rsidRPr="005457F2" w:rsidRDefault="000E7C1A" w:rsidP="00D12A0A">
            <w:pPr>
              <w:pStyle w:val="NlTable"/>
              <w:ind w:right="287"/>
              <w:jc w:val="right"/>
            </w:pPr>
            <w:r w:rsidRPr="005457F2">
              <w:t>80</w:t>
            </w:r>
          </w:p>
        </w:tc>
        <w:tc>
          <w:tcPr>
            <w:tcW w:w="1521" w:type="dxa"/>
            <w:tcBorders>
              <w:top w:val="nil"/>
              <w:left w:val="nil"/>
              <w:bottom w:val="nil"/>
              <w:right w:val="nil"/>
            </w:tcBorders>
            <w:shd w:val="clear" w:color="auto" w:fill="FFFFFF"/>
          </w:tcPr>
          <w:p w14:paraId="11FF10D7" w14:textId="77777777" w:rsidR="000E7C1A" w:rsidRPr="005457F2" w:rsidRDefault="000E7C1A" w:rsidP="001340CC">
            <w:pPr>
              <w:pStyle w:val="NlTable"/>
              <w:ind w:right="518"/>
              <w:jc w:val="right"/>
            </w:pPr>
            <w:r w:rsidRPr="005457F2">
              <w:t>92</w:t>
            </w:r>
          </w:p>
        </w:tc>
        <w:tc>
          <w:tcPr>
            <w:tcW w:w="2205" w:type="dxa"/>
            <w:tcBorders>
              <w:top w:val="nil"/>
              <w:left w:val="nil"/>
              <w:bottom w:val="nil"/>
              <w:right w:val="nil"/>
            </w:tcBorders>
            <w:shd w:val="clear" w:color="auto" w:fill="FFFFFF"/>
          </w:tcPr>
          <w:p w14:paraId="0135B97D" w14:textId="77777777" w:rsidR="000E7C1A" w:rsidRPr="005457F2" w:rsidRDefault="0024075E" w:rsidP="0086042E">
            <w:pPr>
              <w:pStyle w:val="NlTable"/>
              <w:ind w:right="1076"/>
              <w:jc w:val="right"/>
            </w:pPr>
            <w:r w:rsidRPr="005457F2">
              <w:t>−</w:t>
            </w:r>
            <w:r w:rsidR="000E7C1A" w:rsidRPr="005457F2">
              <w:t>12</w:t>
            </w:r>
          </w:p>
        </w:tc>
        <w:tc>
          <w:tcPr>
            <w:tcW w:w="1584" w:type="dxa"/>
            <w:tcBorders>
              <w:top w:val="nil"/>
              <w:left w:val="nil"/>
              <w:bottom w:val="nil"/>
              <w:right w:val="nil"/>
            </w:tcBorders>
            <w:shd w:val="clear" w:color="auto" w:fill="FFFFFF"/>
          </w:tcPr>
          <w:p w14:paraId="0519986D" w14:textId="77777777" w:rsidR="000E7C1A" w:rsidRPr="005457F2" w:rsidRDefault="000E7C1A" w:rsidP="002A36CF">
            <w:pPr>
              <w:pStyle w:val="NlTable"/>
              <w:ind w:right="517"/>
              <w:jc w:val="right"/>
            </w:pPr>
            <w:r w:rsidRPr="005457F2">
              <w:t>72.0</w:t>
            </w:r>
          </w:p>
        </w:tc>
      </w:tr>
      <w:tr w:rsidR="000E7C1A" w:rsidRPr="005457F2" w14:paraId="259F2FED" w14:textId="77777777">
        <w:trPr>
          <w:trHeight w:val="459"/>
        </w:trPr>
        <w:tc>
          <w:tcPr>
            <w:tcW w:w="1170" w:type="dxa"/>
            <w:tcBorders>
              <w:top w:val="nil"/>
              <w:left w:val="nil"/>
              <w:bottom w:val="nil"/>
              <w:right w:val="nil"/>
            </w:tcBorders>
            <w:shd w:val="clear" w:color="auto" w:fill="FFFFFF"/>
          </w:tcPr>
          <w:p w14:paraId="123C9355" w14:textId="77777777" w:rsidR="000E7C1A" w:rsidRPr="005457F2" w:rsidRDefault="000E7C1A" w:rsidP="000E7C1A">
            <w:pPr>
              <w:pStyle w:val="NlTable"/>
              <w:rPr>
                <w:b/>
              </w:rPr>
            </w:pPr>
            <w:r w:rsidRPr="005457F2">
              <w:rPr>
                <w:b/>
              </w:rPr>
              <w:t>2</w:t>
            </w:r>
          </w:p>
        </w:tc>
        <w:tc>
          <w:tcPr>
            <w:tcW w:w="1179" w:type="dxa"/>
            <w:tcBorders>
              <w:top w:val="nil"/>
              <w:left w:val="nil"/>
              <w:bottom w:val="nil"/>
              <w:right w:val="nil"/>
            </w:tcBorders>
            <w:shd w:val="clear" w:color="auto" w:fill="FFFFFF"/>
          </w:tcPr>
          <w:p w14:paraId="38ECE631" w14:textId="77777777" w:rsidR="000E7C1A" w:rsidRPr="005457F2" w:rsidRDefault="000E7C1A" w:rsidP="00D12A0A">
            <w:pPr>
              <w:pStyle w:val="NlTable"/>
              <w:ind w:right="287"/>
              <w:jc w:val="right"/>
            </w:pPr>
            <w:r w:rsidRPr="005457F2">
              <w:t>89</w:t>
            </w:r>
          </w:p>
        </w:tc>
        <w:tc>
          <w:tcPr>
            <w:tcW w:w="1521" w:type="dxa"/>
            <w:tcBorders>
              <w:top w:val="nil"/>
              <w:left w:val="nil"/>
              <w:bottom w:val="nil"/>
              <w:right w:val="nil"/>
            </w:tcBorders>
            <w:shd w:val="clear" w:color="auto" w:fill="FFFFFF"/>
          </w:tcPr>
          <w:p w14:paraId="7347B61F" w14:textId="77777777" w:rsidR="000E7C1A" w:rsidRPr="005457F2" w:rsidRDefault="000E7C1A" w:rsidP="001340CC">
            <w:pPr>
              <w:pStyle w:val="NlTable"/>
              <w:ind w:right="518"/>
              <w:jc w:val="right"/>
            </w:pPr>
            <w:r w:rsidRPr="005457F2">
              <w:t>92</w:t>
            </w:r>
          </w:p>
        </w:tc>
        <w:tc>
          <w:tcPr>
            <w:tcW w:w="2205" w:type="dxa"/>
            <w:tcBorders>
              <w:top w:val="nil"/>
              <w:left w:val="nil"/>
              <w:bottom w:val="nil"/>
              <w:right w:val="nil"/>
            </w:tcBorders>
            <w:shd w:val="clear" w:color="auto" w:fill="FFFFFF"/>
          </w:tcPr>
          <w:p w14:paraId="2122B8AD" w14:textId="77777777" w:rsidR="000E7C1A" w:rsidRPr="005457F2" w:rsidRDefault="0024075E" w:rsidP="0086042E">
            <w:pPr>
              <w:pStyle w:val="NlTable"/>
              <w:ind w:right="1076"/>
              <w:jc w:val="right"/>
            </w:pPr>
            <w:r w:rsidRPr="005457F2">
              <w:t>−</w:t>
            </w:r>
            <w:r w:rsidR="000E7C1A" w:rsidRPr="005457F2">
              <w:t>3</w:t>
            </w:r>
          </w:p>
        </w:tc>
        <w:tc>
          <w:tcPr>
            <w:tcW w:w="1584" w:type="dxa"/>
            <w:tcBorders>
              <w:top w:val="nil"/>
              <w:left w:val="nil"/>
              <w:bottom w:val="nil"/>
              <w:right w:val="nil"/>
            </w:tcBorders>
            <w:shd w:val="clear" w:color="auto" w:fill="FFFFFF"/>
          </w:tcPr>
          <w:p w14:paraId="4C13909A" w14:textId="77777777" w:rsidR="000E7C1A" w:rsidRPr="005457F2" w:rsidRDefault="000E7C1A" w:rsidP="002A36CF">
            <w:pPr>
              <w:pStyle w:val="NlTable"/>
              <w:ind w:right="517"/>
              <w:jc w:val="right"/>
            </w:pPr>
            <w:r w:rsidRPr="005457F2">
              <w:t>4.5</w:t>
            </w:r>
          </w:p>
        </w:tc>
      </w:tr>
      <w:tr w:rsidR="000E7C1A" w:rsidRPr="005457F2" w14:paraId="0E07440B" w14:textId="77777777">
        <w:trPr>
          <w:trHeight w:val="20"/>
        </w:trPr>
        <w:tc>
          <w:tcPr>
            <w:tcW w:w="1170" w:type="dxa"/>
            <w:tcBorders>
              <w:top w:val="nil"/>
              <w:left w:val="nil"/>
              <w:bottom w:val="nil"/>
              <w:right w:val="nil"/>
            </w:tcBorders>
            <w:shd w:val="clear" w:color="auto" w:fill="FFFFFF"/>
          </w:tcPr>
          <w:p w14:paraId="66FE519D" w14:textId="77777777" w:rsidR="000E7C1A" w:rsidRPr="005457F2" w:rsidRDefault="000E7C1A" w:rsidP="000E7C1A">
            <w:pPr>
              <w:pStyle w:val="NlTable"/>
              <w:rPr>
                <w:b/>
              </w:rPr>
            </w:pPr>
            <w:r w:rsidRPr="005457F2">
              <w:rPr>
                <w:b/>
              </w:rPr>
              <w:t>3</w:t>
            </w:r>
          </w:p>
        </w:tc>
        <w:tc>
          <w:tcPr>
            <w:tcW w:w="1179" w:type="dxa"/>
            <w:tcBorders>
              <w:top w:val="nil"/>
              <w:left w:val="nil"/>
              <w:bottom w:val="nil"/>
              <w:right w:val="nil"/>
            </w:tcBorders>
            <w:shd w:val="clear" w:color="auto" w:fill="FFFFFF"/>
          </w:tcPr>
          <w:p w14:paraId="458DEEEB" w14:textId="77777777" w:rsidR="000E7C1A" w:rsidRPr="005457F2" w:rsidRDefault="000E7C1A" w:rsidP="00D12A0A">
            <w:pPr>
              <w:pStyle w:val="NlTable"/>
              <w:ind w:right="287"/>
              <w:jc w:val="right"/>
            </w:pPr>
            <w:r w:rsidRPr="005457F2">
              <w:t>93</w:t>
            </w:r>
          </w:p>
        </w:tc>
        <w:tc>
          <w:tcPr>
            <w:tcW w:w="1521" w:type="dxa"/>
            <w:tcBorders>
              <w:top w:val="nil"/>
              <w:left w:val="nil"/>
              <w:bottom w:val="nil"/>
              <w:right w:val="nil"/>
            </w:tcBorders>
            <w:shd w:val="clear" w:color="auto" w:fill="FFFFFF"/>
          </w:tcPr>
          <w:p w14:paraId="71138303" w14:textId="77777777" w:rsidR="000E7C1A" w:rsidRPr="005457F2" w:rsidRDefault="000E7C1A" w:rsidP="001340CC">
            <w:pPr>
              <w:pStyle w:val="NlTable"/>
              <w:ind w:right="518"/>
              <w:jc w:val="right"/>
            </w:pPr>
            <w:r w:rsidRPr="005457F2">
              <w:t>109</w:t>
            </w:r>
          </w:p>
        </w:tc>
        <w:tc>
          <w:tcPr>
            <w:tcW w:w="2205" w:type="dxa"/>
            <w:tcBorders>
              <w:top w:val="nil"/>
              <w:left w:val="nil"/>
              <w:bottom w:val="nil"/>
              <w:right w:val="nil"/>
            </w:tcBorders>
            <w:shd w:val="clear" w:color="auto" w:fill="FFFFFF"/>
          </w:tcPr>
          <w:p w14:paraId="1495FB89" w14:textId="77777777" w:rsidR="000E7C1A" w:rsidRPr="005457F2" w:rsidRDefault="0024075E" w:rsidP="0086042E">
            <w:pPr>
              <w:pStyle w:val="NlTable"/>
              <w:ind w:right="1076"/>
              <w:jc w:val="right"/>
            </w:pPr>
            <w:r w:rsidRPr="005457F2">
              <w:t>−</w:t>
            </w:r>
            <w:r w:rsidR="000E7C1A" w:rsidRPr="005457F2">
              <w:t>16</w:t>
            </w:r>
          </w:p>
        </w:tc>
        <w:tc>
          <w:tcPr>
            <w:tcW w:w="1584" w:type="dxa"/>
            <w:tcBorders>
              <w:top w:val="nil"/>
              <w:left w:val="nil"/>
              <w:bottom w:val="nil"/>
              <w:right w:val="nil"/>
            </w:tcBorders>
            <w:shd w:val="clear" w:color="auto" w:fill="FFFFFF"/>
          </w:tcPr>
          <w:p w14:paraId="58DF6A8B" w14:textId="77777777" w:rsidR="000E7C1A" w:rsidRPr="005457F2" w:rsidRDefault="000E7C1A" w:rsidP="002A36CF">
            <w:pPr>
              <w:pStyle w:val="NlTable"/>
              <w:ind w:right="517"/>
              <w:jc w:val="right"/>
            </w:pPr>
            <w:r w:rsidRPr="005457F2">
              <w:t>128.0</w:t>
            </w:r>
          </w:p>
        </w:tc>
      </w:tr>
      <w:tr w:rsidR="000E7C1A" w:rsidRPr="005457F2" w14:paraId="78D1C901" w14:textId="77777777">
        <w:trPr>
          <w:trHeight w:val="20"/>
        </w:trPr>
        <w:tc>
          <w:tcPr>
            <w:tcW w:w="1170" w:type="dxa"/>
            <w:tcBorders>
              <w:top w:val="nil"/>
              <w:left w:val="nil"/>
              <w:bottom w:val="nil"/>
              <w:right w:val="nil"/>
            </w:tcBorders>
            <w:shd w:val="clear" w:color="auto" w:fill="FFFFFF"/>
          </w:tcPr>
          <w:p w14:paraId="47CA22E7" w14:textId="77777777" w:rsidR="000E7C1A" w:rsidRPr="005457F2" w:rsidRDefault="000E7C1A" w:rsidP="000E7C1A">
            <w:pPr>
              <w:pStyle w:val="NlTable"/>
              <w:rPr>
                <w:b/>
              </w:rPr>
            </w:pPr>
            <w:r w:rsidRPr="005457F2">
              <w:rPr>
                <w:b/>
              </w:rPr>
              <w:t>4</w:t>
            </w:r>
          </w:p>
        </w:tc>
        <w:tc>
          <w:tcPr>
            <w:tcW w:w="1179" w:type="dxa"/>
            <w:tcBorders>
              <w:top w:val="nil"/>
              <w:left w:val="nil"/>
              <w:bottom w:val="nil"/>
              <w:right w:val="nil"/>
            </w:tcBorders>
            <w:shd w:val="clear" w:color="auto" w:fill="FFFFFF"/>
          </w:tcPr>
          <w:p w14:paraId="30A9C7A5" w14:textId="77777777" w:rsidR="000E7C1A" w:rsidRPr="005457F2" w:rsidRDefault="000E7C1A" w:rsidP="00D12A0A">
            <w:pPr>
              <w:pStyle w:val="NlTable"/>
              <w:ind w:right="287"/>
              <w:jc w:val="right"/>
            </w:pPr>
            <w:r w:rsidRPr="005457F2">
              <w:t>97</w:t>
            </w:r>
          </w:p>
        </w:tc>
        <w:tc>
          <w:tcPr>
            <w:tcW w:w="1521" w:type="dxa"/>
            <w:tcBorders>
              <w:top w:val="nil"/>
              <w:left w:val="nil"/>
              <w:bottom w:val="nil"/>
              <w:right w:val="nil"/>
            </w:tcBorders>
            <w:shd w:val="clear" w:color="auto" w:fill="FFFFFF"/>
          </w:tcPr>
          <w:p w14:paraId="7C5CC29B" w14:textId="77777777" w:rsidR="000E7C1A" w:rsidRPr="005457F2" w:rsidRDefault="000E7C1A" w:rsidP="001340CC">
            <w:pPr>
              <w:pStyle w:val="NlTable"/>
              <w:ind w:right="518"/>
              <w:jc w:val="right"/>
            </w:pPr>
            <w:r w:rsidRPr="005457F2">
              <w:t>106</w:t>
            </w:r>
          </w:p>
        </w:tc>
        <w:tc>
          <w:tcPr>
            <w:tcW w:w="2205" w:type="dxa"/>
            <w:tcBorders>
              <w:top w:val="nil"/>
              <w:left w:val="nil"/>
              <w:bottom w:val="nil"/>
              <w:right w:val="nil"/>
            </w:tcBorders>
            <w:shd w:val="clear" w:color="auto" w:fill="FFFFFF"/>
          </w:tcPr>
          <w:p w14:paraId="0DA2A0F5" w14:textId="77777777" w:rsidR="000E7C1A" w:rsidRPr="005457F2" w:rsidRDefault="0024075E" w:rsidP="0086042E">
            <w:pPr>
              <w:pStyle w:val="NlTable"/>
              <w:ind w:right="1076"/>
              <w:jc w:val="right"/>
            </w:pPr>
            <w:r w:rsidRPr="005457F2">
              <w:t>−</w:t>
            </w:r>
            <w:r w:rsidR="000E7C1A" w:rsidRPr="005457F2">
              <w:t>9</w:t>
            </w:r>
          </w:p>
        </w:tc>
        <w:tc>
          <w:tcPr>
            <w:tcW w:w="1584" w:type="dxa"/>
            <w:tcBorders>
              <w:top w:val="nil"/>
              <w:left w:val="nil"/>
              <w:bottom w:val="nil"/>
              <w:right w:val="nil"/>
            </w:tcBorders>
            <w:shd w:val="clear" w:color="auto" w:fill="FFFFFF"/>
          </w:tcPr>
          <w:p w14:paraId="3305992B" w14:textId="77777777" w:rsidR="000E7C1A" w:rsidRPr="005457F2" w:rsidRDefault="000E7C1A" w:rsidP="002A36CF">
            <w:pPr>
              <w:pStyle w:val="NlTable"/>
              <w:ind w:right="517"/>
              <w:jc w:val="right"/>
            </w:pPr>
            <w:r w:rsidRPr="005457F2">
              <w:t>40.5</w:t>
            </w:r>
          </w:p>
        </w:tc>
      </w:tr>
      <w:tr w:rsidR="000E7C1A" w:rsidRPr="005457F2" w14:paraId="2E41BACB" w14:textId="77777777">
        <w:trPr>
          <w:trHeight w:val="20"/>
        </w:trPr>
        <w:tc>
          <w:tcPr>
            <w:tcW w:w="1170" w:type="dxa"/>
            <w:tcBorders>
              <w:top w:val="nil"/>
              <w:left w:val="nil"/>
              <w:bottom w:val="nil"/>
              <w:right w:val="nil"/>
            </w:tcBorders>
            <w:shd w:val="clear" w:color="auto" w:fill="FFFFFF"/>
          </w:tcPr>
          <w:p w14:paraId="23192905" w14:textId="77777777" w:rsidR="000E7C1A" w:rsidRPr="005457F2" w:rsidRDefault="000E7C1A" w:rsidP="000E7C1A">
            <w:pPr>
              <w:pStyle w:val="NlTable"/>
              <w:rPr>
                <w:b/>
              </w:rPr>
            </w:pPr>
            <w:r w:rsidRPr="005457F2">
              <w:rPr>
                <w:b/>
              </w:rPr>
              <w:t>5</w:t>
            </w:r>
          </w:p>
        </w:tc>
        <w:tc>
          <w:tcPr>
            <w:tcW w:w="1179" w:type="dxa"/>
            <w:tcBorders>
              <w:top w:val="nil"/>
              <w:left w:val="nil"/>
              <w:bottom w:val="nil"/>
              <w:right w:val="nil"/>
            </w:tcBorders>
            <w:shd w:val="clear" w:color="auto" w:fill="FFFFFF"/>
          </w:tcPr>
          <w:p w14:paraId="17476FD3" w14:textId="77777777" w:rsidR="000E7C1A" w:rsidRPr="005457F2" w:rsidRDefault="000E7C1A" w:rsidP="00D12A0A">
            <w:pPr>
              <w:pStyle w:val="NlTable"/>
              <w:ind w:right="287"/>
              <w:jc w:val="right"/>
            </w:pPr>
            <w:r w:rsidRPr="005457F2">
              <w:t>103</w:t>
            </w:r>
          </w:p>
        </w:tc>
        <w:tc>
          <w:tcPr>
            <w:tcW w:w="1521" w:type="dxa"/>
            <w:tcBorders>
              <w:top w:val="nil"/>
              <w:left w:val="nil"/>
              <w:bottom w:val="nil"/>
              <w:right w:val="nil"/>
            </w:tcBorders>
            <w:shd w:val="clear" w:color="auto" w:fill="FFFFFF"/>
          </w:tcPr>
          <w:p w14:paraId="2A999E50" w14:textId="77777777" w:rsidR="000E7C1A" w:rsidRPr="005457F2" w:rsidRDefault="000E7C1A" w:rsidP="001340CC">
            <w:pPr>
              <w:pStyle w:val="NlTable"/>
              <w:ind w:right="518"/>
              <w:jc w:val="right"/>
            </w:pPr>
            <w:r w:rsidRPr="005457F2">
              <w:t>87</w:t>
            </w:r>
          </w:p>
        </w:tc>
        <w:tc>
          <w:tcPr>
            <w:tcW w:w="2205" w:type="dxa"/>
            <w:tcBorders>
              <w:top w:val="nil"/>
              <w:left w:val="nil"/>
              <w:bottom w:val="nil"/>
              <w:right w:val="nil"/>
            </w:tcBorders>
            <w:shd w:val="clear" w:color="auto" w:fill="FFFFFF"/>
          </w:tcPr>
          <w:p w14:paraId="625B206D" w14:textId="77777777" w:rsidR="000E7C1A" w:rsidRPr="005457F2" w:rsidRDefault="000E7C1A" w:rsidP="0086042E">
            <w:pPr>
              <w:pStyle w:val="NlTable"/>
              <w:ind w:right="1076"/>
              <w:jc w:val="right"/>
            </w:pPr>
            <w:r w:rsidRPr="005457F2">
              <w:t>16</w:t>
            </w:r>
          </w:p>
        </w:tc>
        <w:tc>
          <w:tcPr>
            <w:tcW w:w="1584" w:type="dxa"/>
            <w:tcBorders>
              <w:top w:val="nil"/>
              <w:left w:val="nil"/>
              <w:bottom w:val="nil"/>
              <w:right w:val="nil"/>
            </w:tcBorders>
            <w:shd w:val="clear" w:color="auto" w:fill="FFFFFF"/>
          </w:tcPr>
          <w:p w14:paraId="5CF7ECBB" w14:textId="77777777" w:rsidR="000E7C1A" w:rsidRPr="005457F2" w:rsidRDefault="000E7C1A" w:rsidP="002A36CF">
            <w:pPr>
              <w:pStyle w:val="NlTable"/>
              <w:ind w:right="517"/>
              <w:jc w:val="right"/>
            </w:pPr>
            <w:r w:rsidRPr="005457F2">
              <w:t>128.0</w:t>
            </w:r>
          </w:p>
        </w:tc>
      </w:tr>
      <w:tr w:rsidR="000E7C1A" w:rsidRPr="005457F2" w14:paraId="4038EA11" w14:textId="77777777">
        <w:trPr>
          <w:trHeight w:val="20"/>
        </w:trPr>
        <w:tc>
          <w:tcPr>
            <w:tcW w:w="1170" w:type="dxa"/>
            <w:tcBorders>
              <w:top w:val="nil"/>
              <w:left w:val="nil"/>
              <w:bottom w:val="nil"/>
              <w:right w:val="nil"/>
            </w:tcBorders>
            <w:shd w:val="clear" w:color="auto" w:fill="FFFFFF"/>
          </w:tcPr>
          <w:p w14:paraId="2AA7D710" w14:textId="77777777" w:rsidR="000E7C1A" w:rsidRPr="005457F2" w:rsidRDefault="000E7C1A" w:rsidP="000E7C1A">
            <w:pPr>
              <w:pStyle w:val="NlTable"/>
              <w:rPr>
                <w:b/>
              </w:rPr>
            </w:pPr>
            <w:r w:rsidRPr="005457F2">
              <w:rPr>
                <w:b/>
              </w:rPr>
              <w:t>6</w:t>
            </w:r>
          </w:p>
        </w:tc>
        <w:tc>
          <w:tcPr>
            <w:tcW w:w="1179" w:type="dxa"/>
            <w:tcBorders>
              <w:top w:val="nil"/>
              <w:left w:val="nil"/>
              <w:bottom w:val="nil"/>
              <w:right w:val="nil"/>
            </w:tcBorders>
            <w:shd w:val="clear" w:color="auto" w:fill="FFFFFF"/>
          </w:tcPr>
          <w:p w14:paraId="03F24813" w14:textId="77777777" w:rsidR="000E7C1A" w:rsidRPr="005457F2" w:rsidRDefault="000E7C1A" w:rsidP="00D12A0A">
            <w:pPr>
              <w:pStyle w:val="NlTable"/>
              <w:ind w:right="287"/>
              <w:jc w:val="right"/>
            </w:pPr>
            <w:r w:rsidRPr="005457F2">
              <w:t>107</w:t>
            </w:r>
          </w:p>
        </w:tc>
        <w:tc>
          <w:tcPr>
            <w:tcW w:w="1521" w:type="dxa"/>
            <w:tcBorders>
              <w:top w:val="nil"/>
              <w:left w:val="nil"/>
              <w:bottom w:val="nil"/>
              <w:right w:val="nil"/>
            </w:tcBorders>
            <w:shd w:val="clear" w:color="auto" w:fill="FFFFFF"/>
          </w:tcPr>
          <w:p w14:paraId="00C3AA6B" w14:textId="77777777" w:rsidR="000E7C1A" w:rsidRPr="005457F2" w:rsidRDefault="000E7C1A" w:rsidP="001340CC">
            <w:pPr>
              <w:pStyle w:val="NlTable"/>
              <w:ind w:right="518"/>
              <w:jc w:val="right"/>
            </w:pPr>
            <w:r w:rsidRPr="005457F2">
              <w:t>104</w:t>
            </w:r>
          </w:p>
        </w:tc>
        <w:tc>
          <w:tcPr>
            <w:tcW w:w="2205" w:type="dxa"/>
            <w:tcBorders>
              <w:top w:val="nil"/>
              <w:left w:val="nil"/>
              <w:bottom w:val="nil"/>
              <w:right w:val="nil"/>
            </w:tcBorders>
            <w:shd w:val="clear" w:color="auto" w:fill="FFFFFF"/>
          </w:tcPr>
          <w:p w14:paraId="6D6D701C" w14:textId="77777777" w:rsidR="000E7C1A" w:rsidRPr="005457F2" w:rsidRDefault="000E7C1A" w:rsidP="0086042E">
            <w:pPr>
              <w:pStyle w:val="NlTable"/>
              <w:ind w:right="1076"/>
              <w:jc w:val="right"/>
            </w:pPr>
            <w:r w:rsidRPr="005457F2">
              <w:t>3</w:t>
            </w:r>
          </w:p>
        </w:tc>
        <w:tc>
          <w:tcPr>
            <w:tcW w:w="1584" w:type="dxa"/>
            <w:tcBorders>
              <w:top w:val="nil"/>
              <w:left w:val="nil"/>
              <w:bottom w:val="nil"/>
              <w:right w:val="nil"/>
            </w:tcBorders>
            <w:shd w:val="clear" w:color="auto" w:fill="FFFFFF"/>
          </w:tcPr>
          <w:p w14:paraId="1A72C694" w14:textId="77777777" w:rsidR="000E7C1A" w:rsidRPr="005457F2" w:rsidRDefault="000E7C1A" w:rsidP="002A36CF">
            <w:pPr>
              <w:pStyle w:val="NlTable"/>
              <w:ind w:right="517"/>
              <w:jc w:val="right"/>
            </w:pPr>
            <w:r w:rsidRPr="005457F2">
              <w:t>4.5</w:t>
            </w:r>
          </w:p>
        </w:tc>
      </w:tr>
      <w:tr w:rsidR="000E7C1A" w:rsidRPr="005457F2" w14:paraId="4BFC5C98" w14:textId="77777777">
        <w:trPr>
          <w:trHeight w:val="20"/>
        </w:trPr>
        <w:tc>
          <w:tcPr>
            <w:tcW w:w="1170" w:type="dxa"/>
            <w:tcBorders>
              <w:top w:val="nil"/>
              <w:left w:val="nil"/>
              <w:bottom w:val="nil"/>
              <w:right w:val="nil"/>
            </w:tcBorders>
            <w:shd w:val="clear" w:color="auto" w:fill="FFFFFF"/>
          </w:tcPr>
          <w:p w14:paraId="627860E5" w14:textId="77777777" w:rsidR="000E7C1A" w:rsidRPr="005457F2" w:rsidRDefault="000E7C1A" w:rsidP="000E7C1A">
            <w:pPr>
              <w:pStyle w:val="NlTable"/>
              <w:rPr>
                <w:b/>
              </w:rPr>
            </w:pPr>
            <w:r w:rsidRPr="005457F2">
              <w:rPr>
                <w:b/>
              </w:rPr>
              <w:t>7</w:t>
            </w:r>
          </w:p>
        </w:tc>
        <w:tc>
          <w:tcPr>
            <w:tcW w:w="1179" w:type="dxa"/>
            <w:tcBorders>
              <w:top w:val="nil"/>
              <w:left w:val="nil"/>
              <w:bottom w:val="nil"/>
              <w:right w:val="nil"/>
            </w:tcBorders>
            <w:shd w:val="clear" w:color="auto" w:fill="FFFFFF"/>
          </w:tcPr>
          <w:p w14:paraId="3F2A1F69" w14:textId="77777777" w:rsidR="000E7C1A" w:rsidRPr="005457F2" w:rsidRDefault="000E7C1A" w:rsidP="00D12A0A">
            <w:pPr>
              <w:pStyle w:val="NlTable"/>
              <w:ind w:right="287"/>
              <w:jc w:val="right"/>
            </w:pPr>
            <w:r w:rsidRPr="005457F2">
              <w:t>100</w:t>
            </w:r>
          </w:p>
        </w:tc>
        <w:tc>
          <w:tcPr>
            <w:tcW w:w="1521" w:type="dxa"/>
            <w:tcBorders>
              <w:top w:val="nil"/>
              <w:left w:val="nil"/>
              <w:bottom w:val="nil"/>
              <w:right w:val="nil"/>
            </w:tcBorders>
            <w:shd w:val="clear" w:color="auto" w:fill="FFFFFF"/>
          </w:tcPr>
          <w:p w14:paraId="4E03E067" w14:textId="77777777" w:rsidR="000E7C1A" w:rsidRPr="005457F2" w:rsidRDefault="000E7C1A" w:rsidP="001340CC">
            <w:pPr>
              <w:pStyle w:val="NlTable"/>
              <w:ind w:right="518"/>
              <w:jc w:val="right"/>
            </w:pPr>
            <w:r w:rsidRPr="005457F2">
              <w:t>105</w:t>
            </w:r>
          </w:p>
        </w:tc>
        <w:tc>
          <w:tcPr>
            <w:tcW w:w="2205" w:type="dxa"/>
            <w:tcBorders>
              <w:top w:val="nil"/>
              <w:left w:val="nil"/>
              <w:bottom w:val="nil"/>
              <w:right w:val="nil"/>
            </w:tcBorders>
            <w:shd w:val="clear" w:color="auto" w:fill="FFFFFF"/>
          </w:tcPr>
          <w:p w14:paraId="05C4A06B" w14:textId="77777777" w:rsidR="000E7C1A" w:rsidRPr="005457F2" w:rsidRDefault="0024075E" w:rsidP="0086042E">
            <w:pPr>
              <w:pStyle w:val="NlTable"/>
              <w:ind w:right="1076"/>
              <w:jc w:val="right"/>
            </w:pPr>
            <w:r w:rsidRPr="005457F2">
              <w:t>−</w:t>
            </w:r>
            <w:r w:rsidR="000E7C1A" w:rsidRPr="005457F2">
              <w:t>5</w:t>
            </w:r>
          </w:p>
        </w:tc>
        <w:tc>
          <w:tcPr>
            <w:tcW w:w="1584" w:type="dxa"/>
            <w:tcBorders>
              <w:top w:val="nil"/>
              <w:left w:val="nil"/>
              <w:bottom w:val="nil"/>
              <w:right w:val="nil"/>
            </w:tcBorders>
            <w:shd w:val="clear" w:color="auto" w:fill="FFFFFF"/>
          </w:tcPr>
          <w:p w14:paraId="634AE9E8" w14:textId="77777777" w:rsidR="000E7C1A" w:rsidRPr="005457F2" w:rsidRDefault="000E7C1A" w:rsidP="002A36CF">
            <w:pPr>
              <w:pStyle w:val="NlTable"/>
              <w:ind w:right="517"/>
              <w:jc w:val="right"/>
            </w:pPr>
            <w:r w:rsidRPr="005457F2">
              <w:t>12.5</w:t>
            </w:r>
          </w:p>
        </w:tc>
      </w:tr>
      <w:tr w:rsidR="000E7C1A" w:rsidRPr="005457F2" w14:paraId="18A8FACB" w14:textId="77777777">
        <w:trPr>
          <w:trHeight w:val="20"/>
        </w:trPr>
        <w:tc>
          <w:tcPr>
            <w:tcW w:w="1170" w:type="dxa"/>
            <w:tcBorders>
              <w:top w:val="nil"/>
              <w:left w:val="nil"/>
              <w:bottom w:val="nil"/>
              <w:right w:val="nil"/>
            </w:tcBorders>
            <w:shd w:val="clear" w:color="auto" w:fill="FFFFFF"/>
          </w:tcPr>
          <w:p w14:paraId="2B7921F7" w14:textId="77777777" w:rsidR="000E7C1A" w:rsidRPr="005457F2" w:rsidRDefault="000E7C1A" w:rsidP="000E7C1A">
            <w:pPr>
              <w:pStyle w:val="NlTable"/>
              <w:rPr>
                <w:b/>
              </w:rPr>
            </w:pPr>
            <w:r w:rsidRPr="005457F2">
              <w:rPr>
                <w:b/>
              </w:rPr>
              <w:t>8</w:t>
            </w:r>
          </w:p>
        </w:tc>
        <w:tc>
          <w:tcPr>
            <w:tcW w:w="1179" w:type="dxa"/>
            <w:tcBorders>
              <w:top w:val="nil"/>
              <w:left w:val="nil"/>
              <w:bottom w:val="nil"/>
              <w:right w:val="nil"/>
            </w:tcBorders>
            <w:shd w:val="clear" w:color="auto" w:fill="FFFFFF"/>
          </w:tcPr>
          <w:p w14:paraId="6118C60A" w14:textId="77777777" w:rsidR="000E7C1A" w:rsidRPr="005457F2" w:rsidRDefault="000E7C1A" w:rsidP="00D12A0A">
            <w:pPr>
              <w:pStyle w:val="NlTable"/>
              <w:ind w:right="287"/>
              <w:jc w:val="right"/>
            </w:pPr>
            <w:r w:rsidRPr="005457F2">
              <w:t>112</w:t>
            </w:r>
          </w:p>
        </w:tc>
        <w:tc>
          <w:tcPr>
            <w:tcW w:w="1521" w:type="dxa"/>
            <w:tcBorders>
              <w:top w:val="nil"/>
              <w:left w:val="nil"/>
              <w:bottom w:val="nil"/>
              <w:right w:val="nil"/>
            </w:tcBorders>
            <w:shd w:val="clear" w:color="auto" w:fill="FFFFFF"/>
          </w:tcPr>
          <w:p w14:paraId="0E724826" w14:textId="77777777" w:rsidR="000E7C1A" w:rsidRPr="005457F2" w:rsidRDefault="000E7C1A" w:rsidP="001340CC">
            <w:pPr>
              <w:pStyle w:val="NlTable"/>
              <w:ind w:right="518"/>
              <w:jc w:val="right"/>
            </w:pPr>
            <w:r w:rsidRPr="005457F2">
              <w:t>104</w:t>
            </w:r>
          </w:p>
        </w:tc>
        <w:tc>
          <w:tcPr>
            <w:tcW w:w="2205" w:type="dxa"/>
            <w:tcBorders>
              <w:top w:val="nil"/>
              <w:left w:val="nil"/>
              <w:bottom w:val="nil"/>
              <w:right w:val="nil"/>
            </w:tcBorders>
            <w:shd w:val="clear" w:color="auto" w:fill="FFFFFF"/>
          </w:tcPr>
          <w:p w14:paraId="51469D77" w14:textId="77777777" w:rsidR="000E7C1A" w:rsidRPr="005457F2" w:rsidRDefault="000E7C1A" w:rsidP="0086042E">
            <w:pPr>
              <w:pStyle w:val="NlTable"/>
              <w:ind w:right="1076"/>
              <w:jc w:val="right"/>
            </w:pPr>
            <w:r w:rsidRPr="005457F2">
              <w:t>8</w:t>
            </w:r>
          </w:p>
        </w:tc>
        <w:tc>
          <w:tcPr>
            <w:tcW w:w="1584" w:type="dxa"/>
            <w:tcBorders>
              <w:top w:val="nil"/>
              <w:left w:val="nil"/>
              <w:bottom w:val="nil"/>
              <w:right w:val="nil"/>
            </w:tcBorders>
            <w:shd w:val="clear" w:color="auto" w:fill="FFFFFF"/>
          </w:tcPr>
          <w:p w14:paraId="1D13B8E5" w14:textId="77777777" w:rsidR="000E7C1A" w:rsidRPr="005457F2" w:rsidRDefault="000E7C1A" w:rsidP="002A36CF">
            <w:pPr>
              <w:pStyle w:val="NlTable"/>
              <w:ind w:right="517"/>
              <w:jc w:val="right"/>
            </w:pPr>
            <w:r w:rsidRPr="005457F2">
              <w:t>32.0</w:t>
            </w:r>
          </w:p>
        </w:tc>
      </w:tr>
      <w:tr w:rsidR="000E7C1A" w:rsidRPr="005457F2" w14:paraId="7A7ABB55" w14:textId="77777777">
        <w:trPr>
          <w:trHeight w:val="20"/>
        </w:trPr>
        <w:tc>
          <w:tcPr>
            <w:tcW w:w="1170" w:type="dxa"/>
            <w:tcBorders>
              <w:top w:val="nil"/>
              <w:left w:val="nil"/>
              <w:bottom w:val="nil"/>
              <w:right w:val="nil"/>
            </w:tcBorders>
            <w:shd w:val="clear" w:color="auto" w:fill="FFFFFF"/>
          </w:tcPr>
          <w:p w14:paraId="25A9E9CE" w14:textId="77777777" w:rsidR="000E7C1A" w:rsidRPr="005457F2" w:rsidRDefault="000E7C1A" w:rsidP="000E7C1A">
            <w:pPr>
              <w:pStyle w:val="NlTable"/>
              <w:rPr>
                <w:b/>
              </w:rPr>
            </w:pPr>
            <w:r w:rsidRPr="005457F2">
              <w:rPr>
                <w:b/>
              </w:rPr>
              <w:t>9</w:t>
            </w:r>
          </w:p>
        </w:tc>
        <w:tc>
          <w:tcPr>
            <w:tcW w:w="1179" w:type="dxa"/>
            <w:tcBorders>
              <w:top w:val="nil"/>
              <w:left w:val="nil"/>
              <w:bottom w:val="nil"/>
              <w:right w:val="nil"/>
            </w:tcBorders>
            <w:shd w:val="clear" w:color="auto" w:fill="FFFFFF"/>
          </w:tcPr>
          <w:p w14:paraId="027B5630" w14:textId="77777777" w:rsidR="000E7C1A" w:rsidRPr="005457F2" w:rsidRDefault="000E7C1A" w:rsidP="00D12A0A">
            <w:pPr>
              <w:pStyle w:val="NlTable"/>
              <w:ind w:right="287"/>
              <w:jc w:val="right"/>
            </w:pPr>
            <w:r w:rsidRPr="005457F2">
              <w:t>123</w:t>
            </w:r>
          </w:p>
        </w:tc>
        <w:tc>
          <w:tcPr>
            <w:tcW w:w="1521" w:type="dxa"/>
            <w:tcBorders>
              <w:top w:val="nil"/>
              <w:left w:val="nil"/>
              <w:bottom w:val="nil"/>
              <w:right w:val="nil"/>
            </w:tcBorders>
            <w:shd w:val="clear" w:color="auto" w:fill="FFFFFF"/>
          </w:tcPr>
          <w:p w14:paraId="50A61474" w14:textId="77777777" w:rsidR="000E7C1A" w:rsidRPr="005457F2" w:rsidRDefault="000E7C1A" w:rsidP="001340CC">
            <w:pPr>
              <w:pStyle w:val="NlTable"/>
              <w:ind w:right="518"/>
              <w:jc w:val="right"/>
            </w:pPr>
            <w:r w:rsidRPr="005457F2">
              <w:t>110</w:t>
            </w:r>
          </w:p>
        </w:tc>
        <w:tc>
          <w:tcPr>
            <w:tcW w:w="2205" w:type="dxa"/>
            <w:tcBorders>
              <w:top w:val="nil"/>
              <w:left w:val="nil"/>
              <w:bottom w:val="nil"/>
              <w:right w:val="nil"/>
            </w:tcBorders>
            <w:shd w:val="clear" w:color="auto" w:fill="FFFFFF"/>
          </w:tcPr>
          <w:p w14:paraId="0E6B75A5" w14:textId="77777777" w:rsidR="000E7C1A" w:rsidRPr="005457F2" w:rsidRDefault="000E7C1A" w:rsidP="0086042E">
            <w:pPr>
              <w:pStyle w:val="NlTable"/>
              <w:ind w:right="1076"/>
              <w:jc w:val="right"/>
            </w:pPr>
            <w:r w:rsidRPr="005457F2">
              <w:t>13</w:t>
            </w:r>
          </w:p>
        </w:tc>
        <w:tc>
          <w:tcPr>
            <w:tcW w:w="1584" w:type="dxa"/>
            <w:tcBorders>
              <w:top w:val="nil"/>
              <w:left w:val="nil"/>
              <w:bottom w:val="nil"/>
              <w:right w:val="nil"/>
            </w:tcBorders>
            <w:shd w:val="clear" w:color="auto" w:fill="FFFFFF"/>
          </w:tcPr>
          <w:p w14:paraId="4B8CFAB4" w14:textId="77777777" w:rsidR="000E7C1A" w:rsidRPr="005457F2" w:rsidRDefault="000E7C1A" w:rsidP="002A36CF">
            <w:pPr>
              <w:pStyle w:val="NlTable"/>
              <w:ind w:right="517"/>
              <w:jc w:val="right"/>
            </w:pPr>
            <w:r w:rsidRPr="005457F2">
              <w:t>84.5</w:t>
            </w:r>
          </w:p>
        </w:tc>
      </w:tr>
      <w:tr w:rsidR="000E7C1A" w:rsidRPr="005457F2" w14:paraId="7F3E5FF0" w14:textId="77777777">
        <w:trPr>
          <w:trHeight w:val="20"/>
        </w:trPr>
        <w:tc>
          <w:tcPr>
            <w:tcW w:w="1170" w:type="dxa"/>
            <w:tcBorders>
              <w:top w:val="nil"/>
              <w:left w:val="nil"/>
              <w:bottom w:val="nil"/>
              <w:right w:val="nil"/>
            </w:tcBorders>
            <w:shd w:val="clear" w:color="auto" w:fill="FFFFFF"/>
          </w:tcPr>
          <w:p w14:paraId="517193F4" w14:textId="77777777" w:rsidR="000E7C1A" w:rsidRPr="005457F2" w:rsidRDefault="000E7C1A" w:rsidP="000E7C1A">
            <w:pPr>
              <w:pStyle w:val="NlTable"/>
              <w:rPr>
                <w:b/>
                <w:i/>
              </w:rPr>
            </w:pPr>
            <w:r w:rsidRPr="005457F2">
              <w:rPr>
                <w:b/>
                <w:i/>
              </w:rPr>
              <w:t>10</w:t>
            </w:r>
          </w:p>
        </w:tc>
        <w:tc>
          <w:tcPr>
            <w:tcW w:w="1179" w:type="dxa"/>
            <w:tcBorders>
              <w:top w:val="nil"/>
              <w:left w:val="nil"/>
              <w:bottom w:val="nil"/>
              <w:right w:val="nil"/>
            </w:tcBorders>
            <w:shd w:val="clear" w:color="auto" w:fill="FFFFFF"/>
          </w:tcPr>
          <w:p w14:paraId="0D45DD06" w14:textId="77777777" w:rsidR="000E7C1A" w:rsidRPr="005457F2" w:rsidRDefault="000E7C1A" w:rsidP="00D12A0A">
            <w:pPr>
              <w:pStyle w:val="NlTable"/>
              <w:ind w:right="287"/>
              <w:jc w:val="right"/>
              <w:rPr>
                <w:b/>
                <w:i/>
              </w:rPr>
            </w:pPr>
            <w:r w:rsidRPr="005457F2">
              <w:rPr>
                <w:b/>
                <w:i/>
              </w:rPr>
              <w:t>300</w:t>
            </w:r>
          </w:p>
        </w:tc>
        <w:tc>
          <w:tcPr>
            <w:tcW w:w="1521" w:type="dxa"/>
            <w:tcBorders>
              <w:top w:val="nil"/>
              <w:left w:val="nil"/>
              <w:bottom w:val="nil"/>
              <w:right w:val="nil"/>
            </w:tcBorders>
            <w:shd w:val="clear" w:color="auto" w:fill="FFFFFF"/>
          </w:tcPr>
          <w:p w14:paraId="4C3CD970" w14:textId="77777777" w:rsidR="000E7C1A" w:rsidRPr="005457F2" w:rsidRDefault="000E7C1A" w:rsidP="001340CC">
            <w:pPr>
              <w:pStyle w:val="NlTable"/>
              <w:ind w:right="518"/>
              <w:jc w:val="right"/>
              <w:rPr>
                <w:b/>
                <w:i/>
              </w:rPr>
            </w:pPr>
            <w:r w:rsidRPr="005457F2">
              <w:rPr>
                <w:b/>
                <w:i/>
              </w:rPr>
              <w:t>600</w:t>
            </w:r>
          </w:p>
        </w:tc>
        <w:tc>
          <w:tcPr>
            <w:tcW w:w="2205" w:type="dxa"/>
            <w:tcBorders>
              <w:top w:val="nil"/>
              <w:left w:val="nil"/>
              <w:bottom w:val="nil"/>
              <w:right w:val="nil"/>
            </w:tcBorders>
            <w:shd w:val="clear" w:color="auto" w:fill="FFFFFF"/>
          </w:tcPr>
          <w:p w14:paraId="556E889C" w14:textId="77777777" w:rsidR="000E7C1A" w:rsidRPr="005457F2" w:rsidRDefault="0024075E" w:rsidP="0086042E">
            <w:pPr>
              <w:pStyle w:val="NlTable"/>
              <w:ind w:right="1076"/>
              <w:jc w:val="right"/>
              <w:rPr>
                <w:b/>
                <w:i/>
              </w:rPr>
            </w:pPr>
            <w:r w:rsidRPr="005457F2">
              <w:rPr>
                <w:b/>
                <w:i/>
              </w:rPr>
              <w:t>−</w:t>
            </w:r>
            <w:r w:rsidR="000E7C1A" w:rsidRPr="005457F2">
              <w:rPr>
                <w:b/>
                <w:i/>
              </w:rPr>
              <w:t>300</w:t>
            </w:r>
          </w:p>
        </w:tc>
        <w:tc>
          <w:tcPr>
            <w:tcW w:w="1584" w:type="dxa"/>
            <w:tcBorders>
              <w:top w:val="nil"/>
              <w:left w:val="nil"/>
              <w:bottom w:val="nil"/>
              <w:right w:val="nil"/>
            </w:tcBorders>
            <w:shd w:val="clear" w:color="auto" w:fill="FFFFFF"/>
          </w:tcPr>
          <w:p w14:paraId="0C7BAA3B" w14:textId="77777777" w:rsidR="000E7C1A" w:rsidRPr="005457F2" w:rsidRDefault="000E7C1A" w:rsidP="002A36CF">
            <w:pPr>
              <w:pStyle w:val="NlTable"/>
              <w:ind w:right="517"/>
              <w:jc w:val="right"/>
              <w:rPr>
                <w:b/>
              </w:rPr>
            </w:pPr>
            <w:r w:rsidRPr="005457F2">
              <w:rPr>
                <w:b/>
              </w:rPr>
              <w:t>45000.0</w:t>
            </w:r>
          </w:p>
        </w:tc>
      </w:tr>
      <w:tr w:rsidR="00335EF4" w:rsidRPr="005457F2" w14:paraId="105887A6" w14:textId="77777777" w:rsidTr="003238EE">
        <w:trPr>
          <w:trHeight w:val="20"/>
        </w:trPr>
        <w:tc>
          <w:tcPr>
            <w:tcW w:w="1170" w:type="dxa"/>
            <w:tcBorders>
              <w:top w:val="nil"/>
              <w:left w:val="nil"/>
              <w:bottom w:val="nil"/>
              <w:right w:val="nil"/>
            </w:tcBorders>
            <w:shd w:val="clear" w:color="auto" w:fill="FFFFFF"/>
          </w:tcPr>
          <w:p w14:paraId="16F37778" w14:textId="77777777" w:rsidR="00335EF4" w:rsidRPr="005457F2" w:rsidRDefault="00335EF4" w:rsidP="000E7C1A">
            <w:pPr>
              <w:pStyle w:val="NlTable"/>
            </w:pPr>
          </w:p>
        </w:tc>
        <w:tc>
          <w:tcPr>
            <w:tcW w:w="1179" w:type="dxa"/>
            <w:tcBorders>
              <w:top w:val="nil"/>
              <w:left w:val="nil"/>
              <w:bottom w:val="nil"/>
              <w:right w:val="nil"/>
            </w:tcBorders>
            <w:shd w:val="clear" w:color="auto" w:fill="FFFFFF"/>
          </w:tcPr>
          <w:p w14:paraId="153B050C" w14:textId="77777777" w:rsidR="00335EF4" w:rsidRPr="005457F2" w:rsidRDefault="00335EF4" w:rsidP="000E7C1A">
            <w:pPr>
              <w:pStyle w:val="NlTable"/>
            </w:pPr>
          </w:p>
        </w:tc>
        <w:tc>
          <w:tcPr>
            <w:tcW w:w="5310" w:type="dxa"/>
            <w:gridSpan w:val="3"/>
            <w:tcBorders>
              <w:top w:val="nil"/>
              <w:left w:val="nil"/>
              <w:bottom w:val="nil"/>
              <w:right w:val="nil"/>
            </w:tcBorders>
            <w:shd w:val="clear" w:color="auto" w:fill="FFFFFF"/>
          </w:tcPr>
          <w:p w14:paraId="143D57A8" w14:textId="77777777" w:rsidR="00335EF4" w:rsidRPr="005457F2" w:rsidRDefault="00335EF4" w:rsidP="00217675">
            <w:pPr>
              <w:pStyle w:val="NlTable"/>
              <w:jc w:val="right"/>
            </w:pPr>
            <w:r w:rsidRPr="005457F2">
              <w:rPr>
                <w:b/>
              </w:rPr>
              <w:t>Average Variance= 4550.7</w:t>
            </w:r>
          </w:p>
        </w:tc>
      </w:tr>
      <w:tr w:rsidR="00530664" w:rsidRPr="005457F2" w14:paraId="3F11DAF1" w14:textId="77777777">
        <w:trPr>
          <w:trHeight w:val="20"/>
        </w:trPr>
        <w:tc>
          <w:tcPr>
            <w:tcW w:w="1170" w:type="dxa"/>
            <w:tcBorders>
              <w:top w:val="nil"/>
              <w:left w:val="nil"/>
              <w:bottom w:val="nil"/>
              <w:right w:val="nil"/>
            </w:tcBorders>
            <w:shd w:val="clear" w:color="auto" w:fill="FFFFFF"/>
          </w:tcPr>
          <w:p w14:paraId="2F58A6F3" w14:textId="77777777" w:rsidR="00530664" w:rsidRPr="005457F2" w:rsidRDefault="00530664" w:rsidP="000E7C1A">
            <w:pPr>
              <w:pStyle w:val="NlTable"/>
            </w:pPr>
          </w:p>
        </w:tc>
        <w:tc>
          <w:tcPr>
            <w:tcW w:w="1179" w:type="dxa"/>
            <w:tcBorders>
              <w:top w:val="nil"/>
              <w:left w:val="nil"/>
              <w:bottom w:val="nil"/>
              <w:right w:val="nil"/>
            </w:tcBorders>
            <w:shd w:val="clear" w:color="auto" w:fill="FFFFFF"/>
          </w:tcPr>
          <w:p w14:paraId="7709823B" w14:textId="77777777" w:rsidR="00530664" w:rsidRPr="005457F2" w:rsidRDefault="00530664" w:rsidP="000E7C1A">
            <w:pPr>
              <w:pStyle w:val="NlTable"/>
            </w:pPr>
          </w:p>
        </w:tc>
        <w:tc>
          <w:tcPr>
            <w:tcW w:w="3726" w:type="dxa"/>
            <w:gridSpan w:val="2"/>
            <w:tcBorders>
              <w:top w:val="nil"/>
              <w:left w:val="nil"/>
              <w:bottom w:val="nil"/>
              <w:right w:val="nil"/>
            </w:tcBorders>
            <w:shd w:val="clear" w:color="auto" w:fill="FFFFFF"/>
          </w:tcPr>
          <w:p w14:paraId="42D5F5FD" w14:textId="77777777" w:rsidR="00530664" w:rsidRPr="005457F2" w:rsidRDefault="00530664" w:rsidP="00F25486">
            <w:pPr>
              <w:pStyle w:val="NlTable"/>
              <w:jc w:val="right"/>
              <w:rPr>
                <w:b/>
              </w:rPr>
            </w:pPr>
          </w:p>
        </w:tc>
        <w:tc>
          <w:tcPr>
            <w:tcW w:w="1584" w:type="dxa"/>
            <w:tcBorders>
              <w:top w:val="nil"/>
              <w:left w:val="nil"/>
              <w:bottom w:val="nil"/>
              <w:right w:val="nil"/>
            </w:tcBorders>
            <w:shd w:val="clear" w:color="auto" w:fill="FFFFFF"/>
          </w:tcPr>
          <w:p w14:paraId="254ABBC2" w14:textId="77777777" w:rsidR="00530664" w:rsidRPr="005457F2" w:rsidRDefault="00335EF4" w:rsidP="00217675">
            <w:pPr>
              <w:pStyle w:val="NlTable"/>
              <w:jc w:val="right"/>
            </w:pPr>
            <w:proofErr w:type="spellStart"/>
            <w:r w:rsidRPr="005457F2">
              <w:rPr>
                <w:b/>
              </w:rPr>
              <w:t>S</w:t>
            </w:r>
            <w:r w:rsidRPr="005457F2">
              <w:rPr>
                <w:b/>
                <w:vertAlign w:val="subscript"/>
              </w:rPr>
              <w:t>w</w:t>
            </w:r>
            <w:proofErr w:type="spellEnd"/>
            <w:r w:rsidRPr="005457F2">
              <w:rPr>
                <w:b/>
              </w:rPr>
              <w:t>= 67.5</w:t>
            </w:r>
          </w:p>
        </w:tc>
      </w:tr>
    </w:tbl>
    <w:p w14:paraId="2B0924BF" w14:textId="77777777" w:rsidR="00B91CD8" w:rsidRPr="005457F2" w:rsidRDefault="004F48DE" w:rsidP="00B262A5">
      <w:pPr>
        <w:pStyle w:val="NormalWeb"/>
      </w:pPr>
      <w:r w:rsidRPr="005457F2">
        <w:t xml:space="preserve">And the new scatterplot is shown in </w:t>
      </w:r>
      <w:r w:rsidR="002E44F8" w:rsidRPr="001D6831">
        <w:rPr>
          <w:highlight w:val="yellow"/>
        </w:rPr>
        <w:t>Figure 5.</w:t>
      </w:r>
      <w:r w:rsidRPr="001D6831">
        <w:rPr>
          <w:highlight w:val="yellow"/>
        </w:rPr>
        <w:t>3</w:t>
      </w:r>
      <w:r w:rsidRPr="005457F2">
        <w:t>.</w:t>
      </w:r>
    </w:p>
    <w:p w14:paraId="18D37B05" w14:textId="77777777" w:rsidR="00B91CD8" w:rsidRPr="005457F2" w:rsidRDefault="004F48DE" w:rsidP="00B262A5">
      <w:pPr>
        <w:pStyle w:val="NormalWeb"/>
      </w:pPr>
      <w:r w:rsidRPr="005457F2">
        <w:lastRenderedPageBreak/>
        <w:t>The correlation coef</w:t>
      </w:r>
      <w:r w:rsidR="007816D8" w:rsidRPr="005457F2">
        <w:t>fi</w:t>
      </w:r>
      <w:r w:rsidRPr="005457F2">
        <w:t>cient for these data is 0.99. We have added a single pair of measurements that do not even agree with each other very well, and yet the correlation coef</w:t>
      </w:r>
      <w:r w:rsidR="007816D8" w:rsidRPr="005457F2">
        <w:t>fi</w:t>
      </w:r>
      <w:r w:rsidRPr="005457F2">
        <w:t xml:space="preserve">cient has gone from 0.67 to 0.99 (almost perfect). Meanwhile, the within-subject standard deviation </w:t>
      </w:r>
      <w:proofErr w:type="spellStart"/>
      <w:r w:rsidRPr="005457F2">
        <w:rPr>
          <w:b/>
        </w:rPr>
        <w:t>S</w:t>
      </w:r>
      <w:r w:rsidRPr="005457F2">
        <w:rPr>
          <w:b/>
          <w:vertAlign w:val="subscript"/>
        </w:rPr>
        <w:t>w</w:t>
      </w:r>
      <w:proofErr w:type="spellEnd"/>
      <w:r w:rsidRPr="005457F2">
        <w:t xml:space="preserve"> has increased from 7.3 to 67.5 mg/dL (it has gotten much worse), and the repeatability has increased from 20.2 to 186.9 mg/dL.</w:t>
      </w:r>
    </w:p>
    <w:p w14:paraId="04233B2C" w14:textId="77777777" w:rsidR="001D6831" w:rsidRDefault="00F34806" w:rsidP="007F337B">
      <w:pPr>
        <w:pStyle w:val="NormalWeb"/>
      </w:pPr>
      <w:r>
        <w:rPr>
          <w:noProof/>
        </w:rPr>
        <w:drawing>
          <wp:inline distT="0" distB="0" distL="0" distR="0" wp14:anchorId="72EA1D11" wp14:editId="1A6A1634">
            <wp:extent cx="5473700" cy="2501900"/>
            <wp:effectExtent l="0" t="0" r="0" b="0"/>
            <wp:docPr id="12" name="Picture 12" descr="Figur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Figure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0" cy="2501900"/>
                    </a:xfrm>
                    <a:prstGeom prst="rect">
                      <a:avLst/>
                    </a:prstGeom>
                    <a:noFill/>
                    <a:ln>
                      <a:noFill/>
                    </a:ln>
                  </pic:spPr>
                </pic:pic>
              </a:graphicData>
            </a:graphic>
          </wp:inline>
        </w:drawing>
      </w:r>
    </w:p>
    <w:p w14:paraId="56A1BDFB" w14:textId="24CCDCAA" w:rsidR="00B91CD8" w:rsidRPr="005457F2" w:rsidRDefault="002E44F8" w:rsidP="007F337B">
      <w:pPr>
        <w:pStyle w:val="NormalWeb"/>
      </w:pPr>
      <w:r w:rsidRPr="001D6831">
        <w:rPr>
          <w:highlight w:val="yellow"/>
        </w:rPr>
        <w:t>Figure 5.</w:t>
      </w:r>
      <w:r w:rsidR="004F48DE" w:rsidRPr="001D6831">
        <w:rPr>
          <w:highlight w:val="yellow"/>
        </w:rPr>
        <w:t>3</w:t>
      </w:r>
      <w:r w:rsidR="004F48DE" w:rsidRPr="005457F2">
        <w:t xml:space="preserve"> Scatterplot of the </w:t>
      </w:r>
      <w:r w:rsidR="00E644B6">
        <w:t>glucose meter</w:t>
      </w:r>
      <w:r w:rsidR="004F48DE" w:rsidRPr="005457F2">
        <w:t xml:space="preserve"> readings in </w:t>
      </w:r>
      <w:r w:rsidR="008271CC">
        <w:t>Example 5.</w:t>
      </w:r>
      <w:r w:rsidR="004F48DE" w:rsidRPr="005457F2">
        <w:t>12. Correlation coefficient = 0.99.</w:t>
      </w:r>
    </w:p>
    <w:p w14:paraId="16022C77" w14:textId="4662433E" w:rsidR="00B0523A" w:rsidRPr="005457F2" w:rsidRDefault="004F48DE" w:rsidP="00131D74">
      <w:pPr>
        <w:pStyle w:val="NormalWeb"/>
      </w:pPr>
      <w:r w:rsidRPr="005457F2">
        <w:t>Although it is tempting to use the correlation coef</w:t>
      </w:r>
      <w:r w:rsidR="007816D8" w:rsidRPr="005457F2">
        <w:t>fi</w:t>
      </w:r>
      <w:r w:rsidRPr="005457F2">
        <w:t xml:space="preserve">cient between the </w:t>
      </w:r>
      <w:r w:rsidR="007816D8" w:rsidRPr="005457F2">
        <w:t>fi</w:t>
      </w:r>
      <w:r w:rsidRPr="005457F2">
        <w:t>rst and second measurements on each subject</w:t>
      </w:r>
      <w:r w:rsidR="00CD0A40">
        <w:t xml:space="preserve"> as a measure of reliability</w:t>
      </w:r>
      <w:r w:rsidRPr="005457F2">
        <w:t xml:space="preserve">, here is why </w:t>
      </w:r>
      <w:r w:rsidR="00A6485A">
        <w:t>that’s usually a bad idea</w:t>
      </w:r>
      <w:r w:rsidR="00DB1618">
        <w:t>:</w:t>
      </w:r>
      <w:r w:rsidR="00DB1618">
        <w:fldChar w:fldCharType="begin"/>
      </w:r>
      <w:r w:rsidR="00A842BC">
        <w:instrText xml:space="preserve"> ADDIN EN.CITE &lt;EndNote&gt;&lt;Cite&gt;&lt;Author&gt;Bland&lt;/Author&gt;&lt;Year&gt;1996&lt;/Year&gt;&lt;RecNum&gt;94&lt;/RecNum&gt;&lt;DisplayText&gt;[13]&lt;/DisplayText&gt;&lt;record&gt;&lt;rec-number&gt;94&lt;/rec-number&gt;&lt;foreign-keys&gt;&lt;key app="EN" db-id="0ftvff9p80fp5few5s05f5fw9rd9fefrdzer" timestamp="0"&gt;94&lt;/key&gt;&lt;/foreign-keys&gt;&lt;ref-type name="Journal Article"&gt;17&lt;/ref-type&gt;&lt;contributors&gt;&lt;authors&gt;&lt;author&gt;Bland, J. M.&lt;/author&gt;&lt;author&gt;Altman, D. G.&lt;/author&gt;&lt;/authors&gt;&lt;/contributors&gt;&lt;auth-address&gt;Department of Public Health Sciences, St George&amp;apos;s Hospital Medical School, London.&lt;/auth-address&gt;&lt;titles&gt;&lt;title&gt;Measurement error and correlation coefficients&lt;/title&gt;&lt;secondary-title&gt;Bmj&lt;/secondary-title&gt;&lt;/titles&gt;&lt;periodical&gt;&lt;full-title&gt;BMJ&lt;/full-title&gt;&lt;/periodical&gt;&lt;pages&gt;41-2&lt;/pages&gt;&lt;volume&gt;313&lt;/volume&gt;&lt;number&gt;7048&lt;/number&gt;&lt;keywords&gt;&lt;keyword&gt;Child&lt;/keyword&gt;&lt;keyword&gt;Human&lt;/keyword&gt;&lt;keyword&gt;*Statistics, Nonparametric&lt;/keyword&gt;&lt;/keywords&gt;&lt;dates&gt;&lt;year&gt;1996&lt;/year&gt;&lt;pub-dates&gt;&lt;date&gt;Jul 6&lt;/date&gt;&lt;/pub-dates&gt;&lt;/dates&gt;&lt;accession-num&gt;8664775&lt;/accession-num&gt;&lt;urls&gt;&lt;related-urls&gt;&lt;url&gt;http://www.ncbi.nlm.nih.gov/entrez/query.fcgi?cmd=Retrieve&amp;amp;db=PubMed&amp;amp;dopt=Citation&amp;amp;list_uids=8664775&lt;/url&gt;&lt;/related-urls&gt;&lt;/urls&gt;&lt;/record&gt;&lt;/Cite&gt;&lt;/EndNote&gt;</w:instrText>
      </w:r>
      <w:r w:rsidR="00DB1618">
        <w:fldChar w:fldCharType="separate"/>
      </w:r>
      <w:r w:rsidR="00A842BC">
        <w:rPr>
          <w:noProof/>
        </w:rPr>
        <w:t>[13]</w:t>
      </w:r>
      <w:r w:rsidR="00DB1618">
        <w:fldChar w:fldCharType="end"/>
      </w:r>
    </w:p>
    <w:p w14:paraId="6C708262" w14:textId="77777777" w:rsidR="00B0523A" w:rsidRPr="005457F2" w:rsidRDefault="004F48DE" w:rsidP="003D1341">
      <w:pPr>
        <w:pStyle w:val="NormalWeb"/>
      </w:pPr>
      <w:r w:rsidRPr="005457F2">
        <w:t>1. As we just saw, the correlation coef</w:t>
      </w:r>
      <w:r w:rsidR="007816D8" w:rsidRPr="005457F2">
        <w:t>fi</w:t>
      </w:r>
      <w:r w:rsidRPr="005457F2">
        <w:t>cien</w:t>
      </w:r>
      <w:r w:rsidR="00B0523A" w:rsidRPr="005457F2">
        <w:t>t is very sensitive to outliers</w:t>
      </w:r>
      <w:r w:rsidR="00B0180F" w:rsidRPr="005457F2">
        <w:t>.</w:t>
      </w:r>
    </w:p>
    <w:p w14:paraId="3346C970" w14:textId="77777777" w:rsidR="0027759E" w:rsidRPr="005457F2" w:rsidRDefault="004F48DE" w:rsidP="00B0523A">
      <w:pPr>
        <w:pStyle w:val="NormalWeb"/>
        <w:ind w:left="252" w:hanging="252"/>
      </w:pPr>
      <w:r w:rsidRPr="005457F2">
        <w:t>2. (Related to 1): The correlation coef</w:t>
      </w:r>
      <w:r w:rsidR="007816D8" w:rsidRPr="005457F2">
        <w:t>fi</w:t>
      </w:r>
      <w:r w:rsidRPr="005457F2">
        <w:t>cient will automatically be higher if the range of measurements is higher, even though the precision of</w:t>
      </w:r>
      <w:r w:rsidR="0027759E" w:rsidRPr="005457F2">
        <w:t xml:space="preserve"> the measurement stays the same</w:t>
      </w:r>
      <w:r w:rsidR="00B0180F" w:rsidRPr="005457F2">
        <w:t>.</w:t>
      </w:r>
    </w:p>
    <w:p w14:paraId="3DAA8D74" w14:textId="77777777" w:rsidR="0027759E" w:rsidRPr="005457F2" w:rsidRDefault="004F48DE" w:rsidP="00B0523A">
      <w:pPr>
        <w:pStyle w:val="NormalWeb"/>
        <w:ind w:left="252" w:hanging="252"/>
      </w:pPr>
      <w:r w:rsidRPr="005457F2">
        <w:t>3. The correlation coef</w:t>
      </w:r>
      <w:r w:rsidR="007816D8" w:rsidRPr="005457F2">
        <w:t>fi</w:t>
      </w:r>
      <w:r w:rsidRPr="005457F2">
        <w:t xml:space="preserve">cient is high for any linear relationship, not just when the </w:t>
      </w:r>
      <w:r w:rsidR="007816D8" w:rsidRPr="005457F2">
        <w:t>fi</w:t>
      </w:r>
      <w:r w:rsidRPr="005457F2">
        <w:t xml:space="preserve">rst measurement equals the second measurement. If the second measurement is always 300 mg/dL higher or 40% lower than the </w:t>
      </w:r>
      <w:r w:rsidR="007816D8" w:rsidRPr="005457F2">
        <w:t>fi</w:t>
      </w:r>
      <w:r w:rsidRPr="005457F2">
        <w:t>rst measurement, the correlation coef</w:t>
      </w:r>
      <w:r w:rsidR="007816D8" w:rsidRPr="005457F2">
        <w:t>fi</w:t>
      </w:r>
      <w:r w:rsidRPr="005457F2">
        <w:t>cient is 1, although the m</w:t>
      </w:r>
      <w:r w:rsidR="0027759E" w:rsidRPr="005457F2">
        <w:t>easurements do not agree at all</w:t>
      </w:r>
      <w:r w:rsidR="00B0180F" w:rsidRPr="005457F2">
        <w:t>.</w:t>
      </w:r>
    </w:p>
    <w:p w14:paraId="530164B8" w14:textId="77777777" w:rsidR="00B91CD8" w:rsidRPr="005457F2" w:rsidRDefault="004F48DE" w:rsidP="00B0523A">
      <w:pPr>
        <w:pStyle w:val="NormalWeb"/>
        <w:ind w:left="252" w:hanging="252"/>
      </w:pPr>
      <w:r w:rsidRPr="005457F2">
        <w:t>4. The test of signi</w:t>
      </w:r>
      <w:r w:rsidR="007816D8" w:rsidRPr="005457F2">
        <w:t>fi</w:t>
      </w:r>
      <w:r w:rsidRPr="005457F2">
        <w:t>cance for the correlation coef</w:t>
      </w:r>
      <w:r w:rsidR="007816D8" w:rsidRPr="005457F2">
        <w:t>fi</w:t>
      </w:r>
      <w:r w:rsidRPr="005457F2">
        <w:t xml:space="preserve">cient uses the absence of relationship as the null hypothesis. This will almost invariably be rejected because of course there is likely to be a relationship between the </w:t>
      </w:r>
      <w:r w:rsidR="007816D8" w:rsidRPr="005457F2">
        <w:t>fi</w:t>
      </w:r>
      <w:r w:rsidRPr="005457F2">
        <w:t>rst and second measurements, even if they do not agree with each other very well.</w:t>
      </w:r>
    </w:p>
    <w:p w14:paraId="7781CEEB" w14:textId="77777777" w:rsidR="00B91CD8" w:rsidRPr="005457F2" w:rsidRDefault="004F48DE" w:rsidP="00427246">
      <w:pPr>
        <w:pStyle w:val="Heading4"/>
      </w:pPr>
      <w:r w:rsidRPr="005457F2">
        <w:t>Measurement error proportional to magnitude</w:t>
      </w:r>
    </w:p>
    <w:p w14:paraId="49EBF2AD" w14:textId="77777777" w:rsidR="00B91CD8" w:rsidRPr="005457F2" w:rsidRDefault="004F48DE" w:rsidP="003D1341">
      <w:pPr>
        <w:pStyle w:val="NormalWeb"/>
      </w:pPr>
      <w:r w:rsidRPr="005457F2">
        <w:t>Sometimes the random error of a measurement is proportional to the magnitude of the measurement.</w:t>
      </w:r>
      <w:r w:rsidR="00A6485A">
        <w:t xml:space="preserve">  An example of this is where the measurement is accurate to </w:t>
      </w:r>
      <w:r w:rsidR="00A6485A">
        <w:sym w:font="Symbol" w:char="F0B1"/>
      </w:r>
      <w:r w:rsidR="00A6485A">
        <w:t xml:space="preserve"> 5%</w:t>
      </w:r>
      <w:r w:rsidR="00FA0601">
        <w:t xml:space="preserve"> rather than </w:t>
      </w:r>
      <w:r w:rsidR="00FA0601">
        <w:sym w:font="Symbol" w:char="F0B1"/>
      </w:r>
      <w:r w:rsidR="00FA0601">
        <w:t xml:space="preserve"> </w:t>
      </w:r>
      <w:r w:rsidR="00FA0601" w:rsidRPr="005457F2">
        <w:t xml:space="preserve">a </w:t>
      </w:r>
      <w:r w:rsidR="00FA0601">
        <w:t>fixed</w:t>
      </w:r>
      <w:r w:rsidR="00FA0601" w:rsidRPr="005457F2">
        <w:t xml:space="preserve"> number of mg/dL</w:t>
      </w:r>
      <w:r w:rsidR="00A6485A">
        <w:t>.</w:t>
      </w:r>
      <w:r w:rsidRPr="005457F2">
        <w:t xml:space="preserve"> We can visually assess whether error increases with </w:t>
      </w:r>
      <w:r w:rsidRPr="005457F2">
        <w:lastRenderedPageBreak/>
        <w:t>magnitude by graphing the absolute difference between the two measurements versus their average. The gluco</w:t>
      </w:r>
      <w:r w:rsidR="003238EE">
        <w:t xml:space="preserve">se </w:t>
      </w:r>
      <w:r w:rsidRPr="005457F2">
        <w:t xml:space="preserve">meter readings from </w:t>
      </w:r>
      <w:r w:rsidR="008271CC">
        <w:t>Example 5.</w:t>
      </w:r>
      <w:r w:rsidRPr="005457F2">
        <w:t xml:space="preserve">11 show no clear trend of error increasing with the magnitude of the measurement, as shown in </w:t>
      </w:r>
      <w:r w:rsidR="002E44F8" w:rsidRPr="003238EE">
        <w:rPr>
          <w:highlight w:val="yellow"/>
        </w:rPr>
        <w:t>Figure 5.</w:t>
      </w:r>
      <w:r w:rsidRPr="003238EE">
        <w:rPr>
          <w:highlight w:val="yellow"/>
        </w:rPr>
        <w:t>4</w:t>
      </w:r>
      <w:r w:rsidRPr="005457F2">
        <w:t>.</w:t>
      </w:r>
    </w:p>
    <w:p w14:paraId="7BC9A080" w14:textId="7DD553D8" w:rsidR="003238EE" w:rsidRPr="005457F2" w:rsidRDefault="004F48DE" w:rsidP="003D1341">
      <w:pPr>
        <w:pStyle w:val="NormalWeb"/>
      </w:pPr>
      <w:r w:rsidRPr="005457F2">
        <w:t xml:space="preserve">If the random error of a measurement is proportional to the magnitude of the measurement, we cannot use a single value for the within-subject (or within-specimen) standard deviation, because it increases with the level of the measurement. </w:t>
      </w:r>
      <w:r w:rsidR="0001661F">
        <w:t xml:space="preserve"> </w:t>
      </w:r>
      <w:r w:rsidRPr="005457F2">
        <w:t xml:space="preserve">In cases like this, rather than </w:t>
      </w:r>
      <w:r w:rsidR="000E43DF">
        <w:t>estimating the</w:t>
      </w:r>
      <w:r w:rsidRPr="005457F2">
        <w:t xml:space="preserve"> within-subject standard deviation, the variability could be better summarized </w:t>
      </w:r>
      <w:r w:rsidR="000E43DF">
        <w:t>by the within-subject</w:t>
      </w:r>
      <w:r w:rsidRPr="005457F2">
        <w:t xml:space="preserve"> coef</w:t>
      </w:r>
      <w:r w:rsidR="007816D8" w:rsidRPr="005457F2">
        <w:t>fi</w:t>
      </w:r>
      <w:r w:rsidRPr="005457F2">
        <w:t>cient of variation (CV), equal to the standard deviation divided by the mean.</w:t>
      </w:r>
    </w:p>
    <w:p w14:paraId="5491AC81" w14:textId="79134640" w:rsidR="00AA14F3" w:rsidRDefault="000E43DF" w:rsidP="007F337B">
      <w:pPr>
        <w:pStyle w:val="NormalWeb"/>
        <w:rPr>
          <w:highlight w:val="yellow"/>
        </w:rPr>
      </w:pPr>
      <w:r>
        <w:rPr>
          <w:noProof/>
        </w:rPr>
        <w:drawing>
          <wp:inline distT="0" distB="0" distL="0" distR="0" wp14:anchorId="737B06E0" wp14:editId="3DAC9E5F">
            <wp:extent cx="5486400" cy="25025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5.4.jpeg"/>
                    <pic:cNvPicPr/>
                  </pic:nvPicPr>
                  <pic:blipFill>
                    <a:blip r:embed="rId21"/>
                    <a:stretch>
                      <a:fillRect/>
                    </a:stretch>
                  </pic:blipFill>
                  <pic:spPr>
                    <a:xfrm>
                      <a:off x="0" y="0"/>
                      <a:ext cx="5486400" cy="2502535"/>
                    </a:xfrm>
                    <a:prstGeom prst="rect">
                      <a:avLst/>
                    </a:prstGeom>
                  </pic:spPr>
                </pic:pic>
              </a:graphicData>
            </a:graphic>
          </wp:inline>
        </w:drawing>
      </w:r>
    </w:p>
    <w:p w14:paraId="011F3D8C" w14:textId="57DD018F" w:rsidR="00B91CD8" w:rsidRDefault="002E44F8" w:rsidP="007F337B">
      <w:pPr>
        <w:pStyle w:val="NormalWeb"/>
      </w:pPr>
      <w:r w:rsidRPr="003238EE">
        <w:rPr>
          <w:highlight w:val="yellow"/>
        </w:rPr>
        <w:t>Figure 5.</w:t>
      </w:r>
      <w:r w:rsidR="004F48DE" w:rsidRPr="003238EE">
        <w:rPr>
          <w:highlight w:val="yellow"/>
        </w:rPr>
        <w:t>4</w:t>
      </w:r>
      <w:r w:rsidR="004F48DE" w:rsidRPr="005457F2">
        <w:t xml:space="preserve"> Plot of the absolute difference between the two measurements against their average for the data in </w:t>
      </w:r>
      <w:r w:rsidR="008271CC">
        <w:t>Example 5.</w:t>
      </w:r>
      <w:r w:rsidR="004F48DE" w:rsidRPr="005457F2">
        <w:t>11.</w:t>
      </w:r>
    </w:p>
    <w:p w14:paraId="633317CF" w14:textId="77777777" w:rsidR="002F589D" w:rsidRDefault="002F589D" w:rsidP="007F337B">
      <w:pPr>
        <w:pStyle w:val="NormalWeb"/>
      </w:pPr>
    </w:p>
    <w:p w14:paraId="42A052C0" w14:textId="77777777" w:rsidR="002F589D" w:rsidRPr="005457F2" w:rsidRDefault="002F589D" w:rsidP="007F337B">
      <w:pPr>
        <w:pStyle w:val="NormalWeb"/>
      </w:pPr>
    </w:p>
    <w:p w14:paraId="2688DED4" w14:textId="77777777" w:rsidR="00B91CD8" w:rsidRPr="005457F2" w:rsidRDefault="008271CC" w:rsidP="006E27AC">
      <w:pPr>
        <w:pStyle w:val="NormalWeb"/>
      </w:pPr>
      <w:r>
        <w:rPr>
          <w:b/>
        </w:rPr>
        <w:t>Example 5.</w:t>
      </w:r>
      <w:r w:rsidR="004F48DE" w:rsidRPr="005457F2">
        <w:rPr>
          <w:b/>
        </w:rPr>
        <w:t>13</w:t>
      </w:r>
      <w:r w:rsidR="004F48DE" w:rsidRPr="005457F2">
        <w:t xml:space="preserve"> Sometimes the difference between measurements tends to increase as the magnitude of the measurements increases.</w:t>
      </w:r>
    </w:p>
    <w:tbl>
      <w:tblPr>
        <w:tblW w:w="0" w:type="auto"/>
        <w:tblInd w:w="40" w:type="dxa"/>
        <w:tblLayout w:type="fixed"/>
        <w:tblCellMar>
          <w:left w:w="40" w:type="dxa"/>
          <w:right w:w="40" w:type="dxa"/>
        </w:tblCellMar>
        <w:tblLook w:val="0000" w:firstRow="0" w:lastRow="0" w:firstColumn="0" w:lastColumn="0" w:noHBand="0" w:noVBand="0"/>
      </w:tblPr>
      <w:tblGrid>
        <w:gridCol w:w="1260"/>
        <w:gridCol w:w="990"/>
        <w:gridCol w:w="900"/>
        <w:gridCol w:w="1350"/>
        <w:gridCol w:w="1350"/>
        <w:gridCol w:w="1170"/>
        <w:gridCol w:w="1170"/>
      </w:tblGrid>
      <w:tr w:rsidR="00457346" w:rsidRPr="005457F2" w14:paraId="08EB85F8" w14:textId="77777777">
        <w:trPr>
          <w:trHeight w:val="20"/>
        </w:trPr>
        <w:tc>
          <w:tcPr>
            <w:tcW w:w="8190" w:type="dxa"/>
            <w:gridSpan w:val="7"/>
            <w:tcBorders>
              <w:top w:val="nil"/>
              <w:left w:val="nil"/>
              <w:bottom w:val="nil"/>
              <w:right w:val="nil"/>
            </w:tcBorders>
            <w:shd w:val="clear" w:color="auto" w:fill="FFFFFF"/>
          </w:tcPr>
          <w:p w14:paraId="6BD942FB" w14:textId="77777777" w:rsidR="00457346" w:rsidRPr="005457F2" w:rsidRDefault="00457346" w:rsidP="008E6FE4">
            <w:pPr>
              <w:pStyle w:val="NlTable"/>
              <w:rPr>
                <w:b/>
              </w:rPr>
            </w:pPr>
            <w:r w:rsidRPr="005457F2">
              <w:rPr>
                <w:b/>
              </w:rPr>
              <w:t>Duplicate Glucose Measurements Illustrating Increasing Error Proportional to the Mean</w:t>
            </w:r>
          </w:p>
        </w:tc>
      </w:tr>
      <w:tr w:rsidR="00685A51" w:rsidRPr="005457F2" w14:paraId="0A73027D" w14:textId="77777777">
        <w:trPr>
          <w:trHeight w:val="20"/>
        </w:trPr>
        <w:tc>
          <w:tcPr>
            <w:tcW w:w="1260" w:type="dxa"/>
            <w:tcBorders>
              <w:top w:val="nil"/>
              <w:left w:val="nil"/>
              <w:bottom w:val="nil"/>
              <w:right w:val="nil"/>
            </w:tcBorders>
            <w:shd w:val="clear" w:color="auto" w:fill="FFFFFF"/>
          </w:tcPr>
          <w:p w14:paraId="4E7F30D1" w14:textId="77777777" w:rsidR="00457346" w:rsidRPr="005457F2" w:rsidRDefault="00457346" w:rsidP="00457346">
            <w:pPr>
              <w:pStyle w:val="NlTable"/>
            </w:pPr>
          </w:p>
        </w:tc>
        <w:tc>
          <w:tcPr>
            <w:tcW w:w="1890" w:type="dxa"/>
            <w:gridSpan w:val="2"/>
            <w:tcBorders>
              <w:top w:val="nil"/>
              <w:left w:val="nil"/>
              <w:bottom w:val="nil"/>
              <w:right w:val="nil"/>
            </w:tcBorders>
            <w:shd w:val="clear" w:color="auto" w:fill="FFFFFF"/>
          </w:tcPr>
          <w:p w14:paraId="0080A4D6" w14:textId="77777777" w:rsidR="00457346" w:rsidRPr="005457F2" w:rsidRDefault="00457346" w:rsidP="00F462C5">
            <w:pPr>
              <w:pStyle w:val="NlTable"/>
              <w:jc w:val="center"/>
            </w:pPr>
            <w:r w:rsidRPr="005457F2">
              <w:rPr>
                <w:b/>
              </w:rPr>
              <w:t>Glucose Measurement (mg/dL)</w:t>
            </w:r>
          </w:p>
        </w:tc>
        <w:tc>
          <w:tcPr>
            <w:tcW w:w="1350" w:type="dxa"/>
            <w:tcBorders>
              <w:top w:val="nil"/>
              <w:left w:val="nil"/>
              <w:bottom w:val="nil"/>
              <w:right w:val="nil"/>
            </w:tcBorders>
            <w:shd w:val="clear" w:color="auto" w:fill="FFFFFF"/>
          </w:tcPr>
          <w:p w14:paraId="6240503A" w14:textId="77777777" w:rsidR="00457346" w:rsidRPr="005457F2" w:rsidRDefault="00457346" w:rsidP="00457346">
            <w:pPr>
              <w:pStyle w:val="NlTable"/>
            </w:pPr>
          </w:p>
        </w:tc>
        <w:tc>
          <w:tcPr>
            <w:tcW w:w="1350" w:type="dxa"/>
            <w:tcBorders>
              <w:top w:val="nil"/>
              <w:left w:val="nil"/>
              <w:bottom w:val="nil"/>
              <w:right w:val="nil"/>
            </w:tcBorders>
            <w:shd w:val="clear" w:color="auto" w:fill="FFFFFF"/>
          </w:tcPr>
          <w:p w14:paraId="58529A89" w14:textId="77777777" w:rsidR="00457346" w:rsidRPr="005457F2" w:rsidRDefault="00457346" w:rsidP="00457346">
            <w:pPr>
              <w:pStyle w:val="NlTable"/>
            </w:pPr>
          </w:p>
        </w:tc>
        <w:tc>
          <w:tcPr>
            <w:tcW w:w="1170" w:type="dxa"/>
            <w:tcBorders>
              <w:top w:val="nil"/>
              <w:left w:val="nil"/>
              <w:bottom w:val="nil"/>
              <w:right w:val="nil"/>
            </w:tcBorders>
            <w:shd w:val="clear" w:color="auto" w:fill="FFFFFF"/>
          </w:tcPr>
          <w:p w14:paraId="73FF5A6D" w14:textId="77777777" w:rsidR="00457346" w:rsidRPr="005457F2" w:rsidRDefault="00457346" w:rsidP="00457346">
            <w:pPr>
              <w:pStyle w:val="NlTable"/>
            </w:pPr>
          </w:p>
        </w:tc>
        <w:tc>
          <w:tcPr>
            <w:tcW w:w="1170" w:type="dxa"/>
            <w:tcBorders>
              <w:top w:val="nil"/>
              <w:left w:val="nil"/>
              <w:bottom w:val="nil"/>
              <w:right w:val="nil"/>
            </w:tcBorders>
            <w:shd w:val="clear" w:color="auto" w:fill="FFFFFF"/>
          </w:tcPr>
          <w:p w14:paraId="263CED94" w14:textId="77777777" w:rsidR="00457346" w:rsidRPr="005457F2" w:rsidRDefault="00457346" w:rsidP="00457346">
            <w:pPr>
              <w:pStyle w:val="NlTable"/>
            </w:pPr>
          </w:p>
        </w:tc>
      </w:tr>
      <w:tr w:rsidR="00685A51" w:rsidRPr="005457F2" w14:paraId="3A3C8088" w14:textId="77777777">
        <w:trPr>
          <w:trHeight w:val="20"/>
        </w:trPr>
        <w:tc>
          <w:tcPr>
            <w:tcW w:w="1260" w:type="dxa"/>
            <w:tcBorders>
              <w:top w:val="nil"/>
              <w:left w:val="nil"/>
              <w:bottom w:val="nil"/>
              <w:right w:val="nil"/>
            </w:tcBorders>
            <w:shd w:val="clear" w:color="auto" w:fill="FFFFFF"/>
          </w:tcPr>
          <w:p w14:paraId="79331FF7" w14:textId="77777777" w:rsidR="00457346" w:rsidRPr="005457F2" w:rsidRDefault="00457346" w:rsidP="00457346">
            <w:pPr>
              <w:pStyle w:val="NlTable"/>
              <w:rPr>
                <w:b/>
              </w:rPr>
            </w:pPr>
            <w:r w:rsidRPr="005457F2">
              <w:rPr>
                <w:b/>
              </w:rPr>
              <w:t>Specimen</w:t>
            </w:r>
          </w:p>
        </w:tc>
        <w:tc>
          <w:tcPr>
            <w:tcW w:w="990" w:type="dxa"/>
            <w:tcBorders>
              <w:top w:val="nil"/>
              <w:left w:val="nil"/>
              <w:bottom w:val="nil"/>
              <w:right w:val="nil"/>
            </w:tcBorders>
            <w:shd w:val="clear" w:color="auto" w:fill="FFFFFF"/>
          </w:tcPr>
          <w:p w14:paraId="395E4D87" w14:textId="77777777" w:rsidR="00457346" w:rsidRPr="005457F2" w:rsidRDefault="00457346" w:rsidP="00685A51">
            <w:pPr>
              <w:pStyle w:val="NlTable"/>
              <w:jc w:val="center"/>
              <w:rPr>
                <w:b/>
              </w:rPr>
            </w:pPr>
            <w:r w:rsidRPr="005457F2">
              <w:rPr>
                <w:b/>
              </w:rPr>
              <w:t>#1</w:t>
            </w:r>
          </w:p>
        </w:tc>
        <w:tc>
          <w:tcPr>
            <w:tcW w:w="900" w:type="dxa"/>
            <w:tcBorders>
              <w:top w:val="nil"/>
              <w:left w:val="nil"/>
              <w:bottom w:val="nil"/>
              <w:right w:val="nil"/>
            </w:tcBorders>
            <w:shd w:val="clear" w:color="auto" w:fill="FFFFFF"/>
          </w:tcPr>
          <w:p w14:paraId="71D10530" w14:textId="77777777" w:rsidR="00457346" w:rsidRPr="005457F2" w:rsidRDefault="00457346" w:rsidP="00685A51">
            <w:pPr>
              <w:pStyle w:val="NlTable"/>
              <w:jc w:val="center"/>
              <w:rPr>
                <w:b/>
              </w:rPr>
            </w:pPr>
            <w:r w:rsidRPr="005457F2">
              <w:rPr>
                <w:b/>
              </w:rPr>
              <w:t>#2</w:t>
            </w:r>
          </w:p>
        </w:tc>
        <w:tc>
          <w:tcPr>
            <w:tcW w:w="1350" w:type="dxa"/>
            <w:tcBorders>
              <w:top w:val="nil"/>
              <w:left w:val="nil"/>
              <w:bottom w:val="nil"/>
              <w:right w:val="nil"/>
            </w:tcBorders>
            <w:shd w:val="clear" w:color="auto" w:fill="FFFFFF"/>
          </w:tcPr>
          <w:p w14:paraId="7AC0F7C6" w14:textId="77777777" w:rsidR="00457346" w:rsidRPr="005457F2" w:rsidRDefault="00457346" w:rsidP="00685A51">
            <w:pPr>
              <w:pStyle w:val="NlTable"/>
              <w:jc w:val="center"/>
              <w:rPr>
                <w:b/>
              </w:rPr>
            </w:pPr>
            <w:r w:rsidRPr="005457F2">
              <w:rPr>
                <w:b/>
              </w:rPr>
              <w:t>Difference</w:t>
            </w:r>
          </w:p>
        </w:tc>
        <w:tc>
          <w:tcPr>
            <w:tcW w:w="1350" w:type="dxa"/>
            <w:tcBorders>
              <w:top w:val="nil"/>
              <w:left w:val="nil"/>
              <w:bottom w:val="nil"/>
              <w:right w:val="nil"/>
            </w:tcBorders>
            <w:shd w:val="clear" w:color="auto" w:fill="FFFFFF"/>
          </w:tcPr>
          <w:p w14:paraId="57EE5227" w14:textId="77777777" w:rsidR="00457346" w:rsidRPr="005457F2" w:rsidRDefault="00EB6068" w:rsidP="00685A51">
            <w:pPr>
              <w:pStyle w:val="NlTable"/>
              <w:jc w:val="center"/>
              <w:rPr>
                <w:b/>
              </w:rPr>
            </w:pPr>
            <w:r>
              <w:rPr>
                <w:b/>
              </w:rPr>
              <w:t>Mean</w:t>
            </w:r>
          </w:p>
        </w:tc>
        <w:tc>
          <w:tcPr>
            <w:tcW w:w="1170" w:type="dxa"/>
            <w:tcBorders>
              <w:top w:val="nil"/>
              <w:left w:val="nil"/>
              <w:bottom w:val="nil"/>
              <w:right w:val="nil"/>
            </w:tcBorders>
            <w:shd w:val="clear" w:color="auto" w:fill="FFFFFF"/>
          </w:tcPr>
          <w:p w14:paraId="6CD2794F" w14:textId="77777777" w:rsidR="00457346" w:rsidRPr="005457F2" w:rsidRDefault="00457346" w:rsidP="00685A51">
            <w:pPr>
              <w:pStyle w:val="NlTable"/>
              <w:jc w:val="center"/>
              <w:rPr>
                <w:b/>
              </w:rPr>
            </w:pPr>
            <w:r w:rsidRPr="005457F2">
              <w:rPr>
                <w:b/>
              </w:rPr>
              <w:t>SD</w:t>
            </w:r>
          </w:p>
        </w:tc>
        <w:tc>
          <w:tcPr>
            <w:tcW w:w="1170" w:type="dxa"/>
            <w:tcBorders>
              <w:top w:val="nil"/>
              <w:left w:val="nil"/>
              <w:bottom w:val="nil"/>
              <w:right w:val="nil"/>
            </w:tcBorders>
            <w:shd w:val="clear" w:color="auto" w:fill="FFFFFF"/>
          </w:tcPr>
          <w:p w14:paraId="6184AF0D" w14:textId="77777777" w:rsidR="00457346" w:rsidRPr="005457F2" w:rsidRDefault="00457346" w:rsidP="00685A51">
            <w:pPr>
              <w:pStyle w:val="NlTable"/>
              <w:jc w:val="center"/>
              <w:rPr>
                <w:b/>
              </w:rPr>
            </w:pPr>
            <w:r w:rsidRPr="005457F2">
              <w:rPr>
                <w:b/>
              </w:rPr>
              <w:t>CV</w:t>
            </w:r>
          </w:p>
        </w:tc>
      </w:tr>
      <w:tr w:rsidR="00685A51" w:rsidRPr="005457F2" w14:paraId="075F5509" w14:textId="77777777">
        <w:trPr>
          <w:trHeight w:val="20"/>
        </w:trPr>
        <w:tc>
          <w:tcPr>
            <w:tcW w:w="1260" w:type="dxa"/>
            <w:tcBorders>
              <w:top w:val="nil"/>
              <w:left w:val="nil"/>
              <w:bottom w:val="nil"/>
              <w:right w:val="nil"/>
            </w:tcBorders>
            <w:shd w:val="clear" w:color="auto" w:fill="FFFFFF"/>
          </w:tcPr>
          <w:p w14:paraId="3E1BB015" w14:textId="77777777" w:rsidR="00457346" w:rsidRPr="005457F2" w:rsidRDefault="00457346" w:rsidP="00457346">
            <w:pPr>
              <w:pStyle w:val="NlTable"/>
              <w:rPr>
                <w:b/>
              </w:rPr>
            </w:pPr>
            <w:r w:rsidRPr="005457F2">
              <w:rPr>
                <w:b/>
              </w:rPr>
              <w:t>11</w:t>
            </w:r>
          </w:p>
        </w:tc>
        <w:tc>
          <w:tcPr>
            <w:tcW w:w="990" w:type="dxa"/>
            <w:tcBorders>
              <w:top w:val="nil"/>
              <w:left w:val="nil"/>
              <w:bottom w:val="nil"/>
              <w:right w:val="nil"/>
            </w:tcBorders>
            <w:shd w:val="clear" w:color="auto" w:fill="FFFFFF"/>
          </w:tcPr>
          <w:p w14:paraId="473EE4D4" w14:textId="77777777" w:rsidR="00457346" w:rsidRPr="005457F2" w:rsidRDefault="00457346" w:rsidP="00CA58E5">
            <w:pPr>
              <w:pStyle w:val="NlTable"/>
              <w:ind w:left="-49" w:right="139"/>
              <w:jc w:val="right"/>
            </w:pPr>
            <w:r w:rsidRPr="005457F2">
              <w:t>93</w:t>
            </w:r>
          </w:p>
        </w:tc>
        <w:tc>
          <w:tcPr>
            <w:tcW w:w="900" w:type="dxa"/>
            <w:tcBorders>
              <w:top w:val="nil"/>
              <w:left w:val="nil"/>
              <w:bottom w:val="nil"/>
              <w:right w:val="nil"/>
            </w:tcBorders>
            <w:shd w:val="clear" w:color="auto" w:fill="FFFFFF"/>
          </w:tcPr>
          <w:p w14:paraId="52DD72A1" w14:textId="77777777" w:rsidR="00457346" w:rsidRPr="005457F2" w:rsidRDefault="00457346" w:rsidP="00685A51">
            <w:pPr>
              <w:pStyle w:val="NlTable"/>
              <w:jc w:val="center"/>
            </w:pPr>
            <w:r w:rsidRPr="005457F2">
              <w:t>107</w:t>
            </w:r>
          </w:p>
        </w:tc>
        <w:tc>
          <w:tcPr>
            <w:tcW w:w="1350" w:type="dxa"/>
            <w:tcBorders>
              <w:top w:val="nil"/>
              <w:left w:val="nil"/>
              <w:bottom w:val="nil"/>
              <w:right w:val="nil"/>
            </w:tcBorders>
            <w:shd w:val="clear" w:color="auto" w:fill="FFFFFF"/>
          </w:tcPr>
          <w:p w14:paraId="14836D9F" w14:textId="77777777" w:rsidR="00457346" w:rsidRPr="005457F2" w:rsidRDefault="006C0442" w:rsidP="00450FB1">
            <w:pPr>
              <w:pStyle w:val="NlTable"/>
              <w:ind w:right="302"/>
              <w:jc w:val="right"/>
            </w:pPr>
            <w:r w:rsidRPr="005457F2">
              <w:t>−</w:t>
            </w:r>
            <w:r w:rsidR="00457346" w:rsidRPr="005457F2">
              <w:t>14</w:t>
            </w:r>
          </w:p>
        </w:tc>
        <w:tc>
          <w:tcPr>
            <w:tcW w:w="1350" w:type="dxa"/>
            <w:tcBorders>
              <w:top w:val="nil"/>
              <w:left w:val="nil"/>
              <w:bottom w:val="nil"/>
              <w:right w:val="nil"/>
            </w:tcBorders>
            <w:shd w:val="clear" w:color="auto" w:fill="FFFFFF"/>
          </w:tcPr>
          <w:p w14:paraId="11112C27" w14:textId="77777777" w:rsidR="00457346" w:rsidRPr="005457F2" w:rsidRDefault="00EB6068" w:rsidP="00722483">
            <w:pPr>
              <w:pStyle w:val="NlTable"/>
              <w:ind w:right="140"/>
              <w:jc w:val="center"/>
            </w:pPr>
            <w:r>
              <w:t>100</w:t>
            </w:r>
          </w:p>
        </w:tc>
        <w:tc>
          <w:tcPr>
            <w:tcW w:w="1170" w:type="dxa"/>
            <w:tcBorders>
              <w:top w:val="nil"/>
              <w:left w:val="nil"/>
              <w:bottom w:val="nil"/>
              <w:right w:val="nil"/>
            </w:tcBorders>
            <w:shd w:val="clear" w:color="auto" w:fill="FFFFFF"/>
          </w:tcPr>
          <w:p w14:paraId="5AD7A145" w14:textId="77777777" w:rsidR="00457346" w:rsidRPr="005457F2" w:rsidRDefault="00457346" w:rsidP="00B05310">
            <w:pPr>
              <w:pStyle w:val="NlTable"/>
              <w:ind w:right="-139"/>
              <w:jc w:val="center"/>
            </w:pPr>
            <w:r w:rsidRPr="005457F2">
              <w:t>9.9</w:t>
            </w:r>
          </w:p>
        </w:tc>
        <w:tc>
          <w:tcPr>
            <w:tcW w:w="1170" w:type="dxa"/>
            <w:tcBorders>
              <w:top w:val="nil"/>
              <w:left w:val="nil"/>
              <w:bottom w:val="nil"/>
              <w:right w:val="nil"/>
            </w:tcBorders>
            <w:shd w:val="clear" w:color="auto" w:fill="FFFFFF"/>
          </w:tcPr>
          <w:p w14:paraId="1D52AA63" w14:textId="77777777" w:rsidR="00457346" w:rsidRPr="005457F2" w:rsidRDefault="00457346" w:rsidP="00925B92">
            <w:pPr>
              <w:pStyle w:val="NlTable"/>
              <w:ind w:right="-112"/>
              <w:jc w:val="center"/>
            </w:pPr>
            <w:r w:rsidRPr="005457F2">
              <w:t>9.9%</w:t>
            </w:r>
          </w:p>
        </w:tc>
      </w:tr>
      <w:tr w:rsidR="00685A51" w:rsidRPr="005457F2" w14:paraId="58C2B785" w14:textId="77777777">
        <w:trPr>
          <w:trHeight w:val="20"/>
        </w:trPr>
        <w:tc>
          <w:tcPr>
            <w:tcW w:w="1260" w:type="dxa"/>
            <w:tcBorders>
              <w:top w:val="nil"/>
              <w:left w:val="nil"/>
              <w:bottom w:val="nil"/>
              <w:right w:val="nil"/>
            </w:tcBorders>
            <w:shd w:val="clear" w:color="auto" w:fill="FFFFFF"/>
          </w:tcPr>
          <w:p w14:paraId="6F4DEF2B" w14:textId="77777777" w:rsidR="00457346" w:rsidRPr="005457F2" w:rsidRDefault="00457346" w:rsidP="00457346">
            <w:pPr>
              <w:pStyle w:val="NlTable"/>
              <w:rPr>
                <w:b/>
              </w:rPr>
            </w:pPr>
            <w:r w:rsidRPr="005457F2">
              <w:rPr>
                <w:b/>
              </w:rPr>
              <w:t>12</w:t>
            </w:r>
          </w:p>
        </w:tc>
        <w:tc>
          <w:tcPr>
            <w:tcW w:w="990" w:type="dxa"/>
            <w:tcBorders>
              <w:top w:val="nil"/>
              <w:left w:val="nil"/>
              <w:bottom w:val="nil"/>
              <w:right w:val="nil"/>
            </w:tcBorders>
            <w:shd w:val="clear" w:color="auto" w:fill="FFFFFF"/>
          </w:tcPr>
          <w:p w14:paraId="1BDD279B" w14:textId="77777777" w:rsidR="00457346" w:rsidRPr="005457F2" w:rsidRDefault="00457346" w:rsidP="00CA58E5">
            <w:pPr>
              <w:pStyle w:val="NlTable"/>
              <w:ind w:left="-49" w:right="139"/>
              <w:jc w:val="right"/>
            </w:pPr>
            <w:r w:rsidRPr="005457F2">
              <w:t>132</w:t>
            </w:r>
          </w:p>
        </w:tc>
        <w:tc>
          <w:tcPr>
            <w:tcW w:w="900" w:type="dxa"/>
            <w:tcBorders>
              <w:top w:val="nil"/>
              <w:left w:val="nil"/>
              <w:bottom w:val="nil"/>
              <w:right w:val="nil"/>
            </w:tcBorders>
            <w:shd w:val="clear" w:color="auto" w:fill="FFFFFF"/>
          </w:tcPr>
          <w:p w14:paraId="0E4516D7" w14:textId="77777777" w:rsidR="00457346" w:rsidRPr="005457F2" w:rsidRDefault="00457346" w:rsidP="00685A51">
            <w:pPr>
              <w:pStyle w:val="NlTable"/>
              <w:jc w:val="center"/>
            </w:pPr>
            <w:r w:rsidRPr="005457F2">
              <w:t>117</w:t>
            </w:r>
          </w:p>
        </w:tc>
        <w:tc>
          <w:tcPr>
            <w:tcW w:w="1350" w:type="dxa"/>
            <w:tcBorders>
              <w:top w:val="nil"/>
              <w:left w:val="nil"/>
              <w:bottom w:val="nil"/>
              <w:right w:val="nil"/>
            </w:tcBorders>
            <w:shd w:val="clear" w:color="auto" w:fill="FFFFFF"/>
          </w:tcPr>
          <w:p w14:paraId="0B89EC0F" w14:textId="77777777" w:rsidR="00457346" w:rsidRPr="005457F2" w:rsidRDefault="00457346" w:rsidP="00450FB1">
            <w:pPr>
              <w:pStyle w:val="NlTable"/>
              <w:ind w:right="302"/>
              <w:jc w:val="right"/>
            </w:pPr>
            <w:r w:rsidRPr="005457F2">
              <w:t>15</w:t>
            </w:r>
          </w:p>
        </w:tc>
        <w:tc>
          <w:tcPr>
            <w:tcW w:w="1350" w:type="dxa"/>
            <w:tcBorders>
              <w:top w:val="nil"/>
              <w:left w:val="nil"/>
              <w:bottom w:val="nil"/>
              <w:right w:val="nil"/>
            </w:tcBorders>
            <w:shd w:val="clear" w:color="auto" w:fill="FFFFFF"/>
          </w:tcPr>
          <w:p w14:paraId="4531A688" w14:textId="77777777" w:rsidR="00457346" w:rsidRPr="005457F2" w:rsidRDefault="00EB6068" w:rsidP="00685A51">
            <w:pPr>
              <w:pStyle w:val="NlTable"/>
              <w:jc w:val="center"/>
            </w:pPr>
            <w:r>
              <w:t>124.5</w:t>
            </w:r>
          </w:p>
        </w:tc>
        <w:tc>
          <w:tcPr>
            <w:tcW w:w="1170" w:type="dxa"/>
            <w:tcBorders>
              <w:top w:val="nil"/>
              <w:left w:val="nil"/>
              <w:bottom w:val="nil"/>
              <w:right w:val="nil"/>
            </w:tcBorders>
            <w:shd w:val="clear" w:color="auto" w:fill="FFFFFF"/>
          </w:tcPr>
          <w:p w14:paraId="1CCE9A42" w14:textId="77777777" w:rsidR="00457346" w:rsidRPr="005457F2" w:rsidRDefault="00457346" w:rsidP="00685A51">
            <w:pPr>
              <w:pStyle w:val="NlTable"/>
              <w:jc w:val="center"/>
            </w:pPr>
            <w:r w:rsidRPr="005457F2">
              <w:t>10.6</w:t>
            </w:r>
          </w:p>
        </w:tc>
        <w:tc>
          <w:tcPr>
            <w:tcW w:w="1170" w:type="dxa"/>
            <w:tcBorders>
              <w:top w:val="nil"/>
              <w:left w:val="nil"/>
              <w:bottom w:val="nil"/>
              <w:right w:val="nil"/>
            </w:tcBorders>
            <w:shd w:val="clear" w:color="auto" w:fill="FFFFFF"/>
          </w:tcPr>
          <w:p w14:paraId="3D008A34" w14:textId="77777777" w:rsidR="00457346" w:rsidRPr="005457F2" w:rsidRDefault="00457346" w:rsidP="00925B92">
            <w:pPr>
              <w:pStyle w:val="NlTable"/>
              <w:ind w:right="-112"/>
              <w:jc w:val="center"/>
            </w:pPr>
            <w:r w:rsidRPr="005457F2">
              <w:t>8.5%</w:t>
            </w:r>
          </w:p>
        </w:tc>
      </w:tr>
      <w:tr w:rsidR="00685A51" w:rsidRPr="005457F2" w14:paraId="70D6B8F5" w14:textId="77777777">
        <w:trPr>
          <w:trHeight w:val="20"/>
        </w:trPr>
        <w:tc>
          <w:tcPr>
            <w:tcW w:w="1260" w:type="dxa"/>
            <w:tcBorders>
              <w:top w:val="nil"/>
              <w:left w:val="nil"/>
              <w:bottom w:val="nil"/>
              <w:right w:val="nil"/>
            </w:tcBorders>
            <w:shd w:val="clear" w:color="auto" w:fill="FFFFFF"/>
          </w:tcPr>
          <w:p w14:paraId="41073FDC" w14:textId="77777777" w:rsidR="00457346" w:rsidRPr="005457F2" w:rsidRDefault="00457346" w:rsidP="00457346">
            <w:pPr>
              <w:pStyle w:val="NlTable"/>
              <w:rPr>
                <w:b/>
              </w:rPr>
            </w:pPr>
            <w:r w:rsidRPr="005457F2">
              <w:rPr>
                <w:b/>
              </w:rPr>
              <w:t>13</w:t>
            </w:r>
          </w:p>
        </w:tc>
        <w:tc>
          <w:tcPr>
            <w:tcW w:w="990" w:type="dxa"/>
            <w:tcBorders>
              <w:top w:val="nil"/>
              <w:left w:val="nil"/>
              <w:bottom w:val="nil"/>
              <w:right w:val="nil"/>
            </w:tcBorders>
            <w:shd w:val="clear" w:color="auto" w:fill="FFFFFF"/>
          </w:tcPr>
          <w:p w14:paraId="4E29ACE5" w14:textId="77777777" w:rsidR="00457346" w:rsidRPr="005457F2" w:rsidRDefault="00457346" w:rsidP="00CA58E5">
            <w:pPr>
              <w:pStyle w:val="NlTable"/>
              <w:ind w:left="-49" w:right="139"/>
              <w:jc w:val="right"/>
            </w:pPr>
            <w:r w:rsidRPr="005457F2">
              <w:t>174</w:t>
            </w:r>
          </w:p>
        </w:tc>
        <w:tc>
          <w:tcPr>
            <w:tcW w:w="900" w:type="dxa"/>
            <w:tcBorders>
              <w:top w:val="nil"/>
              <w:left w:val="nil"/>
              <w:bottom w:val="nil"/>
              <w:right w:val="nil"/>
            </w:tcBorders>
            <w:shd w:val="clear" w:color="auto" w:fill="FFFFFF"/>
          </w:tcPr>
          <w:p w14:paraId="2FDA9C18" w14:textId="77777777" w:rsidR="00457346" w:rsidRPr="005457F2" w:rsidRDefault="00457346" w:rsidP="00685A51">
            <w:pPr>
              <w:pStyle w:val="NlTable"/>
              <w:jc w:val="center"/>
            </w:pPr>
            <w:r w:rsidRPr="005457F2">
              <w:t>199</w:t>
            </w:r>
          </w:p>
        </w:tc>
        <w:tc>
          <w:tcPr>
            <w:tcW w:w="1350" w:type="dxa"/>
            <w:tcBorders>
              <w:top w:val="nil"/>
              <w:left w:val="nil"/>
              <w:bottom w:val="nil"/>
              <w:right w:val="nil"/>
            </w:tcBorders>
            <w:shd w:val="clear" w:color="auto" w:fill="FFFFFF"/>
          </w:tcPr>
          <w:p w14:paraId="70A30275" w14:textId="77777777" w:rsidR="00457346" w:rsidRPr="005457F2" w:rsidRDefault="006C0442" w:rsidP="00450FB1">
            <w:pPr>
              <w:pStyle w:val="NlTable"/>
              <w:ind w:right="302"/>
              <w:jc w:val="right"/>
            </w:pPr>
            <w:r w:rsidRPr="005457F2">
              <w:t>−</w:t>
            </w:r>
            <w:r w:rsidR="00457346" w:rsidRPr="005457F2">
              <w:t>25</w:t>
            </w:r>
          </w:p>
        </w:tc>
        <w:tc>
          <w:tcPr>
            <w:tcW w:w="1350" w:type="dxa"/>
            <w:tcBorders>
              <w:top w:val="nil"/>
              <w:left w:val="nil"/>
              <w:bottom w:val="nil"/>
              <w:right w:val="nil"/>
            </w:tcBorders>
            <w:shd w:val="clear" w:color="auto" w:fill="FFFFFF"/>
          </w:tcPr>
          <w:p w14:paraId="38A2361E" w14:textId="77777777" w:rsidR="00457346" w:rsidRPr="005457F2" w:rsidRDefault="00EB6068" w:rsidP="00685A51">
            <w:pPr>
              <w:pStyle w:val="NlTable"/>
              <w:jc w:val="center"/>
            </w:pPr>
            <w:r>
              <w:t>186.5</w:t>
            </w:r>
          </w:p>
        </w:tc>
        <w:tc>
          <w:tcPr>
            <w:tcW w:w="1170" w:type="dxa"/>
            <w:tcBorders>
              <w:top w:val="nil"/>
              <w:left w:val="nil"/>
              <w:bottom w:val="nil"/>
              <w:right w:val="nil"/>
            </w:tcBorders>
            <w:shd w:val="clear" w:color="auto" w:fill="FFFFFF"/>
          </w:tcPr>
          <w:p w14:paraId="4203013A" w14:textId="77777777" w:rsidR="00457346" w:rsidRPr="005457F2" w:rsidRDefault="00457346" w:rsidP="00685A51">
            <w:pPr>
              <w:pStyle w:val="NlTable"/>
              <w:jc w:val="center"/>
            </w:pPr>
            <w:r w:rsidRPr="005457F2">
              <w:t>17.7</w:t>
            </w:r>
          </w:p>
        </w:tc>
        <w:tc>
          <w:tcPr>
            <w:tcW w:w="1170" w:type="dxa"/>
            <w:tcBorders>
              <w:top w:val="nil"/>
              <w:left w:val="nil"/>
              <w:bottom w:val="nil"/>
              <w:right w:val="nil"/>
            </w:tcBorders>
            <w:shd w:val="clear" w:color="auto" w:fill="FFFFFF"/>
          </w:tcPr>
          <w:p w14:paraId="0852F03B" w14:textId="77777777" w:rsidR="00457346" w:rsidRPr="005457F2" w:rsidRDefault="00457346" w:rsidP="00925B92">
            <w:pPr>
              <w:pStyle w:val="NlTable"/>
              <w:ind w:right="-112"/>
              <w:jc w:val="center"/>
            </w:pPr>
            <w:r w:rsidRPr="005457F2">
              <w:t>9.5%</w:t>
            </w:r>
          </w:p>
        </w:tc>
      </w:tr>
      <w:tr w:rsidR="00685A51" w:rsidRPr="005457F2" w14:paraId="1A5B759B" w14:textId="77777777">
        <w:trPr>
          <w:trHeight w:val="20"/>
        </w:trPr>
        <w:tc>
          <w:tcPr>
            <w:tcW w:w="1260" w:type="dxa"/>
            <w:tcBorders>
              <w:top w:val="nil"/>
              <w:left w:val="nil"/>
              <w:bottom w:val="nil"/>
              <w:right w:val="nil"/>
            </w:tcBorders>
            <w:shd w:val="clear" w:color="auto" w:fill="FFFFFF"/>
          </w:tcPr>
          <w:p w14:paraId="788291AD" w14:textId="77777777" w:rsidR="00457346" w:rsidRPr="005457F2" w:rsidRDefault="00457346" w:rsidP="00457346">
            <w:pPr>
              <w:pStyle w:val="NlTable"/>
              <w:rPr>
                <w:b/>
              </w:rPr>
            </w:pPr>
            <w:r w:rsidRPr="005457F2">
              <w:rPr>
                <w:b/>
              </w:rPr>
              <w:t>14</w:t>
            </w:r>
          </w:p>
        </w:tc>
        <w:tc>
          <w:tcPr>
            <w:tcW w:w="990" w:type="dxa"/>
            <w:tcBorders>
              <w:top w:val="nil"/>
              <w:left w:val="nil"/>
              <w:bottom w:val="nil"/>
              <w:right w:val="nil"/>
            </w:tcBorders>
            <w:shd w:val="clear" w:color="auto" w:fill="FFFFFF"/>
          </w:tcPr>
          <w:p w14:paraId="441B91A8" w14:textId="77777777" w:rsidR="00457346" w:rsidRPr="005457F2" w:rsidRDefault="00457346" w:rsidP="00CA58E5">
            <w:pPr>
              <w:pStyle w:val="NlTable"/>
              <w:ind w:left="-49" w:right="139"/>
              <w:jc w:val="right"/>
            </w:pPr>
            <w:r w:rsidRPr="005457F2">
              <w:t>233</w:t>
            </w:r>
          </w:p>
        </w:tc>
        <w:tc>
          <w:tcPr>
            <w:tcW w:w="900" w:type="dxa"/>
            <w:tcBorders>
              <w:top w:val="nil"/>
              <w:left w:val="nil"/>
              <w:bottom w:val="nil"/>
              <w:right w:val="nil"/>
            </w:tcBorders>
            <w:shd w:val="clear" w:color="auto" w:fill="FFFFFF"/>
          </w:tcPr>
          <w:p w14:paraId="70AFC4F4" w14:textId="77777777" w:rsidR="00457346" w:rsidRPr="005457F2" w:rsidRDefault="00457346" w:rsidP="00685A51">
            <w:pPr>
              <w:pStyle w:val="NlTable"/>
              <w:jc w:val="center"/>
            </w:pPr>
            <w:r w:rsidRPr="005457F2">
              <w:t>277</w:t>
            </w:r>
          </w:p>
        </w:tc>
        <w:tc>
          <w:tcPr>
            <w:tcW w:w="1350" w:type="dxa"/>
            <w:tcBorders>
              <w:top w:val="nil"/>
              <w:left w:val="nil"/>
              <w:bottom w:val="nil"/>
              <w:right w:val="nil"/>
            </w:tcBorders>
            <w:shd w:val="clear" w:color="auto" w:fill="FFFFFF"/>
          </w:tcPr>
          <w:p w14:paraId="2223A633" w14:textId="77777777" w:rsidR="00457346" w:rsidRPr="005457F2" w:rsidRDefault="006C0442" w:rsidP="00450FB1">
            <w:pPr>
              <w:pStyle w:val="NlTable"/>
              <w:ind w:right="302"/>
              <w:jc w:val="right"/>
            </w:pPr>
            <w:r w:rsidRPr="005457F2">
              <w:t>−</w:t>
            </w:r>
            <w:r w:rsidR="00457346" w:rsidRPr="005457F2">
              <w:t>44</w:t>
            </w:r>
          </w:p>
        </w:tc>
        <w:tc>
          <w:tcPr>
            <w:tcW w:w="1350" w:type="dxa"/>
            <w:tcBorders>
              <w:top w:val="nil"/>
              <w:left w:val="nil"/>
              <w:bottom w:val="nil"/>
              <w:right w:val="nil"/>
            </w:tcBorders>
            <w:shd w:val="clear" w:color="auto" w:fill="FFFFFF"/>
          </w:tcPr>
          <w:p w14:paraId="4CABB92F" w14:textId="77777777" w:rsidR="00457346" w:rsidRPr="005457F2" w:rsidRDefault="00EB6068" w:rsidP="00BB6A3A">
            <w:pPr>
              <w:pStyle w:val="NlTable"/>
              <w:ind w:right="158"/>
              <w:jc w:val="center"/>
            </w:pPr>
            <w:r>
              <w:t>255</w:t>
            </w:r>
          </w:p>
        </w:tc>
        <w:tc>
          <w:tcPr>
            <w:tcW w:w="1170" w:type="dxa"/>
            <w:tcBorders>
              <w:top w:val="nil"/>
              <w:left w:val="nil"/>
              <w:bottom w:val="nil"/>
              <w:right w:val="nil"/>
            </w:tcBorders>
            <w:shd w:val="clear" w:color="auto" w:fill="FFFFFF"/>
          </w:tcPr>
          <w:p w14:paraId="72EC24ED" w14:textId="77777777" w:rsidR="00457346" w:rsidRPr="005457F2" w:rsidRDefault="00457346" w:rsidP="00685A51">
            <w:pPr>
              <w:pStyle w:val="NlTable"/>
              <w:jc w:val="center"/>
            </w:pPr>
            <w:r w:rsidRPr="005457F2">
              <w:t>31.1</w:t>
            </w:r>
          </w:p>
        </w:tc>
        <w:tc>
          <w:tcPr>
            <w:tcW w:w="1170" w:type="dxa"/>
            <w:tcBorders>
              <w:top w:val="nil"/>
              <w:left w:val="nil"/>
              <w:bottom w:val="nil"/>
              <w:right w:val="nil"/>
            </w:tcBorders>
            <w:shd w:val="clear" w:color="auto" w:fill="FFFFFF"/>
          </w:tcPr>
          <w:p w14:paraId="685184AB" w14:textId="77777777" w:rsidR="00457346" w:rsidRPr="005457F2" w:rsidRDefault="00457346" w:rsidP="00685A51">
            <w:pPr>
              <w:pStyle w:val="NlTable"/>
              <w:jc w:val="center"/>
            </w:pPr>
            <w:r w:rsidRPr="005457F2">
              <w:t>12.2%</w:t>
            </w:r>
          </w:p>
        </w:tc>
      </w:tr>
      <w:tr w:rsidR="00685A51" w:rsidRPr="005457F2" w14:paraId="5FDEEB62" w14:textId="77777777">
        <w:trPr>
          <w:trHeight w:val="20"/>
        </w:trPr>
        <w:tc>
          <w:tcPr>
            <w:tcW w:w="1260" w:type="dxa"/>
            <w:tcBorders>
              <w:top w:val="nil"/>
              <w:left w:val="nil"/>
              <w:bottom w:val="nil"/>
              <w:right w:val="nil"/>
            </w:tcBorders>
            <w:shd w:val="clear" w:color="auto" w:fill="FFFFFF"/>
          </w:tcPr>
          <w:p w14:paraId="41BB7AD9" w14:textId="77777777" w:rsidR="00457346" w:rsidRPr="005457F2" w:rsidRDefault="00457346" w:rsidP="00457346">
            <w:pPr>
              <w:pStyle w:val="NlTable"/>
              <w:rPr>
                <w:b/>
              </w:rPr>
            </w:pPr>
            <w:r w:rsidRPr="005457F2">
              <w:rPr>
                <w:b/>
              </w:rPr>
              <w:lastRenderedPageBreak/>
              <w:t>15</w:t>
            </w:r>
          </w:p>
        </w:tc>
        <w:tc>
          <w:tcPr>
            <w:tcW w:w="990" w:type="dxa"/>
            <w:tcBorders>
              <w:top w:val="nil"/>
              <w:left w:val="nil"/>
              <w:bottom w:val="nil"/>
              <w:right w:val="nil"/>
            </w:tcBorders>
            <w:shd w:val="clear" w:color="auto" w:fill="FFFFFF"/>
          </w:tcPr>
          <w:p w14:paraId="5064B1DF" w14:textId="77777777" w:rsidR="00457346" w:rsidRPr="005457F2" w:rsidRDefault="00457346" w:rsidP="00CA58E5">
            <w:pPr>
              <w:pStyle w:val="NlTable"/>
              <w:ind w:left="-49" w:right="139"/>
              <w:jc w:val="right"/>
            </w:pPr>
            <w:r w:rsidRPr="005457F2">
              <w:t>371</w:t>
            </w:r>
          </w:p>
        </w:tc>
        <w:tc>
          <w:tcPr>
            <w:tcW w:w="900" w:type="dxa"/>
            <w:tcBorders>
              <w:top w:val="nil"/>
              <w:left w:val="nil"/>
              <w:bottom w:val="nil"/>
              <w:right w:val="nil"/>
            </w:tcBorders>
            <w:shd w:val="clear" w:color="auto" w:fill="FFFFFF"/>
          </w:tcPr>
          <w:p w14:paraId="42088616" w14:textId="77777777" w:rsidR="00457346" w:rsidRPr="005457F2" w:rsidRDefault="00457346" w:rsidP="00685A51">
            <w:pPr>
              <w:pStyle w:val="NlTable"/>
              <w:jc w:val="center"/>
            </w:pPr>
            <w:r w:rsidRPr="005457F2">
              <w:t>332</w:t>
            </w:r>
          </w:p>
        </w:tc>
        <w:tc>
          <w:tcPr>
            <w:tcW w:w="1350" w:type="dxa"/>
            <w:tcBorders>
              <w:top w:val="nil"/>
              <w:left w:val="nil"/>
              <w:bottom w:val="nil"/>
              <w:right w:val="nil"/>
            </w:tcBorders>
            <w:shd w:val="clear" w:color="auto" w:fill="FFFFFF"/>
          </w:tcPr>
          <w:p w14:paraId="5C0CDE2C" w14:textId="77777777" w:rsidR="00457346" w:rsidRPr="005457F2" w:rsidRDefault="00457346" w:rsidP="00450FB1">
            <w:pPr>
              <w:pStyle w:val="NlTable"/>
              <w:ind w:right="302"/>
              <w:jc w:val="right"/>
            </w:pPr>
            <w:r w:rsidRPr="005457F2">
              <w:t>39</w:t>
            </w:r>
          </w:p>
        </w:tc>
        <w:tc>
          <w:tcPr>
            <w:tcW w:w="1350" w:type="dxa"/>
            <w:tcBorders>
              <w:top w:val="nil"/>
              <w:left w:val="nil"/>
              <w:bottom w:val="nil"/>
              <w:right w:val="nil"/>
            </w:tcBorders>
            <w:shd w:val="clear" w:color="auto" w:fill="FFFFFF"/>
          </w:tcPr>
          <w:p w14:paraId="74B41233" w14:textId="77777777" w:rsidR="00457346" w:rsidRPr="005457F2" w:rsidRDefault="00EB6068" w:rsidP="003E0F84">
            <w:pPr>
              <w:pStyle w:val="NlTable"/>
              <w:ind w:right="-85"/>
              <w:jc w:val="center"/>
            </w:pPr>
            <w:r>
              <w:t>351.5</w:t>
            </w:r>
          </w:p>
        </w:tc>
        <w:tc>
          <w:tcPr>
            <w:tcW w:w="1170" w:type="dxa"/>
            <w:tcBorders>
              <w:top w:val="nil"/>
              <w:left w:val="nil"/>
              <w:bottom w:val="nil"/>
              <w:right w:val="nil"/>
            </w:tcBorders>
            <w:shd w:val="clear" w:color="auto" w:fill="FFFFFF"/>
          </w:tcPr>
          <w:p w14:paraId="3B2B3506" w14:textId="77777777" w:rsidR="00457346" w:rsidRPr="005457F2" w:rsidRDefault="00457346" w:rsidP="00685A51">
            <w:pPr>
              <w:pStyle w:val="NlTable"/>
              <w:jc w:val="center"/>
            </w:pPr>
            <w:r w:rsidRPr="005457F2">
              <w:t>27.6</w:t>
            </w:r>
          </w:p>
        </w:tc>
        <w:tc>
          <w:tcPr>
            <w:tcW w:w="1170" w:type="dxa"/>
            <w:tcBorders>
              <w:top w:val="nil"/>
              <w:left w:val="nil"/>
              <w:bottom w:val="nil"/>
              <w:right w:val="nil"/>
            </w:tcBorders>
            <w:shd w:val="clear" w:color="auto" w:fill="FFFFFF"/>
          </w:tcPr>
          <w:p w14:paraId="039E02D2" w14:textId="77777777" w:rsidR="00457346" w:rsidRPr="005457F2" w:rsidRDefault="00457346" w:rsidP="00586C36">
            <w:pPr>
              <w:pStyle w:val="NlTable"/>
              <w:ind w:right="-130"/>
              <w:jc w:val="center"/>
            </w:pPr>
            <w:r w:rsidRPr="005457F2">
              <w:t>7.8%</w:t>
            </w:r>
          </w:p>
        </w:tc>
      </w:tr>
      <w:tr w:rsidR="00685A51" w:rsidRPr="005457F2" w14:paraId="79BB4149" w14:textId="77777777">
        <w:trPr>
          <w:trHeight w:val="20"/>
        </w:trPr>
        <w:tc>
          <w:tcPr>
            <w:tcW w:w="1260" w:type="dxa"/>
            <w:tcBorders>
              <w:top w:val="nil"/>
              <w:left w:val="nil"/>
              <w:bottom w:val="nil"/>
              <w:right w:val="nil"/>
            </w:tcBorders>
            <w:shd w:val="clear" w:color="auto" w:fill="FFFFFF"/>
          </w:tcPr>
          <w:p w14:paraId="05F8F82E" w14:textId="77777777" w:rsidR="00457346" w:rsidRPr="005457F2" w:rsidRDefault="00457346" w:rsidP="00457346">
            <w:pPr>
              <w:pStyle w:val="NlTable"/>
              <w:rPr>
                <w:b/>
              </w:rPr>
            </w:pPr>
            <w:r w:rsidRPr="005457F2">
              <w:rPr>
                <w:b/>
              </w:rPr>
              <w:t>16</w:t>
            </w:r>
          </w:p>
        </w:tc>
        <w:tc>
          <w:tcPr>
            <w:tcW w:w="990" w:type="dxa"/>
            <w:tcBorders>
              <w:top w:val="nil"/>
              <w:left w:val="nil"/>
              <w:bottom w:val="nil"/>
              <w:right w:val="nil"/>
            </w:tcBorders>
            <w:shd w:val="clear" w:color="auto" w:fill="FFFFFF"/>
          </w:tcPr>
          <w:p w14:paraId="3B55AD91" w14:textId="77777777" w:rsidR="00457346" w:rsidRPr="005457F2" w:rsidRDefault="00457346" w:rsidP="00CA58E5">
            <w:pPr>
              <w:pStyle w:val="NlTable"/>
              <w:ind w:left="-49" w:right="139"/>
              <w:jc w:val="right"/>
            </w:pPr>
            <w:r w:rsidRPr="005457F2">
              <w:t>364</w:t>
            </w:r>
          </w:p>
        </w:tc>
        <w:tc>
          <w:tcPr>
            <w:tcW w:w="900" w:type="dxa"/>
            <w:tcBorders>
              <w:top w:val="nil"/>
              <w:left w:val="nil"/>
              <w:bottom w:val="nil"/>
              <w:right w:val="nil"/>
            </w:tcBorders>
            <w:shd w:val="clear" w:color="auto" w:fill="FFFFFF"/>
          </w:tcPr>
          <w:p w14:paraId="60F057A2" w14:textId="77777777" w:rsidR="00457346" w:rsidRPr="005457F2" w:rsidRDefault="00457346" w:rsidP="00685A51">
            <w:pPr>
              <w:pStyle w:val="NlTable"/>
              <w:jc w:val="center"/>
            </w:pPr>
            <w:r w:rsidRPr="005457F2">
              <w:t>421</w:t>
            </w:r>
          </w:p>
        </w:tc>
        <w:tc>
          <w:tcPr>
            <w:tcW w:w="1350" w:type="dxa"/>
            <w:tcBorders>
              <w:top w:val="nil"/>
              <w:left w:val="nil"/>
              <w:bottom w:val="nil"/>
              <w:right w:val="nil"/>
            </w:tcBorders>
            <w:shd w:val="clear" w:color="auto" w:fill="FFFFFF"/>
          </w:tcPr>
          <w:p w14:paraId="7F5ED862" w14:textId="77777777" w:rsidR="00457346" w:rsidRPr="005457F2" w:rsidRDefault="006C0442" w:rsidP="00450FB1">
            <w:pPr>
              <w:pStyle w:val="NlTable"/>
              <w:ind w:right="302"/>
              <w:jc w:val="right"/>
            </w:pPr>
            <w:r w:rsidRPr="005457F2">
              <w:t>−</w:t>
            </w:r>
            <w:r w:rsidR="00457346" w:rsidRPr="005457F2">
              <w:t>57</w:t>
            </w:r>
          </w:p>
        </w:tc>
        <w:tc>
          <w:tcPr>
            <w:tcW w:w="1350" w:type="dxa"/>
            <w:tcBorders>
              <w:top w:val="nil"/>
              <w:left w:val="nil"/>
              <w:bottom w:val="nil"/>
              <w:right w:val="nil"/>
            </w:tcBorders>
            <w:shd w:val="clear" w:color="auto" w:fill="FFFFFF"/>
          </w:tcPr>
          <w:p w14:paraId="74A03570" w14:textId="77777777" w:rsidR="00457346" w:rsidRPr="005457F2" w:rsidRDefault="00EB6068" w:rsidP="00685A51">
            <w:pPr>
              <w:pStyle w:val="NlTable"/>
              <w:jc w:val="center"/>
            </w:pPr>
            <w:r>
              <w:t>392.5</w:t>
            </w:r>
          </w:p>
        </w:tc>
        <w:tc>
          <w:tcPr>
            <w:tcW w:w="1170" w:type="dxa"/>
            <w:tcBorders>
              <w:top w:val="nil"/>
              <w:left w:val="nil"/>
              <w:bottom w:val="nil"/>
              <w:right w:val="nil"/>
            </w:tcBorders>
            <w:shd w:val="clear" w:color="auto" w:fill="FFFFFF"/>
          </w:tcPr>
          <w:p w14:paraId="412F040C" w14:textId="77777777" w:rsidR="00457346" w:rsidRPr="005457F2" w:rsidRDefault="00457346" w:rsidP="00685A51">
            <w:pPr>
              <w:pStyle w:val="NlTable"/>
              <w:jc w:val="center"/>
            </w:pPr>
            <w:r w:rsidRPr="005457F2">
              <w:t>40.3</w:t>
            </w:r>
          </w:p>
        </w:tc>
        <w:tc>
          <w:tcPr>
            <w:tcW w:w="1170" w:type="dxa"/>
            <w:tcBorders>
              <w:top w:val="nil"/>
              <w:left w:val="nil"/>
              <w:bottom w:val="nil"/>
              <w:right w:val="nil"/>
            </w:tcBorders>
            <w:shd w:val="clear" w:color="auto" w:fill="FFFFFF"/>
          </w:tcPr>
          <w:p w14:paraId="43BB0BAA" w14:textId="77777777" w:rsidR="00457346" w:rsidRPr="005457F2" w:rsidRDefault="00457346" w:rsidP="00685A51">
            <w:pPr>
              <w:pStyle w:val="NlTable"/>
              <w:jc w:val="center"/>
            </w:pPr>
            <w:r w:rsidRPr="005457F2">
              <w:t>10.3%</w:t>
            </w:r>
          </w:p>
        </w:tc>
      </w:tr>
      <w:tr w:rsidR="00685A51" w:rsidRPr="005457F2" w14:paraId="47FD3381" w14:textId="77777777">
        <w:trPr>
          <w:trHeight w:val="20"/>
        </w:trPr>
        <w:tc>
          <w:tcPr>
            <w:tcW w:w="1260" w:type="dxa"/>
            <w:tcBorders>
              <w:top w:val="nil"/>
              <w:left w:val="nil"/>
              <w:bottom w:val="nil"/>
              <w:right w:val="nil"/>
            </w:tcBorders>
            <w:shd w:val="clear" w:color="auto" w:fill="FFFFFF"/>
          </w:tcPr>
          <w:p w14:paraId="1FC48721" w14:textId="77777777" w:rsidR="00457346" w:rsidRPr="005457F2" w:rsidRDefault="00457346" w:rsidP="00457346">
            <w:pPr>
              <w:pStyle w:val="NlTable"/>
              <w:rPr>
                <w:b/>
              </w:rPr>
            </w:pPr>
            <w:r w:rsidRPr="005457F2">
              <w:rPr>
                <w:b/>
              </w:rPr>
              <w:t>17</w:t>
            </w:r>
          </w:p>
        </w:tc>
        <w:tc>
          <w:tcPr>
            <w:tcW w:w="990" w:type="dxa"/>
            <w:tcBorders>
              <w:top w:val="nil"/>
              <w:left w:val="nil"/>
              <w:bottom w:val="nil"/>
              <w:right w:val="nil"/>
            </w:tcBorders>
            <w:shd w:val="clear" w:color="auto" w:fill="FFFFFF"/>
          </w:tcPr>
          <w:p w14:paraId="5180CF55" w14:textId="77777777" w:rsidR="00457346" w:rsidRPr="005457F2" w:rsidRDefault="00457346" w:rsidP="00CA58E5">
            <w:pPr>
              <w:pStyle w:val="NlTable"/>
              <w:ind w:left="-49" w:right="139"/>
              <w:jc w:val="right"/>
            </w:pPr>
            <w:r w:rsidRPr="005457F2">
              <w:t>465</w:t>
            </w:r>
          </w:p>
        </w:tc>
        <w:tc>
          <w:tcPr>
            <w:tcW w:w="900" w:type="dxa"/>
            <w:tcBorders>
              <w:top w:val="nil"/>
              <w:left w:val="nil"/>
              <w:bottom w:val="nil"/>
              <w:right w:val="nil"/>
            </w:tcBorders>
            <w:shd w:val="clear" w:color="auto" w:fill="FFFFFF"/>
          </w:tcPr>
          <w:p w14:paraId="559EE19E" w14:textId="77777777" w:rsidR="00457346" w:rsidRPr="005457F2" w:rsidRDefault="00457346" w:rsidP="00685A51">
            <w:pPr>
              <w:pStyle w:val="NlTable"/>
              <w:jc w:val="center"/>
            </w:pPr>
            <w:r w:rsidRPr="005457F2">
              <w:t>397</w:t>
            </w:r>
          </w:p>
        </w:tc>
        <w:tc>
          <w:tcPr>
            <w:tcW w:w="1350" w:type="dxa"/>
            <w:tcBorders>
              <w:top w:val="nil"/>
              <w:left w:val="nil"/>
              <w:bottom w:val="nil"/>
              <w:right w:val="nil"/>
            </w:tcBorders>
            <w:shd w:val="clear" w:color="auto" w:fill="FFFFFF"/>
          </w:tcPr>
          <w:p w14:paraId="4B426043" w14:textId="77777777" w:rsidR="00457346" w:rsidRPr="005457F2" w:rsidRDefault="00457346" w:rsidP="00450FB1">
            <w:pPr>
              <w:pStyle w:val="NlTable"/>
              <w:ind w:right="302"/>
              <w:jc w:val="right"/>
            </w:pPr>
            <w:r w:rsidRPr="005457F2">
              <w:t>68</w:t>
            </w:r>
          </w:p>
        </w:tc>
        <w:tc>
          <w:tcPr>
            <w:tcW w:w="1350" w:type="dxa"/>
            <w:tcBorders>
              <w:top w:val="nil"/>
              <w:left w:val="nil"/>
              <w:bottom w:val="nil"/>
              <w:right w:val="nil"/>
            </w:tcBorders>
            <w:shd w:val="clear" w:color="auto" w:fill="FFFFFF"/>
          </w:tcPr>
          <w:p w14:paraId="4C73B977" w14:textId="77777777" w:rsidR="00457346" w:rsidRPr="005457F2" w:rsidRDefault="00EB6068" w:rsidP="00D9657C">
            <w:pPr>
              <w:pStyle w:val="NlTable"/>
              <w:ind w:right="122"/>
              <w:jc w:val="center"/>
            </w:pPr>
            <w:r>
              <w:t>431</w:t>
            </w:r>
          </w:p>
        </w:tc>
        <w:tc>
          <w:tcPr>
            <w:tcW w:w="1170" w:type="dxa"/>
            <w:tcBorders>
              <w:top w:val="nil"/>
              <w:left w:val="nil"/>
              <w:bottom w:val="nil"/>
              <w:right w:val="nil"/>
            </w:tcBorders>
            <w:shd w:val="clear" w:color="auto" w:fill="FFFFFF"/>
          </w:tcPr>
          <w:p w14:paraId="0E9EDCE1" w14:textId="77777777" w:rsidR="00457346" w:rsidRPr="005457F2" w:rsidRDefault="00457346" w:rsidP="00685A51">
            <w:pPr>
              <w:pStyle w:val="NlTable"/>
              <w:jc w:val="center"/>
            </w:pPr>
            <w:r w:rsidRPr="005457F2">
              <w:t>48.1</w:t>
            </w:r>
          </w:p>
        </w:tc>
        <w:tc>
          <w:tcPr>
            <w:tcW w:w="1170" w:type="dxa"/>
            <w:tcBorders>
              <w:top w:val="nil"/>
              <w:left w:val="nil"/>
              <w:bottom w:val="nil"/>
              <w:right w:val="nil"/>
            </w:tcBorders>
            <w:shd w:val="clear" w:color="auto" w:fill="FFFFFF"/>
          </w:tcPr>
          <w:p w14:paraId="7F8C649F" w14:textId="77777777" w:rsidR="00457346" w:rsidRPr="005457F2" w:rsidRDefault="00457346" w:rsidP="00685A51">
            <w:pPr>
              <w:pStyle w:val="NlTable"/>
              <w:jc w:val="center"/>
            </w:pPr>
            <w:r w:rsidRPr="005457F2">
              <w:t>11.2%</w:t>
            </w:r>
          </w:p>
        </w:tc>
      </w:tr>
      <w:tr w:rsidR="00685A51" w:rsidRPr="005457F2" w14:paraId="1562D8F6" w14:textId="77777777">
        <w:trPr>
          <w:trHeight w:val="20"/>
        </w:trPr>
        <w:tc>
          <w:tcPr>
            <w:tcW w:w="1260" w:type="dxa"/>
            <w:tcBorders>
              <w:top w:val="nil"/>
              <w:left w:val="nil"/>
              <w:bottom w:val="nil"/>
              <w:right w:val="nil"/>
            </w:tcBorders>
            <w:shd w:val="clear" w:color="auto" w:fill="FFFFFF"/>
          </w:tcPr>
          <w:p w14:paraId="57ADAC8F" w14:textId="77777777" w:rsidR="00457346" w:rsidRPr="005457F2" w:rsidRDefault="00457346" w:rsidP="00457346">
            <w:pPr>
              <w:pStyle w:val="NlTable"/>
              <w:rPr>
                <w:b/>
              </w:rPr>
            </w:pPr>
            <w:r w:rsidRPr="005457F2">
              <w:rPr>
                <w:b/>
              </w:rPr>
              <w:t>18</w:t>
            </w:r>
          </w:p>
        </w:tc>
        <w:tc>
          <w:tcPr>
            <w:tcW w:w="990" w:type="dxa"/>
            <w:tcBorders>
              <w:top w:val="nil"/>
              <w:left w:val="nil"/>
              <w:bottom w:val="nil"/>
              <w:right w:val="nil"/>
            </w:tcBorders>
            <w:shd w:val="clear" w:color="auto" w:fill="FFFFFF"/>
          </w:tcPr>
          <w:p w14:paraId="3CC1DBD7" w14:textId="77777777" w:rsidR="00457346" w:rsidRPr="005457F2" w:rsidRDefault="00457346" w:rsidP="00CA58E5">
            <w:pPr>
              <w:pStyle w:val="NlTable"/>
              <w:ind w:left="-49" w:right="139"/>
              <w:jc w:val="right"/>
            </w:pPr>
            <w:r w:rsidRPr="005457F2">
              <w:t>518</w:t>
            </w:r>
          </w:p>
        </w:tc>
        <w:tc>
          <w:tcPr>
            <w:tcW w:w="900" w:type="dxa"/>
            <w:tcBorders>
              <w:top w:val="nil"/>
              <w:left w:val="nil"/>
              <w:bottom w:val="nil"/>
              <w:right w:val="nil"/>
            </w:tcBorders>
            <w:shd w:val="clear" w:color="auto" w:fill="FFFFFF"/>
          </w:tcPr>
          <w:p w14:paraId="741BA48A" w14:textId="77777777" w:rsidR="00457346" w:rsidRPr="005457F2" w:rsidRDefault="00457346" w:rsidP="00685A51">
            <w:pPr>
              <w:pStyle w:val="NlTable"/>
              <w:jc w:val="center"/>
            </w:pPr>
            <w:r w:rsidRPr="005457F2">
              <w:t>446</w:t>
            </w:r>
          </w:p>
        </w:tc>
        <w:tc>
          <w:tcPr>
            <w:tcW w:w="1350" w:type="dxa"/>
            <w:tcBorders>
              <w:top w:val="nil"/>
              <w:left w:val="nil"/>
              <w:bottom w:val="nil"/>
              <w:right w:val="nil"/>
            </w:tcBorders>
            <w:shd w:val="clear" w:color="auto" w:fill="FFFFFF"/>
          </w:tcPr>
          <w:p w14:paraId="63842F60" w14:textId="77777777" w:rsidR="00457346" w:rsidRPr="005457F2" w:rsidRDefault="00457346" w:rsidP="00450FB1">
            <w:pPr>
              <w:pStyle w:val="NlTable"/>
              <w:ind w:right="302"/>
              <w:jc w:val="right"/>
            </w:pPr>
            <w:r w:rsidRPr="005457F2">
              <w:t>72</w:t>
            </w:r>
          </w:p>
        </w:tc>
        <w:tc>
          <w:tcPr>
            <w:tcW w:w="1350" w:type="dxa"/>
            <w:tcBorders>
              <w:top w:val="nil"/>
              <w:left w:val="nil"/>
              <w:bottom w:val="nil"/>
              <w:right w:val="nil"/>
            </w:tcBorders>
            <w:shd w:val="clear" w:color="auto" w:fill="FFFFFF"/>
          </w:tcPr>
          <w:p w14:paraId="611A6FC8" w14:textId="77777777" w:rsidR="00457346" w:rsidRPr="005457F2" w:rsidRDefault="00EB6068" w:rsidP="00D9657C">
            <w:pPr>
              <w:pStyle w:val="NlTable"/>
              <w:ind w:right="122"/>
              <w:jc w:val="center"/>
            </w:pPr>
            <w:r>
              <w:t>482</w:t>
            </w:r>
          </w:p>
        </w:tc>
        <w:tc>
          <w:tcPr>
            <w:tcW w:w="1170" w:type="dxa"/>
            <w:tcBorders>
              <w:top w:val="nil"/>
              <w:left w:val="nil"/>
              <w:bottom w:val="nil"/>
              <w:right w:val="nil"/>
            </w:tcBorders>
            <w:shd w:val="clear" w:color="auto" w:fill="FFFFFF"/>
          </w:tcPr>
          <w:p w14:paraId="4E3F39CD" w14:textId="77777777" w:rsidR="00457346" w:rsidRPr="005457F2" w:rsidRDefault="00457346" w:rsidP="00685A51">
            <w:pPr>
              <w:pStyle w:val="NlTable"/>
              <w:jc w:val="center"/>
            </w:pPr>
            <w:r w:rsidRPr="005457F2">
              <w:t>50.9</w:t>
            </w:r>
          </w:p>
        </w:tc>
        <w:tc>
          <w:tcPr>
            <w:tcW w:w="1170" w:type="dxa"/>
            <w:tcBorders>
              <w:top w:val="nil"/>
              <w:left w:val="nil"/>
              <w:bottom w:val="nil"/>
              <w:right w:val="nil"/>
            </w:tcBorders>
            <w:shd w:val="clear" w:color="auto" w:fill="FFFFFF"/>
          </w:tcPr>
          <w:p w14:paraId="6A9947C2" w14:textId="77777777" w:rsidR="00457346" w:rsidRPr="005457F2" w:rsidRDefault="00457346" w:rsidP="00685A51">
            <w:pPr>
              <w:pStyle w:val="NlTable"/>
              <w:jc w:val="center"/>
            </w:pPr>
            <w:r w:rsidRPr="005457F2">
              <w:t>10.6%</w:t>
            </w:r>
          </w:p>
        </w:tc>
      </w:tr>
      <w:tr w:rsidR="00685A51" w:rsidRPr="005457F2" w14:paraId="70E47197" w14:textId="77777777">
        <w:trPr>
          <w:trHeight w:val="20"/>
        </w:trPr>
        <w:tc>
          <w:tcPr>
            <w:tcW w:w="1260" w:type="dxa"/>
            <w:tcBorders>
              <w:top w:val="nil"/>
              <w:left w:val="nil"/>
              <w:bottom w:val="nil"/>
              <w:right w:val="nil"/>
            </w:tcBorders>
            <w:shd w:val="clear" w:color="auto" w:fill="FFFFFF"/>
          </w:tcPr>
          <w:p w14:paraId="0C2A1609" w14:textId="77777777" w:rsidR="00457346" w:rsidRPr="005457F2" w:rsidRDefault="00457346" w:rsidP="00457346">
            <w:pPr>
              <w:pStyle w:val="NlTable"/>
              <w:rPr>
                <w:b/>
              </w:rPr>
            </w:pPr>
            <w:r w:rsidRPr="005457F2">
              <w:rPr>
                <w:b/>
              </w:rPr>
              <w:t>19</w:t>
            </w:r>
          </w:p>
        </w:tc>
        <w:tc>
          <w:tcPr>
            <w:tcW w:w="990" w:type="dxa"/>
            <w:tcBorders>
              <w:top w:val="nil"/>
              <w:left w:val="nil"/>
              <w:bottom w:val="nil"/>
              <w:right w:val="nil"/>
            </w:tcBorders>
            <w:shd w:val="clear" w:color="auto" w:fill="FFFFFF"/>
          </w:tcPr>
          <w:p w14:paraId="459C0161" w14:textId="77777777" w:rsidR="00457346" w:rsidRPr="005457F2" w:rsidRDefault="00457346" w:rsidP="00CA58E5">
            <w:pPr>
              <w:pStyle w:val="NlTable"/>
              <w:ind w:left="-49" w:right="139"/>
              <w:jc w:val="right"/>
            </w:pPr>
            <w:r w:rsidRPr="005457F2">
              <w:t>606</w:t>
            </w:r>
          </w:p>
        </w:tc>
        <w:tc>
          <w:tcPr>
            <w:tcW w:w="900" w:type="dxa"/>
            <w:tcBorders>
              <w:top w:val="nil"/>
              <w:left w:val="nil"/>
              <w:bottom w:val="nil"/>
              <w:right w:val="nil"/>
            </w:tcBorders>
            <w:shd w:val="clear" w:color="auto" w:fill="FFFFFF"/>
          </w:tcPr>
          <w:p w14:paraId="0CEDC33A" w14:textId="77777777" w:rsidR="00457346" w:rsidRPr="005457F2" w:rsidRDefault="00457346" w:rsidP="00685A51">
            <w:pPr>
              <w:pStyle w:val="NlTable"/>
              <w:jc w:val="center"/>
            </w:pPr>
            <w:r w:rsidRPr="005457F2">
              <w:t>540</w:t>
            </w:r>
          </w:p>
        </w:tc>
        <w:tc>
          <w:tcPr>
            <w:tcW w:w="1350" w:type="dxa"/>
            <w:tcBorders>
              <w:top w:val="nil"/>
              <w:left w:val="nil"/>
              <w:bottom w:val="nil"/>
              <w:right w:val="nil"/>
            </w:tcBorders>
            <w:shd w:val="clear" w:color="auto" w:fill="FFFFFF"/>
          </w:tcPr>
          <w:p w14:paraId="18674B82" w14:textId="77777777" w:rsidR="00457346" w:rsidRPr="005457F2" w:rsidRDefault="00457346" w:rsidP="00450FB1">
            <w:pPr>
              <w:pStyle w:val="NlTable"/>
              <w:ind w:right="302"/>
              <w:jc w:val="right"/>
            </w:pPr>
            <w:r w:rsidRPr="005457F2">
              <w:t>66</w:t>
            </w:r>
          </w:p>
        </w:tc>
        <w:tc>
          <w:tcPr>
            <w:tcW w:w="1350" w:type="dxa"/>
            <w:tcBorders>
              <w:top w:val="nil"/>
              <w:left w:val="nil"/>
              <w:bottom w:val="nil"/>
              <w:right w:val="nil"/>
            </w:tcBorders>
            <w:shd w:val="clear" w:color="auto" w:fill="FFFFFF"/>
          </w:tcPr>
          <w:p w14:paraId="4DC87FFC" w14:textId="77777777" w:rsidR="00457346" w:rsidRPr="005457F2" w:rsidRDefault="00EB6068" w:rsidP="00D9657C">
            <w:pPr>
              <w:pStyle w:val="NlTable"/>
              <w:ind w:right="122"/>
              <w:jc w:val="center"/>
            </w:pPr>
            <w:r>
              <w:t>573</w:t>
            </w:r>
          </w:p>
        </w:tc>
        <w:tc>
          <w:tcPr>
            <w:tcW w:w="1170" w:type="dxa"/>
            <w:tcBorders>
              <w:top w:val="nil"/>
              <w:left w:val="nil"/>
              <w:bottom w:val="nil"/>
              <w:right w:val="nil"/>
            </w:tcBorders>
            <w:shd w:val="clear" w:color="auto" w:fill="FFFFFF"/>
          </w:tcPr>
          <w:p w14:paraId="1FE2C482" w14:textId="77777777" w:rsidR="00457346" w:rsidRPr="005457F2" w:rsidRDefault="00457346" w:rsidP="00685A51">
            <w:pPr>
              <w:pStyle w:val="NlTable"/>
              <w:jc w:val="center"/>
            </w:pPr>
            <w:r w:rsidRPr="005457F2">
              <w:t>46.7</w:t>
            </w:r>
          </w:p>
        </w:tc>
        <w:tc>
          <w:tcPr>
            <w:tcW w:w="1170" w:type="dxa"/>
            <w:tcBorders>
              <w:top w:val="nil"/>
              <w:left w:val="nil"/>
              <w:bottom w:val="nil"/>
              <w:right w:val="nil"/>
            </w:tcBorders>
            <w:shd w:val="clear" w:color="auto" w:fill="FFFFFF"/>
          </w:tcPr>
          <w:p w14:paraId="59998086" w14:textId="77777777" w:rsidR="00457346" w:rsidRPr="005457F2" w:rsidRDefault="00457346" w:rsidP="00335C14">
            <w:pPr>
              <w:pStyle w:val="NlTable"/>
              <w:ind w:right="-175"/>
              <w:jc w:val="center"/>
            </w:pPr>
            <w:r w:rsidRPr="005457F2">
              <w:t>8.1%</w:t>
            </w:r>
          </w:p>
        </w:tc>
      </w:tr>
      <w:tr w:rsidR="00685A51" w:rsidRPr="005457F2" w14:paraId="14270C16" w14:textId="77777777">
        <w:trPr>
          <w:trHeight w:val="20"/>
        </w:trPr>
        <w:tc>
          <w:tcPr>
            <w:tcW w:w="1260" w:type="dxa"/>
            <w:tcBorders>
              <w:top w:val="nil"/>
              <w:left w:val="nil"/>
              <w:bottom w:val="nil"/>
              <w:right w:val="nil"/>
            </w:tcBorders>
            <w:shd w:val="clear" w:color="auto" w:fill="FFFFFF"/>
          </w:tcPr>
          <w:p w14:paraId="06E690B1" w14:textId="77777777" w:rsidR="00457346" w:rsidRPr="005457F2" w:rsidRDefault="00457346" w:rsidP="00457346">
            <w:pPr>
              <w:pStyle w:val="NlTable"/>
              <w:rPr>
                <w:b/>
              </w:rPr>
            </w:pPr>
            <w:r w:rsidRPr="005457F2">
              <w:rPr>
                <w:b/>
              </w:rPr>
              <w:t>20</w:t>
            </w:r>
          </w:p>
        </w:tc>
        <w:tc>
          <w:tcPr>
            <w:tcW w:w="990" w:type="dxa"/>
            <w:tcBorders>
              <w:top w:val="nil"/>
              <w:left w:val="nil"/>
              <w:bottom w:val="nil"/>
              <w:right w:val="nil"/>
            </w:tcBorders>
            <w:shd w:val="clear" w:color="auto" w:fill="FFFFFF"/>
          </w:tcPr>
          <w:p w14:paraId="564979E4" w14:textId="77777777" w:rsidR="00457346" w:rsidRPr="005457F2" w:rsidRDefault="00457346" w:rsidP="00CA58E5">
            <w:pPr>
              <w:pStyle w:val="NlTable"/>
              <w:ind w:left="-49" w:right="139"/>
              <w:jc w:val="right"/>
            </w:pPr>
            <w:r w:rsidRPr="005457F2">
              <w:t>682</w:t>
            </w:r>
          </w:p>
        </w:tc>
        <w:tc>
          <w:tcPr>
            <w:tcW w:w="900" w:type="dxa"/>
            <w:tcBorders>
              <w:top w:val="nil"/>
              <w:left w:val="nil"/>
              <w:bottom w:val="nil"/>
              <w:right w:val="nil"/>
            </w:tcBorders>
            <w:shd w:val="clear" w:color="auto" w:fill="FFFFFF"/>
          </w:tcPr>
          <w:p w14:paraId="5BD60461" w14:textId="77777777" w:rsidR="00457346" w:rsidRPr="005457F2" w:rsidRDefault="00457346" w:rsidP="00685A51">
            <w:pPr>
              <w:pStyle w:val="NlTable"/>
              <w:jc w:val="center"/>
            </w:pPr>
            <w:r w:rsidRPr="005457F2">
              <w:t>806</w:t>
            </w:r>
          </w:p>
        </w:tc>
        <w:tc>
          <w:tcPr>
            <w:tcW w:w="1350" w:type="dxa"/>
            <w:tcBorders>
              <w:top w:val="nil"/>
              <w:left w:val="nil"/>
              <w:bottom w:val="nil"/>
              <w:right w:val="nil"/>
            </w:tcBorders>
            <w:shd w:val="clear" w:color="auto" w:fill="FFFFFF"/>
          </w:tcPr>
          <w:p w14:paraId="3C72F44D" w14:textId="77777777" w:rsidR="00457346" w:rsidRPr="005457F2" w:rsidRDefault="006C0442" w:rsidP="00450FB1">
            <w:pPr>
              <w:pStyle w:val="NlTable"/>
              <w:ind w:right="302"/>
              <w:jc w:val="right"/>
            </w:pPr>
            <w:r w:rsidRPr="005457F2">
              <w:t>−</w:t>
            </w:r>
            <w:r w:rsidR="00457346" w:rsidRPr="005457F2">
              <w:t>124</w:t>
            </w:r>
          </w:p>
        </w:tc>
        <w:tc>
          <w:tcPr>
            <w:tcW w:w="1350" w:type="dxa"/>
            <w:tcBorders>
              <w:top w:val="nil"/>
              <w:left w:val="nil"/>
              <w:bottom w:val="nil"/>
              <w:right w:val="nil"/>
            </w:tcBorders>
            <w:shd w:val="clear" w:color="auto" w:fill="FFFFFF"/>
          </w:tcPr>
          <w:p w14:paraId="2112F981" w14:textId="77777777" w:rsidR="00457346" w:rsidRPr="005457F2" w:rsidRDefault="00EB6068" w:rsidP="00D9657C">
            <w:pPr>
              <w:pStyle w:val="NlTable"/>
              <w:ind w:right="122"/>
              <w:jc w:val="center"/>
            </w:pPr>
            <w:r>
              <w:t>744</w:t>
            </w:r>
          </w:p>
        </w:tc>
        <w:tc>
          <w:tcPr>
            <w:tcW w:w="1170" w:type="dxa"/>
            <w:tcBorders>
              <w:top w:val="nil"/>
              <w:left w:val="nil"/>
              <w:bottom w:val="nil"/>
              <w:right w:val="nil"/>
            </w:tcBorders>
            <w:shd w:val="clear" w:color="auto" w:fill="FFFFFF"/>
          </w:tcPr>
          <w:p w14:paraId="6FFA80EF" w14:textId="77777777" w:rsidR="00457346" w:rsidRPr="005457F2" w:rsidRDefault="00457346" w:rsidP="00685A51">
            <w:pPr>
              <w:pStyle w:val="NlTable"/>
              <w:jc w:val="center"/>
            </w:pPr>
            <w:r w:rsidRPr="005457F2">
              <w:t>87.7</w:t>
            </w:r>
          </w:p>
        </w:tc>
        <w:tc>
          <w:tcPr>
            <w:tcW w:w="1170" w:type="dxa"/>
            <w:tcBorders>
              <w:top w:val="nil"/>
              <w:left w:val="nil"/>
              <w:bottom w:val="nil"/>
              <w:right w:val="nil"/>
            </w:tcBorders>
            <w:shd w:val="clear" w:color="auto" w:fill="FFFFFF"/>
          </w:tcPr>
          <w:p w14:paraId="78313E11" w14:textId="77777777" w:rsidR="00457346" w:rsidRPr="005457F2" w:rsidRDefault="00457346" w:rsidP="00685A51">
            <w:pPr>
              <w:pStyle w:val="NlTable"/>
              <w:jc w:val="center"/>
            </w:pPr>
            <w:r w:rsidRPr="005457F2">
              <w:t>11.8%</w:t>
            </w:r>
          </w:p>
        </w:tc>
      </w:tr>
    </w:tbl>
    <w:p w14:paraId="39076FD9" w14:textId="77777777" w:rsidR="00B91CD8" w:rsidRPr="005457F2" w:rsidRDefault="004F48DE" w:rsidP="005B0049">
      <w:pPr>
        <w:pStyle w:val="NormalWeb"/>
      </w:pPr>
      <w:r w:rsidRPr="005457F2">
        <w:t xml:space="preserve">Again, this is better appreciated by plotting the absolute </w:t>
      </w:r>
      <w:r w:rsidR="00AD15FA">
        <w:t xml:space="preserve">value of the </w:t>
      </w:r>
      <w:r w:rsidRPr="005457F2">
        <w:t>difference between the two measurements against their average (</w:t>
      </w:r>
      <w:r w:rsidR="002E44F8" w:rsidRPr="003238EE">
        <w:rPr>
          <w:highlight w:val="yellow"/>
        </w:rPr>
        <w:t>Figure 5.</w:t>
      </w:r>
      <w:r w:rsidRPr="003238EE">
        <w:rPr>
          <w:highlight w:val="yellow"/>
        </w:rPr>
        <w:t>5</w:t>
      </w:r>
      <w:r w:rsidRPr="005457F2">
        <w:t>).</w:t>
      </w:r>
    </w:p>
    <w:p w14:paraId="6D5AB916" w14:textId="77777777" w:rsidR="00B91CD8" w:rsidRPr="005457F2" w:rsidRDefault="004F48DE" w:rsidP="005B0049">
      <w:pPr>
        <w:pStyle w:val="NormalWeb"/>
      </w:pPr>
      <w:r w:rsidRPr="005457F2">
        <w:t>Note that, in table for this example, the CV remains relatively constant at about 10%.</w:t>
      </w:r>
    </w:p>
    <w:p w14:paraId="373E278F" w14:textId="687004AC" w:rsidR="000E43DF" w:rsidRDefault="000E43DF" w:rsidP="007F337B">
      <w:pPr>
        <w:pStyle w:val="NormalWeb"/>
        <w:rPr>
          <w:highlight w:val="yellow"/>
        </w:rPr>
      </w:pPr>
      <w:r>
        <w:rPr>
          <w:noProof/>
        </w:rPr>
        <w:drawing>
          <wp:inline distT="0" distB="0" distL="0" distR="0" wp14:anchorId="2C703A8A" wp14:editId="304F59CC">
            <wp:extent cx="5486400" cy="29959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5.5.jpeg"/>
                    <pic:cNvPicPr/>
                  </pic:nvPicPr>
                  <pic:blipFill>
                    <a:blip r:embed="rId22"/>
                    <a:stretch>
                      <a:fillRect/>
                    </a:stretch>
                  </pic:blipFill>
                  <pic:spPr>
                    <a:xfrm>
                      <a:off x="0" y="0"/>
                      <a:ext cx="5486400" cy="2995930"/>
                    </a:xfrm>
                    <a:prstGeom prst="rect">
                      <a:avLst/>
                    </a:prstGeom>
                  </pic:spPr>
                </pic:pic>
              </a:graphicData>
            </a:graphic>
          </wp:inline>
        </w:drawing>
      </w:r>
    </w:p>
    <w:p w14:paraId="4C7B785A" w14:textId="224474B6" w:rsidR="00274022" w:rsidRPr="005457F2" w:rsidRDefault="002E44F8" w:rsidP="007F337B">
      <w:pPr>
        <w:pStyle w:val="NormalWeb"/>
      </w:pPr>
      <w:r w:rsidRPr="00217675">
        <w:rPr>
          <w:highlight w:val="yellow"/>
        </w:rPr>
        <w:t>Figure 5.</w:t>
      </w:r>
      <w:r w:rsidR="00274022" w:rsidRPr="00217675">
        <w:rPr>
          <w:highlight w:val="yellow"/>
        </w:rPr>
        <w:t>5</w:t>
      </w:r>
      <w:r w:rsidR="00274022" w:rsidRPr="005457F2">
        <w:t xml:space="preserve"> Check for error proportional to the mean by plotting the absolute </w:t>
      </w:r>
      <w:r w:rsidR="00AD15FA">
        <w:t xml:space="preserve">value of the </w:t>
      </w:r>
      <w:r w:rsidR="00274022" w:rsidRPr="005457F2">
        <w:t xml:space="preserve">difference between the two measurements against their average. This is done for the data in </w:t>
      </w:r>
      <w:r w:rsidR="008271CC">
        <w:t>Example 5.</w:t>
      </w:r>
      <w:r w:rsidR="00274022" w:rsidRPr="005457F2">
        <w:t>13.</w:t>
      </w:r>
    </w:p>
    <w:p w14:paraId="37C4FC2C" w14:textId="77777777" w:rsidR="00217675" w:rsidRPr="005457F2" w:rsidRDefault="00217675" w:rsidP="00217675">
      <w:pPr>
        <w:pStyle w:val="Heading4"/>
      </w:pPr>
      <w:r w:rsidRPr="005457F2">
        <w:t>Method comparison</w:t>
      </w:r>
    </w:p>
    <w:p w14:paraId="1B0AF7E8" w14:textId="429FB465" w:rsidR="00217675" w:rsidRPr="005457F2" w:rsidRDefault="00217675" w:rsidP="00217675">
      <w:pPr>
        <w:pStyle w:val="NormalWeb"/>
      </w:pPr>
      <w:r w:rsidRPr="005457F2">
        <w:t>In our discussion of test–retest reliability, we assumed that no systematic difference existed between initial and repeat applications of a single test. When we compare two different testing methods (or two different instruments or two different testers), we can make no such assumption. Oral temperatures are usually lower than rectal temperatures, abdominal aortic aneurysm diameters are usually lower when assessed by ultrasound than by computed tomography (CT)</w:t>
      </w:r>
      <w:r w:rsidR="00E270F5" w:rsidRPr="00E270F5">
        <w:t xml:space="preserve"> </w:t>
      </w:r>
      <w:r w:rsidR="00E270F5">
        <w:fldChar w:fldCharType="begin"/>
      </w:r>
      <w:r w:rsidR="00A842BC">
        <w:instrText xml:space="preserve"> ADDIN EN.CITE &lt;EndNote&gt;&lt;Cite&gt;&lt;Author&gt;Lederle&lt;/Author&gt;&lt;Year&gt;1995&lt;/Year&gt;&lt;RecNum&gt;219&lt;/RecNum&gt;&lt;DisplayText&gt;[14]&lt;/DisplayText&gt;&lt;record&gt;&lt;rec-number&gt;219&lt;/rec-number&gt;&lt;foreign-keys&gt;&lt;key app="EN" db-id="0ftvff9p80fp5few5s05f5fw9rd9fefrdzer" timestamp="0"&gt;219&lt;/key&gt;&lt;/foreign-keys&gt;&lt;ref-type name="Journal Article"&gt;17&lt;/ref-type&gt;&lt;contributors&gt;&lt;authors&gt;&lt;author&gt;Lederle, F. A.&lt;/author&gt;&lt;author&gt;Wilson, S. E.&lt;/author&gt;&lt;author&gt;Johnson, G. R.&lt;/author&gt;&lt;author&gt;Reinke, D. B.&lt;/author&gt;&lt;author&gt;Littooy, F. N.&lt;/author&gt;&lt;author&gt;Acher, C. W.&lt;/author&gt;&lt;author&gt;Messina, L. M.&lt;/author&gt;&lt;author&gt;Ballard, D. J.&lt;/author&gt;&lt;author&gt;Ansel, H. J.&lt;/author&gt;&lt;/authors&gt;&lt;/contributors&gt;&lt;auth-address&gt;Veterans Affairs Medical Center, Department of Medicine (III-0), Minneapolis, MN 55417, USA.&lt;/auth-address&gt;&lt;titles&gt;&lt;title&gt;Variability in measurement of abdominal aortic aneurysms. Abdominal Aortic Aneurysm Detection and Management Veterans Administration Cooperative Study Group&lt;/title&gt;&lt;secondary-title&gt;J Vasc Surg&lt;/secondary-title&gt;&lt;/titles&gt;&lt;pages&gt;945-52&lt;/pages&gt;&lt;volume&gt;21&lt;/volume&gt;&lt;number&gt;6&lt;/number&gt;&lt;keywords&gt;&lt;keyword&gt;Aged&lt;/keyword&gt;&lt;keyword&gt;Aorta, Abdominal/radiography/ultrasonography&lt;/keyword&gt;&lt;keyword&gt;Aortic Aneurysm, Abdominal/*radiography/ultrasonography&lt;/keyword&gt;&lt;keyword&gt;Comparative Study&lt;/keyword&gt;&lt;keyword&gt;Humans&lt;/keyword&gt;&lt;keyword&gt;Middle Aged&lt;/keyword&gt;&lt;keyword&gt;Observer Variation&lt;/keyword&gt;&lt;keyword&gt;Research Support, U.S. Gov&amp;apos;t, Non-P.H.S.&lt;/keyword&gt;&lt;keyword&gt;Tomography, X-Ray Computed&lt;/keyword&gt;&lt;/keywords&gt;&lt;dates&gt;&lt;year&gt;1995&lt;/year&gt;&lt;pub-dates&gt;&lt;date&gt;Jun&lt;/date&gt;&lt;/pub-dates&gt;&lt;/dates&gt;&lt;accession-num&gt;7776474&lt;/accession-num&gt;&lt;urls&gt;&lt;related-urls&gt;&lt;url&gt;http://www.ncbi.nlm.nih.gov/entrez/query.fcgi?cmd=Retrieve&amp;amp;db=PubMed&amp;amp;dopt=Citation&amp;amp;list_uids=7776474 &lt;/url&gt;&lt;/related-urls&gt;&lt;/urls&gt;&lt;/record&gt;&lt;/Cite&gt;&lt;/EndNote&gt;</w:instrText>
      </w:r>
      <w:r w:rsidR="00E270F5">
        <w:fldChar w:fldCharType="separate"/>
      </w:r>
      <w:r w:rsidR="00A842BC">
        <w:rPr>
          <w:noProof/>
        </w:rPr>
        <w:t>[14]</w:t>
      </w:r>
      <w:r w:rsidR="00E270F5">
        <w:fldChar w:fldCharType="end"/>
      </w:r>
      <w:r w:rsidRPr="005457F2">
        <w:t>, and mean arterial pressures are usually lower when measured by a finger cuff than by a line in the radial artery</w:t>
      </w:r>
      <w:r w:rsidR="00A041DB">
        <w:t>.</w:t>
      </w:r>
      <w:r w:rsidR="00A041DB">
        <w:fldChar w:fldCharType="begin"/>
      </w:r>
      <w:r w:rsidR="00A842BC">
        <w:instrText xml:space="preserve"> ADDIN EN.CITE &lt;EndNote&gt;&lt;Cite&gt;&lt;Author&gt;Bos&lt;/Author&gt;&lt;Year&gt;1996&lt;/Year&gt;&lt;RecNum&gt;218&lt;/RecNum&gt;&lt;DisplayText&gt;[15]&lt;/DisplayText&gt;&lt;record&gt;&lt;rec-number&gt;218&lt;/rec-number&gt;&lt;foreign-keys&gt;&lt;key app="EN" db-id="0ftvff9p80fp5few5s05f5fw9rd9fefrdzer" timestamp="0"&gt;218&lt;/key&gt;&lt;/foreign-keys&gt;&lt;ref-type name="Journal Article"&gt;17&lt;/ref-type&gt;&lt;contributors&gt;&lt;authors&gt;&lt;author&gt;Bos, W. J.&lt;/author&gt;&lt;author&gt;van Goudoever, J.&lt;/author&gt;&lt;author&gt;van Montfrans, G. A.&lt;/author&gt;&lt;author&gt;van den Meiracker, A. H.&lt;/author&gt;&lt;author&gt;Wesseling, K. H.&lt;/author&gt;&lt;/authors&gt;&lt;/contributors&gt;&lt;auth-address&gt;Department of Internal Medicine I, University Hospital Rotterdam, Dijkzigt, The Netherlands.&lt;/auth-address&gt;&lt;titles&gt;&lt;title&gt;Reconstruction of brachial artery pressure from noninvasive finger pressure measurements&lt;/title&gt;&lt;secondary-title&gt;Circulation&lt;/secondary-title&gt;&lt;/titles&gt;&lt;periodical&gt;&lt;full-title&gt;Circulation&lt;/full-title&gt;&lt;/periodical&gt;&lt;pages&gt;1870-5&lt;/pages&gt;&lt;volume&gt;94&lt;/volume&gt;&lt;number&gt;8&lt;/number&gt;&lt;keywords&gt;&lt;keyword&gt;Adult&lt;/keyword&gt;&lt;keyword&gt;Aged&lt;/keyword&gt;&lt;keyword&gt;Aged, 80 and over&lt;/keyword&gt;&lt;keyword&gt;*Blood Pressure&lt;/keyword&gt;&lt;keyword&gt;Blood Pressure Determination/*methods&lt;/keyword&gt;&lt;keyword&gt;Brachial Artery/*physiology&lt;/keyword&gt;&lt;keyword&gt;Evaluation Studies&lt;/keyword&gt;&lt;keyword&gt;Fingers/*blood supply&lt;/keyword&gt;&lt;keyword&gt;Humans&lt;/keyword&gt;&lt;keyword&gt;Hypertension/physiopathology&lt;/keyword&gt;&lt;keyword&gt;Middle Aged&lt;/keyword&gt;&lt;keyword&gt;Models, Cardiovascular&lt;/keyword&gt;&lt;keyword&gt;Reference Values&lt;/keyword&gt;&lt;keyword&gt;Vascular Diseases/physiopathology&lt;/keyword&gt;&lt;/keywords&gt;&lt;dates&gt;&lt;year&gt;1996&lt;/year&gt;&lt;pub-dates&gt;&lt;date&gt;Oct 15&lt;/date&gt;&lt;/pub-dates&gt;&lt;/dates&gt;&lt;accession-num&gt;8873662&lt;/accession-num&gt;&lt;urls&gt;&lt;related-urls&gt;&lt;url&gt;http://www.ncbi.nlm.nih.gov/entrez/query.fcgi?cmd=Retrieve&amp;amp;db=PubMed&amp;amp;dopt=Citation&amp;amp;list_uids=8873662 &lt;/url&gt;&lt;/related-urls&gt;&lt;/urls&gt;&lt;/record&gt;&lt;/Cite&gt;&lt;/EndNote&gt;</w:instrText>
      </w:r>
      <w:r w:rsidR="00A041DB">
        <w:fldChar w:fldCharType="separate"/>
      </w:r>
      <w:r w:rsidR="00A842BC">
        <w:rPr>
          <w:noProof/>
        </w:rPr>
        <w:t>[15]</w:t>
      </w:r>
      <w:r w:rsidR="00A041DB">
        <w:fldChar w:fldCharType="end"/>
      </w:r>
      <w:r w:rsidR="00A041DB">
        <w:t xml:space="preserve">  </w:t>
      </w:r>
      <w:r w:rsidRPr="005457F2">
        <w:t>So, when we are comparing two methods, we need to quantify both systematic bias and random differences between the measurements.</w:t>
      </w:r>
    </w:p>
    <w:p w14:paraId="0ED5438B" w14:textId="77777777" w:rsidR="00B91CD8" w:rsidRPr="005457F2" w:rsidRDefault="004F48DE" w:rsidP="004E020E">
      <w:pPr>
        <w:pStyle w:val="NormalWeb"/>
      </w:pPr>
      <w:r w:rsidRPr="005457F2">
        <w:lastRenderedPageBreak/>
        <w:t xml:space="preserve">Researchers comparing methods of measurement often present their data by plotting the </w:t>
      </w:r>
      <w:r w:rsidR="007816D8" w:rsidRPr="005457F2">
        <w:t>fi</w:t>
      </w:r>
      <w:r w:rsidRPr="005457F2">
        <w:t>rst method</w:t>
      </w:r>
      <w:r w:rsidR="00B91CD8" w:rsidRPr="005457F2">
        <w:t>’</w:t>
      </w:r>
      <w:r w:rsidRPr="005457F2">
        <w:t>s measurement versus the second method</w:t>
      </w:r>
      <w:r w:rsidR="00B91CD8" w:rsidRPr="005457F2">
        <w:t>’</w:t>
      </w:r>
      <w:r w:rsidRPr="005457F2">
        <w:t>s measurement, and by calculating a regression line and a correlation coef</w:t>
      </w:r>
      <w:r w:rsidR="007816D8" w:rsidRPr="005457F2">
        <w:t>fi</w:t>
      </w:r>
      <w:r w:rsidRPr="005457F2">
        <w:t>cient. We have seen that the correlation coef</w:t>
      </w:r>
      <w:r w:rsidR="007816D8" w:rsidRPr="005457F2">
        <w:t>fi</w:t>
      </w:r>
      <w:r w:rsidRPr="005457F2">
        <w:t>cient is not good for assessing measurement agreement.</w:t>
      </w:r>
    </w:p>
    <w:p w14:paraId="268CF12E" w14:textId="77777777" w:rsidR="00B91CD8" w:rsidRPr="005457F2" w:rsidRDefault="008271CC" w:rsidP="00494600">
      <w:pPr>
        <w:pStyle w:val="NormalWeb"/>
      </w:pPr>
      <w:r>
        <w:rPr>
          <w:b/>
        </w:rPr>
        <w:t>Example</w:t>
      </w:r>
      <w:r w:rsidR="00D00CF7">
        <w:rPr>
          <w:b/>
        </w:rPr>
        <w:t xml:space="preserve"> </w:t>
      </w:r>
      <w:r>
        <w:rPr>
          <w:b/>
        </w:rPr>
        <w:t>5.</w:t>
      </w:r>
      <w:r w:rsidR="004F48DE" w:rsidRPr="005457F2">
        <w:rPr>
          <w:b/>
        </w:rPr>
        <w:t>14</w:t>
      </w:r>
      <w:r w:rsidR="004F48DE" w:rsidRPr="005457F2">
        <w:t xml:space="preserve"> We compare two methods of measuring bone mineral density (BMD) in children in </w:t>
      </w:r>
      <w:r w:rsidR="002E44F8">
        <w:t>Figure 5.</w:t>
      </w:r>
      <w:r w:rsidR="004F48DE" w:rsidRPr="005457F2">
        <w:t>6: quantitative CT (</w:t>
      </w:r>
      <w:proofErr w:type="spellStart"/>
      <w:r w:rsidR="004F48DE" w:rsidRPr="005457F2">
        <w:t>qCT</w:t>
      </w:r>
      <w:proofErr w:type="spellEnd"/>
      <w:r w:rsidR="004F48DE" w:rsidRPr="005457F2">
        <w:t xml:space="preserve">) and dual-energy x-ray absorptiometry (DXA) (Wren et al. 2005). Both </w:t>
      </w:r>
      <w:proofErr w:type="spellStart"/>
      <w:r w:rsidR="004F48DE" w:rsidRPr="005457F2">
        <w:t>qCT</w:t>
      </w:r>
      <w:proofErr w:type="spellEnd"/>
      <w:r w:rsidR="004F48DE" w:rsidRPr="005457F2">
        <w:t xml:space="preserve"> and DXA results are reported as Z scores, equal to the number of standard deviations the measurement is from the mean among </w:t>
      </w:r>
      <w:proofErr w:type="spellStart"/>
      <w:r w:rsidR="004F48DE" w:rsidRPr="005457F2">
        <w:t>normals</w:t>
      </w:r>
      <w:proofErr w:type="spellEnd"/>
      <w:r w:rsidR="004F48DE" w:rsidRPr="005457F2">
        <w:t>.</w:t>
      </w:r>
      <w:r w:rsidR="00DA53BD" w:rsidRPr="005457F2">
        <w:rPr>
          <w:rStyle w:val="FootnoteReference"/>
        </w:rPr>
        <w:footnoteReference w:id="7"/>
      </w:r>
      <w:r w:rsidR="004F48DE" w:rsidRPr="005457F2">
        <w:t xml:space="preserve"> We would like to get the same Z score whether we use </w:t>
      </w:r>
      <w:proofErr w:type="spellStart"/>
      <w:r w:rsidR="004F48DE" w:rsidRPr="005457F2">
        <w:t>qCT</w:t>
      </w:r>
      <w:proofErr w:type="spellEnd"/>
      <w:r w:rsidR="004F48DE" w:rsidRPr="005457F2">
        <w:t xml:space="preserve"> or DXA.</w:t>
      </w:r>
    </w:p>
    <w:p w14:paraId="080D48B5" w14:textId="77777777" w:rsidR="00B91CD8" w:rsidRDefault="004F48DE" w:rsidP="003D1341">
      <w:pPr>
        <w:pStyle w:val="NormalWeb"/>
      </w:pPr>
      <w:r w:rsidRPr="005457F2">
        <w:t xml:space="preserve">In the dataset depicted in </w:t>
      </w:r>
      <w:r w:rsidR="002E44F8" w:rsidRPr="002A5E59">
        <w:rPr>
          <w:highlight w:val="yellow"/>
        </w:rPr>
        <w:t>Figure 5.</w:t>
      </w:r>
      <w:r w:rsidRPr="002A5E59">
        <w:rPr>
          <w:highlight w:val="yellow"/>
        </w:rPr>
        <w:t>6</w:t>
      </w:r>
      <w:r w:rsidRPr="005457F2">
        <w:t>, we can replace a pair of measurements showing moderate agreement (Z</w:t>
      </w:r>
      <w:r w:rsidRPr="005457F2">
        <w:rPr>
          <w:vertAlign w:val="subscript"/>
        </w:rPr>
        <w:t>DXA</w:t>
      </w:r>
      <w:r w:rsidRPr="005457F2">
        <w:t xml:space="preserve"> =</w:t>
      </w:r>
      <w:r w:rsidR="008D3A06" w:rsidRPr="005457F2">
        <w:t xml:space="preserve"> </w:t>
      </w:r>
      <w:r w:rsidRPr="005457F2">
        <w:t>3, Z</w:t>
      </w:r>
      <w:r w:rsidRPr="005457F2">
        <w:rPr>
          <w:vertAlign w:val="subscript"/>
        </w:rPr>
        <w:t>CT</w:t>
      </w:r>
      <w:r w:rsidRPr="005457F2">
        <w:t xml:space="preserve"> = 2.25) with a pair of measurements showing </w:t>
      </w:r>
      <w:r w:rsidRPr="005457F2">
        <w:rPr>
          <w:i/>
        </w:rPr>
        <w:t>perfect</w:t>
      </w:r>
      <w:r w:rsidRPr="005457F2">
        <w:t xml:space="preserve"> agreement (Z</w:t>
      </w:r>
      <w:r w:rsidRPr="005457F2">
        <w:rPr>
          <w:vertAlign w:val="subscript"/>
        </w:rPr>
        <w:t>DXA</w:t>
      </w:r>
      <w:r w:rsidRPr="005457F2">
        <w:t xml:space="preserve"> =</w:t>
      </w:r>
      <w:r w:rsidR="008D3A06" w:rsidRPr="005457F2">
        <w:t xml:space="preserve"> </w:t>
      </w:r>
      <w:r w:rsidRPr="005457F2">
        <w:t>0, Z</w:t>
      </w:r>
      <w:r w:rsidRPr="005457F2">
        <w:rPr>
          <w:vertAlign w:val="subscript"/>
        </w:rPr>
        <w:t>CT</w:t>
      </w:r>
      <w:r w:rsidRPr="005457F2">
        <w:t xml:space="preserve"> = 0), and the correlation coef</w:t>
      </w:r>
      <w:r w:rsidR="007816D8" w:rsidRPr="005457F2">
        <w:t>fi</w:t>
      </w:r>
      <w:r w:rsidRPr="005457F2">
        <w:t xml:space="preserve">cient </w:t>
      </w:r>
      <w:r w:rsidRPr="000D57E6">
        <w:rPr>
          <w:i/>
        </w:rPr>
        <w:t>decreases</w:t>
      </w:r>
      <w:r w:rsidRPr="005457F2">
        <w:t xml:space="preserve"> from 0.61 to 0.51. The regression line is not particularly informative either, because we want the two methods of measurement to be interchangeable, not just linearly related. Rather than graph the regression line, most of us would prefer the line of identity on which the measurement by the second method </w:t>
      </w:r>
      <w:r w:rsidRPr="005457F2">
        <w:rPr>
          <w:i/>
        </w:rPr>
        <w:t>equals</w:t>
      </w:r>
      <w:r w:rsidRPr="005457F2">
        <w:t xml:space="preserve"> the measurement by the </w:t>
      </w:r>
      <w:r w:rsidR="007816D8" w:rsidRPr="005457F2">
        <w:t>fi</w:t>
      </w:r>
      <w:r w:rsidRPr="005457F2">
        <w:t>rst method (</w:t>
      </w:r>
      <w:r w:rsidR="002E44F8">
        <w:t>Figure 5.</w:t>
      </w:r>
      <w:r w:rsidRPr="005457F2">
        <w:t>7).</w:t>
      </w:r>
    </w:p>
    <w:p w14:paraId="00AAF6D0" w14:textId="77777777" w:rsidR="00141B64" w:rsidRPr="005457F2" w:rsidRDefault="00F34806" w:rsidP="003D1341">
      <w:pPr>
        <w:pStyle w:val="NormalWeb"/>
      </w:pPr>
      <w:r>
        <w:rPr>
          <w:noProof/>
        </w:rPr>
        <w:drawing>
          <wp:inline distT="0" distB="0" distL="0" distR="0" wp14:anchorId="68693E2A" wp14:editId="2882C087">
            <wp:extent cx="5473700" cy="2895600"/>
            <wp:effectExtent l="0" t="0" r="0" b="0"/>
            <wp:docPr id="15" name="Picture 15" descr="Figur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igure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0" cy="2895600"/>
                    </a:xfrm>
                    <a:prstGeom prst="rect">
                      <a:avLst/>
                    </a:prstGeom>
                    <a:noFill/>
                    <a:ln>
                      <a:noFill/>
                    </a:ln>
                  </pic:spPr>
                </pic:pic>
              </a:graphicData>
            </a:graphic>
          </wp:inline>
        </w:drawing>
      </w:r>
    </w:p>
    <w:p w14:paraId="39CB3FBD" w14:textId="77777777" w:rsidR="00B91CD8" w:rsidRPr="005457F2" w:rsidRDefault="002E44F8" w:rsidP="007F337B">
      <w:pPr>
        <w:pStyle w:val="NormalWeb"/>
      </w:pPr>
      <w:r w:rsidRPr="002A5E59">
        <w:rPr>
          <w:highlight w:val="yellow"/>
        </w:rPr>
        <w:t>Figure 5.</w:t>
      </w:r>
      <w:r w:rsidR="004F48DE" w:rsidRPr="002A5E59">
        <w:rPr>
          <w:highlight w:val="yellow"/>
        </w:rPr>
        <w:t>6</w:t>
      </w:r>
      <w:r w:rsidR="004F48DE" w:rsidRPr="005457F2">
        <w:t xml:space="preserve"> Comparison of BMD Z scores obtained by quantitative CT (Z</w:t>
      </w:r>
      <w:r w:rsidR="004F48DE" w:rsidRPr="005457F2">
        <w:rPr>
          <w:vertAlign w:val="subscript"/>
        </w:rPr>
        <w:t>CT</w:t>
      </w:r>
      <w:r w:rsidR="004F48DE" w:rsidRPr="005457F2">
        <w:t>) and DXA (Z</w:t>
      </w:r>
      <w:r w:rsidR="004F48DE" w:rsidRPr="005457F2">
        <w:rPr>
          <w:vertAlign w:val="subscript"/>
        </w:rPr>
        <w:t>DXA</w:t>
      </w:r>
      <w:r w:rsidR="004F48DE" w:rsidRPr="005457F2">
        <w:t>) (r = 0.61).</w:t>
      </w:r>
      <w:r w:rsidR="00A03E5F" w:rsidRPr="005457F2">
        <w:t xml:space="preserve"> </w:t>
      </w:r>
      <w:r w:rsidR="004F48DE" w:rsidRPr="005457F2">
        <w:t>[Fictional data based on Wren et al. (2005).]</w:t>
      </w:r>
    </w:p>
    <w:p w14:paraId="4558F5A6" w14:textId="63E31AF4" w:rsidR="00E9020B" w:rsidRPr="005457F2" w:rsidRDefault="004F48DE" w:rsidP="003D1341">
      <w:pPr>
        <w:pStyle w:val="NormalWeb"/>
      </w:pPr>
      <w:r w:rsidRPr="005457F2">
        <w:t xml:space="preserve">Looking at the points relative to the line of identity in </w:t>
      </w:r>
      <w:r w:rsidR="002E44F8" w:rsidRPr="002A5E59">
        <w:rPr>
          <w:highlight w:val="yellow"/>
        </w:rPr>
        <w:t>Figure 5.</w:t>
      </w:r>
      <w:r w:rsidRPr="002A5E59">
        <w:rPr>
          <w:highlight w:val="yellow"/>
        </w:rPr>
        <w:t>7</w:t>
      </w:r>
      <w:r w:rsidRPr="005457F2">
        <w:t xml:space="preserve"> reveals that in this dataset, where most of the measurements are negative, </w:t>
      </w:r>
      <w:proofErr w:type="spellStart"/>
      <w:r w:rsidRPr="005457F2">
        <w:t>qCT</w:t>
      </w:r>
      <w:proofErr w:type="spellEnd"/>
      <w:r w:rsidRPr="005457F2">
        <w:t xml:space="preserve"> gives a higher (less negative) measurement than DXA. This is easier to see by plotting the differences between the measurements versus their average, a so-called Bland–Altman plot</w:t>
      </w:r>
      <w:r w:rsidR="00F04EC3">
        <w:t>.</w:t>
      </w:r>
      <w:r w:rsidR="00F04EC3">
        <w:fldChar w:fldCharType="begin">
          <w:fldData xml:space="preserve">PEVuZE5vdGU+PENpdGU+PEF1dGhvcj5CbGFuZDwvQXV0aG9yPjxZZWFyPjE5ODY8L1llYXI+PFJl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</w:fldData>
        </w:fldChar>
      </w:r>
      <w:r w:rsidR="00A842BC">
        <w:instrText xml:space="preserve"> ADDIN EN.CITE </w:instrText>
      </w:r>
      <w:r w:rsidR="00A842BC">
        <w:fldChar w:fldCharType="begin">
          <w:fldData xml:space="preserve">PEVuZE5vdGU+PENpdGU+PEF1dGhvcj5CbGFuZDwvQXV0aG9yPjxZZWFyPjE5ODY8L1llYXI+PFJl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</w:fldData>
        </w:fldChar>
      </w:r>
      <w:r w:rsidR="00A842BC">
        <w:instrText xml:space="preserve"> ADDIN EN.CITE.DATA </w:instrText>
      </w:r>
      <w:r w:rsidR="00A842BC">
        <w:fldChar w:fldCharType="end"/>
      </w:r>
      <w:r w:rsidR="00F04EC3">
        <w:fldChar w:fldCharType="separate"/>
      </w:r>
      <w:r w:rsidR="00A842BC">
        <w:rPr>
          <w:noProof/>
        </w:rPr>
        <w:t>[1, 16]</w:t>
      </w:r>
      <w:r w:rsidR="00F04EC3">
        <w:fldChar w:fldCharType="end"/>
      </w:r>
      <w:r w:rsidR="005C66D6">
        <w:rPr>
          <w:rStyle w:val="FootnoteReference"/>
        </w:rPr>
        <w:footnoteReference w:id="8"/>
      </w:r>
      <w:r w:rsidR="00E63560" w:rsidRPr="005457F2">
        <w:t xml:space="preserve"> </w:t>
      </w:r>
      <w:r w:rsidRPr="005457F2">
        <w:t xml:space="preserve"> </w:t>
      </w:r>
      <w:r w:rsidR="003A63BC">
        <w:t>T</w:t>
      </w:r>
      <w:r w:rsidRPr="005457F2">
        <w:t xml:space="preserve">he mean </w:t>
      </w:r>
      <w:r w:rsidRPr="005457F2">
        <w:lastRenderedPageBreak/>
        <w:t>difference (Z</w:t>
      </w:r>
      <w:r w:rsidRPr="005457F2">
        <w:rPr>
          <w:vertAlign w:val="subscript"/>
        </w:rPr>
        <w:t>CT</w:t>
      </w:r>
      <w:r w:rsidRPr="005457F2">
        <w:t xml:space="preserve"> – Z</w:t>
      </w:r>
      <w:r w:rsidRPr="005457F2">
        <w:rPr>
          <w:vertAlign w:val="subscript"/>
        </w:rPr>
        <w:t>DXA</w:t>
      </w:r>
      <w:r w:rsidRPr="005457F2">
        <w:t>) is 0.75</w:t>
      </w:r>
      <w:r w:rsidR="00770A5F">
        <w:t>. The mean difference between two measurements is also sometimes called the “bias”. T</w:t>
      </w:r>
      <w:r w:rsidRPr="005457F2">
        <w:t xml:space="preserve">he standard deviation of the differences is 1.43. </w:t>
      </w:r>
      <w:r w:rsidR="00770A5F">
        <w:t xml:space="preserve"> </w:t>
      </w:r>
      <w:r w:rsidRPr="005457F2">
        <w:t xml:space="preserve">The 95% limits of agreement are 0.75 ± (1.96 × 1.43) or −2.06 to 3.56. This means that 95% of the time the difference between the Z scores, as assessed by CT and DXA, will be within this range. A Bland–Altman plot shows the mean difference and the 95% limits of agreement </w:t>
      </w:r>
      <w:r w:rsidRPr="002A5E59">
        <w:rPr>
          <w:highlight w:val="yellow"/>
        </w:rPr>
        <w:t>(</w:t>
      </w:r>
      <w:r w:rsidR="002E44F8" w:rsidRPr="002A5E59">
        <w:rPr>
          <w:highlight w:val="yellow"/>
        </w:rPr>
        <w:t>Figure 5.</w:t>
      </w:r>
      <w:r w:rsidR="008441EE" w:rsidRPr="002A5E59">
        <w:rPr>
          <w:highlight w:val="yellow"/>
        </w:rPr>
        <w:t>8</w:t>
      </w:r>
      <w:r w:rsidRPr="002A5E59">
        <w:rPr>
          <w:highlight w:val="yellow"/>
        </w:rPr>
        <w:t>).</w:t>
      </w:r>
    </w:p>
    <w:p w14:paraId="00D4CB42" w14:textId="77777777" w:rsidR="00141985" w:rsidRDefault="00F34806" w:rsidP="007F337B">
      <w:pPr>
        <w:pStyle w:val="NormalWeb"/>
      </w:pPr>
      <w:r>
        <w:rPr>
          <w:noProof/>
        </w:rPr>
        <w:drawing>
          <wp:inline distT="0" distB="0" distL="0" distR="0" wp14:anchorId="3B20CAC4" wp14:editId="740FA53B">
            <wp:extent cx="5473700" cy="2705100"/>
            <wp:effectExtent l="0" t="0" r="0" b="0"/>
            <wp:docPr id="16" name="Picture 16" descr="Figur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igure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700" cy="2705100"/>
                    </a:xfrm>
                    <a:prstGeom prst="rect">
                      <a:avLst/>
                    </a:prstGeom>
                    <a:noFill/>
                    <a:ln>
                      <a:noFill/>
                    </a:ln>
                  </pic:spPr>
                </pic:pic>
              </a:graphicData>
            </a:graphic>
          </wp:inline>
        </w:drawing>
      </w:r>
    </w:p>
    <w:p w14:paraId="7E86504E" w14:textId="5E561FED" w:rsidR="007519FD" w:rsidRDefault="002E44F8" w:rsidP="007F337B">
      <w:pPr>
        <w:pStyle w:val="NormalWeb"/>
      </w:pPr>
      <w:r w:rsidRPr="002A5E59">
        <w:rPr>
          <w:highlight w:val="yellow"/>
        </w:rPr>
        <w:t>Figure 5.</w:t>
      </w:r>
      <w:r w:rsidR="004875B4" w:rsidRPr="002A5E59">
        <w:rPr>
          <w:highlight w:val="yellow"/>
        </w:rPr>
        <w:t>7</w:t>
      </w:r>
      <w:r w:rsidR="004875B4" w:rsidRPr="005457F2">
        <w:t xml:space="preserve"> Line of identity where Z</w:t>
      </w:r>
      <w:r w:rsidR="004875B4" w:rsidRPr="005457F2">
        <w:rPr>
          <w:vertAlign w:val="subscript"/>
        </w:rPr>
        <w:t>CT</w:t>
      </w:r>
      <w:r w:rsidR="004875B4" w:rsidRPr="005457F2">
        <w:t xml:space="preserve"> = Z</w:t>
      </w:r>
      <w:r w:rsidR="004875B4" w:rsidRPr="005457F2">
        <w:rPr>
          <w:vertAlign w:val="subscript"/>
        </w:rPr>
        <w:t>DXA</w:t>
      </w:r>
      <w:r w:rsidR="004875B4" w:rsidRPr="005457F2">
        <w:t>. [Fictional data based on Wren et al.</w:t>
      </w:r>
      <w:r w:rsidR="009275E1" w:rsidRPr="009275E1">
        <w:t xml:space="preserve"> </w:t>
      </w:r>
      <w:r w:rsidR="009275E1">
        <w:fldChar w:fldCharType="begin"/>
      </w:r>
      <w:r w:rsidR="00A842BC">
        <w:instrText xml:space="preserve"> ADDIN EN.CITE &lt;EndNote&gt;&lt;Cite&gt;&lt;Author&gt;Wren&lt;/Author&gt;&lt;Year&gt;2005&lt;/Year&gt;&lt;RecNum&gt;217&lt;/RecNum&gt;&lt;DisplayText&gt;[17]&lt;/DisplayText&gt;&lt;record&gt;&lt;rec-number&gt;217&lt;/rec-number&gt;&lt;foreign-keys&gt;&lt;key app="EN" db-id="0ftvff9p80fp5few5s05f5fw9rd9fefrdzer" timestamp="0"&gt;217&lt;/key&gt;&lt;/foreign-keys&gt;&lt;ref-type name="Journal Article"&gt;17&lt;/ref-type&gt;&lt;contributors&gt;&lt;authors&gt;&lt;author&gt;Wren, T. A.&lt;/author&gt;&lt;author&gt;Liu, X.&lt;/author&gt;&lt;author&gt;Pitukcheewanont, P.&lt;/author&gt;&lt;author&gt;Gilsanz, V.&lt;/author&gt;&lt;/authors&gt;&lt;/contributors&gt;&lt;auth-address&gt;Department of Radiology, Division of Orthopaedics, Children&amp;apos;s Hospital Los Angeles, California, USA.&lt;/auth-address&gt;&lt;titles&gt;&lt;title&gt;Bone densitometry in pediatric populations: discrepancies in the diagnosis of osteoporosis by DXA and CT&lt;/title&gt;&lt;secondary-title&gt;J Pediatr&lt;/secondary-title&gt;&lt;/titles&gt;&lt;periodical&gt;&lt;full-title&gt;J Pediatr&lt;/full-title&gt;&lt;/periodical&gt;&lt;pages&gt;776-9&lt;/pages&gt;&lt;volume&gt;146&lt;/volume&gt;&lt;number&gt;6&lt;/number&gt;&lt;keywords&gt;&lt;keyword&gt;Adolescent&lt;/keyword&gt;&lt;keyword&gt;Anthropometry&lt;/keyword&gt;&lt;keyword&gt;Bone Density/*physiology&lt;/keyword&gt;&lt;keyword&gt;Child&lt;/keyword&gt;&lt;keyword&gt;Comparative Study&lt;/keyword&gt;&lt;keyword&gt;*Densitometry, X-Ray&lt;/keyword&gt;&lt;keyword&gt;Female&lt;/keyword&gt;&lt;keyword&gt;Humans&lt;/keyword&gt;&lt;keyword&gt;Lumbar Vertebrae&lt;/keyword&gt;&lt;keyword&gt;Male&lt;/keyword&gt;&lt;keyword&gt;Osteoporosis/*diagnosis&lt;/keyword&gt;&lt;keyword&gt;Predictive Value of Tests&lt;/keyword&gt;&lt;keyword&gt;Regression Analysis&lt;/keyword&gt;&lt;keyword&gt;Research Support, N.I.H., Extramural&lt;/keyword&gt;&lt;keyword&gt;Research Support, U.S. Gov&amp;apos;t, Non-P.H.S.&lt;/keyword&gt;&lt;keyword&gt;Research Support, U.S. Gov&amp;apos;t, P.H.S.&lt;/keyword&gt;&lt;keyword&gt;Retrospective Studies&lt;/keyword&gt;&lt;keyword&gt;Sensitivity and Specificity&lt;/keyword&gt;&lt;keyword&gt;*Tomography, X-Ray Computed&lt;/keyword&gt;&lt;/keywords&gt;&lt;dates&gt;&lt;year&gt;2005&lt;/year&gt;&lt;pub-dates&gt;&lt;date&gt;Jun&lt;/date&gt;&lt;/pub-dates&gt;&lt;/dates&gt;&lt;accession-num&gt;15973317&lt;/accession-num&gt;&lt;urls&gt;&lt;related-urls&gt;&lt;url&gt;http://www.ncbi.nlm.nih.gov/entrez/query.fcgi?cmd=Retrieve&amp;amp;db=PubMed&amp;amp;dopt=Citation&amp;amp;list_uids=15973317 &lt;/url&gt;&lt;/related-urls&gt;&lt;/urls&gt;&lt;/record&gt;&lt;/Cite&gt;&lt;/EndNote&gt;</w:instrText>
      </w:r>
      <w:r w:rsidR="009275E1">
        <w:fldChar w:fldCharType="separate"/>
      </w:r>
      <w:r w:rsidR="00A842BC">
        <w:rPr>
          <w:noProof/>
        </w:rPr>
        <w:t>[17]</w:t>
      </w:r>
      <w:r w:rsidR="009275E1">
        <w:fldChar w:fldCharType="end"/>
      </w:r>
      <w:r w:rsidR="004875B4" w:rsidRPr="005457F2">
        <w:t>]</w:t>
      </w:r>
    </w:p>
    <w:p w14:paraId="01C3BC6C" w14:textId="77777777" w:rsidR="00207772" w:rsidRDefault="00F34806" w:rsidP="007F337B">
      <w:pPr>
        <w:pStyle w:val="NormalWeb"/>
      </w:pPr>
      <w:r>
        <w:rPr>
          <w:noProof/>
        </w:rPr>
        <w:drawing>
          <wp:inline distT="0" distB="0" distL="0" distR="0" wp14:anchorId="1742B515" wp14:editId="7529A8CA">
            <wp:extent cx="5486400" cy="2933700"/>
            <wp:effectExtent l="0" t="0" r="0" b="0"/>
            <wp:docPr id="17" name="Picture 17" descr="Figur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igure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933700"/>
                    </a:xfrm>
                    <a:prstGeom prst="rect">
                      <a:avLst/>
                    </a:prstGeom>
                    <a:noFill/>
                    <a:ln>
                      <a:noFill/>
                    </a:ln>
                  </pic:spPr>
                </pic:pic>
              </a:graphicData>
            </a:graphic>
          </wp:inline>
        </w:drawing>
      </w:r>
    </w:p>
    <w:p w14:paraId="4D203275" w14:textId="77777777" w:rsidR="00C501C3" w:rsidRPr="005457F2" w:rsidRDefault="002E44F8" w:rsidP="00C501C3">
      <w:pPr>
        <w:pStyle w:val="NormalWeb"/>
      </w:pPr>
      <w:r w:rsidRPr="002A5E59">
        <w:rPr>
          <w:highlight w:val="yellow"/>
        </w:rPr>
        <w:t>Figure 5.</w:t>
      </w:r>
      <w:r w:rsidR="004F48DE" w:rsidRPr="002A5E59">
        <w:rPr>
          <w:highlight w:val="yellow"/>
        </w:rPr>
        <w:t>8</w:t>
      </w:r>
      <w:r w:rsidR="004F48DE" w:rsidRPr="005457F2">
        <w:t xml:space="preserve"> Bland–Altman plot showing the difference in BMD Z scores as measured by CT versus DXA</w:t>
      </w:r>
      <w:r w:rsidR="00C501C3">
        <w:t xml:space="preserve"> </w:t>
      </w:r>
      <w:r w:rsidR="00C501C3" w:rsidRPr="005457F2">
        <w:t>with mean difference and 95% limits of agreement.</w:t>
      </w:r>
    </w:p>
    <w:p w14:paraId="673C8753" w14:textId="77777777" w:rsidR="00B91CD8" w:rsidRPr="005457F2" w:rsidRDefault="004F48DE" w:rsidP="007F337B">
      <w:pPr>
        <w:pStyle w:val="NormalWeb"/>
      </w:pPr>
      <w:r w:rsidRPr="005457F2">
        <w:t>.</w:t>
      </w:r>
    </w:p>
    <w:p w14:paraId="18205D50" w14:textId="77777777" w:rsidR="00B91CD8" w:rsidRDefault="004F48DE" w:rsidP="00855E48">
      <w:pPr>
        <w:pStyle w:val="NormalWeb"/>
      </w:pPr>
      <w:r w:rsidRPr="005457F2">
        <w:lastRenderedPageBreak/>
        <w:t>That BMD Z scores by CT are, on average, higher than by DXA is not a severe problem. After all, we know that rectal temperatures are consistently higher than oral temperatures and can adjust accordingly. However, the large variability in the differences and the resulting wide limits of agreement make it hard to accept the use of these BMD measurements interchangeably.</w:t>
      </w:r>
    </w:p>
    <w:p w14:paraId="2CA87797" w14:textId="77777777" w:rsidR="003A63BC" w:rsidRPr="005457F2" w:rsidRDefault="003A63BC" w:rsidP="00855E48">
      <w:pPr>
        <w:pStyle w:val="NormalWeb"/>
      </w:pPr>
    </w:p>
    <w:p w14:paraId="5600B82B" w14:textId="77777777" w:rsidR="00B91CD8" w:rsidRPr="005457F2" w:rsidRDefault="004F48DE" w:rsidP="00841361">
      <w:pPr>
        <w:pStyle w:val="Heading3"/>
      </w:pPr>
      <w:r w:rsidRPr="005457F2">
        <w:t>Calibration</w:t>
      </w:r>
    </w:p>
    <w:p w14:paraId="74A61B11" w14:textId="60B69167" w:rsidR="00FF5FF0" w:rsidRDefault="004F48DE" w:rsidP="004C61E3">
      <w:pPr>
        <w:pStyle w:val="NormalWeb"/>
      </w:pPr>
      <w:r w:rsidRPr="005457F2">
        <w:t xml:space="preserve">Method comparison becomes calibration when one of the two methods being compared using a plot like </w:t>
      </w:r>
      <w:r w:rsidR="002E44F8">
        <w:t>Figure 5.</w:t>
      </w:r>
      <w:r w:rsidR="002C2E91">
        <w:t>8</w:t>
      </w:r>
      <w:r w:rsidR="002C2E91" w:rsidRPr="005457F2">
        <w:t xml:space="preserve"> </w:t>
      </w:r>
      <w:r w:rsidRPr="005457F2">
        <w:t xml:space="preserve">is considered the gold standard and gives the </w:t>
      </w:r>
      <w:r w:rsidR="00B91CD8" w:rsidRPr="005457F2">
        <w:t>“</w:t>
      </w:r>
      <w:r w:rsidRPr="005457F2">
        <w:t>true</w:t>
      </w:r>
      <w:r w:rsidR="00B91CD8" w:rsidRPr="005457F2">
        <w:t>”</w:t>
      </w:r>
      <w:r w:rsidRPr="005457F2">
        <w:t xml:space="preserve"> value of a measurement. For a true calibration problem, the gold standard method should be much more precise than the method</w:t>
      </w:r>
      <w:r w:rsidR="00770A5F">
        <w:t xml:space="preserve"> being compared against it</w:t>
      </w:r>
      <w:r w:rsidRPr="005457F2">
        <w:t>. In fact, the test–retest variability of the gold standard method should be so low that it can be ignored. The x-axis of the plot should then correspond to the measurement by the gold standard method rather than the mean of the two measurements.</w:t>
      </w:r>
      <w:r w:rsidR="00165B36">
        <w:fldChar w:fldCharType="begin"/>
      </w:r>
      <w:r w:rsidR="00A842BC">
        <w:instrText xml:space="preserve"> ADDIN EN.CITE &lt;EndNote&gt;&lt;Cite&gt;&lt;Author&gt;Krouwer&lt;/Author&gt;&lt;Year&gt;2008&lt;/Year&gt;&lt;RecNum&gt;1024&lt;/RecNum&gt;&lt;DisplayText&gt;[18]&lt;/DisplayText&gt;&lt;record&gt;&lt;rec-number&gt;1024&lt;/rec-number&gt;&lt;foreign-keys&gt;&lt;key app="EN" db-id="0ftvff9p80fp5few5s05f5fw9rd9fefrdzer" timestamp="0"&gt;1024&lt;/key&gt;&lt;/foreign-keys&gt;&lt;ref-type name="Journal Article"&gt;17&lt;/ref-type&gt;&lt;contributors&gt;&lt;authors&gt;&lt;author&gt;Krouwer, J. S.&lt;/author&gt;&lt;/authors&gt;&lt;/contributors&gt;&lt;auth-address&gt;Krouwer Consulting, 26 Parks Drive, Sherborn, MA 01770, U.S.A.&lt;/auth-address&gt;&lt;titles&gt;&lt;title&gt;Why Bland-Altman plots should use X, not (Y+X)/2 when X is a reference method&lt;/title&gt;&lt;secondary-title&gt;Stat Med&lt;/secondary-title&gt;&lt;/titles&gt;&lt;periodical&gt;&lt;full-title&gt;Stat Med&lt;/full-title&gt;&lt;/periodical&gt;&lt;pages&gt;778-80&lt;/pages&gt;&lt;volume&gt;27&lt;/volume&gt;&lt;number&gt;5&lt;/number&gt;&lt;dates&gt;&lt;year&gt;2008&lt;/year&gt;&lt;pub-dates&gt;&lt;date&gt;Feb 28&lt;/date&gt;&lt;/pub-dates&gt;&lt;/dates&gt;&lt;accession-num&gt;17907247&lt;/accession-num&gt;&lt;urls&gt;&lt;related-urls&gt;&lt;url&gt;http://www.ncbi.nlm.nih.gov/entrez/query.fcgi?cmd=Retrieve&amp;amp;db=PubMed&amp;amp;dopt=Citation&amp;amp;list_uids=17907247 &lt;/url&gt;&lt;/related-urls&gt;&lt;/urls&gt;&lt;/record&gt;&lt;/Cite&gt;&lt;/EndNote&gt;</w:instrText>
      </w:r>
      <w:r w:rsidR="00165B36">
        <w:fldChar w:fldCharType="separate"/>
      </w:r>
      <w:r w:rsidR="00A842BC">
        <w:rPr>
          <w:noProof/>
        </w:rPr>
        <w:t>[18]</w:t>
      </w:r>
      <w:r w:rsidR="00165B36">
        <w:fldChar w:fldCharType="end"/>
      </w:r>
      <w:r w:rsidRPr="005457F2">
        <w:t xml:space="preserve"> The plot then compares the difference between the method</w:t>
      </w:r>
      <w:r w:rsidR="004111AC">
        <w:t>s</w:t>
      </w:r>
      <w:r w:rsidRPr="005457F2">
        <w:t xml:space="preserve"> versus the gold standard value. </w:t>
      </w:r>
      <w:r w:rsidR="00FB6148">
        <w:t>This is called a “modified Bland-Altman plot</w:t>
      </w:r>
      <w:r w:rsidR="00993AA7">
        <w:t>.</w:t>
      </w:r>
      <w:r w:rsidR="00FB6148">
        <w:t>”</w:t>
      </w:r>
      <w:r w:rsidR="00FF5FF0">
        <w:rPr>
          <w:rStyle w:val="FootnoteReference"/>
        </w:rPr>
        <w:footnoteReference w:id="9"/>
      </w:r>
    </w:p>
    <w:p w14:paraId="23694607" w14:textId="77777777" w:rsidR="00F34806" w:rsidRDefault="00F34806" w:rsidP="003F197E">
      <w:pPr>
        <w:autoSpaceDE w:val="0"/>
        <w:autoSpaceDN w:val="0"/>
        <w:adjustRightInd w:val="0"/>
        <w:rPr>
          <w:b/>
        </w:rPr>
      </w:pPr>
    </w:p>
    <w:p w14:paraId="4D5BFA6C" w14:textId="605C3638" w:rsidR="00461893" w:rsidRDefault="00D00CF7" w:rsidP="003F197E">
      <w:pPr>
        <w:autoSpaceDE w:val="0"/>
        <w:autoSpaceDN w:val="0"/>
        <w:adjustRightInd w:val="0"/>
      </w:pPr>
      <w:r w:rsidRPr="00D00CF7">
        <w:rPr>
          <w:b/>
        </w:rPr>
        <w:t xml:space="preserve">Example </w:t>
      </w:r>
      <w:proofErr w:type="gramStart"/>
      <w:r w:rsidRPr="00D00CF7">
        <w:rPr>
          <w:b/>
        </w:rPr>
        <w:t>5.15</w:t>
      </w:r>
      <w:r>
        <w:rPr>
          <w:b/>
        </w:rPr>
        <w:t xml:space="preserve">  </w:t>
      </w:r>
      <w:r w:rsidR="000B7E64">
        <w:t>Earlier</w:t>
      </w:r>
      <w:proofErr w:type="gramEnd"/>
      <w:r w:rsidR="000B7E64">
        <w:t xml:space="preserve">, we </w:t>
      </w:r>
      <w:r w:rsidR="002B5CEE">
        <w:t>assessed</w:t>
      </w:r>
      <w:r w:rsidR="006B1177">
        <w:t xml:space="preserve"> </w:t>
      </w:r>
      <w:r w:rsidR="000B7E64">
        <w:t xml:space="preserve">the variability of repeated </w:t>
      </w:r>
      <w:r w:rsidR="006B1177">
        <w:t>glucose me</w:t>
      </w:r>
      <w:r w:rsidR="000B7E64">
        <w:t>asurements</w:t>
      </w:r>
      <w:r w:rsidR="006B1177">
        <w:t xml:space="preserve"> by a finger-stick </w:t>
      </w:r>
      <w:r w:rsidR="000B7E64">
        <w:t xml:space="preserve">blood glucose </w:t>
      </w:r>
      <w:r w:rsidR="002B5CEE">
        <w:t>meter</w:t>
      </w:r>
      <w:r w:rsidR="000B7E64">
        <w:t>.  Now</w:t>
      </w:r>
      <w:r w:rsidR="006B1177">
        <w:t xml:space="preserve">, </w:t>
      </w:r>
      <w:r w:rsidR="000B7E64">
        <w:t xml:space="preserve">we compare the </w:t>
      </w:r>
      <w:r w:rsidR="002B5CEE">
        <w:t xml:space="preserve">meter’s </w:t>
      </w:r>
      <w:r w:rsidR="000B7E64">
        <w:t xml:space="preserve">finger-stick measurement to </w:t>
      </w:r>
      <w:r w:rsidR="002B5CEE">
        <w:t>a laboratory measurement on a simultaneously drawn plasma specimen</w:t>
      </w:r>
      <w:r w:rsidR="003D79C9">
        <w:t xml:space="preserve">, </w:t>
      </w:r>
      <w:r w:rsidR="00D70D9A">
        <w:t xml:space="preserve">which is the </w:t>
      </w:r>
      <w:r>
        <w:t>reference standard</w:t>
      </w:r>
      <w:r w:rsidR="002B5CEE">
        <w:t xml:space="preserve">.  </w:t>
      </w:r>
      <w:r w:rsidR="00F92A24">
        <w:t>In fact, we</w:t>
      </w:r>
      <w:r w:rsidR="006030CF">
        <w:t xml:space="preserve"> compare two meters, Meter A (</w:t>
      </w:r>
      <w:proofErr w:type="spellStart"/>
      <w:r w:rsidR="006030CF">
        <w:t>AgaM</w:t>
      </w:r>
      <w:r w:rsidR="00F92A24">
        <w:t>atrix</w:t>
      </w:r>
      <w:proofErr w:type="spellEnd"/>
      <w:r w:rsidR="00F92A24">
        <w:t xml:space="preserve"> CVS Advanced) </w:t>
      </w:r>
      <w:r w:rsidR="006030CF">
        <w:t xml:space="preserve">and Meter B (Advocate </w:t>
      </w:r>
      <w:proofErr w:type="spellStart"/>
      <w:r w:rsidR="006030CF">
        <w:t>Redi</w:t>
      </w:r>
      <w:proofErr w:type="spellEnd"/>
      <w:r w:rsidR="006030CF">
        <w:t>-Code Plus</w:t>
      </w:r>
      <w:r w:rsidR="00F92A24">
        <w:t xml:space="preserve">) to the plasma specimen. </w:t>
      </w:r>
      <w:r w:rsidR="00E63C17">
        <w:fldChar w:fldCharType="begin"/>
      </w:r>
      <w:r w:rsidR="00A842BC">
        <w:instrText xml:space="preserve"> ADDIN EN.CITE &lt;EndNote&gt;&lt;Cite&gt;&lt;Author&gt;Klonoff&lt;/Author&gt;&lt;Year&gt;2018&lt;/Year&gt;&lt;RecNum&gt;1555&lt;/RecNum&gt;&lt;DisplayText&gt;[19]&lt;/DisplayText&gt;&lt;record&gt;&lt;rec-number&gt;1555&lt;/rec-number&gt;&lt;foreign-keys&gt;&lt;key app="EN" db-id="0ftvff9p80fp5few5s05f5fw9rd9fefrdzer" timestamp="1533016873"&gt;1555&lt;/key&gt;&lt;/foreign-keys&gt;&lt;ref-type name="Journal Article"&gt;17&lt;/ref-type&gt;&lt;contributors&gt;&lt;authors&gt;&lt;author&gt;Klonoff, D. C.&lt;/author&gt;&lt;author&gt;Parkes, J. L.&lt;/author&gt;&lt;author&gt;Kovatchev, B. P.&lt;/author&gt;&lt;author&gt;Kerr, D.&lt;/author&gt;&lt;author&gt;Bevier, W. C.&lt;/author&gt;&lt;author&gt;Brazg, R. L.&lt;/author&gt;&lt;author&gt;Christiansen, M.&lt;/author&gt;&lt;author&gt;Bailey, T. S.&lt;/author&gt;&lt;author&gt;Nichols, J. H.&lt;/author&gt;&lt;author&gt;Kohn, M. A.&lt;/author&gt;&lt;/authors&gt;&lt;/contributors&gt;&lt;auth-address&gt;Mills-Peninsula Medical Center, Diabetes Research Institute, San Mateo, CA dklonoff@diabetestechnology.org.&amp;#xD;Joan Lee Parkes Consulting, Inc., Bristol, IN.&amp;#xD;Center for Diabetes Technology, University of Virginia, Charlottesville, VA.&amp;#xD;William Sansum Diabetes Center, Santa Barbara, CA.&amp;#xD;Rainier Clinical Research Center, Inc., Renton, WA.&amp;#xD;Diablo Clinical Research, Walnut Creek, CA.&amp;#xD;AMCR Institute, Inc., Escondido, CA.&amp;#xD;School of Medicine, Vanderbilt University, Nashville, TN.&amp;#xD;Department of Epidemiology and Biostatistics, University of California, San Francisco, San Francisco, CA.&lt;/auth-address&gt;&lt;titles&gt;&lt;title&gt;Investigation of the Accuracy of 18 Marketed Blood Glucose Monitors&lt;/title&gt;&lt;secondary-title&gt;Diabetes Care&lt;/secondary-title&gt;&lt;/titles&gt;&lt;periodical&gt;&lt;full-title&gt;Diabetes Care&lt;/full-title&gt;&lt;/periodical&gt;&lt;pages&gt;1681-1688&lt;/pages&gt;&lt;volume&gt;41&lt;/volume&gt;&lt;number&gt;8&lt;/number&gt;&lt;dates&gt;&lt;year&gt;2018&lt;/year&gt;&lt;pub-dates&gt;&lt;date&gt;Aug&lt;/date&gt;&lt;/pub-dates&gt;&lt;/dates&gt;&lt;isbn&gt;1935-5548 (Electronic)&amp;#xD;0149-5992 (Linking)&lt;/isbn&gt;&lt;accession-num&gt;29898901&lt;/accession-num&gt;&lt;urls&gt;&lt;related-urls&gt;&lt;url&gt;https://www.ncbi.nlm.nih.gov/pubmed/29898901&lt;/url&gt;&lt;/related-urls&gt;&lt;/urls&gt;&lt;electronic-resource-num&gt;10.2337/dc17-1960&lt;/electronic-resource-num&gt;&lt;/record&gt;&lt;/Cite&gt;&lt;/EndNote&gt;</w:instrText>
      </w:r>
      <w:r w:rsidR="00E63C17">
        <w:fldChar w:fldCharType="separate"/>
      </w:r>
      <w:r w:rsidR="00A842BC">
        <w:rPr>
          <w:noProof/>
        </w:rPr>
        <w:t>[19]</w:t>
      </w:r>
      <w:r w:rsidR="00E63C17">
        <w:fldChar w:fldCharType="end"/>
      </w:r>
      <w:r w:rsidR="00E63C17">
        <w:t xml:space="preserve">   </w:t>
      </w:r>
      <w:r w:rsidR="006030CF">
        <w:t xml:space="preserve">As </w:t>
      </w:r>
      <w:proofErr w:type="spellStart"/>
      <w:r w:rsidR="006030CF">
        <w:t>in</w:t>
      </w:r>
      <w:proofErr w:type="spellEnd"/>
      <w:r w:rsidR="006030CF">
        <w:t xml:space="preserve"> Example 5.13, the difference between the finger-stick and plasma m</w:t>
      </w:r>
      <w:r w:rsidR="00EC0ACE">
        <w:t xml:space="preserve">easurements </w:t>
      </w:r>
      <w:r w:rsidR="006030CF">
        <w:t xml:space="preserve">is proportional to the magnitude of the measurement, so we plot percent </w:t>
      </w:r>
      <w:r w:rsidR="00EC0ACE">
        <w:t xml:space="preserve">error </w:t>
      </w:r>
      <w:r w:rsidR="006030CF">
        <w:t>rather tha</w:t>
      </w:r>
      <w:r w:rsidR="00C303C8">
        <w:t xml:space="preserve">n absolute error. (Figure 5.9) </w:t>
      </w:r>
      <w:r w:rsidR="00D70D9A">
        <w:t>As mentioned above, t</w:t>
      </w:r>
      <w:r w:rsidR="003D79C9">
        <w:t>he mean error is also called the bias</w:t>
      </w:r>
      <w:r w:rsidR="00461893">
        <w:t>, which is reported along with the standard deviation of the error.</w:t>
      </w:r>
    </w:p>
    <w:p w14:paraId="6CC9EFF2" w14:textId="009C4361" w:rsidR="00461893" w:rsidRDefault="00461893" w:rsidP="003F197E">
      <w:pPr>
        <w:autoSpaceDE w:val="0"/>
        <w:autoSpaceDN w:val="0"/>
        <w:adjustRightInd w:val="0"/>
      </w:pPr>
    </w:p>
    <w:p w14:paraId="0723747C" w14:textId="77777777" w:rsidR="00461893" w:rsidRDefault="00461893" w:rsidP="003F197E">
      <w:pPr>
        <w:autoSpaceDE w:val="0"/>
        <w:autoSpaceDN w:val="0"/>
        <w:adjustRightInd w:val="0"/>
      </w:pPr>
    </w:p>
    <w:p w14:paraId="18B02EEC" w14:textId="0C4201C1" w:rsidR="00C303C8" w:rsidRDefault="00A50048" w:rsidP="003F197E">
      <w:pPr>
        <w:autoSpaceDE w:val="0"/>
        <w:autoSpaceDN w:val="0"/>
        <w:adjustRightInd w:val="0"/>
      </w:pPr>
      <w:r>
        <w:t xml:space="preserve">Figure 5.9 shows that Meter A provided an unbiased estimate </w:t>
      </w:r>
      <w:r w:rsidR="008A0375">
        <w:t xml:space="preserve">(bias = -0.3%) </w:t>
      </w:r>
      <w:r>
        <w:t xml:space="preserve">of the plasma glucose level, while Meter B tended to understate the </w:t>
      </w:r>
      <w:r w:rsidR="002338D3">
        <w:t>level</w:t>
      </w:r>
      <w:r w:rsidR="008A0375">
        <w:t xml:space="preserve"> (bias = -9.2%)</w:t>
      </w:r>
      <w:r w:rsidR="002338D3">
        <w:t>.  Meter A also had a lower standard deviation, so the zone of 95% agreement is narrower.</w:t>
      </w:r>
    </w:p>
    <w:p w14:paraId="3A04C5F0" w14:textId="77777777" w:rsidR="008A6E3A" w:rsidRDefault="008A6E3A" w:rsidP="003F197E">
      <w:pPr>
        <w:autoSpaceDE w:val="0"/>
        <w:autoSpaceDN w:val="0"/>
        <w:adjustRightInd w:val="0"/>
      </w:pPr>
    </w:p>
    <w:p w14:paraId="642A567C" w14:textId="77777777" w:rsidR="008A6E3A" w:rsidRDefault="008A6E3A" w:rsidP="003F197E">
      <w:pPr>
        <w:autoSpaceDE w:val="0"/>
        <w:autoSpaceDN w:val="0"/>
        <w:adjustRightInd w:val="0"/>
      </w:pPr>
    </w:p>
    <w:p w14:paraId="4744CC22" w14:textId="77777777" w:rsidR="00092C23" w:rsidRDefault="00F34806" w:rsidP="00092C23">
      <w:pPr>
        <w:autoSpaceDE w:val="0"/>
        <w:autoSpaceDN w:val="0"/>
        <w:adjustRightInd w:val="0"/>
        <w:rPr>
          <w:noProof/>
        </w:rPr>
      </w:pPr>
      <w:r w:rsidRPr="00FC0618">
        <w:rPr>
          <w:noProof/>
        </w:rPr>
        <w:lastRenderedPageBreak/>
        <w:drawing>
          <wp:inline distT="0" distB="0" distL="0" distR="0" wp14:anchorId="282E560C" wp14:editId="1A2D4C69">
            <wp:extent cx="5481955" cy="3375660"/>
            <wp:effectExtent l="0" t="0" r="17145" b="1524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57FC35" w14:textId="77777777" w:rsidR="00092C23" w:rsidRDefault="00092C23" w:rsidP="00092C23">
      <w:pPr>
        <w:autoSpaceDE w:val="0"/>
        <w:autoSpaceDN w:val="0"/>
        <w:adjustRightInd w:val="0"/>
      </w:pPr>
    </w:p>
    <w:p w14:paraId="0B735E84" w14:textId="4D18B3BC" w:rsidR="004111AC" w:rsidRDefault="00617876" w:rsidP="00092C23">
      <w:pPr>
        <w:autoSpaceDE w:val="0"/>
        <w:autoSpaceDN w:val="0"/>
        <w:adjustRightInd w:val="0"/>
      </w:pPr>
      <w:r>
        <w:t>Figure 5.9. Modified Bland-Altman plots comparing finger-stick measurements on Meter A and Meter B to glucose level measured by the refe</w:t>
      </w:r>
      <w:r w:rsidR="00F858D5">
        <w:t>re</w:t>
      </w:r>
      <w:r>
        <w:t xml:space="preserve">nce lab on a simultaneously obtained plasma specimen.  Bias (Coefficient of Variation): Meter </w:t>
      </w:r>
      <w:proofErr w:type="gramStart"/>
      <w:r>
        <w:t>A  -</w:t>
      </w:r>
      <w:proofErr w:type="gramEnd"/>
      <w:r>
        <w:t>0.3% (7.0%); Meter B -9.2% (9.7%).</w:t>
      </w:r>
      <w:r w:rsidR="002338D3">
        <w:t xml:space="preserve">  Data from</w:t>
      </w:r>
      <w:r w:rsidR="00174616">
        <w:t xml:space="preserve"> </w:t>
      </w:r>
      <w:r w:rsidR="00174616">
        <w:fldChar w:fldCharType="begin"/>
      </w:r>
      <w:r w:rsidR="00A842BC">
        <w:instrText xml:space="preserve"> ADDIN EN.CITE &lt;EndNote&gt;&lt;Cite&gt;&lt;Author&gt;Klonoff&lt;/Author&gt;&lt;Year&gt;2018&lt;/Year&gt;&lt;RecNum&gt;1555&lt;/RecNum&gt;&lt;DisplayText&gt;[19]&lt;/DisplayText&gt;&lt;record&gt;&lt;rec-number&gt;1555&lt;/rec-number&gt;&lt;foreign-keys&gt;&lt;key app="EN" db-id="0ftvff9p80fp5few5s05f5fw9rd9fefrdzer" timestamp="1533016873"&gt;1555&lt;/key&gt;&lt;/foreign-keys&gt;&lt;ref-type name="Journal Article"&gt;17&lt;/ref-type&gt;&lt;contributors&gt;&lt;authors&gt;&lt;author&gt;Klonoff, D. C.&lt;/author&gt;&lt;author&gt;Parkes, J. L.&lt;/author&gt;&lt;author&gt;Kovatchev, B. P.&lt;/author&gt;&lt;author&gt;Kerr, D.&lt;/author&gt;&lt;author&gt;Bevier, W. C.&lt;/author&gt;&lt;author&gt;Brazg, R. L.&lt;/author&gt;&lt;author&gt;Christiansen, M.&lt;/author&gt;&lt;author&gt;Bailey, T. S.&lt;/author&gt;&lt;author&gt;Nichols, J. H.&lt;/author&gt;&lt;author&gt;Kohn, M. A.&lt;/author&gt;&lt;/authors&gt;&lt;/contributors&gt;&lt;auth-address&gt;Mills-Peninsula Medical Center, Diabetes Research Institute, San Mateo, CA dklonoff@diabetestechnology.org.&amp;#xD;Joan Lee Parkes Consulting, Inc., Bristol, IN.&amp;#xD;Center for Diabetes Technology, University of Virginia, Charlottesville, VA.&amp;#xD;William Sansum Diabetes Center, Santa Barbara, CA.&amp;#xD;Rainier Clinical Research Center, Inc., Renton, WA.&amp;#xD;Diablo Clinical Research, Walnut Creek, CA.&amp;#xD;AMCR Institute, Inc., Escondido, CA.&amp;#xD;School of Medicine, Vanderbilt University, Nashville, TN.&amp;#xD;Department of Epidemiology and Biostatistics, University of California, San Francisco, San Francisco, CA.&lt;/auth-address&gt;&lt;titles&gt;&lt;title&gt;Investigation of the Accuracy of 18 Marketed Blood Glucose Monitors&lt;/title&gt;&lt;secondary-title&gt;Diabetes Care&lt;/secondary-title&gt;&lt;/titles&gt;&lt;periodical&gt;&lt;full-title&gt;Diabetes Care&lt;/full-title&gt;&lt;/periodical&gt;&lt;pages&gt;1681-1688&lt;/pages&gt;&lt;volume&gt;41&lt;/volume&gt;&lt;number&gt;8&lt;/number&gt;&lt;dates&gt;&lt;year&gt;2018&lt;/year&gt;&lt;pub-dates&gt;&lt;date&gt;Aug&lt;/date&gt;&lt;/pub-dates&gt;&lt;/dates&gt;&lt;isbn&gt;1935-5548 (Electronic)&amp;#xD;0149-5992 (Linking)&lt;/isbn&gt;&lt;accession-num&gt;29898901&lt;/accession-num&gt;&lt;urls&gt;&lt;related-urls&gt;&lt;url&gt;https://www.ncbi.nlm.nih.gov/pubmed/29898901&lt;/url&gt;&lt;/related-urls&gt;&lt;/urls&gt;&lt;electronic-resource-num&gt;10.2337/dc17-1960&lt;/electronic-resource-num&gt;&lt;/record&gt;&lt;/Cite&gt;&lt;/EndNote&gt;</w:instrText>
      </w:r>
      <w:r w:rsidR="00174616">
        <w:fldChar w:fldCharType="separate"/>
      </w:r>
      <w:r w:rsidR="00A842BC">
        <w:rPr>
          <w:noProof/>
        </w:rPr>
        <w:t>[19]</w:t>
      </w:r>
      <w:r w:rsidR="00174616">
        <w:fldChar w:fldCharType="end"/>
      </w:r>
      <w:r w:rsidR="00C80C1D">
        <w:t>;</w:t>
      </w:r>
      <w:r w:rsidR="00174616">
        <w:t xml:space="preserve"> </w:t>
      </w:r>
      <w:r w:rsidR="002338D3">
        <w:t xml:space="preserve">Meter A = </w:t>
      </w:r>
      <w:proofErr w:type="spellStart"/>
      <w:r w:rsidR="002338D3">
        <w:t>AgaMatrix</w:t>
      </w:r>
      <w:proofErr w:type="spellEnd"/>
      <w:r w:rsidR="002338D3">
        <w:t xml:space="preserve"> CVS Advanced</w:t>
      </w:r>
      <w:r w:rsidR="00C80C1D">
        <w:t>,</w:t>
      </w:r>
      <w:r w:rsidR="002338D3">
        <w:t xml:space="preserve"> Meter B =Advocate </w:t>
      </w:r>
      <w:proofErr w:type="spellStart"/>
      <w:r w:rsidR="002338D3">
        <w:t>Redi</w:t>
      </w:r>
      <w:proofErr w:type="spellEnd"/>
      <w:r w:rsidR="002338D3">
        <w:t>-Code Plus</w:t>
      </w:r>
      <w:r w:rsidR="00C80C1D">
        <w:t>;</w:t>
      </w:r>
      <w:r w:rsidR="002338D3">
        <w:t xml:space="preserve">  N = 318.</w:t>
      </w:r>
      <w:r w:rsidR="00C303C8">
        <w:br w:type="page"/>
      </w:r>
      <w:r w:rsidR="004111AC">
        <w:lastRenderedPageBreak/>
        <w:t xml:space="preserve">We prefer </w:t>
      </w:r>
      <w:r w:rsidR="00FC191C">
        <w:t xml:space="preserve">calibration plots </w:t>
      </w:r>
      <w:r w:rsidR="00C80C1D">
        <w:t xml:space="preserve">like </w:t>
      </w:r>
      <w:r w:rsidR="00FC191C">
        <w:t>those in Figure 5.9 that plot</w:t>
      </w:r>
      <w:r w:rsidR="004111AC">
        <w:t xml:space="preserve"> the diff</w:t>
      </w:r>
      <w:r w:rsidR="00FC191C">
        <w:t>erence</w:t>
      </w:r>
      <w:r w:rsidR="00C80C1D">
        <w:t>s</w:t>
      </w:r>
      <w:r w:rsidR="00FC191C">
        <w:t xml:space="preserve"> between two measurements, so we can compare </w:t>
      </w:r>
      <w:r w:rsidR="00C80C1D">
        <w:t>them</w:t>
      </w:r>
      <w:r w:rsidR="004111AC">
        <w:t xml:space="preserve"> to </w:t>
      </w:r>
      <w:r w:rsidR="00FC191C">
        <w:t xml:space="preserve">the </w:t>
      </w:r>
      <w:r w:rsidR="004111AC">
        <w:t xml:space="preserve">horizontal </w:t>
      </w:r>
      <w:r w:rsidR="00FC191C">
        <w:t xml:space="preserve">zero </w:t>
      </w:r>
      <w:r w:rsidR="004111AC">
        <w:t>line</w:t>
      </w:r>
      <w:r w:rsidR="00FC191C">
        <w:t xml:space="preserve">.  </w:t>
      </w:r>
      <w:r w:rsidR="004111AC">
        <w:t xml:space="preserve">It is a better way to visualize measurement agreement (or lack thereof) than plotting </w:t>
      </w:r>
      <w:r w:rsidR="00C80C1D">
        <w:t xml:space="preserve">one measurement against the other </w:t>
      </w:r>
      <w:r w:rsidR="004111AC">
        <w:t xml:space="preserve">and comparing </w:t>
      </w:r>
      <w:r w:rsidR="00C80C1D">
        <w:t xml:space="preserve">results </w:t>
      </w:r>
      <w:r w:rsidR="004111AC">
        <w:t>to a 45-degree diagonal as in Figure 5.7.  Unfortunately</w:t>
      </w:r>
      <w:r w:rsidR="00FC191C">
        <w:t>,</w:t>
      </w:r>
      <w:r w:rsidR="004111AC">
        <w:t xml:space="preserve"> </w:t>
      </w:r>
      <w:r w:rsidR="00FC191C">
        <w:t>a</w:t>
      </w:r>
      <w:r w:rsidR="004111AC">
        <w:t xml:space="preserve">s we will see in </w:t>
      </w:r>
      <w:r w:rsidR="00FC191C">
        <w:t xml:space="preserve">the next chapter, </w:t>
      </w:r>
      <w:r w:rsidR="004111AC">
        <w:t xml:space="preserve">the standard calibration plot </w:t>
      </w:r>
      <w:r w:rsidR="00FC191C">
        <w:t>used to evaluate predictions uses the 45-degree diagonal.</w:t>
      </w:r>
    </w:p>
    <w:p w14:paraId="12D399E5" w14:textId="77777777" w:rsidR="00B91CD8" w:rsidRPr="005457F2" w:rsidRDefault="004F48DE" w:rsidP="000E0681">
      <w:pPr>
        <w:pStyle w:val="Heading2"/>
      </w:pPr>
      <w:r w:rsidRPr="005457F2">
        <w:t>Using studies of reliability from the literature</w:t>
      </w:r>
    </w:p>
    <w:p w14:paraId="5AC3B324" w14:textId="2CD0F333" w:rsidR="00705E0E" w:rsidRDefault="00566BBE" w:rsidP="003D1341">
      <w:pPr>
        <w:pStyle w:val="NormalWeb"/>
      </w:pPr>
      <w:r>
        <w:t>In Chapter 4 we provided guidance on critical appraisal of studies of diagnostic test accuracy.  In this section we provide som</w:t>
      </w:r>
      <w:r w:rsidR="009836CC">
        <w:t>e</w:t>
      </w:r>
      <w:r>
        <w:t xml:space="preserve"> tips on studies of </w:t>
      </w:r>
      <w:r w:rsidR="004F48DE" w:rsidRPr="005457F2">
        <w:t>reliability.</w:t>
      </w:r>
      <w:r w:rsidR="00446DB5" w:rsidRPr="005457F2">
        <w:rPr>
          <w:rStyle w:val="FootnoteReference"/>
        </w:rPr>
        <w:footnoteReference w:id="10"/>
      </w:r>
      <w:r w:rsidR="004F48DE" w:rsidRPr="005457F2">
        <w:t xml:space="preserve"> First, consider the </w:t>
      </w:r>
      <w:r w:rsidR="004F48DE" w:rsidRPr="00705E0E">
        <w:rPr>
          <w:color w:val="008000"/>
        </w:rPr>
        <w:t>study subjects</w:t>
      </w:r>
      <w:r w:rsidR="004F48DE" w:rsidRPr="005457F2">
        <w:t xml:space="preserve">. In studies of reliability, there are really two sets of subjects: the patients, who </w:t>
      </w:r>
      <w:r w:rsidR="00E82311">
        <w:t>will have a particular distribution of results or</w:t>
      </w:r>
      <w:r w:rsidR="004F48DE" w:rsidRPr="005457F2">
        <w:t xml:space="preserve"> </w:t>
      </w:r>
      <w:r w:rsidR="007816D8" w:rsidRPr="005457F2">
        <w:t>fi</w:t>
      </w:r>
      <w:r w:rsidR="004F48DE" w:rsidRPr="005457F2">
        <w:t>nding</w:t>
      </w:r>
      <w:r w:rsidR="00E82311">
        <w:t>s</w:t>
      </w:r>
      <w:r w:rsidR="004F48DE" w:rsidRPr="005457F2">
        <w:t xml:space="preserve">, and the examiners. If we want to know whether results are applicable in our own clinical setting, the </w:t>
      </w:r>
      <w:r w:rsidR="00705E0E">
        <w:t>subjects</w:t>
      </w:r>
      <w:r w:rsidR="004F48DE" w:rsidRPr="005457F2">
        <w:t xml:space="preserve"> in the study should be representative of those </w:t>
      </w:r>
      <w:r w:rsidR="001A417E">
        <w:t>who</w:t>
      </w:r>
      <w:r w:rsidR="00E82311">
        <w:t>m</w:t>
      </w:r>
      <w:r w:rsidR="001A417E" w:rsidRPr="005457F2">
        <w:t xml:space="preserve"> </w:t>
      </w:r>
      <w:r w:rsidR="004F48DE" w:rsidRPr="005457F2">
        <w:t xml:space="preserve">we or our colleagues are likely to </w:t>
      </w:r>
      <w:r w:rsidR="00E82311">
        <w:t>test</w:t>
      </w:r>
      <w:r w:rsidR="004F48DE" w:rsidRPr="005457F2">
        <w:t>. Speci</w:t>
      </w:r>
      <w:r w:rsidR="007816D8" w:rsidRPr="005457F2">
        <w:t>fi</w:t>
      </w:r>
      <w:r w:rsidR="004F48DE" w:rsidRPr="005457F2">
        <w:t xml:space="preserve">cally, the way </w:t>
      </w:r>
      <w:r w:rsidR="00624A74">
        <w:t>that</w:t>
      </w:r>
      <w:r w:rsidR="004F48DE" w:rsidRPr="005457F2">
        <w:t xml:space="preserve"> we would like them to be representative is that their </w:t>
      </w:r>
      <w:r w:rsidR="007816D8" w:rsidRPr="005457F2">
        <w:t>fi</w:t>
      </w:r>
      <w:r w:rsidR="004F48DE" w:rsidRPr="005457F2">
        <w:t>ndings should be as easy or as dif</w:t>
      </w:r>
      <w:r w:rsidR="007816D8" w:rsidRPr="005457F2">
        <w:t>fi</w:t>
      </w:r>
      <w:r w:rsidR="004F48DE" w:rsidRPr="005457F2">
        <w:t xml:space="preserve">cult to discern as those of patients in our own clinical population – neither very subtle nor very obvious </w:t>
      </w:r>
      <w:r w:rsidR="00624A74">
        <w:t xml:space="preserve">nor very extreme </w:t>
      </w:r>
      <w:r w:rsidR="007816D8" w:rsidRPr="005457F2">
        <w:t>fi</w:t>
      </w:r>
      <w:r w:rsidR="004F48DE" w:rsidRPr="005457F2">
        <w:t xml:space="preserve">ndings should be over-represented. Watch for studies in which subjects with ambiguous or borderline results are under-sampled or not included at all. </w:t>
      </w:r>
    </w:p>
    <w:p w14:paraId="20BC5AD3" w14:textId="12CFCFCA" w:rsidR="00B91CD8" w:rsidRPr="005457F2" w:rsidRDefault="004F48DE" w:rsidP="003D1341">
      <w:pPr>
        <w:pStyle w:val="NormalWeb"/>
      </w:pPr>
      <w:r w:rsidRPr="005457F2">
        <w:t xml:space="preserve">Similarly, consider whether the </w:t>
      </w:r>
      <w:r w:rsidRPr="00705E0E">
        <w:rPr>
          <w:color w:val="008000"/>
        </w:rPr>
        <w:t>examiners</w:t>
      </w:r>
      <w:r w:rsidR="00624A74">
        <w:rPr>
          <w:color w:val="008000"/>
        </w:rPr>
        <w:t xml:space="preserve"> or instruments used</w:t>
      </w:r>
      <w:r w:rsidRPr="005457F2">
        <w:t xml:space="preserve"> in the study are representative. How were they selected? </w:t>
      </w:r>
      <w:r w:rsidR="00F56308">
        <w:t xml:space="preserve"> If</w:t>
      </w:r>
      <w:r w:rsidR="00624A74">
        <w:t xml:space="preserve"> examiners were selected </w:t>
      </w:r>
      <w:r w:rsidRPr="005457F2">
        <w:t xml:space="preserve">because of their interest in inter-observer variability or their location in a center </w:t>
      </w:r>
      <w:r w:rsidR="001A417E">
        <w:t>that specializes</w:t>
      </w:r>
      <w:r w:rsidRPr="005457F2">
        <w:t xml:space="preserve"> in the problem, the</w:t>
      </w:r>
      <w:r w:rsidR="00F56308">
        <w:t xml:space="preserve">y may </w:t>
      </w:r>
      <w:r w:rsidRPr="005457F2">
        <w:t>perform better than might be expected elsewhere. But the opposite is also possible: sometimes investigators are motivated to study inter-observer variability</w:t>
      </w:r>
      <w:r w:rsidR="00574C91">
        <w:t xml:space="preserve"> or method comparison </w:t>
      </w:r>
      <w:r w:rsidR="005774F7">
        <w:t>instruments</w:t>
      </w:r>
      <w:r w:rsidRPr="005457F2">
        <w:t xml:space="preserve"> in a particular setting because they have the impression that it is poor.</w:t>
      </w:r>
    </w:p>
    <w:p w14:paraId="74F515F5" w14:textId="77777777" w:rsidR="00B91CD8" w:rsidRPr="005457F2" w:rsidRDefault="004F48DE" w:rsidP="003D1341">
      <w:pPr>
        <w:pStyle w:val="NormalWeb"/>
      </w:pPr>
      <w:r w:rsidRPr="005457F2">
        <w:t xml:space="preserve">In testing the reliability of two observers on a normal/abnormal rating, it does not make sense to include only subjects rated abnormal by at least one of the two raters. This excludes all the agreements where both raters thought the subject was normal. Nor does it make sense for the second rating to occur only if the </w:t>
      </w:r>
      <w:r w:rsidR="007816D8" w:rsidRPr="005457F2">
        <w:t>fi</w:t>
      </w:r>
      <w:r w:rsidRPr="005457F2">
        <w:t>rst rating is abnormal. This excludes disagreements of type normal/abnormal and only allows type abnormal/normal.</w:t>
      </w:r>
    </w:p>
    <w:p w14:paraId="795858E1" w14:textId="3BEF76E3" w:rsidR="00B91CD8" w:rsidRDefault="001A417E" w:rsidP="003D1341">
      <w:pPr>
        <w:pStyle w:val="NormalWeb"/>
      </w:pPr>
      <w:r>
        <w:t>Next,</w:t>
      </w:r>
      <w:r w:rsidR="004F48DE" w:rsidRPr="005457F2">
        <w:t xml:space="preserve"> think about the </w:t>
      </w:r>
      <w:r w:rsidR="004F48DE" w:rsidRPr="00864009">
        <w:rPr>
          <w:color w:val="008000"/>
        </w:rPr>
        <w:t>measurements</w:t>
      </w:r>
      <w:r w:rsidR="004F48DE" w:rsidRPr="005457F2">
        <w:t xml:space="preserve"> in the study. Were they performed similarly to how such measurements are performed in your clinical setting? Were there optimal conditions, such as a quiet room, good lighting, or </w:t>
      </w:r>
      <w:r w:rsidR="005774F7">
        <w:t xml:space="preserve">and regular maintenance of the </w:t>
      </w:r>
      <w:r w:rsidR="004F48DE" w:rsidRPr="005457F2">
        <w:t xml:space="preserve">instruments to do the measurements? </w:t>
      </w:r>
      <w:r w:rsidR="00737827">
        <w:t xml:space="preserve">Are the investigators studying </w:t>
      </w:r>
      <w:r w:rsidR="004F48DE" w:rsidRPr="005457F2">
        <w:t>the whole process for making the measurement, or have the</w:t>
      </w:r>
      <w:r w:rsidR="00737827">
        <w:t>y</w:t>
      </w:r>
      <w:r w:rsidR="004F48DE" w:rsidRPr="005457F2">
        <w:t xml:space="preserve"> selected only a single step? For example, a study of inter-rater reliability of interpretation of mammograms, in which two observers read the same</w:t>
      </w:r>
      <w:r w:rsidR="002E406D" w:rsidRPr="005457F2">
        <w:t xml:space="preserve"> </w:t>
      </w:r>
      <w:r w:rsidR="007816D8" w:rsidRPr="005457F2">
        <w:t>fi</w:t>
      </w:r>
      <w:r w:rsidR="004F48DE" w:rsidRPr="005457F2">
        <w:t xml:space="preserve">lms, will capture variability only in the interpretation of images, not in how the breast was imaged. This will probably overestimate reliability. On the other hand, cardiologists reading a </w:t>
      </w:r>
      <w:r w:rsidR="005B3C3C" w:rsidRPr="005457F2">
        <w:t>video</w:t>
      </w:r>
      <w:r w:rsidR="005B3C3C">
        <w:t>recorded</w:t>
      </w:r>
      <w:r w:rsidR="005B3C3C" w:rsidRPr="005457F2">
        <w:t xml:space="preserve"> </w:t>
      </w:r>
      <w:r w:rsidR="004F48DE" w:rsidRPr="005457F2">
        <w:t>echocardiogram might show lower reliability than if they were performing the echocardiogram themselves.</w:t>
      </w:r>
    </w:p>
    <w:p w14:paraId="4D5699C3" w14:textId="4B756035" w:rsidR="00354470" w:rsidRDefault="00FB6070" w:rsidP="003D1341">
      <w:pPr>
        <w:pStyle w:val="NormalWeb"/>
      </w:pPr>
      <w:r>
        <w:lastRenderedPageBreak/>
        <w:t>Finally, did the authors investig</w:t>
      </w:r>
      <w:r w:rsidR="004579F8">
        <w:t>ate predictors of reliability?  Associations between variables are often more generalizable across populations than are descriptive statistics on the variable</w:t>
      </w:r>
      <w:r w:rsidR="004F78E9">
        <w:t>s themselves.  For ex</w:t>
      </w:r>
      <w:r w:rsidR="00836202">
        <w:t xml:space="preserve">ample, Terry et al found that </w:t>
      </w:r>
      <w:r w:rsidR="0003132D">
        <w:t>reliability of breast staging was better</w:t>
      </w:r>
      <w:r w:rsidR="00FB4880">
        <w:t xml:space="preserve"> </w:t>
      </w:r>
      <w:r w:rsidR="0003132D">
        <w:t xml:space="preserve">in younger and slimmer girls. In fact, among </w:t>
      </w:r>
      <w:r w:rsidR="009C3716">
        <w:t xml:space="preserve">girls over 10 years old with a body mass index above the 85th percentile, </w:t>
      </w:r>
      <w:r w:rsidR="003B3860">
        <w:t>k</w:t>
      </w:r>
      <w:r w:rsidR="009C3716">
        <w:t>appa</w:t>
      </w:r>
      <w:r w:rsidR="005E3FAC">
        <w:t xml:space="preserve"> was -0.06 for both the</w:t>
      </w:r>
      <w:r w:rsidR="009C3716">
        <w:t xml:space="preserve"> girls</w:t>
      </w:r>
      <w:r w:rsidR="007D3268">
        <w:t xml:space="preserve"> them</w:t>
      </w:r>
      <w:r w:rsidR="005E3FAC">
        <w:t xml:space="preserve">selves </w:t>
      </w:r>
      <w:r w:rsidR="008A4666">
        <w:t>and their mother</w:t>
      </w:r>
      <w:r w:rsidR="00C04F5F">
        <w:t xml:space="preserve">s (compared with clinicians). </w:t>
      </w:r>
      <w:r w:rsidR="009A7E24">
        <w:t xml:space="preserve"> </w:t>
      </w:r>
      <w:r w:rsidR="00354470">
        <w:t xml:space="preserve"> </w:t>
      </w:r>
      <w:r w:rsidR="00375C2C">
        <w:t>Identifying predictors of poor reliability can suggest targeted interventions to improve it or help identify subsets of patien</w:t>
      </w:r>
      <w:r w:rsidR="00D865D5">
        <w:t>ts in whom a particular test may be too unreliable to use.</w:t>
      </w:r>
      <w:r w:rsidR="00055330">
        <w:t xml:space="preserve">  In this case, the results suggest not relyin</w:t>
      </w:r>
      <w:r w:rsidR="00AF0D8A">
        <w:t>g on mothers' or daughters</w:t>
      </w:r>
      <w:r w:rsidR="005B3C3C">
        <w:t>'</w:t>
      </w:r>
      <w:r w:rsidR="00AF0D8A">
        <w:t xml:space="preserve"> self-</w:t>
      </w:r>
      <w:r w:rsidR="00055330">
        <w:t xml:space="preserve">assessments </w:t>
      </w:r>
      <w:r w:rsidR="00AF0D8A">
        <w:t>of breast development if the girl's body mass index is above the 85th percentile.</w:t>
      </w:r>
    </w:p>
    <w:p w14:paraId="0E55A895" w14:textId="6D27179B" w:rsidR="00B91CD8" w:rsidRPr="005457F2" w:rsidRDefault="004F48DE" w:rsidP="003D1341">
      <w:pPr>
        <w:pStyle w:val="NormalWeb"/>
      </w:pPr>
      <w:r w:rsidRPr="005457F2">
        <w:t xml:space="preserve">For further discussion of these issues, see Chapter 12 of </w:t>
      </w:r>
      <w:r w:rsidRPr="005457F2">
        <w:rPr>
          <w:i/>
        </w:rPr>
        <w:t>Designing Clinical Research</w:t>
      </w:r>
      <w:r w:rsidR="00FB6070">
        <w:rPr>
          <w:i/>
        </w:rPr>
        <w:t>, 4th</w:t>
      </w:r>
      <w:r w:rsidRPr="005457F2">
        <w:t xml:space="preserve"> </w:t>
      </w:r>
      <w:r w:rsidR="00FB6070" w:rsidRPr="00FB6070">
        <w:rPr>
          <w:i/>
        </w:rPr>
        <w:t>Edition</w:t>
      </w:r>
      <w:r w:rsidRPr="005457F2">
        <w:t>.</w:t>
      </w:r>
      <w:r w:rsidR="00A67C0A">
        <w:fldChar w:fldCharType="begin"/>
      </w:r>
      <w:r w:rsidR="00A842BC">
        <w:instrText xml:space="preserve"> ADDIN EN.CITE &lt;EndNote&gt;&lt;Cite&gt;&lt;Author&gt;Hulley&lt;/Author&gt;&lt;Year&gt;2013&lt;/Year&gt;&lt;RecNum&gt;1423&lt;/RecNum&gt;&lt;DisplayText&gt;[20]&lt;/DisplayText&gt;&lt;record&gt;&lt;rec-number&gt;1423&lt;/rec-number&gt;&lt;foreign-keys&gt;&lt;key app="EN" db-id="0ftvff9p80fp5few5s05f5fw9rd9fefrdzer" timestamp="1505519681"&gt;1423&lt;/key&gt;&lt;/foreign-keys&gt;&lt;ref-type name="Book"&gt;6&lt;/ref-type&gt;&lt;contributors&gt;&lt;authors&gt;&lt;author&gt;Hulley, Stephen B.&lt;/author&gt;&lt;author&gt;Cummings, Steven R.&lt;/author&gt;&lt;author&gt;Browner, Warren S.&lt;/author&gt;&lt;author&gt;Grady, Deborah G.&lt;/author&gt;&lt;author&gt;Newman, Thomas B.&lt;/author&gt;&lt;/authors&gt;&lt;/contributors&gt;&lt;titles&gt;&lt;title&gt;Designing clinical research, 4th ed.&lt;/title&gt;&lt;/titles&gt;&lt;pages&gt;p.&lt;/pages&gt;&lt;edition&gt;4th&lt;/edition&gt;&lt;keywords&gt;&lt;keyword&gt;Epidemiologic Methods.&lt;/keyword&gt;&lt;keyword&gt;Research Design.&lt;/keyword&gt;&lt;/keywords&gt;&lt;dates&gt;&lt;year&gt;2013&lt;/year&gt;&lt;/dates&gt;&lt;pub-location&gt;Philadelphia&lt;/pub-location&gt;&lt;publisher&gt;Wolters Kluwer/Lippincott Williams &amp;amp; Wilkins&lt;/publisher&gt;&lt;isbn&gt;9781608318049 (pbk.)&lt;/isbn&gt;&lt;accession-num&gt;17658159&lt;/accession-num&gt;&lt;call-num&gt;R853.C55&lt;/call-num&gt;&lt;urls&gt;&lt;/urls&gt;&lt;/record&gt;&lt;/Cite&gt;&lt;/EndNote&gt;</w:instrText>
      </w:r>
      <w:r w:rsidR="00A67C0A">
        <w:fldChar w:fldCharType="separate"/>
      </w:r>
      <w:r w:rsidR="00A842BC">
        <w:rPr>
          <w:noProof/>
        </w:rPr>
        <w:t>[20]</w:t>
      </w:r>
      <w:r w:rsidR="00A67C0A">
        <w:fldChar w:fldCharType="end"/>
      </w:r>
    </w:p>
    <w:p w14:paraId="07310E56" w14:textId="77777777" w:rsidR="00B91CD8" w:rsidRPr="005457F2" w:rsidRDefault="004F48DE" w:rsidP="00F64642">
      <w:pPr>
        <w:pStyle w:val="Heading2"/>
      </w:pPr>
      <w:r w:rsidRPr="005457F2">
        <w:t>Summary of key points</w:t>
      </w:r>
    </w:p>
    <w:p w14:paraId="7FFFA12D" w14:textId="77777777" w:rsidR="001B59D6" w:rsidRPr="005457F2" w:rsidRDefault="004F48DE" w:rsidP="001B59D6">
      <w:pPr>
        <w:pStyle w:val="NormalWeb"/>
        <w:ind w:left="252" w:hanging="252"/>
      </w:pPr>
      <w:r w:rsidRPr="005457F2">
        <w:t>1. The methods used to quantify inter- and intra-rater reliability of measu</w:t>
      </w:r>
      <w:r w:rsidR="001B59D6" w:rsidRPr="005457F2">
        <w:t>rements depend on variable type</w:t>
      </w:r>
      <w:r w:rsidR="00005F79" w:rsidRPr="005457F2">
        <w:t>.</w:t>
      </w:r>
    </w:p>
    <w:p w14:paraId="0CD7346F" w14:textId="77777777" w:rsidR="00005F79" w:rsidRPr="005457F2" w:rsidRDefault="004F48DE" w:rsidP="001B59D6">
      <w:pPr>
        <w:pStyle w:val="NormalWeb"/>
        <w:ind w:left="252" w:hanging="252"/>
      </w:pPr>
      <w:r w:rsidRPr="005457F2">
        <w:t xml:space="preserve">2. For categorical variables, the </w:t>
      </w:r>
      <w:r w:rsidRPr="005457F2">
        <w:rPr>
          <w:b/>
        </w:rPr>
        <w:t>observed % agreement</w:t>
      </w:r>
      <w:r w:rsidRPr="005457F2">
        <w:t xml:space="preserve"> is simply the proportion of the measurements upon whi</w:t>
      </w:r>
      <w:r w:rsidR="00005F79" w:rsidRPr="005457F2">
        <w:t>ch both observers agree exactly.</w:t>
      </w:r>
    </w:p>
    <w:p w14:paraId="37034E2E" w14:textId="77777777" w:rsidR="00005F79" w:rsidRPr="005457F2" w:rsidRDefault="004F48DE" w:rsidP="001B59D6">
      <w:pPr>
        <w:pStyle w:val="NormalWeb"/>
        <w:ind w:left="252" w:hanging="252"/>
      </w:pPr>
      <w:r w:rsidRPr="005457F2">
        <w:t>3. Particularly when observers agree that the prevalence of any of the different categories is high or low, it may be desirable to calculate</w:t>
      </w:r>
      <w:r w:rsidRPr="005457F2">
        <w:rPr>
          <w:b/>
        </w:rPr>
        <w:t xml:space="preserve"> kappa</w:t>
      </w:r>
      <w:r w:rsidRPr="005457F2">
        <w:t xml:space="preserve"> (</w:t>
      </w:r>
      <w:r w:rsidRPr="005457F2">
        <w:rPr>
          <w:b/>
          <w:i/>
        </w:rPr>
        <w:t>κ</w:t>
      </w:r>
      <w:r w:rsidRPr="005457F2">
        <w:t>), an estimate of agreement beyond that expected based on the row and column totals (</w:t>
      </w:r>
      <w:r w:rsidR="00B91CD8" w:rsidRPr="005457F2">
        <w:t>“</w:t>
      </w:r>
      <w:r w:rsidRPr="005457F2">
        <w:t>marginals</w:t>
      </w:r>
      <w:r w:rsidR="00B91CD8" w:rsidRPr="005457F2">
        <w:t>”</w:t>
      </w:r>
      <w:r w:rsidRPr="005457F2">
        <w:t>) in a table summarizing the results.</w:t>
      </w:r>
    </w:p>
    <w:p w14:paraId="14DB1BF9" w14:textId="49A2E4A4" w:rsidR="00005F79" w:rsidRPr="005457F2" w:rsidRDefault="004F48DE" w:rsidP="001B59D6">
      <w:pPr>
        <w:pStyle w:val="NormalWeb"/>
        <w:ind w:left="252" w:hanging="252"/>
      </w:pPr>
      <w:r w:rsidRPr="005457F2">
        <w:t xml:space="preserve">4. For ordered categories, weighted </w:t>
      </w:r>
      <w:r w:rsidR="007A3A28">
        <w:t xml:space="preserve">kappa </w:t>
      </w:r>
      <w:r w:rsidR="00BF0D09">
        <w:t>provides</w:t>
      </w:r>
      <w:r w:rsidRPr="005457F2">
        <w:t xml:space="preserve"> partial credit for close but not exact agreement. Linear, quadratic, or custom weights can be used.</w:t>
      </w:r>
    </w:p>
    <w:p w14:paraId="34CCCA18" w14:textId="77777777" w:rsidR="00005F79" w:rsidRPr="005457F2" w:rsidRDefault="004F48DE" w:rsidP="001B59D6">
      <w:pPr>
        <w:pStyle w:val="NormalWeb"/>
        <w:ind w:left="252" w:hanging="252"/>
      </w:pPr>
      <w:r w:rsidRPr="005457F2">
        <w:t xml:space="preserve">5. For continuous measurements, the within-subject standard deviation expresses the spread of </w:t>
      </w:r>
      <w:r w:rsidR="00B51FDE">
        <w:t xml:space="preserve">repeated </w:t>
      </w:r>
      <w:r w:rsidRPr="005457F2">
        <w:t>measurements around the subject</w:t>
      </w:r>
      <w:r w:rsidR="00B91CD8" w:rsidRPr="005457F2">
        <w:t>’</w:t>
      </w:r>
      <w:r w:rsidRPr="005457F2">
        <w:t>s mean.</w:t>
      </w:r>
    </w:p>
    <w:p w14:paraId="2F71BBC2" w14:textId="77777777" w:rsidR="00005F79" w:rsidRPr="005457F2" w:rsidRDefault="004F48DE" w:rsidP="001B59D6">
      <w:pPr>
        <w:pStyle w:val="NormalWeb"/>
        <w:ind w:left="252" w:hanging="252"/>
      </w:pPr>
      <w:r w:rsidRPr="005457F2">
        <w:t xml:space="preserve">6. When measurement error increases with the value of the mean (e.g., a measurement is accurate to ±3%), the </w:t>
      </w:r>
      <w:r w:rsidRPr="005457F2">
        <w:rPr>
          <w:b/>
        </w:rPr>
        <w:t>coef</w:t>
      </w:r>
      <w:r w:rsidR="007816D8" w:rsidRPr="005457F2">
        <w:rPr>
          <w:b/>
        </w:rPr>
        <w:t>fi</w:t>
      </w:r>
      <w:r w:rsidRPr="005457F2">
        <w:rPr>
          <w:b/>
        </w:rPr>
        <w:t>cient of variation</w:t>
      </w:r>
      <w:r w:rsidRPr="005457F2">
        <w:t>, equal to the within-subject standard deviation divided by the mean, is a better way to express reproducibility.</w:t>
      </w:r>
    </w:p>
    <w:p w14:paraId="393CCE6E" w14:textId="092A52F4" w:rsidR="00B91CD8" w:rsidRDefault="004F48DE" w:rsidP="001B59D6">
      <w:pPr>
        <w:pStyle w:val="NormalWeb"/>
        <w:ind w:left="252" w:hanging="252"/>
      </w:pPr>
      <w:r w:rsidRPr="005457F2">
        <w:t>7. Bland–Altman plots are helpful for comparing methods of measurement</w:t>
      </w:r>
      <w:r w:rsidR="00C16476">
        <w:t>. T</w:t>
      </w:r>
      <w:r w:rsidRPr="005457F2">
        <w:t>hey show the scatter of differences between the methods, whether the difference tends to increase with the magnitude of the measurement, and any systematic difference or bias.</w:t>
      </w:r>
    </w:p>
    <w:p w14:paraId="6CC81A57" w14:textId="77777777" w:rsidR="00B51FDE" w:rsidRPr="005457F2" w:rsidRDefault="00B51FDE" w:rsidP="001B59D6">
      <w:pPr>
        <w:pStyle w:val="NormalWeb"/>
        <w:ind w:left="252" w:hanging="252"/>
      </w:pPr>
      <w:r>
        <w:t xml:space="preserve">8. Comparing an alternative method for making continuous measurements with a highly reliable reference standard is called calibration. </w:t>
      </w:r>
    </w:p>
    <w:p w14:paraId="01AEAA9E" w14:textId="77777777" w:rsidR="00A842BC" w:rsidRPr="00A842BC" w:rsidRDefault="00465BA2" w:rsidP="00A842BC">
      <w:pPr>
        <w:pStyle w:val="EndNoteBibliographyTitle"/>
        <w:rPr>
          <w:noProof/>
        </w:rPr>
      </w:pPr>
      <w:r>
        <w:br w:type="page"/>
      </w:r>
      <w:r w:rsidR="007F4D5A">
        <w:lastRenderedPageBreak/>
        <w:fldChar w:fldCharType="begin"/>
      </w:r>
      <w:r w:rsidR="007F4D5A">
        <w:instrText xml:space="preserve"> ADDIN EN.REFLIST </w:instrText>
      </w:r>
      <w:r w:rsidR="007F4D5A">
        <w:fldChar w:fldCharType="separate"/>
      </w:r>
      <w:r w:rsidR="00A842BC" w:rsidRPr="00A842BC">
        <w:rPr>
          <w:noProof/>
        </w:rPr>
        <w:t>REFERENCES</w:t>
      </w:r>
    </w:p>
    <w:p w14:paraId="7B89A32E" w14:textId="77777777" w:rsidR="00A842BC" w:rsidRPr="00A842BC" w:rsidRDefault="00A842BC" w:rsidP="00A842BC">
      <w:pPr>
        <w:pStyle w:val="EndNoteBibliographyTitle"/>
        <w:rPr>
          <w:noProof/>
        </w:rPr>
      </w:pPr>
    </w:p>
    <w:p w14:paraId="5A58D54B" w14:textId="77777777" w:rsidR="00A842BC" w:rsidRPr="00A842BC" w:rsidRDefault="00A842BC" w:rsidP="00A842BC">
      <w:pPr>
        <w:pStyle w:val="EndNoteBibliography"/>
        <w:rPr>
          <w:noProof/>
        </w:rPr>
      </w:pPr>
      <w:r w:rsidRPr="00A842BC">
        <w:rPr>
          <w:noProof/>
        </w:rPr>
        <w:t>1.</w:t>
      </w:r>
      <w:r w:rsidRPr="00A842BC">
        <w:rPr>
          <w:noProof/>
        </w:rPr>
        <w:tab/>
        <w:t>Bland JM, Altman DG. Statistical methods for assessing agreement between two methods of clinical measurement. Lancet. 1986;1(8476):307-10.</w:t>
      </w:r>
    </w:p>
    <w:p w14:paraId="2D8C7A87" w14:textId="77777777" w:rsidR="00A842BC" w:rsidRPr="00A842BC" w:rsidRDefault="00A842BC" w:rsidP="00A842BC">
      <w:pPr>
        <w:pStyle w:val="EndNoteBibliography"/>
        <w:rPr>
          <w:noProof/>
        </w:rPr>
      </w:pPr>
      <w:r w:rsidRPr="00A842BC">
        <w:rPr>
          <w:noProof/>
        </w:rPr>
        <w:t>2.</w:t>
      </w:r>
      <w:r w:rsidRPr="00A842BC">
        <w:rPr>
          <w:noProof/>
        </w:rPr>
        <w:tab/>
        <w:t>Yen K, Karpas A, Pinkerton HJ, Gorelick MH. Interexaminer reliability in physical examination of pediatric patients with abdominal pain. Arch Pediatr Adolesc Med. 2005;159(4):373-6.</w:t>
      </w:r>
    </w:p>
    <w:p w14:paraId="64BBB307" w14:textId="77777777" w:rsidR="00A842BC" w:rsidRPr="00A842BC" w:rsidRDefault="00A842BC" w:rsidP="00A842BC">
      <w:pPr>
        <w:pStyle w:val="EndNoteBibliography"/>
        <w:rPr>
          <w:noProof/>
        </w:rPr>
      </w:pPr>
      <w:r w:rsidRPr="00A842BC">
        <w:rPr>
          <w:noProof/>
        </w:rPr>
        <w:t>3.</w:t>
      </w:r>
      <w:r w:rsidRPr="00A842BC">
        <w:rPr>
          <w:noProof/>
        </w:rPr>
        <w:tab/>
        <w:t>Kaplowitz PB, Oberfield SE. Reexamination of the age limit for defining when puberty is precocious in girls in the United States: implications for evaluation and treatment. Drug and Therapeutics and Executive Committees of the Lawson Wilkins Pediatric Endocrine Society. Pediatrics. 1999;104(4 Pt 1):936-41.</w:t>
      </w:r>
    </w:p>
    <w:p w14:paraId="3B5BE607" w14:textId="77777777" w:rsidR="00A842BC" w:rsidRPr="00A842BC" w:rsidRDefault="00A842BC" w:rsidP="00A842BC">
      <w:pPr>
        <w:pStyle w:val="EndNoteBibliography"/>
        <w:rPr>
          <w:noProof/>
        </w:rPr>
      </w:pPr>
      <w:r w:rsidRPr="00A842BC">
        <w:rPr>
          <w:noProof/>
        </w:rPr>
        <w:t>4.</w:t>
      </w:r>
      <w:r w:rsidRPr="00A842BC">
        <w:rPr>
          <w:noProof/>
        </w:rPr>
        <w:tab/>
        <w:t>Maron DF. Early puberty: causes and effects. Scientific American. 2015;312(5):28,30.</w:t>
      </w:r>
    </w:p>
    <w:p w14:paraId="34AB6AC8" w14:textId="77777777" w:rsidR="00A842BC" w:rsidRPr="00A842BC" w:rsidRDefault="00A842BC" w:rsidP="00A842BC">
      <w:pPr>
        <w:pStyle w:val="EndNoteBibliography"/>
        <w:rPr>
          <w:noProof/>
        </w:rPr>
      </w:pPr>
      <w:r w:rsidRPr="00A842BC">
        <w:rPr>
          <w:noProof/>
        </w:rPr>
        <w:t>5.</w:t>
      </w:r>
      <w:r w:rsidRPr="00A842BC">
        <w:rPr>
          <w:noProof/>
        </w:rPr>
        <w:tab/>
        <w:t>Ozen S, Darcan S. Effects of environmental endocrine disruptors on pubertal development. J Clin Res Pediatr Endocrinol. 2011;3(1):1-6.</w:t>
      </w:r>
    </w:p>
    <w:p w14:paraId="27FCC961" w14:textId="77777777" w:rsidR="00A842BC" w:rsidRPr="00A842BC" w:rsidRDefault="00A842BC" w:rsidP="00A842BC">
      <w:pPr>
        <w:pStyle w:val="EndNoteBibliography"/>
        <w:rPr>
          <w:noProof/>
        </w:rPr>
      </w:pPr>
      <w:r w:rsidRPr="00A842BC">
        <w:rPr>
          <w:noProof/>
        </w:rPr>
        <w:t>6.</w:t>
      </w:r>
      <w:r w:rsidRPr="00A842BC">
        <w:rPr>
          <w:noProof/>
        </w:rPr>
        <w:tab/>
        <w:t>Terry MB, Goldberg M, Schechter S, Houghton LC, White ML, O'Toole K, et al. Comparison of Clinical, Maternal, and Self Pubertal Assessments: Implications for Health Studies. Pediatrics. 2016;138(1).</w:t>
      </w:r>
    </w:p>
    <w:p w14:paraId="012C1D99" w14:textId="77777777" w:rsidR="00A842BC" w:rsidRPr="00A842BC" w:rsidRDefault="00A842BC" w:rsidP="00A842BC">
      <w:pPr>
        <w:pStyle w:val="EndNoteBibliography"/>
        <w:rPr>
          <w:noProof/>
        </w:rPr>
      </w:pPr>
      <w:r w:rsidRPr="00A842BC">
        <w:rPr>
          <w:noProof/>
        </w:rPr>
        <w:t>7.</w:t>
      </w:r>
      <w:r w:rsidRPr="00A842BC">
        <w:rPr>
          <w:noProof/>
        </w:rPr>
        <w:tab/>
        <w:t>Siew L, Hsiao A, McCarthy P, Agarwal A, Lee E, Chen L. Reliability of Telemedicine in the Assessment of Seriously Ill Children. Pediatrics. 2016;137(3):e20150712.</w:t>
      </w:r>
    </w:p>
    <w:p w14:paraId="6B11153E" w14:textId="77777777" w:rsidR="00A842BC" w:rsidRPr="00A842BC" w:rsidRDefault="00A842BC" w:rsidP="00A842BC">
      <w:pPr>
        <w:pStyle w:val="EndNoteBibliography"/>
        <w:rPr>
          <w:noProof/>
        </w:rPr>
      </w:pPr>
      <w:r w:rsidRPr="00A842BC">
        <w:rPr>
          <w:noProof/>
        </w:rPr>
        <w:t>8.</w:t>
      </w:r>
      <w:r w:rsidRPr="00A842BC">
        <w:rPr>
          <w:noProof/>
        </w:rPr>
        <w:tab/>
        <w:t>Perry H, Foley KG, Witherspoon J, Powell-Chandler A, Abdelrahman T, Roberts A, et al. Relative accuracy of emergency CT in adults with non-traumatic abdominal pain. Br J Radiol. 2016;89(1059):20150416.</w:t>
      </w:r>
    </w:p>
    <w:p w14:paraId="788B9D9F" w14:textId="77777777" w:rsidR="00A842BC" w:rsidRPr="00A842BC" w:rsidRDefault="00A842BC" w:rsidP="00A842BC">
      <w:pPr>
        <w:pStyle w:val="EndNoteBibliography"/>
        <w:rPr>
          <w:noProof/>
        </w:rPr>
      </w:pPr>
      <w:r w:rsidRPr="00A842BC">
        <w:rPr>
          <w:noProof/>
        </w:rPr>
        <w:t>9.</w:t>
      </w:r>
      <w:r w:rsidRPr="00A842BC">
        <w:rPr>
          <w:noProof/>
        </w:rPr>
        <w:tab/>
        <w:t>Gill MR, Reiley DG, Green SM. Interrater reliability of Glasgow Coma Scale scores in the emergency department. Ann Emerg Med. 2004;43(2):215-23.</w:t>
      </w:r>
    </w:p>
    <w:p w14:paraId="4BF86FA1" w14:textId="77777777" w:rsidR="00A842BC" w:rsidRPr="00A842BC" w:rsidRDefault="00A842BC" w:rsidP="00A842BC">
      <w:pPr>
        <w:pStyle w:val="EndNoteBibliography"/>
        <w:rPr>
          <w:noProof/>
        </w:rPr>
      </w:pPr>
      <w:r w:rsidRPr="00A842BC">
        <w:rPr>
          <w:noProof/>
        </w:rPr>
        <w:t>10.</w:t>
      </w:r>
      <w:r w:rsidRPr="00A842BC">
        <w:rPr>
          <w:noProof/>
        </w:rPr>
        <w:tab/>
        <w:t>Sackett D, Haynes R, Guyatt G, Tugwell P. Clinical Epidemiology: A Basic Science for Clinical Medicine. Boston: Little, Brown and Company; 1991. 52 p.</w:t>
      </w:r>
    </w:p>
    <w:p w14:paraId="299A7E7A" w14:textId="77777777" w:rsidR="00A842BC" w:rsidRPr="00A842BC" w:rsidRDefault="00A842BC" w:rsidP="00A842BC">
      <w:pPr>
        <w:pStyle w:val="EndNoteBibliography"/>
        <w:rPr>
          <w:noProof/>
        </w:rPr>
      </w:pPr>
      <w:r w:rsidRPr="00A842BC">
        <w:rPr>
          <w:noProof/>
        </w:rPr>
        <w:t>11.</w:t>
      </w:r>
      <w:r w:rsidRPr="00A842BC">
        <w:rPr>
          <w:noProof/>
        </w:rPr>
        <w:tab/>
        <w:t>Altman DG. Practical statistics for medical research. 1st ed. London ; New York: Chapman and Hall; 1991. xii, 611 p. p.</w:t>
      </w:r>
    </w:p>
    <w:p w14:paraId="4C742496" w14:textId="77777777" w:rsidR="00A842BC" w:rsidRPr="00A842BC" w:rsidRDefault="00A842BC" w:rsidP="00A842BC">
      <w:pPr>
        <w:pStyle w:val="EndNoteBibliography"/>
        <w:rPr>
          <w:noProof/>
        </w:rPr>
      </w:pPr>
      <w:r w:rsidRPr="00A842BC">
        <w:rPr>
          <w:noProof/>
        </w:rPr>
        <w:t>12.</w:t>
      </w:r>
      <w:r w:rsidRPr="00A842BC">
        <w:rPr>
          <w:noProof/>
        </w:rPr>
        <w:tab/>
        <w:t>Bland JM, Altman DG. Measurement error. Bmj. 1996;313(7059):744.</w:t>
      </w:r>
    </w:p>
    <w:p w14:paraId="5A72B0C9" w14:textId="77777777" w:rsidR="00A842BC" w:rsidRPr="00A842BC" w:rsidRDefault="00A842BC" w:rsidP="00A842BC">
      <w:pPr>
        <w:pStyle w:val="EndNoteBibliography"/>
        <w:rPr>
          <w:noProof/>
        </w:rPr>
      </w:pPr>
      <w:r w:rsidRPr="00A842BC">
        <w:rPr>
          <w:noProof/>
        </w:rPr>
        <w:t>13.</w:t>
      </w:r>
      <w:r w:rsidRPr="00A842BC">
        <w:rPr>
          <w:noProof/>
        </w:rPr>
        <w:tab/>
        <w:t>Bland JM, Altman DG. Measurement error and correlation coefficients. Bmj. 1996;313(7048):41-2.</w:t>
      </w:r>
    </w:p>
    <w:p w14:paraId="73014860" w14:textId="77777777" w:rsidR="00A842BC" w:rsidRPr="00A842BC" w:rsidRDefault="00A842BC" w:rsidP="00A842BC">
      <w:pPr>
        <w:pStyle w:val="EndNoteBibliography"/>
        <w:rPr>
          <w:noProof/>
        </w:rPr>
      </w:pPr>
      <w:r w:rsidRPr="00A842BC">
        <w:rPr>
          <w:noProof/>
        </w:rPr>
        <w:t>14.</w:t>
      </w:r>
      <w:r w:rsidRPr="00A842BC">
        <w:rPr>
          <w:noProof/>
        </w:rPr>
        <w:tab/>
        <w:t>Lederle FA, Wilson SE, Johnson GR, Reinke DB, Littooy FN, Acher CW, et al. Variability in measurement of abdominal aortic aneurysms. Abdominal Aortic Aneurysm Detection and Management Veterans Administration Cooperative Study Group. J Vasc Surg. 1995;21(6):945-52.</w:t>
      </w:r>
    </w:p>
    <w:p w14:paraId="77A834FF" w14:textId="77777777" w:rsidR="00A842BC" w:rsidRPr="00A842BC" w:rsidRDefault="00A842BC" w:rsidP="00A842BC">
      <w:pPr>
        <w:pStyle w:val="EndNoteBibliography"/>
        <w:rPr>
          <w:noProof/>
        </w:rPr>
      </w:pPr>
      <w:r w:rsidRPr="00A842BC">
        <w:rPr>
          <w:noProof/>
        </w:rPr>
        <w:t>15.</w:t>
      </w:r>
      <w:r w:rsidRPr="00A842BC">
        <w:rPr>
          <w:noProof/>
        </w:rPr>
        <w:tab/>
        <w:t>Bos WJ, van Goudoever J, van Montfrans GA, van den Meiracker AH, Wesseling KH. Reconstruction of brachial artery pressure from noninvasive finger pressure measurements. Circulation. 1996;94(8):1870-5.</w:t>
      </w:r>
    </w:p>
    <w:p w14:paraId="07B89AB3" w14:textId="77777777" w:rsidR="00A842BC" w:rsidRPr="00A842BC" w:rsidRDefault="00A842BC" w:rsidP="00A842BC">
      <w:pPr>
        <w:pStyle w:val="EndNoteBibliography"/>
        <w:rPr>
          <w:noProof/>
        </w:rPr>
      </w:pPr>
      <w:r w:rsidRPr="00A842BC">
        <w:rPr>
          <w:noProof/>
        </w:rPr>
        <w:t>16.</w:t>
      </w:r>
      <w:r w:rsidRPr="00A842BC">
        <w:rPr>
          <w:noProof/>
        </w:rPr>
        <w:tab/>
        <w:t>Bland JM, Altman DG. Measuring agreement in method comparison studies. Stat Methods Med Res. 1999;8(2):135-60.</w:t>
      </w:r>
    </w:p>
    <w:p w14:paraId="54E25231" w14:textId="77777777" w:rsidR="00A842BC" w:rsidRPr="00A842BC" w:rsidRDefault="00A842BC" w:rsidP="00A842BC">
      <w:pPr>
        <w:pStyle w:val="EndNoteBibliography"/>
        <w:rPr>
          <w:noProof/>
        </w:rPr>
      </w:pPr>
      <w:r w:rsidRPr="00A842BC">
        <w:rPr>
          <w:noProof/>
        </w:rPr>
        <w:t>17.</w:t>
      </w:r>
      <w:r w:rsidRPr="00A842BC">
        <w:rPr>
          <w:noProof/>
        </w:rPr>
        <w:tab/>
        <w:t>Wren TA, Liu X, Pitukcheewanont P, Gilsanz V. Bone densitometry in pediatric populations: discrepancies in the diagnosis of osteoporosis by DXA and CT. J Pediatr. 2005;146(6):776-9.</w:t>
      </w:r>
    </w:p>
    <w:p w14:paraId="5DDA9345" w14:textId="77777777" w:rsidR="00A842BC" w:rsidRPr="00A842BC" w:rsidRDefault="00A842BC" w:rsidP="00A842BC">
      <w:pPr>
        <w:pStyle w:val="EndNoteBibliography"/>
        <w:rPr>
          <w:noProof/>
        </w:rPr>
      </w:pPr>
      <w:r w:rsidRPr="00A842BC">
        <w:rPr>
          <w:noProof/>
        </w:rPr>
        <w:lastRenderedPageBreak/>
        <w:t>18.</w:t>
      </w:r>
      <w:r w:rsidRPr="00A842BC">
        <w:rPr>
          <w:noProof/>
        </w:rPr>
        <w:tab/>
        <w:t>Krouwer JS. Why Bland-Altman plots should use X, not (Y+X)/2 when X is a reference method. Stat Med. 2008;27(5):778-80.</w:t>
      </w:r>
    </w:p>
    <w:p w14:paraId="623E42AE" w14:textId="77777777" w:rsidR="00A842BC" w:rsidRPr="00A842BC" w:rsidRDefault="00A842BC" w:rsidP="00A842BC">
      <w:pPr>
        <w:pStyle w:val="EndNoteBibliography"/>
        <w:rPr>
          <w:noProof/>
        </w:rPr>
      </w:pPr>
      <w:r w:rsidRPr="00A842BC">
        <w:rPr>
          <w:noProof/>
        </w:rPr>
        <w:t>19.</w:t>
      </w:r>
      <w:r w:rsidRPr="00A842BC">
        <w:rPr>
          <w:noProof/>
        </w:rPr>
        <w:tab/>
        <w:t>Klonoff DC, Parkes JL, Kovatchev BP, Kerr D, Bevier WC, Brazg RL, et al. Investigation of the Accuracy of 18 Marketed Blood Glucose Monitors. Diabetes Care. 2018;41(8):1681-8.</w:t>
      </w:r>
    </w:p>
    <w:p w14:paraId="1ADF42A6" w14:textId="77777777" w:rsidR="00A842BC" w:rsidRPr="00A842BC" w:rsidRDefault="00A842BC" w:rsidP="00A842BC">
      <w:pPr>
        <w:pStyle w:val="EndNoteBibliography"/>
        <w:rPr>
          <w:noProof/>
        </w:rPr>
      </w:pPr>
      <w:r w:rsidRPr="00A842BC">
        <w:rPr>
          <w:noProof/>
        </w:rPr>
        <w:t>20.</w:t>
      </w:r>
      <w:r w:rsidRPr="00A842BC">
        <w:rPr>
          <w:noProof/>
        </w:rPr>
        <w:tab/>
        <w:t>Hulley SB, Cummings SR, Browner WS, Grady DG, Newman TB. Designing clinical research, 4th ed. 4th ed. Philadelphia: Wolters Kluwer/Lippincott Williams &amp; Wilkins; 2013. p. p.</w:t>
      </w:r>
    </w:p>
    <w:p w14:paraId="67931B12" w14:textId="099100FB" w:rsidR="002814F0" w:rsidRPr="004B69A5" w:rsidRDefault="007F4D5A" w:rsidP="00A95F13">
      <w:pPr>
        <w:pStyle w:val="Indenthanginga"/>
      </w:pPr>
      <w:r>
        <w:fldChar w:fldCharType="end"/>
      </w:r>
    </w:p>
    <w:sectPr w:rsidR="002814F0" w:rsidRPr="004B69A5" w:rsidSect="008652DB">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8E41" w14:textId="77777777" w:rsidR="00147868" w:rsidRDefault="00147868" w:rsidP="006128A6">
      <w:r>
        <w:separator/>
      </w:r>
    </w:p>
  </w:endnote>
  <w:endnote w:type="continuationSeparator" w:id="0">
    <w:p w14:paraId="5965D567" w14:textId="77777777" w:rsidR="00147868" w:rsidRDefault="00147868" w:rsidP="0061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Regular">
    <w:altName w:val="Times New Roman"/>
    <w:panose1 w:val="020B0604020202020204"/>
    <w:charset w:val="00"/>
    <w:family w:val="roman"/>
    <w:notTrueType/>
    <w:pitch w:val="default"/>
    <w:sig w:usb0="00000003" w:usb1="00000000" w:usb2="00000000" w:usb3="00000000" w:csb0="00000001" w:csb1="00000000"/>
  </w:font>
  <w:font w:name="MTSY">
    <w:altName w:val="Times New Roman"/>
    <w:panose1 w:val="020B0604020202020204"/>
    <w:charset w:val="00"/>
    <w:family w:val="swiss"/>
    <w:notTrueType/>
    <w:pitch w:val="default"/>
    <w:sig w:usb0="00000003" w:usb1="00000000" w:usb2="00000000" w:usb3="00000000" w:csb0="00000001" w:csb1="00000000"/>
  </w:font>
  <w:font w:name="Minion-Bold">
    <w:altName w:val="Cambria"/>
    <w:panose1 w:val="020B0604020202020204"/>
    <w:charset w:val="00"/>
    <w:family w:val="roman"/>
    <w:notTrueType/>
    <w:pitch w:val="default"/>
    <w:sig w:usb0="00000003" w:usb1="00000000" w:usb2="00000000" w:usb3="00000000" w:csb0="00000001" w:csb1="00000000"/>
  </w:font>
  <w:font w:name="RMTMI">
    <w:panose1 w:val="020B0604020202020204"/>
    <w:charset w:val="00"/>
    <w:family w:val="swiss"/>
    <w:notTrueType/>
    <w:pitch w:val="default"/>
    <w:sig w:usb0="00000003" w:usb1="00000000" w:usb2="00000000" w:usb3="00000000" w:csb0="00000001" w:csb1="00000000"/>
  </w:font>
  <w:font w:name="Formata BQ-Regular">
    <w:altName w:val="Calibri"/>
    <w:panose1 w:val="020B0604020202020204"/>
    <w:charset w:val="00"/>
    <w:family w:val="roman"/>
    <w:notTrueType/>
    <w:pitch w:val="default"/>
    <w:sig w:usb0="00000003" w:usb1="00000000" w:usb2="00000000" w:usb3="00000000" w:csb0="00000001" w:csb1="00000000"/>
  </w:font>
  <w:font w:name="Minion-Italic">
    <w:panose1 w:val="020B0604020202020204"/>
    <w:charset w:val="00"/>
    <w:family w:val="swiss"/>
    <w:notTrueType/>
    <w:pitch w:val="default"/>
    <w:sig w:usb0="00000003" w:usb1="00000000" w:usb2="00000000" w:usb3="00000000" w:csb0="00000001" w:csb1="00000000"/>
  </w:font>
  <w:font w:name="Times New Roman PS">
    <w:panose1 w:val="02020603050405020304"/>
    <w:charset w:val="00"/>
    <w:family w:val="roman"/>
    <w:notTrueType/>
    <w:pitch w:val="default"/>
    <w:sig w:usb0="00000003" w:usb1="00000000" w:usb2="00000000" w:usb3="00000000" w:csb0="00000001" w:csb1="00000000"/>
  </w:font>
  <w:font w:name="Times New Roman PS-Italic">
    <w:panose1 w:val="02020503050405090304"/>
    <w:charset w:val="00"/>
    <w:family w:val="roman"/>
    <w:pitch w:val="variable"/>
    <w:sig w:usb0="E0000AFF" w:usb1="00007843" w:usb2="00000001" w:usb3="00000000" w:csb0="000001BF" w:csb1="00000000"/>
  </w:font>
  <w:font w:name="MTEX">
    <w:panose1 w:val="020B0604020202020204"/>
    <w:charset w:val="00"/>
    <w:family w:val="swiss"/>
    <w:notTrueType/>
    <w:pitch w:val="default"/>
    <w:sig w:usb0="00000003" w:usb1="00000000" w:usb2="00000000" w:usb3="00000000" w:csb0="00000001" w:csb1="00000000"/>
  </w:font>
  <w:font w:name="Arial MT">
    <w:panose1 w:val="020B0604020202020204"/>
    <w:charset w:val="00"/>
    <w:family w:val="swiss"/>
    <w:pitch w:val="variable"/>
    <w:sig w:usb0="E0002AFF" w:usb1="C0007843" w:usb2="00000009" w:usb3="00000000" w:csb0="000001FF" w:csb1="00000000"/>
  </w:font>
  <w:font w:name="Arial-Bold MT">
    <w:panose1 w:val="020B0604020202020204"/>
    <w:charset w:val="00"/>
    <w:family w:val="swiss"/>
    <w:notTrueType/>
    <w:pitch w:val="default"/>
    <w:sig w:usb0="00000003" w:usb1="00000000" w:usb2="00000000" w:usb3="00000000" w:csb0="00000001" w:csb1="00000000"/>
  </w:font>
  <w:font w:name="Minion-Bold Italic">
    <w:panose1 w:val="020B0604020202020204"/>
    <w:charset w:val="00"/>
    <w:family w:val="swiss"/>
    <w:notTrueType/>
    <w:pitch w:val="default"/>
    <w:sig w:usb0="00000003" w:usb1="00000000" w:usb2="00000000" w:usb3="00000000" w:csb0="00000001" w:csb1="00000000"/>
  </w:font>
  <w:font w:name="RMTMIB">
    <w:panose1 w:val="020B0604020202020204"/>
    <w:charset w:val="00"/>
    <w:family w:val="swiss"/>
    <w:notTrueType/>
    <w:pitch w:val="default"/>
    <w:sig w:usb0="00000003" w:usb1="00000000" w:usb2="00000000" w:usb3="00000000" w:csb0="00000001" w:csb1="00000000"/>
  </w:font>
  <w:font w:name="Formata BQ-Bold">
    <w:altName w:val="Calibri"/>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FFDD" w14:textId="77777777" w:rsidR="006738B9" w:rsidRDefault="006738B9" w:rsidP="00D232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27716" w14:textId="77777777" w:rsidR="006738B9" w:rsidRDefault="006738B9" w:rsidP="00D23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0397" w14:textId="77777777" w:rsidR="006738B9" w:rsidRDefault="006738B9" w:rsidP="00D232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B1891B2" w14:textId="77777777" w:rsidR="006738B9" w:rsidRDefault="006738B9" w:rsidP="00D232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8648" w14:textId="77777777" w:rsidR="00147868" w:rsidRDefault="00147868" w:rsidP="006128A6">
      <w:r>
        <w:separator/>
      </w:r>
    </w:p>
  </w:footnote>
  <w:footnote w:type="continuationSeparator" w:id="0">
    <w:p w14:paraId="6900BE08" w14:textId="77777777" w:rsidR="00147868" w:rsidRDefault="00147868" w:rsidP="006128A6">
      <w:r>
        <w:continuationSeparator/>
      </w:r>
    </w:p>
  </w:footnote>
  <w:footnote w:id="1">
    <w:p w14:paraId="7D312413" w14:textId="77777777" w:rsidR="006738B9" w:rsidRPr="00CF2E28" w:rsidRDefault="006738B9" w:rsidP="00291B40">
      <w:pPr>
        <w:pStyle w:val="FootnoteText"/>
        <w:ind w:left="144" w:hanging="144"/>
      </w:pPr>
      <w:r w:rsidRPr="00CF2E28">
        <w:rPr>
          <w:rStyle w:val="FootnoteReference"/>
        </w:rPr>
        <w:footnoteRef/>
      </w:r>
      <w:r w:rsidRPr="00CF2E28">
        <w:t xml:space="preserve"> In probability terms, if the two observers are </w:t>
      </w:r>
      <w:r w:rsidRPr="00CF2E28">
        <w:rPr>
          <w:i/>
        </w:rPr>
        <w:t>independent</w:t>
      </w:r>
      <w:r w:rsidRPr="00CF2E28">
        <w:t xml:space="preserve"> (that is, not looking at the films, just guessing using jellybeans), the probability that a film will receive a particular rating by Radiologist # 1 and another particular rating by radiologist #2 is just the product of the</w:t>
      </w:r>
      <w:r>
        <w:t xml:space="preserve"> two marginal </w:t>
      </w:r>
      <w:r w:rsidRPr="00CF2E28">
        <w:t>probabilities.</w:t>
      </w:r>
    </w:p>
  </w:footnote>
  <w:footnote w:id="2">
    <w:p w14:paraId="6141DF04" w14:textId="77777777" w:rsidR="006738B9" w:rsidRDefault="006738B9">
      <w:pPr>
        <w:pStyle w:val="FootnoteText"/>
      </w:pPr>
      <w:r>
        <w:rPr>
          <w:rStyle w:val="FootnoteReference"/>
        </w:rPr>
        <w:footnoteRef/>
      </w:r>
      <w:r>
        <w:t xml:space="preserve"> It is easy to find web-based calculators to do McNemar test: just Google "McNemar test calculator."  (Don't be alarmed if the test mentions matched case-control studies; the same test is used for them.)   If you play around a little find that the result depends only on the disagreement cells – just the 2 numbers.  This makes sense: the number of times the observers agree provides no information about whether disagreement is unbalanced.</w:t>
      </w:r>
    </w:p>
  </w:footnote>
  <w:footnote w:id="3">
    <w:p w14:paraId="37158EDF" w14:textId="77777777" w:rsidR="006738B9" w:rsidRPr="00CF2E28" w:rsidRDefault="006738B9" w:rsidP="006A2E4E">
      <w:pPr>
        <w:pStyle w:val="FootnoteText"/>
        <w:ind w:left="126" w:hanging="126"/>
      </w:pPr>
      <w:r w:rsidRPr="00CF2E28">
        <w:rPr>
          <w:rStyle w:val="FootnoteReference"/>
        </w:rPr>
        <w:footnoteRef/>
      </w:r>
      <w:r w:rsidRPr="00CF2E28">
        <w:t xml:space="preserve"> Th</w:t>
      </w:r>
      <w:r>
        <w:t>e 2 in the denominator</w:t>
      </w:r>
      <w:r w:rsidRPr="00CF2E28">
        <w:t xml:space="preserve"> may look odd, but you will see it is correct if you substitute (M</w:t>
      </w:r>
      <w:r w:rsidRPr="00CF2E28">
        <w:rPr>
          <w:vertAlign w:val="subscript"/>
        </w:rPr>
        <w:t>1</w:t>
      </w:r>
      <w:r w:rsidRPr="00CF2E28">
        <w:rPr>
          <w:rFonts w:ascii="MTSY" w:hAnsi="MTSY" w:cs="MTSY"/>
        </w:rPr>
        <w:t xml:space="preserve"> +</w:t>
      </w:r>
      <w:r w:rsidRPr="00CF2E28">
        <w:t xml:space="preserve"> M</w:t>
      </w:r>
      <w:r w:rsidRPr="00CF2E28">
        <w:rPr>
          <w:vertAlign w:val="subscript"/>
        </w:rPr>
        <w:t>2</w:t>
      </w:r>
      <w:r w:rsidRPr="00CF2E28">
        <w:t>)</w:t>
      </w:r>
      <w:r w:rsidRPr="00CF2E28">
        <w:rPr>
          <w:i/>
        </w:rPr>
        <w:t>/</w:t>
      </w:r>
      <w:r w:rsidRPr="00CF2E28">
        <w:t xml:space="preserve">2 for </w:t>
      </w:r>
      <w:proofErr w:type="spellStart"/>
      <w:r w:rsidRPr="00CF2E28">
        <w:t>M</w:t>
      </w:r>
      <w:r w:rsidRPr="00CF2E28">
        <w:rPr>
          <w:vertAlign w:val="subscript"/>
        </w:rPr>
        <w:t>avg</w:t>
      </w:r>
      <w:proofErr w:type="spellEnd"/>
      <w:r w:rsidRPr="00CF2E28">
        <w:t xml:space="preserve"> in </w:t>
      </w:r>
      <w:r>
        <w:t>Eq. 5</w:t>
      </w:r>
      <w:r w:rsidRPr="00CF2E28">
        <w:t>.5 and do the algebra.</w:t>
      </w:r>
    </w:p>
  </w:footnote>
  <w:footnote w:id="4">
    <w:p w14:paraId="5116C280" w14:textId="21396C5F" w:rsidR="006738B9" w:rsidRPr="00CF2E28" w:rsidRDefault="006738B9" w:rsidP="00253989">
      <w:pPr>
        <w:pStyle w:val="FootnoteText"/>
        <w:ind w:left="171" w:hanging="171"/>
      </w:pPr>
      <w:r w:rsidRPr="00CF2E28">
        <w:rPr>
          <w:rStyle w:val="FootnoteReference"/>
        </w:rPr>
        <w:footnoteRef/>
      </w:r>
      <w:r w:rsidRPr="00CF2E28">
        <w:t xml:space="preserve"> If there are more than 2 measurements per subject, and especially if there are different numbers of measurements per subject, it is easiest to get the average within-subject variance by using a statistical package to perform a one</w:t>
      </w:r>
      <w:r>
        <w:t>-</w:t>
      </w:r>
      <w:r w:rsidRPr="00CF2E28">
        <w:t>way analysis of variance (ANOVA). In the standard one-way ANOVA table, the residual mean square is the within-subject variance.</w:t>
      </w:r>
      <w:r w:rsidRPr="00C31A98">
        <w:t xml:space="preserve"> </w:t>
      </w:r>
      <w:r>
        <w:fldChar w:fldCharType="begin"/>
      </w:r>
      <w:r>
        <w:instrText xml:space="preserve"> ADDIN EN.CITE &lt;EndNote&gt;&lt;Cite&gt;&lt;Author&gt;Bland&lt;/Author&gt;&lt;Year&gt;1996&lt;/Year&gt;&lt;RecNum&gt;92&lt;/RecNum&gt;&lt;DisplayText&gt;12.&amp;#x9;Bland JM, Altman DG. Measurement error. Bmj. 1996;313(7059):744.&lt;/DisplayText&gt;&lt;record&gt;&lt;rec-number&gt;92&lt;/rec-number&gt;&lt;foreign-keys&gt;&lt;key app="EN" db-id="0ftvff9p80fp5few5s05f5fw9rd9fefrdzer" timestamp="0"&gt;92&lt;/key&gt;&lt;/foreign-keys&gt;&lt;ref-type name="Journal Article"&gt;17&lt;/ref-type&gt;&lt;contributors&gt;&lt;authors&gt;&lt;author&gt;Bland, J. M.&lt;/author&gt;&lt;author&gt;Altman, D. G.&lt;/author&gt;&lt;/authors&gt;&lt;/contributors&gt;&lt;auth-address&gt;Department of Public Health Sciences, St George&amp;apos;s Hospital Medical School, London.&lt;/auth-address&gt;&lt;titles&gt;&lt;title&gt;Measurement error&lt;/title&gt;&lt;secondary-title&gt;Bmj&lt;/secondary-title&gt;&lt;/titles&gt;&lt;periodical&gt;&lt;full-title&gt;BMJ&lt;/full-title&gt;&lt;/periodical&gt;&lt;pages&gt;744&lt;/pages&gt;&lt;volume&gt;313&lt;/volume&gt;&lt;number&gt;7059&lt;/number&gt;&lt;keywords&gt;&lt;keyword&gt;Analysis of Variance&lt;/keyword&gt;&lt;keyword&gt;Child&lt;/keyword&gt;&lt;keyword&gt;*Data Interpretation, Statistical&lt;/keyword&gt;&lt;keyword&gt;Human&lt;/keyword&gt;&lt;keyword&gt;Peak Expiratory Flow Rate&lt;/keyword&gt;&lt;keyword&gt;*Reproducibility of Results&lt;/keyword&gt;&lt;/keywords&gt;&lt;dates&gt;&lt;year&gt;1996&lt;/year&gt;&lt;pub-dates&gt;&lt;date&gt;Sep 21&lt;/date&gt;&lt;/pub-dates&gt;&lt;/dates&gt;&lt;accession-num&gt;8819450&lt;/accession-num&gt;&lt;urls&gt;&lt;related-urls&gt;&lt;url&gt;http://www.ncbi.nlm.nih.gov/entrez/query.fcgi?cmd=Retrieve&amp;amp;db=PubMed&amp;amp;dopt=Citation&amp;amp;list_uids=8819450&lt;/url&gt;&lt;/related-urls&gt;&lt;/urls&gt;&lt;/record&gt;&lt;/Cite&gt;&lt;/EndNote&gt;</w:instrText>
      </w:r>
      <w:r>
        <w:fldChar w:fldCharType="separate"/>
      </w:r>
      <w:r>
        <w:rPr>
          <w:noProof/>
        </w:rPr>
        <w:t>12.</w:t>
      </w:r>
      <w:r>
        <w:rPr>
          <w:noProof/>
        </w:rPr>
        <w:tab/>
        <w:t>Bland JM, Altman DG. Measurement error. Bmj. 1996;313(7059):744.</w:t>
      </w:r>
      <w:r>
        <w:fldChar w:fldCharType="end"/>
      </w:r>
    </w:p>
  </w:footnote>
  <w:footnote w:id="5">
    <w:p w14:paraId="713078E5" w14:textId="77777777" w:rsidR="006738B9" w:rsidRPr="00CF2E28" w:rsidRDefault="006738B9" w:rsidP="00A82343">
      <w:pPr>
        <w:pStyle w:val="FootnoteText"/>
        <w:ind w:left="144" w:hanging="144"/>
      </w:pPr>
      <w:r w:rsidRPr="00CF2E28">
        <w:rPr>
          <w:rStyle w:val="FootnoteReference"/>
        </w:rPr>
        <w:footnoteRef/>
      </w:r>
      <w:r w:rsidRPr="00CF2E28">
        <w:t xml:space="preserve"> The variance of the difference between two independent random variables is the sum of their individual variances. Since both measurements have variance equal to the within-specimen variance, the difference between them has variance equal to twice the within-specimen variance and the standard deviation of the difference is</w:t>
      </w:r>
      <w:r w:rsidRPr="00CF2E28">
        <w:rPr>
          <w:rFonts w:ascii="MTSY" w:hAnsi="MTSY" w:cs="MTSY"/>
        </w:rPr>
        <w:t xml:space="preserve"> √</w:t>
      </w:r>
      <w:r w:rsidRPr="00CF2E28">
        <w:t>2</w:t>
      </w:r>
      <w:r w:rsidRPr="00CF2E28">
        <w:rPr>
          <w:rFonts w:ascii="MTSY" w:hAnsi="MTSY" w:cs="MTSY"/>
        </w:rPr>
        <w:t xml:space="preserve"> ×</w:t>
      </w:r>
      <w:r w:rsidRPr="00CF2E28">
        <w:t xml:space="preserve"> </w:t>
      </w:r>
      <w:proofErr w:type="spellStart"/>
      <w:r w:rsidRPr="00CF2E28">
        <w:t>Swithin</w:t>
      </w:r>
      <w:proofErr w:type="spellEnd"/>
      <w:r w:rsidRPr="00CF2E28">
        <w:t>. If the difference between the measurements is normally distributed, 95% of these differences will be within 1.96 standard deviations of the mean difference, which is 0.</w:t>
      </w:r>
    </w:p>
  </w:footnote>
  <w:footnote w:id="6">
    <w:p w14:paraId="608DBF9F" w14:textId="6E35C0DC" w:rsidR="006738B9" w:rsidRPr="000B30DF" w:rsidRDefault="006738B9">
      <w:pPr>
        <w:pStyle w:val="FootnoteText"/>
      </w:pPr>
      <w:r>
        <w:rPr>
          <w:rStyle w:val="FootnoteReference"/>
        </w:rPr>
        <w:footnoteRef/>
      </w:r>
      <w:r>
        <w:t xml:space="preserve"> </w:t>
      </w:r>
      <w:r w:rsidR="00873B36">
        <w:t xml:space="preserve">Our point here is going to be that 2 measurements can have poor agreement but a correlation coefficient close to 1 because a strong linear relationship does not necessarily imply good agreement.  You should also know that 2 measurements can be closely related and have a correlation coefficient of 0, so long as the relationship isn’t linear.  For </w:t>
      </w:r>
      <w:proofErr w:type="gramStart"/>
      <w:r w:rsidR="00873B36">
        <w:t xml:space="preserve">example,  </w:t>
      </w:r>
      <w:r>
        <w:t>if</w:t>
      </w:r>
      <w:proofErr w:type="gramEnd"/>
      <w:r>
        <w:t xml:space="preserve"> values of x are centered around zero (e.g., -3, -2, -1, 0, 1, 2, 3)</w:t>
      </w:r>
      <w:r w:rsidR="00873B36">
        <w:t xml:space="preserve"> and y = x</w:t>
      </w:r>
      <w:r w:rsidR="00873B36" w:rsidRPr="001048F6">
        <w:rPr>
          <w:vertAlign w:val="superscript"/>
        </w:rPr>
        <w:t>2</w:t>
      </w:r>
      <w:r w:rsidR="00873B36">
        <w:t>, t</w:t>
      </w:r>
      <w:r>
        <w:t>he correlation coefficient between y and x would be zero</w:t>
      </w:r>
      <w:r w:rsidR="00873B36">
        <w:t xml:space="preserve">. </w:t>
      </w:r>
      <w:r>
        <w:t xml:space="preserve">  </w:t>
      </w:r>
    </w:p>
  </w:footnote>
  <w:footnote w:id="7">
    <w:p w14:paraId="6B9AE592" w14:textId="77777777" w:rsidR="006738B9" w:rsidRPr="00CF2E28" w:rsidRDefault="006738B9">
      <w:pPr>
        <w:pStyle w:val="FootnoteText"/>
      </w:pPr>
      <w:r w:rsidRPr="00CF2E28">
        <w:rPr>
          <w:rStyle w:val="FootnoteReference"/>
        </w:rPr>
        <w:footnoteRef/>
      </w:r>
      <w:r w:rsidRPr="00CF2E28">
        <w:t xml:space="preserve"> If m and </w:t>
      </w:r>
      <w:proofErr w:type="spellStart"/>
      <w:r w:rsidRPr="00CF2E28">
        <w:t>s</w:t>
      </w:r>
      <w:proofErr w:type="spellEnd"/>
      <w:r w:rsidRPr="00CF2E28">
        <w:t xml:space="preserve"> are the mean BMD and standard deviation in the normal population, then Z</w:t>
      </w:r>
      <w:r w:rsidRPr="00CF2E28">
        <w:rPr>
          <w:rFonts w:ascii="MTSY" w:hAnsi="MTSY" w:cs="MTSY"/>
        </w:rPr>
        <w:t xml:space="preserve"> =</w:t>
      </w:r>
      <w:r w:rsidRPr="00CF2E28">
        <w:t xml:space="preserve"> (BMD – m)/s.</w:t>
      </w:r>
    </w:p>
  </w:footnote>
  <w:footnote w:id="8">
    <w:p w14:paraId="3065FFF6" w14:textId="77777777" w:rsidR="006738B9" w:rsidRDefault="006738B9">
      <w:pPr>
        <w:pStyle w:val="FootnoteText"/>
      </w:pPr>
      <w:r>
        <w:rPr>
          <w:rStyle w:val="FootnoteReference"/>
        </w:rPr>
        <w:footnoteRef/>
      </w:r>
      <w:r>
        <w:t xml:space="preserve"> According to </w:t>
      </w:r>
      <w:proofErr w:type="spellStart"/>
      <w:r>
        <w:t>Krouwer</w:t>
      </w:r>
      <w:proofErr w:type="spellEnd"/>
      <w:r>
        <w:t xml:space="preserve"> (2008), the 1986 article by Bland and Altman on method comparison is the most cited paper ever published in The Lancet, a medical journal that has been published weekly since 1823.</w:t>
      </w:r>
    </w:p>
  </w:footnote>
  <w:footnote w:id="9">
    <w:p w14:paraId="541945D3" w14:textId="37BD1948" w:rsidR="006738B9" w:rsidRDefault="006738B9" w:rsidP="000723BE">
      <w:pPr>
        <w:widowControl w:val="0"/>
        <w:autoSpaceDE w:val="0"/>
        <w:autoSpaceDN w:val="0"/>
        <w:adjustRightInd w:val="0"/>
        <w:rPr>
          <w:sz w:val="17"/>
          <w:szCs w:val="17"/>
        </w:rPr>
      </w:pPr>
      <w:r>
        <w:rPr>
          <w:rStyle w:val="FootnoteReference"/>
        </w:rPr>
        <w:footnoteRef/>
      </w:r>
      <w:r>
        <w:t xml:space="preserve"> </w:t>
      </w:r>
      <w:r w:rsidRPr="009D6142">
        <w:rPr>
          <w:sz w:val="21"/>
        </w:rPr>
        <w:t>This is despite the fact that Bland and Altman said they weren’t talking about calibration</w:t>
      </w:r>
      <w:proofErr w:type="gramStart"/>
      <w:r w:rsidRPr="009D6142">
        <w:rPr>
          <w:sz w:val="21"/>
        </w:rPr>
        <w:t>:  “</w:t>
      </w:r>
      <w:proofErr w:type="gramEnd"/>
      <w:r w:rsidRPr="009D6142">
        <w:rPr>
          <w:sz w:val="21"/>
        </w:rPr>
        <w:t xml:space="preserve">Sometimes we compare an approximate method with a very precise one.  This is a calibration problem and we will not discuss it further here.” </w:t>
      </w:r>
      <w:r w:rsidRPr="009D6142">
        <w:rPr>
          <w:sz w:val="15"/>
          <w:szCs w:val="17"/>
        </w:rPr>
        <w:t xml:space="preserve"> </w:t>
      </w:r>
      <w:r>
        <w:rPr>
          <w:sz w:val="17"/>
          <w:szCs w:val="17"/>
        </w:rPr>
        <w:t>Altman DG, Bland JM. Measurement in medicine: the analysis of method comparison studies. The Statistician</w:t>
      </w:r>
    </w:p>
    <w:p w14:paraId="6898981A" w14:textId="77777777" w:rsidR="006738B9" w:rsidRDefault="006738B9" w:rsidP="000723BE">
      <w:r>
        <w:rPr>
          <w:sz w:val="17"/>
          <w:szCs w:val="17"/>
        </w:rPr>
        <w:t>1983; 32:307–317.</w:t>
      </w:r>
    </w:p>
    <w:p w14:paraId="410FFF3A" w14:textId="77777777" w:rsidR="006738B9" w:rsidRDefault="006738B9" w:rsidP="00FF5FF0">
      <w:pPr>
        <w:pStyle w:val="NormalWeb"/>
      </w:pPr>
    </w:p>
    <w:p w14:paraId="1DBF2F7C" w14:textId="77777777" w:rsidR="006738B9" w:rsidRDefault="006738B9">
      <w:pPr>
        <w:pStyle w:val="FootnoteText"/>
      </w:pPr>
    </w:p>
  </w:footnote>
  <w:footnote w:id="10">
    <w:p w14:paraId="4A8D729A" w14:textId="6C7FB34C" w:rsidR="006738B9" w:rsidRDefault="006738B9">
      <w:pPr>
        <w:pStyle w:val="FootnoteText"/>
      </w:pPr>
      <w:r w:rsidRPr="00CF2E28">
        <w:rPr>
          <w:rStyle w:val="FootnoteReference"/>
        </w:rPr>
        <w:footnoteRef/>
      </w:r>
      <w:r w:rsidRPr="00CF2E28">
        <w:t xml:space="preserve"> As mentioned above, these can also be </w:t>
      </w:r>
      <w:r>
        <w:t>called</w:t>
      </w:r>
      <w:r w:rsidRPr="00CF2E28">
        <w:t xml:space="preserve"> studies of test reproducibility.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6F7DC" w14:textId="4F4E6C02" w:rsidR="00856A53" w:rsidRPr="00856A53" w:rsidRDefault="00856A53">
    <w:pPr>
      <w:pStyle w:val="Header"/>
      <w:rPr>
        <w:sz w:val="16"/>
        <w:szCs w:val="16"/>
      </w:rPr>
    </w:pPr>
    <w:r w:rsidRPr="00856A53">
      <w:rPr>
        <w:sz w:val="16"/>
        <w:szCs w:val="16"/>
      </w:rPr>
      <w:fldChar w:fldCharType="begin"/>
    </w:r>
    <w:r w:rsidRPr="00856A53">
      <w:rPr>
        <w:sz w:val="16"/>
        <w:szCs w:val="16"/>
      </w:rPr>
      <w:instrText xml:space="preserve"> FILENAME \p  \* MERGEFORMAT </w:instrText>
    </w:r>
    <w:r w:rsidRPr="00856A53">
      <w:rPr>
        <w:sz w:val="16"/>
        <w:szCs w:val="16"/>
      </w:rPr>
      <w:fldChar w:fldCharType="separate"/>
    </w:r>
    <w:r w:rsidRPr="00856A53">
      <w:rPr>
        <w:noProof/>
        <w:sz w:val="16"/>
        <w:szCs w:val="16"/>
      </w:rPr>
      <w:t>/Users/thomasnewman/Box Sync/EBD/EBD-2/EBD2-Chapter 5/5 Reliability and Measurement Error 2018-0926.docx</w:t>
    </w:r>
    <w:r w:rsidRPr="00856A53">
      <w:rPr>
        <w:sz w:val="16"/>
        <w:szCs w:val="16"/>
      </w:rPr>
      <w:fldChar w:fldCharType="end"/>
    </w:r>
    <w:r w:rsidRPr="00856A53">
      <w:rPr>
        <w:sz w:val="16"/>
        <w:szCs w:val="16"/>
      </w:rPr>
      <w:t xml:space="preserve">   </w:t>
    </w:r>
    <w:r w:rsidRPr="00856A53">
      <w:rPr>
        <w:sz w:val="16"/>
        <w:szCs w:val="16"/>
      </w:rPr>
      <w:fldChar w:fldCharType="begin"/>
    </w:r>
    <w:r w:rsidRPr="00856A53">
      <w:rPr>
        <w:sz w:val="16"/>
        <w:szCs w:val="16"/>
      </w:rPr>
      <w:instrText xml:space="preserve"> SAVEDATE  \* MERGEFORMAT </w:instrText>
    </w:r>
    <w:r w:rsidRPr="00856A53">
      <w:rPr>
        <w:sz w:val="16"/>
        <w:szCs w:val="16"/>
      </w:rPr>
      <w:fldChar w:fldCharType="separate"/>
    </w:r>
    <w:r w:rsidR="0055328D">
      <w:rPr>
        <w:noProof/>
        <w:sz w:val="16"/>
        <w:szCs w:val="16"/>
      </w:rPr>
      <w:t>9/26/18 2:44:00 PM</w:t>
    </w:r>
    <w:r w:rsidRPr="00856A5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E2C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embedSystemFonts/>
  <w:bordersDoNotSurroundHeader/>
  <w:bordersDoNotSurroundFooter/>
  <w:proofState w:spelling="clean" w:grammar="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92&lt;/item&gt;&lt;item&gt;94&lt;/item&gt;&lt;item&gt;167&lt;/item&gt;&lt;item&gt;208&lt;/item&gt;&lt;item&gt;211&lt;/item&gt;&lt;item&gt;217&lt;/item&gt;&lt;item&gt;218&lt;/item&gt;&lt;item&gt;219&lt;/item&gt;&lt;item&gt;222&lt;/item&gt;&lt;item&gt;745&lt;/item&gt;&lt;item&gt;888&lt;/item&gt;&lt;item&gt;1024&lt;/item&gt;&lt;item&gt;1400&lt;/item&gt;&lt;item&gt;1401&lt;/item&gt;&lt;item&gt;1402&lt;/item&gt;&lt;item&gt;1403&lt;/item&gt;&lt;item&gt;1423&lt;/item&gt;&lt;item&gt;1509&lt;/item&gt;&lt;item&gt;1510&lt;/item&gt;&lt;item&gt;1555&lt;/item&gt;&lt;/record-ids&gt;&lt;/item&gt;&lt;/Libraries&gt;"/>
  </w:docVars>
  <w:rsids>
    <w:rsidRoot w:val="00B91CD8"/>
    <w:rsid w:val="000030F0"/>
    <w:rsid w:val="00003A3D"/>
    <w:rsid w:val="00005F79"/>
    <w:rsid w:val="0000627A"/>
    <w:rsid w:val="00007791"/>
    <w:rsid w:val="00007948"/>
    <w:rsid w:val="00011033"/>
    <w:rsid w:val="0001251C"/>
    <w:rsid w:val="00012A38"/>
    <w:rsid w:val="000152E9"/>
    <w:rsid w:val="0001661F"/>
    <w:rsid w:val="00016AD0"/>
    <w:rsid w:val="00017062"/>
    <w:rsid w:val="00020D24"/>
    <w:rsid w:val="00021FC8"/>
    <w:rsid w:val="00023F7D"/>
    <w:rsid w:val="000245C0"/>
    <w:rsid w:val="00025B8C"/>
    <w:rsid w:val="00025CF8"/>
    <w:rsid w:val="00030374"/>
    <w:rsid w:val="00030E7C"/>
    <w:rsid w:val="0003132D"/>
    <w:rsid w:val="00034FC3"/>
    <w:rsid w:val="0003539E"/>
    <w:rsid w:val="00040DA9"/>
    <w:rsid w:val="0004137E"/>
    <w:rsid w:val="00041CD8"/>
    <w:rsid w:val="00042E71"/>
    <w:rsid w:val="00047366"/>
    <w:rsid w:val="00051D4C"/>
    <w:rsid w:val="00052D9C"/>
    <w:rsid w:val="00053F5F"/>
    <w:rsid w:val="00054445"/>
    <w:rsid w:val="00055330"/>
    <w:rsid w:val="00055EFF"/>
    <w:rsid w:val="00061E96"/>
    <w:rsid w:val="00064B02"/>
    <w:rsid w:val="00065A56"/>
    <w:rsid w:val="000663D0"/>
    <w:rsid w:val="00067790"/>
    <w:rsid w:val="00071AA3"/>
    <w:rsid w:val="00071C3D"/>
    <w:rsid w:val="00071D7A"/>
    <w:rsid w:val="000723BE"/>
    <w:rsid w:val="00072CFA"/>
    <w:rsid w:val="00073238"/>
    <w:rsid w:val="000754E9"/>
    <w:rsid w:val="000757A2"/>
    <w:rsid w:val="00076B65"/>
    <w:rsid w:val="0007797F"/>
    <w:rsid w:val="000800F0"/>
    <w:rsid w:val="00081F19"/>
    <w:rsid w:val="00082B11"/>
    <w:rsid w:val="00085FFD"/>
    <w:rsid w:val="0008716E"/>
    <w:rsid w:val="0009036E"/>
    <w:rsid w:val="00092C23"/>
    <w:rsid w:val="000943FF"/>
    <w:rsid w:val="00094BF0"/>
    <w:rsid w:val="000A1CFD"/>
    <w:rsid w:val="000A359B"/>
    <w:rsid w:val="000A3D54"/>
    <w:rsid w:val="000A49A8"/>
    <w:rsid w:val="000A5434"/>
    <w:rsid w:val="000A6F02"/>
    <w:rsid w:val="000B1165"/>
    <w:rsid w:val="000B12E7"/>
    <w:rsid w:val="000B1591"/>
    <w:rsid w:val="000B2A99"/>
    <w:rsid w:val="000B30DF"/>
    <w:rsid w:val="000B41DC"/>
    <w:rsid w:val="000B461E"/>
    <w:rsid w:val="000B7C81"/>
    <w:rsid w:val="000B7E64"/>
    <w:rsid w:val="000C31E3"/>
    <w:rsid w:val="000C36E1"/>
    <w:rsid w:val="000C3860"/>
    <w:rsid w:val="000C3B5E"/>
    <w:rsid w:val="000C3ED4"/>
    <w:rsid w:val="000C43EF"/>
    <w:rsid w:val="000C4A3E"/>
    <w:rsid w:val="000C5C8B"/>
    <w:rsid w:val="000C5D67"/>
    <w:rsid w:val="000C5FBD"/>
    <w:rsid w:val="000C63EE"/>
    <w:rsid w:val="000D18F5"/>
    <w:rsid w:val="000D34F4"/>
    <w:rsid w:val="000D3DA3"/>
    <w:rsid w:val="000D4473"/>
    <w:rsid w:val="000D57E6"/>
    <w:rsid w:val="000D6397"/>
    <w:rsid w:val="000E0681"/>
    <w:rsid w:val="000E0A23"/>
    <w:rsid w:val="000E36D3"/>
    <w:rsid w:val="000E43DF"/>
    <w:rsid w:val="000E6564"/>
    <w:rsid w:val="000E71E0"/>
    <w:rsid w:val="000E7C1A"/>
    <w:rsid w:val="000F00F6"/>
    <w:rsid w:val="000F08A1"/>
    <w:rsid w:val="000F0BFF"/>
    <w:rsid w:val="000F35B5"/>
    <w:rsid w:val="000F3D30"/>
    <w:rsid w:val="000F419B"/>
    <w:rsid w:val="000F62DF"/>
    <w:rsid w:val="000F666F"/>
    <w:rsid w:val="000F683A"/>
    <w:rsid w:val="00103713"/>
    <w:rsid w:val="00103D47"/>
    <w:rsid w:val="00103F42"/>
    <w:rsid w:val="001045F3"/>
    <w:rsid w:val="001048F6"/>
    <w:rsid w:val="001066AA"/>
    <w:rsid w:val="00110AB6"/>
    <w:rsid w:val="00113EA5"/>
    <w:rsid w:val="00113F16"/>
    <w:rsid w:val="0011761F"/>
    <w:rsid w:val="00121592"/>
    <w:rsid w:val="00121606"/>
    <w:rsid w:val="00123A86"/>
    <w:rsid w:val="00123E0B"/>
    <w:rsid w:val="001248C4"/>
    <w:rsid w:val="001251AE"/>
    <w:rsid w:val="001262E0"/>
    <w:rsid w:val="00131D74"/>
    <w:rsid w:val="00133B9A"/>
    <w:rsid w:val="001340CC"/>
    <w:rsid w:val="00135058"/>
    <w:rsid w:val="00135851"/>
    <w:rsid w:val="00136518"/>
    <w:rsid w:val="00140690"/>
    <w:rsid w:val="001417B9"/>
    <w:rsid w:val="00141985"/>
    <w:rsid w:val="00141B64"/>
    <w:rsid w:val="001448FA"/>
    <w:rsid w:val="001451B8"/>
    <w:rsid w:val="001470E0"/>
    <w:rsid w:val="001472B2"/>
    <w:rsid w:val="00147868"/>
    <w:rsid w:val="00151BAC"/>
    <w:rsid w:val="00152421"/>
    <w:rsid w:val="001528BB"/>
    <w:rsid w:val="00152EF6"/>
    <w:rsid w:val="0015382C"/>
    <w:rsid w:val="001560DD"/>
    <w:rsid w:val="001565B1"/>
    <w:rsid w:val="00163697"/>
    <w:rsid w:val="00165B36"/>
    <w:rsid w:val="00166509"/>
    <w:rsid w:val="00167C54"/>
    <w:rsid w:val="00170288"/>
    <w:rsid w:val="001705D7"/>
    <w:rsid w:val="00172959"/>
    <w:rsid w:val="00172C64"/>
    <w:rsid w:val="00173A53"/>
    <w:rsid w:val="00174616"/>
    <w:rsid w:val="0017589C"/>
    <w:rsid w:val="0017592E"/>
    <w:rsid w:val="00180C8B"/>
    <w:rsid w:val="00180D5A"/>
    <w:rsid w:val="00182EB9"/>
    <w:rsid w:val="0018450B"/>
    <w:rsid w:val="00184AC1"/>
    <w:rsid w:val="0018500C"/>
    <w:rsid w:val="00194884"/>
    <w:rsid w:val="0019543B"/>
    <w:rsid w:val="001A0774"/>
    <w:rsid w:val="001A188F"/>
    <w:rsid w:val="001A3D3D"/>
    <w:rsid w:val="001A417E"/>
    <w:rsid w:val="001A4725"/>
    <w:rsid w:val="001A4ADF"/>
    <w:rsid w:val="001A6373"/>
    <w:rsid w:val="001A72B5"/>
    <w:rsid w:val="001B07C6"/>
    <w:rsid w:val="001B278C"/>
    <w:rsid w:val="001B36CE"/>
    <w:rsid w:val="001B3A79"/>
    <w:rsid w:val="001B59D6"/>
    <w:rsid w:val="001C0FCB"/>
    <w:rsid w:val="001C27C6"/>
    <w:rsid w:val="001C2CA7"/>
    <w:rsid w:val="001C511F"/>
    <w:rsid w:val="001C523C"/>
    <w:rsid w:val="001D0F31"/>
    <w:rsid w:val="001D2590"/>
    <w:rsid w:val="001D54F0"/>
    <w:rsid w:val="001D6831"/>
    <w:rsid w:val="001E2C84"/>
    <w:rsid w:val="001E47D0"/>
    <w:rsid w:val="001E55AD"/>
    <w:rsid w:val="001E61F1"/>
    <w:rsid w:val="001E6E1E"/>
    <w:rsid w:val="001E74C4"/>
    <w:rsid w:val="001E74D2"/>
    <w:rsid w:val="001F1CE1"/>
    <w:rsid w:val="001F2AF5"/>
    <w:rsid w:val="001F6FBB"/>
    <w:rsid w:val="002022F2"/>
    <w:rsid w:val="002025B9"/>
    <w:rsid w:val="0020410F"/>
    <w:rsid w:val="00205E9D"/>
    <w:rsid w:val="002063D5"/>
    <w:rsid w:val="0020656C"/>
    <w:rsid w:val="002065CA"/>
    <w:rsid w:val="00207772"/>
    <w:rsid w:val="002078A3"/>
    <w:rsid w:val="00207971"/>
    <w:rsid w:val="0020799E"/>
    <w:rsid w:val="00207AC5"/>
    <w:rsid w:val="00211E5A"/>
    <w:rsid w:val="00216585"/>
    <w:rsid w:val="00217675"/>
    <w:rsid w:val="00221A69"/>
    <w:rsid w:val="00223D74"/>
    <w:rsid w:val="00226E80"/>
    <w:rsid w:val="002273DD"/>
    <w:rsid w:val="00227808"/>
    <w:rsid w:val="00230687"/>
    <w:rsid w:val="0023217D"/>
    <w:rsid w:val="002338D3"/>
    <w:rsid w:val="002351E6"/>
    <w:rsid w:val="0023523A"/>
    <w:rsid w:val="00235856"/>
    <w:rsid w:val="00235EB0"/>
    <w:rsid w:val="00236F71"/>
    <w:rsid w:val="00236FAD"/>
    <w:rsid w:val="00237F07"/>
    <w:rsid w:val="00237FC0"/>
    <w:rsid w:val="0024075E"/>
    <w:rsid w:val="00244984"/>
    <w:rsid w:val="002461FF"/>
    <w:rsid w:val="00246D98"/>
    <w:rsid w:val="00251EC1"/>
    <w:rsid w:val="00251FE3"/>
    <w:rsid w:val="002533D2"/>
    <w:rsid w:val="00253989"/>
    <w:rsid w:val="00254AB8"/>
    <w:rsid w:val="00254F03"/>
    <w:rsid w:val="00261DB6"/>
    <w:rsid w:val="00262839"/>
    <w:rsid w:val="00262AC6"/>
    <w:rsid w:val="00263ABC"/>
    <w:rsid w:val="002715EF"/>
    <w:rsid w:val="00271F88"/>
    <w:rsid w:val="00274022"/>
    <w:rsid w:val="002743D4"/>
    <w:rsid w:val="00276649"/>
    <w:rsid w:val="00276E93"/>
    <w:rsid w:val="0027759E"/>
    <w:rsid w:val="00280928"/>
    <w:rsid w:val="00281280"/>
    <w:rsid w:val="002814F0"/>
    <w:rsid w:val="002818A4"/>
    <w:rsid w:val="00282CD7"/>
    <w:rsid w:val="00284BBB"/>
    <w:rsid w:val="00286348"/>
    <w:rsid w:val="00286408"/>
    <w:rsid w:val="002907C1"/>
    <w:rsid w:val="00291B40"/>
    <w:rsid w:val="002938FC"/>
    <w:rsid w:val="00294297"/>
    <w:rsid w:val="00294642"/>
    <w:rsid w:val="002A09E2"/>
    <w:rsid w:val="002A16E1"/>
    <w:rsid w:val="002A1CEC"/>
    <w:rsid w:val="002A36CF"/>
    <w:rsid w:val="002A53FD"/>
    <w:rsid w:val="002A5E59"/>
    <w:rsid w:val="002B0D5D"/>
    <w:rsid w:val="002B31AA"/>
    <w:rsid w:val="002B3798"/>
    <w:rsid w:val="002B4FE5"/>
    <w:rsid w:val="002B5CEE"/>
    <w:rsid w:val="002B7A77"/>
    <w:rsid w:val="002C2E91"/>
    <w:rsid w:val="002C3466"/>
    <w:rsid w:val="002C50E8"/>
    <w:rsid w:val="002C55E1"/>
    <w:rsid w:val="002D05D7"/>
    <w:rsid w:val="002D1662"/>
    <w:rsid w:val="002D1EB0"/>
    <w:rsid w:val="002D2F50"/>
    <w:rsid w:val="002D3118"/>
    <w:rsid w:val="002D3EA6"/>
    <w:rsid w:val="002D6F5B"/>
    <w:rsid w:val="002D738A"/>
    <w:rsid w:val="002E09C0"/>
    <w:rsid w:val="002E370E"/>
    <w:rsid w:val="002E406D"/>
    <w:rsid w:val="002E4084"/>
    <w:rsid w:val="002E44F8"/>
    <w:rsid w:val="002E5AC9"/>
    <w:rsid w:val="002E5FFF"/>
    <w:rsid w:val="002E6A64"/>
    <w:rsid w:val="002E758D"/>
    <w:rsid w:val="002F3483"/>
    <w:rsid w:val="002F589D"/>
    <w:rsid w:val="002F5A23"/>
    <w:rsid w:val="002F68F5"/>
    <w:rsid w:val="002F6CA6"/>
    <w:rsid w:val="002F7260"/>
    <w:rsid w:val="003016F5"/>
    <w:rsid w:val="00303E9F"/>
    <w:rsid w:val="00304CFB"/>
    <w:rsid w:val="00307B17"/>
    <w:rsid w:val="00311BF7"/>
    <w:rsid w:val="003139F3"/>
    <w:rsid w:val="00316904"/>
    <w:rsid w:val="00316C74"/>
    <w:rsid w:val="00317386"/>
    <w:rsid w:val="00317582"/>
    <w:rsid w:val="00320158"/>
    <w:rsid w:val="00320590"/>
    <w:rsid w:val="00320F09"/>
    <w:rsid w:val="0032372F"/>
    <w:rsid w:val="0032389C"/>
    <w:rsid w:val="003238EE"/>
    <w:rsid w:val="00323C7C"/>
    <w:rsid w:val="003260FB"/>
    <w:rsid w:val="00326FD4"/>
    <w:rsid w:val="00327A92"/>
    <w:rsid w:val="00327E10"/>
    <w:rsid w:val="00330D91"/>
    <w:rsid w:val="0033327F"/>
    <w:rsid w:val="0033462E"/>
    <w:rsid w:val="003354E3"/>
    <w:rsid w:val="00335C14"/>
    <w:rsid w:val="00335EF4"/>
    <w:rsid w:val="00336177"/>
    <w:rsid w:val="00341B10"/>
    <w:rsid w:val="00342A6F"/>
    <w:rsid w:val="00343C6F"/>
    <w:rsid w:val="003451D9"/>
    <w:rsid w:val="00345EEC"/>
    <w:rsid w:val="003463DB"/>
    <w:rsid w:val="003470AE"/>
    <w:rsid w:val="0034785F"/>
    <w:rsid w:val="00350370"/>
    <w:rsid w:val="00351546"/>
    <w:rsid w:val="003528CF"/>
    <w:rsid w:val="00353E25"/>
    <w:rsid w:val="00354470"/>
    <w:rsid w:val="003556E2"/>
    <w:rsid w:val="003565D7"/>
    <w:rsid w:val="0036009B"/>
    <w:rsid w:val="00360276"/>
    <w:rsid w:val="003660AD"/>
    <w:rsid w:val="0036760B"/>
    <w:rsid w:val="00372668"/>
    <w:rsid w:val="00373D40"/>
    <w:rsid w:val="003746B4"/>
    <w:rsid w:val="00375C2C"/>
    <w:rsid w:val="003760FC"/>
    <w:rsid w:val="00376175"/>
    <w:rsid w:val="00376A3B"/>
    <w:rsid w:val="00376DAD"/>
    <w:rsid w:val="00381F1F"/>
    <w:rsid w:val="00383A6F"/>
    <w:rsid w:val="00384507"/>
    <w:rsid w:val="00384F5B"/>
    <w:rsid w:val="00385B2D"/>
    <w:rsid w:val="0038722F"/>
    <w:rsid w:val="00390ED1"/>
    <w:rsid w:val="00391BEE"/>
    <w:rsid w:val="00392B04"/>
    <w:rsid w:val="00396C44"/>
    <w:rsid w:val="00397496"/>
    <w:rsid w:val="003A0C95"/>
    <w:rsid w:val="003A1C42"/>
    <w:rsid w:val="003A2C97"/>
    <w:rsid w:val="003A31EC"/>
    <w:rsid w:val="003A426C"/>
    <w:rsid w:val="003A580F"/>
    <w:rsid w:val="003A5985"/>
    <w:rsid w:val="003A63BC"/>
    <w:rsid w:val="003A668A"/>
    <w:rsid w:val="003A7CBC"/>
    <w:rsid w:val="003B262A"/>
    <w:rsid w:val="003B2D18"/>
    <w:rsid w:val="003B3860"/>
    <w:rsid w:val="003B62B3"/>
    <w:rsid w:val="003B7D26"/>
    <w:rsid w:val="003C0527"/>
    <w:rsid w:val="003C1069"/>
    <w:rsid w:val="003C283C"/>
    <w:rsid w:val="003C3018"/>
    <w:rsid w:val="003C31EA"/>
    <w:rsid w:val="003C50AE"/>
    <w:rsid w:val="003C6F19"/>
    <w:rsid w:val="003D082D"/>
    <w:rsid w:val="003D1341"/>
    <w:rsid w:val="003D1782"/>
    <w:rsid w:val="003D2931"/>
    <w:rsid w:val="003D2BCB"/>
    <w:rsid w:val="003D4DC8"/>
    <w:rsid w:val="003D79C9"/>
    <w:rsid w:val="003E0F84"/>
    <w:rsid w:val="003E5565"/>
    <w:rsid w:val="003E5BDE"/>
    <w:rsid w:val="003F0826"/>
    <w:rsid w:val="003F197E"/>
    <w:rsid w:val="003F1BAC"/>
    <w:rsid w:val="003F1CDE"/>
    <w:rsid w:val="003F2DCD"/>
    <w:rsid w:val="003F4737"/>
    <w:rsid w:val="003F6E53"/>
    <w:rsid w:val="003F713D"/>
    <w:rsid w:val="00400BFC"/>
    <w:rsid w:val="00400FBB"/>
    <w:rsid w:val="0040105E"/>
    <w:rsid w:val="004034A1"/>
    <w:rsid w:val="00403793"/>
    <w:rsid w:val="00404302"/>
    <w:rsid w:val="00404B0F"/>
    <w:rsid w:val="00404D13"/>
    <w:rsid w:val="00405B93"/>
    <w:rsid w:val="0040633E"/>
    <w:rsid w:val="00407257"/>
    <w:rsid w:val="00407BB8"/>
    <w:rsid w:val="004111AC"/>
    <w:rsid w:val="00411B3B"/>
    <w:rsid w:val="0041581E"/>
    <w:rsid w:val="004170A3"/>
    <w:rsid w:val="004178E0"/>
    <w:rsid w:val="004224DB"/>
    <w:rsid w:val="004253FA"/>
    <w:rsid w:val="00427246"/>
    <w:rsid w:val="00431BCA"/>
    <w:rsid w:val="00431CD1"/>
    <w:rsid w:val="00432F38"/>
    <w:rsid w:val="0043397D"/>
    <w:rsid w:val="00434357"/>
    <w:rsid w:val="00434C90"/>
    <w:rsid w:val="00435A11"/>
    <w:rsid w:val="004361F3"/>
    <w:rsid w:val="0043676E"/>
    <w:rsid w:val="00441459"/>
    <w:rsid w:val="0044145D"/>
    <w:rsid w:val="00441E67"/>
    <w:rsid w:val="00442251"/>
    <w:rsid w:val="004423B7"/>
    <w:rsid w:val="0044292B"/>
    <w:rsid w:val="00444124"/>
    <w:rsid w:val="00444E4A"/>
    <w:rsid w:val="00446DB5"/>
    <w:rsid w:val="00447E8F"/>
    <w:rsid w:val="00447FBF"/>
    <w:rsid w:val="00450395"/>
    <w:rsid w:val="00450FB1"/>
    <w:rsid w:val="004514DE"/>
    <w:rsid w:val="0045470D"/>
    <w:rsid w:val="0045495F"/>
    <w:rsid w:val="00455C0C"/>
    <w:rsid w:val="00455D66"/>
    <w:rsid w:val="00457346"/>
    <w:rsid w:val="004579F8"/>
    <w:rsid w:val="00461893"/>
    <w:rsid w:val="00461ED4"/>
    <w:rsid w:val="004635F0"/>
    <w:rsid w:val="00464459"/>
    <w:rsid w:val="00464621"/>
    <w:rsid w:val="00465020"/>
    <w:rsid w:val="00465BA2"/>
    <w:rsid w:val="0046782B"/>
    <w:rsid w:val="00470C99"/>
    <w:rsid w:val="004748BF"/>
    <w:rsid w:val="0047505A"/>
    <w:rsid w:val="00475478"/>
    <w:rsid w:val="00475A27"/>
    <w:rsid w:val="00482C20"/>
    <w:rsid w:val="0048655F"/>
    <w:rsid w:val="004875B4"/>
    <w:rsid w:val="004902A3"/>
    <w:rsid w:val="00492859"/>
    <w:rsid w:val="00493CA7"/>
    <w:rsid w:val="00494600"/>
    <w:rsid w:val="00494A51"/>
    <w:rsid w:val="004966FD"/>
    <w:rsid w:val="004973CC"/>
    <w:rsid w:val="00497CC7"/>
    <w:rsid w:val="004A131D"/>
    <w:rsid w:val="004A31B1"/>
    <w:rsid w:val="004A638A"/>
    <w:rsid w:val="004A7DCF"/>
    <w:rsid w:val="004B08C0"/>
    <w:rsid w:val="004B2232"/>
    <w:rsid w:val="004B3CBB"/>
    <w:rsid w:val="004B69A5"/>
    <w:rsid w:val="004B71C9"/>
    <w:rsid w:val="004C0398"/>
    <w:rsid w:val="004C278F"/>
    <w:rsid w:val="004C5E29"/>
    <w:rsid w:val="004C61E3"/>
    <w:rsid w:val="004D0DA9"/>
    <w:rsid w:val="004D167C"/>
    <w:rsid w:val="004D5719"/>
    <w:rsid w:val="004D66C5"/>
    <w:rsid w:val="004D713F"/>
    <w:rsid w:val="004D74F9"/>
    <w:rsid w:val="004E020E"/>
    <w:rsid w:val="004E131B"/>
    <w:rsid w:val="004E2900"/>
    <w:rsid w:val="004E47EC"/>
    <w:rsid w:val="004E5213"/>
    <w:rsid w:val="004E6D50"/>
    <w:rsid w:val="004E6E4A"/>
    <w:rsid w:val="004E75D1"/>
    <w:rsid w:val="004F1229"/>
    <w:rsid w:val="004F15E8"/>
    <w:rsid w:val="004F2921"/>
    <w:rsid w:val="004F363C"/>
    <w:rsid w:val="004F48DE"/>
    <w:rsid w:val="004F4950"/>
    <w:rsid w:val="004F6669"/>
    <w:rsid w:val="004F78E9"/>
    <w:rsid w:val="005011DD"/>
    <w:rsid w:val="005027F7"/>
    <w:rsid w:val="00505BBE"/>
    <w:rsid w:val="00506F9F"/>
    <w:rsid w:val="005137AB"/>
    <w:rsid w:val="00513884"/>
    <w:rsid w:val="005148B8"/>
    <w:rsid w:val="0051502A"/>
    <w:rsid w:val="00515300"/>
    <w:rsid w:val="0051554A"/>
    <w:rsid w:val="00516FDD"/>
    <w:rsid w:val="00521364"/>
    <w:rsid w:val="0052242B"/>
    <w:rsid w:val="005224D6"/>
    <w:rsid w:val="005233CD"/>
    <w:rsid w:val="00523F95"/>
    <w:rsid w:val="005241E5"/>
    <w:rsid w:val="005263B2"/>
    <w:rsid w:val="005267EC"/>
    <w:rsid w:val="00527B71"/>
    <w:rsid w:val="00530664"/>
    <w:rsid w:val="00530C7A"/>
    <w:rsid w:val="00530D4E"/>
    <w:rsid w:val="00530FDE"/>
    <w:rsid w:val="0053501A"/>
    <w:rsid w:val="005351F9"/>
    <w:rsid w:val="005363A9"/>
    <w:rsid w:val="00537AF1"/>
    <w:rsid w:val="00541980"/>
    <w:rsid w:val="0054257C"/>
    <w:rsid w:val="005447E2"/>
    <w:rsid w:val="005457F2"/>
    <w:rsid w:val="00545F0F"/>
    <w:rsid w:val="00550D26"/>
    <w:rsid w:val="0055328D"/>
    <w:rsid w:val="0055423E"/>
    <w:rsid w:val="00555FED"/>
    <w:rsid w:val="00557533"/>
    <w:rsid w:val="00560313"/>
    <w:rsid w:val="00560B84"/>
    <w:rsid w:val="0056439B"/>
    <w:rsid w:val="00566BBE"/>
    <w:rsid w:val="00566F24"/>
    <w:rsid w:val="005679F5"/>
    <w:rsid w:val="0057336F"/>
    <w:rsid w:val="00574C91"/>
    <w:rsid w:val="005774F7"/>
    <w:rsid w:val="00580D0D"/>
    <w:rsid w:val="00581322"/>
    <w:rsid w:val="00582A40"/>
    <w:rsid w:val="00582F24"/>
    <w:rsid w:val="005838F9"/>
    <w:rsid w:val="00585D68"/>
    <w:rsid w:val="00586450"/>
    <w:rsid w:val="00586C36"/>
    <w:rsid w:val="005916E6"/>
    <w:rsid w:val="0059628F"/>
    <w:rsid w:val="005A078B"/>
    <w:rsid w:val="005A1837"/>
    <w:rsid w:val="005A2981"/>
    <w:rsid w:val="005A4AC6"/>
    <w:rsid w:val="005A4EFB"/>
    <w:rsid w:val="005A536A"/>
    <w:rsid w:val="005B0049"/>
    <w:rsid w:val="005B091A"/>
    <w:rsid w:val="005B22E8"/>
    <w:rsid w:val="005B3C3C"/>
    <w:rsid w:val="005B49FB"/>
    <w:rsid w:val="005B6ABE"/>
    <w:rsid w:val="005C0F51"/>
    <w:rsid w:val="005C1D56"/>
    <w:rsid w:val="005C2320"/>
    <w:rsid w:val="005C2AB8"/>
    <w:rsid w:val="005C2B9D"/>
    <w:rsid w:val="005C3CC1"/>
    <w:rsid w:val="005C66D6"/>
    <w:rsid w:val="005D0C1E"/>
    <w:rsid w:val="005D50F0"/>
    <w:rsid w:val="005D5EFC"/>
    <w:rsid w:val="005D7459"/>
    <w:rsid w:val="005E29D5"/>
    <w:rsid w:val="005E3FAC"/>
    <w:rsid w:val="005E49C8"/>
    <w:rsid w:val="005E5EC3"/>
    <w:rsid w:val="005E6A8E"/>
    <w:rsid w:val="005E6EDD"/>
    <w:rsid w:val="005E785E"/>
    <w:rsid w:val="005E7CF1"/>
    <w:rsid w:val="005F0589"/>
    <w:rsid w:val="005F09A1"/>
    <w:rsid w:val="005F2CBF"/>
    <w:rsid w:val="005F2D8B"/>
    <w:rsid w:val="005F457F"/>
    <w:rsid w:val="005F5040"/>
    <w:rsid w:val="005F580F"/>
    <w:rsid w:val="005F6541"/>
    <w:rsid w:val="005F699B"/>
    <w:rsid w:val="005F7E0B"/>
    <w:rsid w:val="00600111"/>
    <w:rsid w:val="006004CE"/>
    <w:rsid w:val="00600630"/>
    <w:rsid w:val="00601501"/>
    <w:rsid w:val="00602553"/>
    <w:rsid w:val="006030CF"/>
    <w:rsid w:val="0060388C"/>
    <w:rsid w:val="00603D92"/>
    <w:rsid w:val="00604721"/>
    <w:rsid w:val="00607275"/>
    <w:rsid w:val="0060737A"/>
    <w:rsid w:val="00610428"/>
    <w:rsid w:val="00611286"/>
    <w:rsid w:val="006128A6"/>
    <w:rsid w:val="00614909"/>
    <w:rsid w:val="00614B11"/>
    <w:rsid w:val="006150EB"/>
    <w:rsid w:val="00617876"/>
    <w:rsid w:val="00620CB4"/>
    <w:rsid w:val="00621C49"/>
    <w:rsid w:val="0062320A"/>
    <w:rsid w:val="006243E4"/>
    <w:rsid w:val="00624543"/>
    <w:rsid w:val="00624948"/>
    <w:rsid w:val="00624A74"/>
    <w:rsid w:val="00625BC5"/>
    <w:rsid w:val="006268C9"/>
    <w:rsid w:val="00630F99"/>
    <w:rsid w:val="006318D3"/>
    <w:rsid w:val="00631A52"/>
    <w:rsid w:val="00631F73"/>
    <w:rsid w:val="006323EF"/>
    <w:rsid w:val="0063272B"/>
    <w:rsid w:val="00635AE3"/>
    <w:rsid w:val="00636213"/>
    <w:rsid w:val="00636AED"/>
    <w:rsid w:val="00637184"/>
    <w:rsid w:val="00642624"/>
    <w:rsid w:val="006429C8"/>
    <w:rsid w:val="006461FB"/>
    <w:rsid w:val="00651AE8"/>
    <w:rsid w:val="00651FF6"/>
    <w:rsid w:val="006525C3"/>
    <w:rsid w:val="00652879"/>
    <w:rsid w:val="00652A42"/>
    <w:rsid w:val="00655945"/>
    <w:rsid w:val="00661894"/>
    <w:rsid w:val="006628E1"/>
    <w:rsid w:val="006658EF"/>
    <w:rsid w:val="006668DA"/>
    <w:rsid w:val="00666D2C"/>
    <w:rsid w:val="00667329"/>
    <w:rsid w:val="006708D5"/>
    <w:rsid w:val="00671310"/>
    <w:rsid w:val="00672203"/>
    <w:rsid w:val="00672C6E"/>
    <w:rsid w:val="006738B9"/>
    <w:rsid w:val="00673B18"/>
    <w:rsid w:val="006740F8"/>
    <w:rsid w:val="0067606C"/>
    <w:rsid w:val="006763D7"/>
    <w:rsid w:val="006771E5"/>
    <w:rsid w:val="00680ED6"/>
    <w:rsid w:val="0068364A"/>
    <w:rsid w:val="00684FCC"/>
    <w:rsid w:val="00685A51"/>
    <w:rsid w:val="00686C49"/>
    <w:rsid w:val="00687285"/>
    <w:rsid w:val="00687399"/>
    <w:rsid w:val="0069571C"/>
    <w:rsid w:val="00697A47"/>
    <w:rsid w:val="006A2E4E"/>
    <w:rsid w:val="006A6903"/>
    <w:rsid w:val="006A6993"/>
    <w:rsid w:val="006A78AE"/>
    <w:rsid w:val="006A78B4"/>
    <w:rsid w:val="006A7FAD"/>
    <w:rsid w:val="006B1177"/>
    <w:rsid w:val="006B16FD"/>
    <w:rsid w:val="006B1B4D"/>
    <w:rsid w:val="006B2543"/>
    <w:rsid w:val="006B3A47"/>
    <w:rsid w:val="006B52F6"/>
    <w:rsid w:val="006C0276"/>
    <w:rsid w:val="006C0442"/>
    <w:rsid w:val="006C0FFB"/>
    <w:rsid w:val="006C17BD"/>
    <w:rsid w:val="006C17F4"/>
    <w:rsid w:val="006C2294"/>
    <w:rsid w:val="006C2579"/>
    <w:rsid w:val="006C4646"/>
    <w:rsid w:val="006C54F4"/>
    <w:rsid w:val="006C6C5E"/>
    <w:rsid w:val="006C7A08"/>
    <w:rsid w:val="006D37C4"/>
    <w:rsid w:val="006D4CE0"/>
    <w:rsid w:val="006D704A"/>
    <w:rsid w:val="006E27AC"/>
    <w:rsid w:val="006E29B5"/>
    <w:rsid w:val="006E568A"/>
    <w:rsid w:val="006E7071"/>
    <w:rsid w:val="006F01A3"/>
    <w:rsid w:val="006F0412"/>
    <w:rsid w:val="006F2D9F"/>
    <w:rsid w:val="006F47F2"/>
    <w:rsid w:val="006F4C3A"/>
    <w:rsid w:val="006F550C"/>
    <w:rsid w:val="006F6248"/>
    <w:rsid w:val="006F76B5"/>
    <w:rsid w:val="006F7C7F"/>
    <w:rsid w:val="007005D0"/>
    <w:rsid w:val="00700A24"/>
    <w:rsid w:val="00702C96"/>
    <w:rsid w:val="00703426"/>
    <w:rsid w:val="007035C4"/>
    <w:rsid w:val="00705E0E"/>
    <w:rsid w:val="0070688F"/>
    <w:rsid w:val="00707AD1"/>
    <w:rsid w:val="00711187"/>
    <w:rsid w:val="00711390"/>
    <w:rsid w:val="00712A3C"/>
    <w:rsid w:val="00713CD0"/>
    <w:rsid w:val="00713F50"/>
    <w:rsid w:val="007143D5"/>
    <w:rsid w:val="00716564"/>
    <w:rsid w:val="00721911"/>
    <w:rsid w:val="00722483"/>
    <w:rsid w:val="00722E5C"/>
    <w:rsid w:val="00723574"/>
    <w:rsid w:val="007251EE"/>
    <w:rsid w:val="00725D33"/>
    <w:rsid w:val="00727277"/>
    <w:rsid w:val="00730912"/>
    <w:rsid w:val="007322E1"/>
    <w:rsid w:val="00736319"/>
    <w:rsid w:val="00736D7D"/>
    <w:rsid w:val="00737827"/>
    <w:rsid w:val="00741504"/>
    <w:rsid w:val="0074468A"/>
    <w:rsid w:val="00746D74"/>
    <w:rsid w:val="007519FD"/>
    <w:rsid w:val="00752126"/>
    <w:rsid w:val="007602C3"/>
    <w:rsid w:val="0076082E"/>
    <w:rsid w:val="00762174"/>
    <w:rsid w:val="007627D7"/>
    <w:rsid w:val="007667DD"/>
    <w:rsid w:val="00770706"/>
    <w:rsid w:val="00770A5F"/>
    <w:rsid w:val="0077100E"/>
    <w:rsid w:val="0077342A"/>
    <w:rsid w:val="00776A94"/>
    <w:rsid w:val="00777ACF"/>
    <w:rsid w:val="00780C0A"/>
    <w:rsid w:val="00781326"/>
    <w:rsid w:val="007816D8"/>
    <w:rsid w:val="00782A20"/>
    <w:rsid w:val="00783790"/>
    <w:rsid w:val="007859A0"/>
    <w:rsid w:val="00790C31"/>
    <w:rsid w:val="00790F6D"/>
    <w:rsid w:val="00791EB1"/>
    <w:rsid w:val="00792C10"/>
    <w:rsid w:val="007934CF"/>
    <w:rsid w:val="00793DD6"/>
    <w:rsid w:val="00793FFD"/>
    <w:rsid w:val="007970B0"/>
    <w:rsid w:val="00797336"/>
    <w:rsid w:val="007A066F"/>
    <w:rsid w:val="007A1341"/>
    <w:rsid w:val="007A3A28"/>
    <w:rsid w:val="007A5D61"/>
    <w:rsid w:val="007A680A"/>
    <w:rsid w:val="007B01B9"/>
    <w:rsid w:val="007B113B"/>
    <w:rsid w:val="007B3068"/>
    <w:rsid w:val="007B6A11"/>
    <w:rsid w:val="007B7017"/>
    <w:rsid w:val="007C02E1"/>
    <w:rsid w:val="007C065B"/>
    <w:rsid w:val="007C109C"/>
    <w:rsid w:val="007C40C3"/>
    <w:rsid w:val="007C5485"/>
    <w:rsid w:val="007D085C"/>
    <w:rsid w:val="007D19EB"/>
    <w:rsid w:val="007D2B22"/>
    <w:rsid w:val="007D3268"/>
    <w:rsid w:val="007D7835"/>
    <w:rsid w:val="007E0111"/>
    <w:rsid w:val="007E23D6"/>
    <w:rsid w:val="007E3F2F"/>
    <w:rsid w:val="007E4A85"/>
    <w:rsid w:val="007E7F21"/>
    <w:rsid w:val="007F06EC"/>
    <w:rsid w:val="007F17D7"/>
    <w:rsid w:val="007F337B"/>
    <w:rsid w:val="007F3B0C"/>
    <w:rsid w:val="007F419B"/>
    <w:rsid w:val="007F4CB7"/>
    <w:rsid w:val="007F4CC5"/>
    <w:rsid w:val="007F4D5A"/>
    <w:rsid w:val="007F5DA8"/>
    <w:rsid w:val="007F630B"/>
    <w:rsid w:val="007F6434"/>
    <w:rsid w:val="007F6CC4"/>
    <w:rsid w:val="007F78B2"/>
    <w:rsid w:val="00801E49"/>
    <w:rsid w:val="00804A8F"/>
    <w:rsid w:val="00810496"/>
    <w:rsid w:val="00810E3D"/>
    <w:rsid w:val="008124F8"/>
    <w:rsid w:val="008136A1"/>
    <w:rsid w:val="00815548"/>
    <w:rsid w:val="00823950"/>
    <w:rsid w:val="00824C45"/>
    <w:rsid w:val="008271CC"/>
    <w:rsid w:val="00836202"/>
    <w:rsid w:val="0083675E"/>
    <w:rsid w:val="00837DE4"/>
    <w:rsid w:val="00841361"/>
    <w:rsid w:val="00842793"/>
    <w:rsid w:val="00843373"/>
    <w:rsid w:val="008441EE"/>
    <w:rsid w:val="00844A5B"/>
    <w:rsid w:val="00846503"/>
    <w:rsid w:val="008501BA"/>
    <w:rsid w:val="00850807"/>
    <w:rsid w:val="00851DAF"/>
    <w:rsid w:val="00855E48"/>
    <w:rsid w:val="00856A53"/>
    <w:rsid w:val="0086042E"/>
    <w:rsid w:val="00861015"/>
    <w:rsid w:val="0086145F"/>
    <w:rsid w:val="00862644"/>
    <w:rsid w:val="008631A4"/>
    <w:rsid w:val="00864009"/>
    <w:rsid w:val="0086472F"/>
    <w:rsid w:val="008652DB"/>
    <w:rsid w:val="00870A22"/>
    <w:rsid w:val="00871793"/>
    <w:rsid w:val="00872614"/>
    <w:rsid w:val="0087283A"/>
    <w:rsid w:val="0087286E"/>
    <w:rsid w:val="00873B36"/>
    <w:rsid w:val="008746F1"/>
    <w:rsid w:val="00874FA7"/>
    <w:rsid w:val="00876E81"/>
    <w:rsid w:val="00880141"/>
    <w:rsid w:val="0088089F"/>
    <w:rsid w:val="00881794"/>
    <w:rsid w:val="00881AF7"/>
    <w:rsid w:val="00883020"/>
    <w:rsid w:val="008854FA"/>
    <w:rsid w:val="008863E5"/>
    <w:rsid w:val="008864FB"/>
    <w:rsid w:val="00886630"/>
    <w:rsid w:val="008868A3"/>
    <w:rsid w:val="00887ACF"/>
    <w:rsid w:val="008920C1"/>
    <w:rsid w:val="008A024C"/>
    <w:rsid w:val="008A0375"/>
    <w:rsid w:val="008A1BD1"/>
    <w:rsid w:val="008A3F0C"/>
    <w:rsid w:val="008A4666"/>
    <w:rsid w:val="008A6164"/>
    <w:rsid w:val="008A6AC9"/>
    <w:rsid w:val="008A6E3A"/>
    <w:rsid w:val="008A73B8"/>
    <w:rsid w:val="008B02FB"/>
    <w:rsid w:val="008B0D1A"/>
    <w:rsid w:val="008B175B"/>
    <w:rsid w:val="008B2995"/>
    <w:rsid w:val="008B3C36"/>
    <w:rsid w:val="008B59E1"/>
    <w:rsid w:val="008B6CE0"/>
    <w:rsid w:val="008B783C"/>
    <w:rsid w:val="008B7AD0"/>
    <w:rsid w:val="008C00D6"/>
    <w:rsid w:val="008C05B5"/>
    <w:rsid w:val="008C221D"/>
    <w:rsid w:val="008C2479"/>
    <w:rsid w:val="008C6A3C"/>
    <w:rsid w:val="008C7026"/>
    <w:rsid w:val="008C7361"/>
    <w:rsid w:val="008D04DF"/>
    <w:rsid w:val="008D062F"/>
    <w:rsid w:val="008D3436"/>
    <w:rsid w:val="008D3A06"/>
    <w:rsid w:val="008D430A"/>
    <w:rsid w:val="008D4726"/>
    <w:rsid w:val="008D4FE3"/>
    <w:rsid w:val="008D6248"/>
    <w:rsid w:val="008D7D97"/>
    <w:rsid w:val="008D7DCC"/>
    <w:rsid w:val="008E11A3"/>
    <w:rsid w:val="008E1F7B"/>
    <w:rsid w:val="008E27BC"/>
    <w:rsid w:val="008E2ACB"/>
    <w:rsid w:val="008E2B58"/>
    <w:rsid w:val="008E5DEB"/>
    <w:rsid w:val="008E62A8"/>
    <w:rsid w:val="008E66E3"/>
    <w:rsid w:val="008E6F61"/>
    <w:rsid w:val="008E6FE4"/>
    <w:rsid w:val="008F002F"/>
    <w:rsid w:val="008F18B0"/>
    <w:rsid w:val="008F2353"/>
    <w:rsid w:val="008F53B6"/>
    <w:rsid w:val="008F5598"/>
    <w:rsid w:val="008F6309"/>
    <w:rsid w:val="008F6862"/>
    <w:rsid w:val="008F7443"/>
    <w:rsid w:val="0090020A"/>
    <w:rsid w:val="00901107"/>
    <w:rsid w:val="009023C2"/>
    <w:rsid w:val="0090343F"/>
    <w:rsid w:val="009042BF"/>
    <w:rsid w:val="00904BB0"/>
    <w:rsid w:val="00905E95"/>
    <w:rsid w:val="00910076"/>
    <w:rsid w:val="00910510"/>
    <w:rsid w:val="00912C23"/>
    <w:rsid w:val="00914936"/>
    <w:rsid w:val="00914C99"/>
    <w:rsid w:val="0092558A"/>
    <w:rsid w:val="00925B92"/>
    <w:rsid w:val="00925F88"/>
    <w:rsid w:val="009275E1"/>
    <w:rsid w:val="009279DC"/>
    <w:rsid w:val="0094234F"/>
    <w:rsid w:val="00943AF6"/>
    <w:rsid w:val="0094412B"/>
    <w:rsid w:val="00944D02"/>
    <w:rsid w:val="00950414"/>
    <w:rsid w:val="00953689"/>
    <w:rsid w:val="00953731"/>
    <w:rsid w:val="00954A84"/>
    <w:rsid w:val="00955EAA"/>
    <w:rsid w:val="00956F18"/>
    <w:rsid w:val="009606F5"/>
    <w:rsid w:val="00960E9B"/>
    <w:rsid w:val="00961730"/>
    <w:rsid w:val="009652AC"/>
    <w:rsid w:val="0096557F"/>
    <w:rsid w:val="009712F5"/>
    <w:rsid w:val="00973A89"/>
    <w:rsid w:val="00973AF0"/>
    <w:rsid w:val="00974B58"/>
    <w:rsid w:val="00976D84"/>
    <w:rsid w:val="00980ED9"/>
    <w:rsid w:val="009836CC"/>
    <w:rsid w:val="00984F60"/>
    <w:rsid w:val="00985906"/>
    <w:rsid w:val="00986264"/>
    <w:rsid w:val="00987491"/>
    <w:rsid w:val="00987649"/>
    <w:rsid w:val="0099087B"/>
    <w:rsid w:val="0099257A"/>
    <w:rsid w:val="00992C4B"/>
    <w:rsid w:val="00993A42"/>
    <w:rsid w:val="00993AA7"/>
    <w:rsid w:val="00995A7D"/>
    <w:rsid w:val="00996FAD"/>
    <w:rsid w:val="00997913"/>
    <w:rsid w:val="009A334C"/>
    <w:rsid w:val="009A336C"/>
    <w:rsid w:val="009A3902"/>
    <w:rsid w:val="009A7693"/>
    <w:rsid w:val="009A7E24"/>
    <w:rsid w:val="009B37C7"/>
    <w:rsid w:val="009B40B0"/>
    <w:rsid w:val="009B5633"/>
    <w:rsid w:val="009B5A08"/>
    <w:rsid w:val="009B69A3"/>
    <w:rsid w:val="009B7576"/>
    <w:rsid w:val="009C06CE"/>
    <w:rsid w:val="009C0B99"/>
    <w:rsid w:val="009C0D7E"/>
    <w:rsid w:val="009C1B20"/>
    <w:rsid w:val="009C1EE6"/>
    <w:rsid w:val="009C2BD1"/>
    <w:rsid w:val="009C3716"/>
    <w:rsid w:val="009C39FC"/>
    <w:rsid w:val="009C3D40"/>
    <w:rsid w:val="009D0612"/>
    <w:rsid w:val="009D1C71"/>
    <w:rsid w:val="009D2D04"/>
    <w:rsid w:val="009D4AD2"/>
    <w:rsid w:val="009D6142"/>
    <w:rsid w:val="009E00DF"/>
    <w:rsid w:val="009E1268"/>
    <w:rsid w:val="009E36C2"/>
    <w:rsid w:val="009E468E"/>
    <w:rsid w:val="009E4AC8"/>
    <w:rsid w:val="009F0532"/>
    <w:rsid w:val="009F2265"/>
    <w:rsid w:val="009F34CE"/>
    <w:rsid w:val="009F42D3"/>
    <w:rsid w:val="009F6F59"/>
    <w:rsid w:val="00A01500"/>
    <w:rsid w:val="00A023C0"/>
    <w:rsid w:val="00A027EE"/>
    <w:rsid w:val="00A033D4"/>
    <w:rsid w:val="00A03431"/>
    <w:rsid w:val="00A03E5F"/>
    <w:rsid w:val="00A041DB"/>
    <w:rsid w:val="00A05118"/>
    <w:rsid w:val="00A0595B"/>
    <w:rsid w:val="00A05CF4"/>
    <w:rsid w:val="00A06856"/>
    <w:rsid w:val="00A06EDB"/>
    <w:rsid w:val="00A10E51"/>
    <w:rsid w:val="00A121EF"/>
    <w:rsid w:val="00A1473F"/>
    <w:rsid w:val="00A147FC"/>
    <w:rsid w:val="00A14FA1"/>
    <w:rsid w:val="00A218EC"/>
    <w:rsid w:val="00A21962"/>
    <w:rsid w:val="00A23824"/>
    <w:rsid w:val="00A23E10"/>
    <w:rsid w:val="00A25FD5"/>
    <w:rsid w:val="00A274C1"/>
    <w:rsid w:val="00A3064D"/>
    <w:rsid w:val="00A327C1"/>
    <w:rsid w:val="00A337CA"/>
    <w:rsid w:val="00A36489"/>
    <w:rsid w:val="00A40860"/>
    <w:rsid w:val="00A41714"/>
    <w:rsid w:val="00A419D7"/>
    <w:rsid w:val="00A425D0"/>
    <w:rsid w:val="00A43630"/>
    <w:rsid w:val="00A44092"/>
    <w:rsid w:val="00A45B2E"/>
    <w:rsid w:val="00A50048"/>
    <w:rsid w:val="00A50103"/>
    <w:rsid w:val="00A51DDF"/>
    <w:rsid w:val="00A534CF"/>
    <w:rsid w:val="00A5487A"/>
    <w:rsid w:val="00A556A1"/>
    <w:rsid w:val="00A5574C"/>
    <w:rsid w:val="00A5673E"/>
    <w:rsid w:val="00A60628"/>
    <w:rsid w:val="00A621FE"/>
    <w:rsid w:val="00A6485A"/>
    <w:rsid w:val="00A64B76"/>
    <w:rsid w:val="00A655BE"/>
    <w:rsid w:val="00A65A6E"/>
    <w:rsid w:val="00A67C0A"/>
    <w:rsid w:val="00A72065"/>
    <w:rsid w:val="00A74211"/>
    <w:rsid w:val="00A75D63"/>
    <w:rsid w:val="00A8004E"/>
    <w:rsid w:val="00A804F2"/>
    <w:rsid w:val="00A811FA"/>
    <w:rsid w:val="00A82343"/>
    <w:rsid w:val="00A82530"/>
    <w:rsid w:val="00A83AA7"/>
    <w:rsid w:val="00A841A2"/>
    <w:rsid w:val="00A842BC"/>
    <w:rsid w:val="00A84DB3"/>
    <w:rsid w:val="00A87F7D"/>
    <w:rsid w:val="00A90628"/>
    <w:rsid w:val="00A90EA6"/>
    <w:rsid w:val="00A91BAC"/>
    <w:rsid w:val="00A91BD3"/>
    <w:rsid w:val="00A93971"/>
    <w:rsid w:val="00A953B1"/>
    <w:rsid w:val="00A958A4"/>
    <w:rsid w:val="00A95F13"/>
    <w:rsid w:val="00A977B4"/>
    <w:rsid w:val="00A97E54"/>
    <w:rsid w:val="00AA0724"/>
    <w:rsid w:val="00AA14F3"/>
    <w:rsid w:val="00AA2674"/>
    <w:rsid w:val="00AA5AE6"/>
    <w:rsid w:val="00AA5C44"/>
    <w:rsid w:val="00AB1E5D"/>
    <w:rsid w:val="00AB258D"/>
    <w:rsid w:val="00AB4F39"/>
    <w:rsid w:val="00AB7B62"/>
    <w:rsid w:val="00AC0579"/>
    <w:rsid w:val="00AC0F01"/>
    <w:rsid w:val="00AC19A2"/>
    <w:rsid w:val="00AC37F5"/>
    <w:rsid w:val="00AC575B"/>
    <w:rsid w:val="00AC6911"/>
    <w:rsid w:val="00AC7B31"/>
    <w:rsid w:val="00AD15FA"/>
    <w:rsid w:val="00AD50D6"/>
    <w:rsid w:val="00AD665E"/>
    <w:rsid w:val="00AE5ECB"/>
    <w:rsid w:val="00AE6C2A"/>
    <w:rsid w:val="00AE76FA"/>
    <w:rsid w:val="00AF0325"/>
    <w:rsid w:val="00AF0D8A"/>
    <w:rsid w:val="00AF18E7"/>
    <w:rsid w:val="00AF2A40"/>
    <w:rsid w:val="00AF67F0"/>
    <w:rsid w:val="00AF6F55"/>
    <w:rsid w:val="00AF70C3"/>
    <w:rsid w:val="00B005B1"/>
    <w:rsid w:val="00B00A79"/>
    <w:rsid w:val="00B00FFF"/>
    <w:rsid w:val="00B01248"/>
    <w:rsid w:val="00B013BA"/>
    <w:rsid w:val="00B0180F"/>
    <w:rsid w:val="00B01D03"/>
    <w:rsid w:val="00B02576"/>
    <w:rsid w:val="00B02A53"/>
    <w:rsid w:val="00B03686"/>
    <w:rsid w:val="00B04DC7"/>
    <w:rsid w:val="00B0523A"/>
    <w:rsid w:val="00B05310"/>
    <w:rsid w:val="00B06690"/>
    <w:rsid w:val="00B079B6"/>
    <w:rsid w:val="00B07EF9"/>
    <w:rsid w:val="00B101E4"/>
    <w:rsid w:val="00B111B5"/>
    <w:rsid w:val="00B17275"/>
    <w:rsid w:val="00B209C1"/>
    <w:rsid w:val="00B20B20"/>
    <w:rsid w:val="00B2169E"/>
    <w:rsid w:val="00B21745"/>
    <w:rsid w:val="00B224B7"/>
    <w:rsid w:val="00B2438F"/>
    <w:rsid w:val="00B26002"/>
    <w:rsid w:val="00B26014"/>
    <w:rsid w:val="00B262A5"/>
    <w:rsid w:val="00B30321"/>
    <w:rsid w:val="00B319E9"/>
    <w:rsid w:val="00B31E25"/>
    <w:rsid w:val="00B32175"/>
    <w:rsid w:val="00B32923"/>
    <w:rsid w:val="00B32D95"/>
    <w:rsid w:val="00B332AA"/>
    <w:rsid w:val="00B33991"/>
    <w:rsid w:val="00B34834"/>
    <w:rsid w:val="00B3653B"/>
    <w:rsid w:val="00B36EE0"/>
    <w:rsid w:val="00B40564"/>
    <w:rsid w:val="00B40951"/>
    <w:rsid w:val="00B42941"/>
    <w:rsid w:val="00B443D8"/>
    <w:rsid w:val="00B4469D"/>
    <w:rsid w:val="00B4485C"/>
    <w:rsid w:val="00B449AC"/>
    <w:rsid w:val="00B46BC2"/>
    <w:rsid w:val="00B478C0"/>
    <w:rsid w:val="00B5080B"/>
    <w:rsid w:val="00B51FDE"/>
    <w:rsid w:val="00B52DB1"/>
    <w:rsid w:val="00B57DCF"/>
    <w:rsid w:val="00B57E80"/>
    <w:rsid w:val="00B60601"/>
    <w:rsid w:val="00B60D21"/>
    <w:rsid w:val="00B61C3D"/>
    <w:rsid w:val="00B635A9"/>
    <w:rsid w:val="00B713AC"/>
    <w:rsid w:val="00B72276"/>
    <w:rsid w:val="00B72E0C"/>
    <w:rsid w:val="00B73B2F"/>
    <w:rsid w:val="00B74677"/>
    <w:rsid w:val="00B74C29"/>
    <w:rsid w:val="00B74EF0"/>
    <w:rsid w:val="00B75617"/>
    <w:rsid w:val="00B763B2"/>
    <w:rsid w:val="00B817E6"/>
    <w:rsid w:val="00B82C68"/>
    <w:rsid w:val="00B845F5"/>
    <w:rsid w:val="00B861B9"/>
    <w:rsid w:val="00B86D10"/>
    <w:rsid w:val="00B87029"/>
    <w:rsid w:val="00B91CD8"/>
    <w:rsid w:val="00B9274B"/>
    <w:rsid w:val="00B92AD1"/>
    <w:rsid w:val="00B969E6"/>
    <w:rsid w:val="00BA0327"/>
    <w:rsid w:val="00BA101B"/>
    <w:rsid w:val="00BA3EE0"/>
    <w:rsid w:val="00BA6471"/>
    <w:rsid w:val="00BA7E2D"/>
    <w:rsid w:val="00BB06A6"/>
    <w:rsid w:val="00BB0DC6"/>
    <w:rsid w:val="00BB1F00"/>
    <w:rsid w:val="00BB3B90"/>
    <w:rsid w:val="00BB6A3A"/>
    <w:rsid w:val="00BB6CD5"/>
    <w:rsid w:val="00BB78FF"/>
    <w:rsid w:val="00BB7B80"/>
    <w:rsid w:val="00BC0812"/>
    <w:rsid w:val="00BC1192"/>
    <w:rsid w:val="00BC18B2"/>
    <w:rsid w:val="00BC3300"/>
    <w:rsid w:val="00BC4921"/>
    <w:rsid w:val="00BC4B51"/>
    <w:rsid w:val="00BC6F97"/>
    <w:rsid w:val="00BD1311"/>
    <w:rsid w:val="00BD245B"/>
    <w:rsid w:val="00BD5BD3"/>
    <w:rsid w:val="00BD79BE"/>
    <w:rsid w:val="00BE06A7"/>
    <w:rsid w:val="00BE234B"/>
    <w:rsid w:val="00BE2AF7"/>
    <w:rsid w:val="00BE5D39"/>
    <w:rsid w:val="00BE7357"/>
    <w:rsid w:val="00BF0D09"/>
    <w:rsid w:val="00BF1341"/>
    <w:rsid w:val="00BF55FB"/>
    <w:rsid w:val="00BF5ADC"/>
    <w:rsid w:val="00BF6525"/>
    <w:rsid w:val="00BF7A12"/>
    <w:rsid w:val="00C00098"/>
    <w:rsid w:val="00C005AE"/>
    <w:rsid w:val="00C01284"/>
    <w:rsid w:val="00C0176A"/>
    <w:rsid w:val="00C02003"/>
    <w:rsid w:val="00C02397"/>
    <w:rsid w:val="00C024BB"/>
    <w:rsid w:val="00C02ED8"/>
    <w:rsid w:val="00C04F5F"/>
    <w:rsid w:val="00C05263"/>
    <w:rsid w:val="00C052ED"/>
    <w:rsid w:val="00C05B8A"/>
    <w:rsid w:val="00C128FE"/>
    <w:rsid w:val="00C131CD"/>
    <w:rsid w:val="00C13F4C"/>
    <w:rsid w:val="00C14450"/>
    <w:rsid w:val="00C16476"/>
    <w:rsid w:val="00C1661F"/>
    <w:rsid w:val="00C16E5A"/>
    <w:rsid w:val="00C17579"/>
    <w:rsid w:val="00C20006"/>
    <w:rsid w:val="00C2105B"/>
    <w:rsid w:val="00C222B8"/>
    <w:rsid w:val="00C22665"/>
    <w:rsid w:val="00C2762D"/>
    <w:rsid w:val="00C2796D"/>
    <w:rsid w:val="00C30157"/>
    <w:rsid w:val="00C303C8"/>
    <w:rsid w:val="00C31A98"/>
    <w:rsid w:val="00C31D4A"/>
    <w:rsid w:val="00C32621"/>
    <w:rsid w:val="00C33FB0"/>
    <w:rsid w:val="00C34316"/>
    <w:rsid w:val="00C343A6"/>
    <w:rsid w:val="00C3668C"/>
    <w:rsid w:val="00C37CB1"/>
    <w:rsid w:val="00C4020E"/>
    <w:rsid w:val="00C40D0D"/>
    <w:rsid w:val="00C42910"/>
    <w:rsid w:val="00C4453C"/>
    <w:rsid w:val="00C44EE8"/>
    <w:rsid w:val="00C4632F"/>
    <w:rsid w:val="00C501C3"/>
    <w:rsid w:val="00C501D5"/>
    <w:rsid w:val="00C51A98"/>
    <w:rsid w:val="00C53D66"/>
    <w:rsid w:val="00C61FB1"/>
    <w:rsid w:val="00C64E43"/>
    <w:rsid w:val="00C65507"/>
    <w:rsid w:val="00C670A8"/>
    <w:rsid w:val="00C672F8"/>
    <w:rsid w:val="00C70824"/>
    <w:rsid w:val="00C70C06"/>
    <w:rsid w:val="00C70D13"/>
    <w:rsid w:val="00C75526"/>
    <w:rsid w:val="00C76094"/>
    <w:rsid w:val="00C765B5"/>
    <w:rsid w:val="00C76F19"/>
    <w:rsid w:val="00C80C1D"/>
    <w:rsid w:val="00C817BE"/>
    <w:rsid w:val="00C81D3B"/>
    <w:rsid w:val="00C82F2C"/>
    <w:rsid w:val="00C84CE7"/>
    <w:rsid w:val="00C85362"/>
    <w:rsid w:val="00C86448"/>
    <w:rsid w:val="00C879F2"/>
    <w:rsid w:val="00C91C3D"/>
    <w:rsid w:val="00C925F5"/>
    <w:rsid w:val="00C92B5E"/>
    <w:rsid w:val="00C92E83"/>
    <w:rsid w:val="00C93301"/>
    <w:rsid w:val="00C939A1"/>
    <w:rsid w:val="00CA0FD4"/>
    <w:rsid w:val="00CA11CC"/>
    <w:rsid w:val="00CA28AE"/>
    <w:rsid w:val="00CA4B6D"/>
    <w:rsid w:val="00CA58E5"/>
    <w:rsid w:val="00CA6F62"/>
    <w:rsid w:val="00CA73B4"/>
    <w:rsid w:val="00CB5D99"/>
    <w:rsid w:val="00CB6F7D"/>
    <w:rsid w:val="00CC07A8"/>
    <w:rsid w:val="00CC1E7E"/>
    <w:rsid w:val="00CC20C7"/>
    <w:rsid w:val="00CC4365"/>
    <w:rsid w:val="00CC5E44"/>
    <w:rsid w:val="00CC6052"/>
    <w:rsid w:val="00CC67D8"/>
    <w:rsid w:val="00CC789A"/>
    <w:rsid w:val="00CD0413"/>
    <w:rsid w:val="00CD0A40"/>
    <w:rsid w:val="00CD1139"/>
    <w:rsid w:val="00CD2B8A"/>
    <w:rsid w:val="00CD2D75"/>
    <w:rsid w:val="00CD6F82"/>
    <w:rsid w:val="00CE1960"/>
    <w:rsid w:val="00CE329C"/>
    <w:rsid w:val="00CE36FD"/>
    <w:rsid w:val="00CE5988"/>
    <w:rsid w:val="00CE5A65"/>
    <w:rsid w:val="00CE6250"/>
    <w:rsid w:val="00CE666C"/>
    <w:rsid w:val="00CE7A46"/>
    <w:rsid w:val="00CE7A81"/>
    <w:rsid w:val="00CE7DBA"/>
    <w:rsid w:val="00CE7ECF"/>
    <w:rsid w:val="00CF2452"/>
    <w:rsid w:val="00CF2E28"/>
    <w:rsid w:val="00CF505C"/>
    <w:rsid w:val="00CF56E5"/>
    <w:rsid w:val="00CF605C"/>
    <w:rsid w:val="00CF761E"/>
    <w:rsid w:val="00D00CF7"/>
    <w:rsid w:val="00D01742"/>
    <w:rsid w:val="00D0247C"/>
    <w:rsid w:val="00D03EC5"/>
    <w:rsid w:val="00D05870"/>
    <w:rsid w:val="00D1186E"/>
    <w:rsid w:val="00D1196A"/>
    <w:rsid w:val="00D12A0A"/>
    <w:rsid w:val="00D12B57"/>
    <w:rsid w:val="00D14D00"/>
    <w:rsid w:val="00D150AD"/>
    <w:rsid w:val="00D15728"/>
    <w:rsid w:val="00D21062"/>
    <w:rsid w:val="00D2323A"/>
    <w:rsid w:val="00D25604"/>
    <w:rsid w:val="00D26CE2"/>
    <w:rsid w:val="00D278DA"/>
    <w:rsid w:val="00D32A6B"/>
    <w:rsid w:val="00D35F8F"/>
    <w:rsid w:val="00D362BD"/>
    <w:rsid w:val="00D368DF"/>
    <w:rsid w:val="00D37870"/>
    <w:rsid w:val="00D40A66"/>
    <w:rsid w:val="00D41961"/>
    <w:rsid w:val="00D4436F"/>
    <w:rsid w:val="00D45606"/>
    <w:rsid w:val="00D45F78"/>
    <w:rsid w:val="00D5048A"/>
    <w:rsid w:val="00D511D2"/>
    <w:rsid w:val="00D516AF"/>
    <w:rsid w:val="00D52C0C"/>
    <w:rsid w:val="00D56237"/>
    <w:rsid w:val="00D65062"/>
    <w:rsid w:val="00D65780"/>
    <w:rsid w:val="00D65EC6"/>
    <w:rsid w:val="00D703CC"/>
    <w:rsid w:val="00D70D9A"/>
    <w:rsid w:val="00D71165"/>
    <w:rsid w:val="00D7274D"/>
    <w:rsid w:val="00D72FED"/>
    <w:rsid w:val="00D738DB"/>
    <w:rsid w:val="00D74854"/>
    <w:rsid w:val="00D76AC7"/>
    <w:rsid w:val="00D81594"/>
    <w:rsid w:val="00D81B61"/>
    <w:rsid w:val="00D81EDA"/>
    <w:rsid w:val="00D82690"/>
    <w:rsid w:val="00D8427B"/>
    <w:rsid w:val="00D84775"/>
    <w:rsid w:val="00D861F7"/>
    <w:rsid w:val="00D865D5"/>
    <w:rsid w:val="00D872CF"/>
    <w:rsid w:val="00D92087"/>
    <w:rsid w:val="00D93B12"/>
    <w:rsid w:val="00D94841"/>
    <w:rsid w:val="00D956DF"/>
    <w:rsid w:val="00D9657C"/>
    <w:rsid w:val="00D97E87"/>
    <w:rsid w:val="00DA2F9F"/>
    <w:rsid w:val="00DA3DF1"/>
    <w:rsid w:val="00DA4A67"/>
    <w:rsid w:val="00DA53BD"/>
    <w:rsid w:val="00DA70F3"/>
    <w:rsid w:val="00DA75FF"/>
    <w:rsid w:val="00DB1618"/>
    <w:rsid w:val="00DB3A2A"/>
    <w:rsid w:val="00DB44F3"/>
    <w:rsid w:val="00DB6F5C"/>
    <w:rsid w:val="00DC10D6"/>
    <w:rsid w:val="00DC1B2E"/>
    <w:rsid w:val="00DC4F12"/>
    <w:rsid w:val="00DC6EFB"/>
    <w:rsid w:val="00DC7630"/>
    <w:rsid w:val="00DD23EA"/>
    <w:rsid w:val="00DD6D67"/>
    <w:rsid w:val="00DE3B6A"/>
    <w:rsid w:val="00DF12C4"/>
    <w:rsid w:val="00DF3741"/>
    <w:rsid w:val="00DF37A2"/>
    <w:rsid w:val="00DF6BC9"/>
    <w:rsid w:val="00DF730F"/>
    <w:rsid w:val="00E0152A"/>
    <w:rsid w:val="00E02450"/>
    <w:rsid w:val="00E02578"/>
    <w:rsid w:val="00E037E2"/>
    <w:rsid w:val="00E037FA"/>
    <w:rsid w:val="00E04312"/>
    <w:rsid w:val="00E0443A"/>
    <w:rsid w:val="00E078B2"/>
    <w:rsid w:val="00E14351"/>
    <w:rsid w:val="00E154E6"/>
    <w:rsid w:val="00E15618"/>
    <w:rsid w:val="00E16306"/>
    <w:rsid w:val="00E1688B"/>
    <w:rsid w:val="00E169FC"/>
    <w:rsid w:val="00E20DA8"/>
    <w:rsid w:val="00E2116A"/>
    <w:rsid w:val="00E24D07"/>
    <w:rsid w:val="00E24E96"/>
    <w:rsid w:val="00E26981"/>
    <w:rsid w:val="00E270F5"/>
    <w:rsid w:val="00E34872"/>
    <w:rsid w:val="00E34CF2"/>
    <w:rsid w:val="00E350CE"/>
    <w:rsid w:val="00E36C43"/>
    <w:rsid w:val="00E40AC7"/>
    <w:rsid w:val="00E41CAD"/>
    <w:rsid w:val="00E423C3"/>
    <w:rsid w:val="00E425DD"/>
    <w:rsid w:val="00E42945"/>
    <w:rsid w:val="00E43E82"/>
    <w:rsid w:val="00E43F8D"/>
    <w:rsid w:val="00E45AE8"/>
    <w:rsid w:val="00E46112"/>
    <w:rsid w:val="00E47DF4"/>
    <w:rsid w:val="00E50464"/>
    <w:rsid w:val="00E51668"/>
    <w:rsid w:val="00E52B27"/>
    <w:rsid w:val="00E5334D"/>
    <w:rsid w:val="00E57D58"/>
    <w:rsid w:val="00E61153"/>
    <w:rsid w:val="00E61992"/>
    <w:rsid w:val="00E6303E"/>
    <w:rsid w:val="00E63560"/>
    <w:rsid w:val="00E63561"/>
    <w:rsid w:val="00E63C17"/>
    <w:rsid w:val="00E64316"/>
    <w:rsid w:val="00E644B6"/>
    <w:rsid w:val="00E66234"/>
    <w:rsid w:val="00E662DC"/>
    <w:rsid w:val="00E667E5"/>
    <w:rsid w:val="00E66CCE"/>
    <w:rsid w:val="00E71EE4"/>
    <w:rsid w:val="00E73028"/>
    <w:rsid w:val="00E73D99"/>
    <w:rsid w:val="00E75DCB"/>
    <w:rsid w:val="00E80548"/>
    <w:rsid w:val="00E815A9"/>
    <w:rsid w:val="00E81BE5"/>
    <w:rsid w:val="00E82311"/>
    <w:rsid w:val="00E84447"/>
    <w:rsid w:val="00E852B9"/>
    <w:rsid w:val="00E858F7"/>
    <w:rsid w:val="00E9020B"/>
    <w:rsid w:val="00E90636"/>
    <w:rsid w:val="00E94B40"/>
    <w:rsid w:val="00E95AB5"/>
    <w:rsid w:val="00EA0871"/>
    <w:rsid w:val="00EA3A42"/>
    <w:rsid w:val="00EA64BB"/>
    <w:rsid w:val="00EA7529"/>
    <w:rsid w:val="00EA7AD1"/>
    <w:rsid w:val="00EB3439"/>
    <w:rsid w:val="00EB6068"/>
    <w:rsid w:val="00EC0ACE"/>
    <w:rsid w:val="00EC203E"/>
    <w:rsid w:val="00EC4BFD"/>
    <w:rsid w:val="00ED2118"/>
    <w:rsid w:val="00ED3CBF"/>
    <w:rsid w:val="00ED5EC1"/>
    <w:rsid w:val="00ED7779"/>
    <w:rsid w:val="00EE222A"/>
    <w:rsid w:val="00EE267B"/>
    <w:rsid w:val="00EE4F7C"/>
    <w:rsid w:val="00EE5613"/>
    <w:rsid w:val="00EE6F6B"/>
    <w:rsid w:val="00EF3C45"/>
    <w:rsid w:val="00EF50E5"/>
    <w:rsid w:val="00EF53E2"/>
    <w:rsid w:val="00F003BB"/>
    <w:rsid w:val="00F0070C"/>
    <w:rsid w:val="00F03A97"/>
    <w:rsid w:val="00F0411B"/>
    <w:rsid w:val="00F0472C"/>
    <w:rsid w:val="00F047A2"/>
    <w:rsid w:val="00F04EC3"/>
    <w:rsid w:val="00F076C4"/>
    <w:rsid w:val="00F11CBA"/>
    <w:rsid w:val="00F11D93"/>
    <w:rsid w:val="00F1222C"/>
    <w:rsid w:val="00F12511"/>
    <w:rsid w:val="00F129EC"/>
    <w:rsid w:val="00F1372A"/>
    <w:rsid w:val="00F137D3"/>
    <w:rsid w:val="00F14509"/>
    <w:rsid w:val="00F17C73"/>
    <w:rsid w:val="00F21712"/>
    <w:rsid w:val="00F21FFA"/>
    <w:rsid w:val="00F25486"/>
    <w:rsid w:val="00F2610F"/>
    <w:rsid w:val="00F26865"/>
    <w:rsid w:val="00F32740"/>
    <w:rsid w:val="00F32AE5"/>
    <w:rsid w:val="00F332C2"/>
    <w:rsid w:val="00F33AD5"/>
    <w:rsid w:val="00F34806"/>
    <w:rsid w:val="00F34A3F"/>
    <w:rsid w:val="00F354CA"/>
    <w:rsid w:val="00F35733"/>
    <w:rsid w:val="00F3587B"/>
    <w:rsid w:val="00F35E49"/>
    <w:rsid w:val="00F36A52"/>
    <w:rsid w:val="00F36B94"/>
    <w:rsid w:val="00F37B3E"/>
    <w:rsid w:val="00F405B0"/>
    <w:rsid w:val="00F41C71"/>
    <w:rsid w:val="00F43CA1"/>
    <w:rsid w:val="00F44257"/>
    <w:rsid w:val="00F443A6"/>
    <w:rsid w:val="00F45201"/>
    <w:rsid w:val="00F462C5"/>
    <w:rsid w:val="00F4666A"/>
    <w:rsid w:val="00F4667B"/>
    <w:rsid w:val="00F46E6D"/>
    <w:rsid w:val="00F473BE"/>
    <w:rsid w:val="00F51789"/>
    <w:rsid w:val="00F522AA"/>
    <w:rsid w:val="00F5392D"/>
    <w:rsid w:val="00F545D5"/>
    <w:rsid w:val="00F54FE2"/>
    <w:rsid w:val="00F56308"/>
    <w:rsid w:val="00F56C95"/>
    <w:rsid w:val="00F5727E"/>
    <w:rsid w:val="00F61B42"/>
    <w:rsid w:val="00F627E8"/>
    <w:rsid w:val="00F62BC4"/>
    <w:rsid w:val="00F62EA5"/>
    <w:rsid w:val="00F62F75"/>
    <w:rsid w:val="00F64642"/>
    <w:rsid w:val="00F72EC2"/>
    <w:rsid w:val="00F7314B"/>
    <w:rsid w:val="00F75ADE"/>
    <w:rsid w:val="00F82705"/>
    <w:rsid w:val="00F83242"/>
    <w:rsid w:val="00F838DF"/>
    <w:rsid w:val="00F83BD5"/>
    <w:rsid w:val="00F84742"/>
    <w:rsid w:val="00F858D5"/>
    <w:rsid w:val="00F90B72"/>
    <w:rsid w:val="00F917F9"/>
    <w:rsid w:val="00F929B6"/>
    <w:rsid w:val="00F92A24"/>
    <w:rsid w:val="00F93ABE"/>
    <w:rsid w:val="00F94600"/>
    <w:rsid w:val="00F95C28"/>
    <w:rsid w:val="00F960ED"/>
    <w:rsid w:val="00F9630F"/>
    <w:rsid w:val="00F97879"/>
    <w:rsid w:val="00F97BC6"/>
    <w:rsid w:val="00FA0601"/>
    <w:rsid w:val="00FA30B0"/>
    <w:rsid w:val="00FA47AA"/>
    <w:rsid w:val="00FA53C6"/>
    <w:rsid w:val="00FB23F5"/>
    <w:rsid w:val="00FB26F2"/>
    <w:rsid w:val="00FB407B"/>
    <w:rsid w:val="00FB4880"/>
    <w:rsid w:val="00FB6070"/>
    <w:rsid w:val="00FB6148"/>
    <w:rsid w:val="00FB6B8D"/>
    <w:rsid w:val="00FB73E4"/>
    <w:rsid w:val="00FB7627"/>
    <w:rsid w:val="00FC0CA1"/>
    <w:rsid w:val="00FC130B"/>
    <w:rsid w:val="00FC177E"/>
    <w:rsid w:val="00FC191C"/>
    <w:rsid w:val="00FC2A46"/>
    <w:rsid w:val="00FC3B04"/>
    <w:rsid w:val="00FC79D8"/>
    <w:rsid w:val="00FC7A60"/>
    <w:rsid w:val="00FD3CFE"/>
    <w:rsid w:val="00FD515C"/>
    <w:rsid w:val="00FD66E5"/>
    <w:rsid w:val="00FD7C52"/>
    <w:rsid w:val="00FE3816"/>
    <w:rsid w:val="00FE3CA4"/>
    <w:rsid w:val="00FE3DB1"/>
    <w:rsid w:val="00FE3E3D"/>
    <w:rsid w:val="00FE4010"/>
    <w:rsid w:val="00FE4400"/>
    <w:rsid w:val="00FE4CF2"/>
    <w:rsid w:val="00FE53DF"/>
    <w:rsid w:val="00FE6EE7"/>
    <w:rsid w:val="00FF1F60"/>
    <w:rsid w:val="00FF2CD2"/>
    <w:rsid w:val="00FF5C05"/>
    <w:rsid w:val="00FF5FF0"/>
    <w:rsid w:val="00FF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E6C8BB"/>
  <w14:defaultImageDpi w14:val="300"/>
  <w15:docId w15:val="{2B058023-9E35-3143-85C0-6B109E28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242"/>
    <w:rPr>
      <w:rFonts w:ascii="Times New Roman" w:hAnsi="Times New Roman"/>
      <w:sz w:val="24"/>
      <w:szCs w:val="24"/>
    </w:rPr>
  </w:style>
  <w:style w:type="paragraph" w:styleId="Heading1">
    <w:name w:val="heading 1"/>
    <w:basedOn w:val="NormalWeb"/>
    <w:link w:val="Heading1Char"/>
    <w:qFormat/>
    <w:rsid w:val="00F83242"/>
    <w:pPr>
      <w:keepNext/>
      <w:outlineLvl w:val="0"/>
    </w:pPr>
    <w:rPr>
      <w:rFonts w:cs="Arial"/>
      <w:b/>
      <w:bCs/>
      <w:kern w:val="32"/>
      <w:sz w:val="43"/>
      <w:szCs w:val="32"/>
    </w:rPr>
  </w:style>
  <w:style w:type="paragraph" w:styleId="Heading2">
    <w:name w:val="heading 2"/>
    <w:basedOn w:val="NormalWeb"/>
    <w:link w:val="Heading2Char"/>
    <w:qFormat/>
    <w:rsid w:val="00F83242"/>
    <w:pPr>
      <w:keepNext/>
      <w:outlineLvl w:val="1"/>
    </w:pPr>
    <w:rPr>
      <w:rFonts w:cs="Arial"/>
      <w:b/>
      <w:bCs/>
      <w:iCs/>
      <w:sz w:val="38"/>
      <w:szCs w:val="28"/>
    </w:rPr>
  </w:style>
  <w:style w:type="paragraph" w:styleId="Heading3">
    <w:name w:val="heading 3"/>
    <w:basedOn w:val="NormalWeb"/>
    <w:link w:val="Heading3Char"/>
    <w:qFormat/>
    <w:rsid w:val="00F83242"/>
    <w:pPr>
      <w:keepNext/>
      <w:outlineLvl w:val="2"/>
    </w:pPr>
    <w:rPr>
      <w:rFonts w:cs="Arial"/>
      <w:b/>
      <w:bCs/>
      <w:sz w:val="34"/>
      <w:szCs w:val="26"/>
    </w:rPr>
  </w:style>
  <w:style w:type="paragraph" w:styleId="Heading4">
    <w:name w:val="heading 4"/>
    <w:basedOn w:val="NormalWeb"/>
    <w:link w:val="Heading4Char"/>
    <w:qFormat/>
    <w:rsid w:val="00F83242"/>
    <w:pPr>
      <w:keepNext/>
      <w:outlineLvl w:val="3"/>
    </w:pPr>
    <w:rPr>
      <w:b/>
      <w:bCs/>
      <w:sz w:val="31"/>
      <w:szCs w:val="28"/>
    </w:rPr>
  </w:style>
  <w:style w:type="paragraph" w:styleId="Heading5">
    <w:name w:val="heading 5"/>
    <w:basedOn w:val="NormalWeb"/>
    <w:link w:val="Heading5Char"/>
    <w:qFormat/>
    <w:rsid w:val="00F83242"/>
    <w:pPr>
      <w:outlineLvl w:val="4"/>
    </w:pPr>
    <w:rPr>
      <w:b/>
      <w:bCs/>
      <w:iCs/>
      <w:sz w:val="29"/>
      <w:szCs w:val="26"/>
    </w:rPr>
  </w:style>
  <w:style w:type="paragraph" w:styleId="Heading6">
    <w:name w:val="heading 6"/>
    <w:basedOn w:val="NormalWeb"/>
    <w:link w:val="Heading6Char"/>
    <w:qFormat/>
    <w:rsid w:val="00F83242"/>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MTSY" w:hAnsi="MTSY" w:cs="MTSY"/>
    </w:rPr>
  </w:style>
  <w:style w:type="paragraph" w:customStyle="1" w:styleId="Style3">
    <w:name w:val="Style3"/>
    <w:basedOn w:val="Normal"/>
    <w:next w:val="Normal"/>
    <w:uiPriority w:val="99"/>
    <w:rPr>
      <w:rFonts w:ascii="Minion-Bold" w:hAnsi="Minion-Bold" w:cs="Minion-Bold"/>
    </w:rPr>
  </w:style>
  <w:style w:type="paragraph" w:customStyle="1" w:styleId="Style4">
    <w:name w:val="Style4"/>
    <w:basedOn w:val="Normal"/>
    <w:next w:val="Normal"/>
    <w:uiPriority w:val="99"/>
    <w:rPr>
      <w:rFonts w:ascii="RMTMI" w:hAnsi="RMTMI" w:cs="RMTMI"/>
      <w:sz w:val="18"/>
      <w:szCs w:val="18"/>
    </w:rPr>
  </w:style>
  <w:style w:type="paragraph" w:customStyle="1" w:styleId="Style5">
    <w:name w:val="Style5"/>
    <w:basedOn w:val="Normal"/>
    <w:next w:val="Normal"/>
    <w:uiPriority w:val="99"/>
    <w:rPr>
      <w:rFonts w:ascii="Formata BQ-Regular" w:hAnsi="Formata BQ-Regular" w:cs="Formata BQ-Regular"/>
    </w:rPr>
  </w:style>
  <w:style w:type="paragraph" w:customStyle="1" w:styleId="Style6">
    <w:name w:val="Style6"/>
    <w:basedOn w:val="Normal"/>
    <w:next w:val="Normal"/>
    <w:uiPriority w:val="99"/>
    <w:rPr>
      <w:rFonts w:ascii="Minion-Italic" w:hAnsi="Minion-Italic" w:cs="Minion-Italic"/>
    </w:rPr>
  </w:style>
  <w:style w:type="paragraph" w:customStyle="1" w:styleId="Style7">
    <w:name w:val="Style7"/>
    <w:basedOn w:val="Normal"/>
    <w:next w:val="Normal"/>
    <w:uiPriority w:val="99"/>
    <w:rPr>
      <w:rFonts w:ascii="Times New Roman PS" w:hAnsi="Times New Roman PS" w:cs="Times New Roman PS"/>
    </w:rPr>
  </w:style>
  <w:style w:type="paragraph" w:customStyle="1" w:styleId="Style8">
    <w:name w:val="Style8"/>
    <w:basedOn w:val="Normal"/>
    <w:next w:val="Normal"/>
    <w:uiPriority w:val="99"/>
    <w:rPr>
      <w:rFonts w:ascii="Times New Roman PS-Italic" w:hAnsi="Times New Roman PS-Italic" w:cs="Times New Roman PS-Italic"/>
      <w:sz w:val="17"/>
      <w:szCs w:val="17"/>
    </w:rPr>
  </w:style>
  <w:style w:type="paragraph" w:customStyle="1" w:styleId="Style9">
    <w:name w:val="Style9"/>
    <w:basedOn w:val="Normal"/>
    <w:next w:val="Normal"/>
    <w:uiPriority w:val="99"/>
    <w:rPr>
      <w:rFonts w:ascii="MTEX" w:hAnsi="MTEX" w:cs="MTEX"/>
      <w:sz w:val="17"/>
      <w:szCs w:val="17"/>
    </w:rPr>
  </w:style>
  <w:style w:type="paragraph" w:customStyle="1" w:styleId="Style10">
    <w:name w:val="Style10"/>
    <w:basedOn w:val="Normal"/>
    <w:next w:val="Normal"/>
    <w:uiPriority w:val="99"/>
    <w:rPr>
      <w:rFonts w:ascii="Arial MT" w:hAnsi="Arial MT" w:cs="Arial MT"/>
      <w:sz w:val="17"/>
      <w:szCs w:val="17"/>
    </w:rPr>
  </w:style>
  <w:style w:type="paragraph" w:customStyle="1" w:styleId="Style11">
    <w:name w:val="Style11"/>
    <w:basedOn w:val="Normal"/>
    <w:next w:val="Normal"/>
    <w:uiPriority w:val="99"/>
    <w:rPr>
      <w:rFonts w:ascii="Arial-Bold MT" w:hAnsi="Arial-Bold MT" w:cs="Arial-Bold MT"/>
      <w:sz w:val="18"/>
      <w:szCs w:val="18"/>
    </w:rPr>
  </w:style>
  <w:style w:type="paragraph" w:customStyle="1" w:styleId="Style12">
    <w:name w:val="Style12"/>
    <w:basedOn w:val="Normal"/>
    <w:next w:val="Normal"/>
    <w:uiPriority w:val="99"/>
    <w:rPr>
      <w:rFonts w:ascii="Minion-Bold Italic" w:hAnsi="Minion-Bold Italic" w:cs="Minion-Bold Italic"/>
      <w:sz w:val="18"/>
      <w:szCs w:val="18"/>
    </w:rPr>
  </w:style>
  <w:style w:type="paragraph" w:customStyle="1" w:styleId="Style13">
    <w:name w:val="Style13"/>
    <w:basedOn w:val="Normal"/>
    <w:next w:val="Normal"/>
    <w:uiPriority w:val="99"/>
    <w:rPr>
      <w:rFonts w:ascii="RMTMIB" w:hAnsi="RMTMIB" w:cs="RMTMIB"/>
      <w:sz w:val="12"/>
      <w:szCs w:val="12"/>
    </w:rPr>
  </w:style>
  <w:style w:type="paragraph" w:customStyle="1" w:styleId="Style14">
    <w:name w:val="Style14"/>
    <w:basedOn w:val="Normal"/>
    <w:next w:val="Normal"/>
    <w:uiPriority w:val="99"/>
    <w:rPr>
      <w:rFonts w:ascii="Formata BQ-Bold" w:hAnsi="Formata BQ-Bold" w:cs="Formata BQ-Bold"/>
      <w:sz w:val="18"/>
      <w:szCs w:val="18"/>
    </w:rPr>
  </w:style>
  <w:style w:type="paragraph" w:customStyle="1" w:styleId="Style15">
    <w:name w:val="Style15"/>
    <w:basedOn w:val="Normal"/>
    <w:next w:val="Normal"/>
    <w:uiPriority w:val="99"/>
    <w:rPr>
      <w:sz w:val="18"/>
      <w:szCs w:val="18"/>
    </w:rPr>
  </w:style>
  <w:style w:type="paragraph" w:customStyle="1" w:styleId="Style16">
    <w:name w:val="Style16"/>
    <w:basedOn w:val="Normal"/>
    <w:next w:val="Normal"/>
    <w:uiPriority w:val="99"/>
    <w:rPr>
      <w:sz w:val="15"/>
      <w:szCs w:val="15"/>
    </w:rPr>
  </w:style>
  <w:style w:type="paragraph" w:customStyle="1" w:styleId="Style17">
    <w:name w:val="Style17"/>
    <w:basedOn w:val="Normal"/>
    <w:next w:val="Normal"/>
    <w:uiPriority w:val="99"/>
  </w:style>
  <w:style w:type="paragraph" w:customStyle="1" w:styleId="Style18">
    <w:name w:val="Style18"/>
    <w:basedOn w:val="Normal"/>
    <w:next w:val="Normal"/>
    <w:uiPriority w:val="99"/>
    <w:rPr>
      <w:sz w:val="16"/>
      <w:szCs w:val="16"/>
    </w:rPr>
  </w:style>
  <w:style w:type="paragraph" w:customStyle="1" w:styleId="Style19">
    <w:name w:val="Style19"/>
    <w:basedOn w:val="Normal"/>
    <w:next w:val="Normal"/>
    <w:uiPriority w:val="99"/>
    <w:rPr>
      <w:sz w:val="16"/>
      <w:szCs w:val="16"/>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rPr>
      <w:sz w:val="14"/>
      <w:szCs w:val="14"/>
    </w:rPr>
  </w:style>
  <w:style w:type="paragraph" w:customStyle="1" w:styleId="Style22">
    <w:name w:val="Style22"/>
    <w:basedOn w:val="Normal"/>
    <w:next w:val="Normal"/>
    <w:uiPriority w:val="99"/>
    <w:rPr>
      <w:sz w:val="16"/>
      <w:szCs w:val="16"/>
    </w:rPr>
  </w:style>
  <w:style w:type="paragraph" w:customStyle="1" w:styleId="Style23">
    <w:name w:val="Style23"/>
    <w:basedOn w:val="Normal"/>
    <w:next w:val="Normal"/>
    <w:uiPriority w:val="99"/>
    <w:rPr>
      <w:sz w:val="15"/>
      <w:szCs w:val="15"/>
    </w:rPr>
  </w:style>
  <w:style w:type="paragraph" w:customStyle="1" w:styleId="Style24">
    <w:name w:val="Style24"/>
    <w:basedOn w:val="Normal"/>
    <w:next w:val="Normal"/>
    <w:uiPriority w:val="99"/>
    <w:rPr>
      <w:sz w:val="16"/>
      <w:szCs w:val="16"/>
    </w:rPr>
  </w:style>
  <w:style w:type="paragraph" w:customStyle="1" w:styleId="Style25">
    <w:name w:val="Style25"/>
    <w:basedOn w:val="Normal"/>
    <w:next w:val="Normal"/>
    <w:uiPriority w:val="99"/>
    <w:rPr>
      <w:sz w:val="15"/>
      <w:szCs w:val="15"/>
    </w:rPr>
  </w:style>
  <w:style w:type="paragraph" w:customStyle="1" w:styleId="Style26">
    <w:name w:val="Style26"/>
    <w:basedOn w:val="Normal"/>
    <w:next w:val="Normal"/>
    <w:uiPriority w:val="99"/>
  </w:style>
  <w:style w:type="paragraph" w:customStyle="1" w:styleId="Style27">
    <w:name w:val="Style27"/>
    <w:basedOn w:val="Normal"/>
    <w:next w:val="Normal"/>
    <w:uiPriority w:val="99"/>
    <w:rPr>
      <w:sz w:val="15"/>
      <w:szCs w:val="15"/>
    </w:rPr>
  </w:style>
  <w:style w:type="paragraph" w:customStyle="1" w:styleId="Style28">
    <w:name w:val="Style28"/>
    <w:basedOn w:val="Normal"/>
    <w:next w:val="Normal"/>
    <w:uiPriority w:val="99"/>
    <w:rPr>
      <w:sz w:val="19"/>
      <w:szCs w:val="19"/>
    </w:rPr>
  </w:style>
  <w:style w:type="paragraph" w:customStyle="1" w:styleId="Style29">
    <w:name w:val="Style29"/>
    <w:basedOn w:val="Normal"/>
    <w:next w:val="Normal"/>
    <w:uiPriority w:val="99"/>
    <w:rPr>
      <w:sz w:val="19"/>
      <w:szCs w:val="19"/>
    </w:rPr>
  </w:style>
  <w:style w:type="paragraph" w:customStyle="1" w:styleId="Style30">
    <w:name w:val="Style30"/>
    <w:basedOn w:val="Normal"/>
    <w:next w:val="Normal"/>
    <w:uiPriority w:val="99"/>
    <w:rPr>
      <w:sz w:val="13"/>
      <w:szCs w:val="13"/>
    </w:rPr>
  </w:style>
  <w:style w:type="paragraph" w:customStyle="1" w:styleId="Style31">
    <w:name w:val="Style31"/>
    <w:basedOn w:val="Normal"/>
    <w:next w:val="Normal"/>
    <w:uiPriority w:val="99"/>
    <w:rPr>
      <w:sz w:val="23"/>
      <w:szCs w:val="23"/>
    </w:rPr>
  </w:style>
  <w:style w:type="paragraph" w:customStyle="1" w:styleId="Style32">
    <w:name w:val="Style32"/>
    <w:basedOn w:val="Normal"/>
    <w:next w:val="Normal"/>
    <w:uiPriority w:val="99"/>
    <w:rPr>
      <w:sz w:val="16"/>
      <w:szCs w:val="16"/>
    </w:rPr>
  </w:style>
  <w:style w:type="paragraph" w:customStyle="1" w:styleId="Style33">
    <w:name w:val="Style33"/>
    <w:basedOn w:val="Normal"/>
    <w:next w:val="Normal"/>
    <w:uiPriority w:val="99"/>
    <w:rPr>
      <w:sz w:val="16"/>
      <w:szCs w:val="16"/>
    </w:rPr>
  </w:style>
  <w:style w:type="paragraph" w:customStyle="1" w:styleId="Style34">
    <w:name w:val="Style34"/>
    <w:basedOn w:val="Normal"/>
    <w:next w:val="Normal"/>
    <w:uiPriority w:val="99"/>
    <w:rPr>
      <w:sz w:val="16"/>
      <w:szCs w:val="16"/>
    </w:rPr>
  </w:style>
  <w:style w:type="paragraph" w:customStyle="1" w:styleId="Style35">
    <w:name w:val="Style35"/>
    <w:basedOn w:val="Normal"/>
    <w:next w:val="Normal"/>
    <w:uiPriority w:val="99"/>
    <w:rPr>
      <w:sz w:val="17"/>
      <w:szCs w:val="17"/>
    </w:rPr>
  </w:style>
  <w:style w:type="paragraph" w:customStyle="1" w:styleId="Style36">
    <w:name w:val="Style36"/>
    <w:basedOn w:val="Normal"/>
    <w:next w:val="Normal"/>
    <w:uiPriority w:val="99"/>
  </w:style>
  <w:style w:type="paragraph" w:customStyle="1" w:styleId="Style37">
    <w:name w:val="Style37"/>
    <w:basedOn w:val="Normal"/>
    <w:next w:val="Normal"/>
    <w:uiPriority w:val="99"/>
    <w:rPr>
      <w:sz w:val="15"/>
      <w:szCs w:val="15"/>
    </w:rPr>
  </w:style>
  <w:style w:type="paragraph" w:customStyle="1" w:styleId="Style38">
    <w:name w:val="Style38"/>
    <w:basedOn w:val="Normal"/>
    <w:next w:val="Normal"/>
    <w:uiPriority w:val="99"/>
    <w:rPr>
      <w:sz w:val="15"/>
      <w:szCs w:val="15"/>
    </w:rPr>
  </w:style>
  <w:style w:type="paragraph" w:customStyle="1" w:styleId="Style39">
    <w:name w:val="Style39"/>
    <w:basedOn w:val="Normal"/>
    <w:next w:val="Normal"/>
    <w:uiPriority w:val="99"/>
    <w:rPr>
      <w:sz w:val="12"/>
      <w:szCs w:val="12"/>
    </w:rPr>
  </w:style>
  <w:style w:type="paragraph" w:customStyle="1" w:styleId="Style40">
    <w:name w:val="Style40"/>
    <w:basedOn w:val="Normal"/>
    <w:next w:val="Normal"/>
    <w:uiPriority w:val="99"/>
    <w:rPr>
      <w:sz w:val="12"/>
      <w:szCs w:val="12"/>
    </w:rPr>
  </w:style>
  <w:style w:type="paragraph" w:customStyle="1" w:styleId="Style41">
    <w:name w:val="Style41"/>
    <w:basedOn w:val="Normal"/>
    <w:next w:val="Normal"/>
    <w:uiPriority w:val="99"/>
    <w:rPr>
      <w:sz w:val="14"/>
      <w:szCs w:val="14"/>
    </w:rPr>
  </w:style>
  <w:style w:type="paragraph" w:customStyle="1" w:styleId="Style42">
    <w:name w:val="Style42"/>
    <w:basedOn w:val="Normal"/>
    <w:next w:val="Normal"/>
    <w:uiPriority w:val="99"/>
    <w:rPr>
      <w:sz w:val="12"/>
      <w:szCs w:val="12"/>
    </w:rPr>
  </w:style>
  <w:style w:type="paragraph" w:customStyle="1" w:styleId="Style43">
    <w:name w:val="Style43"/>
    <w:basedOn w:val="Normal"/>
    <w:next w:val="Normal"/>
    <w:uiPriority w:val="99"/>
    <w:rPr>
      <w:sz w:val="11"/>
      <w:szCs w:val="11"/>
    </w:rPr>
  </w:style>
  <w:style w:type="paragraph" w:customStyle="1" w:styleId="Style44">
    <w:name w:val="Style44"/>
    <w:basedOn w:val="Normal"/>
    <w:next w:val="Normal"/>
    <w:uiPriority w:val="99"/>
  </w:style>
  <w:style w:type="paragraph" w:customStyle="1" w:styleId="Style45">
    <w:name w:val="Style45"/>
    <w:basedOn w:val="Normal"/>
    <w:next w:val="Normal"/>
    <w:uiPriority w:val="99"/>
    <w:rPr>
      <w:sz w:val="18"/>
      <w:szCs w:val="18"/>
    </w:rPr>
  </w:style>
  <w:style w:type="paragraph" w:customStyle="1" w:styleId="Style46">
    <w:name w:val="Style46"/>
    <w:basedOn w:val="Normal"/>
    <w:next w:val="Normal"/>
    <w:uiPriority w:val="99"/>
    <w:rPr>
      <w:sz w:val="18"/>
      <w:szCs w:val="18"/>
    </w:rPr>
  </w:style>
  <w:style w:type="paragraph" w:customStyle="1" w:styleId="Style47">
    <w:name w:val="Style47"/>
    <w:basedOn w:val="Normal"/>
    <w:next w:val="Normal"/>
    <w:uiPriority w:val="99"/>
    <w:rPr>
      <w:sz w:val="17"/>
      <w:szCs w:val="17"/>
    </w:rPr>
  </w:style>
  <w:style w:type="paragraph" w:customStyle="1" w:styleId="Style48">
    <w:name w:val="Style48"/>
    <w:basedOn w:val="Normal"/>
    <w:next w:val="Normal"/>
    <w:uiPriority w:val="99"/>
    <w:rPr>
      <w:sz w:val="12"/>
      <w:szCs w:val="12"/>
    </w:rPr>
  </w:style>
  <w:style w:type="paragraph" w:customStyle="1" w:styleId="Style49">
    <w:name w:val="Style49"/>
    <w:basedOn w:val="Normal"/>
    <w:next w:val="Normal"/>
    <w:uiPriority w:val="99"/>
    <w:rPr>
      <w:sz w:val="15"/>
      <w:szCs w:val="15"/>
    </w:rPr>
  </w:style>
  <w:style w:type="paragraph" w:customStyle="1" w:styleId="Style50">
    <w:name w:val="Style50"/>
    <w:basedOn w:val="Normal"/>
    <w:next w:val="Normal"/>
    <w:uiPriority w:val="99"/>
  </w:style>
  <w:style w:type="paragraph" w:customStyle="1" w:styleId="Style51">
    <w:name w:val="Style51"/>
    <w:basedOn w:val="Normal"/>
    <w:next w:val="Normal"/>
    <w:uiPriority w:val="99"/>
    <w:rPr>
      <w:sz w:val="19"/>
      <w:szCs w:val="19"/>
    </w:rPr>
  </w:style>
  <w:style w:type="paragraph" w:customStyle="1" w:styleId="Style52">
    <w:name w:val="Style52"/>
    <w:basedOn w:val="Normal"/>
    <w:next w:val="Normal"/>
    <w:uiPriority w:val="99"/>
    <w:rPr>
      <w:sz w:val="13"/>
      <w:szCs w:val="13"/>
    </w:rPr>
  </w:style>
  <w:style w:type="paragraph" w:customStyle="1" w:styleId="Style53">
    <w:name w:val="Style53"/>
    <w:basedOn w:val="Normal"/>
    <w:next w:val="Normal"/>
    <w:uiPriority w:val="99"/>
    <w:rPr>
      <w:sz w:val="17"/>
      <w:szCs w:val="17"/>
    </w:rPr>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B91CD8"/>
    <w:rPr>
      <w:b/>
      <w:bCs/>
      <w:sz w:val="31"/>
      <w:szCs w:val="28"/>
      <w:lang w:val="en-US" w:eastAsia="en-US" w:bidi="ar-SA"/>
    </w:rPr>
  </w:style>
  <w:style w:type="character" w:customStyle="1" w:styleId="Heading5Char">
    <w:name w:val="Heading 5 Char"/>
    <w:link w:val="Heading5"/>
    <w:rsid w:val="00B91CD8"/>
    <w:rPr>
      <w:b/>
      <w:bCs/>
      <w:iCs/>
      <w:sz w:val="29"/>
      <w:szCs w:val="26"/>
      <w:lang w:val="en-US" w:eastAsia="en-US" w:bidi="ar-SA"/>
    </w:rPr>
  </w:style>
  <w:style w:type="character" w:customStyle="1" w:styleId="Heading6Char">
    <w:name w:val="Heading 6 Char"/>
    <w:link w:val="Heading6"/>
    <w:rsid w:val="00B91CD8"/>
    <w:rPr>
      <w:b/>
      <w:bCs/>
      <w:sz w:val="26"/>
      <w:szCs w:val="22"/>
      <w:lang w:val="en-US" w:eastAsia="en-US" w:bidi="ar-SA"/>
    </w:rPr>
  </w:style>
  <w:style w:type="paragraph" w:styleId="NormalWeb">
    <w:name w:val="Normal (Web)"/>
    <w:basedOn w:val="Normal"/>
    <w:link w:val="NormalWebChar"/>
    <w:rsid w:val="00F83242"/>
    <w:pPr>
      <w:spacing w:before="100" w:beforeAutospacing="1" w:after="100" w:afterAutospacing="1"/>
    </w:pPr>
  </w:style>
  <w:style w:type="paragraph" w:customStyle="1" w:styleId="Affiliation">
    <w:name w:val="Affiliation"/>
    <w:basedOn w:val="NormalWeb"/>
    <w:rsid w:val="00F83242"/>
  </w:style>
  <w:style w:type="paragraph" w:customStyle="1" w:styleId="Author">
    <w:name w:val="Author"/>
    <w:basedOn w:val="NormalWeb"/>
    <w:rsid w:val="00F83242"/>
    <w:rPr>
      <w:sz w:val="26"/>
    </w:rPr>
  </w:style>
  <w:style w:type="paragraph" w:customStyle="1" w:styleId="Editor">
    <w:name w:val="Editor"/>
    <w:basedOn w:val="NormalWeb"/>
    <w:rsid w:val="00F83242"/>
    <w:rPr>
      <w:sz w:val="26"/>
    </w:rPr>
  </w:style>
  <w:style w:type="paragraph" w:customStyle="1" w:styleId="Edition">
    <w:name w:val="Edition"/>
    <w:basedOn w:val="NormalWeb"/>
    <w:rsid w:val="00F83242"/>
  </w:style>
  <w:style w:type="paragraph" w:customStyle="1" w:styleId="Dedication">
    <w:name w:val="Dedication"/>
    <w:basedOn w:val="NormalWeb"/>
    <w:rsid w:val="00F83242"/>
  </w:style>
  <w:style w:type="paragraph" w:customStyle="1" w:styleId="Half-title">
    <w:name w:val="Half-title"/>
    <w:basedOn w:val="NormalWeb"/>
    <w:rsid w:val="00F83242"/>
  </w:style>
  <w:style w:type="paragraph" w:customStyle="1" w:styleId="Copyright">
    <w:name w:val="Copyright"/>
    <w:basedOn w:val="NormalWeb"/>
    <w:rsid w:val="00F83242"/>
  </w:style>
  <w:style w:type="paragraph" w:customStyle="1" w:styleId="LOC">
    <w:name w:val="LOC"/>
    <w:basedOn w:val="NormalWeb"/>
    <w:rsid w:val="00F83242"/>
  </w:style>
  <w:style w:type="paragraph" w:customStyle="1" w:styleId="Publisher">
    <w:name w:val="Publisher"/>
    <w:basedOn w:val="NormalWeb"/>
    <w:rsid w:val="00F83242"/>
  </w:style>
  <w:style w:type="paragraph" w:styleId="Subtitle">
    <w:name w:val="Subtitle"/>
    <w:basedOn w:val="NormalWeb"/>
    <w:link w:val="SubtitleChar"/>
    <w:qFormat/>
    <w:rsid w:val="00F83242"/>
    <w:pPr>
      <w:outlineLvl w:val="1"/>
    </w:pPr>
    <w:rPr>
      <w:rFonts w:cs="Arial"/>
    </w:rPr>
  </w:style>
  <w:style w:type="character" w:customStyle="1" w:styleId="SubtitleChar">
    <w:name w:val="Subtitle Char"/>
    <w:link w:val="Subtitle"/>
    <w:rsid w:val="00B91CD8"/>
    <w:rPr>
      <w:rFonts w:cs="Arial"/>
      <w:sz w:val="24"/>
      <w:szCs w:val="24"/>
      <w:lang w:val="en-US" w:eastAsia="en-US" w:bidi="ar-SA"/>
    </w:rPr>
  </w:style>
  <w:style w:type="paragraph" w:customStyle="1" w:styleId="TOCpart">
    <w:name w:val="TOCpart"/>
    <w:basedOn w:val="NormalWeb"/>
    <w:rsid w:val="00F83242"/>
  </w:style>
  <w:style w:type="paragraph" w:customStyle="1" w:styleId="TOCChapter">
    <w:name w:val="TOCChapter"/>
    <w:basedOn w:val="NormalWeb"/>
    <w:rsid w:val="00F83242"/>
  </w:style>
  <w:style w:type="paragraph" w:customStyle="1" w:styleId="TOCpagenumber">
    <w:name w:val="TOCpagenumber"/>
    <w:basedOn w:val="NormalWeb"/>
    <w:rsid w:val="00F83242"/>
  </w:style>
  <w:style w:type="paragraph" w:customStyle="1" w:styleId="TOCsubchapter">
    <w:name w:val="TOCsubchapter"/>
    <w:basedOn w:val="NormalWeb"/>
    <w:rsid w:val="00F83242"/>
  </w:style>
  <w:style w:type="paragraph" w:customStyle="1" w:styleId="TOCsubsubchapter">
    <w:name w:val="TOCsubsubchapter"/>
    <w:basedOn w:val="NormalWeb"/>
    <w:rsid w:val="00F83242"/>
  </w:style>
  <w:style w:type="paragraph" w:customStyle="1" w:styleId="TOCsubsubsubchapter">
    <w:name w:val="TOCsubsubsubchapter"/>
    <w:basedOn w:val="NormalWeb"/>
    <w:rsid w:val="00F83242"/>
  </w:style>
  <w:style w:type="paragraph" w:styleId="Caption">
    <w:name w:val="caption"/>
    <w:basedOn w:val="NormalWeb"/>
    <w:qFormat/>
    <w:rsid w:val="00F83242"/>
    <w:rPr>
      <w:bCs/>
      <w:szCs w:val="20"/>
    </w:rPr>
  </w:style>
  <w:style w:type="paragraph" w:customStyle="1" w:styleId="Blockquote">
    <w:name w:val="Blockquote"/>
    <w:basedOn w:val="NormalWeb"/>
    <w:rsid w:val="00F83242"/>
    <w:pPr>
      <w:ind w:left="432" w:right="432"/>
    </w:pPr>
  </w:style>
  <w:style w:type="paragraph" w:customStyle="1" w:styleId="Extract">
    <w:name w:val="Extract"/>
    <w:basedOn w:val="NormalWeb"/>
    <w:rsid w:val="00F83242"/>
    <w:pPr>
      <w:ind w:left="432" w:right="432"/>
    </w:pPr>
  </w:style>
  <w:style w:type="paragraph" w:customStyle="1" w:styleId="Indentblock">
    <w:name w:val="Indentblock"/>
    <w:basedOn w:val="NormalWeb"/>
    <w:rsid w:val="00F83242"/>
    <w:pPr>
      <w:ind w:left="432"/>
    </w:pPr>
  </w:style>
  <w:style w:type="paragraph" w:customStyle="1" w:styleId="Indenthanginga">
    <w:name w:val="Indenthanginga"/>
    <w:basedOn w:val="NormalWeb"/>
    <w:rsid w:val="00F83242"/>
    <w:pPr>
      <w:ind w:left="432" w:hanging="432"/>
    </w:pPr>
  </w:style>
  <w:style w:type="paragraph" w:customStyle="1" w:styleId="Indenthanging1">
    <w:name w:val="Indenthanging1"/>
    <w:basedOn w:val="NormalWeb"/>
    <w:rsid w:val="00F83242"/>
    <w:pPr>
      <w:ind w:left="190" w:hanging="190"/>
    </w:pPr>
  </w:style>
  <w:style w:type="paragraph" w:customStyle="1" w:styleId="Indenthangingb">
    <w:name w:val="Indenthangingb"/>
    <w:basedOn w:val="NormalWeb"/>
    <w:rsid w:val="00F83242"/>
    <w:pPr>
      <w:ind w:left="432" w:hanging="432"/>
    </w:pPr>
  </w:style>
  <w:style w:type="paragraph" w:customStyle="1" w:styleId="Table">
    <w:name w:val="Table"/>
    <w:basedOn w:val="NormalWeb"/>
    <w:rsid w:val="00F83242"/>
    <w:pPr>
      <w:spacing w:before="48" w:beforeAutospacing="0" w:after="48" w:afterAutospacing="0"/>
      <w:ind w:left="144"/>
    </w:pPr>
  </w:style>
  <w:style w:type="paragraph" w:customStyle="1" w:styleId="NlTable">
    <w:name w:val="NlTable"/>
    <w:basedOn w:val="Table"/>
    <w:rsid w:val="00F83242"/>
  </w:style>
  <w:style w:type="paragraph" w:customStyle="1" w:styleId="Note">
    <w:name w:val="Note"/>
    <w:basedOn w:val="Table"/>
    <w:rsid w:val="00F83242"/>
  </w:style>
  <w:style w:type="paragraph" w:customStyle="1" w:styleId="Sidebar">
    <w:name w:val="Sidebar"/>
    <w:basedOn w:val="Table"/>
    <w:rsid w:val="00F83242"/>
  </w:style>
  <w:style w:type="paragraph" w:customStyle="1" w:styleId="Indexmain">
    <w:name w:val="Indexmain"/>
    <w:basedOn w:val="NormalWeb"/>
    <w:rsid w:val="00F83242"/>
    <w:pPr>
      <w:spacing w:before="24" w:beforeAutospacing="0" w:after="24" w:afterAutospacing="0"/>
      <w:ind w:left="360" w:hanging="360"/>
    </w:pPr>
  </w:style>
  <w:style w:type="paragraph" w:customStyle="1" w:styleId="Indexsub">
    <w:name w:val="Indexsub"/>
    <w:basedOn w:val="NormalWeb"/>
    <w:rsid w:val="00F83242"/>
    <w:pPr>
      <w:spacing w:before="24" w:beforeAutospacing="0" w:after="24" w:afterAutospacing="0"/>
      <w:ind w:left="619" w:hanging="360"/>
    </w:pPr>
  </w:style>
  <w:style w:type="paragraph" w:customStyle="1" w:styleId="Indexsubsub">
    <w:name w:val="Indexsubsub"/>
    <w:basedOn w:val="NormalWeb"/>
    <w:rsid w:val="00F83242"/>
    <w:pPr>
      <w:spacing w:before="24" w:beforeAutospacing="0" w:after="24" w:afterAutospacing="0"/>
      <w:ind w:left="907" w:hanging="360"/>
    </w:pPr>
  </w:style>
  <w:style w:type="paragraph" w:customStyle="1" w:styleId="Indexsubsubsub">
    <w:name w:val="Indexsubsubsub"/>
    <w:basedOn w:val="NormalWeb"/>
    <w:rsid w:val="00F83242"/>
    <w:pPr>
      <w:spacing w:before="24" w:beforeAutospacing="0" w:after="24" w:afterAutospacing="0"/>
      <w:ind w:left="1080" w:hanging="360"/>
    </w:pPr>
  </w:style>
  <w:style w:type="character" w:customStyle="1" w:styleId="eBol">
    <w:name w:val="eBol"/>
    <w:rsid w:val="00F83242"/>
    <w:rPr>
      <w:rFonts w:ascii="Times New Roman" w:hAnsi="Times New Roman"/>
      <w:b/>
    </w:rPr>
  </w:style>
  <w:style w:type="character" w:customStyle="1" w:styleId="eIta">
    <w:name w:val="eIta"/>
    <w:rsid w:val="00F83242"/>
    <w:rPr>
      <w:rFonts w:ascii="Times New Roman" w:hAnsi="Times New Roman"/>
      <w:i/>
    </w:rPr>
  </w:style>
  <w:style w:type="character" w:customStyle="1" w:styleId="eBolIta">
    <w:name w:val="eBolIta"/>
    <w:rsid w:val="00F83242"/>
    <w:rPr>
      <w:rFonts w:ascii="Times New Roman" w:hAnsi="Times New Roman"/>
      <w:b/>
      <w:i/>
    </w:rPr>
  </w:style>
  <w:style w:type="paragraph" w:customStyle="1" w:styleId="TOC-Chapter">
    <w:name w:val="TOC-Chapter"/>
    <w:basedOn w:val="NormalWeb"/>
    <w:rsid w:val="00F83242"/>
    <w:pPr>
      <w:spacing w:before="48" w:beforeAutospacing="0" w:after="48" w:afterAutospacing="0"/>
    </w:pPr>
  </w:style>
  <w:style w:type="paragraph" w:customStyle="1" w:styleId="TOC-pagenumber">
    <w:name w:val="TOC-pagenumber"/>
    <w:basedOn w:val="NormalWeb"/>
    <w:rsid w:val="00F83242"/>
    <w:pPr>
      <w:spacing w:before="48" w:beforeAutospacing="0" w:after="48" w:afterAutospacing="0"/>
    </w:pPr>
  </w:style>
  <w:style w:type="paragraph" w:customStyle="1" w:styleId="TOC-part">
    <w:name w:val="TOC-part"/>
    <w:basedOn w:val="NormalWeb"/>
    <w:rsid w:val="00F83242"/>
    <w:pPr>
      <w:spacing w:before="48" w:beforeAutospacing="0" w:after="48" w:afterAutospacing="0"/>
    </w:pPr>
  </w:style>
  <w:style w:type="paragraph" w:customStyle="1" w:styleId="TOC-subchapter">
    <w:name w:val="TOC-subchapter"/>
    <w:basedOn w:val="NormalWeb"/>
    <w:rsid w:val="00F83242"/>
    <w:pPr>
      <w:spacing w:before="48" w:beforeAutospacing="0" w:after="48" w:afterAutospacing="0"/>
    </w:pPr>
  </w:style>
  <w:style w:type="paragraph" w:customStyle="1" w:styleId="TOC-subsubchapter">
    <w:name w:val="TOC-subsubchapter"/>
    <w:basedOn w:val="NormalWeb"/>
    <w:rsid w:val="00F83242"/>
    <w:pPr>
      <w:spacing w:before="48" w:beforeAutospacing="0" w:after="48" w:afterAutospacing="0"/>
    </w:pPr>
  </w:style>
  <w:style w:type="paragraph" w:customStyle="1" w:styleId="TOC-subsubsubchapter">
    <w:name w:val="TOC-subsubsubchapter"/>
    <w:basedOn w:val="NormalWeb"/>
    <w:rsid w:val="00F83242"/>
    <w:pPr>
      <w:spacing w:before="48" w:beforeAutospacing="0" w:after="48" w:afterAutospacing="0"/>
    </w:pPr>
  </w:style>
  <w:style w:type="paragraph" w:customStyle="1" w:styleId="TOC-Chapauthor">
    <w:name w:val="TOC-Chapauthor"/>
    <w:basedOn w:val="NormalWeb"/>
    <w:rsid w:val="00F83242"/>
    <w:pPr>
      <w:spacing w:before="48" w:beforeAutospacing="0" w:after="48" w:afterAutospacing="0"/>
    </w:pPr>
  </w:style>
  <w:style w:type="paragraph" w:customStyle="1" w:styleId="Table-H">
    <w:name w:val="Table-H"/>
    <w:basedOn w:val="NormalWeb"/>
    <w:rsid w:val="00F83242"/>
    <w:pPr>
      <w:spacing w:before="48" w:beforeAutospacing="0" w:after="48" w:afterAutospacing="0"/>
      <w:ind w:left="432" w:hanging="288"/>
    </w:pPr>
  </w:style>
  <w:style w:type="paragraph" w:customStyle="1" w:styleId="N1Table-H">
    <w:name w:val="N1Table-H"/>
    <w:basedOn w:val="Table-H"/>
    <w:rsid w:val="00F83242"/>
  </w:style>
  <w:style w:type="paragraph" w:customStyle="1" w:styleId="NlTable-H">
    <w:name w:val="NlTable-H"/>
    <w:basedOn w:val="Table-H"/>
    <w:rsid w:val="00F83242"/>
  </w:style>
  <w:style w:type="paragraph" w:customStyle="1" w:styleId="Note-H">
    <w:name w:val="Note-H"/>
    <w:basedOn w:val="Table-H"/>
    <w:rsid w:val="00F83242"/>
  </w:style>
  <w:style w:type="paragraph" w:customStyle="1" w:styleId="Sidebar-H">
    <w:name w:val="Sidebar-H"/>
    <w:basedOn w:val="Table-H"/>
    <w:rsid w:val="00F83242"/>
  </w:style>
  <w:style w:type="paragraph" w:customStyle="1" w:styleId="Poem">
    <w:name w:val="Poem"/>
    <w:basedOn w:val="Extract"/>
    <w:qFormat/>
    <w:rsid w:val="00F83242"/>
    <w:pPr>
      <w:spacing w:before="0" w:beforeAutospacing="0" w:after="0" w:afterAutospacing="0"/>
    </w:pPr>
  </w:style>
  <w:style w:type="paragraph" w:customStyle="1" w:styleId="Poem1">
    <w:name w:val="Poem 1"/>
    <w:basedOn w:val="Poem"/>
    <w:rsid w:val="00F83242"/>
    <w:pPr>
      <w:ind w:left="864"/>
    </w:pPr>
  </w:style>
  <w:style w:type="paragraph" w:customStyle="1" w:styleId="indent1">
    <w:name w:val="indent1"/>
    <w:basedOn w:val="Normal"/>
    <w:next w:val="NormalWeb"/>
    <w:qFormat/>
    <w:rsid w:val="00F83242"/>
    <w:pPr>
      <w:ind w:left="288" w:hanging="288"/>
    </w:pPr>
  </w:style>
  <w:style w:type="table" w:styleId="TableGrid">
    <w:name w:val="Table Grid"/>
    <w:basedOn w:val="TableNormal"/>
    <w:uiPriority w:val="59"/>
    <w:rsid w:val="0015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Web"/>
    <w:next w:val="Normal"/>
    <w:link w:val="MTDisplayEquationChar"/>
    <w:rsid w:val="00B005B1"/>
    <w:pPr>
      <w:tabs>
        <w:tab w:val="center" w:pos="4320"/>
        <w:tab w:val="right" w:pos="8640"/>
      </w:tabs>
    </w:pPr>
  </w:style>
  <w:style w:type="character" w:customStyle="1" w:styleId="NormalWebChar">
    <w:name w:val="Normal (Web) Char"/>
    <w:link w:val="NormalWeb"/>
    <w:rsid w:val="00B005B1"/>
    <w:rPr>
      <w:sz w:val="24"/>
      <w:szCs w:val="24"/>
      <w:lang w:val="en-US" w:eastAsia="en-US" w:bidi="ar-SA"/>
    </w:rPr>
  </w:style>
  <w:style w:type="character" w:customStyle="1" w:styleId="MTDisplayEquationChar">
    <w:name w:val="MTDisplayEquation Char"/>
    <w:basedOn w:val="NormalWebChar"/>
    <w:link w:val="MTDisplayEquation"/>
    <w:rsid w:val="00B005B1"/>
    <w:rPr>
      <w:sz w:val="24"/>
      <w:szCs w:val="24"/>
      <w:lang w:val="en-US" w:eastAsia="en-US" w:bidi="ar-SA"/>
    </w:rPr>
  </w:style>
  <w:style w:type="paragraph" w:styleId="FootnoteText">
    <w:name w:val="footnote text"/>
    <w:basedOn w:val="Normal"/>
    <w:link w:val="FootnoteTextChar"/>
    <w:uiPriority w:val="99"/>
    <w:unhideWhenUsed/>
    <w:rsid w:val="006128A6"/>
    <w:rPr>
      <w:sz w:val="20"/>
      <w:szCs w:val="20"/>
    </w:rPr>
  </w:style>
  <w:style w:type="character" w:customStyle="1" w:styleId="FootnoteTextChar">
    <w:name w:val="Footnote Text Char"/>
    <w:link w:val="FootnoteText"/>
    <w:uiPriority w:val="99"/>
    <w:rsid w:val="006128A6"/>
    <w:rPr>
      <w:rFonts w:ascii="Times New Roman" w:hAnsi="Times New Roman"/>
      <w:lang w:val="en-US" w:eastAsia="en-US"/>
    </w:rPr>
  </w:style>
  <w:style w:type="character" w:styleId="FootnoteReference">
    <w:name w:val="footnote reference"/>
    <w:uiPriority w:val="99"/>
    <w:unhideWhenUsed/>
    <w:rsid w:val="006128A6"/>
    <w:rPr>
      <w:vertAlign w:val="superscript"/>
    </w:rPr>
  </w:style>
  <w:style w:type="character" w:styleId="CommentReference">
    <w:name w:val="annotation reference"/>
    <w:uiPriority w:val="99"/>
    <w:semiHidden/>
    <w:unhideWhenUsed/>
    <w:rsid w:val="00350370"/>
    <w:rPr>
      <w:sz w:val="18"/>
      <w:szCs w:val="18"/>
    </w:rPr>
  </w:style>
  <w:style w:type="paragraph" w:styleId="CommentText">
    <w:name w:val="annotation text"/>
    <w:basedOn w:val="Normal"/>
    <w:link w:val="CommentTextChar"/>
    <w:uiPriority w:val="99"/>
    <w:semiHidden/>
    <w:unhideWhenUsed/>
    <w:rsid w:val="00350370"/>
  </w:style>
  <w:style w:type="character" w:customStyle="1" w:styleId="CommentTextChar">
    <w:name w:val="Comment Text Char"/>
    <w:link w:val="CommentText"/>
    <w:uiPriority w:val="99"/>
    <w:semiHidden/>
    <w:rsid w:val="0035037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50370"/>
    <w:rPr>
      <w:b/>
      <w:bCs/>
      <w:sz w:val="20"/>
      <w:szCs w:val="20"/>
    </w:rPr>
  </w:style>
  <w:style w:type="character" w:customStyle="1" w:styleId="CommentSubjectChar">
    <w:name w:val="Comment Subject Char"/>
    <w:link w:val="CommentSubject"/>
    <w:uiPriority w:val="99"/>
    <w:semiHidden/>
    <w:rsid w:val="00350370"/>
    <w:rPr>
      <w:rFonts w:ascii="Times New Roman" w:hAnsi="Times New Roman"/>
      <w:b/>
      <w:bCs/>
      <w:sz w:val="24"/>
      <w:szCs w:val="24"/>
    </w:rPr>
  </w:style>
  <w:style w:type="paragraph" w:styleId="BalloonText">
    <w:name w:val="Balloon Text"/>
    <w:basedOn w:val="Normal"/>
    <w:link w:val="BalloonTextChar"/>
    <w:uiPriority w:val="99"/>
    <w:semiHidden/>
    <w:unhideWhenUsed/>
    <w:rsid w:val="00350370"/>
    <w:rPr>
      <w:rFonts w:ascii="Lucida Grande" w:hAnsi="Lucida Grande" w:cs="Lucida Grande"/>
      <w:sz w:val="18"/>
      <w:szCs w:val="18"/>
    </w:rPr>
  </w:style>
  <w:style w:type="character" w:customStyle="1" w:styleId="BalloonTextChar">
    <w:name w:val="Balloon Text Char"/>
    <w:link w:val="BalloonText"/>
    <w:uiPriority w:val="99"/>
    <w:semiHidden/>
    <w:rsid w:val="00350370"/>
    <w:rPr>
      <w:rFonts w:ascii="Lucida Grande" w:hAnsi="Lucida Grande" w:cs="Lucida Grande"/>
      <w:sz w:val="18"/>
      <w:szCs w:val="18"/>
    </w:rPr>
  </w:style>
  <w:style w:type="paragraph" w:styleId="Footer">
    <w:name w:val="footer"/>
    <w:basedOn w:val="Normal"/>
    <w:link w:val="FooterChar"/>
    <w:uiPriority w:val="99"/>
    <w:unhideWhenUsed/>
    <w:rsid w:val="00D2323A"/>
    <w:pPr>
      <w:tabs>
        <w:tab w:val="center" w:pos="4320"/>
        <w:tab w:val="right" w:pos="8640"/>
      </w:tabs>
    </w:pPr>
  </w:style>
  <w:style w:type="character" w:customStyle="1" w:styleId="FooterChar">
    <w:name w:val="Footer Char"/>
    <w:link w:val="Footer"/>
    <w:uiPriority w:val="99"/>
    <w:rsid w:val="00D2323A"/>
    <w:rPr>
      <w:rFonts w:ascii="Times New Roman" w:hAnsi="Times New Roman"/>
      <w:sz w:val="24"/>
      <w:szCs w:val="24"/>
    </w:rPr>
  </w:style>
  <w:style w:type="character" w:styleId="PageNumber">
    <w:name w:val="page number"/>
    <w:uiPriority w:val="99"/>
    <w:semiHidden/>
    <w:unhideWhenUsed/>
    <w:rsid w:val="00D2323A"/>
  </w:style>
  <w:style w:type="paragraph" w:styleId="Header">
    <w:name w:val="header"/>
    <w:basedOn w:val="Normal"/>
    <w:link w:val="HeaderChar"/>
    <w:uiPriority w:val="99"/>
    <w:unhideWhenUsed/>
    <w:rsid w:val="002E44F8"/>
    <w:pPr>
      <w:tabs>
        <w:tab w:val="center" w:pos="4320"/>
        <w:tab w:val="right" w:pos="8640"/>
      </w:tabs>
    </w:pPr>
  </w:style>
  <w:style w:type="character" w:customStyle="1" w:styleId="HeaderChar">
    <w:name w:val="Header Char"/>
    <w:link w:val="Header"/>
    <w:uiPriority w:val="99"/>
    <w:rsid w:val="002E44F8"/>
    <w:rPr>
      <w:rFonts w:ascii="Times New Roman" w:hAnsi="Times New Roman"/>
      <w:sz w:val="24"/>
      <w:szCs w:val="24"/>
    </w:rPr>
  </w:style>
  <w:style w:type="paragraph" w:customStyle="1" w:styleId="EndNoteBibliographyTitle">
    <w:name w:val="EndNote Bibliography Title"/>
    <w:basedOn w:val="Normal"/>
    <w:rsid w:val="007F4D5A"/>
    <w:pPr>
      <w:jc w:val="center"/>
    </w:pPr>
  </w:style>
  <w:style w:type="paragraph" w:customStyle="1" w:styleId="EndNoteBibliography">
    <w:name w:val="EndNote Bibliography"/>
    <w:basedOn w:val="Normal"/>
    <w:rsid w:val="007F4D5A"/>
  </w:style>
  <w:style w:type="paragraph" w:customStyle="1" w:styleId="ColorfulShading-Accent11">
    <w:name w:val="Colorful Shading - Accent 11"/>
    <w:hidden/>
    <w:uiPriority w:val="99"/>
    <w:semiHidden/>
    <w:rsid w:val="00DB3A2A"/>
    <w:rPr>
      <w:rFonts w:ascii="Times New Roman" w:hAnsi="Times New Roman"/>
      <w:sz w:val="24"/>
      <w:szCs w:val="24"/>
    </w:rPr>
  </w:style>
  <w:style w:type="paragraph" w:styleId="Revision">
    <w:name w:val="Revision"/>
    <w:hidden/>
    <w:uiPriority w:val="71"/>
    <w:rsid w:val="00180C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5599">
      <w:bodyDiv w:val="1"/>
      <w:marLeft w:val="0"/>
      <w:marRight w:val="0"/>
      <w:marTop w:val="0"/>
      <w:marBottom w:val="0"/>
      <w:divBdr>
        <w:top w:val="none" w:sz="0" w:space="0" w:color="auto"/>
        <w:left w:val="none" w:sz="0" w:space="0" w:color="auto"/>
        <w:bottom w:val="none" w:sz="0" w:space="0" w:color="auto"/>
        <w:right w:val="none" w:sz="0" w:space="0" w:color="auto"/>
      </w:divBdr>
    </w:div>
    <w:div w:id="539050223">
      <w:bodyDiv w:val="1"/>
      <w:marLeft w:val="0"/>
      <w:marRight w:val="0"/>
      <w:marTop w:val="0"/>
      <w:marBottom w:val="0"/>
      <w:divBdr>
        <w:top w:val="none" w:sz="0" w:space="0" w:color="auto"/>
        <w:left w:val="none" w:sz="0" w:space="0" w:color="auto"/>
        <w:bottom w:val="none" w:sz="0" w:space="0" w:color="auto"/>
        <w:right w:val="none" w:sz="0" w:space="0" w:color="auto"/>
      </w:divBdr>
    </w:div>
    <w:div w:id="1753548565">
      <w:bodyDiv w:val="1"/>
      <w:marLeft w:val="0"/>
      <w:marRight w:val="0"/>
      <w:marTop w:val="0"/>
      <w:marBottom w:val="0"/>
      <w:divBdr>
        <w:top w:val="none" w:sz="0" w:space="0" w:color="auto"/>
        <w:left w:val="none" w:sz="0" w:space="0" w:color="auto"/>
        <w:bottom w:val="none" w:sz="0" w:space="0" w:color="auto"/>
        <w:right w:val="none" w:sz="0" w:space="0" w:color="auto"/>
      </w:divBdr>
    </w:div>
    <w:div w:id="1806896231">
      <w:bodyDiv w:val="1"/>
      <w:marLeft w:val="0"/>
      <w:marRight w:val="0"/>
      <w:marTop w:val="0"/>
      <w:marBottom w:val="0"/>
      <w:divBdr>
        <w:top w:val="none" w:sz="0" w:space="0" w:color="auto"/>
        <w:left w:val="none" w:sz="0" w:space="0" w:color="auto"/>
        <w:bottom w:val="none" w:sz="0" w:space="0" w:color="auto"/>
        <w:right w:val="none" w:sz="0" w:space="0" w:color="auto"/>
      </w:divBdr>
    </w:div>
    <w:div w:id="1859931471">
      <w:bodyDiv w:val="1"/>
      <w:marLeft w:val="0"/>
      <w:marRight w:val="0"/>
      <w:marTop w:val="0"/>
      <w:marBottom w:val="0"/>
      <w:divBdr>
        <w:top w:val="none" w:sz="0" w:space="0" w:color="auto"/>
        <w:left w:val="none" w:sz="0" w:space="0" w:color="auto"/>
        <w:bottom w:val="none" w:sz="0" w:space="0" w:color="auto"/>
        <w:right w:val="none" w:sz="0" w:space="0" w:color="auto"/>
      </w:divBdr>
    </w:div>
    <w:div w:id="1913353071">
      <w:bodyDiv w:val="1"/>
      <w:marLeft w:val="0"/>
      <w:marRight w:val="0"/>
      <w:marTop w:val="0"/>
      <w:marBottom w:val="0"/>
      <w:divBdr>
        <w:top w:val="none" w:sz="0" w:space="0" w:color="auto"/>
        <w:left w:val="none" w:sz="0" w:space="0" w:color="auto"/>
        <w:bottom w:val="none" w:sz="0" w:space="0" w:color="auto"/>
        <w:right w:val="none" w:sz="0" w:space="0" w:color="auto"/>
      </w:divBdr>
      <w:divsChild>
        <w:div w:id="1345400471">
          <w:marLeft w:val="0"/>
          <w:marRight w:val="0"/>
          <w:marTop w:val="0"/>
          <w:marBottom w:val="0"/>
          <w:divBdr>
            <w:top w:val="none" w:sz="0" w:space="0" w:color="auto"/>
            <w:left w:val="none" w:sz="0" w:space="0" w:color="auto"/>
            <w:bottom w:val="none" w:sz="0" w:space="0" w:color="auto"/>
            <w:right w:val="none" w:sz="0" w:space="0" w:color="auto"/>
          </w:divBdr>
        </w:div>
        <w:div w:id="1614554735">
          <w:marLeft w:val="0"/>
          <w:marRight w:val="0"/>
          <w:marTop w:val="0"/>
          <w:marBottom w:val="0"/>
          <w:divBdr>
            <w:top w:val="none" w:sz="0" w:space="0" w:color="auto"/>
            <w:left w:val="none" w:sz="0" w:space="0" w:color="auto"/>
            <w:bottom w:val="none" w:sz="0" w:space="0" w:color="auto"/>
            <w:right w:val="none" w:sz="0" w:space="0" w:color="auto"/>
          </w:divBdr>
        </w:div>
      </w:divsChild>
    </w:div>
    <w:div w:id="2014524229">
      <w:bodyDiv w:val="1"/>
      <w:marLeft w:val="0"/>
      <w:marRight w:val="0"/>
      <w:marTop w:val="0"/>
      <w:marBottom w:val="0"/>
      <w:divBdr>
        <w:top w:val="none" w:sz="0" w:space="0" w:color="auto"/>
        <w:left w:val="none" w:sz="0" w:space="0" w:color="auto"/>
        <w:bottom w:val="none" w:sz="0" w:space="0" w:color="auto"/>
        <w:right w:val="none" w:sz="0" w:space="0" w:color="auto"/>
      </w:divBdr>
    </w:div>
    <w:div w:id="21232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8.emf"/><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image" Target="media/image13.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gadeepa\AppData\Roaming\Microsoft\Templates\WordTemplateforMcGrawHill.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Users\makohn\Dropbox\QuesGen\DTS\Compare6v3\BACompare6v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82634084542099"/>
          <c:y val="4.1122958143005803E-2"/>
          <c:w val="0.83607988987635595"/>
          <c:h val="0.84120211547854695"/>
        </c:manualLayout>
      </c:layout>
      <c:scatterChart>
        <c:scatterStyle val="lineMarker"/>
        <c:varyColors val="0"/>
        <c:ser>
          <c:idx val="0"/>
          <c:order val="0"/>
          <c:tx>
            <c:v>Meter A</c:v>
          </c:tx>
          <c:spPr>
            <a:ln w="25400" cap="rnd">
              <a:noFill/>
              <a:round/>
            </a:ln>
            <a:effectLst/>
          </c:spPr>
          <c:marker>
            <c:symbol val="triangle"/>
            <c:size val="5"/>
            <c:spPr>
              <a:solidFill>
                <a:schemeClr val="tx2"/>
              </a:solidFill>
              <a:ln w="9525">
                <a:solidFill>
                  <a:schemeClr val="tx2"/>
                </a:solidFill>
              </a:ln>
              <a:effectLst/>
            </c:spPr>
          </c:marker>
          <c:xVal>
            <c:numRef>
              <c:f>BACompare6v3!$C$2:$C$319</c:f>
              <c:numCache>
                <c:formatCode>General</c:formatCode>
                <c:ptCount val="318"/>
                <c:pt idx="0">
                  <c:v>57</c:v>
                </c:pt>
                <c:pt idx="1">
                  <c:v>62</c:v>
                </c:pt>
                <c:pt idx="2">
                  <c:v>64</c:v>
                </c:pt>
                <c:pt idx="3">
                  <c:v>65</c:v>
                </c:pt>
                <c:pt idx="4">
                  <c:v>66</c:v>
                </c:pt>
                <c:pt idx="5">
                  <c:v>69</c:v>
                </c:pt>
                <c:pt idx="6">
                  <c:v>70</c:v>
                </c:pt>
                <c:pt idx="7">
                  <c:v>78</c:v>
                </c:pt>
                <c:pt idx="8">
                  <c:v>79</c:v>
                </c:pt>
                <c:pt idx="9">
                  <c:v>79</c:v>
                </c:pt>
                <c:pt idx="10">
                  <c:v>80</c:v>
                </c:pt>
                <c:pt idx="11">
                  <c:v>80</c:v>
                </c:pt>
                <c:pt idx="12">
                  <c:v>81</c:v>
                </c:pt>
                <c:pt idx="13">
                  <c:v>81</c:v>
                </c:pt>
                <c:pt idx="14">
                  <c:v>82</c:v>
                </c:pt>
                <c:pt idx="15">
                  <c:v>82</c:v>
                </c:pt>
                <c:pt idx="16">
                  <c:v>83</c:v>
                </c:pt>
                <c:pt idx="17">
                  <c:v>83</c:v>
                </c:pt>
                <c:pt idx="18">
                  <c:v>83</c:v>
                </c:pt>
                <c:pt idx="19">
                  <c:v>84</c:v>
                </c:pt>
                <c:pt idx="20">
                  <c:v>85</c:v>
                </c:pt>
                <c:pt idx="21">
                  <c:v>85</c:v>
                </c:pt>
                <c:pt idx="22">
                  <c:v>85</c:v>
                </c:pt>
                <c:pt idx="23">
                  <c:v>85</c:v>
                </c:pt>
                <c:pt idx="24">
                  <c:v>85</c:v>
                </c:pt>
                <c:pt idx="25">
                  <c:v>86</c:v>
                </c:pt>
                <c:pt idx="26">
                  <c:v>86</c:v>
                </c:pt>
                <c:pt idx="27">
                  <c:v>86</c:v>
                </c:pt>
                <c:pt idx="28">
                  <c:v>86</c:v>
                </c:pt>
                <c:pt idx="29">
                  <c:v>87</c:v>
                </c:pt>
                <c:pt idx="30">
                  <c:v>87</c:v>
                </c:pt>
                <c:pt idx="31">
                  <c:v>88</c:v>
                </c:pt>
                <c:pt idx="32">
                  <c:v>88</c:v>
                </c:pt>
                <c:pt idx="33">
                  <c:v>88</c:v>
                </c:pt>
                <c:pt idx="34">
                  <c:v>88</c:v>
                </c:pt>
                <c:pt idx="35">
                  <c:v>88</c:v>
                </c:pt>
                <c:pt idx="36">
                  <c:v>88</c:v>
                </c:pt>
                <c:pt idx="37">
                  <c:v>89</c:v>
                </c:pt>
                <c:pt idx="38">
                  <c:v>90</c:v>
                </c:pt>
                <c:pt idx="39">
                  <c:v>90</c:v>
                </c:pt>
                <c:pt idx="40">
                  <c:v>90</c:v>
                </c:pt>
                <c:pt idx="41">
                  <c:v>90</c:v>
                </c:pt>
                <c:pt idx="42">
                  <c:v>90</c:v>
                </c:pt>
                <c:pt idx="43">
                  <c:v>90</c:v>
                </c:pt>
                <c:pt idx="44">
                  <c:v>90</c:v>
                </c:pt>
                <c:pt idx="45">
                  <c:v>91</c:v>
                </c:pt>
                <c:pt idx="46">
                  <c:v>91</c:v>
                </c:pt>
                <c:pt idx="47">
                  <c:v>91</c:v>
                </c:pt>
                <c:pt idx="48">
                  <c:v>91</c:v>
                </c:pt>
                <c:pt idx="49">
                  <c:v>91</c:v>
                </c:pt>
                <c:pt idx="50">
                  <c:v>91</c:v>
                </c:pt>
                <c:pt idx="51">
                  <c:v>92</c:v>
                </c:pt>
                <c:pt idx="52">
                  <c:v>92</c:v>
                </c:pt>
                <c:pt idx="53">
                  <c:v>92</c:v>
                </c:pt>
                <c:pt idx="54">
                  <c:v>93</c:v>
                </c:pt>
                <c:pt idx="55">
                  <c:v>93</c:v>
                </c:pt>
                <c:pt idx="56">
                  <c:v>93</c:v>
                </c:pt>
                <c:pt idx="57">
                  <c:v>93</c:v>
                </c:pt>
                <c:pt idx="58">
                  <c:v>93</c:v>
                </c:pt>
                <c:pt idx="59">
                  <c:v>93</c:v>
                </c:pt>
                <c:pt idx="60">
                  <c:v>93</c:v>
                </c:pt>
                <c:pt idx="61">
                  <c:v>93</c:v>
                </c:pt>
                <c:pt idx="62">
                  <c:v>94</c:v>
                </c:pt>
                <c:pt idx="63">
                  <c:v>94</c:v>
                </c:pt>
                <c:pt idx="64">
                  <c:v>94</c:v>
                </c:pt>
                <c:pt idx="65">
                  <c:v>95</c:v>
                </c:pt>
                <c:pt idx="66">
                  <c:v>95</c:v>
                </c:pt>
                <c:pt idx="67">
                  <c:v>95</c:v>
                </c:pt>
                <c:pt idx="68">
                  <c:v>95</c:v>
                </c:pt>
                <c:pt idx="69">
                  <c:v>96</c:v>
                </c:pt>
                <c:pt idx="70">
                  <c:v>96</c:v>
                </c:pt>
                <c:pt idx="71">
                  <c:v>96</c:v>
                </c:pt>
                <c:pt idx="72">
                  <c:v>96</c:v>
                </c:pt>
                <c:pt idx="73">
                  <c:v>96</c:v>
                </c:pt>
                <c:pt idx="74">
                  <c:v>97</c:v>
                </c:pt>
                <c:pt idx="75">
                  <c:v>98</c:v>
                </c:pt>
                <c:pt idx="76">
                  <c:v>98</c:v>
                </c:pt>
                <c:pt idx="77">
                  <c:v>98</c:v>
                </c:pt>
                <c:pt idx="78">
                  <c:v>98</c:v>
                </c:pt>
                <c:pt idx="79">
                  <c:v>99</c:v>
                </c:pt>
                <c:pt idx="80">
                  <c:v>100</c:v>
                </c:pt>
                <c:pt idx="81">
                  <c:v>100</c:v>
                </c:pt>
                <c:pt idx="82">
                  <c:v>100</c:v>
                </c:pt>
                <c:pt idx="83">
                  <c:v>101</c:v>
                </c:pt>
                <c:pt idx="84">
                  <c:v>101</c:v>
                </c:pt>
                <c:pt idx="85">
                  <c:v>102</c:v>
                </c:pt>
                <c:pt idx="86">
                  <c:v>102</c:v>
                </c:pt>
                <c:pt idx="87">
                  <c:v>102</c:v>
                </c:pt>
                <c:pt idx="88">
                  <c:v>102</c:v>
                </c:pt>
                <c:pt idx="89">
                  <c:v>102</c:v>
                </c:pt>
                <c:pt idx="90">
                  <c:v>103</c:v>
                </c:pt>
                <c:pt idx="91">
                  <c:v>103</c:v>
                </c:pt>
                <c:pt idx="92">
                  <c:v>104</c:v>
                </c:pt>
                <c:pt idx="93">
                  <c:v>104</c:v>
                </c:pt>
                <c:pt idx="94">
                  <c:v>104</c:v>
                </c:pt>
                <c:pt idx="95">
                  <c:v>104</c:v>
                </c:pt>
                <c:pt idx="96">
                  <c:v>104</c:v>
                </c:pt>
                <c:pt idx="97">
                  <c:v>105</c:v>
                </c:pt>
                <c:pt idx="98">
                  <c:v>105</c:v>
                </c:pt>
                <c:pt idx="99">
                  <c:v>105</c:v>
                </c:pt>
                <c:pt idx="100">
                  <c:v>106</c:v>
                </c:pt>
                <c:pt idx="101">
                  <c:v>106</c:v>
                </c:pt>
                <c:pt idx="102">
                  <c:v>106</c:v>
                </c:pt>
                <c:pt idx="103">
                  <c:v>107</c:v>
                </c:pt>
                <c:pt idx="104">
                  <c:v>107</c:v>
                </c:pt>
                <c:pt idx="105">
                  <c:v>108</c:v>
                </c:pt>
                <c:pt idx="106">
                  <c:v>108</c:v>
                </c:pt>
                <c:pt idx="107">
                  <c:v>108</c:v>
                </c:pt>
                <c:pt idx="108">
                  <c:v>108</c:v>
                </c:pt>
                <c:pt idx="109">
                  <c:v>110</c:v>
                </c:pt>
                <c:pt idx="110">
                  <c:v>110</c:v>
                </c:pt>
                <c:pt idx="111">
                  <c:v>110</c:v>
                </c:pt>
                <c:pt idx="112">
                  <c:v>110</c:v>
                </c:pt>
                <c:pt idx="113">
                  <c:v>110</c:v>
                </c:pt>
                <c:pt idx="114">
                  <c:v>111</c:v>
                </c:pt>
                <c:pt idx="115">
                  <c:v>111</c:v>
                </c:pt>
                <c:pt idx="116">
                  <c:v>111</c:v>
                </c:pt>
                <c:pt idx="117">
                  <c:v>112</c:v>
                </c:pt>
                <c:pt idx="118">
                  <c:v>112</c:v>
                </c:pt>
                <c:pt idx="119">
                  <c:v>112</c:v>
                </c:pt>
                <c:pt idx="120">
                  <c:v>112</c:v>
                </c:pt>
                <c:pt idx="121">
                  <c:v>112</c:v>
                </c:pt>
                <c:pt idx="122">
                  <c:v>113</c:v>
                </c:pt>
                <c:pt idx="123">
                  <c:v>113</c:v>
                </c:pt>
                <c:pt idx="124">
                  <c:v>113</c:v>
                </c:pt>
                <c:pt idx="125">
                  <c:v>114</c:v>
                </c:pt>
                <c:pt idx="126">
                  <c:v>114</c:v>
                </c:pt>
                <c:pt idx="127">
                  <c:v>114</c:v>
                </c:pt>
                <c:pt idx="128">
                  <c:v>114</c:v>
                </c:pt>
                <c:pt idx="129">
                  <c:v>115</c:v>
                </c:pt>
                <c:pt idx="130">
                  <c:v>116</c:v>
                </c:pt>
                <c:pt idx="131">
                  <c:v>116</c:v>
                </c:pt>
                <c:pt idx="132">
                  <c:v>117</c:v>
                </c:pt>
                <c:pt idx="133">
                  <c:v>118</c:v>
                </c:pt>
                <c:pt idx="134">
                  <c:v>118</c:v>
                </c:pt>
                <c:pt idx="135">
                  <c:v>119</c:v>
                </c:pt>
                <c:pt idx="136">
                  <c:v>119</c:v>
                </c:pt>
                <c:pt idx="137">
                  <c:v>119</c:v>
                </c:pt>
                <c:pt idx="138">
                  <c:v>120</c:v>
                </c:pt>
                <c:pt idx="139">
                  <c:v>120</c:v>
                </c:pt>
                <c:pt idx="140">
                  <c:v>120</c:v>
                </c:pt>
                <c:pt idx="141">
                  <c:v>120</c:v>
                </c:pt>
                <c:pt idx="142">
                  <c:v>121</c:v>
                </c:pt>
                <c:pt idx="143">
                  <c:v>121</c:v>
                </c:pt>
                <c:pt idx="144">
                  <c:v>121</c:v>
                </c:pt>
                <c:pt idx="145">
                  <c:v>122</c:v>
                </c:pt>
                <c:pt idx="146">
                  <c:v>124</c:v>
                </c:pt>
                <c:pt idx="147">
                  <c:v>126</c:v>
                </c:pt>
                <c:pt idx="148">
                  <c:v>126</c:v>
                </c:pt>
                <c:pt idx="149">
                  <c:v>126</c:v>
                </c:pt>
                <c:pt idx="150">
                  <c:v>126</c:v>
                </c:pt>
                <c:pt idx="151">
                  <c:v>126</c:v>
                </c:pt>
                <c:pt idx="152">
                  <c:v>128</c:v>
                </c:pt>
                <c:pt idx="153">
                  <c:v>128</c:v>
                </c:pt>
                <c:pt idx="154">
                  <c:v>128</c:v>
                </c:pt>
                <c:pt idx="155">
                  <c:v>128</c:v>
                </c:pt>
                <c:pt idx="156">
                  <c:v>128</c:v>
                </c:pt>
                <c:pt idx="157">
                  <c:v>128</c:v>
                </c:pt>
                <c:pt idx="158">
                  <c:v>130</c:v>
                </c:pt>
                <c:pt idx="159">
                  <c:v>130</c:v>
                </c:pt>
                <c:pt idx="160">
                  <c:v>133</c:v>
                </c:pt>
                <c:pt idx="161">
                  <c:v>133</c:v>
                </c:pt>
                <c:pt idx="162">
                  <c:v>133</c:v>
                </c:pt>
                <c:pt idx="163">
                  <c:v>134</c:v>
                </c:pt>
                <c:pt idx="164">
                  <c:v>135</c:v>
                </c:pt>
                <c:pt idx="165">
                  <c:v>135</c:v>
                </c:pt>
                <c:pt idx="166">
                  <c:v>136</c:v>
                </c:pt>
                <c:pt idx="167">
                  <c:v>137</c:v>
                </c:pt>
                <c:pt idx="168">
                  <c:v>138</c:v>
                </c:pt>
                <c:pt idx="169">
                  <c:v>139</c:v>
                </c:pt>
                <c:pt idx="170">
                  <c:v>141</c:v>
                </c:pt>
                <c:pt idx="171">
                  <c:v>141</c:v>
                </c:pt>
                <c:pt idx="172">
                  <c:v>141</c:v>
                </c:pt>
                <c:pt idx="173">
                  <c:v>141</c:v>
                </c:pt>
                <c:pt idx="174">
                  <c:v>142</c:v>
                </c:pt>
                <c:pt idx="175">
                  <c:v>143</c:v>
                </c:pt>
                <c:pt idx="176">
                  <c:v>143</c:v>
                </c:pt>
                <c:pt idx="177">
                  <c:v>143</c:v>
                </c:pt>
                <c:pt idx="178">
                  <c:v>144</c:v>
                </c:pt>
                <c:pt idx="179">
                  <c:v>144</c:v>
                </c:pt>
                <c:pt idx="180">
                  <c:v>144</c:v>
                </c:pt>
                <c:pt idx="181">
                  <c:v>145</c:v>
                </c:pt>
                <c:pt idx="182">
                  <c:v>146</c:v>
                </c:pt>
                <c:pt idx="183">
                  <c:v>147</c:v>
                </c:pt>
                <c:pt idx="184">
                  <c:v>147</c:v>
                </c:pt>
                <c:pt idx="185">
                  <c:v>147</c:v>
                </c:pt>
                <c:pt idx="186">
                  <c:v>147</c:v>
                </c:pt>
                <c:pt idx="187">
                  <c:v>148</c:v>
                </c:pt>
                <c:pt idx="188">
                  <c:v>150</c:v>
                </c:pt>
                <c:pt idx="189">
                  <c:v>150</c:v>
                </c:pt>
                <c:pt idx="190">
                  <c:v>151</c:v>
                </c:pt>
                <c:pt idx="191">
                  <c:v>151</c:v>
                </c:pt>
                <c:pt idx="192">
                  <c:v>152</c:v>
                </c:pt>
                <c:pt idx="193">
                  <c:v>152</c:v>
                </c:pt>
                <c:pt idx="194">
                  <c:v>152</c:v>
                </c:pt>
                <c:pt idx="195">
                  <c:v>152</c:v>
                </c:pt>
                <c:pt idx="196">
                  <c:v>152</c:v>
                </c:pt>
                <c:pt idx="197">
                  <c:v>154</c:v>
                </c:pt>
                <c:pt idx="198">
                  <c:v>154</c:v>
                </c:pt>
                <c:pt idx="199">
                  <c:v>154</c:v>
                </c:pt>
                <c:pt idx="200">
                  <c:v>155</c:v>
                </c:pt>
                <c:pt idx="201">
                  <c:v>155</c:v>
                </c:pt>
                <c:pt idx="202">
                  <c:v>156</c:v>
                </c:pt>
                <c:pt idx="203">
                  <c:v>158</c:v>
                </c:pt>
                <c:pt idx="204">
                  <c:v>158</c:v>
                </c:pt>
                <c:pt idx="205">
                  <c:v>159</c:v>
                </c:pt>
                <c:pt idx="206">
                  <c:v>160</c:v>
                </c:pt>
                <c:pt idx="207">
                  <c:v>160</c:v>
                </c:pt>
                <c:pt idx="208">
                  <c:v>160</c:v>
                </c:pt>
                <c:pt idx="209">
                  <c:v>162</c:v>
                </c:pt>
                <c:pt idx="210">
                  <c:v>162</c:v>
                </c:pt>
                <c:pt idx="211">
                  <c:v>162</c:v>
                </c:pt>
                <c:pt idx="212">
                  <c:v>163</c:v>
                </c:pt>
                <c:pt idx="213">
                  <c:v>164</c:v>
                </c:pt>
                <c:pt idx="214">
                  <c:v>165</c:v>
                </c:pt>
                <c:pt idx="215">
                  <c:v>167</c:v>
                </c:pt>
                <c:pt idx="216">
                  <c:v>168</c:v>
                </c:pt>
                <c:pt idx="217">
                  <c:v>168</c:v>
                </c:pt>
                <c:pt idx="218">
                  <c:v>170</c:v>
                </c:pt>
                <c:pt idx="219">
                  <c:v>170</c:v>
                </c:pt>
                <c:pt idx="220">
                  <c:v>172</c:v>
                </c:pt>
                <c:pt idx="221">
                  <c:v>174</c:v>
                </c:pt>
                <c:pt idx="222">
                  <c:v>176</c:v>
                </c:pt>
                <c:pt idx="223">
                  <c:v>176</c:v>
                </c:pt>
                <c:pt idx="224">
                  <c:v>176</c:v>
                </c:pt>
                <c:pt idx="225">
                  <c:v>176</c:v>
                </c:pt>
                <c:pt idx="226">
                  <c:v>178</c:v>
                </c:pt>
                <c:pt idx="227">
                  <c:v>180</c:v>
                </c:pt>
                <c:pt idx="228">
                  <c:v>180</c:v>
                </c:pt>
                <c:pt idx="229">
                  <c:v>181</c:v>
                </c:pt>
                <c:pt idx="230">
                  <c:v>182</c:v>
                </c:pt>
                <c:pt idx="231">
                  <c:v>183</c:v>
                </c:pt>
                <c:pt idx="232">
                  <c:v>184</c:v>
                </c:pt>
                <c:pt idx="233">
                  <c:v>185</c:v>
                </c:pt>
                <c:pt idx="234">
                  <c:v>185</c:v>
                </c:pt>
                <c:pt idx="235">
                  <c:v>186</c:v>
                </c:pt>
                <c:pt idx="236">
                  <c:v>186</c:v>
                </c:pt>
                <c:pt idx="237">
                  <c:v>187</c:v>
                </c:pt>
                <c:pt idx="238">
                  <c:v>188</c:v>
                </c:pt>
                <c:pt idx="239">
                  <c:v>188</c:v>
                </c:pt>
                <c:pt idx="240">
                  <c:v>188</c:v>
                </c:pt>
                <c:pt idx="241">
                  <c:v>189</c:v>
                </c:pt>
                <c:pt idx="242">
                  <c:v>189</c:v>
                </c:pt>
                <c:pt idx="243">
                  <c:v>190</c:v>
                </c:pt>
                <c:pt idx="244">
                  <c:v>191</c:v>
                </c:pt>
                <c:pt idx="245">
                  <c:v>192</c:v>
                </c:pt>
                <c:pt idx="246">
                  <c:v>194</c:v>
                </c:pt>
                <c:pt idx="247">
                  <c:v>194</c:v>
                </c:pt>
                <c:pt idx="248">
                  <c:v>195</c:v>
                </c:pt>
                <c:pt idx="249">
                  <c:v>198</c:v>
                </c:pt>
                <c:pt idx="250">
                  <c:v>202</c:v>
                </c:pt>
                <c:pt idx="251">
                  <c:v>203</c:v>
                </c:pt>
                <c:pt idx="252">
                  <c:v>204</c:v>
                </c:pt>
                <c:pt idx="253">
                  <c:v>206</c:v>
                </c:pt>
                <c:pt idx="254">
                  <c:v>206</c:v>
                </c:pt>
                <c:pt idx="255">
                  <c:v>206</c:v>
                </c:pt>
                <c:pt idx="256">
                  <c:v>208</c:v>
                </c:pt>
                <c:pt idx="257">
                  <c:v>212</c:v>
                </c:pt>
                <c:pt idx="258">
                  <c:v>215</c:v>
                </c:pt>
                <c:pt idx="259">
                  <c:v>216</c:v>
                </c:pt>
                <c:pt idx="260">
                  <c:v>219</c:v>
                </c:pt>
                <c:pt idx="261">
                  <c:v>220</c:v>
                </c:pt>
                <c:pt idx="262">
                  <c:v>220</c:v>
                </c:pt>
                <c:pt idx="263">
                  <c:v>222</c:v>
                </c:pt>
                <c:pt idx="264">
                  <c:v>223</c:v>
                </c:pt>
                <c:pt idx="265">
                  <c:v>225</c:v>
                </c:pt>
                <c:pt idx="266">
                  <c:v>226</c:v>
                </c:pt>
                <c:pt idx="267">
                  <c:v>231</c:v>
                </c:pt>
                <c:pt idx="268">
                  <c:v>231</c:v>
                </c:pt>
                <c:pt idx="269">
                  <c:v>234</c:v>
                </c:pt>
                <c:pt idx="270">
                  <c:v>235</c:v>
                </c:pt>
                <c:pt idx="271">
                  <c:v>236</c:v>
                </c:pt>
                <c:pt idx="272">
                  <c:v>239</c:v>
                </c:pt>
                <c:pt idx="273">
                  <c:v>240</c:v>
                </c:pt>
                <c:pt idx="274">
                  <c:v>241</c:v>
                </c:pt>
                <c:pt idx="275">
                  <c:v>245</c:v>
                </c:pt>
                <c:pt idx="276">
                  <c:v>247</c:v>
                </c:pt>
                <c:pt idx="277">
                  <c:v>249</c:v>
                </c:pt>
                <c:pt idx="278">
                  <c:v>249</c:v>
                </c:pt>
                <c:pt idx="279">
                  <c:v>256</c:v>
                </c:pt>
                <c:pt idx="280">
                  <c:v>259</c:v>
                </c:pt>
                <c:pt idx="281">
                  <c:v>262</c:v>
                </c:pt>
                <c:pt idx="282">
                  <c:v>262</c:v>
                </c:pt>
                <c:pt idx="283">
                  <c:v>270</c:v>
                </c:pt>
                <c:pt idx="284">
                  <c:v>270</c:v>
                </c:pt>
                <c:pt idx="285">
                  <c:v>271</c:v>
                </c:pt>
                <c:pt idx="286">
                  <c:v>278</c:v>
                </c:pt>
                <c:pt idx="287">
                  <c:v>278</c:v>
                </c:pt>
                <c:pt idx="288">
                  <c:v>279</c:v>
                </c:pt>
                <c:pt idx="289">
                  <c:v>289</c:v>
                </c:pt>
                <c:pt idx="290">
                  <c:v>289</c:v>
                </c:pt>
                <c:pt idx="291">
                  <c:v>300</c:v>
                </c:pt>
                <c:pt idx="292">
                  <c:v>300</c:v>
                </c:pt>
                <c:pt idx="293">
                  <c:v>303</c:v>
                </c:pt>
                <c:pt idx="294">
                  <c:v>307</c:v>
                </c:pt>
                <c:pt idx="295">
                  <c:v>309</c:v>
                </c:pt>
                <c:pt idx="296">
                  <c:v>310</c:v>
                </c:pt>
                <c:pt idx="297">
                  <c:v>310</c:v>
                </c:pt>
                <c:pt idx="298">
                  <c:v>312</c:v>
                </c:pt>
                <c:pt idx="299">
                  <c:v>316</c:v>
                </c:pt>
                <c:pt idx="300">
                  <c:v>317</c:v>
                </c:pt>
                <c:pt idx="301">
                  <c:v>318</c:v>
                </c:pt>
                <c:pt idx="302">
                  <c:v>318</c:v>
                </c:pt>
                <c:pt idx="303">
                  <c:v>321</c:v>
                </c:pt>
                <c:pt idx="304">
                  <c:v>321</c:v>
                </c:pt>
                <c:pt idx="305">
                  <c:v>322</c:v>
                </c:pt>
                <c:pt idx="306">
                  <c:v>324</c:v>
                </c:pt>
                <c:pt idx="307">
                  <c:v>327</c:v>
                </c:pt>
                <c:pt idx="308">
                  <c:v>328</c:v>
                </c:pt>
                <c:pt idx="309">
                  <c:v>331</c:v>
                </c:pt>
                <c:pt idx="310">
                  <c:v>331</c:v>
                </c:pt>
                <c:pt idx="311">
                  <c:v>332</c:v>
                </c:pt>
                <c:pt idx="312">
                  <c:v>335</c:v>
                </c:pt>
                <c:pt idx="313">
                  <c:v>344</c:v>
                </c:pt>
                <c:pt idx="314">
                  <c:v>347</c:v>
                </c:pt>
                <c:pt idx="315">
                  <c:v>348</c:v>
                </c:pt>
                <c:pt idx="316">
                  <c:v>366</c:v>
                </c:pt>
                <c:pt idx="317">
                  <c:v>372</c:v>
                </c:pt>
              </c:numCache>
            </c:numRef>
          </c:xVal>
          <c:yVal>
            <c:numRef>
              <c:f>BACompare6v3!$H$2:$H$319</c:f>
              <c:numCache>
                <c:formatCode>0.0%</c:formatCode>
                <c:ptCount val="318"/>
                <c:pt idx="0">
                  <c:v>-8.7719298245614002E-2</c:v>
                </c:pt>
                <c:pt idx="1">
                  <c:v>-9.6774193548387094E-2</c:v>
                </c:pt>
                <c:pt idx="2">
                  <c:v>-3.125E-2</c:v>
                </c:pt>
                <c:pt idx="3">
                  <c:v>7.69230769230769E-2</c:v>
                </c:pt>
                <c:pt idx="4">
                  <c:v>6.0606060606060601E-2</c:v>
                </c:pt>
                <c:pt idx="5">
                  <c:v>-2.8985507246376802E-2</c:v>
                </c:pt>
                <c:pt idx="6">
                  <c:v>4.2857142857142802E-2</c:v>
                </c:pt>
                <c:pt idx="7">
                  <c:v>3.8461538461538498E-2</c:v>
                </c:pt>
                <c:pt idx="8">
                  <c:v>0.113924050632911</c:v>
                </c:pt>
                <c:pt idx="9">
                  <c:v>0.20253164556962</c:v>
                </c:pt>
                <c:pt idx="10">
                  <c:v>-3.7499999999999999E-2</c:v>
                </c:pt>
                <c:pt idx="11">
                  <c:v>0.1125</c:v>
                </c:pt>
                <c:pt idx="12">
                  <c:v>0</c:v>
                </c:pt>
                <c:pt idx="13">
                  <c:v>-4.9382716049382699E-2</c:v>
                </c:pt>
                <c:pt idx="14">
                  <c:v>0.17073170731707299</c:v>
                </c:pt>
                <c:pt idx="15">
                  <c:v>-3.65853658536585E-2</c:v>
                </c:pt>
                <c:pt idx="16">
                  <c:v>4.8192771084337303E-2</c:v>
                </c:pt>
                <c:pt idx="17">
                  <c:v>-1.20481927710843E-2</c:v>
                </c:pt>
                <c:pt idx="18">
                  <c:v>8.43373493975903E-2</c:v>
                </c:pt>
                <c:pt idx="19">
                  <c:v>-7.1428571428571397E-2</c:v>
                </c:pt>
                <c:pt idx="20">
                  <c:v>-2.3529411764705899E-2</c:v>
                </c:pt>
                <c:pt idx="21">
                  <c:v>7.0588235294117604E-2</c:v>
                </c:pt>
                <c:pt idx="22">
                  <c:v>0</c:v>
                </c:pt>
                <c:pt idx="23">
                  <c:v>-3.5294117647058802E-2</c:v>
                </c:pt>
                <c:pt idx="24">
                  <c:v>-5.8823529411764698E-2</c:v>
                </c:pt>
                <c:pt idx="25">
                  <c:v>8.1395348837209294E-2</c:v>
                </c:pt>
                <c:pt idx="26">
                  <c:v>9.3023255813953501E-2</c:v>
                </c:pt>
                <c:pt idx="27">
                  <c:v>2.32558139534884E-2</c:v>
                </c:pt>
                <c:pt idx="28">
                  <c:v>6.9767441860465101E-2</c:v>
                </c:pt>
                <c:pt idx="29">
                  <c:v>-1.1494252873563199E-2</c:v>
                </c:pt>
                <c:pt idx="30">
                  <c:v>0.126436781609195</c:v>
                </c:pt>
                <c:pt idx="31">
                  <c:v>-9.0909090909090898E-2</c:v>
                </c:pt>
                <c:pt idx="32">
                  <c:v>-0.11363636363636399</c:v>
                </c:pt>
                <c:pt idx="33">
                  <c:v>9.0909090909090898E-2</c:v>
                </c:pt>
                <c:pt idx="34">
                  <c:v>-3.4090909090909102E-2</c:v>
                </c:pt>
                <c:pt idx="35">
                  <c:v>2.27272727272727E-2</c:v>
                </c:pt>
                <c:pt idx="36">
                  <c:v>4.54545454545454E-2</c:v>
                </c:pt>
                <c:pt idx="37">
                  <c:v>0.112359550561798</c:v>
                </c:pt>
                <c:pt idx="38">
                  <c:v>-6.6666666666666693E-2</c:v>
                </c:pt>
                <c:pt idx="39">
                  <c:v>2.2222222222222199E-2</c:v>
                </c:pt>
                <c:pt idx="40">
                  <c:v>3.3333333333333298E-2</c:v>
                </c:pt>
                <c:pt idx="41">
                  <c:v>-0.122222222222222</c:v>
                </c:pt>
                <c:pt idx="42">
                  <c:v>0.133333333333333</c:v>
                </c:pt>
                <c:pt idx="43">
                  <c:v>3.3333333333333298E-2</c:v>
                </c:pt>
                <c:pt idx="44">
                  <c:v>2.2222222222222199E-2</c:v>
                </c:pt>
                <c:pt idx="45">
                  <c:v>2.1978021978022001E-2</c:v>
                </c:pt>
                <c:pt idx="46">
                  <c:v>0.10989010989011</c:v>
                </c:pt>
                <c:pt idx="47">
                  <c:v>7.69230769230769E-2</c:v>
                </c:pt>
                <c:pt idx="48">
                  <c:v>8.7912087912087905E-2</c:v>
                </c:pt>
                <c:pt idx="49">
                  <c:v>1.0989010989011E-2</c:v>
                </c:pt>
                <c:pt idx="50">
                  <c:v>0.15384615384615399</c:v>
                </c:pt>
                <c:pt idx="51">
                  <c:v>-2.1739130434782601E-2</c:v>
                </c:pt>
                <c:pt idx="52">
                  <c:v>-1.0869565217391301E-2</c:v>
                </c:pt>
                <c:pt idx="53">
                  <c:v>-1.0869565217391301E-2</c:v>
                </c:pt>
                <c:pt idx="54">
                  <c:v>4.3010752688171998E-2</c:v>
                </c:pt>
                <c:pt idx="55">
                  <c:v>-0.18279569892473099</c:v>
                </c:pt>
                <c:pt idx="56">
                  <c:v>3.2258064516128997E-2</c:v>
                </c:pt>
                <c:pt idx="57">
                  <c:v>-7.5268817204301106E-2</c:v>
                </c:pt>
                <c:pt idx="58">
                  <c:v>-9.6774193548387094E-2</c:v>
                </c:pt>
                <c:pt idx="59">
                  <c:v>5.3763440860214999E-2</c:v>
                </c:pt>
                <c:pt idx="60">
                  <c:v>-5.3763440860214999E-2</c:v>
                </c:pt>
                <c:pt idx="61">
                  <c:v>6.4516129032257993E-2</c:v>
                </c:pt>
                <c:pt idx="62">
                  <c:v>9.5744680851063801E-2</c:v>
                </c:pt>
                <c:pt idx="63">
                  <c:v>3.1914893617021302E-2</c:v>
                </c:pt>
                <c:pt idx="64">
                  <c:v>-7.4468085106383003E-2</c:v>
                </c:pt>
                <c:pt idx="65">
                  <c:v>8.42105263157895E-2</c:v>
                </c:pt>
                <c:pt idx="66">
                  <c:v>5.2631578947368397E-2</c:v>
                </c:pt>
                <c:pt idx="67">
                  <c:v>-0.105263157894737</c:v>
                </c:pt>
                <c:pt idx="68">
                  <c:v>6.3157894736842093E-2</c:v>
                </c:pt>
                <c:pt idx="69">
                  <c:v>-0.13541666666666699</c:v>
                </c:pt>
                <c:pt idx="70">
                  <c:v>-1.0416666666666701E-2</c:v>
                </c:pt>
                <c:pt idx="71">
                  <c:v>-5.2083333333333301E-2</c:v>
                </c:pt>
                <c:pt idx="72">
                  <c:v>0.16666666666666699</c:v>
                </c:pt>
                <c:pt idx="73">
                  <c:v>0</c:v>
                </c:pt>
                <c:pt idx="74">
                  <c:v>-6.18556701030928E-2</c:v>
                </c:pt>
                <c:pt idx="75">
                  <c:v>6.1224489795918401E-2</c:v>
                </c:pt>
                <c:pt idx="76">
                  <c:v>-7.1428571428571397E-2</c:v>
                </c:pt>
                <c:pt idx="77">
                  <c:v>3.06122448979592E-2</c:v>
                </c:pt>
                <c:pt idx="78">
                  <c:v>-4.08163265306122E-2</c:v>
                </c:pt>
                <c:pt idx="79">
                  <c:v>1.01010101010101E-2</c:v>
                </c:pt>
                <c:pt idx="80">
                  <c:v>-0.13</c:v>
                </c:pt>
                <c:pt idx="81">
                  <c:v>-0.02</c:v>
                </c:pt>
                <c:pt idx="82">
                  <c:v>7.0000000000000007E-2</c:v>
                </c:pt>
                <c:pt idx="83">
                  <c:v>-0.118811881188119</c:v>
                </c:pt>
                <c:pt idx="84">
                  <c:v>-9.9009900990098994E-3</c:v>
                </c:pt>
                <c:pt idx="85">
                  <c:v>0.16666666666666699</c:v>
                </c:pt>
                <c:pt idx="86">
                  <c:v>-4.9019607843137199E-2</c:v>
                </c:pt>
                <c:pt idx="87">
                  <c:v>-9.8039215686274508E-3</c:v>
                </c:pt>
                <c:pt idx="88">
                  <c:v>9.8039215686274508E-3</c:v>
                </c:pt>
                <c:pt idx="89">
                  <c:v>4.9019607843137199E-2</c:v>
                </c:pt>
                <c:pt idx="90">
                  <c:v>-0.12621359223301001</c:v>
                </c:pt>
                <c:pt idx="91">
                  <c:v>-5.8252427184466E-2</c:v>
                </c:pt>
                <c:pt idx="92">
                  <c:v>3.8461538461538498E-2</c:v>
                </c:pt>
                <c:pt idx="93">
                  <c:v>2.8846153846153799E-2</c:v>
                </c:pt>
                <c:pt idx="94">
                  <c:v>4.80769230769231E-2</c:v>
                </c:pt>
                <c:pt idx="95">
                  <c:v>0</c:v>
                </c:pt>
                <c:pt idx="96">
                  <c:v>9.6153846153846104E-2</c:v>
                </c:pt>
                <c:pt idx="97">
                  <c:v>0</c:v>
                </c:pt>
                <c:pt idx="98">
                  <c:v>-4.7619047619047603E-2</c:v>
                </c:pt>
                <c:pt idx="99">
                  <c:v>-2.8571428571428598E-2</c:v>
                </c:pt>
                <c:pt idx="100">
                  <c:v>-2.83018867924528E-2</c:v>
                </c:pt>
                <c:pt idx="101">
                  <c:v>4.71698113207547E-2</c:v>
                </c:pt>
                <c:pt idx="102">
                  <c:v>-2.83018867924528E-2</c:v>
                </c:pt>
                <c:pt idx="103">
                  <c:v>-1.86915887850467E-2</c:v>
                </c:pt>
                <c:pt idx="104">
                  <c:v>4.67289719626168E-2</c:v>
                </c:pt>
                <c:pt idx="105">
                  <c:v>6.4814814814814797E-2</c:v>
                </c:pt>
                <c:pt idx="106">
                  <c:v>0.148148148148148</c:v>
                </c:pt>
                <c:pt idx="107">
                  <c:v>-7.4074074074074098E-2</c:v>
                </c:pt>
                <c:pt idx="108">
                  <c:v>4.6296296296296301E-2</c:v>
                </c:pt>
                <c:pt idx="109">
                  <c:v>6.3636363636363602E-2</c:v>
                </c:pt>
                <c:pt idx="110">
                  <c:v>0.118181818181818</c:v>
                </c:pt>
                <c:pt idx="111">
                  <c:v>2.7272727272727299E-2</c:v>
                </c:pt>
                <c:pt idx="112">
                  <c:v>5.4545454545454501E-2</c:v>
                </c:pt>
                <c:pt idx="113">
                  <c:v>1.8181818181818198E-2</c:v>
                </c:pt>
                <c:pt idx="114">
                  <c:v>-8.1081081081081099E-2</c:v>
                </c:pt>
                <c:pt idx="115">
                  <c:v>1.8018018018018001E-2</c:v>
                </c:pt>
                <c:pt idx="116">
                  <c:v>-9.0090090090090107E-3</c:v>
                </c:pt>
                <c:pt idx="117">
                  <c:v>-3.5714285714285698E-2</c:v>
                </c:pt>
                <c:pt idx="118">
                  <c:v>-0.125</c:v>
                </c:pt>
                <c:pt idx="119">
                  <c:v>-5.3571428571428603E-2</c:v>
                </c:pt>
                <c:pt idx="120">
                  <c:v>-6.25E-2</c:v>
                </c:pt>
                <c:pt idx="121">
                  <c:v>-4.4642857142857102E-2</c:v>
                </c:pt>
                <c:pt idx="122">
                  <c:v>2.6548672566371698E-2</c:v>
                </c:pt>
                <c:pt idx="123">
                  <c:v>-4.4247787610619503E-2</c:v>
                </c:pt>
                <c:pt idx="124">
                  <c:v>-6.19469026548672E-2</c:v>
                </c:pt>
                <c:pt idx="125">
                  <c:v>-4.3859649122807001E-2</c:v>
                </c:pt>
                <c:pt idx="126">
                  <c:v>-8.7719298245613996E-3</c:v>
                </c:pt>
                <c:pt idx="127">
                  <c:v>3.5087719298245598E-2</c:v>
                </c:pt>
                <c:pt idx="128">
                  <c:v>2.6315789473684199E-2</c:v>
                </c:pt>
                <c:pt idx="129">
                  <c:v>0</c:v>
                </c:pt>
                <c:pt idx="130">
                  <c:v>-8.6206896551724102E-3</c:v>
                </c:pt>
                <c:pt idx="131">
                  <c:v>-1.72413793103448E-2</c:v>
                </c:pt>
                <c:pt idx="132">
                  <c:v>0.11965811965812</c:v>
                </c:pt>
                <c:pt idx="133">
                  <c:v>-8.4745762711864406E-3</c:v>
                </c:pt>
                <c:pt idx="134">
                  <c:v>1.6949152542372899E-2</c:v>
                </c:pt>
                <c:pt idx="135">
                  <c:v>1.6806722689075598E-2</c:v>
                </c:pt>
                <c:pt idx="136">
                  <c:v>-4.20168067226891E-2</c:v>
                </c:pt>
                <c:pt idx="137">
                  <c:v>-0.151260504201681</c:v>
                </c:pt>
                <c:pt idx="138">
                  <c:v>9.1666666666666605E-2</c:v>
                </c:pt>
                <c:pt idx="139">
                  <c:v>1.6666666666666701E-2</c:v>
                </c:pt>
                <c:pt idx="140">
                  <c:v>-3.3333333333333298E-2</c:v>
                </c:pt>
                <c:pt idx="141">
                  <c:v>-0.05</c:v>
                </c:pt>
                <c:pt idx="142">
                  <c:v>4.1322314049586799E-2</c:v>
                </c:pt>
                <c:pt idx="143">
                  <c:v>2.4793388429752101E-2</c:v>
                </c:pt>
                <c:pt idx="144">
                  <c:v>-0.11570247933884301</c:v>
                </c:pt>
                <c:pt idx="145">
                  <c:v>0.16393442622950799</c:v>
                </c:pt>
                <c:pt idx="146">
                  <c:v>-5.6451612903225798E-2</c:v>
                </c:pt>
                <c:pt idx="147">
                  <c:v>3.9682539682539701E-2</c:v>
                </c:pt>
                <c:pt idx="148">
                  <c:v>7.9365079365079309E-3</c:v>
                </c:pt>
                <c:pt idx="149">
                  <c:v>7.1428571428571397E-2</c:v>
                </c:pt>
                <c:pt idx="150">
                  <c:v>0.14285714285714299</c:v>
                </c:pt>
                <c:pt idx="151">
                  <c:v>0</c:v>
                </c:pt>
                <c:pt idx="152">
                  <c:v>2.34375E-2</c:v>
                </c:pt>
                <c:pt idx="153">
                  <c:v>0</c:v>
                </c:pt>
                <c:pt idx="154">
                  <c:v>-8.59375E-2</c:v>
                </c:pt>
                <c:pt idx="155">
                  <c:v>1.5625E-2</c:v>
                </c:pt>
                <c:pt idx="156">
                  <c:v>-8.59375E-2</c:v>
                </c:pt>
                <c:pt idx="157">
                  <c:v>-4.6875E-2</c:v>
                </c:pt>
                <c:pt idx="158">
                  <c:v>-7.69230769230769E-2</c:v>
                </c:pt>
                <c:pt idx="159">
                  <c:v>-5.3846153846153801E-2</c:v>
                </c:pt>
                <c:pt idx="160">
                  <c:v>7.5187969924812E-3</c:v>
                </c:pt>
                <c:pt idx="161">
                  <c:v>-4.5112781954887202E-2</c:v>
                </c:pt>
                <c:pt idx="162">
                  <c:v>5.2631578947368397E-2</c:v>
                </c:pt>
                <c:pt idx="163">
                  <c:v>-2.2388059701492501E-2</c:v>
                </c:pt>
                <c:pt idx="164">
                  <c:v>-7.4074074074074103E-3</c:v>
                </c:pt>
                <c:pt idx="165">
                  <c:v>-0.10370370370370401</c:v>
                </c:pt>
                <c:pt idx="166">
                  <c:v>8.8235294117646995E-2</c:v>
                </c:pt>
                <c:pt idx="167">
                  <c:v>5.1094890510948898E-2</c:v>
                </c:pt>
                <c:pt idx="168">
                  <c:v>5.0724637681159403E-2</c:v>
                </c:pt>
                <c:pt idx="169">
                  <c:v>-3.5971223021582698E-2</c:v>
                </c:pt>
                <c:pt idx="170">
                  <c:v>-0.15602836879432599</c:v>
                </c:pt>
                <c:pt idx="171">
                  <c:v>-1.41843971631206E-2</c:v>
                </c:pt>
                <c:pt idx="172">
                  <c:v>0</c:v>
                </c:pt>
                <c:pt idx="173">
                  <c:v>0</c:v>
                </c:pt>
                <c:pt idx="174">
                  <c:v>-0.11267605633802801</c:v>
                </c:pt>
                <c:pt idx="175">
                  <c:v>1.3986013986014E-2</c:v>
                </c:pt>
                <c:pt idx="176">
                  <c:v>6.9930069930069904E-3</c:v>
                </c:pt>
                <c:pt idx="177">
                  <c:v>-4.8951048951048903E-2</c:v>
                </c:pt>
                <c:pt idx="178">
                  <c:v>4.8611111111111098E-2</c:v>
                </c:pt>
                <c:pt idx="179">
                  <c:v>-4.1666666666666699E-2</c:v>
                </c:pt>
                <c:pt idx="180">
                  <c:v>-5.5555555555555497E-2</c:v>
                </c:pt>
                <c:pt idx="181">
                  <c:v>0.10344827586206901</c:v>
                </c:pt>
                <c:pt idx="182">
                  <c:v>-3.4246575342465703E-2</c:v>
                </c:pt>
                <c:pt idx="183">
                  <c:v>-8.1632653061224497E-2</c:v>
                </c:pt>
                <c:pt idx="184">
                  <c:v>-2.7210884353741499E-2</c:v>
                </c:pt>
                <c:pt idx="185">
                  <c:v>-4.7619047619047603E-2</c:v>
                </c:pt>
                <c:pt idx="186">
                  <c:v>-0.115646258503401</c:v>
                </c:pt>
                <c:pt idx="187">
                  <c:v>0.108108108108108</c:v>
                </c:pt>
                <c:pt idx="188">
                  <c:v>7.3333333333333306E-2</c:v>
                </c:pt>
                <c:pt idx="189">
                  <c:v>6.6666666666666697E-3</c:v>
                </c:pt>
                <c:pt idx="190">
                  <c:v>-1.3245033112582801E-2</c:v>
                </c:pt>
                <c:pt idx="191">
                  <c:v>1.9867549668874201E-2</c:v>
                </c:pt>
                <c:pt idx="192">
                  <c:v>-3.94736842105263E-2</c:v>
                </c:pt>
                <c:pt idx="193">
                  <c:v>-0.105263157894737</c:v>
                </c:pt>
                <c:pt idx="194">
                  <c:v>-6.5789473684210495E-2</c:v>
                </c:pt>
                <c:pt idx="195">
                  <c:v>-1.9736842105263198E-2</c:v>
                </c:pt>
                <c:pt idx="196">
                  <c:v>-9.2105263157894704E-2</c:v>
                </c:pt>
                <c:pt idx="197">
                  <c:v>-1.2987012987013E-2</c:v>
                </c:pt>
                <c:pt idx="198">
                  <c:v>7.1428571428571397E-2</c:v>
                </c:pt>
                <c:pt idx="199">
                  <c:v>4.54545454545454E-2</c:v>
                </c:pt>
                <c:pt idx="200">
                  <c:v>3.2258064516128997E-2</c:v>
                </c:pt>
                <c:pt idx="201">
                  <c:v>1.9354838709677399E-2</c:v>
                </c:pt>
                <c:pt idx="202">
                  <c:v>-8.3333333333333301E-2</c:v>
                </c:pt>
                <c:pt idx="203">
                  <c:v>0</c:v>
                </c:pt>
                <c:pt idx="204">
                  <c:v>8.2278481012658194E-2</c:v>
                </c:pt>
                <c:pt idx="205">
                  <c:v>1.88679245283019E-2</c:v>
                </c:pt>
                <c:pt idx="206">
                  <c:v>0</c:v>
                </c:pt>
                <c:pt idx="207">
                  <c:v>-3.125E-2</c:v>
                </c:pt>
                <c:pt idx="208">
                  <c:v>-1.2500000000000001E-2</c:v>
                </c:pt>
                <c:pt idx="209">
                  <c:v>-7.4074074074074098E-2</c:v>
                </c:pt>
                <c:pt idx="210">
                  <c:v>-6.1728395061728399E-2</c:v>
                </c:pt>
                <c:pt idx="211">
                  <c:v>-9.2592592592592601E-2</c:v>
                </c:pt>
                <c:pt idx="212">
                  <c:v>-4.2944785276073601E-2</c:v>
                </c:pt>
                <c:pt idx="213">
                  <c:v>3.0487804878048801E-2</c:v>
                </c:pt>
                <c:pt idx="214">
                  <c:v>7.2727272727272696E-2</c:v>
                </c:pt>
                <c:pt idx="215">
                  <c:v>-1.19760479041916E-2</c:v>
                </c:pt>
                <c:pt idx="216">
                  <c:v>-2.9761904761904798E-2</c:v>
                </c:pt>
                <c:pt idx="217">
                  <c:v>0.136904761904762</c:v>
                </c:pt>
                <c:pt idx="218">
                  <c:v>6.4705882352941196E-2</c:v>
                </c:pt>
                <c:pt idx="219">
                  <c:v>-5.8823529411764696E-3</c:v>
                </c:pt>
                <c:pt idx="220">
                  <c:v>-1.74418604651163E-2</c:v>
                </c:pt>
                <c:pt idx="221">
                  <c:v>-1.72413793103448E-2</c:v>
                </c:pt>
                <c:pt idx="222">
                  <c:v>5.6818181818181802E-3</c:v>
                </c:pt>
                <c:pt idx="223">
                  <c:v>-5.6818181818181802E-2</c:v>
                </c:pt>
                <c:pt idx="224">
                  <c:v>0.21590909090909099</c:v>
                </c:pt>
                <c:pt idx="225">
                  <c:v>-2.8409090909090901E-2</c:v>
                </c:pt>
                <c:pt idx="226">
                  <c:v>5.6179775280898901E-3</c:v>
                </c:pt>
                <c:pt idx="227">
                  <c:v>-2.2222222222222199E-2</c:v>
                </c:pt>
                <c:pt idx="228">
                  <c:v>-0.16111111111111101</c:v>
                </c:pt>
                <c:pt idx="229">
                  <c:v>-8.2872928176795604E-2</c:v>
                </c:pt>
                <c:pt idx="230">
                  <c:v>-6.5934065934065894E-2</c:v>
                </c:pt>
                <c:pt idx="231">
                  <c:v>-7.6502732240437202E-2</c:v>
                </c:pt>
                <c:pt idx="232">
                  <c:v>2.7173913043478298E-2</c:v>
                </c:pt>
                <c:pt idx="233">
                  <c:v>-5.4054054054053996E-3</c:v>
                </c:pt>
                <c:pt idx="234">
                  <c:v>-7.0270270270270302E-2</c:v>
                </c:pt>
                <c:pt idx="235">
                  <c:v>-2.68817204301075E-2</c:v>
                </c:pt>
                <c:pt idx="236">
                  <c:v>-4.8387096774193498E-2</c:v>
                </c:pt>
                <c:pt idx="237">
                  <c:v>-4.2780748663101602E-2</c:v>
                </c:pt>
                <c:pt idx="238">
                  <c:v>-0.111702127659574</c:v>
                </c:pt>
                <c:pt idx="239">
                  <c:v>-5.31914893617021E-2</c:v>
                </c:pt>
                <c:pt idx="240">
                  <c:v>4.7872340425531901E-2</c:v>
                </c:pt>
                <c:pt idx="241">
                  <c:v>0</c:v>
                </c:pt>
                <c:pt idx="242">
                  <c:v>3.1746031746031703E-2</c:v>
                </c:pt>
                <c:pt idx="243">
                  <c:v>2.6315789473684199E-2</c:v>
                </c:pt>
                <c:pt idx="244">
                  <c:v>-8.3769633507853394E-2</c:v>
                </c:pt>
                <c:pt idx="245">
                  <c:v>-0.109375</c:v>
                </c:pt>
                <c:pt idx="246">
                  <c:v>-5.1546391752577303E-2</c:v>
                </c:pt>
                <c:pt idx="247">
                  <c:v>0</c:v>
                </c:pt>
                <c:pt idx="248">
                  <c:v>-8.2051282051281996E-2</c:v>
                </c:pt>
                <c:pt idx="249">
                  <c:v>9.5959595959595897E-2</c:v>
                </c:pt>
                <c:pt idx="250">
                  <c:v>-6.4356435643564303E-2</c:v>
                </c:pt>
                <c:pt idx="251">
                  <c:v>-3.4482758620689599E-2</c:v>
                </c:pt>
                <c:pt idx="252">
                  <c:v>7.8431372549019607E-2</c:v>
                </c:pt>
                <c:pt idx="253">
                  <c:v>-8.2524271844660199E-2</c:v>
                </c:pt>
                <c:pt idx="254">
                  <c:v>-5.3398058252427202E-2</c:v>
                </c:pt>
                <c:pt idx="255">
                  <c:v>-0.13106796116504901</c:v>
                </c:pt>
                <c:pt idx="256">
                  <c:v>-5.7692307692307702E-2</c:v>
                </c:pt>
                <c:pt idx="257">
                  <c:v>-8.4905660377358499E-2</c:v>
                </c:pt>
                <c:pt idx="258">
                  <c:v>-4.65116279069767E-3</c:v>
                </c:pt>
                <c:pt idx="259">
                  <c:v>-6.4814814814814797E-2</c:v>
                </c:pt>
                <c:pt idx="260">
                  <c:v>9.1324200913242004E-2</c:v>
                </c:pt>
                <c:pt idx="261">
                  <c:v>-0.13636363636363599</c:v>
                </c:pt>
                <c:pt idx="262">
                  <c:v>1.8181818181818198E-2</c:v>
                </c:pt>
                <c:pt idx="263">
                  <c:v>5.8558558558558502E-2</c:v>
                </c:pt>
                <c:pt idx="264">
                  <c:v>4.4843049327354202E-2</c:v>
                </c:pt>
                <c:pt idx="265">
                  <c:v>-2.2222222222222199E-2</c:v>
                </c:pt>
                <c:pt idx="266">
                  <c:v>0</c:v>
                </c:pt>
                <c:pt idx="267">
                  <c:v>-9.0909090909090898E-2</c:v>
                </c:pt>
                <c:pt idx="268">
                  <c:v>6.4935064935064901E-2</c:v>
                </c:pt>
                <c:pt idx="269">
                  <c:v>-2.9914529914529898E-2</c:v>
                </c:pt>
                <c:pt idx="270">
                  <c:v>-6.3829787234042507E-2</c:v>
                </c:pt>
                <c:pt idx="271">
                  <c:v>-5.93220338983051E-2</c:v>
                </c:pt>
                <c:pt idx="272">
                  <c:v>-3.3472803347280297E-2</c:v>
                </c:pt>
                <c:pt idx="273">
                  <c:v>-0.108333333333333</c:v>
                </c:pt>
                <c:pt idx="274">
                  <c:v>-4.1493775933609901E-2</c:v>
                </c:pt>
                <c:pt idx="275">
                  <c:v>6.1224489795918401E-2</c:v>
                </c:pt>
                <c:pt idx="276">
                  <c:v>0</c:v>
                </c:pt>
                <c:pt idx="277">
                  <c:v>-0.104417670682731</c:v>
                </c:pt>
                <c:pt idx="278">
                  <c:v>-4.0160642570281103E-2</c:v>
                </c:pt>
                <c:pt idx="279">
                  <c:v>-1.171875E-2</c:v>
                </c:pt>
                <c:pt idx="280">
                  <c:v>0</c:v>
                </c:pt>
                <c:pt idx="281">
                  <c:v>-1.5267175572519101E-2</c:v>
                </c:pt>
                <c:pt idx="282">
                  <c:v>-2.67175572519084E-2</c:v>
                </c:pt>
                <c:pt idx="283">
                  <c:v>3.7037037037037E-2</c:v>
                </c:pt>
                <c:pt idx="284">
                  <c:v>-2.2222222222222199E-2</c:v>
                </c:pt>
                <c:pt idx="285">
                  <c:v>7.3800738007380098E-3</c:v>
                </c:pt>
                <c:pt idx="286">
                  <c:v>0</c:v>
                </c:pt>
                <c:pt idx="287">
                  <c:v>6.83453237410072E-2</c:v>
                </c:pt>
                <c:pt idx="288">
                  <c:v>-2.8673835125448001E-2</c:v>
                </c:pt>
                <c:pt idx="289">
                  <c:v>9.6885813148788899E-2</c:v>
                </c:pt>
                <c:pt idx="290">
                  <c:v>0.10726643598615899</c:v>
                </c:pt>
                <c:pt idx="291">
                  <c:v>-3.3333333333333298E-2</c:v>
                </c:pt>
                <c:pt idx="292">
                  <c:v>0.06</c:v>
                </c:pt>
                <c:pt idx="293">
                  <c:v>0</c:v>
                </c:pt>
                <c:pt idx="294">
                  <c:v>-4.5602605863192203E-2</c:v>
                </c:pt>
                <c:pt idx="295">
                  <c:v>0</c:v>
                </c:pt>
                <c:pt idx="296">
                  <c:v>-6.4516129032257993E-2</c:v>
                </c:pt>
                <c:pt idx="297">
                  <c:v>-3.5483870967741901E-2</c:v>
                </c:pt>
                <c:pt idx="298">
                  <c:v>-6.41025641025641E-3</c:v>
                </c:pt>
                <c:pt idx="299">
                  <c:v>6.0126582278481E-2</c:v>
                </c:pt>
                <c:pt idx="300">
                  <c:v>2.5236593059936901E-2</c:v>
                </c:pt>
                <c:pt idx="301">
                  <c:v>1.57232704402516E-2</c:v>
                </c:pt>
                <c:pt idx="302">
                  <c:v>-3.1446540880503103E-2</c:v>
                </c:pt>
                <c:pt idx="303">
                  <c:v>-7.7881619937694699E-2</c:v>
                </c:pt>
                <c:pt idx="304">
                  <c:v>0.177570093457944</c:v>
                </c:pt>
                <c:pt idx="305">
                  <c:v>-0.12732919254658401</c:v>
                </c:pt>
                <c:pt idx="306">
                  <c:v>7.7160493827160503E-2</c:v>
                </c:pt>
                <c:pt idx="307">
                  <c:v>-5.5045871559633003E-2</c:v>
                </c:pt>
                <c:pt idx="308">
                  <c:v>4.8780487804878002E-2</c:v>
                </c:pt>
                <c:pt idx="309">
                  <c:v>-1.8126888217522698E-2</c:v>
                </c:pt>
                <c:pt idx="310">
                  <c:v>0.123867069486405</c:v>
                </c:pt>
                <c:pt idx="311">
                  <c:v>-6.6265060240963805E-2</c:v>
                </c:pt>
                <c:pt idx="312">
                  <c:v>-1.7910447761194E-2</c:v>
                </c:pt>
                <c:pt idx="313">
                  <c:v>6.6860465116278994E-2</c:v>
                </c:pt>
                <c:pt idx="314">
                  <c:v>-0.135446685878963</c:v>
                </c:pt>
                <c:pt idx="315">
                  <c:v>-2.8735632183908E-2</c:v>
                </c:pt>
                <c:pt idx="316">
                  <c:v>0.13934426229508201</c:v>
                </c:pt>
                <c:pt idx="317">
                  <c:v>6.7204301075268799E-2</c:v>
                </c:pt>
              </c:numCache>
            </c:numRef>
          </c:yVal>
          <c:smooth val="0"/>
          <c:extLst>
            <c:ext xmlns:c16="http://schemas.microsoft.com/office/drawing/2014/chart" uri="{C3380CC4-5D6E-409C-BE32-E72D297353CC}">
              <c16:uniqueId val="{00000000-2DD8-4027-B113-E2931FD0D9D4}"/>
            </c:ext>
          </c:extLst>
        </c:ser>
        <c:ser>
          <c:idx val="1"/>
          <c:order val="1"/>
          <c:tx>
            <c:v>Meter B</c:v>
          </c:tx>
          <c:spPr>
            <a:ln w="25400" cap="rnd">
              <a:noFill/>
              <a:round/>
            </a:ln>
            <a:effectLst/>
          </c:spPr>
          <c:marker>
            <c:symbol val="circle"/>
            <c:size val="7"/>
            <c:spPr>
              <a:noFill/>
              <a:ln w="9525">
                <a:solidFill>
                  <a:schemeClr val="accent2"/>
                </a:solidFill>
              </a:ln>
              <a:effectLst/>
            </c:spPr>
          </c:marker>
          <c:xVal>
            <c:numRef>
              <c:f>BACompare6v3!$C$2:$C$319</c:f>
              <c:numCache>
                <c:formatCode>General</c:formatCode>
                <c:ptCount val="318"/>
                <c:pt idx="0">
                  <c:v>57</c:v>
                </c:pt>
                <c:pt idx="1">
                  <c:v>62</c:v>
                </c:pt>
                <c:pt idx="2">
                  <c:v>64</c:v>
                </c:pt>
                <c:pt idx="3">
                  <c:v>65</c:v>
                </c:pt>
                <c:pt idx="4">
                  <c:v>66</c:v>
                </c:pt>
                <c:pt idx="5">
                  <c:v>69</c:v>
                </c:pt>
                <c:pt idx="6">
                  <c:v>70</c:v>
                </c:pt>
                <c:pt idx="7">
                  <c:v>78</c:v>
                </c:pt>
                <c:pt idx="8">
                  <c:v>79</c:v>
                </c:pt>
                <c:pt idx="9">
                  <c:v>79</c:v>
                </c:pt>
                <c:pt idx="10">
                  <c:v>80</c:v>
                </c:pt>
                <c:pt idx="11">
                  <c:v>80</c:v>
                </c:pt>
                <c:pt idx="12">
                  <c:v>81</c:v>
                </c:pt>
                <c:pt idx="13">
                  <c:v>81</c:v>
                </c:pt>
                <c:pt idx="14">
                  <c:v>82</c:v>
                </c:pt>
                <c:pt idx="15">
                  <c:v>82</c:v>
                </c:pt>
                <c:pt idx="16">
                  <c:v>83</c:v>
                </c:pt>
                <c:pt idx="17">
                  <c:v>83</c:v>
                </c:pt>
                <c:pt idx="18">
                  <c:v>83</c:v>
                </c:pt>
                <c:pt idx="19">
                  <c:v>84</c:v>
                </c:pt>
                <c:pt idx="20">
                  <c:v>85</c:v>
                </c:pt>
                <c:pt idx="21">
                  <c:v>85</c:v>
                </c:pt>
                <c:pt idx="22">
                  <c:v>85</c:v>
                </c:pt>
                <c:pt idx="23">
                  <c:v>85</c:v>
                </c:pt>
                <c:pt idx="24">
                  <c:v>85</c:v>
                </c:pt>
                <c:pt idx="25">
                  <c:v>86</c:v>
                </c:pt>
                <c:pt idx="26">
                  <c:v>86</c:v>
                </c:pt>
                <c:pt idx="27">
                  <c:v>86</c:v>
                </c:pt>
                <c:pt idx="28">
                  <c:v>86</c:v>
                </c:pt>
                <c:pt idx="29">
                  <c:v>87</c:v>
                </c:pt>
                <c:pt idx="30">
                  <c:v>87</c:v>
                </c:pt>
                <c:pt idx="31">
                  <c:v>88</c:v>
                </c:pt>
                <c:pt idx="32">
                  <c:v>88</c:v>
                </c:pt>
                <c:pt idx="33">
                  <c:v>88</c:v>
                </c:pt>
                <c:pt idx="34">
                  <c:v>88</c:v>
                </c:pt>
                <c:pt idx="35">
                  <c:v>88</c:v>
                </c:pt>
                <c:pt idx="36">
                  <c:v>88</c:v>
                </c:pt>
                <c:pt idx="37">
                  <c:v>89</c:v>
                </c:pt>
                <c:pt idx="38">
                  <c:v>90</c:v>
                </c:pt>
                <c:pt idx="39">
                  <c:v>90</c:v>
                </c:pt>
                <c:pt idx="40">
                  <c:v>90</c:v>
                </c:pt>
                <c:pt idx="41">
                  <c:v>90</c:v>
                </c:pt>
                <c:pt idx="42">
                  <c:v>90</c:v>
                </c:pt>
                <c:pt idx="43">
                  <c:v>90</c:v>
                </c:pt>
                <c:pt idx="44">
                  <c:v>90</c:v>
                </c:pt>
                <c:pt idx="45">
                  <c:v>91</c:v>
                </c:pt>
                <c:pt idx="46">
                  <c:v>91</c:v>
                </c:pt>
                <c:pt idx="47">
                  <c:v>91</c:v>
                </c:pt>
                <c:pt idx="48">
                  <c:v>91</c:v>
                </c:pt>
                <c:pt idx="49">
                  <c:v>91</c:v>
                </c:pt>
                <c:pt idx="50">
                  <c:v>91</c:v>
                </c:pt>
                <c:pt idx="51">
                  <c:v>92</c:v>
                </c:pt>
                <c:pt idx="52">
                  <c:v>92</c:v>
                </c:pt>
                <c:pt idx="53">
                  <c:v>92</c:v>
                </c:pt>
                <c:pt idx="54">
                  <c:v>93</c:v>
                </c:pt>
                <c:pt idx="55">
                  <c:v>93</c:v>
                </c:pt>
                <c:pt idx="56">
                  <c:v>93</c:v>
                </c:pt>
                <c:pt idx="57">
                  <c:v>93</c:v>
                </c:pt>
                <c:pt idx="58">
                  <c:v>93</c:v>
                </c:pt>
                <c:pt idx="59">
                  <c:v>93</c:v>
                </c:pt>
                <c:pt idx="60">
                  <c:v>93</c:v>
                </c:pt>
                <c:pt idx="61">
                  <c:v>93</c:v>
                </c:pt>
                <c:pt idx="62">
                  <c:v>94</c:v>
                </c:pt>
                <c:pt idx="63">
                  <c:v>94</c:v>
                </c:pt>
                <c:pt idx="64">
                  <c:v>94</c:v>
                </c:pt>
                <c:pt idx="65">
                  <c:v>95</c:v>
                </c:pt>
                <c:pt idx="66">
                  <c:v>95</c:v>
                </c:pt>
                <c:pt idx="67">
                  <c:v>95</c:v>
                </c:pt>
                <c:pt idx="68">
                  <c:v>95</c:v>
                </c:pt>
                <c:pt idx="69">
                  <c:v>96</c:v>
                </c:pt>
                <c:pt idx="70">
                  <c:v>96</c:v>
                </c:pt>
                <c:pt idx="71">
                  <c:v>96</c:v>
                </c:pt>
                <c:pt idx="72">
                  <c:v>96</c:v>
                </c:pt>
                <c:pt idx="73">
                  <c:v>96</c:v>
                </c:pt>
                <c:pt idx="74">
                  <c:v>97</c:v>
                </c:pt>
                <c:pt idx="75">
                  <c:v>98</c:v>
                </c:pt>
                <c:pt idx="76">
                  <c:v>98</c:v>
                </c:pt>
                <c:pt idx="77">
                  <c:v>98</c:v>
                </c:pt>
                <c:pt idx="78">
                  <c:v>98</c:v>
                </c:pt>
                <c:pt idx="79">
                  <c:v>99</c:v>
                </c:pt>
                <c:pt idx="80">
                  <c:v>100</c:v>
                </c:pt>
                <c:pt idx="81">
                  <c:v>100</c:v>
                </c:pt>
                <c:pt idx="82">
                  <c:v>100</c:v>
                </c:pt>
                <c:pt idx="83">
                  <c:v>101</c:v>
                </c:pt>
                <c:pt idx="84">
                  <c:v>101</c:v>
                </c:pt>
                <c:pt idx="85">
                  <c:v>102</c:v>
                </c:pt>
                <c:pt idx="86">
                  <c:v>102</c:v>
                </c:pt>
                <c:pt idx="87">
                  <c:v>102</c:v>
                </c:pt>
                <c:pt idx="88">
                  <c:v>102</c:v>
                </c:pt>
                <c:pt idx="89">
                  <c:v>102</c:v>
                </c:pt>
                <c:pt idx="90">
                  <c:v>103</c:v>
                </c:pt>
                <c:pt idx="91">
                  <c:v>103</c:v>
                </c:pt>
                <c:pt idx="92">
                  <c:v>104</c:v>
                </c:pt>
                <c:pt idx="93">
                  <c:v>104</c:v>
                </c:pt>
                <c:pt idx="94">
                  <c:v>104</c:v>
                </c:pt>
                <c:pt idx="95">
                  <c:v>104</c:v>
                </c:pt>
                <c:pt idx="96">
                  <c:v>104</c:v>
                </c:pt>
                <c:pt idx="97">
                  <c:v>105</c:v>
                </c:pt>
                <c:pt idx="98">
                  <c:v>105</c:v>
                </c:pt>
                <c:pt idx="99">
                  <c:v>105</c:v>
                </c:pt>
                <c:pt idx="100">
                  <c:v>106</c:v>
                </c:pt>
                <c:pt idx="101">
                  <c:v>106</c:v>
                </c:pt>
                <c:pt idx="102">
                  <c:v>106</c:v>
                </c:pt>
                <c:pt idx="103">
                  <c:v>107</c:v>
                </c:pt>
                <c:pt idx="104">
                  <c:v>107</c:v>
                </c:pt>
                <c:pt idx="105">
                  <c:v>108</c:v>
                </c:pt>
                <c:pt idx="106">
                  <c:v>108</c:v>
                </c:pt>
                <c:pt idx="107">
                  <c:v>108</c:v>
                </c:pt>
                <c:pt idx="108">
                  <c:v>108</c:v>
                </c:pt>
                <c:pt idx="109">
                  <c:v>110</c:v>
                </c:pt>
                <c:pt idx="110">
                  <c:v>110</c:v>
                </c:pt>
                <c:pt idx="111">
                  <c:v>110</c:v>
                </c:pt>
                <c:pt idx="112">
                  <c:v>110</c:v>
                </c:pt>
                <c:pt idx="113">
                  <c:v>110</c:v>
                </c:pt>
                <c:pt idx="114">
                  <c:v>111</c:v>
                </c:pt>
                <c:pt idx="115">
                  <c:v>111</c:v>
                </c:pt>
                <c:pt idx="116">
                  <c:v>111</c:v>
                </c:pt>
                <c:pt idx="117">
                  <c:v>112</c:v>
                </c:pt>
                <c:pt idx="118">
                  <c:v>112</c:v>
                </c:pt>
                <c:pt idx="119">
                  <c:v>112</c:v>
                </c:pt>
                <c:pt idx="120">
                  <c:v>112</c:v>
                </c:pt>
                <c:pt idx="121">
                  <c:v>112</c:v>
                </c:pt>
                <c:pt idx="122">
                  <c:v>113</c:v>
                </c:pt>
                <c:pt idx="123">
                  <c:v>113</c:v>
                </c:pt>
                <c:pt idx="124">
                  <c:v>113</c:v>
                </c:pt>
                <c:pt idx="125">
                  <c:v>114</c:v>
                </c:pt>
                <c:pt idx="126">
                  <c:v>114</c:v>
                </c:pt>
                <c:pt idx="127">
                  <c:v>114</c:v>
                </c:pt>
                <c:pt idx="128">
                  <c:v>114</c:v>
                </c:pt>
                <c:pt idx="129">
                  <c:v>115</c:v>
                </c:pt>
                <c:pt idx="130">
                  <c:v>116</c:v>
                </c:pt>
                <c:pt idx="131">
                  <c:v>116</c:v>
                </c:pt>
                <c:pt idx="132">
                  <c:v>117</c:v>
                </c:pt>
                <c:pt idx="133">
                  <c:v>118</c:v>
                </c:pt>
                <c:pt idx="134">
                  <c:v>118</c:v>
                </c:pt>
                <c:pt idx="135">
                  <c:v>119</c:v>
                </c:pt>
                <c:pt idx="136">
                  <c:v>119</c:v>
                </c:pt>
                <c:pt idx="137">
                  <c:v>119</c:v>
                </c:pt>
                <c:pt idx="138">
                  <c:v>120</c:v>
                </c:pt>
                <c:pt idx="139">
                  <c:v>120</c:v>
                </c:pt>
                <c:pt idx="140">
                  <c:v>120</c:v>
                </c:pt>
                <c:pt idx="141">
                  <c:v>120</c:v>
                </c:pt>
                <c:pt idx="142">
                  <c:v>121</c:v>
                </c:pt>
                <c:pt idx="143">
                  <c:v>121</c:v>
                </c:pt>
                <c:pt idx="144">
                  <c:v>121</c:v>
                </c:pt>
                <c:pt idx="145">
                  <c:v>122</c:v>
                </c:pt>
                <c:pt idx="146">
                  <c:v>124</c:v>
                </c:pt>
                <c:pt idx="147">
                  <c:v>126</c:v>
                </c:pt>
                <c:pt idx="148">
                  <c:v>126</c:v>
                </c:pt>
                <c:pt idx="149">
                  <c:v>126</c:v>
                </c:pt>
                <c:pt idx="150">
                  <c:v>126</c:v>
                </c:pt>
                <c:pt idx="151">
                  <c:v>126</c:v>
                </c:pt>
                <c:pt idx="152">
                  <c:v>128</c:v>
                </c:pt>
                <c:pt idx="153">
                  <c:v>128</c:v>
                </c:pt>
                <c:pt idx="154">
                  <c:v>128</c:v>
                </c:pt>
                <c:pt idx="155">
                  <c:v>128</c:v>
                </c:pt>
                <c:pt idx="156">
                  <c:v>128</c:v>
                </c:pt>
                <c:pt idx="157">
                  <c:v>128</c:v>
                </c:pt>
                <c:pt idx="158">
                  <c:v>130</c:v>
                </c:pt>
                <c:pt idx="159">
                  <c:v>130</c:v>
                </c:pt>
                <c:pt idx="160">
                  <c:v>133</c:v>
                </c:pt>
                <c:pt idx="161">
                  <c:v>133</c:v>
                </c:pt>
                <c:pt idx="162">
                  <c:v>133</c:v>
                </c:pt>
                <c:pt idx="163">
                  <c:v>134</c:v>
                </c:pt>
                <c:pt idx="164">
                  <c:v>135</c:v>
                </c:pt>
                <c:pt idx="165">
                  <c:v>135</c:v>
                </c:pt>
                <c:pt idx="166">
                  <c:v>136</c:v>
                </c:pt>
                <c:pt idx="167">
                  <c:v>137</c:v>
                </c:pt>
                <c:pt idx="168">
                  <c:v>138</c:v>
                </c:pt>
                <c:pt idx="169">
                  <c:v>139</c:v>
                </c:pt>
                <c:pt idx="170">
                  <c:v>141</c:v>
                </c:pt>
                <c:pt idx="171">
                  <c:v>141</c:v>
                </c:pt>
                <c:pt idx="172">
                  <c:v>141</c:v>
                </c:pt>
                <c:pt idx="173">
                  <c:v>141</c:v>
                </c:pt>
                <c:pt idx="174">
                  <c:v>142</c:v>
                </c:pt>
                <c:pt idx="175">
                  <c:v>143</c:v>
                </c:pt>
                <c:pt idx="176">
                  <c:v>143</c:v>
                </c:pt>
                <c:pt idx="177">
                  <c:v>143</c:v>
                </c:pt>
                <c:pt idx="178">
                  <c:v>144</c:v>
                </c:pt>
                <c:pt idx="179">
                  <c:v>144</c:v>
                </c:pt>
                <c:pt idx="180">
                  <c:v>144</c:v>
                </c:pt>
                <c:pt idx="181">
                  <c:v>145</c:v>
                </c:pt>
                <c:pt idx="182">
                  <c:v>146</c:v>
                </c:pt>
                <c:pt idx="183">
                  <c:v>147</c:v>
                </c:pt>
                <c:pt idx="184">
                  <c:v>147</c:v>
                </c:pt>
                <c:pt idx="185">
                  <c:v>147</c:v>
                </c:pt>
                <c:pt idx="186">
                  <c:v>147</c:v>
                </c:pt>
                <c:pt idx="187">
                  <c:v>148</c:v>
                </c:pt>
                <c:pt idx="188">
                  <c:v>150</c:v>
                </c:pt>
                <c:pt idx="189">
                  <c:v>150</c:v>
                </c:pt>
                <c:pt idx="190">
                  <c:v>151</c:v>
                </c:pt>
                <c:pt idx="191">
                  <c:v>151</c:v>
                </c:pt>
                <c:pt idx="192">
                  <c:v>152</c:v>
                </c:pt>
                <c:pt idx="193">
                  <c:v>152</c:v>
                </c:pt>
                <c:pt idx="194">
                  <c:v>152</c:v>
                </c:pt>
                <c:pt idx="195">
                  <c:v>152</c:v>
                </c:pt>
                <c:pt idx="196">
                  <c:v>152</c:v>
                </c:pt>
                <c:pt idx="197">
                  <c:v>154</c:v>
                </c:pt>
                <c:pt idx="198">
                  <c:v>154</c:v>
                </c:pt>
                <c:pt idx="199">
                  <c:v>154</c:v>
                </c:pt>
                <c:pt idx="200">
                  <c:v>155</c:v>
                </c:pt>
                <c:pt idx="201">
                  <c:v>155</c:v>
                </c:pt>
                <c:pt idx="202">
                  <c:v>156</c:v>
                </c:pt>
                <c:pt idx="203">
                  <c:v>158</c:v>
                </c:pt>
                <c:pt idx="204">
                  <c:v>158</c:v>
                </c:pt>
                <c:pt idx="205">
                  <c:v>159</c:v>
                </c:pt>
                <c:pt idx="206">
                  <c:v>160</c:v>
                </c:pt>
                <c:pt idx="207">
                  <c:v>160</c:v>
                </c:pt>
                <c:pt idx="208">
                  <c:v>160</c:v>
                </c:pt>
                <c:pt idx="209">
                  <c:v>162</c:v>
                </c:pt>
                <c:pt idx="210">
                  <c:v>162</c:v>
                </c:pt>
                <c:pt idx="211">
                  <c:v>162</c:v>
                </c:pt>
                <c:pt idx="212">
                  <c:v>163</c:v>
                </c:pt>
                <c:pt idx="213">
                  <c:v>164</c:v>
                </c:pt>
                <c:pt idx="214">
                  <c:v>165</c:v>
                </c:pt>
                <c:pt idx="215">
                  <c:v>167</c:v>
                </c:pt>
                <c:pt idx="216">
                  <c:v>168</c:v>
                </c:pt>
                <c:pt idx="217">
                  <c:v>168</c:v>
                </c:pt>
                <c:pt idx="218">
                  <c:v>170</c:v>
                </c:pt>
                <c:pt idx="219">
                  <c:v>170</c:v>
                </c:pt>
                <c:pt idx="220">
                  <c:v>172</c:v>
                </c:pt>
                <c:pt idx="221">
                  <c:v>174</c:v>
                </c:pt>
                <c:pt idx="222">
                  <c:v>176</c:v>
                </c:pt>
                <c:pt idx="223">
                  <c:v>176</c:v>
                </c:pt>
                <c:pt idx="224">
                  <c:v>176</c:v>
                </c:pt>
                <c:pt idx="225">
                  <c:v>176</c:v>
                </c:pt>
                <c:pt idx="226">
                  <c:v>178</c:v>
                </c:pt>
                <c:pt idx="227">
                  <c:v>180</c:v>
                </c:pt>
                <c:pt idx="228">
                  <c:v>180</c:v>
                </c:pt>
                <c:pt idx="229">
                  <c:v>181</c:v>
                </c:pt>
                <c:pt idx="230">
                  <c:v>182</c:v>
                </c:pt>
                <c:pt idx="231">
                  <c:v>183</c:v>
                </c:pt>
                <c:pt idx="232">
                  <c:v>184</c:v>
                </c:pt>
                <c:pt idx="233">
                  <c:v>185</c:v>
                </c:pt>
                <c:pt idx="234">
                  <c:v>185</c:v>
                </c:pt>
                <c:pt idx="235">
                  <c:v>186</c:v>
                </c:pt>
                <c:pt idx="236">
                  <c:v>186</c:v>
                </c:pt>
                <c:pt idx="237">
                  <c:v>187</c:v>
                </c:pt>
                <c:pt idx="238">
                  <c:v>188</c:v>
                </c:pt>
                <c:pt idx="239">
                  <c:v>188</c:v>
                </c:pt>
                <c:pt idx="240">
                  <c:v>188</c:v>
                </c:pt>
                <c:pt idx="241">
                  <c:v>189</c:v>
                </c:pt>
                <c:pt idx="242">
                  <c:v>189</c:v>
                </c:pt>
                <c:pt idx="243">
                  <c:v>190</c:v>
                </c:pt>
                <c:pt idx="244">
                  <c:v>191</c:v>
                </c:pt>
                <c:pt idx="245">
                  <c:v>192</c:v>
                </c:pt>
                <c:pt idx="246">
                  <c:v>194</c:v>
                </c:pt>
                <c:pt idx="247">
                  <c:v>194</c:v>
                </c:pt>
                <c:pt idx="248">
                  <c:v>195</c:v>
                </c:pt>
                <c:pt idx="249">
                  <c:v>198</c:v>
                </c:pt>
                <c:pt idx="250">
                  <c:v>202</c:v>
                </c:pt>
                <c:pt idx="251">
                  <c:v>203</c:v>
                </c:pt>
                <c:pt idx="252">
                  <c:v>204</c:v>
                </c:pt>
                <c:pt idx="253">
                  <c:v>206</c:v>
                </c:pt>
                <c:pt idx="254">
                  <c:v>206</c:v>
                </c:pt>
                <c:pt idx="255">
                  <c:v>206</c:v>
                </c:pt>
                <c:pt idx="256">
                  <c:v>208</c:v>
                </c:pt>
                <c:pt idx="257">
                  <c:v>212</c:v>
                </c:pt>
                <c:pt idx="258">
                  <c:v>215</c:v>
                </c:pt>
                <c:pt idx="259">
                  <c:v>216</c:v>
                </c:pt>
                <c:pt idx="260">
                  <c:v>219</c:v>
                </c:pt>
                <c:pt idx="261">
                  <c:v>220</c:v>
                </c:pt>
                <c:pt idx="262">
                  <c:v>220</c:v>
                </c:pt>
                <c:pt idx="263">
                  <c:v>222</c:v>
                </c:pt>
                <c:pt idx="264">
                  <c:v>223</c:v>
                </c:pt>
                <c:pt idx="265">
                  <c:v>225</c:v>
                </c:pt>
                <c:pt idx="266">
                  <c:v>226</c:v>
                </c:pt>
                <c:pt idx="267">
                  <c:v>231</c:v>
                </c:pt>
                <c:pt idx="268">
                  <c:v>231</c:v>
                </c:pt>
                <c:pt idx="269">
                  <c:v>234</c:v>
                </c:pt>
                <c:pt idx="270">
                  <c:v>235</c:v>
                </c:pt>
                <c:pt idx="271">
                  <c:v>236</c:v>
                </c:pt>
                <c:pt idx="272">
                  <c:v>239</c:v>
                </c:pt>
                <c:pt idx="273">
                  <c:v>240</c:v>
                </c:pt>
                <c:pt idx="274">
                  <c:v>241</c:v>
                </c:pt>
                <c:pt idx="275">
                  <c:v>245</c:v>
                </c:pt>
                <c:pt idx="276">
                  <c:v>247</c:v>
                </c:pt>
                <c:pt idx="277">
                  <c:v>249</c:v>
                </c:pt>
                <c:pt idx="278">
                  <c:v>249</c:v>
                </c:pt>
                <c:pt idx="279">
                  <c:v>256</c:v>
                </c:pt>
                <c:pt idx="280">
                  <c:v>259</c:v>
                </c:pt>
                <c:pt idx="281">
                  <c:v>262</c:v>
                </c:pt>
                <c:pt idx="282">
                  <c:v>262</c:v>
                </c:pt>
                <c:pt idx="283">
                  <c:v>270</c:v>
                </c:pt>
                <c:pt idx="284">
                  <c:v>270</c:v>
                </c:pt>
                <c:pt idx="285">
                  <c:v>271</c:v>
                </c:pt>
                <c:pt idx="286">
                  <c:v>278</c:v>
                </c:pt>
                <c:pt idx="287">
                  <c:v>278</c:v>
                </c:pt>
                <c:pt idx="288">
                  <c:v>279</c:v>
                </c:pt>
                <c:pt idx="289">
                  <c:v>289</c:v>
                </c:pt>
                <c:pt idx="290">
                  <c:v>289</c:v>
                </c:pt>
                <c:pt idx="291">
                  <c:v>300</c:v>
                </c:pt>
                <c:pt idx="292">
                  <c:v>300</c:v>
                </c:pt>
                <c:pt idx="293">
                  <c:v>303</c:v>
                </c:pt>
                <c:pt idx="294">
                  <c:v>307</c:v>
                </c:pt>
                <c:pt idx="295">
                  <c:v>309</c:v>
                </c:pt>
                <c:pt idx="296">
                  <c:v>310</c:v>
                </c:pt>
                <c:pt idx="297">
                  <c:v>310</c:v>
                </c:pt>
                <c:pt idx="298">
                  <c:v>312</c:v>
                </c:pt>
                <c:pt idx="299">
                  <c:v>316</c:v>
                </c:pt>
                <c:pt idx="300">
                  <c:v>317</c:v>
                </c:pt>
                <c:pt idx="301">
                  <c:v>318</c:v>
                </c:pt>
                <c:pt idx="302">
                  <c:v>318</c:v>
                </c:pt>
                <c:pt idx="303">
                  <c:v>321</c:v>
                </c:pt>
                <c:pt idx="304">
                  <c:v>321</c:v>
                </c:pt>
                <c:pt idx="305">
                  <c:v>322</c:v>
                </c:pt>
                <c:pt idx="306">
                  <c:v>324</c:v>
                </c:pt>
                <c:pt idx="307">
                  <c:v>327</c:v>
                </c:pt>
                <c:pt idx="308">
                  <c:v>328</c:v>
                </c:pt>
                <c:pt idx="309">
                  <c:v>331</c:v>
                </c:pt>
                <c:pt idx="310">
                  <c:v>331</c:v>
                </c:pt>
                <c:pt idx="311">
                  <c:v>332</c:v>
                </c:pt>
                <c:pt idx="312">
                  <c:v>335</c:v>
                </c:pt>
                <c:pt idx="313">
                  <c:v>344</c:v>
                </c:pt>
                <c:pt idx="314">
                  <c:v>347</c:v>
                </c:pt>
                <c:pt idx="315">
                  <c:v>348</c:v>
                </c:pt>
                <c:pt idx="316">
                  <c:v>366</c:v>
                </c:pt>
                <c:pt idx="317">
                  <c:v>372</c:v>
                </c:pt>
              </c:numCache>
            </c:numRef>
          </c:xVal>
          <c:yVal>
            <c:numRef>
              <c:f>BACompare6v3!$I$2:$I$319</c:f>
              <c:numCache>
                <c:formatCode>0.0%</c:formatCode>
                <c:ptCount val="318"/>
                <c:pt idx="0">
                  <c:v>0.12280701754386</c:v>
                </c:pt>
                <c:pt idx="1">
                  <c:v>0.14516129032258099</c:v>
                </c:pt>
                <c:pt idx="2">
                  <c:v>0.125</c:v>
                </c:pt>
                <c:pt idx="3">
                  <c:v>9.2307692307692299E-2</c:v>
                </c:pt>
                <c:pt idx="4">
                  <c:v>0.30303030303030298</c:v>
                </c:pt>
                <c:pt idx="5">
                  <c:v>7.2463768115942004E-2</c:v>
                </c:pt>
                <c:pt idx="6">
                  <c:v>0.128571428571429</c:v>
                </c:pt>
                <c:pt idx="7">
                  <c:v>0</c:v>
                </c:pt>
                <c:pt idx="8">
                  <c:v>-0.177215189873418</c:v>
                </c:pt>
                <c:pt idx="9">
                  <c:v>1.26582278481013E-2</c:v>
                </c:pt>
                <c:pt idx="10">
                  <c:v>0.05</c:v>
                </c:pt>
                <c:pt idx="11">
                  <c:v>1.2500000000000001E-2</c:v>
                </c:pt>
                <c:pt idx="12">
                  <c:v>0.18518518518518501</c:v>
                </c:pt>
                <c:pt idx="13">
                  <c:v>0.12345679012345701</c:v>
                </c:pt>
                <c:pt idx="14">
                  <c:v>0</c:v>
                </c:pt>
                <c:pt idx="15">
                  <c:v>-0.15853658536585399</c:v>
                </c:pt>
                <c:pt idx="16">
                  <c:v>2.40963855421687E-2</c:v>
                </c:pt>
                <c:pt idx="17">
                  <c:v>-3.6144578313252997E-2</c:v>
                </c:pt>
                <c:pt idx="18">
                  <c:v>-0.180722891566265</c:v>
                </c:pt>
                <c:pt idx="19">
                  <c:v>1.1904761904761901E-2</c:v>
                </c:pt>
                <c:pt idx="20">
                  <c:v>-0.105882352941176</c:v>
                </c:pt>
                <c:pt idx="21">
                  <c:v>-3.5294117647058802E-2</c:v>
                </c:pt>
                <c:pt idx="22">
                  <c:v>-7.0588235294117604E-2</c:v>
                </c:pt>
                <c:pt idx="23">
                  <c:v>-3.5294117647058802E-2</c:v>
                </c:pt>
                <c:pt idx="24">
                  <c:v>3.5294117647058802E-2</c:v>
                </c:pt>
                <c:pt idx="25">
                  <c:v>0.116279069767442</c:v>
                </c:pt>
                <c:pt idx="26">
                  <c:v>-9.3023255813953501E-2</c:v>
                </c:pt>
                <c:pt idx="27">
                  <c:v>-8.1395348837209294E-2</c:v>
                </c:pt>
                <c:pt idx="28">
                  <c:v>-5.8139534883720902E-2</c:v>
                </c:pt>
                <c:pt idx="29">
                  <c:v>0.126436781609195</c:v>
                </c:pt>
                <c:pt idx="30">
                  <c:v>9.1954022988505704E-2</c:v>
                </c:pt>
                <c:pt idx="31">
                  <c:v>-7.9545454545454503E-2</c:v>
                </c:pt>
                <c:pt idx="32">
                  <c:v>-0.125</c:v>
                </c:pt>
                <c:pt idx="33">
                  <c:v>-2.27272727272727E-2</c:v>
                </c:pt>
                <c:pt idx="34">
                  <c:v>-0.102272727272727</c:v>
                </c:pt>
                <c:pt idx="35">
                  <c:v>-0.25</c:v>
                </c:pt>
                <c:pt idx="36">
                  <c:v>-2.27272727272727E-2</c:v>
                </c:pt>
                <c:pt idx="37">
                  <c:v>1.1235955056179799E-2</c:v>
                </c:pt>
                <c:pt idx="38">
                  <c:v>-0.11111111111111099</c:v>
                </c:pt>
                <c:pt idx="39">
                  <c:v>-0.16666666666666699</c:v>
                </c:pt>
                <c:pt idx="40">
                  <c:v>-1.1111111111111099E-2</c:v>
                </c:pt>
                <c:pt idx="41">
                  <c:v>-0.16666666666666699</c:v>
                </c:pt>
                <c:pt idx="42">
                  <c:v>-5.5555555555555497E-2</c:v>
                </c:pt>
                <c:pt idx="43">
                  <c:v>-6.6666666666666693E-2</c:v>
                </c:pt>
                <c:pt idx="44">
                  <c:v>-7.7777777777777807E-2</c:v>
                </c:pt>
                <c:pt idx="45">
                  <c:v>-0.164835164835165</c:v>
                </c:pt>
                <c:pt idx="46">
                  <c:v>-0.21978021978022</c:v>
                </c:pt>
                <c:pt idx="47">
                  <c:v>-0.13186813186813201</c:v>
                </c:pt>
                <c:pt idx="48">
                  <c:v>-7.69230769230769E-2</c:v>
                </c:pt>
                <c:pt idx="49">
                  <c:v>-4.3956043956044001E-2</c:v>
                </c:pt>
                <c:pt idx="50">
                  <c:v>-0.10989010989011</c:v>
                </c:pt>
                <c:pt idx="51">
                  <c:v>-1.0869565217391301E-2</c:v>
                </c:pt>
                <c:pt idx="52">
                  <c:v>-0.16304347826087001</c:v>
                </c:pt>
                <c:pt idx="53">
                  <c:v>-7.6086956521739094E-2</c:v>
                </c:pt>
                <c:pt idx="54">
                  <c:v>-3.2258064516128997E-2</c:v>
                </c:pt>
                <c:pt idx="55">
                  <c:v>-0.15053763440860199</c:v>
                </c:pt>
                <c:pt idx="56">
                  <c:v>-6.4516129032257993E-2</c:v>
                </c:pt>
                <c:pt idx="57">
                  <c:v>-1.0752688172042999E-2</c:v>
                </c:pt>
                <c:pt idx="58">
                  <c:v>2.1505376344085999E-2</c:v>
                </c:pt>
                <c:pt idx="59">
                  <c:v>-4.3010752688171998E-2</c:v>
                </c:pt>
                <c:pt idx="60">
                  <c:v>-7.5268817204301106E-2</c:v>
                </c:pt>
                <c:pt idx="61">
                  <c:v>-0.13978494623655899</c:v>
                </c:pt>
                <c:pt idx="62">
                  <c:v>-0.12765957446808501</c:v>
                </c:pt>
                <c:pt idx="63">
                  <c:v>-0.159574468085106</c:v>
                </c:pt>
                <c:pt idx="64">
                  <c:v>0</c:v>
                </c:pt>
                <c:pt idx="65">
                  <c:v>-8.42105263157895E-2</c:v>
                </c:pt>
                <c:pt idx="66">
                  <c:v>7.3684210526315796E-2</c:v>
                </c:pt>
                <c:pt idx="67">
                  <c:v>-0.105263157894737</c:v>
                </c:pt>
                <c:pt idx="68">
                  <c:v>1.05263157894737E-2</c:v>
                </c:pt>
                <c:pt idx="69">
                  <c:v>-0.104166666666667</c:v>
                </c:pt>
                <c:pt idx="70">
                  <c:v>-0.15625</c:v>
                </c:pt>
                <c:pt idx="71">
                  <c:v>-0.114583333333333</c:v>
                </c:pt>
                <c:pt idx="72">
                  <c:v>-5.2083333333333301E-2</c:v>
                </c:pt>
                <c:pt idx="73">
                  <c:v>-1.0416666666666701E-2</c:v>
                </c:pt>
                <c:pt idx="74">
                  <c:v>-4.1237113402061799E-2</c:v>
                </c:pt>
                <c:pt idx="75">
                  <c:v>-0.183673469387755</c:v>
                </c:pt>
                <c:pt idx="76">
                  <c:v>-7.1428571428571397E-2</c:v>
                </c:pt>
                <c:pt idx="77">
                  <c:v>1.02040816326531E-2</c:v>
                </c:pt>
                <c:pt idx="78">
                  <c:v>8.1632653061224497E-2</c:v>
                </c:pt>
                <c:pt idx="79">
                  <c:v>-0.18181818181818199</c:v>
                </c:pt>
                <c:pt idx="80">
                  <c:v>-0.06</c:v>
                </c:pt>
                <c:pt idx="81">
                  <c:v>-0.02</c:v>
                </c:pt>
                <c:pt idx="82">
                  <c:v>-0.14000000000000001</c:v>
                </c:pt>
                <c:pt idx="83">
                  <c:v>-0.16831683168316799</c:v>
                </c:pt>
                <c:pt idx="84">
                  <c:v>-0.10891089108910899</c:v>
                </c:pt>
                <c:pt idx="85">
                  <c:v>1.9607843137254902E-2</c:v>
                </c:pt>
                <c:pt idx="86">
                  <c:v>-0.11764705882352899</c:v>
                </c:pt>
                <c:pt idx="87">
                  <c:v>7.8431372549019607E-2</c:v>
                </c:pt>
                <c:pt idx="88">
                  <c:v>2.94117647058823E-2</c:v>
                </c:pt>
                <c:pt idx="89">
                  <c:v>-6.8627450980392093E-2</c:v>
                </c:pt>
                <c:pt idx="90">
                  <c:v>-0.116504854368932</c:v>
                </c:pt>
                <c:pt idx="91">
                  <c:v>-0.15533980582524301</c:v>
                </c:pt>
                <c:pt idx="92">
                  <c:v>2.8846153846153799E-2</c:v>
                </c:pt>
                <c:pt idx="93">
                  <c:v>0.15384615384615399</c:v>
                </c:pt>
                <c:pt idx="94">
                  <c:v>8.6538461538461495E-2</c:v>
                </c:pt>
                <c:pt idx="95">
                  <c:v>-4.80769230769231E-2</c:v>
                </c:pt>
                <c:pt idx="96">
                  <c:v>-0.115384615384615</c:v>
                </c:pt>
                <c:pt idx="97">
                  <c:v>-7.6190476190476197E-2</c:v>
                </c:pt>
                <c:pt idx="98">
                  <c:v>-2.8571428571428598E-2</c:v>
                </c:pt>
                <c:pt idx="99">
                  <c:v>-9.5238095238095195E-3</c:v>
                </c:pt>
                <c:pt idx="100">
                  <c:v>-0.10377358490565999</c:v>
                </c:pt>
                <c:pt idx="101">
                  <c:v>9.4339622641509396E-3</c:v>
                </c:pt>
                <c:pt idx="102">
                  <c:v>3.77358490566038E-2</c:v>
                </c:pt>
                <c:pt idx="103">
                  <c:v>-9.34579439252336E-2</c:v>
                </c:pt>
                <c:pt idx="104">
                  <c:v>-2.80373831775701E-2</c:v>
                </c:pt>
                <c:pt idx="105">
                  <c:v>-5.5555555555555497E-2</c:v>
                </c:pt>
                <c:pt idx="106">
                  <c:v>-0.12962962962963001</c:v>
                </c:pt>
                <c:pt idx="107">
                  <c:v>-7.4074074074074098E-2</c:v>
                </c:pt>
                <c:pt idx="108">
                  <c:v>-0.101851851851852</c:v>
                </c:pt>
                <c:pt idx="109">
                  <c:v>-7.2727272727272696E-2</c:v>
                </c:pt>
                <c:pt idx="110">
                  <c:v>-0.145454545454545</c:v>
                </c:pt>
                <c:pt idx="111">
                  <c:v>-0.109090909090909</c:v>
                </c:pt>
                <c:pt idx="112">
                  <c:v>-7.2727272727272696E-2</c:v>
                </c:pt>
                <c:pt idx="113">
                  <c:v>-7.2727272727272696E-2</c:v>
                </c:pt>
                <c:pt idx="114">
                  <c:v>-0.135135135135135</c:v>
                </c:pt>
                <c:pt idx="115">
                  <c:v>-0.153153153153153</c:v>
                </c:pt>
                <c:pt idx="116">
                  <c:v>-0.144144144144144</c:v>
                </c:pt>
                <c:pt idx="117">
                  <c:v>-2.6785714285714302E-2</c:v>
                </c:pt>
                <c:pt idx="118">
                  <c:v>-0.107142857142857</c:v>
                </c:pt>
                <c:pt idx="119">
                  <c:v>-0.14285714285714299</c:v>
                </c:pt>
                <c:pt idx="120">
                  <c:v>-9.8214285714285698E-2</c:v>
                </c:pt>
                <c:pt idx="121">
                  <c:v>-0.151785714285714</c:v>
                </c:pt>
                <c:pt idx="122">
                  <c:v>-0.185840707964602</c:v>
                </c:pt>
                <c:pt idx="123">
                  <c:v>-8.8495575221238895E-2</c:v>
                </c:pt>
                <c:pt idx="124">
                  <c:v>-6.19469026548672E-2</c:v>
                </c:pt>
                <c:pt idx="125">
                  <c:v>-0.114035087719298</c:v>
                </c:pt>
                <c:pt idx="126">
                  <c:v>4.3859649122807001E-2</c:v>
                </c:pt>
                <c:pt idx="127">
                  <c:v>-0.105263157894737</c:v>
                </c:pt>
                <c:pt idx="128">
                  <c:v>6.14035087719298E-2</c:v>
                </c:pt>
                <c:pt idx="129">
                  <c:v>-0.139130434782609</c:v>
                </c:pt>
                <c:pt idx="130">
                  <c:v>-7.7586206896551699E-2</c:v>
                </c:pt>
                <c:pt idx="131">
                  <c:v>-8.6206896551724102E-2</c:v>
                </c:pt>
                <c:pt idx="132">
                  <c:v>-0.256410256410256</c:v>
                </c:pt>
                <c:pt idx="133">
                  <c:v>-0.12711864406779699</c:v>
                </c:pt>
                <c:pt idx="134">
                  <c:v>-0.186440677966102</c:v>
                </c:pt>
                <c:pt idx="135">
                  <c:v>-8.4033613445378103E-2</c:v>
                </c:pt>
                <c:pt idx="136">
                  <c:v>-0.13445378151260501</c:v>
                </c:pt>
                <c:pt idx="137">
                  <c:v>-6.7226890756302504E-2</c:v>
                </c:pt>
                <c:pt idx="138">
                  <c:v>9.1666666666666605E-2</c:v>
                </c:pt>
                <c:pt idx="139">
                  <c:v>-0.16666666666666699</c:v>
                </c:pt>
                <c:pt idx="140">
                  <c:v>-0.16666666666666699</c:v>
                </c:pt>
                <c:pt idx="141">
                  <c:v>5.83333333333333E-2</c:v>
                </c:pt>
                <c:pt idx="142">
                  <c:v>-0.14876033057851201</c:v>
                </c:pt>
                <c:pt idx="143">
                  <c:v>6.6115702479338803E-2</c:v>
                </c:pt>
                <c:pt idx="144">
                  <c:v>-6.6115702479338803E-2</c:v>
                </c:pt>
                <c:pt idx="145">
                  <c:v>-0.188524590163934</c:v>
                </c:pt>
                <c:pt idx="146">
                  <c:v>-1.6129032258064498E-2</c:v>
                </c:pt>
                <c:pt idx="147">
                  <c:v>-0.15079365079365101</c:v>
                </c:pt>
                <c:pt idx="148">
                  <c:v>-0.103174603174603</c:v>
                </c:pt>
                <c:pt idx="149">
                  <c:v>-0.11111111111111099</c:v>
                </c:pt>
                <c:pt idx="150">
                  <c:v>-0.15079365079365101</c:v>
                </c:pt>
                <c:pt idx="151">
                  <c:v>-0.15079365079365101</c:v>
                </c:pt>
                <c:pt idx="152">
                  <c:v>-0.171875</c:v>
                </c:pt>
                <c:pt idx="153">
                  <c:v>-0.2421875</c:v>
                </c:pt>
                <c:pt idx="154">
                  <c:v>-5.46875E-2</c:v>
                </c:pt>
                <c:pt idx="155">
                  <c:v>-0.140625</c:v>
                </c:pt>
                <c:pt idx="156">
                  <c:v>1.5625E-2</c:v>
                </c:pt>
                <c:pt idx="157">
                  <c:v>-0.1171875</c:v>
                </c:pt>
                <c:pt idx="158">
                  <c:v>-0.29230769230769199</c:v>
                </c:pt>
                <c:pt idx="159">
                  <c:v>-0.15384615384615399</c:v>
                </c:pt>
                <c:pt idx="160">
                  <c:v>-0.21052631578947401</c:v>
                </c:pt>
                <c:pt idx="161">
                  <c:v>-0.112781954887218</c:v>
                </c:pt>
                <c:pt idx="162">
                  <c:v>-5.2631578947368397E-2</c:v>
                </c:pt>
                <c:pt idx="163">
                  <c:v>-0.111940298507463</c:v>
                </c:pt>
                <c:pt idx="164">
                  <c:v>-0.17037037037037001</c:v>
                </c:pt>
                <c:pt idx="165">
                  <c:v>-0.125925925925926</c:v>
                </c:pt>
                <c:pt idx="166">
                  <c:v>1.4705882352941201E-2</c:v>
                </c:pt>
                <c:pt idx="167">
                  <c:v>-7.2992700729926996E-3</c:v>
                </c:pt>
                <c:pt idx="168">
                  <c:v>-0.18115942028985499</c:v>
                </c:pt>
                <c:pt idx="169">
                  <c:v>-0.12949640287769801</c:v>
                </c:pt>
                <c:pt idx="170">
                  <c:v>-7.8014184397163094E-2</c:v>
                </c:pt>
                <c:pt idx="171">
                  <c:v>-0.15602836879432599</c:v>
                </c:pt>
                <c:pt idx="172">
                  <c:v>1.41843971631206E-2</c:v>
                </c:pt>
                <c:pt idx="173">
                  <c:v>-0.11347517730496499</c:v>
                </c:pt>
                <c:pt idx="174">
                  <c:v>-0.183098591549296</c:v>
                </c:pt>
                <c:pt idx="175">
                  <c:v>-0.13986013986014001</c:v>
                </c:pt>
                <c:pt idx="176">
                  <c:v>-0.132867132867133</c:v>
                </c:pt>
                <c:pt idx="177">
                  <c:v>-0.16783216783216801</c:v>
                </c:pt>
                <c:pt idx="178">
                  <c:v>-6.25E-2</c:v>
                </c:pt>
                <c:pt idx="179">
                  <c:v>-0.131944444444444</c:v>
                </c:pt>
                <c:pt idx="180">
                  <c:v>-9.0277777777777804E-2</c:v>
                </c:pt>
                <c:pt idx="181">
                  <c:v>3.4482758620689599E-2</c:v>
                </c:pt>
                <c:pt idx="182">
                  <c:v>2.7397260273972601E-2</c:v>
                </c:pt>
                <c:pt idx="183">
                  <c:v>-0.129251700680272</c:v>
                </c:pt>
                <c:pt idx="184">
                  <c:v>1.3605442176870699E-2</c:v>
                </c:pt>
                <c:pt idx="185">
                  <c:v>-0.129251700680272</c:v>
                </c:pt>
                <c:pt idx="186">
                  <c:v>-0.14285714285714299</c:v>
                </c:pt>
                <c:pt idx="187">
                  <c:v>-0.17567567567567599</c:v>
                </c:pt>
                <c:pt idx="188">
                  <c:v>0.293333333333333</c:v>
                </c:pt>
                <c:pt idx="189">
                  <c:v>-0.12</c:v>
                </c:pt>
                <c:pt idx="190">
                  <c:v>-0.30463576158940397</c:v>
                </c:pt>
                <c:pt idx="191">
                  <c:v>-0.13245033112582799</c:v>
                </c:pt>
                <c:pt idx="192">
                  <c:v>-6.5789473684210495E-2</c:v>
                </c:pt>
                <c:pt idx="193">
                  <c:v>-0.197368421052632</c:v>
                </c:pt>
                <c:pt idx="194">
                  <c:v>-0.23684210526315799</c:v>
                </c:pt>
                <c:pt idx="195">
                  <c:v>-0.177631578947368</c:v>
                </c:pt>
                <c:pt idx="196">
                  <c:v>-0.125</c:v>
                </c:pt>
                <c:pt idx="197">
                  <c:v>-0.13636363636363599</c:v>
                </c:pt>
                <c:pt idx="198">
                  <c:v>-0.103896103896104</c:v>
                </c:pt>
                <c:pt idx="199">
                  <c:v>-5.8441558441558399E-2</c:v>
                </c:pt>
                <c:pt idx="200">
                  <c:v>-0.154838709677419</c:v>
                </c:pt>
                <c:pt idx="201">
                  <c:v>-8.3870967741935504E-2</c:v>
                </c:pt>
                <c:pt idx="202">
                  <c:v>-0.35256410256410298</c:v>
                </c:pt>
                <c:pt idx="203">
                  <c:v>-0.227848101265823</c:v>
                </c:pt>
                <c:pt idx="204">
                  <c:v>-0.221518987341772</c:v>
                </c:pt>
                <c:pt idx="205">
                  <c:v>-4.40251572327044E-2</c:v>
                </c:pt>
                <c:pt idx="206">
                  <c:v>-0.1875</c:v>
                </c:pt>
                <c:pt idx="207">
                  <c:v>-5.6250000000000001E-2</c:v>
                </c:pt>
                <c:pt idx="208">
                  <c:v>-3.7499999999999999E-2</c:v>
                </c:pt>
                <c:pt idx="209">
                  <c:v>-0.12962962962963001</c:v>
                </c:pt>
                <c:pt idx="210">
                  <c:v>-0.240740740740741</c:v>
                </c:pt>
                <c:pt idx="211">
                  <c:v>-0.18518518518518501</c:v>
                </c:pt>
                <c:pt idx="212">
                  <c:v>-3.0674846625766899E-2</c:v>
                </c:pt>
                <c:pt idx="213">
                  <c:v>-8.5365853658536606E-2</c:v>
                </c:pt>
                <c:pt idx="214">
                  <c:v>-4.2424242424242399E-2</c:v>
                </c:pt>
                <c:pt idx="215">
                  <c:v>-0.245508982035928</c:v>
                </c:pt>
                <c:pt idx="216">
                  <c:v>-0.24404761904761901</c:v>
                </c:pt>
                <c:pt idx="217">
                  <c:v>0.172619047619048</c:v>
                </c:pt>
                <c:pt idx="218">
                  <c:v>-0.223529411764706</c:v>
                </c:pt>
                <c:pt idx="219">
                  <c:v>-0.188235294117647</c:v>
                </c:pt>
                <c:pt idx="220">
                  <c:v>-6.3953488372092998E-2</c:v>
                </c:pt>
                <c:pt idx="221">
                  <c:v>-0.13218390804597699</c:v>
                </c:pt>
                <c:pt idx="222">
                  <c:v>-8.5227272727272693E-2</c:v>
                </c:pt>
                <c:pt idx="223">
                  <c:v>-0.13068181818181801</c:v>
                </c:pt>
                <c:pt idx="224">
                  <c:v>-0.22727272727272699</c:v>
                </c:pt>
                <c:pt idx="225">
                  <c:v>-0.21590909090909099</c:v>
                </c:pt>
                <c:pt idx="226">
                  <c:v>-7.8651685393258397E-2</c:v>
                </c:pt>
                <c:pt idx="227">
                  <c:v>-0.18888888888888899</c:v>
                </c:pt>
                <c:pt idx="228">
                  <c:v>-0.14444444444444399</c:v>
                </c:pt>
                <c:pt idx="229">
                  <c:v>-8.8397790055248601E-2</c:v>
                </c:pt>
                <c:pt idx="230">
                  <c:v>-2.74725274725275E-2</c:v>
                </c:pt>
                <c:pt idx="231">
                  <c:v>-4.3715846994535498E-2</c:v>
                </c:pt>
                <c:pt idx="232">
                  <c:v>-0.11413043478260899</c:v>
                </c:pt>
                <c:pt idx="233">
                  <c:v>-0.14054054054054099</c:v>
                </c:pt>
                <c:pt idx="234">
                  <c:v>-0.135135135135135</c:v>
                </c:pt>
                <c:pt idx="235">
                  <c:v>3.2258064516128997E-2</c:v>
                </c:pt>
                <c:pt idx="236">
                  <c:v>-0.21505376344086</c:v>
                </c:pt>
                <c:pt idx="237">
                  <c:v>8.5561497326203204E-2</c:v>
                </c:pt>
                <c:pt idx="238">
                  <c:v>3.7234042553191501E-2</c:v>
                </c:pt>
                <c:pt idx="239">
                  <c:v>-0.164893617021277</c:v>
                </c:pt>
                <c:pt idx="240">
                  <c:v>-9.0425531914893595E-2</c:v>
                </c:pt>
                <c:pt idx="241">
                  <c:v>-0.28571428571428598</c:v>
                </c:pt>
                <c:pt idx="242">
                  <c:v>-0.11111111111111099</c:v>
                </c:pt>
                <c:pt idx="243">
                  <c:v>-7.3684210526315796E-2</c:v>
                </c:pt>
                <c:pt idx="244">
                  <c:v>-0.14136125654450299</c:v>
                </c:pt>
                <c:pt idx="245">
                  <c:v>-0.16145833333333301</c:v>
                </c:pt>
                <c:pt idx="246">
                  <c:v>-5.1546391752577301E-3</c:v>
                </c:pt>
                <c:pt idx="247">
                  <c:v>5.1546391752577303E-2</c:v>
                </c:pt>
                <c:pt idx="248">
                  <c:v>-2.0512820512820499E-2</c:v>
                </c:pt>
                <c:pt idx="249">
                  <c:v>-5.0505050505050501E-3</c:v>
                </c:pt>
                <c:pt idx="250">
                  <c:v>2.4752475247524702E-2</c:v>
                </c:pt>
                <c:pt idx="251">
                  <c:v>-0.167487684729064</c:v>
                </c:pt>
                <c:pt idx="252">
                  <c:v>-6.3725490196078399E-2</c:v>
                </c:pt>
                <c:pt idx="253">
                  <c:v>-0.13106796116504901</c:v>
                </c:pt>
                <c:pt idx="254">
                  <c:v>-0.17961165048543701</c:v>
                </c:pt>
                <c:pt idx="255">
                  <c:v>-0.106796116504854</c:v>
                </c:pt>
                <c:pt idx="256">
                  <c:v>-0.110576923076923</c:v>
                </c:pt>
                <c:pt idx="257">
                  <c:v>-6.1320754716981098E-2</c:v>
                </c:pt>
                <c:pt idx="258">
                  <c:v>-3.25581395348837E-2</c:v>
                </c:pt>
                <c:pt idx="259">
                  <c:v>1.85185185185185E-2</c:v>
                </c:pt>
                <c:pt idx="260">
                  <c:v>-0.141552511415525</c:v>
                </c:pt>
                <c:pt idx="261">
                  <c:v>-0.118181818181818</c:v>
                </c:pt>
                <c:pt idx="262">
                  <c:v>-7.7272727272727298E-2</c:v>
                </c:pt>
                <c:pt idx="263">
                  <c:v>-6.7567567567567599E-2</c:v>
                </c:pt>
                <c:pt idx="264">
                  <c:v>-0.12556053811659201</c:v>
                </c:pt>
                <c:pt idx="265">
                  <c:v>-0.142222222222222</c:v>
                </c:pt>
                <c:pt idx="266">
                  <c:v>-0.123893805309735</c:v>
                </c:pt>
                <c:pt idx="267">
                  <c:v>-0.147186147186147</c:v>
                </c:pt>
                <c:pt idx="268">
                  <c:v>-0.103896103896104</c:v>
                </c:pt>
                <c:pt idx="269">
                  <c:v>-0.25213675213675202</c:v>
                </c:pt>
                <c:pt idx="270">
                  <c:v>-3.4042553191489397E-2</c:v>
                </c:pt>
                <c:pt idx="271">
                  <c:v>-5.93220338983051E-2</c:v>
                </c:pt>
                <c:pt idx="272">
                  <c:v>-0.251046025104602</c:v>
                </c:pt>
                <c:pt idx="273">
                  <c:v>1.6666666666666701E-2</c:v>
                </c:pt>
                <c:pt idx="274">
                  <c:v>-0.182572614107884</c:v>
                </c:pt>
                <c:pt idx="275">
                  <c:v>-9.3877551020408095E-2</c:v>
                </c:pt>
                <c:pt idx="276">
                  <c:v>-0.25910931174089102</c:v>
                </c:pt>
                <c:pt idx="277">
                  <c:v>-0.14056224899598399</c:v>
                </c:pt>
                <c:pt idx="278">
                  <c:v>-0.14056224899598399</c:v>
                </c:pt>
                <c:pt idx="279">
                  <c:v>-0.25390625</c:v>
                </c:pt>
                <c:pt idx="280">
                  <c:v>-7.7220077220077205E-2</c:v>
                </c:pt>
                <c:pt idx="281">
                  <c:v>-0.13358778625954201</c:v>
                </c:pt>
                <c:pt idx="282">
                  <c:v>-0.103053435114504</c:v>
                </c:pt>
                <c:pt idx="283">
                  <c:v>-0.140740740740741</c:v>
                </c:pt>
                <c:pt idx="284">
                  <c:v>-0.22962962962962999</c:v>
                </c:pt>
                <c:pt idx="285">
                  <c:v>-7.7490774907749096E-2</c:v>
                </c:pt>
                <c:pt idx="286">
                  <c:v>-9.3525179856115095E-2</c:v>
                </c:pt>
                <c:pt idx="287">
                  <c:v>-0.12589928057554001</c:v>
                </c:pt>
                <c:pt idx="288">
                  <c:v>-0.19354838709677399</c:v>
                </c:pt>
                <c:pt idx="289">
                  <c:v>3.1141868512110701E-2</c:v>
                </c:pt>
                <c:pt idx="290">
                  <c:v>-0.124567474048443</c:v>
                </c:pt>
                <c:pt idx="291">
                  <c:v>-0.146666666666667</c:v>
                </c:pt>
                <c:pt idx="292">
                  <c:v>-0.16666666666666699</c:v>
                </c:pt>
                <c:pt idx="293">
                  <c:v>-0.145214521452145</c:v>
                </c:pt>
                <c:pt idx="294">
                  <c:v>-0.149837133550489</c:v>
                </c:pt>
                <c:pt idx="295">
                  <c:v>-0.16181229773462799</c:v>
                </c:pt>
                <c:pt idx="296">
                  <c:v>-0.14516129032258099</c:v>
                </c:pt>
                <c:pt idx="297">
                  <c:v>-0.187096774193548</c:v>
                </c:pt>
                <c:pt idx="298">
                  <c:v>-0.131410256410256</c:v>
                </c:pt>
                <c:pt idx="299">
                  <c:v>-0.145569620253165</c:v>
                </c:pt>
                <c:pt idx="300">
                  <c:v>-7.2555205047318605E-2</c:v>
                </c:pt>
                <c:pt idx="301">
                  <c:v>-0.191823899371069</c:v>
                </c:pt>
                <c:pt idx="302">
                  <c:v>-8.8050314465408799E-2</c:v>
                </c:pt>
                <c:pt idx="303">
                  <c:v>-0.146417445482866</c:v>
                </c:pt>
                <c:pt idx="304">
                  <c:v>-0.14018691588785001</c:v>
                </c:pt>
                <c:pt idx="305">
                  <c:v>-0.21118012422360199</c:v>
                </c:pt>
                <c:pt idx="306">
                  <c:v>-0.117283950617284</c:v>
                </c:pt>
                <c:pt idx="307">
                  <c:v>-0.20795107033639099</c:v>
                </c:pt>
                <c:pt idx="308">
                  <c:v>-0.21646341463414601</c:v>
                </c:pt>
                <c:pt idx="309">
                  <c:v>-0.28398791540785501</c:v>
                </c:pt>
                <c:pt idx="310">
                  <c:v>-0.199395770392749</c:v>
                </c:pt>
                <c:pt idx="311">
                  <c:v>-0.22289156626505999</c:v>
                </c:pt>
                <c:pt idx="312">
                  <c:v>-0.22388059701492499</c:v>
                </c:pt>
                <c:pt idx="313">
                  <c:v>-0.18023255813953501</c:v>
                </c:pt>
                <c:pt idx="314">
                  <c:v>-0.126801152737752</c:v>
                </c:pt>
                <c:pt idx="315">
                  <c:v>-0.27586206896551702</c:v>
                </c:pt>
                <c:pt idx="316">
                  <c:v>-5.1912568306010903E-2</c:v>
                </c:pt>
                <c:pt idx="317">
                  <c:v>-0.12903225806451599</c:v>
                </c:pt>
              </c:numCache>
            </c:numRef>
          </c:yVal>
          <c:smooth val="0"/>
          <c:extLst>
            <c:ext xmlns:c16="http://schemas.microsoft.com/office/drawing/2014/chart" uri="{C3380CC4-5D6E-409C-BE32-E72D297353CC}">
              <c16:uniqueId val="{00000001-2DD8-4027-B113-E2931FD0D9D4}"/>
            </c:ext>
          </c:extLst>
        </c:ser>
        <c:ser>
          <c:idx val="2"/>
          <c:order val="2"/>
          <c:tx>
            <c:v>Zero Bias</c:v>
          </c:tx>
          <c:spPr>
            <a:ln w="6350" cap="rnd">
              <a:solidFill>
                <a:schemeClr val="tx1"/>
              </a:solidFill>
              <a:round/>
            </a:ln>
            <a:effectLst/>
          </c:spPr>
          <c:marker>
            <c:symbol val="circle"/>
            <c:size val="5"/>
            <c:spPr>
              <a:solidFill>
                <a:schemeClr val="accent3"/>
              </a:solidFill>
              <a:ln w="9525">
                <a:solidFill>
                  <a:schemeClr val="accent3"/>
                </a:solidFill>
              </a:ln>
              <a:effectLst/>
            </c:spPr>
          </c:marker>
          <c:xVal>
            <c:numRef>
              <c:f>BACompare6v3!$N$26:$N$27</c:f>
              <c:numCache>
                <c:formatCode>General</c:formatCode>
                <c:ptCount val="2"/>
                <c:pt idx="0">
                  <c:v>50</c:v>
                </c:pt>
                <c:pt idx="1">
                  <c:v>400</c:v>
                </c:pt>
              </c:numCache>
            </c:numRef>
          </c:xVal>
          <c:yVal>
            <c:numRef>
              <c:f>BACompare6v3!$O$26:$O$27</c:f>
              <c:numCache>
                <c:formatCode>General</c:formatCode>
                <c:ptCount val="2"/>
                <c:pt idx="0">
                  <c:v>0</c:v>
                </c:pt>
                <c:pt idx="1">
                  <c:v>0</c:v>
                </c:pt>
              </c:numCache>
            </c:numRef>
          </c:yVal>
          <c:smooth val="0"/>
          <c:extLst>
            <c:ext xmlns:c16="http://schemas.microsoft.com/office/drawing/2014/chart" uri="{C3380CC4-5D6E-409C-BE32-E72D297353CC}">
              <c16:uniqueId val="{00000002-2DD8-4027-B113-E2931FD0D9D4}"/>
            </c:ext>
          </c:extLst>
        </c:ser>
        <c:ser>
          <c:idx val="3"/>
          <c:order val="3"/>
          <c:tx>
            <c:v>Meter A  Bias</c:v>
          </c:tx>
          <c:spPr>
            <a:ln w="28575">
              <a:solidFill>
                <a:schemeClr val="tx2"/>
              </a:solidFill>
              <a:prstDash val="sysDash"/>
            </a:ln>
          </c:spPr>
          <c:marker>
            <c:symbol val="none"/>
          </c:marker>
          <c:xVal>
            <c:numRef>
              <c:f>BACompare6v3!$O$50:$O$51</c:f>
              <c:numCache>
                <c:formatCode>General</c:formatCode>
                <c:ptCount val="2"/>
                <c:pt idx="0">
                  <c:v>50</c:v>
                </c:pt>
                <c:pt idx="1">
                  <c:v>400</c:v>
                </c:pt>
              </c:numCache>
            </c:numRef>
          </c:xVal>
          <c:yVal>
            <c:numRef>
              <c:f>BACompare6v3!$P$50:$P$51</c:f>
              <c:numCache>
                <c:formatCode>0.0%</c:formatCode>
                <c:ptCount val="2"/>
                <c:pt idx="0">
                  <c:v>-2.5030018923268499E-3</c:v>
                </c:pt>
                <c:pt idx="1">
                  <c:v>-2.5030018923268499E-3</c:v>
                </c:pt>
              </c:numCache>
            </c:numRef>
          </c:yVal>
          <c:smooth val="0"/>
          <c:extLst>
            <c:ext xmlns:c16="http://schemas.microsoft.com/office/drawing/2014/chart" uri="{C3380CC4-5D6E-409C-BE32-E72D297353CC}">
              <c16:uniqueId val="{00000000-31F2-3746-8A22-44C57883B3AA}"/>
            </c:ext>
          </c:extLst>
        </c:ser>
        <c:ser>
          <c:idx val="4"/>
          <c:order val="4"/>
          <c:tx>
            <c:v>Meter A Lower Limit</c:v>
          </c:tx>
          <c:spPr>
            <a:ln w="28575">
              <a:solidFill>
                <a:schemeClr val="tx2"/>
              </a:solidFill>
              <a:prstDash val="sysDash"/>
            </a:ln>
          </c:spPr>
          <c:marker>
            <c:symbol val="none"/>
          </c:marker>
          <c:xVal>
            <c:numRef>
              <c:f>BACompare6v3!$O$50:$O$51</c:f>
              <c:numCache>
                <c:formatCode>General</c:formatCode>
                <c:ptCount val="2"/>
                <c:pt idx="0">
                  <c:v>50</c:v>
                </c:pt>
                <c:pt idx="1">
                  <c:v>400</c:v>
                </c:pt>
              </c:numCache>
            </c:numRef>
          </c:xVal>
          <c:yVal>
            <c:numRef>
              <c:f>BACompare6v3!$Q$50:$Q$51</c:f>
              <c:numCache>
                <c:formatCode>0.0%</c:formatCode>
                <c:ptCount val="2"/>
                <c:pt idx="0">
                  <c:v>-0.14037950644800601</c:v>
                </c:pt>
                <c:pt idx="1">
                  <c:v>-0.14037950644800601</c:v>
                </c:pt>
              </c:numCache>
            </c:numRef>
          </c:yVal>
          <c:smooth val="0"/>
          <c:extLst>
            <c:ext xmlns:c16="http://schemas.microsoft.com/office/drawing/2014/chart" uri="{C3380CC4-5D6E-409C-BE32-E72D297353CC}">
              <c16:uniqueId val="{00000001-31F2-3746-8A22-44C57883B3AA}"/>
            </c:ext>
          </c:extLst>
        </c:ser>
        <c:ser>
          <c:idx val="5"/>
          <c:order val="5"/>
          <c:tx>
            <c:v>Meter A Upper Limit</c:v>
          </c:tx>
          <c:spPr>
            <a:ln w="28575">
              <a:solidFill>
                <a:schemeClr val="tx2"/>
              </a:solidFill>
              <a:prstDash val="sysDash"/>
            </a:ln>
          </c:spPr>
          <c:marker>
            <c:symbol val="none"/>
          </c:marker>
          <c:xVal>
            <c:numRef>
              <c:f>BACompare6v3!$O$50:$O$51</c:f>
              <c:numCache>
                <c:formatCode>General</c:formatCode>
                <c:ptCount val="2"/>
                <c:pt idx="0">
                  <c:v>50</c:v>
                </c:pt>
                <c:pt idx="1">
                  <c:v>400</c:v>
                </c:pt>
              </c:numCache>
            </c:numRef>
          </c:xVal>
          <c:yVal>
            <c:numRef>
              <c:f>BACompare6v3!$R$50:$R$51</c:f>
              <c:numCache>
                <c:formatCode>0.0%</c:formatCode>
                <c:ptCount val="2"/>
                <c:pt idx="0">
                  <c:v>0.13537350266335199</c:v>
                </c:pt>
                <c:pt idx="1">
                  <c:v>0.13537350266335199</c:v>
                </c:pt>
              </c:numCache>
            </c:numRef>
          </c:yVal>
          <c:smooth val="0"/>
          <c:extLst>
            <c:ext xmlns:c16="http://schemas.microsoft.com/office/drawing/2014/chart" uri="{C3380CC4-5D6E-409C-BE32-E72D297353CC}">
              <c16:uniqueId val="{00000002-31F2-3746-8A22-44C57883B3AA}"/>
            </c:ext>
          </c:extLst>
        </c:ser>
        <c:ser>
          <c:idx val="6"/>
          <c:order val="6"/>
          <c:tx>
            <c:v>Meter B Bias</c:v>
          </c:tx>
          <c:spPr>
            <a:ln w="28575">
              <a:solidFill>
                <a:schemeClr val="accent2"/>
              </a:solidFill>
              <a:prstDash val="sysDot"/>
            </a:ln>
          </c:spPr>
          <c:xVal>
            <c:numRef>
              <c:f>BACompare6v3!$O$76:$O$77</c:f>
              <c:numCache>
                <c:formatCode>General</c:formatCode>
                <c:ptCount val="2"/>
                <c:pt idx="0">
                  <c:v>50</c:v>
                </c:pt>
                <c:pt idx="1">
                  <c:v>400</c:v>
                </c:pt>
              </c:numCache>
            </c:numRef>
          </c:xVal>
          <c:yVal>
            <c:numRef>
              <c:f>BACompare6v3!$P$76:$P$77</c:f>
              <c:numCache>
                <c:formatCode>0.0%</c:formatCode>
                <c:ptCount val="2"/>
                <c:pt idx="0">
                  <c:v>-9.1556283050980597E-2</c:v>
                </c:pt>
                <c:pt idx="1">
                  <c:v>-9.1556283050980597E-2</c:v>
                </c:pt>
              </c:numCache>
            </c:numRef>
          </c:yVal>
          <c:smooth val="0"/>
          <c:extLst>
            <c:ext xmlns:c16="http://schemas.microsoft.com/office/drawing/2014/chart" uri="{C3380CC4-5D6E-409C-BE32-E72D297353CC}">
              <c16:uniqueId val="{00000003-31F2-3746-8A22-44C57883B3AA}"/>
            </c:ext>
          </c:extLst>
        </c:ser>
        <c:ser>
          <c:idx val="7"/>
          <c:order val="7"/>
          <c:tx>
            <c:v>Meter B Lower Limit</c:v>
          </c:tx>
          <c:spPr>
            <a:ln w="28575">
              <a:solidFill>
                <a:schemeClr val="accent2"/>
              </a:solidFill>
              <a:prstDash val="sysDot"/>
            </a:ln>
          </c:spPr>
          <c:marker>
            <c:symbol val="none"/>
          </c:marker>
          <c:xVal>
            <c:numRef>
              <c:f>BACompare6v3!$O$76:$O$77</c:f>
              <c:numCache>
                <c:formatCode>General</c:formatCode>
                <c:ptCount val="2"/>
                <c:pt idx="0">
                  <c:v>50</c:v>
                </c:pt>
                <c:pt idx="1">
                  <c:v>400</c:v>
                </c:pt>
              </c:numCache>
            </c:numRef>
          </c:xVal>
          <c:yVal>
            <c:numRef>
              <c:f>BACompare6v3!$Q$76:$Q$77</c:f>
              <c:numCache>
                <c:formatCode>0.0%</c:formatCode>
                <c:ptCount val="2"/>
                <c:pt idx="0">
                  <c:v>-0.28233855521912699</c:v>
                </c:pt>
                <c:pt idx="1">
                  <c:v>-0.28233855521912699</c:v>
                </c:pt>
              </c:numCache>
            </c:numRef>
          </c:yVal>
          <c:smooth val="0"/>
          <c:extLst>
            <c:ext xmlns:c16="http://schemas.microsoft.com/office/drawing/2014/chart" uri="{C3380CC4-5D6E-409C-BE32-E72D297353CC}">
              <c16:uniqueId val="{00000004-31F2-3746-8A22-44C57883B3AA}"/>
            </c:ext>
          </c:extLst>
        </c:ser>
        <c:ser>
          <c:idx val="8"/>
          <c:order val="8"/>
          <c:tx>
            <c:v>Meter B Upper Limit</c:v>
          </c:tx>
          <c:spPr>
            <a:ln w="28575">
              <a:solidFill>
                <a:schemeClr val="accent2"/>
              </a:solidFill>
              <a:prstDash val="sysDot"/>
            </a:ln>
          </c:spPr>
          <c:marker>
            <c:symbol val="none"/>
          </c:marker>
          <c:xVal>
            <c:numRef>
              <c:f>BACompare6v3!$O$76:$O$77</c:f>
              <c:numCache>
                <c:formatCode>General</c:formatCode>
                <c:ptCount val="2"/>
                <c:pt idx="0">
                  <c:v>50</c:v>
                </c:pt>
                <c:pt idx="1">
                  <c:v>400</c:v>
                </c:pt>
              </c:numCache>
            </c:numRef>
          </c:xVal>
          <c:yVal>
            <c:numRef>
              <c:f>BACompare6v3!$R$76:$R$77</c:f>
              <c:numCache>
                <c:formatCode>0.0%</c:formatCode>
                <c:ptCount val="2"/>
                <c:pt idx="0">
                  <c:v>9.9225989117165403E-2</c:v>
                </c:pt>
                <c:pt idx="1">
                  <c:v>9.9225989117165403E-2</c:v>
                </c:pt>
              </c:numCache>
            </c:numRef>
          </c:yVal>
          <c:smooth val="0"/>
          <c:extLst>
            <c:ext xmlns:c16="http://schemas.microsoft.com/office/drawing/2014/chart" uri="{C3380CC4-5D6E-409C-BE32-E72D297353CC}">
              <c16:uniqueId val="{00000005-31F2-3746-8A22-44C57883B3AA}"/>
            </c:ext>
          </c:extLst>
        </c:ser>
        <c:dLbls>
          <c:showLegendKey val="0"/>
          <c:showVal val="0"/>
          <c:showCatName val="0"/>
          <c:showSerName val="0"/>
          <c:showPercent val="0"/>
          <c:showBubbleSize val="0"/>
        </c:dLbls>
        <c:axId val="-2138259512"/>
        <c:axId val="-2137385144"/>
      </c:scatterChart>
      <c:valAx>
        <c:axId val="-2138259512"/>
        <c:scaling>
          <c:orientation val="minMax"/>
          <c:max val="400"/>
          <c:min val="50"/>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Reference Value (mg/dL</a:t>
                </a:r>
              </a:p>
            </c:rich>
          </c:tx>
          <c:layout>
            <c:manualLayout>
              <c:xMode val="edge"/>
              <c:yMode val="edge"/>
              <c:x val="0.421000348750596"/>
              <c:y val="0.946494928929068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385144"/>
        <c:crossesAt val="-0.4"/>
        <c:crossBetween val="midCat"/>
      </c:valAx>
      <c:valAx>
        <c:axId val="-213738514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a:t>
                </a:r>
                <a:r>
                  <a:rPr lang="en-US" sz="1100" baseline="0"/>
                  <a:t> Difference, Meter - Reference</a:t>
                </a:r>
                <a:endParaRPr lang="en-US" sz="1100"/>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59512"/>
        <c:crosses val="autoZero"/>
        <c:crossBetween val="midCat"/>
      </c:valAx>
      <c:spPr>
        <a:noFill/>
        <a:ln>
          <a:solidFill>
            <a:schemeClr val="tx1"/>
          </a:solidFill>
        </a:ln>
        <a:effectLst/>
      </c:spPr>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74729331447296399"/>
          <c:y val="6.5447025983183693E-2"/>
          <c:w val="0.154391498866356"/>
          <c:h val="0.15762223120567501"/>
        </c:manualLayout>
      </c:layout>
      <c:overlay val="1"/>
      <c:txPr>
        <a:bodyPr/>
        <a:lstStyle/>
        <a:p>
          <a:pPr>
            <a:defRPr sz="12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0.50105</cdr:x>
      <cdr:y>0.23282</cdr:y>
    </cdr:from>
    <cdr:to>
      <cdr:x>0.67197</cdr:x>
      <cdr:y>0.30181</cdr:y>
    </cdr:to>
    <cdr:sp macro="" textlink="">
      <cdr:nvSpPr>
        <cdr:cNvPr id="2" name="TextBox 1"/>
        <cdr:cNvSpPr txBox="1"/>
      </cdr:nvSpPr>
      <cdr:spPr>
        <a:xfrm xmlns:a="http://schemas.openxmlformats.org/drawingml/2006/main">
          <a:off x="3271520" y="934720"/>
          <a:ext cx="1116036" cy="27699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200">
              <a:solidFill>
                <a:schemeClr val="tx2"/>
              </a:solidFill>
            </a:rPr>
            <a:t>Meter</a:t>
          </a:r>
          <a:r>
            <a:rPr lang="en-US" sz="1200" baseline="0">
              <a:solidFill>
                <a:schemeClr val="tx2"/>
              </a:solidFill>
            </a:rPr>
            <a:t> A 13.5%</a:t>
          </a:r>
          <a:endParaRPr lang="en-US" sz="1200">
            <a:solidFill>
              <a:schemeClr val="tx2"/>
            </a:solidFill>
          </a:endParaRPr>
        </a:p>
      </cdr:txBody>
    </cdr:sp>
  </cdr:relSizeAnchor>
  <cdr:relSizeAnchor xmlns:cdr="http://schemas.openxmlformats.org/drawingml/2006/chartDrawing">
    <cdr:from>
      <cdr:x>0.79203</cdr:x>
      <cdr:y>0.27584</cdr:y>
    </cdr:from>
    <cdr:to>
      <cdr:x>0.95019</cdr:x>
      <cdr:y>0.34483</cdr:y>
    </cdr:to>
    <cdr:sp macro="" textlink="">
      <cdr:nvSpPr>
        <cdr:cNvPr id="5" name="TextBox 4"/>
        <cdr:cNvSpPr txBox="1"/>
      </cdr:nvSpPr>
      <cdr:spPr>
        <a:xfrm xmlns:a="http://schemas.openxmlformats.org/drawingml/2006/main">
          <a:off x="5171440" y="1107440"/>
          <a:ext cx="1032705" cy="276999"/>
        </a:xfrm>
        <a:prstGeom xmlns:a="http://schemas.openxmlformats.org/drawingml/2006/main" prst="rect">
          <a:avLst/>
        </a:prstGeom>
        <a:solidFill xmlns:a="http://schemas.openxmlformats.org/drawingml/2006/main">
          <a:schemeClr val="bg1"/>
        </a:solidFill>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200">
              <a:solidFill>
                <a:schemeClr val="accent2"/>
              </a:solidFill>
            </a:rPr>
            <a:t>Meter B</a:t>
          </a:r>
          <a:r>
            <a:rPr lang="en-US" sz="1200" baseline="0">
              <a:solidFill>
                <a:schemeClr val="accent2"/>
              </a:solidFill>
            </a:rPr>
            <a:t> 9.9%</a:t>
          </a:r>
          <a:endParaRPr lang="en-US" sz="1200">
            <a:solidFill>
              <a:schemeClr val="accent2"/>
            </a:solidFill>
          </a:endParaRPr>
        </a:p>
      </cdr:txBody>
    </cdr:sp>
  </cdr:relSizeAnchor>
  <cdr:relSizeAnchor xmlns:cdr="http://schemas.openxmlformats.org/drawingml/2006/chartDrawing">
    <cdr:from>
      <cdr:x>0.80796</cdr:x>
      <cdr:y>0.64509</cdr:y>
    </cdr:from>
    <cdr:to>
      <cdr:x>0.9861</cdr:x>
      <cdr:y>0.71408</cdr:y>
    </cdr:to>
    <cdr:sp macro="" textlink="">
      <cdr:nvSpPr>
        <cdr:cNvPr id="3" name="TextBox 2"/>
        <cdr:cNvSpPr txBox="1"/>
      </cdr:nvSpPr>
      <cdr:spPr>
        <a:xfrm xmlns:a="http://schemas.openxmlformats.org/drawingml/2006/main">
          <a:off x="4429199" y="2177609"/>
          <a:ext cx="976556" cy="23288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200">
              <a:solidFill>
                <a:schemeClr val="tx2"/>
              </a:solidFill>
            </a:rPr>
            <a:t>Meter A </a:t>
          </a:r>
          <a:r>
            <a:rPr lang="en-US" sz="1200" baseline="0">
              <a:solidFill>
                <a:schemeClr val="tx2"/>
              </a:solidFill>
            </a:rPr>
            <a:t>-14.0%</a:t>
          </a:r>
          <a:endParaRPr lang="en-US" sz="1200">
            <a:solidFill>
              <a:schemeClr val="tx2"/>
            </a:solidFill>
          </a:endParaRPr>
        </a:p>
      </cdr:txBody>
    </cdr:sp>
  </cdr:relSizeAnchor>
  <cdr:relSizeAnchor xmlns:cdr="http://schemas.openxmlformats.org/drawingml/2006/chartDrawing">
    <cdr:from>
      <cdr:x>0.77646</cdr:x>
      <cdr:y>0.76932</cdr:y>
    </cdr:from>
    <cdr:to>
      <cdr:x>0.95379</cdr:x>
      <cdr:y>0.83831</cdr:y>
    </cdr:to>
    <cdr:sp macro="" textlink="">
      <cdr:nvSpPr>
        <cdr:cNvPr id="4" name="TextBox 3"/>
        <cdr:cNvSpPr txBox="1"/>
      </cdr:nvSpPr>
      <cdr:spPr>
        <a:xfrm xmlns:a="http://schemas.openxmlformats.org/drawingml/2006/main">
          <a:off x="5069840" y="3088640"/>
          <a:ext cx="1157814" cy="27699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200">
              <a:solidFill>
                <a:schemeClr val="accent2"/>
              </a:solidFill>
            </a:rPr>
            <a:t>Meter B </a:t>
          </a:r>
          <a:r>
            <a:rPr lang="en-US" sz="1200" baseline="0">
              <a:solidFill>
                <a:schemeClr val="accent2"/>
              </a:solidFill>
            </a:rPr>
            <a:t>-28.2%</a:t>
          </a:r>
          <a:endParaRPr lang="en-US" sz="1200">
            <a:solidFill>
              <a:schemeClr val="accent2"/>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C:\Users\jegadeepa\AppData\Roaming\Microsoft\Templates\WordTemplateforMcGrawHill.dot</Template>
  <TotalTime>1</TotalTime>
  <Pages>28</Pages>
  <Words>12451</Words>
  <Characters>70975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CUUS430-02_p10-38</vt:lpstr>
    </vt:vector>
  </TitlesOfParts>
  <Company/>
  <LinksUpToDate>false</LinksUpToDate>
  <CharactersWithSpaces>83260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CUUS430-02_p10-38</dc:title>
  <dc:subject/>
  <dc:creator>s113</dc:creator>
  <cp:keywords/>
  <dc:description/>
  <cp:lastModifiedBy>Newman, Thomas</cp:lastModifiedBy>
  <cp:revision>2</cp:revision>
  <cp:lastPrinted>2017-09-01T18:14:00Z</cp:lastPrinted>
  <dcterms:created xsi:type="dcterms:W3CDTF">2018-10-05T05:44:00Z</dcterms:created>
  <dcterms:modified xsi:type="dcterms:W3CDTF">2018-10-05T05:44:00Z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