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F5A08" w14:textId="77777777" w:rsidR="00B025AD" w:rsidRPr="00504F99" w:rsidRDefault="00DA3E0C" w:rsidP="008C26A8">
      <w:pPr>
        <w:pStyle w:val="Heading1"/>
        <w:ind w:left="513" w:hanging="513"/>
      </w:pPr>
      <w:r>
        <w:t>9</w:t>
      </w:r>
      <w:r w:rsidR="005A394C" w:rsidRPr="00504F99">
        <w:t xml:space="preserve"> </w:t>
      </w:r>
      <w:r w:rsidR="004040C1" w:rsidRPr="00504F99">
        <w:t>Alternatives to randomized trials for estimating treatment effects</w:t>
      </w:r>
    </w:p>
    <w:p w14:paraId="5BBD874C" w14:textId="77777777" w:rsidR="00B025AD" w:rsidRPr="00504F99" w:rsidRDefault="004040C1" w:rsidP="002E5ED6">
      <w:pPr>
        <w:pStyle w:val="Heading2"/>
      </w:pPr>
      <w:r w:rsidRPr="00504F99">
        <w:t>Introduction</w:t>
      </w:r>
    </w:p>
    <w:p w14:paraId="10FC56C3" w14:textId="77777777" w:rsidR="00B025AD" w:rsidRPr="00504F99" w:rsidRDefault="004040C1" w:rsidP="008D2113">
      <w:pPr>
        <w:pStyle w:val="NormalWeb"/>
      </w:pPr>
      <w:r w:rsidRPr="00504F99">
        <w:t xml:space="preserve">We said in Chapter </w:t>
      </w:r>
      <w:r w:rsidR="00DA3E0C">
        <w:t>8</w:t>
      </w:r>
      <w:r w:rsidRPr="00504F99">
        <w:t xml:space="preserve"> that randomized blinded trials are the best way </w:t>
      </w:r>
      <w:r w:rsidR="00FB7C04">
        <w:t>to</w:t>
      </w:r>
      <w:r w:rsidR="00FB7C04" w:rsidRPr="00504F99">
        <w:t xml:space="preserve"> </w:t>
      </w:r>
      <w:r w:rsidR="00FB7C04">
        <w:t>estimate</w:t>
      </w:r>
      <w:r w:rsidR="00FB7C04" w:rsidRPr="00504F99">
        <w:t xml:space="preserve"> </w:t>
      </w:r>
      <w:r w:rsidRPr="00504F99">
        <w:t xml:space="preserve">treatment effects because they minimize the </w:t>
      </w:r>
      <w:bookmarkStart w:id="0" w:name="_GoBack"/>
      <w:bookmarkEnd w:id="0"/>
      <w:r w:rsidRPr="00504F99">
        <w:t xml:space="preserve">potential for confounding, co-interventions, and bias, thus maximizing the strength of causal inference. However, sometimes observational studies can be attractive alternatives to randomized trials because they may be more feasible, ethical, or elegant. </w:t>
      </w:r>
      <w:r w:rsidR="008A1A42" w:rsidRPr="00504F99">
        <w:t>Of course,</w:t>
      </w:r>
      <w:r w:rsidRPr="00504F99">
        <w:t xml:space="preserve"> the issue of inferring causality from observational studies is a major topic in classical risk factor epidemiology. In this chapter, we focus on observational studies of treatment</w:t>
      </w:r>
      <w:r w:rsidR="005D6F63">
        <w:t>s</w:t>
      </w:r>
      <w:r w:rsidRPr="00504F99">
        <w:t xml:space="preserve"> rather than risk factors, describing methods of reducing or assessing confounding that are particularly applicable to such studies.</w:t>
      </w:r>
    </w:p>
    <w:p w14:paraId="3B993CC0" w14:textId="77777777" w:rsidR="00B025AD" w:rsidRPr="00504F99" w:rsidRDefault="004040C1" w:rsidP="002E5ED6">
      <w:pPr>
        <w:pStyle w:val="Heading2"/>
      </w:pPr>
      <w:r w:rsidRPr="00504F99">
        <w:t>Confounding by indication</w:t>
      </w:r>
    </w:p>
    <w:p w14:paraId="00BC574A" w14:textId="77777777" w:rsidR="00B025AD" w:rsidRPr="00504F99" w:rsidRDefault="004040C1" w:rsidP="008D2113">
      <w:pPr>
        <w:pStyle w:val="NormalWeb"/>
      </w:pPr>
      <w:r w:rsidRPr="00504F99">
        <w:t xml:space="preserve">We discussed in Chapter </w:t>
      </w:r>
      <w:r w:rsidR="00DA3E0C">
        <w:t>8</w:t>
      </w:r>
      <w:r w:rsidRPr="00504F99">
        <w:t xml:space="preserve"> that confounding refers to the distortion of the effect of variable A on the outcome C by a third variable B, which is </w:t>
      </w:r>
      <w:r w:rsidR="00DA3E0C">
        <w:t xml:space="preserve">a cause of </w:t>
      </w:r>
      <w:r w:rsidR="005D6F63">
        <w:t xml:space="preserve">(or shares a common cause with) </w:t>
      </w:r>
      <w:r w:rsidR="00DA3E0C">
        <w:t xml:space="preserve">both A and </w:t>
      </w:r>
      <w:r w:rsidRPr="00504F99">
        <w:t xml:space="preserve">C. </w:t>
      </w:r>
      <w:r w:rsidR="00DA3E0C">
        <w:t xml:space="preserve"> </w:t>
      </w:r>
      <w:r w:rsidRPr="00504F99">
        <w:t>We focus on treatments that are supposed to be bene</w:t>
      </w:r>
      <w:r w:rsidR="00AD55CF" w:rsidRPr="00504F99">
        <w:t>fi</w:t>
      </w:r>
      <w:r w:rsidRPr="00504F99">
        <w:t xml:space="preserve">cial, that is, to have an RR &lt; 1 for a bad outcome. One type of confounding makes treatments appear better than they really are – for example, </w:t>
      </w:r>
      <w:r w:rsidR="00AD55CF" w:rsidRPr="00504F99">
        <w:t>fi</w:t>
      </w:r>
      <w:r w:rsidRPr="00504F99">
        <w:t>nding a bene</w:t>
      </w:r>
      <w:r w:rsidR="00AD55CF" w:rsidRPr="00504F99">
        <w:t>fi</w:t>
      </w:r>
      <w:r w:rsidRPr="00504F99">
        <w:t>cial treatment effect when, in truth, the treatment either has no effect or causes harm. In this situation, a confounder associate</w:t>
      </w:r>
      <w:r w:rsidR="00DB2A66">
        <w:t>d with receiving the treatment</w:t>
      </w:r>
      <w:r w:rsidRPr="00504F99">
        <w:t xml:space="preserve"> </w:t>
      </w:r>
      <w:r w:rsidRPr="0048428E">
        <w:rPr>
          <w:i/>
        </w:rPr>
        <w:t>red</w:t>
      </w:r>
      <w:r w:rsidR="005D6F63" w:rsidRPr="0048428E">
        <w:rPr>
          <w:i/>
        </w:rPr>
        <w:t>uces</w:t>
      </w:r>
      <w:r w:rsidR="005D6F63">
        <w:t xml:space="preserve"> the risk of a bad outcome</w:t>
      </w:r>
      <w:r w:rsidRPr="00504F99">
        <w:t>.</w:t>
      </w:r>
    </w:p>
    <w:p w14:paraId="546D5493" w14:textId="16B36D64" w:rsidR="00B025AD" w:rsidRPr="00504F99" w:rsidRDefault="004040C1" w:rsidP="008D2113">
      <w:pPr>
        <w:pStyle w:val="NormalWeb"/>
      </w:pPr>
      <w:r w:rsidRPr="00504F99">
        <w:t>An example is use of vitamin E to prevent cardiovascular disease. Multiple observational studies suggested a protective effect</w:t>
      </w:r>
      <w:r w:rsidR="00D93B09">
        <w:t xml:space="preserve"> </w:t>
      </w:r>
      <w:r w:rsidR="001033CA">
        <w:fldChar w:fldCharType="begin"/>
      </w:r>
      <w:r w:rsidR="001033CA">
        <w:instrText xml:space="preserve"> ADDIN EN.CITE &lt;EndNote&gt;&lt;Cite&gt;&lt;Author&gt;Ye&lt;/Author&gt;&lt;Year&gt;2008&lt;/Year&gt;&lt;RecNum&gt;4194&lt;/RecNum&gt;&lt;DisplayText&gt;[1]&lt;/DisplayText&gt;&lt;record&gt;&lt;rec-number&gt;4194&lt;/rec-number&gt;&lt;foreign-keys&gt;&lt;key app="EN" db-id="zvsswrav8t2apbep2dbpv25ufvpprfe9rpex" timestamp="1519336996"&gt;4194&lt;/key&gt;&lt;/foreign-keys&gt;&lt;ref-type name="Journal Article"&gt;17&lt;/ref-type&gt;&lt;contributors&gt;&lt;authors&gt;&lt;author&gt;Ye, Z.&lt;/author&gt;&lt;author&gt;Song, H.&lt;/author&gt;&lt;/authors&gt;&lt;/contributors&gt;&lt;auth-address&gt;Department of Public Health and Primary Care, University of Cambridge, Cambridge, UK. zy215@medschl.cam.ac.uk&lt;/auth-address&gt;&lt;titles&gt;&lt;title&gt;Antioxidant vitamins intake and the risk of coronary heart disease: meta-analysis of cohort studies&lt;/title&gt;&lt;secondary-title&gt;Eur J Cardiovasc Prev Rehabil&lt;/secondary-title&gt;&lt;/titles&gt;&lt;periodical&gt;&lt;full-title&gt;Eur J Cardiovasc Prev Rehabil&lt;/full-title&gt;&lt;/periodical&gt;&lt;pages&gt;26-34&lt;/pages&gt;&lt;volume&gt;15&lt;/volume&gt;&lt;number&gt;1&lt;/number&gt;&lt;keywords&gt;&lt;keyword&gt;Antioxidants/*administration &amp;amp; dosage&lt;/keyword&gt;&lt;keyword&gt;Ascorbic Acid/administration &amp;amp; dosage&lt;/keyword&gt;&lt;keyword&gt;Cohort Studies&lt;/keyword&gt;&lt;keyword&gt;Coronary Disease/epidemiology/*prevention &amp;amp; control&lt;/keyword&gt;&lt;keyword&gt;Humans&lt;/keyword&gt;&lt;keyword&gt;Incidence&lt;/keyword&gt;&lt;keyword&gt;Vitamin E/administration &amp;amp; dosage&lt;/keyword&gt;&lt;keyword&gt;beta Carotene/administration &amp;amp; dosage&lt;/keyword&gt;&lt;/keywords&gt;&lt;dates&gt;&lt;year&gt;2008&lt;/year&gt;&lt;pub-dates&gt;&lt;date&gt;Feb&lt;/date&gt;&lt;/pub-dates&gt;&lt;/dates&gt;&lt;isbn&gt;1741-8267 (Print)&amp;#xD;1741-8267 (Linking)&lt;/isbn&gt;&lt;accession-num&gt;18277182&lt;/accession-num&gt;&lt;urls&gt;&lt;related-urls&gt;&lt;url&gt;https://www.ncbi.nlm.nih.gov/pubmed/18277182&lt;/url&gt;&lt;/related-urls&gt;&lt;/urls&gt;&lt;electronic-resource-num&gt;10.1097/HJR.0b013e3282f11f95&lt;/electronic-resource-num&gt;&lt;/record&gt;&lt;/Cite&gt;&lt;/EndNote&gt;</w:instrText>
      </w:r>
      <w:r w:rsidR="001033CA">
        <w:fldChar w:fldCharType="separate"/>
      </w:r>
      <w:r w:rsidR="001033CA">
        <w:rPr>
          <w:noProof/>
        </w:rPr>
        <w:t>[1]</w:t>
      </w:r>
      <w:r w:rsidR="001033CA">
        <w:fldChar w:fldCharType="end"/>
      </w:r>
      <w:r w:rsidR="00D93B09" w:rsidRPr="00504F99">
        <w:t>,</w:t>
      </w:r>
      <w:r w:rsidRPr="00504F99">
        <w:t xml:space="preserve"> but randomized trials have found no bene</w:t>
      </w:r>
      <w:r w:rsidR="00AD55CF" w:rsidRPr="00504F99">
        <w:t>fi</w:t>
      </w:r>
      <w:r w:rsidRPr="00504F99">
        <w:t>t</w:t>
      </w:r>
      <w:r w:rsidR="00D93B09">
        <w:t xml:space="preserve"> </w:t>
      </w:r>
      <w:r w:rsidR="001033CA">
        <w:fldChar w:fldCharType="begin"/>
      </w:r>
      <w:r w:rsidR="001033CA">
        <w:instrText xml:space="preserve"> ADDIN EN.CITE &lt;EndNote&gt;&lt;Cite&gt;&lt;Author&gt;Curtis&lt;/Author&gt;&lt;Year&gt;2014&lt;/Year&gt;&lt;RecNum&gt;4146&lt;/RecNum&gt;&lt;DisplayText&gt;[2]&lt;/DisplayText&gt;&lt;record&gt;&lt;rec-number&gt;4146&lt;/rec-number&gt;&lt;foreign-keys&gt;&lt;key app="EN" db-id="zvsswrav8t2apbep2dbpv25ufvpprfe9rpex" timestamp="1519336996"&gt;4146&lt;/key&gt;&lt;/foreign-keys&gt;&lt;ref-type name="Journal Article"&gt;17&lt;/ref-type&gt;&lt;contributors&gt;&lt;authors&gt;&lt;author&gt;Curtis, A. J.&lt;/author&gt;&lt;author&gt;Bullen, M.&lt;/author&gt;&lt;author&gt;Piccenna, L.&lt;/author&gt;&lt;author&gt;McNeil, J. J.&lt;/author&gt;&lt;/authors&gt;&lt;/contributors&gt;&lt;auth-address&gt;Department of Epidemiology and Preventive Medicine, School of Public Health and Preventive Medicine, Monash University, Level 6, Alfred Centre, 99 Commercial Road, Melbourne, 3004, Australia, andrea.curtis@monash.edu.&lt;/auth-address&gt;&lt;titles&gt;&lt;title&gt;Vitamin E supplementation and mortality in healthy people: a meta-analysis of randomised controlled trials&lt;/title&gt;&lt;secondary-title&gt;Cardiovasc Drugs Ther&lt;/secondary-title&gt;&lt;/titles&gt;&lt;periodical&gt;&lt;full-title&gt;Cardiovasc Drugs Ther&lt;/full-title&gt;&lt;/periodical&gt;&lt;pages&gt;563-73&lt;/pages&gt;&lt;volume&gt;28&lt;/volume&gt;&lt;number&gt;6&lt;/number&gt;&lt;keywords&gt;&lt;keyword&gt;Aged&lt;/keyword&gt;&lt;keyword&gt;*Dietary Supplements&lt;/keyword&gt;&lt;keyword&gt;Female&lt;/keyword&gt;&lt;keyword&gt;Healthy Volunteers&lt;/keyword&gt;&lt;keyword&gt;Humans&lt;/keyword&gt;&lt;keyword&gt;Male&lt;/keyword&gt;&lt;keyword&gt;Middle Aged&lt;/keyword&gt;&lt;keyword&gt;Mortality&lt;/keyword&gt;&lt;keyword&gt;Randomized Controlled Trials as Topic&lt;/keyword&gt;&lt;keyword&gt;Vitamin E/*administration &amp;amp; dosage&lt;/keyword&gt;&lt;/keywords&gt;&lt;dates&gt;&lt;year&gt;2014&lt;/year&gt;&lt;pub-dates&gt;&lt;date&gt;Dec&lt;/date&gt;&lt;/pub-dates&gt;&lt;/dates&gt;&lt;isbn&gt;1573-7241 (Electronic)&amp;#xD;0920-3206 (Linking)&lt;/isbn&gt;&lt;accession-num&gt;25398301&lt;/accession-num&gt;&lt;urls&gt;&lt;related-urls&gt;&lt;url&gt;https://www.ncbi.nlm.nih.gov/pubmed/25398301&lt;/url&gt;&lt;/related-urls&gt;&lt;/urls&gt;&lt;electronic-resource-num&gt;10.1007/s10557-014-6560-7&lt;/electronic-resource-num&gt;&lt;/record&gt;&lt;/Cite&gt;&lt;/EndNote&gt;</w:instrText>
      </w:r>
      <w:r w:rsidR="001033CA">
        <w:fldChar w:fldCharType="separate"/>
      </w:r>
      <w:r w:rsidR="001033CA">
        <w:rPr>
          <w:noProof/>
        </w:rPr>
        <w:t>[2]</w:t>
      </w:r>
      <w:r w:rsidR="001033CA">
        <w:fldChar w:fldCharType="end"/>
      </w:r>
      <w:r w:rsidRPr="00504F99">
        <w:t xml:space="preserve"> suggesting that </w:t>
      </w:r>
      <w:r w:rsidR="00843880">
        <w:t>favorable health habits</w:t>
      </w:r>
      <w:r w:rsidR="00D93B09">
        <w:t xml:space="preserve"> of people who t</w:t>
      </w:r>
      <w:r w:rsidR="00852EF8">
        <w:t>ook</w:t>
      </w:r>
      <w:r w:rsidR="00D93B09">
        <w:t xml:space="preserve"> Vitamin E</w:t>
      </w:r>
      <w:r w:rsidRPr="00504F99">
        <w:t xml:space="preserve"> (e.g., better diet, exercise, or health awareness) </w:t>
      </w:r>
      <w:r w:rsidR="00852EF8">
        <w:t>we</w:t>
      </w:r>
      <w:r w:rsidR="00852EF8" w:rsidRPr="00504F99">
        <w:t xml:space="preserve">re </w:t>
      </w:r>
      <w:r w:rsidRPr="00504F99">
        <w:t>the true cause of the</w:t>
      </w:r>
      <w:r w:rsidR="00852EF8">
        <w:t>ir</w:t>
      </w:r>
      <w:r w:rsidRPr="00504F99">
        <w:t xml:space="preserve"> lower risk of cardiovascular disease (</w:t>
      </w:r>
      <w:r w:rsidR="00DA3E0C">
        <w:t>Figure 9.</w:t>
      </w:r>
      <w:r w:rsidR="005D6F63">
        <w:t>1</w:t>
      </w:r>
      <w:r w:rsidRPr="00504F99">
        <w:t>).</w:t>
      </w:r>
      <w:r w:rsidR="00843880">
        <w:rPr>
          <w:rStyle w:val="FootnoteReference"/>
        </w:rPr>
        <w:footnoteReference w:id="1"/>
      </w:r>
    </w:p>
    <w:p w14:paraId="01526911" w14:textId="77777777" w:rsidR="00B025AD" w:rsidRPr="00504F99" w:rsidRDefault="004040C1" w:rsidP="008D2113">
      <w:pPr>
        <w:pStyle w:val="NormalWeb"/>
      </w:pPr>
      <w:r w:rsidRPr="00504F99">
        <w:t xml:space="preserve">Alternatively, when a confounder associated with receiving the treatment </w:t>
      </w:r>
      <w:r w:rsidRPr="0048428E">
        <w:rPr>
          <w:i/>
        </w:rPr>
        <w:t>increases</w:t>
      </w:r>
      <w:r w:rsidRPr="00504F99">
        <w:t xml:space="preserve"> the risk of a bad outcome, it can mask or reduce the apparent bene</w:t>
      </w:r>
      <w:r w:rsidR="00AD55CF" w:rsidRPr="00504F99">
        <w:t>fi</w:t>
      </w:r>
      <w:r w:rsidRPr="00504F99">
        <w:t>t of the</w:t>
      </w:r>
      <w:r w:rsidR="004516D7" w:rsidRPr="00504F99">
        <w:t xml:space="preserve"> </w:t>
      </w:r>
      <w:r w:rsidRPr="00504F99">
        <w:t>treatment</w:t>
      </w:r>
      <w:r w:rsidR="00FE3785">
        <w:t>.</w:t>
      </w:r>
      <w:r w:rsidR="008B43D7" w:rsidRPr="00504F99">
        <w:rPr>
          <w:rStyle w:val="FootnoteReference"/>
        </w:rPr>
        <w:footnoteReference w:id="2"/>
      </w:r>
      <w:r w:rsidR="00FE3785">
        <w:t xml:space="preserve">  </w:t>
      </w:r>
      <w:r w:rsidRPr="00504F99">
        <w:t xml:space="preserve">For example, if only the sickest people get the treatment in question, the treatment may look harmful even when it actually helps. This effect is called </w:t>
      </w:r>
      <w:r w:rsidR="00FE3785" w:rsidRPr="00FE3785">
        <w:rPr>
          <w:color w:val="008000"/>
        </w:rPr>
        <w:t>confounding by indication</w:t>
      </w:r>
      <w:r w:rsidRPr="00504F99">
        <w:t xml:space="preserve"> because those in whom the treatment is most indicated are those at highest risk of the bad outcome </w:t>
      </w:r>
      <w:r w:rsidR="00521296">
        <w:t xml:space="preserve">that </w:t>
      </w:r>
      <w:r w:rsidRPr="00504F99">
        <w:t>the treatment is designed to prevent.</w:t>
      </w:r>
    </w:p>
    <w:p w14:paraId="51957210" w14:textId="77777777" w:rsidR="009215A7" w:rsidRPr="00504F99" w:rsidRDefault="00EA0163" w:rsidP="009215A7">
      <w:pPr>
        <w:pStyle w:val="NormalWeb"/>
      </w:pPr>
      <w:r>
        <w:rPr>
          <w:noProof/>
        </w:rPr>
        <w:lastRenderedPageBreak/>
        <w:drawing>
          <wp:inline distT="0" distB="0" distL="0" distR="0" wp14:anchorId="16A677CD" wp14:editId="0B4EC1B4">
            <wp:extent cx="6206591" cy="3677261"/>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founding_20181024_a.jpg"/>
                    <pic:cNvPicPr/>
                  </pic:nvPicPr>
                  <pic:blipFill>
                    <a:blip r:embed="rId6"/>
                    <a:stretch>
                      <a:fillRect/>
                    </a:stretch>
                  </pic:blipFill>
                  <pic:spPr>
                    <a:xfrm>
                      <a:off x="0" y="0"/>
                      <a:ext cx="6220867" cy="3685719"/>
                    </a:xfrm>
                    <a:prstGeom prst="rect">
                      <a:avLst/>
                    </a:prstGeom>
                  </pic:spPr>
                </pic:pic>
              </a:graphicData>
            </a:graphic>
          </wp:inline>
        </w:drawing>
      </w:r>
      <w:r w:rsidR="009215A7">
        <w:t>Figure 9.</w:t>
      </w:r>
      <w:r w:rsidR="005D6F63">
        <w:t>1</w:t>
      </w:r>
      <w:r w:rsidR="009215A7" w:rsidRPr="00504F99">
        <w:t xml:space="preserve"> Confounding: Vitamin E seemed to reduce the risk of cardiovascular disease when presumably it is only associated with </w:t>
      </w:r>
      <w:r w:rsidR="009215A7">
        <w:t>favorable health habits</w:t>
      </w:r>
      <w:r w:rsidR="009215A7" w:rsidRPr="00504F99">
        <w:t xml:space="preserve"> that reduce risk.</w:t>
      </w:r>
    </w:p>
    <w:p w14:paraId="6D45B530" w14:textId="2E11233A" w:rsidR="00991FFB" w:rsidRDefault="000D7F17" w:rsidP="00C3038B">
      <w:pPr>
        <w:pStyle w:val="NormalWeb"/>
      </w:pPr>
      <w:r>
        <w:t xml:space="preserve">An example of confounding by indication is diuretic treatment of hypertension in diabetics. </w:t>
      </w:r>
      <w:r w:rsidR="00AF762C">
        <w:t>A</w:t>
      </w:r>
      <w:r w:rsidR="00443E81">
        <w:t xml:space="preserve"> </w:t>
      </w:r>
      <w:r w:rsidR="00AF762C">
        <w:t>cohort study</w:t>
      </w:r>
      <w:r w:rsidR="001033CA">
        <w:fldChar w:fldCharType="begin"/>
      </w:r>
      <w:r w:rsidR="001033CA">
        <w:instrText xml:space="preserve"> ADDIN EN.CITE &lt;EndNote&gt;&lt;Cite&gt;&lt;Author&gt;Warram&lt;/Author&gt;&lt;Year&gt;1991&lt;/Year&gt;&lt;RecNum&gt;2172&lt;/RecNum&gt;&lt;DisplayText&gt;[3]&lt;/DisplayText&gt;&lt;record&gt;&lt;rec-number&gt;2172&lt;/rec-number&gt;&lt;foreign-keys&gt;&lt;key app="EN" db-id="zvsswrav8t2apbep2dbpv25ufvpprfe9rpex" timestamp="0"&gt;2172&lt;/key&gt;&lt;/foreign-keys&gt;&lt;ref-type name="Journal Article"&gt;17&lt;/ref-type&gt;&lt;contributors&gt;&lt;authors&gt;&lt;author&gt;Warram, J. H.&lt;/author&gt;&lt;author&gt;Laffel, L. M.&lt;/author&gt;&lt;author&gt;Valsania, P.&lt;/author&gt;&lt;author&gt;Christlieb, A. R.&lt;/author&gt;&lt;author&gt;Krolewski, A. S.&lt;/author&gt;&lt;/authors&gt;&lt;/contributors&gt;&lt;auth-address&gt;Section on Epidemiology and Genetics, Joslin Diabetes Center, Boston, MA 02215.&lt;/auth-address&gt;&lt;titles&gt;&lt;title&gt;Excess mortality associated with diuretic therapy in diabetes mellitus&lt;/title&gt;&lt;secondary-title&gt;Arch Intern Med&lt;/secondary-title&gt;&lt;/titles&gt;&lt;periodical&gt;&lt;full-title&gt;Arch Intern Med&lt;/full-title&gt;&lt;/periodical&gt;&lt;pages&gt;1350-6&lt;/pages&gt;&lt;volume&gt;151&lt;/volume&gt;&lt;number&gt;7&lt;/number&gt;&lt;keywords&gt;&lt;keyword&gt;Adult&lt;/keyword&gt;&lt;keyword&gt;Age Factors&lt;/keyword&gt;&lt;keyword&gt;Aged&lt;/keyword&gt;&lt;keyword&gt;Cardiovascular Diseases/etiology/mortality&lt;/keyword&gt;&lt;keyword&gt;Cohort Studies&lt;/keyword&gt;&lt;keyword&gt;Diabetes Mellitus/complications/*mortality&lt;/keyword&gt;&lt;keyword&gt;Diabetic Retinopathy/prevention &amp;amp; control&lt;/keyword&gt;&lt;keyword&gt;Diuretics/*adverse effects&lt;/keyword&gt;&lt;keyword&gt;Female&lt;/keyword&gt;&lt;keyword&gt;Follow-Up Studies&lt;/keyword&gt;&lt;keyword&gt;Human&lt;/keyword&gt;&lt;keyword&gt;Hypertension/complications/*drug therapy&lt;/keyword&gt;&lt;keyword&gt;Male&lt;/keyword&gt;&lt;keyword&gt;Middle Age&lt;/keyword&gt;&lt;keyword&gt;Monitoring, Physiologic&lt;/keyword&gt;&lt;keyword&gt;Proteinuria/etiology&lt;/keyword&gt;&lt;keyword&gt;Risk Factors&lt;/keyword&gt;&lt;keyword&gt;Support, Non-U.S. Gov&amp;apos;t&lt;/keyword&gt;&lt;keyword&gt;Support, U.S. Gov&amp;apos;t, P.H.S.&lt;/keyword&gt;&lt;keyword&gt;Survival Rate&lt;/keyword&gt;&lt;/keywords&gt;&lt;dates&gt;&lt;year&gt;1991&lt;/year&gt;&lt;pub-dates&gt;&lt;date&gt;Jul&lt;/date&gt;&lt;/pub-dates&gt;&lt;/dates&gt;&lt;accession-num&gt;1823530&lt;/accession-num&gt;&lt;urls&gt;&lt;related-urls&gt;&lt;url&gt;http://www.ncbi.nlm.nih.gov/entrez/query.fcgi?cmd=Retrieve&amp;amp;db=PubMed&amp;amp;dopt=Citation&amp;amp;list_uids=1823530&lt;/url&gt;&lt;/related-urls&gt;&lt;/urls&gt;&lt;/record&gt;&lt;/Cite&gt;&lt;/EndNote&gt;</w:instrText>
      </w:r>
      <w:r w:rsidR="001033CA">
        <w:fldChar w:fldCharType="separate"/>
      </w:r>
      <w:r w:rsidR="001033CA">
        <w:rPr>
          <w:noProof/>
        </w:rPr>
        <w:t>[3]</w:t>
      </w:r>
      <w:r w:rsidR="001033CA">
        <w:fldChar w:fldCharType="end"/>
      </w:r>
      <w:r w:rsidR="00AF762C">
        <w:t xml:space="preserve"> found that diuretics appeared to increase the risk of cardiovascular mortality in hypertensive diabetics compared with leaving the hypertension untreated.  </w:t>
      </w:r>
      <w:r w:rsidR="00443E81">
        <w:t xml:space="preserve">However, </w:t>
      </w:r>
      <w:r w:rsidR="003C0F1F">
        <w:t xml:space="preserve">subsequent </w:t>
      </w:r>
      <w:r w:rsidR="00443E81">
        <w:t xml:space="preserve">randomized trials demonstrated that </w:t>
      </w:r>
      <w:r>
        <w:t>treating hypertensive diabetics with diuretics reduces their risk of cardiovascular mortality.</w:t>
      </w:r>
      <w:r w:rsidR="001033CA">
        <w:fldChar w:fldCharType="begin"/>
      </w:r>
      <w:r w:rsidR="001033CA">
        <w:instrText xml:space="preserve"> ADDIN EN.CITE &lt;EndNote&gt;&lt;Cite&gt;&lt;Author&gt;Turnbull&lt;/Author&gt;&lt;Year&gt;2005&lt;/Year&gt;&lt;RecNum&gt;1323&lt;/RecNum&gt;&lt;DisplayText&gt;[4]&lt;/DisplayText&gt;&lt;record&gt;&lt;rec-number&gt;1323&lt;/rec-number&gt;&lt;foreign-keys&gt;&lt;key app="EN" db-id="zvsswrav8t2apbep2dbpv25ufvpprfe9rpex" timestamp="0"&gt;1323&lt;/key&gt;&lt;/foreign-keys&gt;&lt;ref-type name="Journal Article"&gt;17&lt;/ref-type&gt;&lt;contributors&gt;&lt;authors&gt;&lt;author&gt;Turnbull, F.&lt;/author&gt;&lt;author&gt;Neal, B.&lt;/author&gt;&lt;author&gt;Algert, C.&lt;/author&gt;&lt;author&gt;Chalmers, J.&lt;/author&gt;&lt;author&gt;Chapman, N.&lt;/author&gt;&lt;author&gt;Cutler, J.&lt;/author&gt;&lt;author&gt;Woodward, M.&lt;/author&gt;&lt;author&gt;MacMahon, S.&lt;/author&gt;&lt;/authors&gt;&lt;/contributors&gt;&lt;auth-address&gt;The George Institute for International Health, University of Sydney, New South Wales, Australia. fturnbull@thegeorgeinstitute.org&lt;/auth-address&gt;&lt;titles&gt;&lt;title&gt;Effects of different blood pressure-lowering regimens on major cardiovascular events in individuals with and without diabetes mellitus: results of prospectively designed overviews of randomized trials&lt;/title&gt;&lt;secondary-title&gt;Arch Intern Med&lt;/secondary-title&gt;&lt;/titles&gt;&lt;periodical&gt;&lt;full-title&gt;Arch Intern Med&lt;/full-title&gt;&lt;/periodical&gt;&lt;pages&gt;1410-9&lt;/pages&gt;&lt;volume&gt;165&lt;/volume&gt;&lt;number&gt;12&lt;/number&gt;&lt;keywords&gt;&lt;keyword&gt;Aged&lt;/keyword&gt;&lt;keyword&gt;Antihypertensive Agents/*therapeutic use&lt;/keyword&gt;&lt;keyword&gt;Cardiovascular Diseases/etiology/*prevention &amp;amp; control&lt;/keyword&gt;&lt;keyword&gt;Diabetes Mellitus, Type 2/*complications&lt;/keyword&gt;&lt;keyword&gt;Humans&lt;/keyword&gt;&lt;keyword&gt;Middle Aged&lt;/keyword&gt;&lt;keyword&gt;Prospective Studies&lt;/keyword&gt;&lt;keyword&gt;Randomized Controlled Trials as Topic&lt;/keyword&gt;&lt;/keywords&gt;&lt;dates&gt;&lt;year&gt;2005&lt;/year&gt;&lt;pub-dates&gt;&lt;date&gt;Jun 27&lt;/date&gt;&lt;/pub-dates&gt;&lt;/dates&gt;&lt;accession-num&gt;15983291&lt;/accession-num&gt;&lt;urls&gt;&lt;related-urls&gt;&lt;url&gt;http://www.ncbi.nlm.nih.gov/entrez/query.fcgi?cmd=Retrieve&amp;amp;db=PubMed&amp;amp;dopt=Citation&amp;amp;list_uids=15983291 &lt;/url&gt;&lt;/related-urls&gt;&lt;/urls&gt;&lt;/record&gt;&lt;/Cite&gt;&lt;/EndNote&gt;</w:instrText>
      </w:r>
      <w:r w:rsidR="001033CA">
        <w:fldChar w:fldCharType="separate"/>
      </w:r>
      <w:r w:rsidR="001033CA">
        <w:rPr>
          <w:noProof/>
        </w:rPr>
        <w:t>[4]</w:t>
      </w:r>
      <w:r w:rsidR="001033CA">
        <w:fldChar w:fldCharType="end"/>
      </w:r>
      <w:r>
        <w:t xml:space="preserve"> The confounder was the severity of cardiovascular disease. The patients with more severe disease were more likely to be treated with diuretics, and they were also more likely to die of their cardiovascular disease</w:t>
      </w:r>
      <w:r w:rsidR="00C3038B">
        <w:t xml:space="preserve"> </w:t>
      </w:r>
      <w:r w:rsidR="00C3038B" w:rsidRPr="00504F99">
        <w:t>(</w:t>
      </w:r>
      <w:r w:rsidR="00C3038B">
        <w:t>Figure 9.</w:t>
      </w:r>
      <w:r w:rsidR="005D6F63">
        <w:t>2</w:t>
      </w:r>
      <w:r w:rsidR="00C3038B" w:rsidRPr="00504F99">
        <w:t>).</w:t>
      </w:r>
      <w:r w:rsidR="00991FFB">
        <w:t xml:space="preserve"> </w:t>
      </w:r>
    </w:p>
    <w:p w14:paraId="2644F4E4" w14:textId="77777777" w:rsidR="007440B6" w:rsidRDefault="00EA0163" w:rsidP="00C3038B">
      <w:pPr>
        <w:pStyle w:val="NormalWeb"/>
      </w:pPr>
      <w:r>
        <w:rPr>
          <w:noProof/>
        </w:rPr>
        <w:lastRenderedPageBreak/>
        <w:drawing>
          <wp:inline distT="0" distB="0" distL="0" distR="0" wp14:anchorId="6769BBC7" wp14:editId="5E55B3A2">
            <wp:extent cx="6174223" cy="36580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ounding_20181024_b.jpg"/>
                    <pic:cNvPicPr/>
                  </pic:nvPicPr>
                  <pic:blipFill>
                    <a:blip r:embed="rId7"/>
                    <a:stretch>
                      <a:fillRect/>
                    </a:stretch>
                  </pic:blipFill>
                  <pic:spPr>
                    <a:xfrm>
                      <a:off x="0" y="0"/>
                      <a:ext cx="6205528" cy="3676631"/>
                    </a:xfrm>
                    <a:prstGeom prst="rect">
                      <a:avLst/>
                    </a:prstGeom>
                  </pic:spPr>
                </pic:pic>
              </a:graphicData>
            </a:graphic>
          </wp:inline>
        </w:drawing>
      </w:r>
    </w:p>
    <w:p w14:paraId="3E738B72" w14:textId="77777777" w:rsidR="00C3038B" w:rsidRPr="00504F99" w:rsidRDefault="00C3038B" w:rsidP="00C3038B">
      <w:pPr>
        <w:pStyle w:val="NormalWeb"/>
      </w:pPr>
      <w:r>
        <w:t>Figure 9.</w:t>
      </w:r>
      <w:r w:rsidR="005D6F63">
        <w:t>2</w:t>
      </w:r>
      <w:r w:rsidRPr="00504F99">
        <w:t xml:space="preserve"> Confounding by indication. </w:t>
      </w:r>
      <w:r w:rsidR="00EA0163">
        <w:t>Diuretic treatment among hypertensive diabetics was associated with cardiovascular mortality because the treated subjects had more severe cardiovascular disease.</w:t>
      </w:r>
    </w:p>
    <w:p w14:paraId="71B96C3A" w14:textId="77777777" w:rsidR="00D768DF" w:rsidRDefault="00D768DF" w:rsidP="008D2113">
      <w:pPr>
        <w:pStyle w:val="NormalWeb"/>
      </w:pPr>
      <w:r>
        <w:t xml:space="preserve">If </w:t>
      </w:r>
      <w:r w:rsidR="002C6B57">
        <w:t>all</w:t>
      </w:r>
      <w:r w:rsidR="007742C3">
        <w:t xml:space="preserve"> the</w:t>
      </w:r>
      <w:r>
        <w:t xml:space="preserve"> important confounders can be measured, a multivariable analysis may reduce or </w:t>
      </w:r>
      <w:r w:rsidR="00C164D3">
        <w:t xml:space="preserve">adequately adjust for </w:t>
      </w:r>
      <w:r>
        <w:t xml:space="preserve">confounding, allowing </w:t>
      </w:r>
      <w:r w:rsidR="0052793F">
        <w:t xml:space="preserve">us </w:t>
      </w:r>
      <w:r>
        <w:t>to estimate treatment effects with an observational study.  In the remainder of this chapter we</w:t>
      </w:r>
      <w:r w:rsidR="0052793F">
        <w:t xml:space="preserve"> will</w:t>
      </w:r>
      <w:r>
        <w:t xml:space="preserve"> review some other approaches.</w:t>
      </w:r>
    </w:p>
    <w:p w14:paraId="7179E8C6" w14:textId="77777777" w:rsidR="00B025AD" w:rsidRPr="00504F99" w:rsidRDefault="004040C1" w:rsidP="002E5ED6">
      <w:pPr>
        <w:pStyle w:val="Heading2"/>
      </w:pPr>
      <w:r w:rsidRPr="00504F99">
        <w:t>Instrumental variables</w:t>
      </w:r>
    </w:p>
    <w:p w14:paraId="6CE3EFEF" w14:textId="77777777" w:rsidR="00B025AD" w:rsidRDefault="00E16327" w:rsidP="008D2113">
      <w:pPr>
        <w:pStyle w:val="NormalWeb"/>
      </w:pPr>
      <w:r>
        <w:t>Although studies</w:t>
      </w:r>
      <w:r w:rsidR="00BB7137">
        <w:t xml:space="preserve"> of instrumental variables</w:t>
      </w:r>
      <w:r>
        <w:t xml:space="preserve"> are generally observational, the concepts are most readily </w:t>
      </w:r>
      <w:r w:rsidR="00D6308F">
        <w:t xml:space="preserve">appreciated for randomized trials, so we will begin with those.  </w:t>
      </w:r>
      <w:r w:rsidR="004040C1" w:rsidRPr="00504F99">
        <w:t xml:space="preserve">When we discussed the “Intention to Treat” principle in Chapter </w:t>
      </w:r>
      <w:r w:rsidR="002537BB">
        <w:t>8, we acknowledged that</w:t>
      </w:r>
      <w:r w:rsidR="004040C1" w:rsidRPr="00504F99">
        <w:t xml:space="preserve"> in randomized controlled trials, there might be an imperfect relationship between the predictor var</w:t>
      </w:r>
      <w:r w:rsidR="00A4132C">
        <w:t>iable of interest (e.g., actually taking the</w:t>
      </w:r>
      <w:r w:rsidR="004040C1" w:rsidRPr="00504F99">
        <w:t xml:space="preserve"> medication) and the predictor variable analyzed (group assignment). We stressed that to maintain the strength of causal inference provided by randomization it is important to analyze by group assignment</w:t>
      </w:r>
      <w:r w:rsidR="0048428E">
        <w:t>. For example</w:t>
      </w:r>
      <w:r w:rsidR="004040C1" w:rsidRPr="00504F99">
        <w:t xml:space="preserve">, </w:t>
      </w:r>
      <w:r w:rsidR="00C20FCF">
        <w:t xml:space="preserve">we should compare </w:t>
      </w:r>
      <w:r w:rsidR="004040C1" w:rsidRPr="00504F99">
        <w:t xml:space="preserve">people assigned to take the </w:t>
      </w:r>
      <w:r w:rsidR="0048428E">
        <w:t xml:space="preserve">active </w:t>
      </w:r>
      <w:r w:rsidR="004040C1" w:rsidRPr="00504F99">
        <w:t xml:space="preserve">medication with people assigned to placebo, rather than comparing people who </w:t>
      </w:r>
      <w:r w:rsidR="0048428E">
        <w:t xml:space="preserve">actually </w:t>
      </w:r>
      <w:r w:rsidR="004040C1" w:rsidRPr="00504F99">
        <w:t xml:space="preserve">took the medication with those who </w:t>
      </w:r>
      <w:r w:rsidR="0048428E">
        <w:t>took placebo</w:t>
      </w:r>
      <w:r w:rsidR="004040C1" w:rsidRPr="00504F99">
        <w:t xml:space="preserve">. However, if this </w:t>
      </w:r>
      <w:r w:rsidR="007742C3">
        <w:t xml:space="preserve">intention-to-treat </w:t>
      </w:r>
      <w:r w:rsidR="004040C1" w:rsidRPr="00504F99">
        <w:t>analysis results in</w:t>
      </w:r>
      <w:r w:rsidR="00191A84" w:rsidRPr="00504F99">
        <w:t xml:space="preserve"> </w:t>
      </w:r>
      <w:r w:rsidR="004040C1" w:rsidRPr="00504F99">
        <w:t>signi</w:t>
      </w:r>
      <w:r w:rsidR="00AD55CF" w:rsidRPr="00504F99">
        <w:t>fi</w:t>
      </w:r>
      <w:r w:rsidR="004040C1" w:rsidRPr="00504F99">
        <w:t>cant misclassi</w:t>
      </w:r>
      <w:r w:rsidR="00AD55CF" w:rsidRPr="00504F99">
        <w:t>fi</w:t>
      </w:r>
      <w:r w:rsidR="004040C1" w:rsidRPr="00504F99">
        <w:t>cation of exposure (e.g., because some people assigned to the drug do not take it and/or some assigned to placebo obtain the active drug), the</w:t>
      </w:r>
      <w:r w:rsidR="00191A84" w:rsidRPr="00504F99">
        <w:t xml:space="preserve"> </w:t>
      </w:r>
      <w:r w:rsidR="004040C1" w:rsidRPr="00504F99">
        <w:t>estimate</w:t>
      </w:r>
      <w:r w:rsidR="00191A84" w:rsidRPr="00504F99">
        <w:t xml:space="preserve"> </w:t>
      </w:r>
      <w:r w:rsidR="004040C1" w:rsidRPr="00504F99">
        <w:t>of</w:t>
      </w:r>
      <w:r w:rsidR="00191A84" w:rsidRPr="00504F99">
        <w:t xml:space="preserve"> </w:t>
      </w:r>
      <w:r w:rsidR="004040C1" w:rsidRPr="00504F99">
        <w:t>effect</w:t>
      </w:r>
      <w:r w:rsidR="00191A84" w:rsidRPr="00504F99">
        <w:t xml:space="preserve"> </w:t>
      </w:r>
      <w:r w:rsidR="004040C1" w:rsidRPr="00504F99">
        <w:t>size</w:t>
      </w:r>
      <w:r w:rsidR="00191A84" w:rsidRPr="00504F99">
        <w:t xml:space="preserve"> </w:t>
      </w:r>
      <w:r w:rsidR="004040C1" w:rsidRPr="00504F99">
        <w:t>will</w:t>
      </w:r>
      <w:r w:rsidR="00191A84" w:rsidRPr="00504F99">
        <w:t xml:space="preserve"> </w:t>
      </w:r>
      <w:r w:rsidR="004040C1" w:rsidRPr="00504F99">
        <w:t>be</w:t>
      </w:r>
      <w:r w:rsidR="00191A84" w:rsidRPr="00504F99">
        <w:t xml:space="preserve"> </w:t>
      </w:r>
      <w:r w:rsidR="004040C1" w:rsidRPr="00504F99">
        <w:t>biased</w:t>
      </w:r>
      <w:r w:rsidR="00191A84" w:rsidRPr="00504F99">
        <w:t xml:space="preserve"> </w:t>
      </w:r>
      <w:r w:rsidR="004040C1" w:rsidRPr="00504F99">
        <w:t>toward</w:t>
      </w:r>
      <w:r w:rsidR="00191A84" w:rsidRPr="00504F99">
        <w:t xml:space="preserve"> </w:t>
      </w:r>
      <w:r w:rsidR="004040C1" w:rsidRPr="00504F99">
        <w:t>the</w:t>
      </w:r>
      <w:r w:rsidR="00191A84" w:rsidRPr="00504F99">
        <w:t xml:space="preserve"> </w:t>
      </w:r>
      <w:r w:rsidR="004040C1" w:rsidRPr="00504F99">
        <w:t>null.</w:t>
      </w:r>
      <w:r w:rsidR="00C94106" w:rsidRPr="00504F99">
        <w:t xml:space="preserve"> </w:t>
      </w:r>
    </w:p>
    <w:p w14:paraId="7F789556" w14:textId="77777777" w:rsidR="00A4132C" w:rsidRPr="00504F99" w:rsidRDefault="00A4132C" w:rsidP="008D2113">
      <w:pPr>
        <w:pStyle w:val="NormalWeb"/>
      </w:pPr>
      <w:r>
        <w:lastRenderedPageBreak/>
        <w:t xml:space="preserve">One of the </w:t>
      </w:r>
      <w:r w:rsidR="000F2877">
        <w:t>best</w:t>
      </w:r>
      <w:r>
        <w:t xml:space="preserve"> applications of an </w:t>
      </w:r>
      <w:r w:rsidRPr="000F2877">
        <w:rPr>
          <w:color w:val="008000"/>
        </w:rPr>
        <w:t>instrumental variable</w:t>
      </w:r>
      <w:r>
        <w:t xml:space="preserve"> analysis is </w:t>
      </w:r>
      <w:r w:rsidR="00386DF4">
        <w:t>to mathematically reverse</w:t>
      </w:r>
      <w:r>
        <w:t xml:space="preserve"> th</w:t>
      </w:r>
      <w:r w:rsidR="006D42C4">
        <w:t>e</w:t>
      </w:r>
      <w:r>
        <w:t xml:space="preserve"> bias toward the null that </w:t>
      </w:r>
      <w:r w:rsidR="00386DF4">
        <w:t>results from nonadherence or treatment crossover in a randomized trial (or other situations when the likelihood of treatment is randomly assigned, as discussed below).</w:t>
      </w:r>
      <w:r>
        <w:t xml:space="preserve"> </w:t>
      </w:r>
      <w:r w:rsidR="00386DF4">
        <w:t xml:space="preserve"> If the investigators can assume that all of the observed difference between groups is due to the greater likelihood of receiving the treatment under study among those randomized to it, they can calculate what the effect of actually receiving the treatment would need to be to produce the observed (attenuated) difference between treatment groups. </w:t>
      </w:r>
    </w:p>
    <w:p w14:paraId="50060BA3" w14:textId="06E80212" w:rsidR="002D733F" w:rsidRDefault="00E944BC" w:rsidP="00386DF4">
      <w:pPr>
        <w:pStyle w:val="NormalWeb"/>
      </w:pPr>
      <w:r>
        <w:t>A good example of this comes from a randomized trial that compared two different types of smoking cessation interventions with usual care</w:t>
      </w:r>
      <w:r w:rsidRPr="00E944BC">
        <w:t xml:space="preserve"> </w:t>
      </w:r>
      <w:r>
        <w:t>among CVS Caremark employees.</w:t>
      </w:r>
      <w:r>
        <w:rPr>
          <w:rStyle w:val="CommentReference"/>
        </w:rPr>
        <w:t xml:space="preserve"> </w:t>
      </w:r>
      <w:r w:rsidR="001033CA">
        <w:fldChar w:fldCharType="begin">
          <w:fldData xml:space="preserve">PEVuZE5vdGU+PENpdGU+PEF1dGhvcj5IYWxwZXJuPC9BdXRob3I+PFllYXI+MjAxNTwvWWVhcj48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</w:fldData>
        </w:fldChar>
      </w:r>
      <w:r w:rsidR="001033CA">
        <w:instrText xml:space="preserve"> ADDIN EN.CITE </w:instrText>
      </w:r>
      <w:r w:rsidR="001033CA">
        <w:fldChar w:fldCharType="begin">
          <w:fldData xml:space="preserve">PEVuZE5vdGU+PENpdGU+PEF1dGhvcj5IYWxwZXJuPC9BdXRob3I+PFllYXI+MjAxNTwvWWVhcj48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</w:fldData>
        </w:fldChar>
      </w:r>
      <w:r w:rsidR="001033CA">
        <w:instrText xml:space="preserve"> ADDIN EN.CITE.DATA </w:instrText>
      </w:r>
      <w:r w:rsidR="001033CA">
        <w:fldChar w:fldCharType="end"/>
      </w:r>
      <w:r w:rsidR="001033CA">
        <w:fldChar w:fldCharType="separate"/>
      </w:r>
      <w:r w:rsidR="001033CA">
        <w:rPr>
          <w:noProof/>
        </w:rPr>
        <w:t>[5]</w:t>
      </w:r>
      <w:r w:rsidR="001033CA">
        <w:fldChar w:fldCharType="end"/>
      </w:r>
      <w:r w:rsidR="00513A8E">
        <w:t xml:space="preserve"> In </w:t>
      </w:r>
      <w:r w:rsidR="00AB2034" w:rsidRPr="00530A6F">
        <w:rPr>
          <w:i/>
        </w:rPr>
        <w:t>reward-based</w:t>
      </w:r>
      <w:r w:rsidR="00513A8E">
        <w:t xml:space="preserve"> </w:t>
      </w:r>
      <w:r w:rsidR="00AB2034">
        <w:t>interventions</w:t>
      </w:r>
      <w:r w:rsidR="00513A8E">
        <w:t xml:space="preserve">, employees were given $200 for biochemically confirmed </w:t>
      </w:r>
      <w:r w:rsidR="00AE3EA0">
        <w:t xml:space="preserve">tobacco </w:t>
      </w:r>
      <w:r w:rsidR="00513A8E">
        <w:t>abstinence at each of</w:t>
      </w:r>
      <w:r w:rsidR="00167333">
        <w:t xml:space="preserve"> 4 time periods, for a total bonus of </w:t>
      </w:r>
      <w:r w:rsidR="00530A6F">
        <w:t xml:space="preserve">up to </w:t>
      </w:r>
      <w:r w:rsidR="00167333">
        <w:t>$800 for abstinence at 6 months.</w:t>
      </w:r>
      <w:r w:rsidR="00AB2034">
        <w:t xml:space="preserve">  In </w:t>
      </w:r>
      <w:r w:rsidR="00AB2034" w:rsidRPr="00530A6F">
        <w:rPr>
          <w:i/>
        </w:rPr>
        <w:t>deposit-based</w:t>
      </w:r>
      <w:r w:rsidR="00AB2034">
        <w:t xml:space="preserve"> interventions, the employees had to deposit $150 of their own money, which would be refunded only if they quit smoking. </w:t>
      </w:r>
      <w:r w:rsidR="00F76A59">
        <w:t xml:space="preserve"> </w:t>
      </w:r>
    </w:p>
    <w:p w14:paraId="12F94EC0" w14:textId="75A7FDC7" w:rsidR="00386DF4" w:rsidRDefault="00F76A59" w:rsidP="00386DF4">
      <w:pPr>
        <w:pStyle w:val="NormalWeb"/>
      </w:pPr>
      <w:r>
        <w:t>In the intention-to-treat analysis, quit rates were higher in the reward group</w:t>
      </w:r>
      <w:r w:rsidR="00AB45C5">
        <w:t xml:space="preserve"> (15.7% vs 10.2%</w:t>
      </w:r>
      <w:r>
        <w:t>,</w:t>
      </w:r>
      <w:r w:rsidR="00AB45C5">
        <w:t>)</w:t>
      </w:r>
      <w:r>
        <w:t xml:space="preserve"> because many more people randomized to that program </w:t>
      </w:r>
      <w:r w:rsidR="00AB45C5">
        <w:t>accepted their treatment assignment (90.0% vs 13.7%</w:t>
      </w:r>
      <w:r w:rsidR="00530A6F">
        <w:t xml:space="preserve"> in the deposit group</w:t>
      </w:r>
      <w:r w:rsidR="00AB45C5">
        <w:t>)</w:t>
      </w:r>
      <w:r>
        <w:t>.</w:t>
      </w:r>
      <w:r w:rsidR="00AB45C5">
        <w:t xml:space="preserve">   But the instrumental variable analysis</w:t>
      </w:r>
      <w:r w:rsidR="002D733F">
        <w:t xml:space="preserve"> addressed a different question: how effective were interventions </w:t>
      </w:r>
      <w:r w:rsidR="002D733F">
        <w:rPr>
          <w:i/>
        </w:rPr>
        <w:t>if the</w:t>
      </w:r>
      <w:r w:rsidR="00530A6F">
        <w:rPr>
          <w:i/>
        </w:rPr>
        <w:t>y</w:t>
      </w:r>
      <w:r w:rsidR="002D733F">
        <w:rPr>
          <w:i/>
        </w:rPr>
        <w:t xml:space="preserve"> were accepted.</w:t>
      </w:r>
      <w:r w:rsidR="002D733F">
        <w:t xml:space="preserve">  This question cannot be answered with a “per protocol” analysis, comparing quit rates among people who accepted their treatment assignment, because people who accepted the deposit program almost certainly were more motivated to quit at the outset than those who accepted the reward program.  But</w:t>
      </w:r>
      <w:r w:rsidR="00AB45C5">
        <w:t xml:space="preserve"> </w:t>
      </w:r>
      <w:r w:rsidR="002D733F">
        <w:t xml:space="preserve">the instrumental variable analysis </w:t>
      </w:r>
      <w:r w:rsidR="00AB45C5">
        <w:t>showed that</w:t>
      </w:r>
      <w:r w:rsidR="006E09D4">
        <w:t>,</w:t>
      </w:r>
      <w:r w:rsidR="00AB45C5">
        <w:t xml:space="preserve"> among those who would accept either program, the deposit program was more effective</w:t>
      </w:r>
      <w:r w:rsidR="00A63231">
        <w:t xml:space="preserve">; the </w:t>
      </w:r>
      <w:r w:rsidR="002D733F">
        <w:t xml:space="preserve">absolute increase in quit rates </w:t>
      </w:r>
      <w:r w:rsidR="00A63231">
        <w:t xml:space="preserve">compared with the reward program was </w:t>
      </w:r>
      <w:r w:rsidR="002D733F">
        <w:t>13.</w:t>
      </w:r>
      <w:r w:rsidR="00E944BC">
        <w:t>2</w:t>
      </w:r>
      <w:r w:rsidR="002D733F">
        <w:t>%</w:t>
      </w:r>
      <w:r w:rsidR="00AB45C5">
        <w:t xml:space="preserve">. </w:t>
      </w:r>
    </w:p>
    <w:p w14:paraId="7D4C3EE9" w14:textId="4843EE1D" w:rsidR="007B0903" w:rsidRDefault="007B0903" w:rsidP="00087709">
      <w:pPr>
        <w:pStyle w:val="NormalWeb"/>
        <w:pBdr>
          <w:top w:val="single" w:sz="4" w:space="1" w:color="auto"/>
          <w:left w:val="single" w:sz="4" w:space="4" w:color="auto"/>
          <w:bottom w:val="single" w:sz="4" w:space="0" w:color="auto"/>
          <w:right w:val="single" w:sz="4" w:space="4" w:color="auto"/>
        </w:pBdr>
      </w:pPr>
      <w:r>
        <w:t>Box 9.1 Estimating the Complier Average Causal Effect</w:t>
      </w:r>
    </w:p>
    <w:p w14:paraId="628A9B45" w14:textId="5D86D069" w:rsidR="007B0903" w:rsidRDefault="00B86098" w:rsidP="00087709">
      <w:pPr>
        <w:pStyle w:val="NormalWeb"/>
        <w:pBdr>
          <w:top w:val="single" w:sz="4" w:space="1" w:color="auto"/>
          <w:left w:val="single" w:sz="4" w:space="4" w:color="auto"/>
          <w:bottom w:val="single" w:sz="4" w:space="0" w:color="auto"/>
          <w:right w:val="single" w:sz="4" w:space="4" w:color="auto"/>
        </w:pBdr>
      </w:pPr>
      <w:r>
        <w:t xml:space="preserve">There's a very simple equation for something often called the Complier Average Causal Effect (CACE) that we can't resist including here.  The CACE is the effect of an intervention among those who get it as a result of the instrument, in this case being randomly assigned to it. </w:t>
      </w:r>
      <w:r w:rsidR="007B0903">
        <w:t xml:space="preserve">The algebra in </w:t>
      </w:r>
      <w:r>
        <w:t xml:space="preserve">the smoking cessation study </w:t>
      </w:r>
      <w:r w:rsidR="007B0903">
        <w:t xml:space="preserve">gets a bit hairy because of the 3 different groups, but for a 2-armed trial it is simple.  Let's just look at the comparison between the deposit-based intervention and usual care as a risk difference.  To obtain the </w:t>
      </w:r>
      <w:r w:rsidR="00450987">
        <w:t>CACE</w:t>
      </w:r>
      <w:r w:rsidR="007B0903">
        <w:t xml:space="preserve">, the intention-to-treat risk difference is simply divided by the difference in proportions actually getting the active treatment in each group:  </w:t>
      </w:r>
    </w:p>
    <w:p w14:paraId="3A003AE7" w14:textId="59752D73" w:rsidR="007B0903" w:rsidRDefault="00087709" w:rsidP="00087709">
      <w:pPr>
        <w:pStyle w:val="NormalWeb"/>
        <w:pBdr>
          <w:top w:val="single" w:sz="4" w:space="1" w:color="auto"/>
          <w:left w:val="single" w:sz="4" w:space="4" w:color="auto"/>
          <w:bottom w:val="single" w:sz="4" w:space="0" w:color="auto"/>
          <w:right w:val="single" w:sz="4" w:space="4" w:color="auto"/>
        </w:pBdr>
      </w:pPr>
      <w:r>
        <w:rPr>
          <w:noProof/>
        </w:rPr>
        <mc:AlternateContent>
          <mc:Choice Requires="wps">
            <w:drawing>
              <wp:anchor distT="0" distB="0" distL="114300" distR="114300" simplePos="0" relativeHeight="251645952" behindDoc="0" locked="0" layoutInCell="1" allowOverlap="1" wp14:anchorId="217653AE" wp14:editId="2FBB6D75">
                <wp:simplePos x="0" y="0"/>
                <wp:positionH relativeFrom="column">
                  <wp:posOffset>12802</wp:posOffset>
                </wp:positionH>
                <wp:positionV relativeFrom="paragraph">
                  <wp:posOffset>149022</wp:posOffset>
                </wp:positionV>
                <wp:extent cx="1327307" cy="855878"/>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327307" cy="855878"/>
                        </a:xfrm>
                        <a:prstGeom prst="rect">
                          <a:avLst/>
                        </a:prstGeom>
                        <a:solidFill>
                          <a:schemeClr val="lt1"/>
                        </a:solidFill>
                        <a:ln w="6350">
                          <a:noFill/>
                        </a:ln>
                      </wps:spPr>
                      <wps:txbx>
                        <w:txbxContent>
                          <w:p w14:paraId="72A5DB45" w14:textId="2E8BD3C0" w:rsidR="007B0903" w:rsidRDefault="00087709" w:rsidP="007B0903">
                            <w:r>
                              <w:t xml:space="preserve">CACE = </w:t>
                            </w:r>
                            <w:r w:rsidR="007B0903">
                              <w:t>Effect of treatment received on outcome, as a risk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7653AE" id="_x0000_t202" coordsize="21600,21600" o:spt="202" path="m,l,21600r21600,l21600,xe">
                <v:stroke joinstyle="miter"/>
                <v:path gradientshapeok="t" o:connecttype="rect"/>
              </v:shapetype>
              <v:shape id="Text Box 4" o:spid="_x0000_s1026" type="#_x0000_t202" style="position:absolute;margin-left:1pt;margin-top:11.75pt;width:104.5pt;height:67.4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" fillcolor="white [3201]" stroked="f" strokeweight=".5pt">
                <v:textbox>
                  <w:txbxContent>
                    <w:p w14:paraId="72A5DB45" w14:textId="2E8BD3C0" w:rsidR="007B0903" w:rsidRDefault="00087709" w:rsidP="007B0903">
                      <w:r>
                        <w:t xml:space="preserve">CACE = </w:t>
                      </w:r>
                      <w:r w:rsidR="007B0903">
                        <w:t>Effect of treatment received on outcome, as a risk difference</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7F5D7090" wp14:editId="4462EF94">
                <wp:simplePos x="0" y="0"/>
                <wp:positionH relativeFrom="column">
                  <wp:posOffset>2068373</wp:posOffset>
                </wp:positionH>
                <wp:positionV relativeFrom="paragraph">
                  <wp:posOffset>53924</wp:posOffset>
                </wp:positionV>
                <wp:extent cx="3013862" cy="43878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3013862" cy="438785"/>
                        </a:xfrm>
                        <a:prstGeom prst="rect">
                          <a:avLst/>
                        </a:prstGeom>
                        <a:solidFill>
                          <a:schemeClr val="lt1"/>
                        </a:solidFill>
                        <a:ln w="6350">
                          <a:noFill/>
                        </a:ln>
                      </wps:spPr>
                      <wps:txbx>
                        <w:txbxContent>
                          <w:p w14:paraId="5FD9DE66" w14:textId="691BC543" w:rsidR="007B0903" w:rsidRDefault="007B0903" w:rsidP="007B0903">
                            <w:r>
                              <w:t xml:space="preserve">Effect </w:t>
                            </w:r>
                            <w:r w:rsidR="003F2D85">
                              <w:t xml:space="preserve">of </w:t>
                            </w:r>
                            <w:r w:rsidRPr="007B0903">
                              <w:rPr>
                                <w:i/>
                              </w:rPr>
                              <w:t>treatment</w:t>
                            </w:r>
                            <w:r>
                              <w:t xml:space="preserve"> </w:t>
                            </w:r>
                            <w:r w:rsidRPr="007B0903">
                              <w:rPr>
                                <w:i/>
                              </w:rPr>
                              <w:t>assignment</w:t>
                            </w:r>
                            <w:r>
                              <w:t xml:space="preserve"> on </w:t>
                            </w:r>
                            <w:r w:rsidRPr="007B0903">
                              <w:rPr>
                                <w:i/>
                              </w:rPr>
                              <w:t>outcome</w:t>
                            </w:r>
                            <w:r>
                              <w:t xml:space="preserve"> = ITT effect, as a risk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D7090" id="Text Box 5" o:spid="_x0000_s1027" type="#_x0000_t202" style="position:absolute;margin-left:162.85pt;margin-top:4.25pt;width:237.3pt;height:34.5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" fillcolor="white [3201]" stroked="f" strokeweight=".5pt">
                <v:textbox>
                  <w:txbxContent>
                    <w:p w14:paraId="5FD9DE66" w14:textId="691BC543" w:rsidR="007B0903" w:rsidRDefault="007B0903" w:rsidP="007B0903">
                      <w:r>
                        <w:t xml:space="preserve">Effect </w:t>
                      </w:r>
                      <w:r w:rsidR="003F2D85">
                        <w:t xml:space="preserve">of </w:t>
                      </w:r>
                      <w:r w:rsidRPr="007B0903">
                        <w:rPr>
                          <w:i/>
                        </w:rPr>
                        <w:t>treatment</w:t>
                      </w:r>
                      <w:r>
                        <w:t xml:space="preserve"> </w:t>
                      </w:r>
                      <w:r w:rsidRPr="007B0903">
                        <w:rPr>
                          <w:i/>
                        </w:rPr>
                        <w:t>assignment</w:t>
                      </w:r>
                      <w:r>
                        <w:t xml:space="preserve"> on </w:t>
                      </w:r>
                      <w:r w:rsidRPr="007B0903">
                        <w:rPr>
                          <w:i/>
                        </w:rPr>
                        <w:t>outcome</w:t>
                      </w:r>
                      <w:r>
                        <w:t xml:space="preserve"> = ITT effect, as a risk difference</w:t>
                      </w:r>
                    </w:p>
                  </w:txbxContent>
                </v:textbox>
              </v:shape>
            </w:pict>
          </mc:Fallback>
        </mc:AlternateContent>
      </w:r>
    </w:p>
    <w:p w14:paraId="7A73916F" w14:textId="38F40B87" w:rsidR="007B0903" w:rsidRDefault="00087709" w:rsidP="00087709">
      <w:pPr>
        <w:pStyle w:val="NormalWeb"/>
        <w:pBdr>
          <w:top w:val="single" w:sz="4" w:space="1" w:color="auto"/>
          <w:left w:val="single" w:sz="4" w:space="4" w:color="auto"/>
          <w:bottom w:val="single" w:sz="4" w:space="0" w:color="auto"/>
          <w:right w:val="single" w:sz="4" w:space="4" w:color="auto"/>
        </w:pBdr>
      </w:pPr>
      <w:r>
        <w:rPr>
          <w:noProof/>
        </w:rPr>
        <mc:AlternateContent>
          <mc:Choice Requires="wps">
            <w:drawing>
              <wp:anchor distT="0" distB="0" distL="114300" distR="114300" simplePos="0" relativeHeight="251648000" behindDoc="0" locked="0" layoutInCell="1" allowOverlap="1" wp14:anchorId="5AE0CBCB" wp14:editId="228DE4F2">
                <wp:simplePos x="0" y="0"/>
                <wp:positionH relativeFrom="column">
                  <wp:posOffset>2075689</wp:posOffset>
                </wp:positionH>
                <wp:positionV relativeFrom="paragraph">
                  <wp:posOffset>271450</wp:posOffset>
                </wp:positionV>
                <wp:extent cx="2834238" cy="46085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34238" cy="460858"/>
                        </a:xfrm>
                        <a:prstGeom prst="rect">
                          <a:avLst/>
                        </a:prstGeom>
                        <a:solidFill>
                          <a:schemeClr val="lt1"/>
                        </a:solidFill>
                        <a:ln w="6350">
                          <a:noFill/>
                        </a:ln>
                      </wps:spPr>
                      <wps:txbx>
                        <w:txbxContent>
                          <w:p w14:paraId="4435E478" w14:textId="1BEDC3E6" w:rsidR="007B0903" w:rsidRDefault="007B0903" w:rsidP="007B0903">
                            <w:r>
                              <w:t xml:space="preserve">Effect </w:t>
                            </w:r>
                            <w:r w:rsidR="003F2D85">
                              <w:t xml:space="preserve">of </w:t>
                            </w:r>
                            <w:r w:rsidRPr="007B0903">
                              <w:rPr>
                                <w:i/>
                              </w:rPr>
                              <w:t>treatment assignment</w:t>
                            </w:r>
                            <w:r>
                              <w:t xml:space="preserve"> on </w:t>
                            </w:r>
                            <w:r w:rsidRPr="007B0903">
                              <w:rPr>
                                <w:i/>
                              </w:rPr>
                              <w:t>treatment received</w:t>
                            </w:r>
                            <w:r>
                              <w:t xml:space="preserve">, as a risk difference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0CBCB" id="Text Box 12" o:spid="_x0000_s1028" type="#_x0000_t202" style="position:absolute;margin-left:163.45pt;margin-top:21.35pt;width:223.15pt;height:36.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" fillcolor="white [3201]" stroked="f" strokeweight=".5pt">
                <v:textbox>
                  <w:txbxContent>
                    <w:p w14:paraId="4435E478" w14:textId="1BEDC3E6" w:rsidR="007B0903" w:rsidRDefault="007B0903" w:rsidP="007B0903">
                      <w:r>
                        <w:t xml:space="preserve">Effect </w:t>
                      </w:r>
                      <w:r w:rsidR="003F2D85">
                        <w:t xml:space="preserve">of </w:t>
                      </w:r>
                      <w:r w:rsidRPr="007B0903">
                        <w:rPr>
                          <w:i/>
                        </w:rPr>
                        <w:t>treatment assignment</w:t>
                      </w:r>
                      <w:r>
                        <w:t xml:space="preserve"> on </w:t>
                      </w:r>
                      <w:r w:rsidRPr="007B0903">
                        <w:rPr>
                          <w:i/>
                        </w:rPr>
                        <w:t>treatment received</w:t>
                      </w:r>
                      <w:r>
                        <w:t xml:space="preserve">, as a risk difference </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1D55843" wp14:editId="3894EC22">
                <wp:simplePos x="0" y="0"/>
                <wp:positionH relativeFrom="column">
                  <wp:posOffset>2031797</wp:posOffset>
                </wp:positionH>
                <wp:positionV relativeFrom="paragraph">
                  <wp:posOffset>183667</wp:posOffset>
                </wp:positionV>
                <wp:extent cx="2862917" cy="6985"/>
                <wp:effectExtent l="0" t="0" r="20320" b="18415"/>
                <wp:wrapNone/>
                <wp:docPr id="3" name="Straight Connector 2">
                  <a:extLst xmlns:a="http://schemas.openxmlformats.org/drawingml/2006/main">
                    <a:ext uri="{FF2B5EF4-FFF2-40B4-BE49-F238E27FC236}">
                      <a16:creationId xmlns:a16="http://schemas.microsoft.com/office/drawing/2014/main" id="{91689832-2690-294E-95AF-CB69C8E86A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62917" cy="6985"/>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792BCD07" id="Straight Connector 2"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pt,14.45pt" to="385.4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" filled="t" fillcolor="#4472c4 [3204]" strokecolor="black [3213]">
                <o:lock v:ext="edit" shapetype="f"/>
              </v:line>
            </w:pict>
          </mc:Fallback>
        </mc:AlternateContent>
      </w:r>
      <w:r>
        <w:rPr>
          <w:noProof/>
        </w:rPr>
        <mc:AlternateContent>
          <mc:Choice Requires="wps">
            <w:drawing>
              <wp:anchor distT="0" distB="0" distL="114300" distR="114300" simplePos="0" relativeHeight="251650048" behindDoc="0" locked="0" layoutInCell="1" allowOverlap="1" wp14:anchorId="056B05F3" wp14:editId="4433B47C">
                <wp:simplePos x="0" y="0"/>
                <wp:positionH relativeFrom="column">
                  <wp:posOffset>1680667</wp:posOffset>
                </wp:positionH>
                <wp:positionV relativeFrom="paragraph">
                  <wp:posOffset>51994</wp:posOffset>
                </wp:positionV>
                <wp:extent cx="214341" cy="262255"/>
                <wp:effectExtent l="0" t="0" r="1905" b="4445"/>
                <wp:wrapNone/>
                <wp:docPr id="16" name="Text Box 16"/>
                <wp:cNvGraphicFramePr/>
                <a:graphic xmlns:a="http://schemas.openxmlformats.org/drawingml/2006/main">
                  <a:graphicData uri="http://schemas.microsoft.com/office/word/2010/wordprocessingShape">
                    <wps:wsp>
                      <wps:cNvSpPr txBox="1"/>
                      <wps:spPr>
                        <a:xfrm>
                          <a:off x="0" y="0"/>
                          <a:ext cx="214341" cy="262255"/>
                        </a:xfrm>
                        <a:prstGeom prst="rect">
                          <a:avLst/>
                        </a:prstGeom>
                        <a:solidFill>
                          <a:schemeClr val="lt1"/>
                        </a:solidFill>
                        <a:ln w="6350">
                          <a:noFill/>
                        </a:ln>
                      </wps:spPr>
                      <wps:txbx>
                        <w:txbxContent>
                          <w:p w14:paraId="6A120FA6" w14:textId="45B6855C" w:rsidR="007B0903" w:rsidRDefault="007B090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6B05F3" id="Text Box 16" o:spid="_x0000_s1029" type="#_x0000_t202" style="position:absolute;margin-left:132.35pt;margin-top:4.1pt;width:16.9pt;height:20.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" fillcolor="white [3201]" stroked="f" strokeweight=".5pt">
                <v:textbox>
                  <w:txbxContent>
                    <w:p w14:paraId="6A120FA6" w14:textId="45B6855C" w:rsidR="007B0903" w:rsidRDefault="007B0903">
                      <w:r>
                        <w:t>=</w:t>
                      </w:r>
                    </w:p>
                  </w:txbxContent>
                </v:textbox>
              </v:shape>
            </w:pict>
          </mc:Fallback>
        </mc:AlternateContent>
      </w:r>
      <w:r w:rsidR="007B0903">
        <w:t xml:space="preserve"> = </w:t>
      </w:r>
    </w:p>
    <w:p w14:paraId="3E9F5AB1" w14:textId="147FA27D" w:rsidR="007B0903" w:rsidRDefault="007B0903" w:rsidP="00087709">
      <w:pPr>
        <w:pStyle w:val="NormalWeb"/>
        <w:pBdr>
          <w:top w:val="single" w:sz="4" w:space="1" w:color="auto"/>
          <w:left w:val="single" w:sz="4" w:space="4" w:color="auto"/>
          <w:bottom w:val="single" w:sz="4" w:space="0" w:color="auto"/>
          <w:right w:val="single" w:sz="4" w:space="4" w:color="auto"/>
        </w:pBdr>
      </w:pPr>
      <w:r>
        <w:tab/>
      </w:r>
      <w:r>
        <w:tab/>
      </w:r>
      <w:r>
        <w:tab/>
      </w:r>
      <w:r>
        <w:tab/>
        <w:t xml:space="preserve">  </w:t>
      </w:r>
    </w:p>
    <w:p w14:paraId="02670C73" w14:textId="0B9707AD" w:rsidR="007B0903" w:rsidRDefault="007B0903" w:rsidP="00087709">
      <w:pPr>
        <w:pStyle w:val="NormalWeb"/>
        <w:pBdr>
          <w:top w:val="single" w:sz="4" w:space="1" w:color="auto"/>
          <w:left w:val="single" w:sz="4" w:space="4" w:color="auto"/>
          <w:bottom w:val="single" w:sz="4" w:space="0" w:color="auto"/>
          <w:right w:val="single" w:sz="4" w:space="4" w:color="auto"/>
        </w:pBdr>
      </w:pPr>
    </w:p>
    <w:p w14:paraId="46554A94" w14:textId="77777777" w:rsidR="007B0903" w:rsidRDefault="007B0903" w:rsidP="00087709">
      <w:pPr>
        <w:pStyle w:val="NormalWeb"/>
        <w:pBdr>
          <w:top w:val="single" w:sz="4" w:space="1" w:color="auto"/>
          <w:left w:val="single" w:sz="4" w:space="4" w:color="auto"/>
          <w:bottom w:val="single" w:sz="4" w:space="0" w:color="auto"/>
          <w:right w:val="single" w:sz="4" w:space="4" w:color="auto"/>
        </w:pBdr>
      </w:pPr>
      <w:r>
        <w:lastRenderedPageBreak/>
        <w:t xml:space="preserve">The equation above makes sense: if everyone assigned the treatment and no one not assigned the treatment received it, then the denominator would be 100% </w:t>
      </w:r>
      <w:r w:rsidRPr="00C23D8C">
        <w:sym w:font="Symbol" w:char="F02D"/>
      </w:r>
      <w:r>
        <w:t xml:space="preserve"> 0% =1 and the effect of receiving treatment would just be the ITT effect.   </w:t>
      </w:r>
    </w:p>
    <w:p w14:paraId="46E38CF8" w14:textId="7D85B76E" w:rsidR="00087709" w:rsidRDefault="00087709" w:rsidP="00087709">
      <w:pPr>
        <w:pStyle w:val="NormalWeb"/>
        <w:pBdr>
          <w:top w:val="single" w:sz="4" w:space="1" w:color="auto"/>
          <w:left w:val="single" w:sz="4" w:space="4" w:color="auto"/>
          <w:bottom w:val="single" w:sz="4" w:space="0" w:color="auto"/>
          <w:right w:val="single" w:sz="4" w:space="4" w:color="auto"/>
        </w:pBdr>
      </w:pPr>
      <w:r>
        <w:rPr>
          <w:noProof/>
        </w:rPr>
        <mc:AlternateContent>
          <mc:Choice Requires="wpg">
            <w:drawing>
              <wp:anchor distT="0" distB="0" distL="114300" distR="114300" simplePos="0" relativeHeight="251666432" behindDoc="0" locked="0" layoutInCell="1" allowOverlap="1" wp14:anchorId="2A3D2027" wp14:editId="6D556075">
                <wp:simplePos x="0" y="0"/>
                <wp:positionH relativeFrom="column">
                  <wp:posOffset>1161288</wp:posOffset>
                </wp:positionH>
                <wp:positionV relativeFrom="paragraph">
                  <wp:posOffset>1223518</wp:posOffset>
                </wp:positionV>
                <wp:extent cx="2348179" cy="548081"/>
                <wp:effectExtent l="0" t="0" r="1905" b="0"/>
                <wp:wrapNone/>
                <wp:docPr id="35" name="Group 35"/>
                <wp:cNvGraphicFramePr/>
                <a:graphic xmlns:a="http://schemas.openxmlformats.org/drawingml/2006/main">
                  <a:graphicData uri="http://schemas.microsoft.com/office/word/2010/wordprocessingGroup">
                    <wpg:wgp>
                      <wpg:cNvGrpSpPr/>
                      <wpg:grpSpPr>
                        <a:xfrm>
                          <a:off x="0" y="0"/>
                          <a:ext cx="2348179" cy="548081"/>
                          <a:chOff x="0" y="0"/>
                          <a:chExt cx="2348179" cy="548081"/>
                        </a:xfrm>
                      </wpg:grpSpPr>
                      <wpg:grpSp>
                        <wpg:cNvPr id="33" name="Group 33"/>
                        <wpg:cNvGrpSpPr/>
                        <wpg:grpSpPr>
                          <a:xfrm>
                            <a:off x="0" y="0"/>
                            <a:ext cx="2348179" cy="548081"/>
                            <a:chOff x="0" y="0"/>
                            <a:chExt cx="2348179" cy="548081"/>
                          </a:xfrm>
                        </wpg:grpSpPr>
                        <wps:wsp>
                          <wps:cNvPr id="28" name="Text Box 28"/>
                          <wps:cNvSpPr txBox="1"/>
                          <wps:spPr>
                            <a:xfrm>
                              <a:off x="914400" y="0"/>
                              <a:ext cx="1433779" cy="270155"/>
                            </a:xfrm>
                            <a:prstGeom prst="rect">
                              <a:avLst/>
                            </a:prstGeom>
                            <a:solidFill>
                              <a:schemeClr val="lt1"/>
                            </a:solidFill>
                            <a:ln w="6350">
                              <a:noFill/>
                            </a:ln>
                          </wps:spPr>
                          <wps:txbx>
                            <w:txbxContent>
                              <w:p w14:paraId="7739CC34" w14:textId="0C221334" w:rsidR="00087709" w:rsidRDefault="00087709" w:rsidP="00087709">
                                <w:r>
                                  <w:t xml:space="preserve">10.2% </w:t>
                                </w:r>
                                <w:r w:rsidRPr="00C23D8C">
                                  <w:sym w:font="Symbol" w:char="F02D"/>
                                </w:r>
                                <w:r>
                                  <w:t xml:space="preserve">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146304"/>
                              <a:ext cx="636422" cy="248717"/>
                            </a:xfrm>
                            <a:prstGeom prst="rect">
                              <a:avLst/>
                            </a:prstGeom>
                            <a:solidFill>
                              <a:schemeClr val="lt1"/>
                            </a:solidFill>
                            <a:ln w="6350">
                              <a:noFill/>
                            </a:ln>
                          </wps:spPr>
                          <wps:txbx>
                            <w:txbxContent>
                              <w:p w14:paraId="44C290CC" w14:textId="6A9E9454" w:rsidR="00087709" w:rsidRDefault="00087709" w:rsidP="00087709">
                                <w:r>
                                  <w:t xml:space="preserve">30.7%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002182" y="226771"/>
                              <a:ext cx="1082040" cy="321310"/>
                            </a:xfrm>
                            <a:prstGeom prst="rect">
                              <a:avLst/>
                            </a:prstGeom>
                            <a:solidFill>
                              <a:schemeClr val="lt1"/>
                            </a:solidFill>
                            <a:ln w="6350">
                              <a:noFill/>
                            </a:ln>
                          </wps:spPr>
                          <wps:txbx>
                            <w:txbxContent>
                              <w:p w14:paraId="7F5BEEE2" w14:textId="206AB9AA" w:rsidR="00087709" w:rsidRDefault="00087709" w:rsidP="00087709">
                                <w:r>
                                  <w:t xml:space="preserve">13.7% </w:t>
                                </w:r>
                                <w:r w:rsidRPr="00C23D8C">
                                  <w:sym w:font="Symbol" w:char="F02D"/>
                                </w:r>
                                <w:r>
                                  <w:t xml:space="preserve"> 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512064" y="131673"/>
                              <a:ext cx="270510" cy="262255"/>
                            </a:xfrm>
                            <a:prstGeom prst="rect">
                              <a:avLst/>
                            </a:prstGeom>
                            <a:solidFill>
                              <a:schemeClr val="lt1"/>
                            </a:solidFill>
                            <a:ln w="6350">
                              <a:noFill/>
                            </a:ln>
                          </wps:spPr>
                          <wps:txbx>
                            <w:txbxContent>
                              <w:p w14:paraId="04E84805" w14:textId="77777777" w:rsidR="00087709" w:rsidRDefault="00087709" w:rsidP="0008770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Straight Connector 2">
                          <a:extLst/>
                        </wps:cNvPr>
                        <wps:cNvCnPr>
                          <a:cxnSpLocks/>
                        </wps:cNvCnPr>
                        <wps:spPr bwMode="auto">
                          <a:xfrm flipV="1">
                            <a:off x="936346" y="270662"/>
                            <a:ext cx="987552" cy="330"/>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wpg:wgp>
                  </a:graphicData>
                </a:graphic>
              </wp:anchor>
            </w:drawing>
          </mc:Choice>
          <mc:Fallback>
            <w:pict>
              <v:group w14:anchorId="2A3D2027" id="Group 35" o:spid="_x0000_s1030" style="position:absolute;margin-left:91.45pt;margin-top:96.35pt;width:184.9pt;height:43.15pt;z-index:251666432" coordsize="23481,5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">
                <v:group id="Group 33" o:spid="_x0000_s1031" style="position:absolute;width:23481;height:5480" coordsize="23481,5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Text Box 28" o:spid="_x0000_s1032" type="#_x0000_t202" style="position:absolute;left:9144;width:14337;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" fillcolor="white [3201]" stroked="f" strokeweight=".5pt">
                    <v:textbox>
                      <w:txbxContent>
                        <w:p w14:paraId="7739CC34" w14:textId="0C221334" w:rsidR="00087709" w:rsidRDefault="00087709" w:rsidP="00087709">
                          <w:r>
                            <w:t xml:space="preserve">10.2% </w:t>
                          </w:r>
                          <w:r w:rsidRPr="00C23D8C">
                            <w:sym w:font="Symbol" w:char="F02D"/>
                          </w:r>
                          <w:r>
                            <w:t xml:space="preserve"> 6.0%</w:t>
                          </w:r>
                        </w:p>
                      </w:txbxContent>
                    </v:textbox>
                  </v:shape>
                  <v:shape id="Text Box 27" o:spid="_x0000_s1033" type="#_x0000_t202" style="position:absolute;top:1463;width:6364;height:2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" fillcolor="white [3201]" stroked="f" strokeweight=".5pt">
                    <v:textbox>
                      <w:txbxContent>
                        <w:p w14:paraId="44C290CC" w14:textId="6A9E9454" w:rsidR="00087709" w:rsidRDefault="00087709" w:rsidP="00087709">
                          <w:r>
                            <w:t xml:space="preserve">30.7%  </w:t>
                          </w:r>
                        </w:p>
                      </w:txbxContent>
                    </v:textbox>
                  </v:shape>
                  <v:shape id="Text Box 29" o:spid="_x0000_s1034" type="#_x0000_t202" style="position:absolute;left:10021;top:2267;width:10821;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" fillcolor="white [3201]" stroked="f" strokeweight=".5pt">
                    <v:textbox>
                      <w:txbxContent>
                        <w:p w14:paraId="7F5BEEE2" w14:textId="206AB9AA" w:rsidR="00087709" w:rsidRDefault="00087709" w:rsidP="00087709">
                          <w:r>
                            <w:t xml:space="preserve">13.7% </w:t>
                          </w:r>
                          <w:r w:rsidRPr="00C23D8C">
                            <w:sym w:font="Symbol" w:char="F02D"/>
                          </w:r>
                          <w:r>
                            <w:t xml:space="preserve"> 0% </w:t>
                          </w:r>
                        </w:p>
                      </w:txbxContent>
                    </v:textbox>
                  </v:shape>
                  <v:shape id="Text Box 31" o:spid="_x0000_s1035" type="#_x0000_t202" style="position:absolute;left:5120;top:1316;width:2705;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" fillcolor="white [3201]" stroked="f" strokeweight=".5pt">
                    <v:textbox>
                      <w:txbxContent>
                        <w:p w14:paraId="04E84805" w14:textId="77777777" w:rsidR="00087709" w:rsidRDefault="00087709" w:rsidP="00087709">
                          <w:r>
                            <w:t>=</w:t>
                          </w:r>
                        </w:p>
                      </w:txbxContent>
                    </v:textbox>
                  </v:shape>
                </v:group>
                <v:line id="Straight Connector 2" o:spid="_x0000_s1036" style="position:absolute;flip:y;visibility:visible;mso-wrap-style:square" from="9363,2706" to="19238,2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" filled="t" fillcolor="#4472c4 [3204]" strokecolor="black [3213]">
                  <o:lock v:ext="edit" shapetype="f"/>
                </v:line>
              </v:group>
            </w:pict>
          </mc:Fallback>
        </mc:AlternateContent>
      </w:r>
      <w:r w:rsidR="007B0903">
        <w:t>In the smoking cessation study, quit rates were 10.2% in the group randomized to be offered the deposit intervention and 6.0% in the group randomized to usual care, an ITT difference of 4.2%. The proportions that actually received the deposit</w:t>
      </w:r>
      <w:r>
        <w:t>-based</w:t>
      </w:r>
      <w:r w:rsidR="007B0903">
        <w:t xml:space="preserve"> intervention in the two groups were 13.7% and 0%, a 13.7% difference.  So, the effect of the deposit intervention on quit rates among those who actually accepted it</w:t>
      </w:r>
      <w:r>
        <w:t xml:space="preserve"> (the CACE)</w:t>
      </w:r>
      <w:r w:rsidR="007B0903">
        <w:t xml:space="preserve"> was about a 4.2%/13.7% = 30.7% absolute increase in quit rates.</w:t>
      </w:r>
    </w:p>
    <w:p w14:paraId="0DDAE230" w14:textId="77777777" w:rsidR="00087709" w:rsidRDefault="00087709" w:rsidP="00087709">
      <w:pPr>
        <w:pStyle w:val="NormalWeb"/>
        <w:pBdr>
          <w:top w:val="single" w:sz="4" w:space="1" w:color="auto"/>
          <w:left w:val="single" w:sz="4" w:space="4" w:color="auto"/>
          <w:bottom w:val="single" w:sz="4" w:space="0" w:color="auto"/>
          <w:right w:val="single" w:sz="4" w:space="4" w:color="auto"/>
        </w:pBdr>
      </w:pPr>
    </w:p>
    <w:p w14:paraId="3AB63F90" w14:textId="4B2BAF2F" w:rsidR="00087709" w:rsidRDefault="00087709" w:rsidP="00087709">
      <w:pPr>
        <w:pStyle w:val="NormalWeb"/>
        <w:pBdr>
          <w:top w:val="single" w:sz="4" w:space="1" w:color="auto"/>
          <w:left w:val="single" w:sz="4" w:space="4" w:color="auto"/>
          <w:bottom w:val="single" w:sz="4" w:space="0" w:color="auto"/>
          <w:right w:val="single" w:sz="4" w:space="4" w:color="auto"/>
        </w:pBdr>
      </w:pPr>
    </w:p>
    <w:p w14:paraId="475DF0F1" w14:textId="14881631" w:rsidR="00087709" w:rsidRDefault="00087709" w:rsidP="00087709">
      <w:pPr>
        <w:pStyle w:val="NormalWeb"/>
        <w:pBdr>
          <w:top w:val="single" w:sz="4" w:space="1" w:color="auto"/>
          <w:left w:val="single" w:sz="4" w:space="4" w:color="auto"/>
          <w:bottom w:val="single" w:sz="4" w:space="0" w:color="auto"/>
          <w:right w:val="single" w:sz="4" w:space="4" w:color="auto"/>
        </w:pBdr>
      </w:pPr>
    </w:p>
    <w:p w14:paraId="014EC9C3" w14:textId="77777777" w:rsidR="0072413D" w:rsidRDefault="00E944BC" w:rsidP="00386DF4">
      <w:pPr>
        <w:pStyle w:val="NormalWeb"/>
      </w:pPr>
      <w:r>
        <w:rPr>
          <w:noProof/>
        </w:rPr>
        <w:drawing>
          <wp:anchor distT="0" distB="0" distL="114300" distR="114300" simplePos="0" relativeHeight="251628544" behindDoc="0" locked="0" layoutInCell="1" allowOverlap="1" wp14:anchorId="18D92EBD" wp14:editId="2D1B6BBD">
            <wp:simplePos x="0" y="0"/>
            <wp:positionH relativeFrom="column">
              <wp:posOffset>3061335</wp:posOffset>
            </wp:positionH>
            <wp:positionV relativeFrom="paragraph">
              <wp:posOffset>556768</wp:posOffset>
            </wp:positionV>
            <wp:extent cx="2887345" cy="3556000"/>
            <wp:effectExtent l="0" t="0" r="8255" b="0"/>
            <wp:wrapSquare wrapText="bothSides"/>
            <wp:docPr id="46" name="Picture 46" descr="Screenshot 2017-10-2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shot 2017-10-24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345"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E96">
        <w:t>Of course,</w:t>
      </w:r>
      <w:r w:rsidR="00AB45C5">
        <w:t xml:space="preserve"> instruments that are randomly assigned are limited</w:t>
      </w:r>
      <w:r w:rsidR="00A31FF1">
        <w:t>, so in most cases the investigator needs to seek out other variables that are</w:t>
      </w:r>
      <w:r w:rsidR="00386DF4" w:rsidRPr="00504F99">
        <w:t xml:space="preserve"> associated with the treatment of interest and thought not to be (independently) associated with the outcome. The outcome is then determined in relation to this “instrumental variable,” </w:t>
      </w:r>
      <w:r w:rsidR="007E3CA2">
        <w:t>rather than the actual treatment or exposure of interest.</w:t>
      </w:r>
      <w:r w:rsidR="00386DF4" w:rsidRPr="00504F99">
        <w:t xml:space="preserve"> </w:t>
      </w:r>
      <w:r w:rsidR="00F86AAD">
        <w:t>As with a randomized study, t</w:t>
      </w:r>
      <w:r w:rsidR="00386DF4" w:rsidRPr="00504F99">
        <w:t xml:space="preserve">he expected bias toward the null that </w:t>
      </w:r>
      <w:r w:rsidR="008B2F76">
        <w:t>then</w:t>
      </w:r>
      <w:r w:rsidR="00386DF4" w:rsidRPr="00504F99">
        <w:t xml:space="preserve"> occur</w:t>
      </w:r>
      <w:r w:rsidR="008B2F76">
        <w:t>s</w:t>
      </w:r>
      <w:r w:rsidR="00386DF4" w:rsidRPr="00504F99">
        <w:t xml:space="preserve"> from misclassification of exposure is overcome with a combination of a large sample size and calculations to </w:t>
      </w:r>
      <w:r w:rsidR="008B2F76">
        <w:t>reverse</w:t>
      </w:r>
      <w:r w:rsidR="00386DF4" w:rsidRPr="00504F99">
        <w:t xml:space="preserve"> the effect of the imperfect relationship between the instrumental variable and the predictor of interest.</w:t>
      </w:r>
    </w:p>
    <w:p w14:paraId="469EDF2F" w14:textId="120624D9" w:rsidR="00F258D6" w:rsidRDefault="0048109F" w:rsidP="008D2113">
      <w:pPr>
        <w:pStyle w:val="NormalWeb"/>
      </w:pPr>
      <w:r>
        <w:rPr>
          <w:noProof/>
        </w:rPr>
        <mc:AlternateContent>
          <mc:Choice Requires="wps">
            <w:drawing>
              <wp:anchor distT="0" distB="0" distL="114300" distR="114300" simplePos="0" relativeHeight="251629568" behindDoc="0" locked="0" layoutInCell="1" allowOverlap="1" wp14:anchorId="3A8C4592" wp14:editId="7EB33B96">
                <wp:simplePos x="0" y="0"/>
                <wp:positionH relativeFrom="column">
                  <wp:posOffset>3063240</wp:posOffset>
                </wp:positionH>
                <wp:positionV relativeFrom="paragraph">
                  <wp:posOffset>1757045</wp:posOffset>
                </wp:positionV>
                <wp:extent cx="2887345" cy="680085"/>
                <wp:effectExtent l="0" t="0" r="8255" b="5715"/>
                <wp:wrapSquare wrapText="bothSides"/>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680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8CC464" w14:textId="77777777" w:rsidR="00A63231" w:rsidRPr="00A63231" w:rsidRDefault="004A0730" w:rsidP="00A63231">
                            <w:r>
                              <w:t xml:space="preserve">Figure 9.3  Surgical treatment by differential distance.  </w:t>
                            </w:r>
                            <w:r w:rsidR="00A63231" w:rsidRPr="00A63231">
                              <w:rPr>
                                <w:rFonts w:ascii="Verdana" w:hAnsi="Verdana"/>
                                <w:color w:val="000000"/>
                                <w:sz w:val="18"/>
                                <w:szCs w:val="18"/>
                              </w:rPr>
                              <w:t xml:space="preserve">Reproduced with permission from </w:t>
                            </w:r>
                            <w:r w:rsidR="00A63231">
                              <w:rPr>
                                <w:rFonts w:ascii="Verdana" w:hAnsi="Verdana"/>
                                <w:color w:val="000000"/>
                                <w:sz w:val="18"/>
                                <w:szCs w:val="18"/>
                              </w:rPr>
                              <w:t xml:space="preserve">JAMA. 2012. 307(15):1629-35. </w:t>
                            </w:r>
                            <w:r w:rsidR="00A63231" w:rsidRPr="00A63231">
                              <w:rPr>
                                <w:rFonts w:ascii="Verdana" w:hAnsi="Verdana"/>
                                <w:color w:val="000000"/>
                                <w:sz w:val="18"/>
                                <w:szCs w:val="18"/>
                              </w:rPr>
                              <w:t>Copyright©</w:t>
                            </w:r>
                            <w:r w:rsidR="00A63231">
                              <w:rPr>
                                <w:rFonts w:ascii="Verdana" w:hAnsi="Verdana"/>
                                <w:color w:val="000000"/>
                                <w:sz w:val="18"/>
                                <w:szCs w:val="18"/>
                              </w:rPr>
                              <w:t xml:space="preserve"> 2012</w:t>
                            </w:r>
                            <w:r w:rsidR="00A63231" w:rsidRPr="00A63231">
                              <w:rPr>
                                <w:rFonts w:ascii="Verdana" w:hAnsi="Verdana"/>
                                <w:color w:val="000000"/>
                                <w:sz w:val="18"/>
                                <w:szCs w:val="18"/>
                              </w:rPr>
                              <w:t xml:space="preserve"> American Medical Association. All rights reserved.</w:t>
                            </w:r>
                          </w:p>
                          <w:p w14:paraId="01570154" w14:textId="77777777" w:rsidR="004A0730" w:rsidRPr="00396345" w:rsidRDefault="004A0730" w:rsidP="00F258D6">
                            <w:pPr>
                              <w:pStyle w:val="Caption"/>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C4592" id="Text Box 47" o:spid="_x0000_s1037" type="#_x0000_t202" style="position:absolute;margin-left:241.2pt;margin-top:138.35pt;width:227.35pt;height:53.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" filled="f" stroked="f">
                <v:textbox inset="0,0,0,0">
                  <w:txbxContent>
                    <w:p w14:paraId="268CC464" w14:textId="77777777" w:rsidR="00A63231" w:rsidRPr="00A63231" w:rsidRDefault="004A0730" w:rsidP="00A63231">
                      <w:r>
                        <w:t xml:space="preserve">Figure 9.3  Surgical treatment by differential distance.  </w:t>
                      </w:r>
                      <w:r w:rsidR="00A63231" w:rsidRPr="00A63231">
                        <w:rPr>
                          <w:rFonts w:ascii="Verdana" w:hAnsi="Verdana"/>
                          <w:color w:val="000000"/>
                          <w:sz w:val="18"/>
                          <w:szCs w:val="18"/>
                        </w:rPr>
                        <w:t xml:space="preserve">Reproduced with permission from </w:t>
                      </w:r>
                      <w:r w:rsidR="00A63231">
                        <w:rPr>
                          <w:rFonts w:ascii="Verdana" w:hAnsi="Verdana"/>
                          <w:color w:val="000000"/>
                          <w:sz w:val="18"/>
                          <w:szCs w:val="18"/>
                        </w:rPr>
                        <w:t xml:space="preserve">JAMA. 2012. 307(15):1629-35. </w:t>
                      </w:r>
                      <w:r w:rsidR="00A63231" w:rsidRPr="00A63231">
                        <w:rPr>
                          <w:rFonts w:ascii="Verdana" w:hAnsi="Verdana"/>
                          <w:color w:val="000000"/>
                          <w:sz w:val="18"/>
                          <w:szCs w:val="18"/>
                        </w:rPr>
                        <w:t>Copyright©</w:t>
                      </w:r>
                      <w:r w:rsidR="00A63231">
                        <w:rPr>
                          <w:rFonts w:ascii="Verdana" w:hAnsi="Verdana"/>
                          <w:color w:val="000000"/>
                          <w:sz w:val="18"/>
                          <w:szCs w:val="18"/>
                        </w:rPr>
                        <w:t xml:space="preserve"> 2012</w:t>
                      </w:r>
                      <w:r w:rsidR="00A63231" w:rsidRPr="00A63231">
                        <w:rPr>
                          <w:rFonts w:ascii="Verdana" w:hAnsi="Verdana"/>
                          <w:color w:val="000000"/>
                          <w:sz w:val="18"/>
                          <w:szCs w:val="18"/>
                        </w:rPr>
                        <w:t xml:space="preserve"> American Medical Association. All rights reserved.</w:t>
                      </w:r>
                    </w:p>
                    <w:p w14:paraId="01570154" w14:textId="77777777" w:rsidR="004A0730" w:rsidRPr="00396345" w:rsidRDefault="004A0730" w:rsidP="00F258D6">
                      <w:pPr>
                        <w:pStyle w:val="Caption"/>
                        <w:rPr>
                          <w:noProof/>
                        </w:rPr>
                      </w:pPr>
                    </w:p>
                  </w:txbxContent>
                </v:textbox>
                <w10:wrap type="square"/>
              </v:shape>
            </w:pict>
          </mc:Fallback>
        </mc:AlternateContent>
      </w:r>
      <w:r w:rsidR="00673763">
        <w:t>For example,</w:t>
      </w:r>
      <w:r w:rsidR="0071324E">
        <w:t xml:space="preserve"> </w:t>
      </w:r>
      <w:r w:rsidR="00673763">
        <w:t>Tan et al</w:t>
      </w:r>
      <w:r w:rsidR="001033CA">
        <w:fldChar w:fldCharType="begin">
          <w:fldData xml:space="preserve">PEVuZE5vdGU+PENpdGU+PEF1dGhvcj5UYW48L0F1dGhvcj48WWVhcj4yMDEyPC9ZZWFyPjxSZWNO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</w:fldData>
        </w:fldChar>
      </w:r>
      <w:r w:rsidR="001033CA">
        <w:instrText xml:space="preserve"> ADDIN EN.CITE </w:instrText>
      </w:r>
      <w:r w:rsidR="001033CA">
        <w:fldChar w:fldCharType="begin">
          <w:fldData xml:space="preserve">PEVuZE5vdGU+PENpdGU+PEF1dGhvcj5UYW48L0F1dGhvcj48WWVhcj4yMDEyPC9ZZWFyPjxSZWNO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</w:fldData>
        </w:fldChar>
      </w:r>
      <w:r w:rsidR="001033CA">
        <w:instrText xml:space="preserve"> ADDIN EN.CITE.DATA </w:instrText>
      </w:r>
      <w:r w:rsidR="001033CA">
        <w:fldChar w:fldCharType="end"/>
      </w:r>
      <w:r w:rsidR="001033CA">
        <w:fldChar w:fldCharType="separate"/>
      </w:r>
      <w:r w:rsidR="001033CA">
        <w:rPr>
          <w:noProof/>
        </w:rPr>
        <w:t>[6]</w:t>
      </w:r>
      <w:r w:rsidR="001033CA">
        <w:fldChar w:fldCharType="end"/>
      </w:r>
      <w:r w:rsidR="00673763">
        <w:t xml:space="preserve"> wished to compare partial nephrectomy (removing just the kidney tumor) with radical nephrec</w:t>
      </w:r>
      <w:r w:rsidR="0071324E">
        <w:t xml:space="preserve">tomy (removing the whole kidney and </w:t>
      </w:r>
      <w:r w:rsidR="00673763">
        <w:t xml:space="preserve">surrounding </w:t>
      </w:r>
      <w:r w:rsidR="0071324E">
        <w:t xml:space="preserve">lymph nodes) among </w:t>
      </w:r>
      <w:r w:rsidR="007F0528">
        <w:t>older</w:t>
      </w:r>
      <w:r w:rsidR="0071324E">
        <w:t xml:space="preserve"> patients with early</w:t>
      </w:r>
      <w:r w:rsidR="008B2F76">
        <w:t>-stage</w:t>
      </w:r>
      <w:r w:rsidR="0071324E">
        <w:t xml:space="preserve"> kidney cancer.  Radical nephrectomy has been the traditional treatment, and at the time of their study, many surgeons did not yet do partial nephrectomies in these patients.</w:t>
      </w:r>
      <w:r w:rsidR="003140A7">
        <w:t xml:space="preserve">  The authors used Medic</w:t>
      </w:r>
      <w:r w:rsidR="008B2F76">
        <w:t xml:space="preserve">are data to create a “differential distance” instrument for each of the 7,138 patients in the study, equal to the distance (in miles) between the closest </w:t>
      </w:r>
      <w:r w:rsidR="007F0528">
        <w:t xml:space="preserve">surgeon who had performed at least one partial </w:t>
      </w:r>
      <w:r w:rsidR="008B2F76">
        <w:t>nephrectomy</w:t>
      </w:r>
      <w:r w:rsidR="007F0528">
        <w:t xml:space="preserve"> in the previous year and</w:t>
      </w:r>
      <w:r w:rsidR="008B2F76">
        <w:t xml:space="preserve"> </w:t>
      </w:r>
      <w:r w:rsidR="007F0528">
        <w:t>the closest kidney surgeon</w:t>
      </w:r>
      <w:r w:rsidR="00DE6006">
        <w:t xml:space="preserve"> of any kind</w:t>
      </w:r>
      <w:r w:rsidR="007F0528">
        <w:t xml:space="preserve">. (Thus, this distance would be 0 if the closest kidney surgeon had performed at least one </w:t>
      </w:r>
      <w:r w:rsidR="008E550B">
        <w:t>partial</w:t>
      </w:r>
      <w:r w:rsidR="007F0528">
        <w:t xml:space="preserve"> nephrectomy in the previous year.</w:t>
      </w:r>
      <w:r w:rsidR="00DE6006">
        <w:t xml:space="preserve">)  They showed that as </w:t>
      </w:r>
      <w:r w:rsidR="00DE6006">
        <w:lastRenderedPageBreak/>
        <w:t xml:space="preserve">this differential distance </w:t>
      </w:r>
      <w:r w:rsidR="00F86AAD">
        <w:t>increased</w:t>
      </w:r>
      <w:r w:rsidR="00DE6006">
        <w:t xml:space="preserve">, patients were </w:t>
      </w:r>
      <w:r w:rsidR="00F86AAD">
        <w:t>less</w:t>
      </w:r>
      <w:r w:rsidR="00DE6006">
        <w:t xml:space="preserve"> likely to be treated with </w:t>
      </w:r>
      <w:r w:rsidR="00984C86">
        <w:t>partial</w:t>
      </w:r>
      <w:r w:rsidR="00DE6006">
        <w:t xml:space="preserve"> nephrectomy</w:t>
      </w:r>
      <w:r w:rsidR="00984C86">
        <w:t>, as expected</w:t>
      </w:r>
      <w:r w:rsidR="000712A0">
        <w:t xml:space="preserve"> (Figure 9.</w:t>
      </w:r>
      <w:r w:rsidR="00F86AAD">
        <w:t>3</w:t>
      </w:r>
      <w:r w:rsidR="000712A0">
        <w:t>)</w:t>
      </w:r>
      <w:r w:rsidR="00DE6006">
        <w:t>.</w:t>
      </w:r>
      <w:r w:rsidR="00F258D6">
        <w:rPr>
          <w:rStyle w:val="FootnoteReference"/>
        </w:rPr>
        <w:footnoteReference w:id="3"/>
      </w:r>
      <w:r w:rsidR="000712A0">
        <w:t xml:space="preserve">  </w:t>
      </w:r>
      <w:r w:rsidR="00F258D6">
        <w:t xml:space="preserve">The authors found </w:t>
      </w:r>
      <w:r w:rsidR="000D3758">
        <w:t xml:space="preserve">that the instrument, shorter differential distance, was a statistically significant predictor of decreased mortality.  Assuming that the only reason for this is the increased likelihood of partial vs. total nephrectomy, the authors calculated that </w:t>
      </w:r>
      <w:r w:rsidR="00E944BC">
        <w:t>hazard ratio</w:t>
      </w:r>
      <w:r w:rsidR="000D3758">
        <w:t xml:space="preserve"> associated with partial vs. </w:t>
      </w:r>
      <w:r w:rsidR="00C53BB9">
        <w:t>total</w:t>
      </w:r>
      <w:r w:rsidR="000D3758">
        <w:t xml:space="preserve"> nephrectomy </w:t>
      </w:r>
      <w:r w:rsidR="00E944BC">
        <w:t>was 0.54 (95% CI 0.34, 0.85)</w:t>
      </w:r>
      <w:r w:rsidR="00B2688D">
        <w:t>,</w:t>
      </w:r>
      <w:r w:rsidR="00E944BC">
        <w:t xml:space="preserve"> corresponding to an absolute increase in 8-year survival of 15.5%. </w:t>
      </w:r>
      <w:r w:rsidR="00F258D6">
        <w:t xml:space="preserve"> </w:t>
      </w:r>
      <w:r w:rsidR="000D3758">
        <w:t xml:space="preserve">  </w:t>
      </w:r>
    </w:p>
    <w:p w14:paraId="57E4E165" w14:textId="15D757F2" w:rsidR="009C6D87" w:rsidRDefault="009C6D87" w:rsidP="008D2113">
      <w:pPr>
        <w:pStyle w:val="NormalWeb"/>
      </w:pPr>
      <w:r>
        <w:t>This type of geographic proximity instrument has also been used for</w:t>
      </w:r>
      <w:r w:rsidR="00602849">
        <w:t xml:space="preserve"> many other treatments, including</w:t>
      </w:r>
      <w:r>
        <w:t xml:space="preserve"> </w:t>
      </w:r>
      <w:r w:rsidR="00602849">
        <w:t>heart attack</w:t>
      </w:r>
      <w:r>
        <w:t xml:space="preserve"> interventions</w:t>
      </w:r>
      <w:r w:rsidR="001033CA">
        <w:fldChar w:fldCharType="begin"/>
      </w:r>
      <w:r w:rsidR="001033CA">
        <w:instrText xml:space="preserve"> ADDIN EN.CITE &lt;EndNote&gt;&lt;Cite&gt;&lt;Author&gt;McClellan&lt;/Author&gt;&lt;Year&gt;1994&lt;/Year&gt;&lt;RecNum&gt;735&lt;/RecNum&gt;&lt;DisplayText&gt;[7]&lt;/DisplayText&gt;&lt;record&gt;&lt;rec-number&gt;735&lt;/rec-number&gt;&lt;foreign-keys&gt;&lt;key app="EN" db-id="zvsswrav8t2apbep2dbpv25ufvpprfe9rpex" timestamp="0"&gt;735&lt;/key&gt;&lt;/foreign-keys&gt;&lt;ref-type name="Journal Article"&gt;17&lt;/ref-type&gt;&lt;contributors&gt;&lt;authors&gt;&lt;author&gt;McClellan, M.&lt;/author&gt;&lt;author&gt;McNeil, B. J.&lt;/author&gt;&lt;author&gt;Newhouse, J. P.&lt;/author&gt;&lt;/authors&gt;&lt;/contributors&gt;&lt;titles&gt;&lt;title&gt;Does more intensive treatment of acute myocardial infarction in the elderly reduce mortality? Analysis using instrumental variables&lt;/title&gt;&lt;secondary-title&gt;JAMA&lt;/secondary-title&gt;&lt;/titles&gt;&lt;periodical&gt;&lt;full-title&gt;JAMA&lt;/full-title&gt;&lt;/periodical&gt;&lt;pages&gt;859-66.&lt;/pages&gt;&lt;volume&gt;272&lt;/volume&gt;&lt;number&gt;11&lt;/number&gt;&lt;keywords&gt;&lt;keyword&gt;Aged&lt;/keyword&gt;&lt;keyword&gt;Analysis of Variance&lt;/keyword&gt;&lt;keyword&gt;Comorbidity&lt;/keyword&gt;&lt;keyword&gt;Female&lt;/keyword&gt;&lt;keyword&gt;Health Services Accessibility/statistics &amp;amp; numerical data&lt;/keyword&gt;&lt;keyword&gt;Health Services Research/methods&lt;/keyword&gt;&lt;keyword&gt;Heart Catheterization/*utilization&lt;/keyword&gt;&lt;keyword&gt;Hospitals/classification/*statistics &amp;amp; numerical data/utilization&lt;/keyword&gt;&lt;keyword&gt;Human&lt;/keyword&gt;&lt;keyword&gt;Male&lt;/keyword&gt;&lt;keyword&gt;Medicare/statistics &amp;amp; numerical data&lt;/keyword&gt;&lt;keyword&gt;*Models, Statistical&lt;/keyword&gt;&lt;keyword&gt;Myocardial Infarction/*mortality/*therapy&lt;/keyword&gt;&lt;keyword&gt;Myocardial Revascularization/*utilization&lt;/keyword&gt;&lt;keyword&gt;*Outcome and Process Assessment (Health Care)/statistics &amp;amp; numerical data&lt;/keyword&gt;&lt;keyword&gt;Selection Bias&lt;/keyword&gt;&lt;keyword&gt;Support, U.S. Gov&amp;apos;t, P.H.S.&lt;/keyword&gt;&lt;keyword&gt;Survival Analysis&lt;/keyword&gt;&lt;keyword&gt;Technology Assessment, Biomedical&lt;/keyword&gt;&lt;keyword&gt;United States/epidemiology&lt;/keyword&gt;&lt;/keywords&gt;&lt;dates&gt;&lt;year&gt;1994&lt;/year&gt;&lt;/dates&gt;&lt;urls&gt;&lt;/urls&gt;&lt;/record&gt;&lt;/Cite&gt;&lt;/EndNote&gt;</w:instrText>
      </w:r>
      <w:r w:rsidR="001033CA">
        <w:fldChar w:fldCharType="separate"/>
      </w:r>
      <w:r w:rsidR="001033CA">
        <w:rPr>
          <w:noProof/>
        </w:rPr>
        <w:t>[7]</w:t>
      </w:r>
      <w:r w:rsidR="001033CA">
        <w:fldChar w:fldCharType="end"/>
      </w:r>
      <w:r w:rsidR="00602849" w:rsidRPr="00602849">
        <w:t xml:space="preserve"> </w:t>
      </w:r>
      <w:r>
        <w:t>and hip fracture anesthesia.</w:t>
      </w:r>
      <w:r w:rsidR="001033CA">
        <w:fldChar w:fldCharType="begin">
          <w:fldData xml:space="preserve">PEVuZE5vdGU+PENpdGU+PEF1dGhvcj5OZXVtYW48L0F1dGhvcj48WWVhcj4yMDE0PC9ZZWFyPjxS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==
</w:fldData>
        </w:fldChar>
      </w:r>
      <w:r w:rsidR="001033CA">
        <w:instrText xml:space="preserve"> ADDIN EN.CITE </w:instrText>
      </w:r>
      <w:r w:rsidR="001033CA">
        <w:fldChar w:fldCharType="begin">
          <w:fldData xml:space="preserve">PEVuZE5vdGU+PENpdGU+PEF1dGhvcj5OZXVtYW48L0F1dGhvcj48WWVhcj4yMDE0PC9ZZWFyPjxS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==
</w:fldData>
        </w:fldChar>
      </w:r>
      <w:r w:rsidR="001033CA">
        <w:instrText xml:space="preserve"> ADDIN EN.CITE.DATA </w:instrText>
      </w:r>
      <w:r w:rsidR="001033CA">
        <w:fldChar w:fldCharType="end"/>
      </w:r>
      <w:r w:rsidR="001033CA">
        <w:fldChar w:fldCharType="separate"/>
      </w:r>
      <w:r w:rsidR="001033CA">
        <w:rPr>
          <w:noProof/>
        </w:rPr>
        <w:t>[8]</w:t>
      </w:r>
      <w:r w:rsidR="001033CA">
        <w:fldChar w:fldCharType="end"/>
      </w:r>
      <w:r w:rsidR="00F258D6">
        <w:t xml:space="preserve"> </w:t>
      </w:r>
      <w:r>
        <w:t>It</w:t>
      </w:r>
      <w:r w:rsidR="00602849">
        <w:t>s</w:t>
      </w:r>
      <w:r>
        <w:t xml:space="preserve"> main limitation is the assumption that there are </w:t>
      </w:r>
      <w:proofErr w:type="spellStart"/>
      <w:r>
        <w:t>not</w:t>
      </w:r>
      <w:proofErr w:type="spellEnd"/>
      <w:r>
        <w:t xml:space="preserve"> other important differences between patients who live near different hospitals besides those measured and controlled for in analyses.</w:t>
      </w:r>
      <w:r w:rsidR="001033CA">
        <w:fldChar w:fldCharType="begin"/>
      </w:r>
      <w:r w:rsidR="001033CA">
        <w:instrText xml:space="preserve"> ADDIN EN.CITE &lt;EndNote&gt;&lt;Cite&gt;&lt;Author&gt;Garabedian&lt;/Author&gt;&lt;Year&gt;2014&lt;/Year&gt;&lt;RecNum&gt;3317&lt;/RecNum&gt;&lt;DisplayText&gt;[9]&lt;/DisplayText&gt;&lt;record&gt;&lt;rec-number&gt;3317&lt;/rec-number&gt;&lt;foreign-keys&gt;&lt;key app="EN" db-id="zvsswrav8t2apbep2dbpv25ufvpprfe9rpex" timestamp="0"&gt;3317&lt;/key&gt;&lt;/foreign-keys&gt;&lt;ref-type name="Journal Article"&gt;17&lt;/ref-type&gt;&lt;contributors&gt;&lt;authors&gt;&lt;author&gt;Garabedian, L. F.&lt;/author&gt;&lt;author&gt;Chu, P.&lt;/author&gt;&lt;author&gt;Toh, S.&lt;/author&gt;&lt;author&gt;Zaslavsky, A. M.&lt;/author&gt;&lt;author&gt;Soumerai, S. B.&lt;/author&gt;&lt;/authors&gt;&lt;/contributors&gt;&lt;titles&gt;&lt;title&gt;Potential bias of instrumental variable analyses for observational comparative effectiveness research&lt;/title&gt;&lt;secondary-title&gt;Ann Intern Med&lt;/secondary-title&gt;&lt;alt-title&gt;Annals of internal medicine&lt;/alt-title&gt;&lt;/titles&gt;&lt;periodical&gt;&lt;full-title&gt;Ann Intern Med&lt;/full-title&gt;&lt;/periodical&gt;&lt;pages&gt;131-8&lt;/pages&gt;&lt;volume&gt;161&lt;/volume&gt;&lt;number&gt;2&lt;/number&gt;&lt;keywords&gt;&lt;keyword&gt;Bias (Epidemiology)&lt;/keyword&gt;&lt;keyword&gt;Comparative Effectiveness Research/*methods&lt;/keyword&gt;&lt;keyword&gt;*Confounding Factors (Epidemiology)&lt;/keyword&gt;&lt;keyword&gt;Humans&lt;/keyword&gt;&lt;keyword&gt;Observational Study as Topic/*methods&lt;/keyword&gt;&lt;keyword&gt;Regression Analysis&lt;/keyword&gt;&lt;/keywords&gt;&lt;dates&gt;&lt;year&gt;2014&lt;/year&gt;&lt;pub-dates&gt;&lt;date&gt;Jul 15&lt;/date&gt;&lt;/pub-dates&gt;&lt;/dates&gt;&lt;isbn&gt;1539-3704 (Electronic)&amp;#xD;0003-4819 (Linking)&lt;/isbn&gt;&lt;accession-num&gt;25023252&lt;/accession-num&gt;&lt;urls&gt;&lt;related-urls&gt;&lt;url&gt;http://www.ncbi.nlm.nih.gov/pubmed/25023252&lt;/url&gt;&lt;/related-urls&gt;&lt;/urls&gt;&lt;electronic-resource-num&gt;10.7326/M13-1887&lt;/electronic-resource-num&gt;&lt;/record&gt;&lt;/Cite&gt;&lt;/EndNote&gt;</w:instrText>
      </w:r>
      <w:r w:rsidR="001033CA">
        <w:fldChar w:fldCharType="separate"/>
      </w:r>
      <w:r w:rsidR="001033CA">
        <w:rPr>
          <w:noProof/>
        </w:rPr>
        <w:t>[9]</w:t>
      </w:r>
      <w:r w:rsidR="001033CA">
        <w:fldChar w:fldCharType="end"/>
      </w:r>
      <w:r>
        <w:t xml:space="preserve"> For example, are patients </w:t>
      </w:r>
      <w:r w:rsidR="00EE6E60">
        <w:t xml:space="preserve">who </w:t>
      </w:r>
      <w:r>
        <w:t>live near medical centers that offer newer procedures likely to have different health habits</w:t>
      </w:r>
      <w:r w:rsidR="00602849">
        <w:t xml:space="preserve"> or get better medical care in other ways? </w:t>
      </w:r>
      <w:r w:rsidR="00F86AAD">
        <w:t xml:space="preserve"> The causal inference can be strengthened if the authors search for and fail to find evidence that underlying assumptions might be violated (for example, by looking for differences in outcomes thought not to be related to the treatment of interest).  This is the topic of the next section.</w:t>
      </w:r>
    </w:p>
    <w:p w14:paraId="02A7C466" w14:textId="77777777" w:rsidR="00B025AD" w:rsidRPr="00504F99" w:rsidRDefault="002F6CDD" w:rsidP="002E5ED6">
      <w:pPr>
        <w:pStyle w:val="Heading2"/>
      </w:pPr>
      <w:r>
        <w:t>Falsification tests for</w:t>
      </w:r>
      <w:r w:rsidR="004040C1" w:rsidRPr="00504F99">
        <w:t xml:space="preserve"> confounding or bias</w:t>
      </w:r>
    </w:p>
    <w:p w14:paraId="79263553" w14:textId="2BD4B4CA" w:rsidR="00213F64" w:rsidRDefault="004040C1" w:rsidP="008D2113">
      <w:pPr>
        <w:pStyle w:val="NormalWeb"/>
      </w:pPr>
      <w:r w:rsidRPr="00504F99">
        <w:t xml:space="preserve">Clinical trials, natural experiments, and studies using instrumental variables all </w:t>
      </w:r>
      <w:r w:rsidR="008E550B">
        <w:t>share the</w:t>
      </w:r>
      <w:r w:rsidRPr="00504F99">
        <w:t xml:space="preserve"> goal of minimizing or controlling confounding. A </w:t>
      </w:r>
      <w:r w:rsidR="00E6082C">
        <w:t>complementary</w:t>
      </w:r>
      <w:r w:rsidR="006F6D7A" w:rsidRPr="00504F99">
        <w:t xml:space="preserve"> </w:t>
      </w:r>
      <w:r w:rsidRPr="00504F99">
        <w:t xml:space="preserve">approach is not to control confounding but to </w:t>
      </w:r>
      <w:r w:rsidR="00213F64">
        <w:t xml:space="preserve">propose falsification tests, i.e., comparisons designed to </w:t>
      </w:r>
      <w:r w:rsidRPr="00504F99">
        <w:t>make</w:t>
      </w:r>
      <w:r w:rsidR="00213F64">
        <w:t xml:space="preserve"> you</w:t>
      </w:r>
      <w:r w:rsidR="004609E1">
        <w:t xml:space="preserve">r hypothesis look less credible.  </w:t>
      </w:r>
      <w:r w:rsidR="0064375E">
        <w:t>These should</w:t>
      </w:r>
      <w:r w:rsidR="00213F64">
        <w:t xml:space="preserve"> be specified in advance, to avoid the temptation of running multiple falsification tests and reporting only those that look good.</w:t>
      </w:r>
      <w:r w:rsidR="001033CA">
        <w:fldChar w:fldCharType="begin"/>
      </w:r>
      <w:r w:rsidR="001033CA">
        <w:instrText xml:space="preserve"> ADDIN EN.CITE &lt;EndNote&gt;&lt;Cite&gt;&lt;Author&gt;Prasad&lt;/Author&gt;&lt;Year&gt;2013&lt;/Year&gt;&lt;RecNum&gt;1152&lt;/RecNum&gt;&lt;DisplayText&gt;[10]&lt;/DisplayText&gt;&lt;record&gt;&lt;rec-number&gt;1152&lt;/rec-number&gt;&lt;foreign-keys&gt;&lt;key app="EN" db-id="zvsswrav8t2apbep2dbpv25ufvpprfe9rpex" timestamp="0"&gt;1152&lt;/key&gt;&lt;/foreign-keys&gt;&lt;ref-type name="Journal Article"&gt;17&lt;/ref-type&gt;&lt;contributors&gt;&lt;authors&gt;&lt;author&gt;Prasad, V.&lt;/author&gt;&lt;author&gt;Jena, A. B.&lt;/author&gt;&lt;/authors&gt;&lt;/contributors&gt;&lt;auth-address&gt;Medical Oncology Branch, National Cancer Institute, National Institutes of Health, Bethesda, Maryland, USA.&lt;/auth-address&gt;&lt;titles&gt;&lt;title&gt;Prespecified falsification end points: can they validate true observational associations?&lt;/title&gt;&lt;secondary-title&gt;JAMA&lt;/secondary-title&gt;&lt;/titles&gt;&lt;periodical&gt;&lt;full-title&gt;JAMA&lt;/full-title&gt;&lt;/periodical&gt;&lt;pages&gt;241-2&lt;/pages&gt;&lt;volume&gt;309&lt;/volume&gt;&lt;number&gt;3&lt;/number&gt;&lt;edition&gt;2013/01/17&lt;/edition&gt;&lt;keywords&gt;&lt;keyword&gt;*Causality&lt;/keyword&gt;&lt;keyword&gt;*Drug Toxicity&lt;/keyword&gt;&lt;keyword&gt;*Endpoint Determination&lt;/keyword&gt;&lt;keyword&gt;*Fraud&lt;/keyword&gt;&lt;keyword&gt;*Observation&lt;/keyword&gt;&lt;keyword&gt;Observer Variation&lt;/keyword&gt;&lt;keyword&gt;Product Surveillance, Postmarketing&lt;/keyword&gt;&lt;keyword&gt;Research Design&lt;/keyword&gt;&lt;keyword&gt;Sample Size&lt;/keyword&gt;&lt;/keywords&gt;&lt;dates&gt;&lt;year&gt;2013&lt;/year&gt;&lt;pub-dates&gt;&lt;date&gt;Jan 16&lt;/date&gt;&lt;/pub-dates&gt;&lt;/dates&gt;&lt;isbn&gt;1538-3598 (Electronic)&amp;#xD;0098-7484 (Linking)&lt;/isbn&gt;&lt;accession-num&gt;23321761&lt;/accession-num&gt;&lt;urls&gt;&lt;related-urls&gt;&lt;url&gt;http://www.ncbi.nlm.nih.gov/entrez/query.fcgi?cmd=Retrieve&amp;amp;db=PubMed&amp;amp;dopt=Citation&amp;amp;list_uids=23321761&lt;/url&gt;&lt;/related-urls&gt;&lt;/urls&gt;&lt;electronic-resource-num&gt;1557739 [pii]&amp;#xD;10.1001/jama.2012.96867&lt;/electronic-resource-num&gt;&lt;language&gt;eng&lt;/language&gt;&lt;/record&gt;&lt;/Cite&gt;&lt;/EndNote&gt;</w:instrText>
      </w:r>
      <w:r w:rsidR="001033CA">
        <w:fldChar w:fldCharType="separate"/>
      </w:r>
      <w:r w:rsidR="001033CA">
        <w:rPr>
          <w:noProof/>
        </w:rPr>
        <w:t>[10]</w:t>
      </w:r>
      <w:r w:rsidR="001033CA">
        <w:fldChar w:fldCharType="end"/>
      </w:r>
      <w:r w:rsidR="00213F64">
        <w:t xml:space="preserve">  </w:t>
      </w:r>
    </w:p>
    <w:p w14:paraId="49D89ACE" w14:textId="77777777" w:rsidR="00213F64" w:rsidRDefault="004040C1" w:rsidP="008D2113">
      <w:pPr>
        <w:pStyle w:val="NormalWeb"/>
      </w:pPr>
      <w:r w:rsidRPr="00504F99">
        <w:t xml:space="preserve">There are </w:t>
      </w:r>
      <w:r w:rsidR="00995FAA">
        <w:t>three</w:t>
      </w:r>
      <w:r w:rsidRPr="00504F99">
        <w:t xml:space="preserve"> </w:t>
      </w:r>
      <w:r w:rsidR="004609E1">
        <w:t xml:space="preserve">strategies for </w:t>
      </w:r>
      <w:r w:rsidRPr="00504F99">
        <w:t xml:space="preserve">these </w:t>
      </w:r>
      <w:r w:rsidR="004609E1">
        <w:t xml:space="preserve">falsification tests. </w:t>
      </w:r>
      <w:r w:rsidRPr="00504F99">
        <w:t xml:space="preserve">The </w:t>
      </w:r>
      <w:r w:rsidR="00AD55CF" w:rsidRPr="00504F99">
        <w:t>fi</w:t>
      </w:r>
      <w:r w:rsidRPr="00504F99">
        <w:t xml:space="preserve">rst is to </w:t>
      </w:r>
      <w:r w:rsidRPr="00602849">
        <w:rPr>
          <w:color w:val="008000"/>
        </w:rPr>
        <w:t>measure another outcome</w:t>
      </w:r>
      <w:r w:rsidRPr="00504F99">
        <w:t xml:space="preserve"> that would be affected by the unmeasured confounder of concern but not by the treatment. If the treatment seems to affect this second outcome, confounding is likely to be a problem. The second is to </w:t>
      </w:r>
      <w:r w:rsidRPr="00602849">
        <w:rPr>
          <w:color w:val="008000"/>
        </w:rPr>
        <w:t>measure another predictor</w:t>
      </w:r>
      <w:r w:rsidRPr="00504F99">
        <w:t xml:space="preserve"> variable in addition to the treatment of interest that is not felt to have a causal effect on the outcome but which should be associated with the unmeasured confounder. If confounding has an important effect on the relationship between the treatment and the outcome, it should also affect the relationship between the second predictor and the outcome. </w:t>
      </w:r>
      <w:r w:rsidR="00995FAA">
        <w:t xml:space="preserve"> Finally, the association can be studied in </w:t>
      </w:r>
      <w:r w:rsidR="00995FAA" w:rsidRPr="00995FAA">
        <w:rPr>
          <w:color w:val="008000"/>
        </w:rPr>
        <w:t>different patient populations</w:t>
      </w:r>
      <w:r w:rsidR="00995FAA">
        <w:t xml:space="preserve"> predicted to be more or less susceptible to the exposure or treatment being studied</w:t>
      </w:r>
      <w:r w:rsidR="004609E1">
        <w:t>; the effect should be smaller (or absent) in the less (or not) susceptible population.</w:t>
      </w:r>
    </w:p>
    <w:p w14:paraId="15B79FBD" w14:textId="300D22DA" w:rsidR="00B025AD" w:rsidRPr="00504F99" w:rsidRDefault="004040C1" w:rsidP="008D2113">
      <w:pPr>
        <w:pStyle w:val="NormalWeb"/>
      </w:pPr>
      <w:r w:rsidRPr="00504F99">
        <w:t xml:space="preserve">Concrete examples of these methods should help clarify </w:t>
      </w:r>
      <w:r w:rsidR="00B154AB">
        <w:t>this abstract discussion.</w:t>
      </w:r>
    </w:p>
    <w:p w14:paraId="4077D367" w14:textId="77777777" w:rsidR="00B025AD" w:rsidRPr="00504F99" w:rsidRDefault="004040C1" w:rsidP="00CB63BD">
      <w:pPr>
        <w:pStyle w:val="Heading3"/>
      </w:pPr>
      <w:r w:rsidRPr="00504F99">
        <w:lastRenderedPageBreak/>
        <w:t>Measuring another outcome</w:t>
      </w:r>
    </w:p>
    <w:p w14:paraId="4FF5E3AB" w14:textId="45CA9F44" w:rsidR="00213F64" w:rsidRDefault="00213F64" w:rsidP="00995FAA">
      <w:pPr>
        <w:pStyle w:val="NormalWeb"/>
      </w:pPr>
      <w:r>
        <w:t>A classic</w:t>
      </w:r>
      <w:r w:rsidR="004040C1" w:rsidRPr="00504F99">
        <w:t xml:space="preserve"> example of measuring a second outcome, subject to the same potential confounders as the outcome of interest</w:t>
      </w:r>
      <w:r>
        <w:t xml:space="preserve"> is a study of sigmoidoscopy by Se</w:t>
      </w:r>
      <w:r w:rsidR="00F13B97">
        <w:t>l</w:t>
      </w:r>
      <w:r>
        <w:t>by et al.</w:t>
      </w:r>
      <w:r w:rsidR="008806A9" w:rsidRPr="008806A9">
        <w:t xml:space="preserve"> </w:t>
      </w:r>
      <w:r w:rsidR="001033CA">
        <w:fldChar w:fldCharType="begin"/>
      </w:r>
      <w:r w:rsidR="001033CA">
        <w:instrText xml:space="preserve"> ADDIN EN.CITE &lt;EndNote&gt;&lt;Cite&gt;&lt;Author&gt;Selby&lt;/Author&gt;&lt;Year&gt;1992&lt;/Year&gt;&lt;RecNum&gt;2166&lt;/RecNum&gt;&lt;DisplayText&gt;[11]&lt;/DisplayText&gt;&lt;record&gt;&lt;rec-number&gt;2166&lt;/rec-number&gt;&lt;foreign-keys&gt;&lt;key app="EN" db-id="zvsswrav8t2apbep2dbpv25ufvpprfe9rpex" timestamp="0"&gt;2166&lt;/key&gt;&lt;/foreign-keys&gt;&lt;ref-type name="Journal Article"&gt;17&lt;/ref-type&gt;&lt;contributors&gt;&lt;authors&gt;&lt;author&gt;Selby, J. V.&lt;/author&gt;&lt;author&gt;Friedman, G. D.&lt;/author&gt;&lt;author&gt;Quesenberry, C. P., Jr.&lt;/author&gt;&lt;author&gt;Weiss, N. S.&lt;/author&gt;&lt;/authors&gt;&lt;/contributors&gt;&lt;auth-address&gt;Division of Research, Kaiser Permanente Medical Care Program, Oakland, Calif.&lt;/auth-address&gt;&lt;titles&gt;&lt;title&gt;A case-control study of screening sigmoidoscopy and mortality from colorectal cancer&lt;/title&gt;&lt;secondary-title&gt;N Engl J Med&lt;/secondary-title&gt;&lt;/titles&gt;&lt;periodical&gt;&lt;full-title&gt;N Engl J Med&lt;/full-title&gt;&lt;/periodical&gt;&lt;pages&gt;653-7&lt;/pages&gt;&lt;volume&gt;326&lt;/volume&gt;&lt;number&gt;10&lt;/number&gt;&lt;keywords&gt;&lt;keyword&gt;Aged&lt;/keyword&gt;&lt;keyword&gt;California/epidemiology&lt;/keyword&gt;&lt;keyword&gt;Case-Control Studies&lt;/keyword&gt;&lt;keyword&gt;Colorectal Neoplasms/diagnosis/*mortality&lt;/keyword&gt;&lt;keyword&gt;Female&lt;/keyword&gt;&lt;keyword&gt;Human&lt;/keyword&gt;&lt;keyword&gt;Male&lt;/keyword&gt;&lt;keyword&gt;Middle Age&lt;/keyword&gt;&lt;keyword&gt;Odds Ratio&lt;/keyword&gt;&lt;keyword&gt;Random Allocation&lt;/keyword&gt;&lt;keyword&gt;*Sigmoidoscopy&lt;/keyword&gt;&lt;keyword&gt;Support, U.S. Gov&amp;apos;t, P.H.S.&lt;/keyword&gt;&lt;keyword&gt;Time Factors&lt;/keyword&gt;&lt;/keywords&gt;&lt;dates&gt;&lt;year&gt;1992&lt;/year&gt;&lt;pub-dates&gt;&lt;date&gt;Mar 5&lt;/date&gt;&lt;/pub-dates&gt;&lt;/dates&gt;&lt;accession-num&gt;1736103&lt;/accession-num&gt;&lt;urls&gt;&lt;related-urls&gt;&lt;url&gt;http://www.ncbi.nlm.nih.gov/entrez/query.fcgi?cmd=Retrieve&amp;amp;db=PubMed&amp;amp;dopt=Citation&amp;amp;list_uids=1736103&lt;/url&gt;&lt;/related-urls&gt;&lt;/urls&gt;&lt;/record&gt;&lt;/Cite&gt;&lt;/EndNote&gt;</w:instrText>
      </w:r>
      <w:r w:rsidR="001033CA">
        <w:fldChar w:fldCharType="separate"/>
      </w:r>
      <w:r w:rsidR="001033CA">
        <w:rPr>
          <w:noProof/>
        </w:rPr>
        <w:t>[11]</w:t>
      </w:r>
      <w:r w:rsidR="001033CA">
        <w:fldChar w:fldCharType="end"/>
      </w:r>
      <w:r w:rsidR="004040C1" w:rsidRPr="00504F99">
        <w:t xml:space="preserve"> </w:t>
      </w:r>
      <w:r w:rsidR="006A4BB0">
        <w:t>In their</w:t>
      </w:r>
      <w:r w:rsidR="004040C1" w:rsidRPr="00504F99">
        <w:t xml:space="preserve"> case–control study of screening sigmoidoscopy to prevent colon cancer </w:t>
      </w:r>
      <w:r w:rsidR="00D3758C">
        <w:t>mortality</w:t>
      </w:r>
      <w:r w:rsidR="009932FB">
        <w:t xml:space="preserve">, they divided the </w:t>
      </w:r>
      <w:r w:rsidR="004040C1" w:rsidRPr="00504F99">
        <w:t xml:space="preserve">colon cancer deaths into those caused by cancers that likely were and were not within reach of the sigmoidoscope. The cancers not within reach of the sigmoidoscope were the second outcome; they were presumably associated with the same confounders as those within reach of the scope, but not </w:t>
      </w:r>
      <w:r w:rsidR="008806A9">
        <w:t xml:space="preserve">preventable </w:t>
      </w:r>
      <w:r w:rsidR="004040C1" w:rsidRPr="00504F99">
        <w:t xml:space="preserve">with the </w:t>
      </w:r>
      <w:r w:rsidR="008806A9">
        <w:t>sigmoidoscopy treatment</w:t>
      </w:r>
      <w:r w:rsidR="004040C1" w:rsidRPr="00504F99">
        <w:t xml:space="preserve">. Although the authors used logistic regression to adjust for relevant covariables, the particularly elegant aspect of the study is their demonstration that sigmoidoscopy conferred protection against deaths from colon cancers that were within reach of the sigmoidoscope (adjusted OR = 0.41; 95% CI 0.25 to 0.69), but not from those that were beyond the reach of the sigmoidoscope (OR = 0.96; 95% CI 0.61 to 1.50). If unmeasured confounders </w:t>
      </w:r>
      <w:r w:rsidR="008E550B">
        <w:t xml:space="preserve">like better health habits </w:t>
      </w:r>
      <w:r w:rsidR="004040C1" w:rsidRPr="00504F99">
        <w:t>were responsible for the apparent protective effect of sigmoidoscopy, it seems likely that they would have led to apparent protection from cancers both within and beyond the reach of the sigmoidoscope.</w:t>
      </w:r>
      <w:r w:rsidR="00360087">
        <w:rPr>
          <w:rStyle w:val="FootnoteReference"/>
        </w:rPr>
        <w:footnoteReference w:id="4"/>
      </w:r>
    </w:p>
    <w:p w14:paraId="272BFB61" w14:textId="77777777" w:rsidR="00B025AD" w:rsidRPr="00504F99" w:rsidRDefault="004040C1" w:rsidP="00CB63BD">
      <w:pPr>
        <w:pStyle w:val="Heading3"/>
      </w:pPr>
      <w:r w:rsidRPr="00504F99">
        <w:t>Measuring another predictor</w:t>
      </w:r>
    </w:p>
    <w:p w14:paraId="5D576D10" w14:textId="05333911" w:rsidR="00B025AD" w:rsidRPr="00504F99" w:rsidRDefault="004040C1" w:rsidP="003D118F">
      <w:pPr>
        <w:widowControl w:val="0"/>
        <w:autoSpaceDE w:val="0"/>
        <w:autoSpaceDN w:val="0"/>
        <w:adjustRightInd w:val="0"/>
        <w:spacing w:after="240" w:line="280" w:lineRule="atLeast"/>
      </w:pPr>
      <w:r w:rsidRPr="00504F99">
        <w:t xml:space="preserve">The second approach, measuring other predictors in addition to the treatment of interest, is illustrated </w:t>
      </w:r>
      <w:r w:rsidR="00992C63" w:rsidRPr="00504F99">
        <w:t xml:space="preserve">by a study of </w:t>
      </w:r>
      <w:r w:rsidR="00992C63">
        <w:t>whether the oral hypoglycemic drug pioglitazone causes bladder cancer.</w:t>
      </w:r>
      <w:r w:rsidR="004834F4" w:rsidRPr="004834F4">
        <w:t xml:space="preserve"> </w:t>
      </w:r>
      <w:r w:rsidR="008E550B">
        <w:t xml:space="preserve"> A</w:t>
      </w:r>
      <w:r w:rsidR="00DA3102">
        <w:t xml:space="preserve"> </w:t>
      </w:r>
      <w:r w:rsidR="00866C18">
        <w:t xml:space="preserve">retrospective cohort </w:t>
      </w:r>
      <w:r w:rsidR="009A1549">
        <w:t xml:space="preserve">study </w:t>
      </w:r>
      <w:r w:rsidR="00866C18">
        <w:t xml:space="preserve">of </w:t>
      </w:r>
      <w:r w:rsidR="003D118F">
        <w:rPr>
          <w:rFonts w:ascii="Times Roman" w:hAnsi="Times Roman" w:cs="Times Roman"/>
          <w:color w:val="000000"/>
        </w:rPr>
        <w:t xml:space="preserve">145,806 new users of antidiabetic drugs </w:t>
      </w:r>
      <w:r w:rsidR="00866C18">
        <w:t xml:space="preserve">in </w:t>
      </w:r>
      <w:r w:rsidR="009A1549">
        <w:t xml:space="preserve">the United Kingdom Clinical Practice Research </w:t>
      </w:r>
      <w:r w:rsidR="00A5573B">
        <w:t>database</w:t>
      </w:r>
      <w:r w:rsidR="004277E7">
        <w:t xml:space="preserve"> </w:t>
      </w:r>
      <w:r w:rsidR="00E52D0C">
        <w:t xml:space="preserve">found an </w:t>
      </w:r>
      <w:r w:rsidR="00DA7469">
        <w:t xml:space="preserve">increased risk of </w:t>
      </w:r>
      <w:r w:rsidR="00406135">
        <w:t xml:space="preserve">bladder cancer </w:t>
      </w:r>
      <w:r w:rsidR="00DA7469">
        <w:t xml:space="preserve">with pioglitazone </w:t>
      </w:r>
      <w:r w:rsidR="00406135">
        <w:t>(</w:t>
      </w:r>
      <w:r w:rsidR="00CD37B4">
        <w:t xml:space="preserve">adjusted </w:t>
      </w:r>
      <w:r w:rsidR="00406135">
        <w:t xml:space="preserve">hazard ratio 1.63, 95% CI 1.22, 2.19) but not with the closely related </w:t>
      </w:r>
      <w:r w:rsidR="003552D1">
        <w:t xml:space="preserve">oral hypoglycemic </w:t>
      </w:r>
      <w:r w:rsidR="00406135">
        <w:t xml:space="preserve">drug </w:t>
      </w:r>
      <w:r w:rsidR="00E54D88">
        <w:t>rosiglitazone (</w:t>
      </w:r>
      <w:r w:rsidR="00CD37B4">
        <w:t xml:space="preserve">adjusted </w:t>
      </w:r>
      <w:r w:rsidR="003552D1">
        <w:t>hazard ratio 1.1, 95% CI 0.</w:t>
      </w:r>
      <w:r w:rsidR="00E54D88">
        <w:t>83, 1.47).</w:t>
      </w:r>
      <w:r w:rsidR="008E550B" w:rsidRPr="008E550B">
        <w:t xml:space="preserve"> </w:t>
      </w:r>
      <w:r w:rsidR="001033CA">
        <w:fldChar w:fldCharType="begin">
          <w:fldData xml:space="preserve">PEVuZE5vdGU+PENpdGU+PEF1dGhvcj5UdWNjb3JpPC9BdXRob3I+PFllYXI+MjAxNjwvWWVhcj48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</w:fldData>
        </w:fldChar>
      </w:r>
      <w:r w:rsidR="001033CA">
        <w:instrText xml:space="preserve"> ADDIN EN.CITE </w:instrText>
      </w:r>
      <w:r w:rsidR="001033CA">
        <w:fldChar w:fldCharType="begin">
          <w:fldData xml:space="preserve">PEVuZE5vdGU+PENpdGU+PEF1dGhvcj5UdWNjb3JpPC9BdXRob3I+PFllYXI+MjAxNjwvWWVhcj48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</w:fldData>
        </w:fldChar>
      </w:r>
      <w:r w:rsidR="001033CA">
        <w:instrText xml:space="preserve"> ADDIN EN.CITE.DATA </w:instrText>
      </w:r>
      <w:r w:rsidR="001033CA">
        <w:fldChar w:fldCharType="end"/>
      </w:r>
      <w:r w:rsidR="001033CA">
        <w:fldChar w:fldCharType="separate"/>
      </w:r>
      <w:r w:rsidR="001033CA">
        <w:rPr>
          <w:noProof/>
        </w:rPr>
        <w:t>[12]</w:t>
      </w:r>
      <w:r w:rsidR="001033CA">
        <w:fldChar w:fldCharType="end"/>
      </w:r>
      <w:r w:rsidR="008E550B">
        <w:t xml:space="preserve"> </w:t>
      </w:r>
      <w:r w:rsidR="007F44CC">
        <w:t xml:space="preserve">  The risk with piogli</w:t>
      </w:r>
      <w:r w:rsidR="00C65171">
        <w:t>t</w:t>
      </w:r>
      <w:r w:rsidR="007F44CC">
        <w:t>azone increased with cumulative dose and duration, whereas there was no such effect with rosiglitazone.</w:t>
      </w:r>
      <w:r w:rsidR="00B70955">
        <w:t xml:space="preserve"> This result was consistent with a meta-analysis of both randomized trials and observational studies</w:t>
      </w:r>
      <w:r w:rsidR="009751FF">
        <w:t>,</w:t>
      </w:r>
      <w:r w:rsidR="001033CA">
        <w:fldChar w:fldCharType="begin"/>
      </w:r>
      <w:r w:rsidR="001033CA">
        <w:instrText xml:space="preserve"> ADDIN EN.CITE &lt;EndNote&gt;&lt;Cite&gt;&lt;Author&gt;Turner&lt;/Author&gt;&lt;Year&gt;2014&lt;/Year&gt;&lt;RecNum&gt;4247&lt;/RecNum&gt;&lt;DisplayText&gt;[13]&lt;/DisplayText&gt;&lt;record&gt;&lt;rec-number&gt;4247&lt;/rec-number&gt;&lt;foreign-keys&gt;&lt;key app="EN" db-id="zvsswrav8t2apbep2dbpv25ufvpprfe9rpex" timestamp="1539630414"&gt;4247&lt;/key&gt;&lt;/foreign-keys&gt;&lt;ref-type name="Journal Article"&gt;17&lt;/ref-type&gt;&lt;contributors&gt;&lt;authors&gt;&lt;author&gt;Turner, R. M.&lt;/author&gt;&lt;author&gt;Kwok, C. S.&lt;/author&gt;&lt;author&gt;Chen-Turner, C.&lt;/author&gt;&lt;author&gt;Maduakor, C. A.&lt;/author&gt;&lt;author&gt;Singh, S.&lt;/author&gt;&lt;author&gt;Loke, Y. K.&lt;/author&gt;&lt;/authors&gt;&lt;/contributors&gt;&lt;auth-address&gt;Department of Molecular and Clinical Pharmacology, University of Liverpool, Liverpool, UK; Royal Liverpool University Hospital, Liverpool, UK.&lt;/auth-address&gt;&lt;titles&gt;&lt;title&gt;Thiazolidinediones and associated risk of bladder cancer: a systematic review and meta-analysis&lt;/title&gt;&lt;secondary-title&gt;Br J Clin Pharmacol&lt;/secondary-title&gt;&lt;/titles&gt;&lt;periodical&gt;&lt;full-title&gt;Br J Clin Pharmacol&lt;/full-title&gt;&lt;/periodical&gt;&lt;pages&gt;258-73&lt;/pages&gt;&lt;volume&gt;78&lt;/volume&gt;&lt;number&gt;2&lt;/number&gt;&lt;edition&gt;2013/12/12&lt;/edition&gt;&lt;keywords&gt;&lt;keyword&gt;Data Interpretation, Statistical&lt;/keyword&gt;&lt;keyword&gt;Dose-Response Relationship, Drug&lt;/keyword&gt;&lt;keyword&gt;Humans&lt;/keyword&gt;&lt;keyword&gt;Risk&lt;/keyword&gt;&lt;keyword&gt;Thiazolidinediones/administration &amp;amp; dosage/*adverse effects/therapeutic use&lt;/keyword&gt;&lt;keyword&gt;Urinary Bladder Neoplasms/*chemically induced&lt;/keyword&gt;&lt;keyword&gt;diabetes mellitus&lt;/keyword&gt;&lt;keyword&gt;meta-analysis&lt;/keyword&gt;&lt;keyword&gt;pioglitazone&lt;/keyword&gt;&lt;keyword&gt;rosiglitazone&lt;/keyword&gt;&lt;keyword&gt;thiazolidinedione&lt;/keyword&gt;&lt;keyword&gt;urinary bladder neoplasm&lt;/keyword&gt;&lt;/keywords&gt;&lt;dates&gt;&lt;year&gt;2014&lt;/year&gt;&lt;pub-dates&gt;&lt;date&gt;Aug&lt;/date&gt;&lt;/pub-dates&gt;&lt;/dates&gt;&lt;isbn&gt;1365-2125 (Electronic)&amp;#xD;0306-5251 (Linking)&lt;/isbn&gt;&lt;accession-num&gt;24325197&lt;/accession-num&gt;&lt;urls&gt;&lt;related-urls&gt;&lt;url&gt;https://www.ncbi.nlm.nih.gov/pubmed/24325197&lt;/url&gt;&lt;/related-urls&gt;&lt;/urls&gt;&lt;custom2&gt;PMC4137819&lt;/custom2&gt;&lt;electronic-resource-num&gt;10.1111/bcp.12306&lt;/electronic-resource-num&gt;&lt;/record&gt;&lt;/Cite&gt;&lt;/EndNote&gt;</w:instrText>
      </w:r>
      <w:r w:rsidR="001033CA">
        <w:fldChar w:fldCharType="separate"/>
      </w:r>
      <w:r w:rsidR="001033CA">
        <w:rPr>
          <w:noProof/>
        </w:rPr>
        <w:t>[13]</w:t>
      </w:r>
      <w:r w:rsidR="001033CA">
        <w:fldChar w:fldCharType="end"/>
      </w:r>
      <w:r w:rsidR="009751FF">
        <w:t xml:space="preserve"> but would have been even more convincing if the authors' </w:t>
      </w:r>
      <w:r w:rsidR="006B5609">
        <w:t>Table 1 would have compared pioglitazone users with rosiglitazone users (rather than with pioglitazone nonusers) and if the authors had shown no difference in other (non-bladder cancer) outcomes between users of the two drugs.</w:t>
      </w:r>
    </w:p>
    <w:p w14:paraId="7DFFDAD2" w14:textId="6D910B55" w:rsidR="00B025AD" w:rsidRDefault="00B60999" w:rsidP="008D2113">
      <w:pPr>
        <w:pStyle w:val="NormalWeb"/>
      </w:pPr>
      <w:r>
        <w:t>A humbling example of the limitations of measuring a</w:t>
      </w:r>
      <w:r w:rsidR="008A43DC">
        <w:t>n</w:t>
      </w:r>
      <w:r w:rsidR="00287F01">
        <w:t>other</w:t>
      </w:r>
      <w:r>
        <w:t xml:space="preserve"> predictor </w:t>
      </w:r>
      <w:r w:rsidR="00287F01">
        <w:t>as a falsification test for confounding comes from studies of the effect of Vitamin E vs other vitamins on the risk of heart disease.</w:t>
      </w:r>
      <w:r w:rsidR="004040C1" w:rsidRPr="00504F99">
        <w:t xml:space="preserve"> In both the Health Professionals study</w:t>
      </w:r>
      <w:r w:rsidR="004E25E9" w:rsidRPr="004E25E9">
        <w:t xml:space="preserve"> </w:t>
      </w:r>
      <w:r w:rsidR="001033CA">
        <w:fldChar w:fldCharType="begin"/>
      </w:r>
      <w:r w:rsidR="001033CA">
        <w:instrText xml:space="preserve"> ADDIN EN.CITE &lt;EndNote&gt;&lt;Cite&gt;&lt;Author&gt;Rimm&lt;/Author&gt;&lt;Year&gt;1993&lt;/Year&gt;&lt;RecNum&gt;1469&lt;/RecNum&gt;&lt;DisplayText&gt;[14]&lt;/DisplayText&gt;&lt;record&gt;&lt;rec-number&gt;1469&lt;/rec-number&gt;&lt;foreign-keys&gt;&lt;key app="EN" db-id="zvsswrav8t2apbep2dbpv25ufvpprfe9rpex" timestamp="0"&gt;1469&lt;/key&gt;&lt;/foreign-keys&gt;&lt;ref-type name="Journal Article"&gt;17&lt;/ref-type&gt;&lt;contributors&gt;&lt;authors&gt;&lt;author&gt;Rimm, E. B.&lt;/author&gt;&lt;author&gt;Stampfer, M. J.&lt;/author&gt;&lt;author&gt;Ascherio, A.&lt;/author&gt;&lt;author&gt;Giovannucci, E.&lt;/author&gt;&lt;author&gt;Colditz, G. A.&lt;/author&gt;&lt;author&gt;Willett, W. C.&lt;/author&gt;&lt;/authors&gt;&lt;/contributors&gt;&lt;auth-address&gt;Department of Epidemiology, Harvard School of Public Health, Boston, MA 02115.&lt;/auth-address&gt;&lt;titles&gt;&lt;title&gt;Vitamin E consumption and the risk of coronary heart disease in men&lt;/title&gt;&lt;secondary-title&gt;N Engl J Med&lt;/secondary-title&gt;&lt;/titles&gt;&lt;periodical&gt;&lt;full-title&gt;N Engl J Med&lt;/full-title&gt;&lt;/periodical&gt;&lt;pages&gt;1450-6&lt;/pages&gt;&lt;volume&gt;328&lt;/volume&gt;&lt;number&gt;20&lt;/number&gt;&lt;keywords&gt;&lt;keyword&gt;Adult&lt;/keyword&gt;&lt;keyword&gt;Ascorbic Acid/administration &amp;amp; dosage&lt;/keyword&gt;&lt;keyword&gt;Carotenoids/administration &amp;amp; dosage&lt;/keyword&gt;&lt;keyword&gt;Confidence Intervals&lt;/keyword&gt;&lt;keyword&gt;Coronary Disease/etiology/mortality/*prevention &amp;amp; control&lt;/keyword&gt;&lt;keyword&gt;Diet&lt;/keyword&gt;&lt;keyword&gt;Follow-Up Studies&lt;/keyword&gt;&lt;keyword&gt;Humans&lt;/keyword&gt;&lt;keyword&gt;Male&lt;/keyword&gt;&lt;keyword&gt;Middle Aged&lt;/keyword&gt;&lt;keyword&gt;Prospective Studies&lt;/keyword&gt;&lt;keyword&gt;Research Support, U.S. Gov&amp;apos;t, P.H.S.&lt;/keyword&gt;&lt;keyword&gt;Risk Factors&lt;/keyword&gt;&lt;keyword&gt;Vitamin E/*administration &amp;amp; dosage&lt;/keyword&gt;&lt;/keywords&gt;&lt;dates&gt;&lt;year&gt;1993&lt;/year&gt;&lt;pub-dates&gt;&lt;date&gt;May 20&lt;/date&gt;&lt;/pub-dates&gt;&lt;/dates&gt;&lt;accession-num&gt;8479464&lt;/accession-num&gt;&lt;urls&gt;&lt;related-urls&gt;&lt;url&gt;http://www.ncbi.nlm.nih.gov/entrez/query.fcgi?cmd=Retrieve&amp;amp;db=PubMed&amp;amp;dopt=Citation&amp;amp;list_uids=8479464 &lt;/url&gt;&lt;/related-urls&gt;&lt;/urls&gt;&lt;/record&gt;&lt;/Cite&gt;&lt;/EndNote&gt;</w:instrText>
      </w:r>
      <w:r w:rsidR="001033CA">
        <w:fldChar w:fldCharType="separate"/>
      </w:r>
      <w:r w:rsidR="001033CA">
        <w:rPr>
          <w:noProof/>
        </w:rPr>
        <w:t>[14]</w:t>
      </w:r>
      <w:r w:rsidR="001033CA">
        <w:fldChar w:fldCharType="end"/>
      </w:r>
      <w:r w:rsidR="004040C1" w:rsidRPr="00504F99">
        <w:t xml:space="preserve"> and the Nurses</w:t>
      </w:r>
      <w:r w:rsidR="00B025AD" w:rsidRPr="00504F99">
        <w:t>’</w:t>
      </w:r>
      <w:r w:rsidR="004040C1" w:rsidRPr="00504F99">
        <w:t xml:space="preserve"> Health Study</w:t>
      </w:r>
      <w:r w:rsidR="00BA3673">
        <w:t>,</w:t>
      </w:r>
      <w:r w:rsidR="001033CA">
        <w:fldChar w:fldCharType="begin"/>
      </w:r>
      <w:r w:rsidR="001033CA">
        <w:instrText xml:space="preserve"> ADDIN EN.CITE &lt;EndNote&gt;&lt;Cite&gt;&lt;Author&gt;Stampfer&lt;/Author&gt;&lt;Year&gt;1993&lt;/Year&gt;&lt;RecNum&gt;1468&lt;/RecNum&gt;&lt;DisplayText&gt;[15]&lt;/DisplayText&gt;&lt;record&gt;&lt;rec-number&gt;1468&lt;/rec-number&gt;&lt;foreign-keys&gt;&lt;key app="EN" db-id="zvsswrav8t2apbep2dbpv25ufvpprfe9rpex" timestamp="0"&gt;1468&lt;/key&gt;&lt;/foreign-keys&gt;&lt;ref-type name="Journal Article"&gt;17&lt;/ref-type&gt;&lt;contributors&gt;&lt;authors&gt;&lt;author&gt;Stampfer, M. J.&lt;/author&gt;&lt;author&gt;Hennekens, C. H.&lt;/author&gt;&lt;author&gt;Manson, J. E.&lt;/author&gt;&lt;author&gt;Colditz, G. A.&lt;/author&gt;&lt;author&gt;Rosner, B.&lt;/author&gt;&lt;author&gt;Willett, W. C.&lt;/author&gt;&lt;/authors&gt;&lt;/contributors&gt;&lt;auth-address&gt;Channing Laboratory, Boston, MA 02115.&lt;/auth-address&gt;&lt;titles&gt;&lt;title&gt;Vitamin E consumption and the risk of coronary disease in women&lt;/title&gt;&lt;secondary-title&gt;N Engl J Med&lt;/secondary-title&gt;&lt;/titles&gt;&lt;periodical&gt;&lt;full-title&gt;N Engl J Med&lt;/full-title&gt;&lt;/periodical&gt;&lt;pages&gt;1444-9&lt;/pages&gt;&lt;volume&gt;328&lt;/volume&gt;&lt;number&gt;20&lt;/number&gt;&lt;keywords&gt;&lt;keyword&gt;Adult&lt;/keyword&gt;&lt;keyword&gt;Confidence Intervals&lt;/keyword&gt;&lt;keyword&gt;Coronary Disease/etiology/*prevention &amp;amp; control&lt;/keyword&gt;&lt;keyword&gt;Female&lt;/keyword&gt;&lt;keyword&gt;Follow-Up Studies&lt;/keyword&gt;&lt;keyword&gt;Humans&lt;/keyword&gt;&lt;keyword&gt;Incidence&lt;/keyword&gt;&lt;keyword&gt;Middle Aged&lt;/keyword&gt;&lt;keyword&gt;Prospective Studies&lt;/keyword&gt;&lt;keyword&gt;Research Support, U.S. Gov&amp;apos;t, P.H.S.&lt;/keyword&gt;&lt;keyword&gt;Risk Factors&lt;/keyword&gt;&lt;keyword&gt;Vitamin E/*administration &amp;amp; dosage&lt;/keyword&gt;&lt;/keywords&gt;&lt;dates&gt;&lt;year&gt;1993&lt;/year&gt;&lt;pub-dates&gt;&lt;date&gt;May 20&lt;/date&gt;&lt;/pub-dates&gt;&lt;/dates&gt;&lt;accession-num&gt;8479463&lt;/accession-num&gt;&lt;urls&gt;&lt;related-urls&gt;&lt;url&gt;http://www.ncbi.nlm.nih.gov/entrez/query.fcgi?cmd=Retrieve&amp;amp;db=PubMed&amp;amp;dopt=Citation&amp;amp;list_uids=8479463 &lt;/url&gt;&lt;/related-urls&gt;&lt;/urls&gt;&lt;/record&gt;&lt;/Cite&gt;&lt;/EndNote&gt;</w:instrText>
      </w:r>
      <w:r w:rsidR="001033CA">
        <w:fldChar w:fldCharType="separate"/>
      </w:r>
      <w:r w:rsidR="001033CA">
        <w:rPr>
          <w:noProof/>
        </w:rPr>
        <w:t>[15]</w:t>
      </w:r>
      <w:r w:rsidR="001033CA">
        <w:fldChar w:fldCharType="end"/>
      </w:r>
      <w:r w:rsidR="004040C1" w:rsidRPr="00504F99">
        <w:t xml:space="preserve"> taking at least 400 </w:t>
      </w:r>
      <w:r w:rsidR="00E8011F">
        <w:t>International Units</w:t>
      </w:r>
      <w:r w:rsidR="004040C1" w:rsidRPr="00504F99">
        <w:t xml:space="preserve"> of </w:t>
      </w:r>
      <w:r w:rsidR="00E8011F">
        <w:t>V</w:t>
      </w:r>
      <w:r w:rsidR="004040C1" w:rsidRPr="00504F99">
        <w:t xml:space="preserve">itamin E daily was associated with a reduced risk of coronary heart disease, even after adjusting for all known confounders. Of course, </w:t>
      </w:r>
      <w:r w:rsidR="00F13B97">
        <w:t xml:space="preserve">as noted at the beginning of this chapter, </w:t>
      </w:r>
      <w:r w:rsidR="004040C1" w:rsidRPr="00504F99">
        <w:t xml:space="preserve">people who take </w:t>
      </w:r>
      <w:r w:rsidR="00E8011F">
        <w:lastRenderedPageBreak/>
        <w:t>V</w:t>
      </w:r>
      <w:r w:rsidR="004040C1" w:rsidRPr="00504F99">
        <w:t xml:space="preserve">itamin E are different from people who do not – for example, they might be more health conscious. But if that were the case, one </w:t>
      </w:r>
      <w:r w:rsidR="001033CA">
        <w:t>might</w:t>
      </w:r>
      <w:r w:rsidR="004040C1" w:rsidRPr="00504F99">
        <w:t xml:space="preserve"> expect a favorable outcome in people taking a multivitamin pill or vitamin C as well, behaviors that are also associated with being health conscious. However, this was not observed. The lack of an association of the outcome with a</w:t>
      </w:r>
      <w:r w:rsidR="00F13B97">
        <w:t>n alternative predictor</w:t>
      </w:r>
      <w:r w:rsidR="008F5699">
        <w:t xml:space="preserve"> </w:t>
      </w:r>
      <w:r w:rsidR="004040C1" w:rsidRPr="00504F99">
        <w:t xml:space="preserve">variable that one would expect to suffer from the same confounding as the treatment of interest suggested causality strongly enough that </w:t>
      </w:r>
      <w:r w:rsidR="00AB450A" w:rsidRPr="00504F99">
        <w:t>T</w:t>
      </w:r>
      <w:r w:rsidR="00AB450A">
        <w:t>om</w:t>
      </w:r>
      <w:r w:rsidR="004040C1" w:rsidRPr="00504F99">
        <w:t xml:space="preserve"> </w:t>
      </w:r>
      <w:r w:rsidR="00D07E9B">
        <w:t>briefly took</w:t>
      </w:r>
      <w:r w:rsidR="004040C1" w:rsidRPr="00504F99">
        <w:t xml:space="preserve"> supplemental vitamin E. </w:t>
      </w:r>
      <w:r w:rsidR="00CB6431">
        <w:t xml:space="preserve"> </w:t>
      </w:r>
      <w:r w:rsidR="004040C1" w:rsidRPr="00504F99">
        <w:t>Unfortunately, as mentioned above, subsequent evidence from randomized trials suggests vitamin E is of no bene</w:t>
      </w:r>
      <w:r w:rsidR="00AD55CF" w:rsidRPr="00504F99">
        <w:t>fi</w:t>
      </w:r>
      <w:r w:rsidR="00F13B97">
        <w:t>t</w:t>
      </w:r>
      <w:r w:rsidR="001033CA">
        <w:fldChar w:fldCharType="begin"/>
      </w:r>
      <w:r w:rsidR="001033CA">
        <w:instrText xml:space="preserve"> ADDIN EN.CITE &lt;EndNote&gt;&lt;Cite&gt;&lt;Author&gt;Curtis&lt;/Author&gt;&lt;Year&gt;2014&lt;/Year&gt;&lt;RecNum&gt;4146&lt;/RecNum&gt;&lt;DisplayText&gt;[2]&lt;/DisplayText&gt;&lt;record&gt;&lt;rec-number&gt;4146&lt;/rec-number&gt;&lt;foreign-keys&gt;&lt;key app="EN" db-id="zvsswrav8t2apbep2dbpv25ufvpprfe9rpex" timestamp="1519336996"&gt;4146&lt;/key&gt;&lt;/foreign-keys&gt;&lt;ref-type name="Journal Article"&gt;17&lt;/ref-type&gt;&lt;contributors&gt;&lt;authors&gt;&lt;author&gt;Curtis, A. J.&lt;/author&gt;&lt;author&gt;Bullen, M.&lt;/author&gt;&lt;author&gt;Piccenna, L.&lt;/author&gt;&lt;author&gt;McNeil, J. J.&lt;/author&gt;&lt;/authors&gt;&lt;/contributors&gt;&lt;auth-address&gt;Department of Epidemiology and Preventive Medicine, School of Public Health and Preventive Medicine, Monash University, Level 6, Alfred Centre, 99 Commercial Road, Melbourne, 3004, Australia, andrea.curtis@monash.edu.&lt;/auth-address&gt;&lt;titles&gt;&lt;title&gt;Vitamin E supplementation and mortality in healthy people: a meta-analysis of randomised controlled trials&lt;/title&gt;&lt;secondary-title&gt;Cardiovasc Drugs Ther&lt;/secondary-title&gt;&lt;/titles&gt;&lt;periodical&gt;&lt;full-title&gt;Cardiovasc Drugs Ther&lt;/full-title&gt;&lt;/periodical&gt;&lt;pages&gt;563-73&lt;/pages&gt;&lt;volume&gt;28&lt;/volume&gt;&lt;number&gt;6&lt;/number&gt;&lt;keywords&gt;&lt;keyword&gt;Aged&lt;/keyword&gt;&lt;keyword&gt;*Dietary Supplements&lt;/keyword&gt;&lt;keyword&gt;Female&lt;/keyword&gt;&lt;keyword&gt;Healthy Volunteers&lt;/keyword&gt;&lt;keyword&gt;Humans&lt;/keyword&gt;&lt;keyword&gt;Male&lt;/keyword&gt;&lt;keyword&gt;Middle Aged&lt;/keyword&gt;&lt;keyword&gt;Mortality&lt;/keyword&gt;&lt;keyword&gt;Randomized Controlled Trials as Topic&lt;/keyword&gt;&lt;keyword&gt;Vitamin E/*administration &amp;amp; dosage&lt;/keyword&gt;&lt;/keywords&gt;&lt;dates&gt;&lt;year&gt;2014&lt;/year&gt;&lt;pub-dates&gt;&lt;date&gt;Dec&lt;/date&gt;&lt;/pub-dates&gt;&lt;/dates&gt;&lt;isbn&gt;1573-7241 (Electronic)&amp;#xD;0920-3206 (Linking)&lt;/isbn&gt;&lt;accession-num&gt;25398301&lt;/accession-num&gt;&lt;urls&gt;&lt;related-urls&gt;&lt;url&gt;https://www.ncbi.nlm.nih.gov/pubmed/25398301&lt;/url&gt;&lt;/related-urls&gt;&lt;/urls&gt;&lt;electronic-resource-num&gt;10.1007/s10557-014-6560-7&lt;/electronic-resource-num&gt;&lt;/record&gt;&lt;/Cite&gt;&lt;/EndNote&gt;</w:instrText>
      </w:r>
      <w:r w:rsidR="001033CA">
        <w:fldChar w:fldCharType="separate"/>
      </w:r>
      <w:r w:rsidR="001033CA">
        <w:rPr>
          <w:noProof/>
        </w:rPr>
        <w:t>[2]</w:t>
      </w:r>
      <w:r w:rsidR="001033CA">
        <w:fldChar w:fldCharType="end"/>
      </w:r>
      <w:r w:rsidR="00D50017">
        <w:t xml:space="preserve"> </w:t>
      </w:r>
      <w:r w:rsidR="00F13B97">
        <w:t>and may even be harmful</w:t>
      </w:r>
      <w:r w:rsidR="00D50017">
        <w:t>.</w:t>
      </w:r>
      <w:r w:rsidR="001033CA">
        <w:fldChar w:fldCharType="begin">
          <w:fldData xml:space="preserve">PEVuZE5vdGU+PENpdGU+PEF1dGhvcj5CamVsYWtvdmljPC9BdXRob3I+PFllYXI+MjAxMjwvWWVh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</w:fldData>
        </w:fldChar>
      </w:r>
      <w:r w:rsidR="001033CA">
        <w:instrText xml:space="preserve"> ADDIN EN.CITE </w:instrText>
      </w:r>
      <w:r w:rsidR="001033CA">
        <w:fldChar w:fldCharType="begin">
          <w:fldData xml:space="preserve">PEVuZE5vdGU+PENpdGU+PEF1dGhvcj5CamVsYWtvdmljPC9BdXRob3I+PFllYXI+MjAxMjwvWWVh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</w:fldData>
        </w:fldChar>
      </w:r>
      <w:r w:rsidR="001033CA">
        <w:instrText xml:space="preserve"> ADDIN EN.CITE.DATA </w:instrText>
      </w:r>
      <w:r w:rsidR="001033CA">
        <w:fldChar w:fldCharType="end"/>
      </w:r>
      <w:r w:rsidR="001033CA">
        <w:fldChar w:fldCharType="separate"/>
      </w:r>
      <w:r w:rsidR="001033CA">
        <w:rPr>
          <w:noProof/>
        </w:rPr>
        <w:t>[16]</w:t>
      </w:r>
      <w:r w:rsidR="001033CA">
        <w:fldChar w:fldCharType="end"/>
      </w:r>
      <w:r w:rsidR="00263440" w:rsidRPr="00263440">
        <w:t xml:space="preserve"> </w:t>
      </w:r>
      <w:r w:rsidR="00E8011F">
        <w:t xml:space="preserve"> </w:t>
      </w:r>
      <w:r w:rsidR="00D50017">
        <w:t>Fortunately, he survived to tell the story.</w:t>
      </w:r>
      <w:r w:rsidR="00752413">
        <w:rPr>
          <w:rStyle w:val="FootnoteReference"/>
        </w:rPr>
        <w:footnoteReference w:id="5"/>
      </w:r>
    </w:p>
    <w:p w14:paraId="5B7AAC97" w14:textId="77777777" w:rsidR="00995FAA" w:rsidRDefault="00995FAA" w:rsidP="00995FAA">
      <w:pPr>
        <w:pStyle w:val="Heading3"/>
      </w:pPr>
      <w:r>
        <w:t xml:space="preserve">Studying </w:t>
      </w:r>
      <w:r w:rsidR="00D14A37">
        <w:t>another</w:t>
      </w:r>
      <w:r>
        <w:t xml:space="preserve"> patient population</w:t>
      </w:r>
    </w:p>
    <w:p w14:paraId="0C3BF1E7" w14:textId="42838B00" w:rsidR="00FD01EA" w:rsidRPr="00FD01EA" w:rsidRDefault="00995FAA" w:rsidP="00FD01EA">
      <w:pPr>
        <w:rPr>
          <w:sz w:val="20"/>
          <w:szCs w:val="20"/>
        </w:rPr>
      </w:pPr>
      <w:r>
        <w:t>A provocative study (coauthored by the authors of the review of falsification endpoints cited above)</w:t>
      </w:r>
      <w:r w:rsidR="001033CA">
        <w:fldChar w:fldCharType="begin">
          <w:fldData xml:space="preserve">PEVuZE5vdGU+PENpdGU+PEF1dGhvcj5KZW5hPC9BdXRob3I+PFllYXI+MjAxNTwvWWVhcj48UmVj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</w:fldData>
        </w:fldChar>
      </w:r>
      <w:r w:rsidR="001033CA">
        <w:instrText xml:space="preserve"> ADDIN EN.CITE </w:instrText>
      </w:r>
      <w:r w:rsidR="001033CA">
        <w:fldChar w:fldCharType="begin">
          <w:fldData xml:space="preserve">PEVuZE5vdGU+PENpdGU+PEF1dGhvcj5KZW5hPC9BdXRob3I+PFllYXI+MjAxNTwvWWVhcj48UmVj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</w:fldData>
        </w:fldChar>
      </w:r>
      <w:r w:rsidR="001033CA">
        <w:instrText xml:space="preserve"> ADDIN EN.CITE.DATA </w:instrText>
      </w:r>
      <w:r w:rsidR="001033CA">
        <w:fldChar w:fldCharType="end"/>
      </w:r>
      <w:r w:rsidR="001033CA">
        <w:fldChar w:fldCharType="separate"/>
      </w:r>
      <w:r w:rsidR="001033CA">
        <w:rPr>
          <w:noProof/>
        </w:rPr>
        <w:t>[17]</w:t>
      </w:r>
      <w:r w:rsidR="001033CA">
        <w:fldChar w:fldCharType="end"/>
      </w:r>
      <w:r>
        <w:t xml:space="preserve"> used all three techniques</w:t>
      </w:r>
      <w:r w:rsidR="00D11BB8">
        <w:t xml:space="preserve"> (and prespecified them!</w:t>
      </w:r>
      <w:r w:rsidR="00D11BB8">
        <w:rPr>
          <w:rStyle w:val="FootnoteReference"/>
        </w:rPr>
        <w:footnoteReference w:id="6"/>
      </w:r>
      <w:r w:rsidR="009E441B">
        <w:t>)</w:t>
      </w:r>
      <w:r>
        <w:t xml:space="preserve">.  The authors examined mortality and treatment patterns </w:t>
      </w:r>
      <w:r w:rsidR="00552AF7">
        <w:t xml:space="preserve">among patients hospitalized for acute heart conditions during the dates of national cardiology meetings, when many attending academic cardiologists would be away from their home </w:t>
      </w:r>
      <w:r w:rsidR="001858A7">
        <w:t xml:space="preserve">teaching </w:t>
      </w:r>
      <w:r w:rsidR="00552AF7">
        <w:t>hospitals.</w:t>
      </w:r>
      <w:r w:rsidR="00665C0F">
        <w:t xml:space="preserve">  </w:t>
      </w:r>
      <w:r w:rsidR="000D6490">
        <w:t>T</w:t>
      </w:r>
      <w:r w:rsidR="00552AF7">
        <w:t xml:space="preserve">hey found that both percutaneous coronary intervention rates and mortality among heart failure and cardiac arrest patients </w:t>
      </w:r>
      <w:r w:rsidR="00F13B97">
        <w:t>were</w:t>
      </w:r>
      <w:r w:rsidR="00552AF7">
        <w:t xml:space="preserve"> lower during meeting dates than on the same days of the week</w:t>
      </w:r>
      <w:r w:rsidR="002E46A1">
        <w:t xml:space="preserve"> during the</w:t>
      </w:r>
      <w:r w:rsidR="00552AF7">
        <w:t xml:space="preserve"> 3 weeks before and </w:t>
      </w:r>
      <w:r w:rsidR="002E46A1">
        <w:t xml:space="preserve">3 weeks </w:t>
      </w:r>
      <w:r w:rsidR="00552AF7">
        <w:t xml:space="preserve">after the meetings. </w:t>
      </w:r>
      <w:r w:rsidR="0009614B">
        <w:t xml:space="preserve"> </w:t>
      </w:r>
    </w:p>
    <w:p w14:paraId="72BBE49C" w14:textId="3CE6BAED" w:rsidR="00995FAA" w:rsidRDefault="00277364" w:rsidP="00995FAA">
      <w:pPr>
        <w:pStyle w:val="NormalWeb"/>
      </w:pPr>
      <w:r>
        <w:t xml:space="preserve">They found no effects </w:t>
      </w:r>
      <w:r w:rsidR="002E46A1">
        <w:t xml:space="preserve">of admission during cardiology meetings </w:t>
      </w:r>
      <w:r>
        <w:t xml:space="preserve">on mortality </w:t>
      </w:r>
      <w:r w:rsidR="002E46A1">
        <w:t>from</w:t>
      </w:r>
      <w:r>
        <w:t xml:space="preserve"> gastrointestinal hemorrhage or hip fracture (</w:t>
      </w:r>
      <w:r w:rsidRPr="00904A3D">
        <w:rPr>
          <w:color w:val="008000"/>
        </w:rPr>
        <w:t>alternative outcomes</w:t>
      </w:r>
      <w:r>
        <w:t>).   Sim</w:t>
      </w:r>
      <w:r w:rsidR="005133DE">
        <w:t>ilarly, they found no effect (on heart patients) of being admitted during national oncology, gastroenterology, or orthopedic meeting days</w:t>
      </w:r>
      <w:r w:rsidR="001858A7">
        <w:t>, compared with the days before and after</w:t>
      </w:r>
      <w:r w:rsidR="005133DE">
        <w:t xml:space="preserve"> (</w:t>
      </w:r>
      <w:r w:rsidR="005133DE" w:rsidRPr="00904A3D">
        <w:rPr>
          <w:color w:val="008000"/>
        </w:rPr>
        <w:t>alternative predictors</w:t>
      </w:r>
      <w:r w:rsidR="005133DE">
        <w:t xml:space="preserve">).  Finally, </w:t>
      </w:r>
      <w:r w:rsidR="001858A7">
        <w:t>the investigators used</w:t>
      </w:r>
      <w:r w:rsidR="002E46A1">
        <w:t xml:space="preserve"> </w:t>
      </w:r>
      <w:r w:rsidR="001858A7">
        <w:t xml:space="preserve">acute </w:t>
      </w:r>
      <w:r w:rsidR="002E46A1">
        <w:t>heart patients admitted to nonteaching hospitals</w:t>
      </w:r>
      <w:r w:rsidR="001858A7">
        <w:t xml:space="preserve"> as an </w:t>
      </w:r>
      <w:r w:rsidR="00D14A37" w:rsidRPr="00DA2334">
        <w:rPr>
          <w:color w:val="008000"/>
        </w:rPr>
        <w:t>alternative patient population</w:t>
      </w:r>
      <w:r w:rsidR="00D14A37">
        <w:t>.</w:t>
      </w:r>
      <w:r w:rsidR="001858A7">
        <w:t xml:space="preserve">  The patients in nonteaching hospitals would be predicted to be less susceptible to the exposure of being admitted during national cardiology meetings, because the meetings are less often attended by cardiologists</w:t>
      </w:r>
      <w:r w:rsidR="00AC646C">
        <w:t xml:space="preserve"> at nonteaching hospitals</w:t>
      </w:r>
      <w:r w:rsidR="001858A7">
        <w:t>.  The authors found no effect of being admitted during national cardiology meetings on patients cared for in nonteaching hospitals.</w:t>
      </w:r>
      <w:r w:rsidR="00DA2334">
        <w:t xml:space="preserve">  A possible explanation for these findings offered by the authors is that “</w:t>
      </w:r>
      <w:r w:rsidR="00DA2334" w:rsidRPr="00FD01EA">
        <w:t>the intensity of care provided during meeting dates is lower and that for high-risk patients with cardiovascular disease, the harms of this care may unexpectedly outweigh the benefits.</w:t>
      </w:r>
      <w:r w:rsidR="00DA2334">
        <w:t>”</w:t>
      </w:r>
      <w:r w:rsidR="00AC646C">
        <w:t xml:space="preserve">  </w:t>
      </w:r>
    </w:p>
    <w:p w14:paraId="2D3E2FA1" w14:textId="77777777" w:rsidR="00B025AD" w:rsidRPr="00504F99" w:rsidRDefault="004040C1" w:rsidP="002E5ED6">
      <w:pPr>
        <w:pStyle w:val="Heading2"/>
      </w:pPr>
      <w:r w:rsidRPr="00504F99">
        <w:t>Propensity scores</w:t>
      </w:r>
    </w:p>
    <w:p w14:paraId="45B6102D" w14:textId="2FEAC105" w:rsidR="00B025AD" w:rsidRPr="00504F99" w:rsidRDefault="00E60925" w:rsidP="008D2113">
      <w:pPr>
        <w:pStyle w:val="NormalWeb"/>
      </w:pPr>
      <w:r>
        <w:t xml:space="preserve">Another </w:t>
      </w:r>
      <w:r w:rsidR="004040C1" w:rsidRPr="00504F99">
        <w:t>approach to controlling confounding in observational studies of treatment ef</w:t>
      </w:r>
      <w:r w:rsidR="00AD55CF" w:rsidRPr="00504F99">
        <w:t>fi</w:t>
      </w:r>
      <w:r w:rsidR="004040C1" w:rsidRPr="00504F99">
        <w:t xml:space="preserve">cacy is the use of propensity scores. In order for a variable to be a confounder, it has to be associated with both treatment and outcome. </w:t>
      </w:r>
      <w:r w:rsidR="005D53B4">
        <w:t xml:space="preserve">(For this discussion, assume that the </w:t>
      </w:r>
      <w:r w:rsidR="005D53B4">
        <w:lastRenderedPageBreak/>
        <w:t xml:space="preserve">binary outcome is occurrence of something bad like death and that fewer subjects have the outcome than don’t have it.) </w:t>
      </w:r>
      <w:r w:rsidR="004040C1" w:rsidRPr="00504F99">
        <w:t xml:space="preserve">The usual approach to </w:t>
      </w:r>
      <w:r w:rsidR="00EB76E4">
        <w:t>multivariable</w:t>
      </w:r>
      <w:r w:rsidR="004040C1" w:rsidRPr="00504F99">
        <w:t xml:space="preserve"> analysis to control for confounding is to create a</w:t>
      </w:r>
      <w:r w:rsidR="00990447" w:rsidRPr="00504F99">
        <w:t xml:space="preserve"> </w:t>
      </w:r>
      <w:r w:rsidR="004040C1" w:rsidRPr="00504F99">
        <w:t xml:space="preserve">model </w:t>
      </w:r>
      <w:r w:rsidR="00A37B80">
        <w:t xml:space="preserve">for the outcome </w:t>
      </w:r>
      <w:r w:rsidR="004040C1" w:rsidRPr="00504F99">
        <w:t xml:space="preserve">that includes the treatment variable and other predictors of outcome (the potential confounders). If the model </w:t>
      </w:r>
      <w:r w:rsidR="00AD55CF" w:rsidRPr="00504F99">
        <w:t>fi</w:t>
      </w:r>
      <w:r w:rsidR="004040C1" w:rsidRPr="00504F99">
        <w:t>ts, the coef</w:t>
      </w:r>
      <w:r w:rsidR="00AD55CF" w:rsidRPr="00504F99">
        <w:t>fi</w:t>
      </w:r>
      <w:r w:rsidR="004040C1" w:rsidRPr="00504F99">
        <w:t>cient for the treatment will re</w:t>
      </w:r>
      <w:r w:rsidR="00DE3CB6" w:rsidRPr="00504F99">
        <w:t>fl</w:t>
      </w:r>
      <w:r w:rsidR="004040C1" w:rsidRPr="00504F99">
        <w:t>ect its independent contribution to the outcome.</w:t>
      </w:r>
    </w:p>
    <w:p w14:paraId="74975C45" w14:textId="2D252F84" w:rsidR="00B025AD" w:rsidRPr="00504F99" w:rsidRDefault="004040C1" w:rsidP="008D2113">
      <w:pPr>
        <w:pStyle w:val="NormalWeb"/>
      </w:pPr>
      <w:r w:rsidRPr="00504F99">
        <w:t>For example, the equation for the</w:t>
      </w:r>
      <w:r w:rsidRPr="00504F99">
        <w:rPr>
          <w:i/>
        </w:rPr>
        <w:t xml:space="preserve"> logistic</w:t>
      </w:r>
      <w:r w:rsidRPr="00504F99">
        <w:t xml:space="preserve"> </w:t>
      </w:r>
      <w:r w:rsidR="00454D1C">
        <w:t xml:space="preserve">regression </w:t>
      </w:r>
      <w:r w:rsidRPr="00504F99">
        <w:t xml:space="preserve">model </w:t>
      </w:r>
      <w:r w:rsidR="009A73DD">
        <w:t xml:space="preserve">(Chapter 7) </w:t>
      </w:r>
      <w:r w:rsidRPr="00504F99">
        <w:t>can be written as:</w:t>
      </w:r>
    </w:p>
    <w:p w14:paraId="6DBBBFAB" w14:textId="77777777" w:rsidR="00635F36" w:rsidRPr="00504F99" w:rsidRDefault="00A11B8A" w:rsidP="008D2113">
      <w:pPr>
        <w:pStyle w:val="NormalWeb"/>
      </w:pPr>
      <w:r>
        <w:t>l</w:t>
      </w:r>
      <w:r w:rsidRPr="00504F99">
        <w:t>n</w:t>
      </w:r>
      <w:r w:rsidR="008D46AE">
        <w:rPr>
          <w:noProof/>
          <w:position w:val="-28"/>
        </w:rPr>
        <w:drawing>
          <wp:inline distT="0" distB="0" distL="0" distR="0" wp14:anchorId="1E4501E4" wp14:editId="58664112">
            <wp:extent cx="2804795" cy="429895"/>
            <wp:effectExtent l="0" t="0" r="1905" b="1905"/>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795" cy="429895"/>
                    </a:xfrm>
                    <a:prstGeom prst="rect">
                      <a:avLst/>
                    </a:prstGeom>
                    <a:noFill/>
                    <a:ln>
                      <a:noFill/>
                    </a:ln>
                  </pic:spPr>
                </pic:pic>
              </a:graphicData>
            </a:graphic>
          </wp:inline>
        </w:drawing>
      </w:r>
    </w:p>
    <w:p w14:paraId="56B50605" w14:textId="77777777" w:rsidR="00183F94" w:rsidRPr="00504F99" w:rsidRDefault="003D5334" w:rsidP="008D2113">
      <w:pPr>
        <w:pStyle w:val="NormalWeb"/>
      </w:pPr>
      <w:r w:rsidRPr="00504F99">
        <w:t>w</w:t>
      </w:r>
      <w:r w:rsidR="00183F94" w:rsidRPr="00504F99">
        <w:t>here</w:t>
      </w:r>
    </w:p>
    <w:p w14:paraId="79B4D43D" w14:textId="77777777" w:rsidR="00B025AD" w:rsidRPr="00504F99" w:rsidRDefault="004040C1" w:rsidP="008D2113">
      <w:pPr>
        <w:pStyle w:val="NormalWeb"/>
      </w:pPr>
      <w:r w:rsidRPr="00504F99">
        <w:t>“P(Y)” is the probability of the outcome Y,</w:t>
      </w:r>
    </w:p>
    <w:p w14:paraId="293F33FA" w14:textId="77777777" w:rsidR="008A2B65" w:rsidRPr="00504F99" w:rsidRDefault="00635F36" w:rsidP="005204A2">
      <w:pPr>
        <w:pStyle w:val="NormalWeb"/>
      </w:pPr>
      <w:r w:rsidRPr="00504F99">
        <w:t>“</w:t>
      </w:r>
      <w:r w:rsidR="00A11B8A">
        <w:t>l</w:t>
      </w:r>
      <w:r w:rsidRPr="00504F99">
        <w:t xml:space="preserve">n </w:t>
      </w:r>
      <w:r w:rsidR="008D46AE">
        <w:rPr>
          <w:noProof/>
          <w:position w:val="-28"/>
        </w:rPr>
        <w:drawing>
          <wp:inline distT="0" distB="0" distL="0" distR="0" wp14:anchorId="65DB470C" wp14:editId="28418CB3">
            <wp:extent cx="803910" cy="429895"/>
            <wp:effectExtent l="0" t="0" r="0" b="190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910" cy="429895"/>
                    </a:xfrm>
                    <a:prstGeom prst="rect">
                      <a:avLst/>
                    </a:prstGeom>
                    <a:noFill/>
                    <a:ln>
                      <a:noFill/>
                    </a:ln>
                  </pic:spPr>
                </pic:pic>
              </a:graphicData>
            </a:graphic>
          </wp:inline>
        </w:drawing>
      </w:r>
      <w:r w:rsidRPr="00504F99">
        <w:t xml:space="preserve">” </w:t>
      </w:r>
      <w:r w:rsidR="008A2B65" w:rsidRPr="00504F99">
        <w:t>is the log-odds of the outcome,</w:t>
      </w:r>
    </w:p>
    <w:p w14:paraId="78B9D58F" w14:textId="77777777" w:rsidR="00B025AD" w:rsidRPr="00504F99" w:rsidRDefault="004040C1" w:rsidP="008D2113">
      <w:pPr>
        <w:pStyle w:val="NormalWeb"/>
      </w:pPr>
      <w:r w:rsidRPr="00504F99">
        <w:t>“a” is a constant (the intercept, related to the overall probability of the outcome),</w:t>
      </w:r>
    </w:p>
    <w:p w14:paraId="0C42C3B1" w14:textId="22F0C481" w:rsidR="00B025AD" w:rsidRPr="00504F99" w:rsidRDefault="004040C1" w:rsidP="008D2113">
      <w:pPr>
        <w:pStyle w:val="NormalWeb"/>
      </w:pPr>
      <w:r w:rsidRPr="00504F99">
        <w:t>“X</w:t>
      </w:r>
      <w:r w:rsidRPr="00504F99">
        <w:rPr>
          <w:vertAlign w:val="subscript"/>
        </w:rPr>
        <w:t>i</w:t>
      </w:r>
      <w:r w:rsidRPr="00504F99">
        <w:t xml:space="preserve">” are the different predictor variables associated with outcome, including the predictor variable of interest as well as the potential confounders. For example, the variable of interest to you might be </w:t>
      </w:r>
      <w:r w:rsidR="00AC646C">
        <w:t>X</w:t>
      </w:r>
      <w:r w:rsidR="00AC646C" w:rsidRPr="00AC646C">
        <w:rPr>
          <w:vertAlign w:val="subscript"/>
        </w:rPr>
        <w:t>1</w:t>
      </w:r>
      <w:r w:rsidRPr="00504F99">
        <w:t xml:space="preserve"> (the treatment you are studying) and the rest would be confounders.</w:t>
      </w:r>
    </w:p>
    <w:p w14:paraId="785A10C6" w14:textId="5A7762B1" w:rsidR="00B025AD" w:rsidRPr="00504F99" w:rsidRDefault="004040C1" w:rsidP="008D2113">
      <w:pPr>
        <w:pStyle w:val="NormalWeb"/>
      </w:pPr>
      <w:r w:rsidRPr="00504F99">
        <w:t>“b</w:t>
      </w:r>
      <w:r w:rsidRPr="00504F99">
        <w:rPr>
          <w:vertAlign w:val="subscript"/>
        </w:rPr>
        <w:t>i</w:t>
      </w:r>
      <w:r w:rsidRPr="00504F99">
        <w:t>” are coef</w:t>
      </w:r>
      <w:r w:rsidR="00AD55CF" w:rsidRPr="00504F99">
        <w:t>fi</w:t>
      </w:r>
      <w:r w:rsidRPr="00504F99">
        <w:t>cients</w:t>
      </w:r>
      <w:r w:rsidR="00AC646C">
        <w:t xml:space="preserve"> equal to the change in the </w:t>
      </w:r>
      <w:proofErr w:type="spellStart"/>
      <w:r w:rsidR="00AC646C">
        <w:t>log</w:t>
      </w:r>
      <w:proofErr w:type="spellEnd"/>
      <w:r w:rsidR="00AC646C">
        <w:t xml:space="preserve"> odds per unit change in the predictor</w:t>
      </w:r>
      <w:r w:rsidRPr="00504F99">
        <w:t xml:space="preserve"> (equal to the logarithm of the odds ratio if “X</w:t>
      </w:r>
      <w:r w:rsidRPr="00504F99">
        <w:rPr>
          <w:vertAlign w:val="subscript"/>
        </w:rPr>
        <w:t>i</w:t>
      </w:r>
      <w:r w:rsidRPr="00504F99">
        <w:t>” is dichotomous)</w:t>
      </w:r>
    </w:p>
    <w:p w14:paraId="324273F7" w14:textId="77777777" w:rsidR="00B025AD" w:rsidRPr="00504F99" w:rsidRDefault="004040C1" w:rsidP="008A2B65">
      <w:pPr>
        <w:pStyle w:val="NormalWeb"/>
      </w:pPr>
      <w:r w:rsidRPr="00504F99">
        <w:t>“k” is the number of predictor variables.</w:t>
      </w:r>
    </w:p>
    <w:p w14:paraId="3A67A445" w14:textId="2FCF5E46" w:rsidR="00B025AD" w:rsidRPr="00504F99" w:rsidRDefault="004040C1" w:rsidP="008D2113">
      <w:pPr>
        <w:pStyle w:val="NormalWeb"/>
      </w:pPr>
      <w:r w:rsidRPr="00504F99">
        <w:t>One limitation of this approach is that, if there are many potential confounders, there may not be enough outcomes in the dataset to be able to estimate their coef</w:t>
      </w:r>
      <w:r w:rsidR="00AD55CF" w:rsidRPr="00504F99">
        <w:t>fi</w:t>
      </w:r>
      <w:r w:rsidRPr="00504F99">
        <w:t>cients with much precision. There</w:t>
      </w:r>
      <w:r w:rsidR="00B025AD" w:rsidRPr="00504F99">
        <w:t>’</w:t>
      </w:r>
      <w:r w:rsidR="00983DC1">
        <w:t xml:space="preserve">s a rule of </w:t>
      </w:r>
      <w:r w:rsidRPr="00504F99">
        <w:t>thumb: you would like to see at least 10 outcomes for each predictor variable. Imagine there are 1,000 patients, of whom 300 received the treatment of interest, but only 30 died. With only 30 outcomes, it will be dif</w:t>
      </w:r>
      <w:r w:rsidR="00AD55CF" w:rsidRPr="00504F99">
        <w:t>fi</w:t>
      </w:r>
      <w:r w:rsidRPr="00504F99">
        <w:t>cult to control for confounding by more than 2 other variables aside from the treatment variable – the dataset just does not have enough outcomes to do this well.</w:t>
      </w:r>
    </w:p>
    <w:p w14:paraId="3515C73B" w14:textId="24229AB6" w:rsidR="00B025AD" w:rsidRDefault="004040C1" w:rsidP="008D2113">
      <w:pPr>
        <w:pStyle w:val="NormalWeb"/>
      </w:pPr>
      <w:r w:rsidRPr="00504F99">
        <w:t xml:space="preserve">Enter propensity scores. The idea of propensity scores is that, instead of controlling for all possible predictors of outcome, investigators instead control for predictors of the </w:t>
      </w:r>
      <w:r w:rsidRPr="00BE4D7C">
        <w:rPr>
          <w:i/>
        </w:rPr>
        <w:t>treatment</w:t>
      </w:r>
      <w:r w:rsidRPr="00F04964">
        <w:t>.</w:t>
      </w:r>
      <w:r w:rsidRPr="00504F99">
        <w:t xml:space="preserve"> </w:t>
      </w:r>
      <w:r w:rsidR="00D53805">
        <w:t>They do this by</w:t>
      </w:r>
      <w:r w:rsidRPr="00504F99">
        <w:t xml:space="preserve"> creating a model to estimate the predicted probability of treatment (or </w:t>
      </w:r>
      <w:r w:rsidRPr="00AC646C">
        <w:rPr>
          <w:color w:val="00B050"/>
        </w:rPr>
        <w:t xml:space="preserve">propensity </w:t>
      </w:r>
      <w:r w:rsidRPr="00504F99">
        <w:t xml:space="preserve">to be treated). </w:t>
      </w:r>
      <w:r w:rsidR="00D53805">
        <w:t xml:space="preserve">Then they </w:t>
      </w:r>
      <w:r w:rsidRPr="00504F99">
        <w:t>either match or strati</w:t>
      </w:r>
      <w:r w:rsidR="00AD55CF" w:rsidRPr="00504F99">
        <w:t>f</w:t>
      </w:r>
      <w:r w:rsidR="00D53805">
        <w:t>y</w:t>
      </w:r>
      <w:r w:rsidRPr="00504F99">
        <w:t xml:space="preserve"> on this propensity score and </w:t>
      </w:r>
      <w:r w:rsidR="00D53805">
        <w:t>compare</w:t>
      </w:r>
      <w:r w:rsidRPr="00504F99">
        <w:t xml:space="preserve"> outcome</w:t>
      </w:r>
      <w:r w:rsidR="00D53805">
        <w:t>s</w:t>
      </w:r>
      <w:r w:rsidRPr="00504F99">
        <w:t xml:space="preserve"> in </w:t>
      </w:r>
      <w:r w:rsidR="00D53805">
        <w:t xml:space="preserve">those who were </w:t>
      </w:r>
      <w:r w:rsidRPr="00504F99">
        <w:t xml:space="preserve">actually </w:t>
      </w:r>
      <w:r w:rsidR="00D53805">
        <w:t>treated to those who weren’t.  C</w:t>
      </w:r>
      <w:r w:rsidRPr="00504F99">
        <w:t xml:space="preserve">ontinuing </w:t>
      </w:r>
      <w:r w:rsidR="00D53805">
        <w:t xml:space="preserve">with </w:t>
      </w:r>
      <w:r w:rsidRPr="00504F99">
        <w:t xml:space="preserve">the notation above, if </w:t>
      </w:r>
      <w:r w:rsidR="00AC646C">
        <w:t>X</w:t>
      </w:r>
      <w:r w:rsidR="00AC646C" w:rsidRPr="00AC646C">
        <w:rPr>
          <w:vertAlign w:val="subscript"/>
        </w:rPr>
        <w:t>1</w:t>
      </w:r>
      <w:r w:rsidRPr="00504F99">
        <w:t xml:space="preserve"> is the treatment of interest, the model for the propensity score would look like this:</w:t>
      </w:r>
    </w:p>
    <w:p w14:paraId="1F88E5F2" w14:textId="47DB7C7B" w:rsidR="00D12523" w:rsidRPr="00504F99" w:rsidRDefault="00AC646C" w:rsidP="008D2113">
      <w:pPr>
        <w:pStyle w:val="NormalWeb"/>
      </w:pPr>
      <w:r>
        <w:lastRenderedPageBreak/>
        <w:t>ln[P(X</w:t>
      </w:r>
      <w:r w:rsidRPr="00AC646C">
        <w:rPr>
          <w:vertAlign w:val="subscript"/>
        </w:rPr>
        <w:t>1</w:t>
      </w:r>
      <w:r>
        <w:t>)/(1</w:t>
      </w:r>
      <w:r w:rsidRPr="00C23D8C">
        <w:sym w:font="Symbol" w:char="F02D"/>
      </w:r>
      <w:r>
        <w:t>P(X</w:t>
      </w:r>
      <w:r w:rsidRPr="00AC646C">
        <w:rPr>
          <w:vertAlign w:val="subscript"/>
        </w:rPr>
        <w:t>1</w:t>
      </w:r>
      <w:r>
        <w:t>)] = a + b</w:t>
      </w:r>
      <w:r w:rsidRPr="00AC646C">
        <w:rPr>
          <w:vertAlign w:val="subscript"/>
        </w:rPr>
        <w:t>1</w:t>
      </w:r>
      <w:r>
        <w:t>X</w:t>
      </w:r>
      <w:r w:rsidRPr="00AC646C">
        <w:rPr>
          <w:vertAlign w:val="subscript"/>
        </w:rPr>
        <w:t>1</w:t>
      </w:r>
      <w:r>
        <w:t xml:space="preserve"> + b</w:t>
      </w:r>
      <w:r w:rsidRPr="00AC646C">
        <w:rPr>
          <w:vertAlign w:val="subscript"/>
        </w:rPr>
        <w:t>2</w:t>
      </w:r>
      <w:r>
        <w:t>X</w:t>
      </w:r>
      <w:r w:rsidRPr="00AC646C">
        <w:rPr>
          <w:vertAlign w:val="subscript"/>
        </w:rPr>
        <w:t>2</w:t>
      </w:r>
      <w:r>
        <w:t xml:space="preserve"> + b</w:t>
      </w:r>
      <w:r w:rsidRPr="00AC646C">
        <w:rPr>
          <w:vertAlign w:val="subscript"/>
        </w:rPr>
        <w:t>3</w:t>
      </w:r>
      <w:r>
        <w:t>X</w:t>
      </w:r>
      <w:r w:rsidRPr="00AC646C">
        <w:rPr>
          <w:vertAlign w:val="subscript"/>
        </w:rPr>
        <w:t xml:space="preserve">3 </w:t>
      </w:r>
      <w:r>
        <w:t xml:space="preserve">+ … + </w:t>
      </w:r>
      <w:proofErr w:type="spellStart"/>
      <w:r>
        <w:t>b</w:t>
      </w:r>
      <w:r w:rsidRPr="00AC646C">
        <w:rPr>
          <w:vertAlign w:val="subscript"/>
        </w:rPr>
        <w:t>j</w:t>
      </w:r>
      <w:r>
        <w:t>X</w:t>
      </w:r>
      <w:r w:rsidRPr="00AC646C">
        <w:rPr>
          <w:vertAlign w:val="subscript"/>
        </w:rPr>
        <w:t>j</w:t>
      </w:r>
      <w:proofErr w:type="spellEnd"/>
    </w:p>
    <w:p w14:paraId="58D14994" w14:textId="58BE6FA6" w:rsidR="00BE4D7C" w:rsidRDefault="004040C1" w:rsidP="008D2113">
      <w:pPr>
        <w:pStyle w:val="NormalWeb"/>
      </w:pPr>
      <w:r w:rsidRPr="00504F99">
        <w:t xml:space="preserve">Note that </w:t>
      </w:r>
      <w:r w:rsidR="00F04964">
        <w:t xml:space="preserve">now </w:t>
      </w:r>
      <w:r w:rsidRPr="00504F99">
        <w:t xml:space="preserve">the probability we are trying to predict is not the probability of </w:t>
      </w:r>
      <w:r w:rsidR="00F04964">
        <w:t xml:space="preserve">the </w:t>
      </w:r>
      <w:r w:rsidRPr="00504F99">
        <w:t>outcome</w:t>
      </w:r>
      <w:r w:rsidR="00AC646C">
        <w:t xml:space="preserve">, </w:t>
      </w:r>
      <w:r w:rsidRPr="00504F99">
        <w:t>P(Y), it is probability of treatment, P(</w:t>
      </w:r>
      <w:r w:rsidR="00AC646C">
        <w:t>X</w:t>
      </w:r>
      <w:r w:rsidR="00AC646C" w:rsidRPr="00AC646C">
        <w:rPr>
          <w:vertAlign w:val="subscript"/>
        </w:rPr>
        <w:t>1</w:t>
      </w:r>
      <w:r w:rsidRPr="00504F99">
        <w:t xml:space="preserve">). </w:t>
      </w:r>
      <w:r w:rsidR="00BE4D7C">
        <w:t xml:space="preserve"> Only variables whose values are known at the time of the treatment decision should be included in the propensity score.  (Including variables measured later runs the risk that they may have been affected by the </w:t>
      </w:r>
      <w:proofErr w:type="gramStart"/>
      <w:r w:rsidR="00BE4D7C">
        <w:t>treatment, and</w:t>
      </w:r>
      <w:proofErr w:type="gramEnd"/>
      <w:r w:rsidR="00BE4D7C">
        <w:t xml:space="preserve"> adjusting for them could adjust </w:t>
      </w:r>
      <w:r w:rsidR="00875819">
        <w:t>a</w:t>
      </w:r>
      <w:r w:rsidR="00BE4D7C">
        <w:t xml:space="preserve">way treatment effects.) </w:t>
      </w:r>
      <w:r w:rsidRPr="00504F99">
        <w:t xml:space="preserve">The number of predictors of treatment may be different </w:t>
      </w:r>
      <w:r w:rsidR="007514E7">
        <w:t>from</w:t>
      </w:r>
      <w:r w:rsidR="007514E7" w:rsidRPr="00504F99">
        <w:t xml:space="preserve"> </w:t>
      </w:r>
      <w:r w:rsidRPr="00504F99">
        <w:t>the number of predictors of outcome, so</w:t>
      </w:r>
      <w:r w:rsidR="005F35B1" w:rsidRPr="00504F99">
        <w:t xml:space="preserve"> </w:t>
      </w:r>
      <w:r w:rsidRPr="00504F99">
        <w:t>we</w:t>
      </w:r>
      <w:r w:rsidR="005F35B1" w:rsidRPr="00504F99">
        <w:t xml:space="preserve"> </w:t>
      </w:r>
      <w:r w:rsidRPr="00504F99">
        <w:t>end</w:t>
      </w:r>
      <w:r w:rsidR="005F35B1" w:rsidRPr="00504F99">
        <w:t xml:space="preserve"> </w:t>
      </w:r>
      <w:r w:rsidRPr="00504F99">
        <w:t>up</w:t>
      </w:r>
      <w:r w:rsidR="005F35B1" w:rsidRPr="00504F99">
        <w:t xml:space="preserve"> </w:t>
      </w:r>
      <w:r w:rsidRPr="00504F99">
        <w:t>with</w:t>
      </w:r>
      <w:r w:rsidR="005F35B1" w:rsidRPr="00504F99">
        <w:t xml:space="preserve"> </w:t>
      </w:r>
      <w:r w:rsidRPr="00504F99">
        <w:t>j</w:t>
      </w:r>
      <w:r w:rsidR="004F6596" w:rsidRPr="00504F99">
        <w:t xml:space="preserve"> </w:t>
      </w:r>
      <w:r w:rsidRPr="00504F99">
        <w:t>instead</w:t>
      </w:r>
      <w:r w:rsidR="005F35B1" w:rsidRPr="00504F99">
        <w:t xml:space="preserve"> </w:t>
      </w:r>
      <w:r w:rsidRPr="00504F99">
        <w:t>of</w:t>
      </w:r>
      <w:r w:rsidR="005F35B1" w:rsidRPr="00504F99">
        <w:t xml:space="preserve"> </w:t>
      </w:r>
      <w:r w:rsidRPr="00504F99">
        <w:t xml:space="preserve">k − 1 variables. </w:t>
      </w:r>
    </w:p>
    <w:p w14:paraId="61EA41A4" w14:textId="17F6240A" w:rsidR="00B025AD" w:rsidRDefault="00006949" w:rsidP="008D2113">
      <w:pPr>
        <w:pStyle w:val="NormalWeb"/>
      </w:pPr>
      <w:r>
        <w:t xml:space="preserve"> Because the number of treated subjects </w:t>
      </w:r>
      <w:r w:rsidR="00D53805">
        <w:t xml:space="preserve">often </w:t>
      </w:r>
      <w:r>
        <w:t xml:space="preserve">far exceeds the number of </w:t>
      </w:r>
      <w:r w:rsidR="00F04964">
        <w:t xml:space="preserve">subjects with </w:t>
      </w:r>
      <w:r>
        <w:t>outcomes, it may be possible to control for many more potential confound</w:t>
      </w:r>
      <w:r w:rsidR="00D53805">
        <w:t>ers</w:t>
      </w:r>
      <w:r>
        <w:t xml:space="preserve"> in a propensity score model than in a model for outcome. </w:t>
      </w:r>
    </w:p>
    <w:p w14:paraId="72E50A6A" w14:textId="051E2F47" w:rsidR="0024184F" w:rsidRDefault="004040C1" w:rsidP="008D2113">
      <w:pPr>
        <w:pStyle w:val="NormalWeb"/>
      </w:pPr>
      <w:r w:rsidRPr="00504F99">
        <w:t>Now the investigator can stratify</w:t>
      </w:r>
      <w:r w:rsidR="0024184F">
        <w:t xml:space="preserve"> or match</w:t>
      </w:r>
      <w:r w:rsidRPr="00504F99">
        <w:t xml:space="preserve"> on this P(</w:t>
      </w:r>
      <w:r w:rsidR="00AC646C">
        <w:t>X</w:t>
      </w:r>
      <w:r w:rsidR="00AC646C" w:rsidRPr="00AC646C">
        <w:rPr>
          <w:vertAlign w:val="subscript"/>
        </w:rPr>
        <w:t>1</w:t>
      </w:r>
      <w:r w:rsidRPr="00504F99">
        <w:t xml:space="preserve">) variable and compare the risk of outcome in those who actually were and were not treated </w:t>
      </w:r>
      <w:r w:rsidR="0024184F">
        <w:t>but</w:t>
      </w:r>
      <w:r w:rsidRPr="00504F99">
        <w:t xml:space="preserve"> had approximately the same propensity to be treated. </w:t>
      </w:r>
    </w:p>
    <w:p w14:paraId="57CD7C8B" w14:textId="773E17C3" w:rsidR="00B025AD" w:rsidRPr="00AC646C" w:rsidRDefault="004040C1" w:rsidP="008D2113">
      <w:pPr>
        <w:pStyle w:val="NormalWeb"/>
        <w:rPr>
          <w:sz w:val="20"/>
          <w:szCs w:val="20"/>
        </w:rPr>
      </w:pPr>
      <w:r w:rsidRPr="00AC646C">
        <w:rPr>
          <w:sz w:val="20"/>
          <w:szCs w:val="20"/>
        </w:rPr>
        <w:t xml:space="preserve">Alternatively, the investigator can </w:t>
      </w:r>
      <w:r w:rsidR="0024184F" w:rsidRPr="00AC646C">
        <w:rPr>
          <w:sz w:val="20"/>
          <w:szCs w:val="20"/>
        </w:rPr>
        <w:t>use inverse probability weighting to create exposed and unexposed populations with similar distributions of propensities to be treated.  This is done by weighting the treated group by 1/P(</w:t>
      </w:r>
      <w:r w:rsidR="00AC646C" w:rsidRPr="00AC646C">
        <w:rPr>
          <w:sz w:val="20"/>
          <w:szCs w:val="20"/>
        </w:rPr>
        <w:t>X</w:t>
      </w:r>
      <w:r w:rsidR="00AC646C" w:rsidRPr="00AC646C">
        <w:rPr>
          <w:sz w:val="20"/>
          <w:szCs w:val="20"/>
          <w:vertAlign w:val="subscript"/>
        </w:rPr>
        <w:t>1</w:t>
      </w:r>
      <w:r w:rsidR="0024184F" w:rsidRPr="00AC646C">
        <w:rPr>
          <w:sz w:val="20"/>
          <w:szCs w:val="20"/>
        </w:rPr>
        <w:t>) and the untreated group by 1/(1-P(</w:t>
      </w:r>
      <w:r w:rsidR="00AC646C" w:rsidRPr="00AC646C">
        <w:rPr>
          <w:sz w:val="20"/>
          <w:szCs w:val="20"/>
        </w:rPr>
        <w:t>X</w:t>
      </w:r>
      <w:r w:rsidR="00AC646C" w:rsidRPr="00AC646C">
        <w:rPr>
          <w:sz w:val="20"/>
          <w:szCs w:val="20"/>
          <w:vertAlign w:val="subscript"/>
        </w:rPr>
        <w:t>1</w:t>
      </w:r>
      <w:r w:rsidR="0024184F" w:rsidRPr="00AC646C">
        <w:rPr>
          <w:sz w:val="20"/>
          <w:szCs w:val="20"/>
        </w:rPr>
        <w:t xml:space="preserve">)). </w:t>
      </w:r>
      <w:r w:rsidR="006B438A" w:rsidRPr="00AC646C">
        <w:rPr>
          <w:sz w:val="20"/>
          <w:szCs w:val="20"/>
        </w:rPr>
        <w:t>T</w:t>
      </w:r>
      <w:r w:rsidR="0024184F" w:rsidRPr="00AC646C">
        <w:rPr>
          <w:sz w:val="20"/>
          <w:szCs w:val="20"/>
        </w:rPr>
        <w:t xml:space="preserve">his </w:t>
      </w:r>
      <w:r w:rsidR="006B438A" w:rsidRPr="00AC646C">
        <w:rPr>
          <w:color w:val="00B050"/>
          <w:sz w:val="20"/>
          <w:szCs w:val="20"/>
        </w:rPr>
        <w:t xml:space="preserve">inverse probability of treatment weighting </w:t>
      </w:r>
      <w:r w:rsidR="0024184F" w:rsidRPr="00AC646C">
        <w:rPr>
          <w:sz w:val="20"/>
          <w:szCs w:val="20"/>
        </w:rPr>
        <w:t xml:space="preserve">works </w:t>
      </w:r>
      <w:r w:rsidR="006B438A" w:rsidRPr="00AC646C">
        <w:rPr>
          <w:sz w:val="20"/>
          <w:szCs w:val="20"/>
        </w:rPr>
        <w:t>because</w:t>
      </w:r>
      <w:r w:rsidR="0024184F" w:rsidRPr="00AC646C">
        <w:rPr>
          <w:sz w:val="20"/>
          <w:szCs w:val="20"/>
        </w:rPr>
        <w:t xml:space="preserve"> subjects with a low propensity to be treated will be under-represented in the treatment group.  To undo this under</w:t>
      </w:r>
      <w:r w:rsidR="006B438A" w:rsidRPr="00AC646C">
        <w:rPr>
          <w:sz w:val="20"/>
          <w:szCs w:val="20"/>
        </w:rPr>
        <w:t>-representation, we count the treated subjects with low propensity more by multiplying by a weight of 1/P(</w:t>
      </w:r>
      <w:r w:rsidR="00AC646C" w:rsidRPr="00AC646C">
        <w:rPr>
          <w:sz w:val="20"/>
          <w:szCs w:val="20"/>
        </w:rPr>
        <w:t>X</w:t>
      </w:r>
      <w:r w:rsidR="00AC646C" w:rsidRPr="00AC646C">
        <w:rPr>
          <w:sz w:val="20"/>
          <w:szCs w:val="20"/>
          <w:vertAlign w:val="subscript"/>
        </w:rPr>
        <w:t>1</w:t>
      </w:r>
      <w:r w:rsidR="006B438A" w:rsidRPr="00AC646C">
        <w:rPr>
          <w:sz w:val="20"/>
          <w:szCs w:val="20"/>
        </w:rPr>
        <w:t>), which will be a higher number the lower P(</w:t>
      </w:r>
      <w:r w:rsidR="00AC646C" w:rsidRPr="00AC646C">
        <w:rPr>
          <w:sz w:val="20"/>
          <w:szCs w:val="20"/>
        </w:rPr>
        <w:t>X</w:t>
      </w:r>
      <w:r w:rsidR="00AC646C" w:rsidRPr="00AC646C">
        <w:rPr>
          <w:sz w:val="20"/>
          <w:szCs w:val="20"/>
          <w:vertAlign w:val="subscript"/>
        </w:rPr>
        <w:t>1</w:t>
      </w:r>
      <w:r w:rsidR="006B438A" w:rsidRPr="00AC646C">
        <w:rPr>
          <w:sz w:val="20"/>
          <w:szCs w:val="20"/>
        </w:rPr>
        <w:t>) is.  Similarly, untreated subjects with high propensity scores will be under-represented, so we give them extra weight by multiplying by 1/(1-P(</w:t>
      </w:r>
      <w:r w:rsidR="00AC646C" w:rsidRPr="00AC646C">
        <w:rPr>
          <w:sz w:val="20"/>
          <w:szCs w:val="20"/>
        </w:rPr>
        <w:t>X</w:t>
      </w:r>
      <w:r w:rsidR="00AC646C" w:rsidRPr="00AC646C">
        <w:rPr>
          <w:sz w:val="20"/>
          <w:szCs w:val="20"/>
          <w:vertAlign w:val="subscript"/>
        </w:rPr>
        <w:t>1</w:t>
      </w:r>
      <w:r w:rsidR="006B438A" w:rsidRPr="00AC646C">
        <w:rPr>
          <w:sz w:val="20"/>
          <w:szCs w:val="20"/>
        </w:rPr>
        <w:t>)), which will be higher if P(</w:t>
      </w:r>
      <w:r w:rsidR="00AC646C" w:rsidRPr="00AC646C">
        <w:rPr>
          <w:sz w:val="20"/>
          <w:szCs w:val="20"/>
        </w:rPr>
        <w:t>X</w:t>
      </w:r>
      <w:r w:rsidR="00AC646C" w:rsidRPr="00AC646C">
        <w:rPr>
          <w:sz w:val="20"/>
          <w:szCs w:val="20"/>
          <w:vertAlign w:val="subscript"/>
        </w:rPr>
        <w:t>1</w:t>
      </w:r>
      <w:r w:rsidR="006B438A" w:rsidRPr="00AC646C">
        <w:rPr>
          <w:sz w:val="20"/>
          <w:szCs w:val="20"/>
        </w:rPr>
        <w:t>) is higher.</w:t>
      </w:r>
    </w:p>
    <w:p w14:paraId="012FBA0A" w14:textId="0708699A" w:rsidR="00EA6C2E" w:rsidRDefault="004040C1" w:rsidP="008D2113">
      <w:pPr>
        <w:pStyle w:val="NormalWeb"/>
      </w:pPr>
      <w:r w:rsidRPr="00504F99">
        <w:t>For example, Gum et al.</w:t>
      </w:r>
      <w:r w:rsidR="001033CA">
        <w:fldChar w:fldCharType="begin"/>
      </w:r>
      <w:r w:rsidR="001033CA">
        <w:instrText xml:space="preserve"> ADDIN EN.CITE &lt;EndNote&gt;&lt;Cite&gt;&lt;Author&gt;Gum&lt;/Author&gt;&lt;Year&gt;2001&lt;/Year&gt;&lt;RecNum&gt;2118&lt;/RecNum&gt;&lt;DisplayText&gt;[18]&lt;/DisplayText&gt;&lt;record&gt;&lt;rec-number&gt;2118&lt;/rec-number&gt;&lt;foreign-keys&gt;&lt;key app="EN" db-id="zvsswrav8t2apbep2dbpv25ufvpprfe9rpex" timestamp="0"&gt;2118&lt;/key&gt;&lt;/foreign-keys&gt;&lt;ref-type name="Journal Article"&gt;17&lt;/ref-type&gt;&lt;contributors&gt;&lt;authors&gt;&lt;author&gt;Gum, P. A.&lt;/author&gt;&lt;author&gt;Thamilarasan, M.&lt;/author&gt;&lt;author&gt;Watanabe, J.&lt;/author&gt;&lt;author&gt;Blackstone, E. H.&lt;/author&gt;&lt;author&gt;Lauer, M. S.&lt;/author&gt;&lt;/authors&gt;&lt;/contributors&gt;&lt;auth-address&gt;Department of Cardiology, Desk F25, Cleveland Clinic Foundation, 9500 Euclid Ave, Cleveland, OH 44195, USA.&lt;/auth-address&gt;&lt;titles&gt;&lt;title&gt;Aspirin use and all-cause mortality among patients being evaluated for known or suspected coronary artery disease: A propensity analysis&lt;/title&gt;&lt;secondary-title&gt;JAMA&lt;/secondary-title&gt;&lt;/titles&gt;&lt;periodical&gt;&lt;full-title&gt;JAMA&lt;/full-title&gt;&lt;/periodical&gt;&lt;pages&gt;1187-94&lt;/pages&gt;&lt;volume&gt;286&lt;/volume&gt;&lt;number&gt;10&lt;/number&gt;&lt;keywords&gt;&lt;keyword&gt;Aspirin/*therapeutic use&lt;/keyword&gt;&lt;keyword&gt;Cause of Death&lt;/keyword&gt;&lt;keyword&gt;Coronary Disease/*drug therapy/*mortality&lt;/keyword&gt;&lt;keyword&gt;Echocardiography&lt;/keyword&gt;&lt;keyword&gt;Exercise Test&lt;/keyword&gt;&lt;keyword&gt;Female&lt;/keyword&gt;&lt;keyword&gt;Human&lt;/keyword&gt;&lt;keyword&gt;Male&lt;/keyword&gt;&lt;keyword&gt;Middle Age&lt;/keyword&gt;&lt;keyword&gt;Observation&lt;/keyword&gt;&lt;keyword&gt;Platelet Aggregation Inhibitors/*therapeutic use&lt;/keyword&gt;&lt;keyword&gt;Proportional Hazards Models&lt;/keyword&gt;&lt;keyword&gt;Prospective Studies&lt;/keyword&gt;&lt;keyword&gt;Risk Factors&lt;/keyword&gt;&lt;keyword&gt;Support, Non-U.S. Gov&amp;apos;t&lt;/keyword&gt;&lt;keyword&gt;Support, U.S. Gov&amp;apos;t, P.H.S.&lt;/keyword&gt;&lt;keyword&gt;Survival Analysis&lt;/keyword&gt;&lt;/keywords&gt;&lt;dates&gt;&lt;year&gt;2001&lt;/year&gt;&lt;pub-dates&gt;&lt;date&gt;Sep 12&lt;/date&gt;&lt;/pub-dates&gt;&lt;/dates&gt;&lt;accession-num&gt;11559263&lt;/accession-num&gt;&lt;urls&gt;&lt;related-urls&gt;&lt;url&gt;http://www.ncbi.nlm.nih.gov/entrez/query.fcgi?cmd=Retrieve&amp;amp;db=PubMed&amp;amp;dopt=Citation&amp;amp;list_uids=11559263&lt;/url&gt;&lt;/related-urls&gt;&lt;/urls&gt;&lt;/record&gt;&lt;/Cite&gt;&lt;/EndNote&gt;</w:instrText>
      </w:r>
      <w:r w:rsidR="001033CA">
        <w:fldChar w:fldCharType="separate"/>
      </w:r>
      <w:r w:rsidR="001033CA">
        <w:rPr>
          <w:noProof/>
        </w:rPr>
        <w:t>[18]</w:t>
      </w:r>
      <w:r w:rsidR="001033CA">
        <w:fldChar w:fldCharType="end"/>
      </w:r>
      <w:r w:rsidRPr="00504F99">
        <w:t xml:space="preserve"> prospectively studied total mortality of 6,174 consecutive adults undergoing stress echocardiography, 2,310 of whom (37%) were taking aspirin. In unadjusted analyses, mortality did not differ between users and nonusers of aspirin</w:t>
      </w:r>
      <w:r w:rsidR="00006949">
        <w:t>: it was</w:t>
      </w:r>
      <w:r w:rsidRPr="00504F99">
        <w:t xml:space="preserve"> 4.5% in each group. Multivariable analysis, however, suggested a mortality bene</w:t>
      </w:r>
      <w:r w:rsidR="00AD55CF" w:rsidRPr="00504F99">
        <w:t>fi</w:t>
      </w:r>
      <w:r w:rsidRPr="00504F99">
        <w:t>t</w:t>
      </w:r>
      <w:r w:rsidR="00DD3BD1">
        <w:t xml:space="preserve"> was hidden by confounding by indication</w:t>
      </w:r>
      <w:r w:rsidRPr="00504F99">
        <w:t>. This was con</w:t>
      </w:r>
      <w:r w:rsidR="00AD55CF" w:rsidRPr="00504F99">
        <w:t>fi</w:t>
      </w:r>
      <w:r w:rsidRPr="00504F99">
        <w:t>rmed by matching subjects by propensity scores and then comparing survival in the two groups (</w:t>
      </w:r>
      <w:r w:rsidR="00DA3E0C">
        <w:t>Figure 9.</w:t>
      </w:r>
      <w:r w:rsidRPr="00504F99">
        <w:t>4).</w:t>
      </w:r>
    </w:p>
    <w:p w14:paraId="1F00C76F" w14:textId="77777777" w:rsidR="00EA6C2E" w:rsidRDefault="0048109F" w:rsidP="00EA6C2E">
      <w:pPr>
        <w:pStyle w:val="NormalWeb"/>
      </w:pPr>
      <w:r w:rsidRPr="00EA6C2E">
        <w:rPr>
          <w:noProof/>
        </w:rPr>
        <w:lastRenderedPageBreak/>
        <w:drawing>
          <wp:inline distT="0" distB="0" distL="0" distR="0" wp14:anchorId="2B544403" wp14:editId="5AC1FEC1">
            <wp:extent cx="5229860" cy="3103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860" cy="3103245"/>
                    </a:xfrm>
                    <a:prstGeom prst="rect">
                      <a:avLst/>
                    </a:prstGeom>
                    <a:noFill/>
                    <a:ln>
                      <a:noFill/>
                    </a:ln>
                  </pic:spPr>
                </pic:pic>
              </a:graphicData>
            </a:graphic>
          </wp:inline>
        </w:drawing>
      </w:r>
    </w:p>
    <w:p w14:paraId="7BEFB0D5" w14:textId="77777777" w:rsidR="00EA6C2E" w:rsidRPr="00504F99" w:rsidRDefault="00EA6C2E" w:rsidP="00EA6C2E">
      <w:pPr>
        <w:pStyle w:val="NormalWeb"/>
      </w:pPr>
      <w:r>
        <w:t>Figure 9.</w:t>
      </w:r>
      <w:r w:rsidRPr="00504F99">
        <w:t>4 Survival of aspirin users and nonusers following stress echocardiography, matched by propensity score for aspirin use. (From Gum et al. 2001; used with permission.)</w:t>
      </w:r>
    </w:p>
    <w:p w14:paraId="355FD9F9" w14:textId="77777777" w:rsidR="00C4023B" w:rsidRDefault="004040C1" w:rsidP="008D2113">
      <w:pPr>
        <w:pStyle w:val="NormalWeb"/>
      </w:pPr>
      <w:r w:rsidRPr="00504F99">
        <w:t xml:space="preserve">Note that the </w:t>
      </w:r>
      <w:r w:rsidR="00AD55CF" w:rsidRPr="00504F99">
        <w:t>fi</w:t>
      </w:r>
      <w:r w:rsidRPr="00504F99">
        <w:t xml:space="preserve">gure is based on only 1,351 subjects in each group. This is because only 1,351 of the 2310 subjects who received aspirin had a “match,” – that is, had someone with the same propensity to receive aspirin but did not receive it – in the </w:t>
      </w:r>
      <w:r w:rsidR="00E60925">
        <w:t xml:space="preserve">non-aspirin </w:t>
      </w:r>
      <w:proofErr w:type="gramStart"/>
      <w:r w:rsidR="00E60925">
        <w:t>users</w:t>
      </w:r>
      <w:proofErr w:type="gramEnd"/>
      <w:r w:rsidRPr="00504F99">
        <w:t xml:space="preserve"> group. This is not unexpected in observational studies such as this one. When the treatment is not randomized, the average propensity to receive aspirin will be higher in the group that received it than in the group that did not, which may make it dif</w:t>
      </w:r>
      <w:r w:rsidR="00AD55CF" w:rsidRPr="00504F99">
        <w:t>fi</w:t>
      </w:r>
      <w:r w:rsidRPr="00504F99">
        <w:t xml:space="preserve">cult to match all treated subjects to untreated subjects. This loss of subjects affects both power (which was still more than adequate in this study) and generalizability. </w:t>
      </w:r>
    </w:p>
    <w:p w14:paraId="21227011" w14:textId="77777777" w:rsidR="00AC646C" w:rsidRDefault="004040C1" w:rsidP="008D2113">
      <w:pPr>
        <w:pStyle w:val="NormalWeb"/>
      </w:pPr>
      <w:r w:rsidRPr="00504F99">
        <w:t>For example, the results of this study are only generalizable to patients whose propensity to receive aspirin was in a range where there was overlap between those who did and did not receive it. But this makes sense. If there are some</w:t>
      </w:r>
      <w:r w:rsidR="00D13CA2" w:rsidRPr="00504F99">
        <w:t xml:space="preserve"> </w:t>
      </w:r>
      <w:r w:rsidRPr="00504F99">
        <w:t>people who absolutely should get aspirin and some who should not, their propensities will be close to 1 and 0, respectively</w:t>
      </w:r>
      <w:r w:rsidR="00AC646C">
        <w:t>. Such patients</w:t>
      </w:r>
      <w:r w:rsidRPr="00504F99">
        <w:t xml:space="preserve"> will not have a match and hence will not be included in the matched results. </w:t>
      </w:r>
    </w:p>
    <w:p w14:paraId="3939E79F" w14:textId="7498B346" w:rsidR="007D26A7" w:rsidRDefault="004040C1" w:rsidP="008D2113">
      <w:pPr>
        <w:pStyle w:val="NormalWeb"/>
      </w:pPr>
      <w:r w:rsidRPr="00504F99">
        <w:t xml:space="preserve">Think of this exclusion of subjects with propensity scores near 0 or 1 as analogous to exclusion criteria in a clinical trial. If there are some persons for whom either drug or placebo is known to be contraindicated, then you neither can nor should study the difference between drug and placebo in those patients. In fact, this is another advantage of a propensity analysis: if there is little overlap between the propensity scores of those who were and were not treated, it means that those treated appear to be very different from those not treated, in terms of their indication for the treatment, and that trying to adjust for this with </w:t>
      </w:r>
      <w:r w:rsidR="00EB76E4">
        <w:t>multivariable</w:t>
      </w:r>
      <w:r w:rsidRPr="00504F99">
        <w:t xml:space="preserve"> analysis may require questionable extrapolations beyond the data.</w:t>
      </w:r>
    </w:p>
    <w:p w14:paraId="7D778125" w14:textId="77777777" w:rsidR="007D26A7" w:rsidRDefault="0048109F" w:rsidP="008D2113">
      <w:pPr>
        <w:pStyle w:val="NormalWeb"/>
      </w:pPr>
      <w:r w:rsidRPr="006249A4">
        <w:rPr>
          <w:noProof/>
        </w:rPr>
        <w:lastRenderedPageBreak/>
        <w:drawing>
          <wp:inline distT="0" distB="0" distL="0" distR="0" wp14:anchorId="5F571FE2" wp14:editId="2C6EFEEA">
            <wp:extent cx="4211955"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1955" cy="2819400"/>
                    </a:xfrm>
                    <a:prstGeom prst="rect">
                      <a:avLst/>
                    </a:prstGeom>
                    <a:noFill/>
                    <a:ln>
                      <a:noFill/>
                    </a:ln>
                  </pic:spPr>
                </pic:pic>
              </a:graphicData>
            </a:graphic>
          </wp:inline>
        </w:drawing>
      </w:r>
    </w:p>
    <w:p w14:paraId="6CA26618" w14:textId="77777777" w:rsidR="00D13CA2" w:rsidRPr="00504F99" w:rsidRDefault="00DA3E0C" w:rsidP="00C656C8">
      <w:pPr>
        <w:pStyle w:val="NormalWeb"/>
      </w:pPr>
      <w:r>
        <w:t>Figure 9.</w:t>
      </w:r>
      <w:r w:rsidR="00D13CA2" w:rsidRPr="00504F99">
        <w:t>5 (</w:t>
      </w:r>
      <w:r w:rsidR="00D13CA2" w:rsidRPr="00504F99">
        <w:rPr>
          <w:b/>
        </w:rPr>
        <w:t>A</w:t>
      </w:r>
      <w:r w:rsidR="00D13CA2" w:rsidRPr="00504F99">
        <w:t>) Propensity scores do not overlap; treated and untreated groups are not comparable. A propensity analysis cannot be done and any comparison between groups is hazardous. (</w:t>
      </w:r>
      <w:r w:rsidR="00D13CA2" w:rsidRPr="00504F99">
        <w:rPr>
          <w:b/>
        </w:rPr>
        <w:t>B</w:t>
      </w:r>
      <w:r w:rsidR="00D13CA2" w:rsidRPr="00504F99">
        <w:t>) Propensity distributions are nearly identical. A propensity analysis is not necessary as groups are already matched or treatment was randomly assigned. (</w:t>
      </w:r>
      <w:r w:rsidR="00D13CA2" w:rsidRPr="00504F99">
        <w:rPr>
          <w:b/>
        </w:rPr>
        <w:t>C</w:t>
      </w:r>
      <w:r w:rsidR="00D13CA2" w:rsidRPr="00504F99">
        <w:t>) Good overlap in propensity scores; the subjects in the overlapping parts of the distribution can be studied. (Figure courtesy of Thomas Love; Case Western Reserve University Center for Health Research and Policy.)</w:t>
      </w:r>
    </w:p>
    <w:p w14:paraId="2D339816" w14:textId="41320023" w:rsidR="00B025AD" w:rsidRPr="00504F99" w:rsidRDefault="004040C1" w:rsidP="008D2113">
      <w:pPr>
        <w:pStyle w:val="NormalWeb"/>
      </w:pPr>
      <w:r w:rsidRPr="00504F99">
        <w:t>A propensity score analysis requires that scores overlap between a substantial portion of the treated and untreated groups.</w:t>
      </w:r>
      <w:r w:rsidR="00C4023B" w:rsidRPr="00C4023B">
        <w:t xml:space="preserve"> </w:t>
      </w:r>
      <w:r w:rsidR="00C4023B" w:rsidRPr="00504F99">
        <w:t>(</w:t>
      </w:r>
      <w:r w:rsidR="00C4023B">
        <w:t>Figure 9.</w:t>
      </w:r>
      <w:r w:rsidR="00C4023B" w:rsidRPr="00504F99">
        <w:t>5</w:t>
      </w:r>
      <w:r w:rsidR="00C4023B">
        <w:t>C</w:t>
      </w:r>
      <w:r w:rsidR="00C4023B" w:rsidRPr="00504F99">
        <w:t>)</w:t>
      </w:r>
      <w:r w:rsidRPr="00504F99">
        <w:t xml:space="preserve"> If the model predicts treatment too well, only a few subjects in the treated and untreated groups will have the same propensity score (</w:t>
      </w:r>
      <w:r w:rsidR="00DA3E0C">
        <w:t>Figure 9.</w:t>
      </w:r>
      <w:r w:rsidRPr="00504F99">
        <w:t xml:space="preserve">5A). For this reason, one should avoid including in a propensity score factors that are associated with receiving treatment but unlikely to cause the outcome, such as day of week or geographical location. (Note that these same factors </w:t>
      </w:r>
      <w:r w:rsidR="00C4023B">
        <w:t xml:space="preserve">might </w:t>
      </w:r>
      <w:r w:rsidRPr="00504F99">
        <w:t xml:space="preserve">make good instrumental variables!) On the other hand, if the propensity score distributions in the treated and untreated groups are nearly identical, there is no </w:t>
      </w:r>
      <w:r w:rsidR="006B438A">
        <w:t>need to do</w:t>
      </w:r>
      <w:r w:rsidRPr="00504F99">
        <w:t xml:space="preserve"> a propensity score analysis (</w:t>
      </w:r>
      <w:r w:rsidR="00DA3E0C">
        <w:t>Figure 9.</w:t>
      </w:r>
      <w:r w:rsidRPr="00504F99">
        <w:t>5B).</w:t>
      </w:r>
    </w:p>
    <w:p w14:paraId="2F5E5717" w14:textId="77777777" w:rsidR="00B025AD" w:rsidRPr="00504F99" w:rsidRDefault="004040C1" w:rsidP="008D2113">
      <w:pPr>
        <w:pStyle w:val="NormalWeb"/>
      </w:pPr>
      <w:r w:rsidRPr="00504F99">
        <w:t>Propensity score analysis in an observational study of a treatment helps to separate out the effects of the treatment itself from other factors associated both with receiving</w:t>
      </w:r>
      <w:r w:rsidR="00154A84" w:rsidRPr="00504F99">
        <w:t xml:space="preserve"> </w:t>
      </w:r>
      <w:r w:rsidRPr="00504F99">
        <w:t>the treatment and with the outcome. However, propensity score analysis is not helpful if the goal is to identify or to quantify the effects of these other confounding factors.</w:t>
      </w:r>
    </w:p>
    <w:p w14:paraId="513FD1B0" w14:textId="77777777" w:rsidR="00D815BB" w:rsidRDefault="00D815BB" w:rsidP="002E5ED6">
      <w:pPr>
        <w:pStyle w:val="Heading2"/>
      </w:pPr>
      <w:r>
        <w:t>The importance of timing</w:t>
      </w:r>
    </w:p>
    <w:p w14:paraId="185C3FF5" w14:textId="77777777" w:rsidR="00B10516" w:rsidRDefault="008922A5" w:rsidP="000F4648">
      <w:r>
        <w:t>To this poin</w:t>
      </w:r>
      <w:r w:rsidR="00A24271">
        <w:t xml:space="preserve">t of the chapter we have largely focused on ways to reduce or eliminate the </w:t>
      </w:r>
      <w:r w:rsidR="00DD27CF">
        <w:t>possibility</w:t>
      </w:r>
      <w:r w:rsidR="00A24271">
        <w:t xml:space="preserve"> of confounding in observational studies of treatme</w:t>
      </w:r>
      <w:r w:rsidR="00030CEF">
        <w:t xml:space="preserve">nt efficacy (or harm).  We pointed out that a goal of randomized trials is to assemble comparable groups, in order to use outcomes in the untreated </w:t>
      </w:r>
      <w:r w:rsidR="008D46AE">
        <w:t xml:space="preserve">subjects </w:t>
      </w:r>
      <w:r w:rsidR="00030CEF">
        <w:t>to estimate what would have happened to the treated</w:t>
      </w:r>
      <w:r w:rsidR="008D46AE">
        <w:t xml:space="preserve"> subjects</w:t>
      </w:r>
      <w:r w:rsidR="00030CEF">
        <w:t xml:space="preserve"> if they had not been treated.  Randomization helps, b</w:t>
      </w:r>
      <w:r w:rsidR="001512F4">
        <w:t>y</w:t>
      </w:r>
      <w:r w:rsidR="00030CEF">
        <w:t xml:space="preserve"> </w:t>
      </w:r>
      <w:r w:rsidR="00DB6A25">
        <w:t xml:space="preserve">making the two </w:t>
      </w:r>
      <w:r w:rsidR="00DB6A25">
        <w:lastRenderedPageBreak/>
        <w:t>groups comparable at baseline, and blinding helps keep the groups comparable.  But another thing that randomization does is that it establishes the starting point for foll</w:t>
      </w:r>
      <w:r w:rsidR="00D437A1">
        <w:t>ow-up</w:t>
      </w:r>
      <w:r w:rsidR="00F4707A">
        <w:t>, the time period during which we are watching for and counting events</w:t>
      </w:r>
      <w:r w:rsidR="00D437A1">
        <w:t xml:space="preserve">. </w:t>
      </w:r>
    </w:p>
    <w:p w14:paraId="260E4683" w14:textId="77777777" w:rsidR="00D437A1" w:rsidRDefault="00D437A1" w:rsidP="000F4648"/>
    <w:p w14:paraId="0CB3E563" w14:textId="77777777" w:rsidR="00DB6A25" w:rsidRDefault="00DB6A25" w:rsidP="000F4648">
      <w:r>
        <w:t xml:space="preserve">Sometimes </w:t>
      </w:r>
      <w:r w:rsidR="00974B8B">
        <w:t>in observational studies, the starting points for follow-up may not be so clear.  For those who were treated, we can start follow-up</w:t>
      </w:r>
      <w:r w:rsidR="001D6A9F">
        <w:t xml:space="preserve"> </w:t>
      </w:r>
      <w:r w:rsidR="00974B8B">
        <w:t>when treatment starts.  B</w:t>
      </w:r>
      <w:r w:rsidR="005A7F07">
        <w:t xml:space="preserve">ut what about those who are not treated – when do we start counting </w:t>
      </w:r>
      <w:r w:rsidR="0055341F">
        <w:t>the time at risk for them</w:t>
      </w:r>
      <w:r w:rsidR="005A7F07">
        <w:t xml:space="preserve">?  And how do we handle those who are not initially treated but start treatment </w:t>
      </w:r>
      <w:r w:rsidR="0055341F">
        <w:t>later in the study</w:t>
      </w:r>
      <w:r w:rsidR="001D6A9F">
        <w:t>, or those who start treatment but then stop it soon thereafter,</w:t>
      </w:r>
      <w:r w:rsidR="0055341F">
        <w:t xml:space="preserve"> resembling cross-overs in a clinical trial?</w:t>
      </w:r>
    </w:p>
    <w:p w14:paraId="6C73B99D" w14:textId="77777777" w:rsidR="00B03B4D" w:rsidRDefault="00B03B4D" w:rsidP="000F4648"/>
    <w:p w14:paraId="2EA4B426" w14:textId="66F8F606" w:rsidR="00AE017C" w:rsidRDefault="00AE017C" w:rsidP="000F4648">
      <w:r>
        <w:t xml:space="preserve">For example, consider a retrospective cohort </w:t>
      </w:r>
      <w:r w:rsidR="00B03B4D">
        <w:t>study of the association between pioglitazone and bladder cancer,</w:t>
      </w:r>
      <w:r w:rsidR="001033CA">
        <w:fldChar w:fldCharType="begin"/>
      </w:r>
      <w:r w:rsidR="001033CA">
        <w:instrText xml:space="preserve"> ADDIN EN.CITE &lt;EndNote&gt;&lt;Cite&gt;&lt;Author&gt;Wei&lt;/Author&gt;&lt;Year&gt;2012&lt;/Year&gt;&lt;RecNum&gt;1551&lt;/RecNum&gt;&lt;DisplayText&gt;[19]&lt;/DisplayText&gt;&lt;record&gt;&lt;rec-number&gt;1551&lt;/rec-number&gt;&lt;foreign-keys&gt;&lt;key app="EN" db-id="0ftvff9p80fp5few5s05f5fw9rd9fefrdzer" timestamp="1529447691"&gt;1551&lt;/key&gt;&lt;/foreign-keys&gt;&lt;ref-type name="Journal Article"&gt;17&lt;/ref-type&gt;&lt;contributors&gt;&lt;authors&gt;&lt;author&gt;Wei, L&lt;/author&gt;&lt;author&gt;MacDonald,T.M.&lt;/author&gt;&lt;author&gt;Mackenzie, I.S.&lt;/author&gt;&lt;/authors&gt;&lt;/contributors&gt;&lt;titles&gt;&lt;title&gt;Pioglitazone and bladdercancer: a propensity scorematched cohort study&lt;/title&gt;&lt;secondary-title&gt;Br J Clin Pharmacol&lt;/secondary-title&gt;&lt;/titles&gt;&lt;periodical&gt;&lt;full-title&gt;Br J Clin Pharmacol&lt;/full-title&gt;&lt;/periodical&gt;&lt;pages&gt;254-59&lt;/pages&gt;&lt;volume&gt;75&lt;/volume&gt;&lt;number&gt;1&lt;/number&gt;&lt;dates&gt;&lt;year&gt;2012&lt;/year&gt;&lt;/dates&gt;&lt;urls&gt;&lt;/urls&gt;&lt;/record&gt;&lt;/Cite&gt;&lt;/EndNote&gt;</w:instrText>
      </w:r>
      <w:r w:rsidR="001033CA">
        <w:fldChar w:fldCharType="separate"/>
      </w:r>
      <w:r w:rsidR="001033CA">
        <w:rPr>
          <w:noProof/>
        </w:rPr>
        <w:t>[19]</w:t>
      </w:r>
      <w:r w:rsidR="001033CA">
        <w:fldChar w:fldCharType="end"/>
      </w:r>
      <w:r w:rsidR="00B03B4D">
        <w:t xml:space="preserve"> included in the meta-analysis cited above.</w:t>
      </w:r>
      <w:r w:rsidR="001033CA">
        <w:fldChar w:fldCharType="begin"/>
      </w:r>
      <w:r w:rsidR="001033CA">
        <w:instrText xml:space="preserve"> ADDIN EN.CITE &lt;EndNote&gt;&lt;Cite&gt;&lt;Author&gt;Turner&lt;/Author&gt;&lt;Year&gt;2014&lt;/Year&gt;&lt;RecNum&gt;4247&lt;/RecNum&gt;&lt;DisplayText&gt;[13]&lt;/DisplayText&gt;&lt;record&gt;&lt;rec-number&gt;4247&lt;/rec-number&gt;&lt;foreign-keys&gt;&lt;key app="EN" db-id="zvsswrav8t2apbep2dbpv25ufvpprfe9rpex" timestamp="1539630414"&gt;4247&lt;/key&gt;&lt;/foreign-keys&gt;&lt;ref-type name="Journal Article"&gt;17&lt;/ref-type&gt;&lt;contributors&gt;&lt;authors&gt;&lt;author&gt;Turner, R. M.&lt;/author&gt;&lt;author&gt;Kwok, C. S.&lt;/author&gt;&lt;author&gt;Chen-Turner, C.&lt;/author&gt;&lt;author&gt;Maduakor, C. A.&lt;/author&gt;&lt;author&gt;Singh, S.&lt;/author&gt;&lt;author&gt;Loke, Y. K.&lt;/author&gt;&lt;/authors&gt;&lt;/contributors&gt;&lt;auth-address&gt;Department of Molecular and Clinical Pharmacology, University of Liverpool, Liverpool, UK; Royal Liverpool University Hospital, Liverpool, UK.&lt;/auth-address&gt;&lt;titles&gt;&lt;title&gt;Thiazolidinediones and associated risk of bladder cancer: a systematic review and meta-analysis&lt;/title&gt;&lt;secondary-title&gt;Br J Clin Pharmacol&lt;/secondary-title&gt;&lt;/titles&gt;&lt;periodical&gt;&lt;full-title&gt;Br J Clin Pharmacol&lt;/full-title&gt;&lt;/periodical&gt;&lt;pages&gt;258-73&lt;/pages&gt;&lt;volume&gt;78&lt;/volume&gt;&lt;number&gt;2&lt;/number&gt;&lt;edition&gt;2013/12/12&lt;/edition&gt;&lt;keywords&gt;&lt;keyword&gt;Data Interpretation, Statistical&lt;/keyword&gt;&lt;keyword&gt;Dose-Response Relationship, Drug&lt;/keyword&gt;&lt;keyword&gt;Humans&lt;/keyword&gt;&lt;keyword&gt;Risk&lt;/keyword&gt;&lt;keyword&gt;Thiazolidinediones/administration &amp;amp; dosage/*adverse effects/therapeutic use&lt;/keyword&gt;&lt;keyword&gt;Urinary Bladder Neoplasms/*chemically induced&lt;/keyword&gt;&lt;keyword&gt;diabetes mellitus&lt;/keyword&gt;&lt;keyword&gt;meta-analysis&lt;/keyword&gt;&lt;keyword&gt;pioglitazone&lt;/keyword&gt;&lt;keyword&gt;rosiglitazone&lt;/keyword&gt;&lt;keyword&gt;thiazolidinedione&lt;/keyword&gt;&lt;keyword&gt;urinary bladder neoplasm&lt;/keyword&gt;&lt;/keywords&gt;&lt;dates&gt;&lt;year&gt;2014&lt;/year&gt;&lt;pub-dates&gt;&lt;date&gt;Aug&lt;/date&gt;&lt;/pub-dates&gt;&lt;/dates&gt;&lt;isbn&gt;1365-2125 (Electronic)&amp;#xD;0306-5251 (Linking)&lt;/isbn&gt;&lt;accession-num&gt;24325197&lt;/accession-num&gt;&lt;urls&gt;&lt;related-urls&gt;&lt;url&gt;https://www.ncbi.nlm.nih.gov/pubmed/24325197&lt;/url&gt;&lt;/related-urls&gt;&lt;/urls&gt;&lt;custom2&gt;PMC4137819&lt;/custom2&gt;&lt;electronic-resource-num&gt;10.1111/bcp.12306&lt;/electronic-resource-num&gt;&lt;/record&gt;&lt;/Cite&gt;&lt;/EndNote&gt;</w:instrText>
      </w:r>
      <w:r w:rsidR="001033CA">
        <w:fldChar w:fldCharType="separate"/>
      </w:r>
      <w:r w:rsidR="001033CA">
        <w:rPr>
          <w:noProof/>
        </w:rPr>
        <w:t>[13]</w:t>
      </w:r>
      <w:r w:rsidR="001033CA">
        <w:fldChar w:fldCharType="end"/>
      </w:r>
      <w:r w:rsidR="00D947C2">
        <w:t xml:space="preserve"> </w:t>
      </w:r>
      <w:r w:rsidR="001E69D6">
        <w:t xml:space="preserve">The </w:t>
      </w:r>
      <w:r w:rsidR="00871968">
        <w:t xml:space="preserve">authors divided the </w:t>
      </w:r>
      <w:r w:rsidR="005A23C7">
        <w:t xml:space="preserve">cohort of </w:t>
      </w:r>
      <w:r w:rsidR="001E69D6">
        <w:t xml:space="preserve">207,714 subjects </w:t>
      </w:r>
      <w:r w:rsidR="005A23C7">
        <w:t xml:space="preserve">aged ≥ 40 years with type 2 diabetes </w:t>
      </w:r>
      <w:r w:rsidR="00334700">
        <w:t>taking an oral antidiabetic drug between January</w:t>
      </w:r>
      <w:r w:rsidR="00EC7755">
        <w:t>,</w:t>
      </w:r>
      <w:r w:rsidR="00334700">
        <w:t xml:space="preserve"> 2001 and December</w:t>
      </w:r>
      <w:r w:rsidR="00EC7755">
        <w:t>,</w:t>
      </w:r>
      <w:r w:rsidR="00334700">
        <w:t xml:space="preserve"> 2010 into those exposed (</w:t>
      </w:r>
      <w:r w:rsidR="00FF4946">
        <w:t xml:space="preserve">≥ 1 prescription for pioglitazone) and </w:t>
      </w:r>
      <w:r w:rsidR="008D46AE">
        <w:t xml:space="preserve">those </w:t>
      </w:r>
      <w:r w:rsidR="00FF4946">
        <w:t>unexposed (no prescriptions for pioglitazone during the study period)</w:t>
      </w:r>
      <w:r w:rsidR="00871968">
        <w:t xml:space="preserve">.  </w:t>
      </w:r>
    </w:p>
    <w:p w14:paraId="7F9FCFDF" w14:textId="77777777" w:rsidR="00B03B4D" w:rsidRDefault="00B03B4D" w:rsidP="000F4648"/>
    <w:p w14:paraId="30F69573" w14:textId="77777777" w:rsidR="008A57E7" w:rsidRDefault="005C59BB" w:rsidP="000F4648">
      <w:r>
        <w:t xml:space="preserve">In considering </w:t>
      </w:r>
      <w:r w:rsidR="001766E9">
        <w:t>follow-up time in observational studies</w:t>
      </w:r>
      <w:r w:rsidR="00610640">
        <w:t xml:space="preserve"> (most commonly retrospective cohort studies)</w:t>
      </w:r>
      <w:r>
        <w:t xml:space="preserve"> it is helpful to imagine that what we are trying to do is to simulate a randomized trial.  Th</w:t>
      </w:r>
      <w:r w:rsidR="00610640">
        <w:t>is should immediately</w:t>
      </w:r>
      <w:r w:rsidR="00AE017C">
        <w:t xml:space="preserve"> raise </w:t>
      </w:r>
      <w:r w:rsidR="001766E9">
        <w:t>a red flag about the study above</w:t>
      </w:r>
      <w:r w:rsidR="00735A3B">
        <w:t xml:space="preserve">, because the unexposed group is defined as </w:t>
      </w:r>
      <w:r w:rsidR="00735A3B" w:rsidRPr="000F4648">
        <w:rPr>
          <w:b/>
        </w:rPr>
        <w:t>never</w:t>
      </w:r>
      <w:r w:rsidR="00735A3B">
        <w:t xml:space="preserve"> receiving pioglitazone during the follow-up period</w:t>
      </w:r>
      <w:r w:rsidR="001766E9">
        <w:t>.</w:t>
      </w:r>
      <w:r w:rsidR="00735A3B">
        <w:t xml:space="preserve">  </w:t>
      </w:r>
      <w:r w:rsidR="00555524">
        <w:t>But in a randomized trial, people are randomized to get the treatment or not</w:t>
      </w:r>
      <w:r w:rsidR="004C76AC">
        <w:t xml:space="preserve"> at the outset</w:t>
      </w:r>
      <w:r w:rsidR="00555524">
        <w:t xml:space="preserve">, and </w:t>
      </w:r>
      <w:r w:rsidR="004C76AC">
        <w:t>should not be</w:t>
      </w:r>
      <w:r w:rsidR="00555524">
        <w:t xml:space="preserve"> excluded from the group they </w:t>
      </w:r>
      <w:r w:rsidR="004C76AC">
        <w:t>were</w:t>
      </w:r>
      <w:r w:rsidR="00555524">
        <w:t xml:space="preserve"> assigned </w:t>
      </w:r>
      <w:r w:rsidR="004C76AC">
        <w:t xml:space="preserve">to </w:t>
      </w:r>
      <w:proofErr w:type="spellStart"/>
      <w:r w:rsidR="00555524">
        <w:t>based</w:t>
      </w:r>
      <w:proofErr w:type="spellEnd"/>
      <w:r w:rsidR="00555524">
        <w:t xml:space="preserve"> on what might happen years later.  </w:t>
      </w:r>
    </w:p>
    <w:p w14:paraId="7ED024EE" w14:textId="77777777" w:rsidR="008A57E7" w:rsidRDefault="008A57E7" w:rsidP="000F4648"/>
    <w:p w14:paraId="1225BB98" w14:textId="0A8BDFFA" w:rsidR="00EF5769" w:rsidRDefault="00555524" w:rsidP="000F4648">
      <w:r>
        <w:t>To see the problem here, i</w:t>
      </w:r>
      <w:r w:rsidR="000136D3">
        <w:t xml:space="preserve">magine that Sally starts pioglitazone on February 1, 2001, and that a very similar patient named Jennie </w:t>
      </w:r>
      <w:r w:rsidR="00B75772">
        <w:t xml:space="preserve">does not.  Over the next 8 years, they both have the opportunity to get bladder cancer, and neither of them does.  But then in 2009, Jennie </w:t>
      </w:r>
      <w:r w:rsidR="00FE19E1">
        <w:t xml:space="preserve">starts taking pioglitazone. She now </w:t>
      </w:r>
      <w:r w:rsidR="008822E2">
        <w:t>will be analyzed with the pioglitazone group</w:t>
      </w:r>
      <w:r w:rsidR="00FE19E1">
        <w:t xml:space="preserve">, and </w:t>
      </w:r>
      <w:r w:rsidR="00D45E71">
        <w:t xml:space="preserve">the 8 years </w:t>
      </w:r>
      <w:r w:rsidR="00FE19E1">
        <w:t>of person time she had when she did not</w:t>
      </w:r>
      <w:r w:rsidR="00D45E71">
        <w:t xml:space="preserve"> take pioglitazone and did not</w:t>
      </w:r>
      <w:r w:rsidR="00FE19E1">
        <w:t xml:space="preserve"> get bladder cancer</w:t>
      </w:r>
      <w:r w:rsidR="008822E2">
        <w:t xml:space="preserve"> does not count towards </w:t>
      </w:r>
      <w:r w:rsidR="002648A9">
        <w:t xml:space="preserve">person-time denominator </w:t>
      </w:r>
      <w:r w:rsidR="008822E2">
        <w:t xml:space="preserve">in the unexposed group.  </w:t>
      </w:r>
      <w:r w:rsidR="00EF5769">
        <w:t>But if she had gotten bladder cancer in that time, it would have counted as an unexposed group cancer.</w:t>
      </w:r>
      <w:r w:rsidR="002972E6">
        <w:t xml:space="preserve">  </w:t>
      </w:r>
      <w:r w:rsidR="00AC646C">
        <w:t>Thus,</w:t>
      </w:r>
      <w:r w:rsidR="002972E6">
        <w:t xml:space="preserve"> the </w:t>
      </w:r>
      <w:r w:rsidR="00895252">
        <w:t xml:space="preserve">person-time </w:t>
      </w:r>
      <w:r w:rsidR="002648A9">
        <w:t xml:space="preserve">denominator for the </w:t>
      </w:r>
      <w:r w:rsidR="002972E6">
        <w:t>risk of cancer in the unexposed group in this study</w:t>
      </w:r>
      <w:r w:rsidR="002648A9">
        <w:t xml:space="preserve"> is too small, so the </w:t>
      </w:r>
      <w:r w:rsidR="00895252">
        <w:t xml:space="preserve">unexposed group's </w:t>
      </w:r>
      <w:r w:rsidR="002648A9">
        <w:t>incidence of bladder cancer will be</w:t>
      </w:r>
      <w:r w:rsidR="002972E6">
        <w:t xml:space="preserve"> overestimated, diminishing the apparent </w:t>
      </w:r>
      <w:r w:rsidR="00CA5201">
        <w:t xml:space="preserve">adverse </w:t>
      </w:r>
      <w:r w:rsidR="002972E6">
        <w:t>effect of pioglitazone</w:t>
      </w:r>
      <w:r w:rsidR="00EA0163">
        <w:t xml:space="preserve"> (Figure 9.6)</w:t>
      </w:r>
      <w:r w:rsidR="002972E6">
        <w:t>.</w:t>
      </w:r>
      <w:r w:rsidR="00B51B6C">
        <w:t xml:space="preserve">  </w:t>
      </w:r>
    </w:p>
    <w:p w14:paraId="4C9A76E2" w14:textId="77777777" w:rsidR="00EA0163" w:rsidRDefault="00EA0163" w:rsidP="000F4648"/>
    <w:p w14:paraId="5CCF8C93" w14:textId="77777777" w:rsidR="00EA0163" w:rsidRDefault="00EA0163" w:rsidP="000F4648">
      <w:r>
        <w:rPr>
          <w:noProof/>
        </w:rPr>
        <w:lastRenderedPageBreak/>
        <w:drawing>
          <wp:inline distT="0" distB="0" distL="0" distR="0" wp14:anchorId="39361A5E" wp14:editId="6B9E6D4D">
            <wp:extent cx="6481720" cy="3840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ortal_time_20181024.jpg"/>
                    <pic:cNvPicPr/>
                  </pic:nvPicPr>
                  <pic:blipFill>
                    <a:blip r:embed="rId13"/>
                    <a:stretch>
                      <a:fillRect/>
                    </a:stretch>
                  </pic:blipFill>
                  <pic:spPr>
                    <a:xfrm>
                      <a:off x="0" y="0"/>
                      <a:ext cx="6522101" cy="3864195"/>
                    </a:xfrm>
                    <a:prstGeom prst="rect">
                      <a:avLst/>
                    </a:prstGeom>
                  </pic:spPr>
                </pic:pic>
              </a:graphicData>
            </a:graphic>
          </wp:inline>
        </w:drawing>
      </w:r>
    </w:p>
    <w:p w14:paraId="2150C064" w14:textId="77777777" w:rsidR="00717DB7" w:rsidRDefault="00717DB7" w:rsidP="000F4648">
      <w:r>
        <w:t xml:space="preserve">Figure 9.6: Immortal time bias.  When incidence is compared between </w:t>
      </w:r>
      <w:r w:rsidR="00FA6D6D">
        <w:t xml:space="preserve">ever exposed and never exposed </w:t>
      </w:r>
      <w:r>
        <w:t>people</w:t>
      </w:r>
      <w:r w:rsidR="00FA6D6D">
        <w:t xml:space="preserve">, the person time before exposure in the ever-exposed is "immortal" </w:t>
      </w:r>
      <w:r w:rsidR="00FA6D6D" w:rsidRPr="00C23D8C">
        <w:sym w:font="Symbol" w:char="F02D"/>
      </w:r>
      <w:r w:rsidR="00FA6D6D">
        <w:t xml:space="preserve"> events occurring during that time would </w:t>
      </w:r>
      <w:r w:rsidR="00101CE1">
        <w:t>be counted as occurring to the unexposed group.</w:t>
      </w:r>
    </w:p>
    <w:p w14:paraId="31F17FC4" w14:textId="77777777" w:rsidR="00717DB7" w:rsidRDefault="00717DB7" w:rsidP="000F4648"/>
    <w:p w14:paraId="7D388653" w14:textId="5C306445" w:rsidR="001D6A9F" w:rsidRDefault="00CA5201" w:rsidP="000F4648">
      <w:r>
        <w:t>Th</w:t>
      </w:r>
      <w:r w:rsidR="000E56C7">
        <w:t xml:space="preserve">is is an example of </w:t>
      </w:r>
      <w:r w:rsidR="000E56C7" w:rsidRPr="000F4648">
        <w:rPr>
          <w:b/>
          <w:color w:val="008000"/>
        </w:rPr>
        <w:t>immortal time bias</w:t>
      </w:r>
      <w:r w:rsidR="005370D8">
        <w:rPr>
          <w:b/>
        </w:rPr>
        <w:t>,</w:t>
      </w:r>
      <w:r w:rsidR="001033CA">
        <w:fldChar w:fldCharType="begin"/>
      </w:r>
      <w:r w:rsidR="001033CA">
        <w:instrText xml:space="preserve"> ADDIN EN.CITE &lt;EndNote&gt;&lt;Cite&gt;&lt;Author&gt;Suissa&lt;/Author&gt;&lt;Year&gt;2008&lt;/Year&gt;&lt;RecNum&gt;3316&lt;/RecNum&gt;&lt;DisplayText&gt;[20]&lt;/DisplayText&gt;&lt;record&gt;&lt;rec-number&gt;3316&lt;/rec-number&gt;&lt;foreign-keys&gt;&lt;key app="EN" db-id="zvsswrav8t2apbep2dbpv25ufvpprfe9rpex" timestamp="0"&gt;3316&lt;/key&gt;&lt;/foreign-keys&gt;&lt;ref-type name="Journal Article"&gt;17&lt;/ref-type&gt;&lt;contributors&gt;&lt;authors&gt;&lt;author&gt;Suissa, S.&lt;/author&gt;&lt;/authors&gt;&lt;/contributors&gt;&lt;auth-address&gt;Department of Epidemiology and Biostatistics, McGill University, Montreal, Canada. samy.suissa@clinepi.mcgill.ca&lt;/auth-address&gt;&lt;titles&gt;&lt;title&gt;Immortal time bias in pharmaco-epidemiology&lt;/title&gt;&lt;secondary-title&gt;Am J Epidemiol&lt;/secondary-title&gt;&lt;alt-title&gt;American journal of epidemiology&lt;/alt-title&gt;&lt;/titles&gt;&lt;periodical&gt;&lt;full-title&gt;Am J Epidemiol&lt;/full-title&gt;&lt;/periodical&gt;&lt;pages&gt;492-9&lt;/pages&gt;&lt;volume&gt;167&lt;/volume&gt;&lt;number&gt;4&lt;/number&gt;&lt;keywords&gt;&lt;keyword&gt;Algorithms&lt;/keyword&gt;&lt;keyword&gt;Asthma/drug therapy/mortality&lt;/keyword&gt;&lt;keyword&gt;*Bias (Epidemiology)&lt;/keyword&gt;&lt;keyword&gt;Cohort Studies&lt;/keyword&gt;&lt;keyword&gt;Databases as Topic&lt;/keyword&gt;&lt;keyword&gt;*Epidemiologic Methods&lt;/keyword&gt;&lt;keyword&gt;Humans&lt;/keyword&gt;&lt;keyword&gt;Lung Neoplasms/drug therapy/mortality&lt;/keyword&gt;&lt;keyword&gt;Odds Ratio&lt;/keyword&gt;&lt;keyword&gt;Pharmacoepidemiology/*methods&lt;/keyword&gt;&lt;keyword&gt;Pulmonary Disease, Chronic Obstructive/drug therapy/mortality&lt;/keyword&gt;&lt;keyword&gt;Time Factors&lt;/keyword&gt;&lt;keyword&gt;Treatment Outcome&lt;/keyword&gt;&lt;/keywords&gt;&lt;dates&gt;&lt;year&gt;2008&lt;/year&gt;&lt;pub-dates&gt;&lt;date&gt;Feb 15&lt;/date&gt;&lt;/pub-dates&gt;&lt;/dates&gt;&lt;isbn&gt;1476-6256 (Electronic)&amp;#xD;0002-9262 (Linking)&lt;/isbn&gt;&lt;accession-num&gt;18056625&lt;/accession-num&gt;&lt;urls&gt;&lt;related-urls&gt;&lt;url&gt;http://www.ncbi.nlm.nih.gov/pubmed/18056625&lt;/url&gt;&lt;/related-urls&gt;&lt;/urls&gt;&lt;electronic-resource-num&gt;10.1093/aje/kwm324&lt;/electronic-resource-num&gt;&lt;/record&gt;&lt;/Cite&gt;&lt;/EndNote&gt;</w:instrText>
      </w:r>
      <w:r w:rsidR="001033CA">
        <w:fldChar w:fldCharType="separate"/>
      </w:r>
      <w:r w:rsidR="001033CA">
        <w:rPr>
          <w:noProof/>
        </w:rPr>
        <w:t>[20]</w:t>
      </w:r>
      <w:r w:rsidR="001033CA">
        <w:fldChar w:fldCharType="end"/>
      </w:r>
      <w:r w:rsidR="005370D8">
        <w:t xml:space="preserve"> so named </w:t>
      </w:r>
      <w:r w:rsidR="00111120">
        <w:t xml:space="preserve">based on studies where the outcome was mortality and there were </w:t>
      </w:r>
      <w:r w:rsidR="00A843BD">
        <w:t xml:space="preserve">"immortal" </w:t>
      </w:r>
      <w:r w:rsidR="005370D8">
        <w:t xml:space="preserve">time periods </w:t>
      </w:r>
      <w:r w:rsidR="00111120">
        <w:t xml:space="preserve">when </w:t>
      </w:r>
      <w:r w:rsidR="002648A9">
        <w:t>patients could</w:t>
      </w:r>
      <w:r w:rsidR="00111120">
        <w:t xml:space="preserve"> not </w:t>
      </w:r>
      <w:r w:rsidR="002648A9">
        <w:t>die</w:t>
      </w:r>
      <w:r w:rsidR="00111120">
        <w:t xml:space="preserve">, analogous to </w:t>
      </w:r>
      <w:r w:rsidR="00B14AD8">
        <w:t>Jennie's</w:t>
      </w:r>
      <w:r w:rsidR="00111120">
        <w:t xml:space="preserve"> unexposed time before starting pioglitazone in the example above. </w:t>
      </w:r>
      <w:r w:rsidR="00D67BD5">
        <w:t xml:space="preserve"> </w:t>
      </w:r>
      <w:r w:rsidR="00ED51D0">
        <w:t>It can be avoided by a</w:t>
      </w:r>
      <w:r w:rsidR="00C0395C">
        <w:t xml:space="preserve"> </w:t>
      </w:r>
      <w:r w:rsidR="00C0395C">
        <w:rPr>
          <w:i/>
        </w:rPr>
        <w:t>new user</w:t>
      </w:r>
      <w:r w:rsidR="00C0395C">
        <w:t xml:space="preserve"> design</w:t>
      </w:r>
      <w:r w:rsidR="001033CA">
        <w:fldChar w:fldCharType="begin"/>
      </w:r>
      <w:r w:rsidR="001033CA">
        <w:instrText xml:space="preserve"> ADDIN EN.CITE &lt;EndNote&gt;&lt;Cite&gt;&lt;Author&gt;Ray&lt;/Author&gt;&lt;Year&gt;2003&lt;/Year&gt;&lt;RecNum&gt;4224&lt;/RecNum&gt;&lt;DisplayText&gt;[21]&lt;/DisplayText&gt;&lt;record&gt;&lt;rec-number&gt;4224&lt;/rec-number&gt;&lt;foreign-keys&gt;&lt;key app="EN" db-id="zvsswrav8t2apbep2dbpv25ufvpprfe9rpex" timestamp="1525110831"&gt;4224&lt;/key&gt;&lt;/foreign-keys&gt;&lt;ref-type name="Journal Article"&gt;17&lt;/ref-type&gt;&lt;contributors&gt;&lt;authors&gt;&lt;author&gt;Ray, W. A.&lt;/author&gt;&lt;/authors&gt;&lt;/contributors&gt;&lt;auth-address&gt;Division of Pharmacoepidemiology, Department of Preventive Medicine, Vanderbilt University School of Medicine, Nashville, TN 37232, USA. wayne.ray@mcmail.vanderbilt.edu&lt;/auth-address&gt;&lt;titles&gt;&lt;title&gt;Evaluating medication effects outside of clinical trials: new-user designs&lt;/title&gt;&lt;secondary-title&gt;Am J Epidemiol&lt;/secondary-title&gt;&lt;/titles&gt;&lt;periodical&gt;&lt;full-title&gt;Am J Epidemiol&lt;/full-title&gt;&lt;/periodical&gt;&lt;pages&gt;915-20&lt;/pages&gt;&lt;volume&gt;158&lt;/volume&gt;&lt;number&gt;9&lt;/number&gt;&lt;keywords&gt;&lt;keyword&gt;Bias&lt;/keyword&gt;&lt;keyword&gt;Clinical Trials as Topic&lt;/keyword&gt;&lt;keyword&gt;Confounding Factors (Epidemiology)&lt;/keyword&gt;&lt;keyword&gt;*Epidemiologic Research Design&lt;/keyword&gt;&lt;keyword&gt;*Hormone Replacement Therapy&lt;/keyword&gt;&lt;keyword&gt;Humans&lt;/keyword&gt;&lt;keyword&gt;*Pharmacoepidemiology&lt;/keyword&gt;&lt;/keywords&gt;&lt;dates&gt;&lt;year&gt;2003&lt;/year&gt;&lt;pub-dates&gt;&lt;date&gt;Nov 1&lt;/date&gt;&lt;/pub-dates&gt;&lt;/dates&gt;&lt;isbn&gt;0002-9262 (Print)&amp;#xD;0002-9262 (Linking)&lt;/isbn&gt;&lt;accession-num&gt;14585769&lt;/accession-num&gt;&lt;urls&gt;&lt;related-urls&gt;&lt;url&gt;https://www.ncbi.nlm.nih.gov/pubmed/14585769&lt;/url&gt;&lt;/related-urls&gt;&lt;/urls&gt;&lt;/record&gt;&lt;/Cite&gt;&lt;/EndNote&gt;</w:instrText>
      </w:r>
      <w:r w:rsidR="001033CA">
        <w:fldChar w:fldCharType="separate"/>
      </w:r>
      <w:r w:rsidR="001033CA">
        <w:rPr>
          <w:noProof/>
        </w:rPr>
        <w:t>[21]</w:t>
      </w:r>
      <w:r w:rsidR="001033CA">
        <w:fldChar w:fldCharType="end"/>
      </w:r>
      <w:r w:rsidR="00514391">
        <w:t xml:space="preserve"> </w:t>
      </w:r>
      <w:r w:rsidR="00ED7592">
        <w:t>and</w:t>
      </w:r>
      <w:r w:rsidR="00ED51D0">
        <w:t xml:space="preserve"> proper analysi</w:t>
      </w:r>
      <w:r w:rsidR="00514391">
        <w:t>s, which is most straightforward when subjects started on one drug are compared</w:t>
      </w:r>
      <w:r w:rsidR="00037B51">
        <w:t xml:space="preserve"> with those starting on another for the same indication.</w:t>
      </w:r>
      <w:r w:rsidR="00514391">
        <w:t xml:space="preserve"> </w:t>
      </w:r>
      <w:r w:rsidR="00A843BD">
        <w:t xml:space="preserve"> </w:t>
      </w:r>
      <w:r w:rsidR="00D67BD5">
        <w:t>It is often subtle, which is why it is also prevalent, even in articles published in good journals.  But it can be suspected any time you try to envision the randomized trial that the cohort study is trying to emulate</w:t>
      </w:r>
      <w:r w:rsidR="00820FDF">
        <w:t>, and see what would be the equivalent of people switching groups or disappearing from the study after the point at which they would have been randomized.</w:t>
      </w:r>
      <w:r w:rsidR="00D90A3C">
        <w:br/>
      </w:r>
    </w:p>
    <w:p w14:paraId="7C8615CF" w14:textId="77777777" w:rsidR="00B025AD" w:rsidRPr="00504F99" w:rsidRDefault="000772CA" w:rsidP="002E5ED6">
      <w:pPr>
        <w:pStyle w:val="Heading2"/>
      </w:pPr>
      <w:r w:rsidRPr="00504F99">
        <w:t>Summary</w:t>
      </w:r>
    </w:p>
    <w:p w14:paraId="3EFFA98D" w14:textId="77777777" w:rsidR="000945F9" w:rsidRPr="00504F99" w:rsidRDefault="004040C1" w:rsidP="000945F9">
      <w:pPr>
        <w:pStyle w:val="NormalWeb"/>
        <w:ind w:left="270" w:hanging="270"/>
      </w:pPr>
      <w:r w:rsidRPr="00504F99">
        <w:t>1. Although randomized blinded trials are the best way to establish causal relationships between treatments and outcomes, it is sometimes possible, by thinking creatively, to design observational studies that provide strong evidence of causality.</w:t>
      </w:r>
    </w:p>
    <w:p w14:paraId="711849BB" w14:textId="77777777" w:rsidR="000945F9" w:rsidRPr="00504F99" w:rsidRDefault="004040C1" w:rsidP="000945F9">
      <w:pPr>
        <w:pStyle w:val="NormalWeb"/>
        <w:ind w:left="270" w:hanging="270"/>
      </w:pPr>
      <w:r w:rsidRPr="00504F99">
        <w:t xml:space="preserve">2. One approach is to identify an </w:t>
      </w:r>
      <w:r w:rsidRPr="004A0730">
        <w:rPr>
          <w:color w:val="008000"/>
        </w:rPr>
        <w:t>instrumental variable</w:t>
      </w:r>
      <w:r w:rsidRPr="00504F99">
        <w:t xml:space="preserve"> that is associated with treatment but not independently related to the outcome. Comparing outcomes between groups </w:t>
      </w:r>
      <w:r w:rsidRPr="00504F99">
        <w:lastRenderedPageBreak/>
        <w:t xml:space="preserve">based on values of the instrumental variable is then similar to an intention-to-treat analysis of a randomized trial with substantial crossover between the treatment and control groups. </w:t>
      </w:r>
      <w:r w:rsidR="00E60925">
        <w:t xml:space="preserve">The bias toward the null induced by this misclassification can then be </w:t>
      </w:r>
      <w:r w:rsidR="00C158C7">
        <w:t>corrected</w:t>
      </w:r>
      <w:r w:rsidR="00E60925">
        <w:t xml:space="preserve"> using an appropriate instrumental variable analysis.</w:t>
      </w:r>
    </w:p>
    <w:p w14:paraId="4BD17E06" w14:textId="77777777" w:rsidR="000945F9" w:rsidRPr="00504F99" w:rsidRDefault="004040C1" w:rsidP="000945F9">
      <w:pPr>
        <w:pStyle w:val="NormalWeb"/>
        <w:ind w:left="270" w:hanging="270"/>
      </w:pPr>
      <w:r w:rsidRPr="00504F99">
        <w:t>3. Another approach is</w:t>
      </w:r>
      <w:r w:rsidR="00E60925">
        <w:t xml:space="preserve"> </w:t>
      </w:r>
      <w:r w:rsidR="00E60925" w:rsidRPr="00F519DE">
        <w:rPr>
          <w:color w:val="008000"/>
        </w:rPr>
        <w:t>(pre-specified) falsification tests</w:t>
      </w:r>
      <w:r w:rsidR="00E60925">
        <w:t xml:space="preserve">: </w:t>
      </w:r>
      <w:r w:rsidRPr="00504F99">
        <w:t xml:space="preserve"> </w:t>
      </w:r>
      <w:r w:rsidR="001F430A">
        <w:t>measuring effects on alternative outcomes, effects of alternative predictors, or effects in patient populations with different susceptibility to the exposure under study.</w:t>
      </w:r>
    </w:p>
    <w:p w14:paraId="3EDC8605" w14:textId="77777777" w:rsidR="00B025AD" w:rsidRDefault="004040C1" w:rsidP="000945F9">
      <w:pPr>
        <w:pStyle w:val="NormalWeb"/>
        <w:ind w:left="270" w:hanging="270"/>
      </w:pPr>
      <w:r w:rsidRPr="00504F99">
        <w:t xml:space="preserve">4. </w:t>
      </w:r>
      <w:r w:rsidR="009E6584">
        <w:t>A final approach is to</w:t>
      </w:r>
      <w:r w:rsidRPr="00504F99">
        <w:t xml:space="preserve"> model the </w:t>
      </w:r>
      <w:r w:rsidRPr="004A0730">
        <w:rPr>
          <w:color w:val="008000"/>
        </w:rPr>
        <w:t>propensity</w:t>
      </w:r>
      <w:r w:rsidRPr="00504F99">
        <w:t xml:space="preserve"> to receive treatment and compare outcomes of subjects with similar treatment propensities.</w:t>
      </w:r>
    </w:p>
    <w:p w14:paraId="6E795696" w14:textId="4E9F0F46" w:rsidR="001033CA" w:rsidRDefault="009E6584" w:rsidP="000945F9">
      <w:pPr>
        <w:pStyle w:val="NormalWeb"/>
        <w:ind w:left="270" w:hanging="270"/>
      </w:pPr>
      <w:r>
        <w:t xml:space="preserve">5.  Observational studies of treatment effects can be tricky because </w:t>
      </w:r>
      <w:r w:rsidR="00081C9B">
        <w:t xml:space="preserve">of </w:t>
      </w:r>
      <w:r w:rsidR="00B25360">
        <w:t>confusion</w:t>
      </w:r>
      <w:r w:rsidR="00081C9B">
        <w:t xml:space="preserve"> about when to </w:t>
      </w:r>
      <w:r w:rsidR="006F1558">
        <w:t xml:space="preserve">start counting the </w:t>
      </w:r>
      <w:r>
        <w:t xml:space="preserve">follow-up time </w:t>
      </w:r>
      <w:r w:rsidR="006F1558">
        <w:t xml:space="preserve">in treated and untreated subjects, leading to </w:t>
      </w:r>
      <w:r w:rsidR="006F1558" w:rsidRPr="008434CB">
        <w:rPr>
          <w:color w:val="008000"/>
        </w:rPr>
        <w:t>immortal time bias</w:t>
      </w:r>
      <w:r w:rsidR="006F1558">
        <w:t xml:space="preserve">. </w:t>
      </w:r>
      <w:r w:rsidR="009256AA">
        <w:t xml:space="preserve">  D</w:t>
      </w:r>
      <w:r w:rsidR="006F1558">
        <w:t>escrib</w:t>
      </w:r>
      <w:r w:rsidR="009256AA">
        <w:t>ing</w:t>
      </w:r>
      <w:r w:rsidR="006F1558">
        <w:t xml:space="preserve"> a randomized trial that the observational study is trying to em</w:t>
      </w:r>
      <w:r w:rsidR="007D5B69">
        <w:t>ulate can help.</w:t>
      </w:r>
    </w:p>
    <w:p w14:paraId="368A7AC1" w14:textId="77777777" w:rsidR="001033CA" w:rsidRDefault="001033CA" w:rsidP="000945F9">
      <w:pPr>
        <w:pStyle w:val="NormalWeb"/>
        <w:ind w:left="270" w:hanging="270"/>
      </w:pPr>
    </w:p>
    <w:p w14:paraId="76E7EC08" w14:textId="77777777" w:rsidR="001033CA" w:rsidRPr="001033CA" w:rsidRDefault="001033CA" w:rsidP="001033CA">
      <w:pPr>
        <w:pStyle w:val="EndNoteBibliographyTitle"/>
        <w:rPr>
          <w:noProof/>
        </w:rPr>
      </w:pPr>
      <w:r>
        <w:fldChar w:fldCharType="begin"/>
      </w:r>
      <w:r>
        <w:instrText xml:space="preserve"> ADDIN EN.REFLIST </w:instrText>
      </w:r>
      <w:r>
        <w:fldChar w:fldCharType="separate"/>
      </w:r>
      <w:r w:rsidRPr="001033CA">
        <w:rPr>
          <w:noProof/>
        </w:rPr>
        <w:t>REFERENCES</w:t>
      </w:r>
    </w:p>
    <w:p w14:paraId="30FAFB22" w14:textId="77777777" w:rsidR="001033CA" w:rsidRPr="001033CA" w:rsidRDefault="001033CA" w:rsidP="001033CA">
      <w:pPr>
        <w:pStyle w:val="EndNoteBibliographyTitle"/>
        <w:rPr>
          <w:noProof/>
        </w:rPr>
      </w:pPr>
    </w:p>
    <w:p w14:paraId="7FB2F607" w14:textId="77777777" w:rsidR="001033CA" w:rsidRPr="001033CA" w:rsidRDefault="001033CA" w:rsidP="001033CA">
      <w:pPr>
        <w:pStyle w:val="EndNoteBibliography"/>
        <w:rPr>
          <w:noProof/>
        </w:rPr>
      </w:pPr>
      <w:r w:rsidRPr="001033CA">
        <w:rPr>
          <w:noProof/>
        </w:rPr>
        <w:t>1.</w:t>
      </w:r>
      <w:r w:rsidRPr="001033CA">
        <w:rPr>
          <w:noProof/>
        </w:rPr>
        <w:tab/>
        <w:t>Ye Z, Song H. Antioxidant vitamins intake and the risk of coronary heart disease: meta-analysis of cohort studies. Eur J Cardiovasc Prev Rehabil. 2008;15(1):26-34.</w:t>
      </w:r>
    </w:p>
    <w:p w14:paraId="6B004F4F" w14:textId="77777777" w:rsidR="001033CA" w:rsidRPr="001033CA" w:rsidRDefault="001033CA" w:rsidP="001033CA">
      <w:pPr>
        <w:pStyle w:val="EndNoteBibliography"/>
        <w:rPr>
          <w:noProof/>
        </w:rPr>
      </w:pPr>
      <w:r w:rsidRPr="001033CA">
        <w:rPr>
          <w:noProof/>
        </w:rPr>
        <w:t>2.</w:t>
      </w:r>
      <w:r w:rsidRPr="001033CA">
        <w:rPr>
          <w:noProof/>
        </w:rPr>
        <w:tab/>
        <w:t>Curtis AJ, Bullen M, Piccenna L, McNeil JJ. Vitamin E supplementation and mortality in healthy people: a meta-analysis of randomised controlled trials. Cardiovasc Drugs Ther. 2014;28(6):563-73.</w:t>
      </w:r>
    </w:p>
    <w:p w14:paraId="502A2B8C" w14:textId="77777777" w:rsidR="001033CA" w:rsidRPr="001033CA" w:rsidRDefault="001033CA" w:rsidP="001033CA">
      <w:pPr>
        <w:pStyle w:val="EndNoteBibliography"/>
        <w:rPr>
          <w:noProof/>
        </w:rPr>
      </w:pPr>
      <w:r w:rsidRPr="001033CA">
        <w:rPr>
          <w:noProof/>
        </w:rPr>
        <w:t>3.</w:t>
      </w:r>
      <w:r w:rsidRPr="001033CA">
        <w:rPr>
          <w:noProof/>
        </w:rPr>
        <w:tab/>
        <w:t>Warram JH, Laffel LM, Valsania P, Christlieb AR, Krolewski AS. Excess mortality associated with diuretic therapy in diabetes mellitus. Arch Intern Med. 1991;151(7):1350-6.</w:t>
      </w:r>
    </w:p>
    <w:p w14:paraId="3FBBE191" w14:textId="77777777" w:rsidR="001033CA" w:rsidRPr="001033CA" w:rsidRDefault="001033CA" w:rsidP="001033CA">
      <w:pPr>
        <w:pStyle w:val="EndNoteBibliography"/>
        <w:rPr>
          <w:noProof/>
        </w:rPr>
      </w:pPr>
      <w:r w:rsidRPr="001033CA">
        <w:rPr>
          <w:noProof/>
        </w:rPr>
        <w:t>4.</w:t>
      </w:r>
      <w:r w:rsidRPr="001033CA">
        <w:rPr>
          <w:noProof/>
        </w:rPr>
        <w:tab/>
        <w:t>Turnbull F, Neal B, Algert C, Chalmers J, Chapman N, Cutler J, et al. Effects of different blood pressure-lowering regimens on major cardiovascular events in individuals with and without diabetes mellitus: results of prospectively designed overviews of randomized trials. Arch Intern Med. 2005;165(12):1410-9.</w:t>
      </w:r>
    </w:p>
    <w:p w14:paraId="544A2340" w14:textId="77777777" w:rsidR="001033CA" w:rsidRPr="001033CA" w:rsidRDefault="001033CA" w:rsidP="001033CA">
      <w:pPr>
        <w:pStyle w:val="EndNoteBibliography"/>
        <w:rPr>
          <w:noProof/>
        </w:rPr>
      </w:pPr>
      <w:r w:rsidRPr="001033CA">
        <w:rPr>
          <w:noProof/>
        </w:rPr>
        <w:t>5.</w:t>
      </w:r>
      <w:r w:rsidRPr="001033CA">
        <w:rPr>
          <w:noProof/>
        </w:rPr>
        <w:tab/>
        <w:t>Halpern SD, French B, Small DS, Saulsgiver K, Harhay MO, Audrain-McGovern J, et al. Randomized trial of four financial-incentive programs for smoking cessation. N Engl J Med. 2015;372(22):2108-17.</w:t>
      </w:r>
    </w:p>
    <w:p w14:paraId="4E7CC6DB" w14:textId="77777777" w:rsidR="001033CA" w:rsidRPr="001033CA" w:rsidRDefault="001033CA" w:rsidP="001033CA">
      <w:pPr>
        <w:pStyle w:val="EndNoteBibliography"/>
        <w:rPr>
          <w:noProof/>
        </w:rPr>
      </w:pPr>
      <w:r w:rsidRPr="001033CA">
        <w:rPr>
          <w:noProof/>
        </w:rPr>
        <w:t>6.</w:t>
      </w:r>
      <w:r w:rsidRPr="001033CA">
        <w:rPr>
          <w:noProof/>
        </w:rPr>
        <w:tab/>
        <w:t>Tan HJ, Norton EC, Ye Z, Hafez KS, Gore JL, Miller DC. Long-term survival following partial vs radical nephrectomy among older patients with early-stage kidney cancer. JAMA. 2012;307(15):1629-35.</w:t>
      </w:r>
    </w:p>
    <w:p w14:paraId="68FEF13C" w14:textId="77777777" w:rsidR="001033CA" w:rsidRPr="001033CA" w:rsidRDefault="001033CA" w:rsidP="001033CA">
      <w:pPr>
        <w:pStyle w:val="EndNoteBibliography"/>
        <w:rPr>
          <w:noProof/>
        </w:rPr>
      </w:pPr>
      <w:r w:rsidRPr="001033CA">
        <w:rPr>
          <w:noProof/>
        </w:rPr>
        <w:t>7.</w:t>
      </w:r>
      <w:r w:rsidRPr="001033CA">
        <w:rPr>
          <w:noProof/>
        </w:rPr>
        <w:tab/>
        <w:t>McClellan M, McNeil BJ, Newhouse JP. Does more intensive treatment of acute myocardial infarction in the elderly reduce mortality? Analysis using instrumental variables. JAMA. 1994;272(11):859-66.</w:t>
      </w:r>
    </w:p>
    <w:p w14:paraId="2FC89538" w14:textId="77777777" w:rsidR="001033CA" w:rsidRPr="001033CA" w:rsidRDefault="001033CA" w:rsidP="001033CA">
      <w:pPr>
        <w:pStyle w:val="EndNoteBibliography"/>
        <w:rPr>
          <w:noProof/>
        </w:rPr>
      </w:pPr>
      <w:r w:rsidRPr="001033CA">
        <w:rPr>
          <w:noProof/>
        </w:rPr>
        <w:t>8.</w:t>
      </w:r>
      <w:r w:rsidRPr="001033CA">
        <w:rPr>
          <w:noProof/>
        </w:rPr>
        <w:tab/>
        <w:t>Neuman MD, Rosenbaum PR, Ludwig JM, Zubizarreta JR, Silber JH. Anesthesia technique, mortality, and length of stay after hip fracture surgery. JAMA. 2014;311(24):2508-17.</w:t>
      </w:r>
    </w:p>
    <w:p w14:paraId="5FFE7984" w14:textId="77777777" w:rsidR="001033CA" w:rsidRPr="001033CA" w:rsidRDefault="001033CA" w:rsidP="001033CA">
      <w:pPr>
        <w:pStyle w:val="EndNoteBibliography"/>
        <w:rPr>
          <w:noProof/>
        </w:rPr>
      </w:pPr>
      <w:r w:rsidRPr="001033CA">
        <w:rPr>
          <w:noProof/>
        </w:rPr>
        <w:t>9.</w:t>
      </w:r>
      <w:r w:rsidRPr="001033CA">
        <w:rPr>
          <w:noProof/>
        </w:rPr>
        <w:tab/>
        <w:t>Garabedian LF, Chu P, Toh S, Zaslavsky AM, Soumerai SB. Potential bias of instrumental variable analyses for observational comparative effectiveness research. Ann Intern Med. 2014;161(2):131-8.</w:t>
      </w:r>
    </w:p>
    <w:p w14:paraId="534A18B4" w14:textId="77777777" w:rsidR="001033CA" w:rsidRPr="001033CA" w:rsidRDefault="001033CA" w:rsidP="001033CA">
      <w:pPr>
        <w:pStyle w:val="EndNoteBibliography"/>
        <w:rPr>
          <w:noProof/>
        </w:rPr>
      </w:pPr>
      <w:r w:rsidRPr="001033CA">
        <w:rPr>
          <w:noProof/>
        </w:rPr>
        <w:lastRenderedPageBreak/>
        <w:t>10.</w:t>
      </w:r>
      <w:r w:rsidRPr="001033CA">
        <w:rPr>
          <w:noProof/>
        </w:rPr>
        <w:tab/>
        <w:t>Prasad V, Jena AB. Prespecified falsification end points: can they validate true observational associations? JAMA. 2013;309(3):241-2.</w:t>
      </w:r>
    </w:p>
    <w:p w14:paraId="1694C22E" w14:textId="77777777" w:rsidR="001033CA" w:rsidRPr="001033CA" w:rsidRDefault="001033CA" w:rsidP="001033CA">
      <w:pPr>
        <w:pStyle w:val="EndNoteBibliography"/>
        <w:rPr>
          <w:noProof/>
        </w:rPr>
      </w:pPr>
      <w:r w:rsidRPr="001033CA">
        <w:rPr>
          <w:noProof/>
        </w:rPr>
        <w:t>11.</w:t>
      </w:r>
      <w:r w:rsidRPr="001033CA">
        <w:rPr>
          <w:noProof/>
        </w:rPr>
        <w:tab/>
        <w:t>Selby JV, Friedman GD, Quesenberry CP, Jr., Weiss NS. A case-control study of screening sigmoidoscopy and mortality from colorectal cancer. N Engl J Med. 1992;326(10):653-7.</w:t>
      </w:r>
    </w:p>
    <w:p w14:paraId="5C766071" w14:textId="77777777" w:rsidR="001033CA" w:rsidRPr="001033CA" w:rsidRDefault="001033CA" w:rsidP="001033CA">
      <w:pPr>
        <w:pStyle w:val="EndNoteBibliography"/>
        <w:rPr>
          <w:noProof/>
        </w:rPr>
      </w:pPr>
      <w:r w:rsidRPr="001033CA">
        <w:rPr>
          <w:noProof/>
        </w:rPr>
        <w:t>12.</w:t>
      </w:r>
      <w:r w:rsidRPr="001033CA">
        <w:rPr>
          <w:noProof/>
        </w:rPr>
        <w:tab/>
        <w:t>Tuccori M, Filion KB, Yin H, Yu OH, Platt RW, Azoulay L. Pioglitazone use and risk of bladder cancer: population based cohort study. BMJ. 2016;352:i1541.</w:t>
      </w:r>
    </w:p>
    <w:p w14:paraId="015943C9" w14:textId="77777777" w:rsidR="001033CA" w:rsidRPr="001033CA" w:rsidRDefault="001033CA" w:rsidP="001033CA">
      <w:pPr>
        <w:pStyle w:val="EndNoteBibliography"/>
        <w:rPr>
          <w:noProof/>
        </w:rPr>
      </w:pPr>
      <w:r w:rsidRPr="001033CA">
        <w:rPr>
          <w:noProof/>
        </w:rPr>
        <w:t>13.</w:t>
      </w:r>
      <w:r w:rsidRPr="001033CA">
        <w:rPr>
          <w:noProof/>
        </w:rPr>
        <w:tab/>
        <w:t>Turner RM, Kwok CS, Chen-Turner C, Maduakor CA, Singh S, Loke YK. Thiazolidinediones and associated risk of bladder cancer: a systematic review and meta-analysis. Br J Clin Pharmacol. 2014;78(2):258-73.</w:t>
      </w:r>
    </w:p>
    <w:p w14:paraId="0304D0AA" w14:textId="77777777" w:rsidR="001033CA" w:rsidRPr="001033CA" w:rsidRDefault="001033CA" w:rsidP="001033CA">
      <w:pPr>
        <w:pStyle w:val="EndNoteBibliography"/>
        <w:rPr>
          <w:noProof/>
        </w:rPr>
      </w:pPr>
      <w:r w:rsidRPr="001033CA">
        <w:rPr>
          <w:noProof/>
        </w:rPr>
        <w:t>14.</w:t>
      </w:r>
      <w:r w:rsidRPr="001033CA">
        <w:rPr>
          <w:noProof/>
        </w:rPr>
        <w:tab/>
        <w:t>Rimm EB, Stampfer MJ, Ascherio A, Giovannucci E, Colditz GA, Willett WC. Vitamin E consumption and the risk of coronary heart disease in men. N Engl J Med. 1993;328(20):1450-6.</w:t>
      </w:r>
    </w:p>
    <w:p w14:paraId="48EC4FAE" w14:textId="77777777" w:rsidR="001033CA" w:rsidRPr="001033CA" w:rsidRDefault="001033CA" w:rsidP="001033CA">
      <w:pPr>
        <w:pStyle w:val="EndNoteBibliography"/>
        <w:rPr>
          <w:noProof/>
        </w:rPr>
      </w:pPr>
      <w:r w:rsidRPr="001033CA">
        <w:rPr>
          <w:noProof/>
        </w:rPr>
        <w:t>15.</w:t>
      </w:r>
      <w:r w:rsidRPr="001033CA">
        <w:rPr>
          <w:noProof/>
        </w:rPr>
        <w:tab/>
        <w:t>Stampfer MJ, Hennekens CH, Manson JE, Colditz GA, Rosner B, Willett WC. Vitamin E consumption and the risk of coronary disease in women. N Engl J Med. 1993;328(20):1444-9.</w:t>
      </w:r>
    </w:p>
    <w:p w14:paraId="46D0F8CA" w14:textId="77777777" w:rsidR="001033CA" w:rsidRPr="001033CA" w:rsidRDefault="001033CA" w:rsidP="001033CA">
      <w:pPr>
        <w:pStyle w:val="EndNoteBibliography"/>
        <w:rPr>
          <w:noProof/>
        </w:rPr>
      </w:pPr>
      <w:r w:rsidRPr="001033CA">
        <w:rPr>
          <w:noProof/>
        </w:rPr>
        <w:t>16.</w:t>
      </w:r>
      <w:r w:rsidRPr="001033CA">
        <w:rPr>
          <w:noProof/>
        </w:rPr>
        <w:tab/>
        <w:t>Bjelakovic G, Nikolova D, Gluud LL, Simonetti RG, Gluud C. Antioxidant supplements for prevention of mortality in healthy participants and patients with various diseases. Cochrane Database Syst Rev. 2012(3):CD007176.</w:t>
      </w:r>
    </w:p>
    <w:p w14:paraId="46CCB6AD" w14:textId="77777777" w:rsidR="001033CA" w:rsidRPr="001033CA" w:rsidRDefault="001033CA" w:rsidP="001033CA">
      <w:pPr>
        <w:pStyle w:val="EndNoteBibliography"/>
        <w:rPr>
          <w:noProof/>
        </w:rPr>
      </w:pPr>
      <w:r w:rsidRPr="001033CA">
        <w:rPr>
          <w:noProof/>
        </w:rPr>
        <w:t>17.</w:t>
      </w:r>
      <w:r w:rsidRPr="001033CA">
        <w:rPr>
          <w:noProof/>
        </w:rPr>
        <w:tab/>
        <w:t>Jena AB, Prasad V, Goldman DP, Romley J. Mortality and treatment patterns among patients hospitalized with acute cardiovascular conditions during dates of national cardiology meetings. JAMA Intern Med. 2015;175(2):237-44.</w:t>
      </w:r>
    </w:p>
    <w:p w14:paraId="5542BBEF" w14:textId="77777777" w:rsidR="001033CA" w:rsidRPr="001033CA" w:rsidRDefault="001033CA" w:rsidP="001033CA">
      <w:pPr>
        <w:pStyle w:val="EndNoteBibliography"/>
        <w:rPr>
          <w:noProof/>
        </w:rPr>
      </w:pPr>
      <w:r w:rsidRPr="001033CA">
        <w:rPr>
          <w:noProof/>
        </w:rPr>
        <w:t>18.</w:t>
      </w:r>
      <w:r w:rsidRPr="001033CA">
        <w:rPr>
          <w:noProof/>
        </w:rPr>
        <w:tab/>
        <w:t>Gum PA, Thamilarasan M, Watanabe J, Blackstone EH, Lauer MS. Aspirin use and all-cause mortality among patients being evaluated for known or suspected coronary artery disease: A propensity analysis. JAMA. 2001;286(10):1187-94.</w:t>
      </w:r>
    </w:p>
    <w:p w14:paraId="3E76D4C4" w14:textId="77777777" w:rsidR="001033CA" w:rsidRPr="001033CA" w:rsidRDefault="001033CA" w:rsidP="001033CA">
      <w:pPr>
        <w:pStyle w:val="EndNoteBibliography"/>
        <w:rPr>
          <w:noProof/>
        </w:rPr>
      </w:pPr>
      <w:r w:rsidRPr="001033CA">
        <w:rPr>
          <w:noProof/>
        </w:rPr>
        <w:t>19.</w:t>
      </w:r>
      <w:r w:rsidRPr="001033CA">
        <w:rPr>
          <w:noProof/>
        </w:rPr>
        <w:tab/>
        <w:t>Wei L, MacDonald TM, Mackenzie IS. Pioglitazone and bladdercancer: a propensity scorematched cohort study. Br J Clin Pharmacol. 2012;75(1):254-59.</w:t>
      </w:r>
    </w:p>
    <w:p w14:paraId="2F892239" w14:textId="77777777" w:rsidR="001033CA" w:rsidRPr="001033CA" w:rsidRDefault="001033CA" w:rsidP="001033CA">
      <w:pPr>
        <w:pStyle w:val="EndNoteBibliography"/>
        <w:rPr>
          <w:noProof/>
        </w:rPr>
      </w:pPr>
      <w:r w:rsidRPr="001033CA">
        <w:rPr>
          <w:noProof/>
        </w:rPr>
        <w:t>20.</w:t>
      </w:r>
      <w:r w:rsidRPr="001033CA">
        <w:rPr>
          <w:noProof/>
        </w:rPr>
        <w:tab/>
        <w:t>Suissa S. Immortal time bias in pharmaco-epidemiology. Am J Epidemiol. 2008;167(4):492-9.</w:t>
      </w:r>
    </w:p>
    <w:p w14:paraId="36554D08" w14:textId="77777777" w:rsidR="001033CA" w:rsidRPr="001033CA" w:rsidRDefault="001033CA" w:rsidP="001033CA">
      <w:pPr>
        <w:pStyle w:val="EndNoteBibliography"/>
        <w:rPr>
          <w:noProof/>
        </w:rPr>
      </w:pPr>
      <w:r w:rsidRPr="001033CA">
        <w:rPr>
          <w:noProof/>
        </w:rPr>
        <w:t>21.</w:t>
      </w:r>
      <w:r w:rsidRPr="001033CA">
        <w:rPr>
          <w:noProof/>
        </w:rPr>
        <w:tab/>
        <w:t>Ray WA. Evaluating medication effects outside of clinical trials: new-user designs. Am J Epidemiol. 2003;158(9):915-20.</w:t>
      </w:r>
    </w:p>
    <w:p w14:paraId="2D0E3F7D" w14:textId="09630220" w:rsidR="009E6584" w:rsidRDefault="001033CA" w:rsidP="000945F9">
      <w:pPr>
        <w:pStyle w:val="NormalWeb"/>
        <w:ind w:left="270" w:hanging="270"/>
      </w:pPr>
      <w:r>
        <w:fldChar w:fldCharType="end"/>
      </w:r>
    </w:p>
    <w:sectPr w:rsidR="009E6584" w:rsidSect="002E5ED6">
      <w:headerReference w:type="default" r:id="rId14"/>
      <w:footerReference w:type="even" r:id="rId15"/>
      <w:footerReference w:type="default" r:id="rId1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F7C46" w14:textId="77777777" w:rsidR="00D70F61" w:rsidRDefault="00D70F61" w:rsidP="008B43D7">
      <w:r>
        <w:separator/>
      </w:r>
    </w:p>
  </w:endnote>
  <w:endnote w:type="continuationSeparator" w:id="0">
    <w:p w14:paraId="0D6A0D4F" w14:textId="77777777" w:rsidR="00D70F61" w:rsidRDefault="00D70F61" w:rsidP="008B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Regular">
    <w:altName w:val="Times New Roman"/>
    <w:panose1 w:val="020B0604020202020204"/>
    <w:charset w:val="00"/>
    <w:family w:val="roman"/>
    <w:notTrueType/>
    <w:pitch w:val="default"/>
    <w:sig w:usb0="00000003" w:usb1="00000000" w:usb2="00000000" w:usb3="00000000" w:csb0="00000001" w:csb1="00000000"/>
  </w:font>
  <w:font w:name="RMTMI">
    <w:panose1 w:val="020B0604020202020204"/>
    <w:charset w:val="00"/>
    <w:family w:val="swiss"/>
    <w:notTrueType/>
    <w:pitch w:val="default"/>
    <w:sig w:usb0="00000003" w:usb1="00000000" w:usb2="00000000" w:usb3="00000000" w:csb0="00000001" w:csb1="00000000"/>
  </w:font>
  <w:font w:name="Myriad-Roman">
    <w:altName w:val="Times New Roman"/>
    <w:panose1 w:val="020B0604020202020204"/>
    <w:charset w:val="4D"/>
    <w:family w:val="auto"/>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MTEX">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Formata BQ-Bold">
    <w:altName w:val="Calibri"/>
    <w:panose1 w:val="020B0604020202020204"/>
    <w:charset w:val="00"/>
    <w:family w:val="roman"/>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CMSY10">
    <w:panose1 w:val="020B0604020202020204"/>
    <w:charset w:val="00"/>
    <w:family w:val="swiss"/>
    <w:notTrueType/>
    <w:pitch w:val="default"/>
    <w:sig w:usb0="00000003" w:usb1="00000000" w:usb2="00000000" w:usb3="00000000" w:csb0="00000001" w:csb1="00000000"/>
  </w:font>
  <w:font w:name="EURM10">
    <w:panose1 w:val="020B0604020202020204"/>
    <w:charset w:val="00"/>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079DB" w14:textId="77777777" w:rsidR="004A0730" w:rsidRDefault="004A0730" w:rsidP="00DE50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8FAF16" w14:textId="77777777" w:rsidR="004A0730" w:rsidRDefault="004A0730" w:rsidP="00DE50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7DD88" w14:textId="77777777" w:rsidR="004A0730" w:rsidRDefault="004A0730" w:rsidP="00DE50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19DE">
      <w:rPr>
        <w:rStyle w:val="PageNumber"/>
        <w:noProof/>
      </w:rPr>
      <w:t>14</w:t>
    </w:r>
    <w:r>
      <w:rPr>
        <w:rStyle w:val="PageNumber"/>
      </w:rPr>
      <w:fldChar w:fldCharType="end"/>
    </w:r>
  </w:p>
  <w:p w14:paraId="1FCA7556" w14:textId="77777777" w:rsidR="004A0730" w:rsidRDefault="004A0730" w:rsidP="00DE50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88F7D" w14:textId="77777777" w:rsidR="00D70F61" w:rsidRDefault="00D70F61" w:rsidP="008B43D7">
      <w:r>
        <w:separator/>
      </w:r>
    </w:p>
  </w:footnote>
  <w:footnote w:type="continuationSeparator" w:id="0">
    <w:p w14:paraId="29F6D501" w14:textId="77777777" w:rsidR="00D70F61" w:rsidRDefault="00D70F61" w:rsidP="008B43D7">
      <w:r>
        <w:continuationSeparator/>
      </w:r>
    </w:p>
  </w:footnote>
  <w:footnote w:id="1">
    <w:p w14:paraId="100DB07C" w14:textId="77777777" w:rsidR="004A0730" w:rsidRDefault="004A0730">
      <w:pPr>
        <w:pStyle w:val="FootnoteText"/>
      </w:pPr>
      <w:r>
        <w:rPr>
          <w:rStyle w:val="FootnoteReference"/>
        </w:rPr>
        <w:footnoteRef/>
      </w:r>
      <w:r>
        <w:t xml:space="preserve"> This discussion and Figure 9.1 simplify a little.  It’s not actually the other favorable health habits themselves that increase Vitamin E intake, it’s the interest in staying healthy that is the common cause of both the Vitamin E intake and the favorable health habits, but we're trying to keep it simple. </w:t>
      </w:r>
    </w:p>
  </w:footnote>
  <w:footnote w:id="2">
    <w:p w14:paraId="783834C6" w14:textId="77777777" w:rsidR="004A0730" w:rsidRPr="00341E12" w:rsidRDefault="004A0730" w:rsidP="001079AC">
      <w:pPr>
        <w:pStyle w:val="FootnoteText"/>
        <w:ind w:left="162" w:hanging="162"/>
      </w:pPr>
      <w:r w:rsidRPr="00341E12">
        <w:rPr>
          <w:rStyle w:val="FootnoteReference"/>
        </w:rPr>
        <w:footnoteRef/>
      </w:r>
      <w:r w:rsidRPr="00341E12">
        <w:t xml:space="preserve"> This type of confounding is sometimes referred to as</w:t>
      </w:r>
      <w:r w:rsidRPr="00341E12">
        <w:rPr>
          <w:rStyle w:val="eIta"/>
        </w:rPr>
        <w:t xml:space="preserve"> suppression</w:t>
      </w:r>
      <w:r w:rsidRPr="00341E12">
        <w:t xml:space="preserve"> and the confounder is referred to as a </w:t>
      </w:r>
      <w:r w:rsidRPr="00341E12">
        <w:rPr>
          <w:rStyle w:val="eIta"/>
        </w:rPr>
        <w:t>suppressor</w:t>
      </w:r>
      <w:r w:rsidR="0048428E">
        <w:t xml:space="preserve"> because it </w:t>
      </w:r>
      <w:r w:rsidR="0048428E" w:rsidRPr="0048428E">
        <w:rPr>
          <w:i/>
        </w:rPr>
        <w:t>suppresses</w:t>
      </w:r>
      <w:r w:rsidR="0048428E">
        <w:t xml:space="preserve"> the beneficial effect of treatment (or other predictor of interest)</w:t>
      </w:r>
    </w:p>
  </w:footnote>
  <w:footnote w:id="3">
    <w:p w14:paraId="7BED2D8C" w14:textId="77777777" w:rsidR="004A0730" w:rsidRDefault="004A0730" w:rsidP="0039674B">
      <w:pPr>
        <w:pStyle w:val="FootnoteText"/>
        <w:tabs>
          <w:tab w:val="left" w:pos="4950"/>
        </w:tabs>
      </w:pPr>
      <w:r>
        <w:rPr>
          <w:rStyle w:val="FootnoteReference"/>
        </w:rPr>
        <w:footnoteRef/>
      </w:r>
      <w:r>
        <w:t xml:space="preserve"> The effect of differential distance looks more impressive with the inclusion of both light and dark colored bars, doesn’t it?  But in fact, the dark colored bars provide no information in this figure: the light and dark bars at each distance always sum to 100%.</w:t>
      </w:r>
    </w:p>
  </w:footnote>
  <w:footnote w:id="4">
    <w:p w14:paraId="54F95C14" w14:textId="77777777" w:rsidR="004A0730" w:rsidRDefault="004A0730">
      <w:pPr>
        <w:pStyle w:val="FootnoteText"/>
      </w:pPr>
      <w:r>
        <w:rPr>
          <w:rStyle w:val="FootnoteReference"/>
        </w:rPr>
        <w:footnoteRef/>
      </w:r>
      <w:r>
        <w:t xml:space="preserve"> The assumption, of course, is that the only difference between these cancers is that some are within reach of the sigmoidoscope and some are not.  But this is becoming controversial because of evidence that right and left sided colon cancers may differ biologically and that mortality benefits of screening sigmoidoscopy and colonoscopy are similar.  See e.g., Schmidt C.  </w:t>
      </w:r>
      <w:r w:rsidRPr="00B5038E">
        <w:t>Colonoscopy vs sigmoidoscopy: new studies fuel ongoing debate.  J Nat Cancer Inst 2012;104:1350-1.</w:t>
      </w:r>
    </w:p>
  </w:footnote>
  <w:footnote w:id="5">
    <w:p w14:paraId="7D4E4DCB" w14:textId="77777777" w:rsidR="004A0730" w:rsidRPr="009E1339" w:rsidRDefault="004A0730" w:rsidP="009E1339">
      <w:pPr>
        <w:rPr>
          <w:sz w:val="20"/>
          <w:szCs w:val="20"/>
        </w:rPr>
      </w:pPr>
      <w:r w:rsidRPr="00756526">
        <w:rPr>
          <w:rStyle w:val="FootnoteReference"/>
          <w:sz w:val="20"/>
          <w:szCs w:val="20"/>
        </w:rPr>
        <w:footnoteRef/>
      </w:r>
      <w:r w:rsidRPr="00756526">
        <w:rPr>
          <w:sz w:val="20"/>
          <w:szCs w:val="20"/>
        </w:rPr>
        <w:t xml:space="preserve"> Why Vitamin E intake and not other vitamins would be associated with decreased coronary heart disease risk is unclear.  But it is curious that in the Health Professionals study the investigators noted that there was no association between coronary disease and Vitamin C (without specific mention of multiple vitamins) and in the Nurses Health Study they noted there was no association between coronary disease and multiple vitamins (without specific mention of Vitamin C), </w:t>
      </w:r>
      <w:r w:rsidRPr="00756526">
        <w:rPr>
          <w:color w:val="000000"/>
          <w:sz w:val="20"/>
          <w:szCs w:val="20"/>
        </w:rPr>
        <w:t xml:space="preserve">possibly </w:t>
      </w:r>
      <w:r w:rsidRPr="009E1339">
        <w:rPr>
          <w:color w:val="000000"/>
          <w:sz w:val="20"/>
          <w:szCs w:val="20"/>
        </w:rPr>
        <w:t xml:space="preserve">reinforcing </w:t>
      </w:r>
      <w:r w:rsidRPr="009E1339">
        <w:rPr>
          <w:sz w:val="20"/>
          <w:szCs w:val="20"/>
        </w:rPr>
        <w:t xml:space="preserve">the need for </w:t>
      </w:r>
      <w:r w:rsidRPr="009E1339">
        <w:rPr>
          <w:i/>
          <w:sz w:val="20"/>
          <w:szCs w:val="20"/>
        </w:rPr>
        <w:t>prespecified</w:t>
      </w:r>
      <w:r w:rsidRPr="009E1339">
        <w:rPr>
          <w:sz w:val="20"/>
          <w:szCs w:val="20"/>
        </w:rPr>
        <w:t xml:space="preserve"> falsification tests.</w:t>
      </w:r>
    </w:p>
  </w:footnote>
  <w:footnote w:id="6">
    <w:p w14:paraId="400B5F7B" w14:textId="77777777" w:rsidR="004A0730" w:rsidRDefault="004A0730">
      <w:pPr>
        <w:pStyle w:val="FootnoteText"/>
      </w:pPr>
      <w:r>
        <w:rPr>
          <w:rStyle w:val="FootnoteReference"/>
        </w:rPr>
        <w:footnoteRef/>
      </w:r>
      <w:r>
        <w:t xml:space="preserve"> Personal communication from Anupam Jena, 10/25/17.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76CA6" w14:textId="2948EE6D" w:rsidR="00164C0B" w:rsidRPr="00DA3E0C" w:rsidRDefault="00164C0B" w:rsidP="00164C0B">
    <w:pPr>
      <w:pStyle w:val="Header"/>
      <w:rPr>
        <w:sz w:val="16"/>
      </w:rPr>
    </w:pPr>
    <w:r w:rsidRPr="002717A6">
      <w:rPr>
        <w:sz w:val="18"/>
        <w:szCs w:val="18"/>
      </w:rPr>
      <w:t>From: Evidence-Based Diagnosis, 2</w:t>
    </w:r>
    <w:r w:rsidRPr="002717A6">
      <w:rPr>
        <w:sz w:val="18"/>
        <w:szCs w:val="18"/>
        <w:vertAlign w:val="superscript"/>
      </w:rPr>
      <w:t>nd</w:t>
    </w:r>
    <w:r w:rsidRPr="002717A6">
      <w:rPr>
        <w:sz w:val="18"/>
        <w:szCs w:val="18"/>
      </w:rPr>
      <w:t xml:space="preserve"> Edition. Cambridge University Press, Forthcoming, by T. Newman, M. Kohn, Illustrated by M </w:t>
    </w:r>
    <w:proofErr w:type="spellStart"/>
    <w:r w:rsidRPr="002717A6">
      <w:rPr>
        <w:sz w:val="18"/>
        <w:szCs w:val="18"/>
      </w:rPr>
      <w:t>Steurer</w:t>
    </w:r>
    <w:proofErr w:type="spellEnd"/>
    <w:r w:rsidRPr="002717A6">
      <w:rPr>
        <w:sz w:val="18"/>
        <w:szCs w:val="18"/>
      </w:rPr>
      <w:t xml:space="preserve"> © Thomas B. Newman and Michael A. </w:t>
    </w:r>
    <w:proofErr w:type="gramStart"/>
    <w:r w:rsidRPr="002717A6">
      <w:rPr>
        <w:sz w:val="18"/>
        <w:szCs w:val="18"/>
      </w:rPr>
      <w:t xml:space="preserve">Kohn, </w:t>
    </w:r>
    <w:r>
      <w:rPr>
        <w:sz w:val="18"/>
      </w:rPr>
      <w:t xml:space="preserve">  </w:t>
    </w:r>
    <w:proofErr w:type="gramEnd"/>
    <w:r>
      <w:rPr>
        <w:sz w:val="18"/>
      </w:rPr>
      <w:t xml:space="preserve">  </w:t>
    </w:r>
    <w:r>
      <w:rPr>
        <w:sz w:val="18"/>
      </w:rPr>
      <w:fldChar w:fldCharType="begin"/>
    </w:r>
    <w:r>
      <w:rPr>
        <w:sz w:val="18"/>
      </w:rPr>
      <w:instrText xml:space="preserve"> SAVEDATE  \* MERGEFORMAT </w:instrText>
    </w:r>
    <w:r>
      <w:rPr>
        <w:sz w:val="18"/>
      </w:rPr>
      <w:fldChar w:fldCharType="separate"/>
    </w:r>
    <w:r>
      <w:rPr>
        <w:noProof/>
        <w:sz w:val="18"/>
      </w:rPr>
      <w:t>11/19/18 5:29:00 AM</w:t>
    </w:r>
    <w:r>
      <w:rPr>
        <w:sz w:val="18"/>
      </w:rPr>
      <w:fldChar w:fldCharType="end"/>
    </w:r>
  </w:p>
  <w:p w14:paraId="42EB6F64" w14:textId="77777777" w:rsidR="00164C0B" w:rsidRDefault="00164C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bordersDoNotSurroundHeader/>
  <w:bordersDoNotSurroundFooter/>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Square brackets&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 2018-1106&lt;record-ids&gt;&lt;item&gt;1547&lt;/item&gt;&lt;item&gt;1551&lt;/item&gt;&lt;/record-ids&gt;&lt;/item&gt;&lt;item db-id=&quot;zvsswrav8t2apbep2dbpv25ufvpprfe9rpex&quot;&gt;MasterLibrary-2017-0828&lt;record-ids&gt;&lt;item&gt;735&lt;/item&gt;&lt;item&gt;1152&lt;/item&gt;&lt;item&gt;1216&lt;/item&gt;&lt;item&gt;1323&lt;/item&gt;&lt;item&gt;1468&lt;/item&gt;&lt;item&gt;1469&lt;/item&gt;&lt;item&gt;2118&lt;/item&gt;&lt;item&gt;2166&lt;/item&gt;&lt;item&gt;2172&lt;/item&gt;&lt;item&gt;3316&lt;/item&gt;&lt;item&gt;3317&lt;/item&gt;&lt;item&gt;3993&lt;/item&gt;&lt;item&gt;4004&lt;/item&gt;&lt;item&gt;4068&lt;/item&gt;&lt;item&gt;4146&lt;/item&gt;&lt;item&gt;4159&lt;/item&gt;&lt;item&gt;4194&lt;/item&gt;&lt;item&gt;4224&lt;/item&gt;&lt;item&gt;4247&lt;/item&gt;&lt;/record-ids&gt;&lt;/item&gt;&lt;/Libraries&gt;"/>
  </w:docVars>
  <w:rsids>
    <w:rsidRoot w:val="00B025AD"/>
    <w:rsid w:val="00006949"/>
    <w:rsid w:val="000136D3"/>
    <w:rsid w:val="00030CEF"/>
    <w:rsid w:val="00033834"/>
    <w:rsid w:val="00037B51"/>
    <w:rsid w:val="00051079"/>
    <w:rsid w:val="00054432"/>
    <w:rsid w:val="000647DE"/>
    <w:rsid w:val="00064CD2"/>
    <w:rsid w:val="000712A0"/>
    <w:rsid w:val="000772CA"/>
    <w:rsid w:val="00081C9B"/>
    <w:rsid w:val="00087709"/>
    <w:rsid w:val="000945F9"/>
    <w:rsid w:val="0009614B"/>
    <w:rsid w:val="000974C0"/>
    <w:rsid w:val="000A0CCC"/>
    <w:rsid w:val="000A2D7D"/>
    <w:rsid w:val="000A3F01"/>
    <w:rsid w:val="000B4AAC"/>
    <w:rsid w:val="000B4CFA"/>
    <w:rsid w:val="000C12B3"/>
    <w:rsid w:val="000C3350"/>
    <w:rsid w:val="000C3CF1"/>
    <w:rsid w:val="000C6AE0"/>
    <w:rsid w:val="000D3758"/>
    <w:rsid w:val="000D4BEA"/>
    <w:rsid w:val="000D6490"/>
    <w:rsid w:val="000D7F17"/>
    <w:rsid w:val="000E1B24"/>
    <w:rsid w:val="000E56C7"/>
    <w:rsid w:val="000F2877"/>
    <w:rsid w:val="000F4648"/>
    <w:rsid w:val="000F48FB"/>
    <w:rsid w:val="0010046B"/>
    <w:rsid w:val="00101CE1"/>
    <w:rsid w:val="001033CA"/>
    <w:rsid w:val="001079AC"/>
    <w:rsid w:val="00107D4B"/>
    <w:rsid w:val="00111120"/>
    <w:rsid w:val="00121AAE"/>
    <w:rsid w:val="00131C93"/>
    <w:rsid w:val="001358F9"/>
    <w:rsid w:val="00143C0E"/>
    <w:rsid w:val="001455C0"/>
    <w:rsid w:val="001512F4"/>
    <w:rsid w:val="00154A84"/>
    <w:rsid w:val="00164C0B"/>
    <w:rsid w:val="00167333"/>
    <w:rsid w:val="001679D9"/>
    <w:rsid w:val="0017108A"/>
    <w:rsid w:val="00171D4B"/>
    <w:rsid w:val="001766E9"/>
    <w:rsid w:val="00183F94"/>
    <w:rsid w:val="001858A7"/>
    <w:rsid w:val="00185AF3"/>
    <w:rsid w:val="00186491"/>
    <w:rsid w:val="00187163"/>
    <w:rsid w:val="00191A84"/>
    <w:rsid w:val="00195016"/>
    <w:rsid w:val="00195AFF"/>
    <w:rsid w:val="001A0357"/>
    <w:rsid w:val="001C0048"/>
    <w:rsid w:val="001D5177"/>
    <w:rsid w:val="001D6A9F"/>
    <w:rsid w:val="001E081C"/>
    <w:rsid w:val="001E69D6"/>
    <w:rsid w:val="001F1A87"/>
    <w:rsid w:val="001F1EF8"/>
    <w:rsid w:val="001F430A"/>
    <w:rsid w:val="001F464F"/>
    <w:rsid w:val="001F49F9"/>
    <w:rsid w:val="001F6397"/>
    <w:rsid w:val="00200B93"/>
    <w:rsid w:val="00203B5E"/>
    <w:rsid w:val="00213F64"/>
    <w:rsid w:val="00220069"/>
    <w:rsid w:val="00227FC8"/>
    <w:rsid w:val="0024184F"/>
    <w:rsid w:val="00251EF1"/>
    <w:rsid w:val="002537BB"/>
    <w:rsid w:val="002570F9"/>
    <w:rsid w:val="00263440"/>
    <w:rsid w:val="002648A9"/>
    <w:rsid w:val="00270A62"/>
    <w:rsid w:val="00272B9C"/>
    <w:rsid w:val="00277364"/>
    <w:rsid w:val="0028009F"/>
    <w:rsid w:val="00287F01"/>
    <w:rsid w:val="002934DD"/>
    <w:rsid w:val="002972E6"/>
    <w:rsid w:val="002A5959"/>
    <w:rsid w:val="002B6C00"/>
    <w:rsid w:val="002B7B35"/>
    <w:rsid w:val="002C2052"/>
    <w:rsid w:val="002C294B"/>
    <w:rsid w:val="002C6B57"/>
    <w:rsid w:val="002C76BC"/>
    <w:rsid w:val="002D2D41"/>
    <w:rsid w:val="002D3A9F"/>
    <w:rsid w:val="002D733F"/>
    <w:rsid w:val="002E0C39"/>
    <w:rsid w:val="002E290F"/>
    <w:rsid w:val="002E46A1"/>
    <w:rsid w:val="002E5ED6"/>
    <w:rsid w:val="002F6CDD"/>
    <w:rsid w:val="0030328F"/>
    <w:rsid w:val="003053EE"/>
    <w:rsid w:val="00306A8A"/>
    <w:rsid w:val="00306C3D"/>
    <w:rsid w:val="003140A7"/>
    <w:rsid w:val="0031571B"/>
    <w:rsid w:val="00326F2E"/>
    <w:rsid w:val="00334700"/>
    <w:rsid w:val="00341E12"/>
    <w:rsid w:val="00343143"/>
    <w:rsid w:val="00346593"/>
    <w:rsid w:val="00346D00"/>
    <w:rsid w:val="0035496D"/>
    <w:rsid w:val="003552D1"/>
    <w:rsid w:val="00360087"/>
    <w:rsid w:val="00370432"/>
    <w:rsid w:val="00386DF4"/>
    <w:rsid w:val="00387541"/>
    <w:rsid w:val="00390718"/>
    <w:rsid w:val="0039674B"/>
    <w:rsid w:val="003974F5"/>
    <w:rsid w:val="003C0F1F"/>
    <w:rsid w:val="003C45B7"/>
    <w:rsid w:val="003C51D7"/>
    <w:rsid w:val="003C6E36"/>
    <w:rsid w:val="003C6F3B"/>
    <w:rsid w:val="003D118F"/>
    <w:rsid w:val="003D3FC9"/>
    <w:rsid w:val="003D5334"/>
    <w:rsid w:val="003D7481"/>
    <w:rsid w:val="003F2D85"/>
    <w:rsid w:val="00402285"/>
    <w:rsid w:val="004040C1"/>
    <w:rsid w:val="00405E05"/>
    <w:rsid w:val="00406135"/>
    <w:rsid w:val="00413855"/>
    <w:rsid w:val="0042013C"/>
    <w:rsid w:val="0042322B"/>
    <w:rsid w:val="004277E7"/>
    <w:rsid w:val="00434673"/>
    <w:rsid w:val="004432CF"/>
    <w:rsid w:val="00443E81"/>
    <w:rsid w:val="00446293"/>
    <w:rsid w:val="00450987"/>
    <w:rsid w:val="004516D7"/>
    <w:rsid w:val="00451D82"/>
    <w:rsid w:val="00454D1C"/>
    <w:rsid w:val="004609E1"/>
    <w:rsid w:val="00461979"/>
    <w:rsid w:val="00462CA4"/>
    <w:rsid w:val="00464B56"/>
    <w:rsid w:val="0048109F"/>
    <w:rsid w:val="004834F4"/>
    <w:rsid w:val="0048428E"/>
    <w:rsid w:val="004A0730"/>
    <w:rsid w:val="004A566F"/>
    <w:rsid w:val="004A5A7F"/>
    <w:rsid w:val="004C0EFD"/>
    <w:rsid w:val="004C76AC"/>
    <w:rsid w:val="004E18BA"/>
    <w:rsid w:val="004E25E9"/>
    <w:rsid w:val="004E2D93"/>
    <w:rsid w:val="004E3F49"/>
    <w:rsid w:val="004F6596"/>
    <w:rsid w:val="00504F99"/>
    <w:rsid w:val="005054BF"/>
    <w:rsid w:val="005133DE"/>
    <w:rsid w:val="00513A8E"/>
    <w:rsid w:val="00514391"/>
    <w:rsid w:val="005204A2"/>
    <w:rsid w:val="00521296"/>
    <w:rsid w:val="0052793F"/>
    <w:rsid w:val="00530A6F"/>
    <w:rsid w:val="005370D8"/>
    <w:rsid w:val="005429CE"/>
    <w:rsid w:val="00552AF7"/>
    <w:rsid w:val="0055341F"/>
    <w:rsid w:val="00555524"/>
    <w:rsid w:val="00561F4E"/>
    <w:rsid w:val="00566C54"/>
    <w:rsid w:val="005735FE"/>
    <w:rsid w:val="0057434B"/>
    <w:rsid w:val="0058285B"/>
    <w:rsid w:val="005829E0"/>
    <w:rsid w:val="00592374"/>
    <w:rsid w:val="005A23C7"/>
    <w:rsid w:val="005A394C"/>
    <w:rsid w:val="005A4E50"/>
    <w:rsid w:val="005A5060"/>
    <w:rsid w:val="005A6C3F"/>
    <w:rsid w:val="005A7197"/>
    <w:rsid w:val="005A7F07"/>
    <w:rsid w:val="005B6924"/>
    <w:rsid w:val="005C58D9"/>
    <w:rsid w:val="005C59BB"/>
    <w:rsid w:val="005D4A41"/>
    <w:rsid w:val="005D53B4"/>
    <w:rsid w:val="005D6F63"/>
    <w:rsid w:val="005E796A"/>
    <w:rsid w:val="005F35B1"/>
    <w:rsid w:val="00602849"/>
    <w:rsid w:val="00604265"/>
    <w:rsid w:val="00610640"/>
    <w:rsid w:val="00622B24"/>
    <w:rsid w:val="006249A4"/>
    <w:rsid w:val="00625B6F"/>
    <w:rsid w:val="0062636F"/>
    <w:rsid w:val="00635F36"/>
    <w:rsid w:val="0064345C"/>
    <w:rsid w:val="0064375E"/>
    <w:rsid w:val="00645D7E"/>
    <w:rsid w:val="006557AF"/>
    <w:rsid w:val="00662652"/>
    <w:rsid w:val="006635D6"/>
    <w:rsid w:val="00664A69"/>
    <w:rsid w:val="00665C0F"/>
    <w:rsid w:val="00673763"/>
    <w:rsid w:val="006A4BB0"/>
    <w:rsid w:val="006B438A"/>
    <w:rsid w:val="006B5609"/>
    <w:rsid w:val="006B577C"/>
    <w:rsid w:val="006B6F27"/>
    <w:rsid w:val="006C556E"/>
    <w:rsid w:val="006D2688"/>
    <w:rsid w:val="006D42C4"/>
    <w:rsid w:val="006D61F8"/>
    <w:rsid w:val="006E09D4"/>
    <w:rsid w:val="006E4A94"/>
    <w:rsid w:val="006E79E1"/>
    <w:rsid w:val="006F1558"/>
    <w:rsid w:val="006F674A"/>
    <w:rsid w:val="006F6D7A"/>
    <w:rsid w:val="00707355"/>
    <w:rsid w:val="00711B97"/>
    <w:rsid w:val="0071324E"/>
    <w:rsid w:val="00716BC7"/>
    <w:rsid w:val="00717DB7"/>
    <w:rsid w:val="0072255E"/>
    <w:rsid w:val="00722E02"/>
    <w:rsid w:val="0072413D"/>
    <w:rsid w:val="00732213"/>
    <w:rsid w:val="00734EA9"/>
    <w:rsid w:val="00735A3B"/>
    <w:rsid w:val="00743D67"/>
    <w:rsid w:val="007440B6"/>
    <w:rsid w:val="007514E7"/>
    <w:rsid w:val="00752413"/>
    <w:rsid w:val="00755416"/>
    <w:rsid w:val="00756526"/>
    <w:rsid w:val="00761314"/>
    <w:rsid w:val="00766904"/>
    <w:rsid w:val="007742C3"/>
    <w:rsid w:val="0078795B"/>
    <w:rsid w:val="00792B6A"/>
    <w:rsid w:val="007B0903"/>
    <w:rsid w:val="007D2492"/>
    <w:rsid w:val="007D26A7"/>
    <w:rsid w:val="007D5B69"/>
    <w:rsid w:val="007E0D7A"/>
    <w:rsid w:val="007E1445"/>
    <w:rsid w:val="007E3CA2"/>
    <w:rsid w:val="007F0528"/>
    <w:rsid w:val="007F44CC"/>
    <w:rsid w:val="007F4677"/>
    <w:rsid w:val="00801C82"/>
    <w:rsid w:val="008066AC"/>
    <w:rsid w:val="008132BC"/>
    <w:rsid w:val="00820FDF"/>
    <w:rsid w:val="0082305A"/>
    <w:rsid w:val="008434CB"/>
    <w:rsid w:val="00843880"/>
    <w:rsid w:val="00850197"/>
    <w:rsid w:val="008504F2"/>
    <w:rsid w:val="00852EF8"/>
    <w:rsid w:val="00854744"/>
    <w:rsid w:val="00866C18"/>
    <w:rsid w:val="008704F8"/>
    <w:rsid w:val="00871968"/>
    <w:rsid w:val="00872A00"/>
    <w:rsid w:val="00875819"/>
    <w:rsid w:val="008762CF"/>
    <w:rsid w:val="008806A9"/>
    <w:rsid w:val="008822E2"/>
    <w:rsid w:val="00883926"/>
    <w:rsid w:val="00885C15"/>
    <w:rsid w:val="008904C9"/>
    <w:rsid w:val="008922A5"/>
    <w:rsid w:val="0089375B"/>
    <w:rsid w:val="00895252"/>
    <w:rsid w:val="008A1A42"/>
    <w:rsid w:val="008A1BFB"/>
    <w:rsid w:val="008A2B65"/>
    <w:rsid w:val="008A43DC"/>
    <w:rsid w:val="008A57E7"/>
    <w:rsid w:val="008B2F76"/>
    <w:rsid w:val="008B43D7"/>
    <w:rsid w:val="008C26A8"/>
    <w:rsid w:val="008D16E3"/>
    <w:rsid w:val="008D2113"/>
    <w:rsid w:val="008D46AE"/>
    <w:rsid w:val="008E550B"/>
    <w:rsid w:val="008F0ADC"/>
    <w:rsid w:val="008F5699"/>
    <w:rsid w:val="008F7B6E"/>
    <w:rsid w:val="00900D0C"/>
    <w:rsid w:val="009023EB"/>
    <w:rsid w:val="009024D0"/>
    <w:rsid w:val="00904A3D"/>
    <w:rsid w:val="00906D8D"/>
    <w:rsid w:val="0091645B"/>
    <w:rsid w:val="00916E96"/>
    <w:rsid w:val="009215A7"/>
    <w:rsid w:val="009256AA"/>
    <w:rsid w:val="009309D2"/>
    <w:rsid w:val="009334FA"/>
    <w:rsid w:val="00935E24"/>
    <w:rsid w:val="00935FF7"/>
    <w:rsid w:val="00936A3E"/>
    <w:rsid w:val="00946822"/>
    <w:rsid w:val="00952DED"/>
    <w:rsid w:val="00974B8B"/>
    <w:rsid w:val="009751FF"/>
    <w:rsid w:val="00983862"/>
    <w:rsid w:val="00983DC1"/>
    <w:rsid w:val="00984292"/>
    <w:rsid w:val="00984C86"/>
    <w:rsid w:val="00990447"/>
    <w:rsid w:val="00991FFB"/>
    <w:rsid w:val="00992C63"/>
    <w:rsid w:val="009932FB"/>
    <w:rsid w:val="00995FAA"/>
    <w:rsid w:val="009A1549"/>
    <w:rsid w:val="009A73DD"/>
    <w:rsid w:val="009B0CC3"/>
    <w:rsid w:val="009C198E"/>
    <w:rsid w:val="009C2CB1"/>
    <w:rsid w:val="009C6D87"/>
    <w:rsid w:val="009D3EC9"/>
    <w:rsid w:val="009E1339"/>
    <w:rsid w:val="009E441B"/>
    <w:rsid w:val="009E57AB"/>
    <w:rsid w:val="009E6584"/>
    <w:rsid w:val="00A024C9"/>
    <w:rsid w:val="00A11B8A"/>
    <w:rsid w:val="00A24271"/>
    <w:rsid w:val="00A31FF1"/>
    <w:rsid w:val="00A37B80"/>
    <w:rsid w:val="00A4132C"/>
    <w:rsid w:val="00A441AA"/>
    <w:rsid w:val="00A50730"/>
    <w:rsid w:val="00A5573B"/>
    <w:rsid w:val="00A55FDB"/>
    <w:rsid w:val="00A5634D"/>
    <w:rsid w:val="00A63231"/>
    <w:rsid w:val="00A6639B"/>
    <w:rsid w:val="00A70FDA"/>
    <w:rsid w:val="00A71202"/>
    <w:rsid w:val="00A712B0"/>
    <w:rsid w:val="00A843BD"/>
    <w:rsid w:val="00A87BB8"/>
    <w:rsid w:val="00A916B0"/>
    <w:rsid w:val="00AA340D"/>
    <w:rsid w:val="00AB2034"/>
    <w:rsid w:val="00AB450A"/>
    <w:rsid w:val="00AB45C5"/>
    <w:rsid w:val="00AC5061"/>
    <w:rsid w:val="00AC646C"/>
    <w:rsid w:val="00AD07F0"/>
    <w:rsid w:val="00AD2390"/>
    <w:rsid w:val="00AD55CF"/>
    <w:rsid w:val="00AE017C"/>
    <w:rsid w:val="00AE3EA0"/>
    <w:rsid w:val="00AF1BC9"/>
    <w:rsid w:val="00AF762C"/>
    <w:rsid w:val="00B003D7"/>
    <w:rsid w:val="00B02581"/>
    <w:rsid w:val="00B025AD"/>
    <w:rsid w:val="00B03B4D"/>
    <w:rsid w:val="00B03D76"/>
    <w:rsid w:val="00B075A6"/>
    <w:rsid w:val="00B10516"/>
    <w:rsid w:val="00B14AD8"/>
    <w:rsid w:val="00B154AB"/>
    <w:rsid w:val="00B1688A"/>
    <w:rsid w:val="00B1707E"/>
    <w:rsid w:val="00B25360"/>
    <w:rsid w:val="00B2688D"/>
    <w:rsid w:val="00B34DEC"/>
    <w:rsid w:val="00B5038E"/>
    <w:rsid w:val="00B51B6C"/>
    <w:rsid w:val="00B529DB"/>
    <w:rsid w:val="00B57F41"/>
    <w:rsid w:val="00B60999"/>
    <w:rsid w:val="00B70955"/>
    <w:rsid w:val="00B75772"/>
    <w:rsid w:val="00B80DB6"/>
    <w:rsid w:val="00B86098"/>
    <w:rsid w:val="00BA3673"/>
    <w:rsid w:val="00BA45B5"/>
    <w:rsid w:val="00BB2BEB"/>
    <w:rsid w:val="00BB7137"/>
    <w:rsid w:val="00BB7840"/>
    <w:rsid w:val="00BC3230"/>
    <w:rsid w:val="00BC6C16"/>
    <w:rsid w:val="00BD5654"/>
    <w:rsid w:val="00BE4D7C"/>
    <w:rsid w:val="00BE6131"/>
    <w:rsid w:val="00BF0563"/>
    <w:rsid w:val="00BF4682"/>
    <w:rsid w:val="00BF53A4"/>
    <w:rsid w:val="00C0395C"/>
    <w:rsid w:val="00C05C7F"/>
    <w:rsid w:val="00C10F8F"/>
    <w:rsid w:val="00C158C7"/>
    <w:rsid w:val="00C164D3"/>
    <w:rsid w:val="00C20FCF"/>
    <w:rsid w:val="00C224AA"/>
    <w:rsid w:val="00C26A9E"/>
    <w:rsid w:val="00C275D9"/>
    <w:rsid w:val="00C3038B"/>
    <w:rsid w:val="00C312C1"/>
    <w:rsid w:val="00C369F4"/>
    <w:rsid w:val="00C4023B"/>
    <w:rsid w:val="00C53BB9"/>
    <w:rsid w:val="00C62712"/>
    <w:rsid w:val="00C65171"/>
    <w:rsid w:val="00C656C8"/>
    <w:rsid w:val="00C657C2"/>
    <w:rsid w:val="00C7195F"/>
    <w:rsid w:val="00C76AA1"/>
    <w:rsid w:val="00C77D9C"/>
    <w:rsid w:val="00C80C9B"/>
    <w:rsid w:val="00C84157"/>
    <w:rsid w:val="00C86856"/>
    <w:rsid w:val="00C94106"/>
    <w:rsid w:val="00CA2616"/>
    <w:rsid w:val="00CA461C"/>
    <w:rsid w:val="00CA5201"/>
    <w:rsid w:val="00CB38E5"/>
    <w:rsid w:val="00CB63BD"/>
    <w:rsid w:val="00CB6431"/>
    <w:rsid w:val="00CC6248"/>
    <w:rsid w:val="00CD37B4"/>
    <w:rsid w:val="00CE2AE3"/>
    <w:rsid w:val="00CF4FD6"/>
    <w:rsid w:val="00CF7ED8"/>
    <w:rsid w:val="00D038A6"/>
    <w:rsid w:val="00D06C13"/>
    <w:rsid w:val="00D07E9B"/>
    <w:rsid w:val="00D11BB8"/>
    <w:rsid w:val="00D12523"/>
    <w:rsid w:val="00D13CA2"/>
    <w:rsid w:val="00D14A37"/>
    <w:rsid w:val="00D16A3C"/>
    <w:rsid w:val="00D34A81"/>
    <w:rsid w:val="00D35204"/>
    <w:rsid w:val="00D3758C"/>
    <w:rsid w:val="00D437A1"/>
    <w:rsid w:val="00D45E71"/>
    <w:rsid w:val="00D50017"/>
    <w:rsid w:val="00D51A69"/>
    <w:rsid w:val="00D53805"/>
    <w:rsid w:val="00D571E9"/>
    <w:rsid w:val="00D57FDE"/>
    <w:rsid w:val="00D60C84"/>
    <w:rsid w:val="00D62F3A"/>
    <w:rsid w:val="00D6308F"/>
    <w:rsid w:val="00D67BD5"/>
    <w:rsid w:val="00D70F61"/>
    <w:rsid w:val="00D75292"/>
    <w:rsid w:val="00D768DF"/>
    <w:rsid w:val="00D80F7C"/>
    <w:rsid w:val="00D815BB"/>
    <w:rsid w:val="00D81BE3"/>
    <w:rsid w:val="00D90A3C"/>
    <w:rsid w:val="00D90E1F"/>
    <w:rsid w:val="00D92298"/>
    <w:rsid w:val="00D931D0"/>
    <w:rsid w:val="00D9375F"/>
    <w:rsid w:val="00D93B09"/>
    <w:rsid w:val="00D947C2"/>
    <w:rsid w:val="00DA2334"/>
    <w:rsid w:val="00DA3102"/>
    <w:rsid w:val="00DA3E0C"/>
    <w:rsid w:val="00DA7469"/>
    <w:rsid w:val="00DA75C8"/>
    <w:rsid w:val="00DB2A66"/>
    <w:rsid w:val="00DB408E"/>
    <w:rsid w:val="00DB681F"/>
    <w:rsid w:val="00DB6A25"/>
    <w:rsid w:val="00DC0D3F"/>
    <w:rsid w:val="00DC3BAB"/>
    <w:rsid w:val="00DD27CF"/>
    <w:rsid w:val="00DD3BD1"/>
    <w:rsid w:val="00DE0FA6"/>
    <w:rsid w:val="00DE297C"/>
    <w:rsid w:val="00DE2FF2"/>
    <w:rsid w:val="00DE3CB6"/>
    <w:rsid w:val="00DE506E"/>
    <w:rsid w:val="00DE6006"/>
    <w:rsid w:val="00E06801"/>
    <w:rsid w:val="00E153C0"/>
    <w:rsid w:val="00E16327"/>
    <w:rsid w:val="00E352C4"/>
    <w:rsid w:val="00E40F3F"/>
    <w:rsid w:val="00E43B29"/>
    <w:rsid w:val="00E504E9"/>
    <w:rsid w:val="00E52D0C"/>
    <w:rsid w:val="00E54A38"/>
    <w:rsid w:val="00E54D88"/>
    <w:rsid w:val="00E552F7"/>
    <w:rsid w:val="00E6082C"/>
    <w:rsid w:val="00E60925"/>
    <w:rsid w:val="00E617AD"/>
    <w:rsid w:val="00E63D31"/>
    <w:rsid w:val="00E643FC"/>
    <w:rsid w:val="00E65751"/>
    <w:rsid w:val="00E66BB9"/>
    <w:rsid w:val="00E8011F"/>
    <w:rsid w:val="00E83A60"/>
    <w:rsid w:val="00E944BC"/>
    <w:rsid w:val="00EA0163"/>
    <w:rsid w:val="00EA40FF"/>
    <w:rsid w:val="00EA6C2E"/>
    <w:rsid w:val="00EB76E4"/>
    <w:rsid w:val="00EC7712"/>
    <w:rsid w:val="00EC7755"/>
    <w:rsid w:val="00ED51D0"/>
    <w:rsid w:val="00ED5874"/>
    <w:rsid w:val="00ED7213"/>
    <w:rsid w:val="00ED7592"/>
    <w:rsid w:val="00EE6E60"/>
    <w:rsid w:val="00EF0E71"/>
    <w:rsid w:val="00EF34CE"/>
    <w:rsid w:val="00EF53EB"/>
    <w:rsid w:val="00EF5769"/>
    <w:rsid w:val="00EF7017"/>
    <w:rsid w:val="00F00B43"/>
    <w:rsid w:val="00F04964"/>
    <w:rsid w:val="00F11F50"/>
    <w:rsid w:val="00F13B97"/>
    <w:rsid w:val="00F14ECB"/>
    <w:rsid w:val="00F15E85"/>
    <w:rsid w:val="00F258D6"/>
    <w:rsid w:val="00F41E99"/>
    <w:rsid w:val="00F4683E"/>
    <w:rsid w:val="00F4707A"/>
    <w:rsid w:val="00F51912"/>
    <w:rsid w:val="00F519DE"/>
    <w:rsid w:val="00F53E9A"/>
    <w:rsid w:val="00F646BB"/>
    <w:rsid w:val="00F7113C"/>
    <w:rsid w:val="00F73DE7"/>
    <w:rsid w:val="00F74F95"/>
    <w:rsid w:val="00F76A59"/>
    <w:rsid w:val="00F77C84"/>
    <w:rsid w:val="00F821AB"/>
    <w:rsid w:val="00F86AAD"/>
    <w:rsid w:val="00FA6D6D"/>
    <w:rsid w:val="00FA7CCA"/>
    <w:rsid w:val="00FB4F46"/>
    <w:rsid w:val="00FB7C04"/>
    <w:rsid w:val="00FC0DB6"/>
    <w:rsid w:val="00FC67F0"/>
    <w:rsid w:val="00FD01EA"/>
    <w:rsid w:val="00FD69EA"/>
    <w:rsid w:val="00FE054F"/>
    <w:rsid w:val="00FE19E1"/>
    <w:rsid w:val="00FE3785"/>
    <w:rsid w:val="00FE759C"/>
    <w:rsid w:val="00FF4946"/>
    <w:rsid w:val="00FF6BEF"/>
    <w:rsid w:val="00FF7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0EFE01"/>
  <w14:defaultImageDpi w14:val="300"/>
  <w15:docId w15:val="{D158F543-D3F1-7B4A-9C67-1224A5B9C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83E"/>
    <w:rPr>
      <w:rFonts w:ascii="Times New Roman" w:hAnsi="Times New Roman"/>
      <w:sz w:val="24"/>
      <w:szCs w:val="24"/>
    </w:rPr>
  </w:style>
  <w:style w:type="paragraph" w:styleId="Heading1">
    <w:name w:val="heading 1"/>
    <w:basedOn w:val="NormalWeb"/>
    <w:link w:val="Heading1Char"/>
    <w:qFormat/>
    <w:rsid w:val="00F4683E"/>
    <w:pPr>
      <w:keepNext/>
      <w:outlineLvl w:val="0"/>
    </w:pPr>
    <w:rPr>
      <w:rFonts w:cs="Arial"/>
      <w:b/>
      <w:bCs/>
      <w:kern w:val="32"/>
      <w:sz w:val="43"/>
      <w:szCs w:val="32"/>
    </w:rPr>
  </w:style>
  <w:style w:type="paragraph" w:styleId="Heading2">
    <w:name w:val="heading 2"/>
    <w:basedOn w:val="NormalWeb"/>
    <w:link w:val="Heading2Char"/>
    <w:qFormat/>
    <w:rsid w:val="00F4683E"/>
    <w:pPr>
      <w:keepNext/>
      <w:outlineLvl w:val="1"/>
    </w:pPr>
    <w:rPr>
      <w:rFonts w:cs="Arial"/>
      <w:b/>
      <w:bCs/>
      <w:iCs/>
      <w:sz w:val="38"/>
      <w:szCs w:val="28"/>
    </w:rPr>
  </w:style>
  <w:style w:type="paragraph" w:styleId="Heading3">
    <w:name w:val="heading 3"/>
    <w:basedOn w:val="NormalWeb"/>
    <w:link w:val="Heading3Char"/>
    <w:qFormat/>
    <w:rsid w:val="00F4683E"/>
    <w:pPr>
      <w:keepNext/>
      <w:outlineLvl w:val="2"/>
    </w:pPr>
    <w:rPr>
      <w:rFonts w:cs="Arial"/>
      <w:b/>
      <w:bCs/>
      <w:sz w:val="34"/>
      <w:szCs w:val="26"/>
    </w:rPr>
  </w:style>
  <w:style w:type="paragraph" w:styleId="Heading4">
    <w:name w:val="heading 4"/>
    <w:basedOn w:val="NormalWeb"/>
    <w:link w:val="Heading4Char"/>
    <w:qFormat/>
    <w:rsid w:val="00F4683E"/>
    <w:pPr>
      <w:keepNext/>
      <w:outlineLvl w:val="3"/>
    </w:pPr>
    <w:rPr>
      <w:b/>
      <w:bCs/>
      <w:sz w:val="31"/>
      <w:szCs w:val="28"/>
    </w:rPr>
  </w:style>
  <w:style w:type="paragraph" w:styleId="Heading5">
    <w:name w:val="heading 5"/>
    <w:basedOn w:val="NormalWeb"/>
    <w:link w:val="Heading5Char"/>
    <w:qFormat/>
    <w:rsid w:val="00F4683E"/>
    <w:pPr>
      <w:outlineLvl w:val="4"/>
    </w:pPr>
    <w:rPr>
      <w:b/>
      <w:bCs/>
      <w:iCs/>
      <w:sz w:val="29"/>
      <w:szCs w:val="26"/>
    </w:rPr>
  </w:style>
  <w:style w:type="paragraph" w:styleId="Heading6">
    <w:name w:val="heading 6"/>
    <w:basedOn w:val="NormalWeb"/>
    <w:link w:val="Heading6Char"/>
    <w:qFormat/>
    <w:rsid w:val="00F4683E"/>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next w:val="Normal"/>
    <w:uiPriority w:val="99"/>
  </w:style>
  <w:style w:type="paragraph" w:customStyle="1" w:styleId="Style1">
    <w:name w:val="Style1"/>
    <w:basedOn w:val="Normal"/>
    <w:next w:val="Normal"/>
    <w:uiPriority w:val="99"/>
    <w:rPr>
      <w:rFonts w:ascii="Minion-Regular" w:hAnsi="Minion-Regular" w:cs="Minion-Regular"/>
      <w:sz w:val="32"/>
      <w:szCs w:val="32"/>
    </w:rPr>
  </w:style>
  <w:style w:type="paragraph" w:customStyle="1" w:styleId="Style2">
    <w:name w:val="Style2"/>
    <w:basedOn w:val="Normal"/>
    <w:next w:val="Normal"/>
    <w:uiPriority w:val="99"/>
    <w:rPr>
      <w:rFonts w:ascii="RMTMI" w:hAnsi="RMTMI" w:cs="RMTMI"/>
    </w:rPr>
  </w:style>
  <w:style w:type="paragraph" w:customStyle="1" w:styleId="Style3">
    <w:name w:val="Style3"/>
    <w:basedOn w:val="Normal"/>
    <w:next w:val="Normal"/>
    <w:uiPriority w:val="99"/>
    <w:rPr>
      <w:rFonts w:ascii="Myriad-Roman" w:hAnsi="Myriad-Roman" w:cs="Myriad-Roman"/>
    </w:rPr>
  </w:style>
  <w:style w:type="paragraph" w:customStyle="1" w:styleId="Style4">
    <w:name w:val="Style4"/>
    <w:basedOn w:val="Normal"/>
    <w:next w:val="Normal"/>
    <w:uiPriority w:val="99"/>
    <w:rPr>
      <w:rFonts w:ascii="Formata BQ-Regular" w:hAnsi="Formata BQ-Regular" w:cs="Formata BQ-Regular"/>
    </w:rPr>
  </w:style>
  <w:style w:type="paragraph" w:customStyle="1" w:styleId="Style5">
    <w:name w:val="Style5"/>
    <w:basedOn w:val="Normal"/>
    <w:next w:val="Normal"/>
    <w:uiPriority w:val="99"/>
    <w:rPr>
      <w:rFonts w:ascii="Minion-Italic" w:hAnsi="Minion-Italic" w:cs="Minion-Italic"/>
      <w:sz w:val="18"/>
      <w:szCs w:val="18"/>
    </w:rPr>
  </w:style>
  <w:style w:type="paragraph" w:customStyle="1" w:styleId="Style6">
    <w:name w:val="Style6"/>
    <w:basedOn w:val="Normal"/>
    <w:next w:val="Normal"/>
    <w:uiPriority w:val="99"/>
    <w:rPr>
      <w:rFonts w:ascii="MTSY" w:hAnsi="MTSY" w:cs="MTSY"/>
      <w:sz w:val="19"/>
      <w:szCs w:val="19"/>
    </w:rPr>
  </w:style>
  <w:style w:type="paragraph" w:customStyle="1" w:styleId="Style7">
    <w:name w:val="Style7"/>
    <w:basedOn w:val="Normal"/>
    <w:next w:val="Normal"/>
    <w:uiPriority w:val="99"/>
    <w:rPr>
      <w:rFonts w:ascii="MTEX" w:hAnsi="MTEX" w:cs="MTEX"/>
      <w:sz w:val="17"/>
      <w:szCs w:val="17"/>
    </w:rPr>
  </w:style>
  <w:style w:type="paragraph" w:customStyle="1" w:styleId="Style8">
    <w:name w:val="Style8"/>
    <w:basedOn w:val="Normal"/>
    <w:next w:val="Normal"/>
    <w:uiPriority w:val="99"/>
    <w:rPr>
      <w:rFonts w:ascii="Helvetica" w:hAnsi="Helvetica" w:cs="Helvetica"/>
      <w:sz w:val="15"/>
      <w:szCs w:val="15"/>
    </w:rPr>
  </w:style>
  <w:style w:type="paragraph" w:customStyle="1" w:styleId="Style9">
    <w:name w:val="Style9"/>
    <w:basedOn w:val="Normal"/>
    <w:next w:val="Normal"/>
    <w:uiPriority w:val="99"/>
    <w:rPr>
      <w:rFonts w:ascii="Tahoma" w:hAnsi="Tahoma" w:cs="Tahoma"/>
      <w:sz w:val="12"/>
      <w:szCs w:val="12"/>
    </w:rPr>
  </w:style>
  <w:style w:type="paragraph" w:customStyle="1" w:styleId="Style10">
    <w:name w:val="Style10"/>
    <w:basedOn w:val="Normal"/>
    <w:next w:val="Normal"/>
    <w:uiPriority w:val="99"/>
    <w:rPr>
      <w:rFonts w:ascii="Formata BQ-Bold" w:hAnsi="Formata BQ-Bold" w:cs="Formata BQ-Bold"/>
      <w:sz w:val="16"/>
      <w:szCs w:val="16"/>
    </w:rPr>
  </w:style>
  <w:style w:type="paragraph" w:customStyle="1" w:styleId="Style11">
    <w:name w:val="Style11"/>
    <w:basedOn w:val="Normal"/>
    <w:next w:val="Normal"/>
    <w:uiPriority w:val="99"/>
    <w:rPr>
      <w:rFonts w:ascii="Minion-Bold" w:hAnsi="Minion-Bold" w:cs="Minion-Bold"/>
      <w:sz w:val="16"/>
      <w:szCs w:val="16"/>
    </w:rPr>
  </w:style>
  <w:style w:type="paragraph" w:customStyle="1" w:styleId="Style12">
    <w:name w:val="Style12"/>
    <w:basedOn w:val="Normal"/>
    <w:next w:val="Normal"/>
    <w:uiPriority w:val="99"/>
    <w:rPr>
      <w:rFonts w:ascii="CMSY10" w:hAnsi="CMSY10" w:cs="CMSY10"/>
      <w:sz w:val="16"/>
      <w:szCs w:val="16"/>
    </w:rPr>
  </w:style>
  <w:style w:type="paragraph" w:customStyle="1" w:styleId="Style13">
    <w:name w:val="Style13"/>
    <w:basedOn w:val="Normal"/>
    <w:next w:val="Normal"/>
    <w:uiPriority w:val="99"/>
    <w:rPr>
      <w:rFonts w:ascii="EURM10" w:hAnsi="EURM10" w:cs="EURM10"/>
    </w:rPr>
  </w:style>
  <w:style w:type="paragraph" w:customStyle="1" w:styleId="Style14">
    <w:name w:val="Style14"/>
    <w:basedOn w:val="Normal"/>
    <w:next w:val="Normal"/>
    <w:uiPriority w:val="99"/>
  </w:style>
  <w:style w:type="paragraph" w:customStyle="1" w:styleId="Style15">
    <w:name w:val="Style15"/>
    <w:basedOn w:val="Normal"/>
    <w:next w:val="Normal"/>
    <w:uiPriority w:val="99"/>
  </w:style>
  <w:style w:type="paragraph" w:customStyle="1" w:styleId="Style16">
    <w:name w:val="Style16"/>
    <w:basedOn w:val="Normal"/>
    <w:next w:val="Normal"/>
    <w:uiPriority w:val="99"/>
    <w:rPr>
      <w:sz w:val="15"/>
      <w:szCs w:val="15"/>
    </w:rPr>
  </w:style>
  <w:style w:type="paragraph" w:customStyle="1" w:styleId="Style17">
    <w:name w:val="Style17"/>
    <w:basedOn w:val="Normal"/>
    <w:next w:val="Normal"/>
    <w:uiPriority w:val="99"/>
    <w:rPr>
      <w:sz w:val="17"/>
      <w:szCs w:val="17"/>
    </w:rPr>
  </w:style>
  <w:style w:type="paragraph" w:customStyle="1" w:styleId="Style18">
    <w:name w:val="Style18"/>
    <w:basedOn w:val="Normal"/>
    <w:next w:val="Normal"/>
    <w:uiPriority w:val="99"/>
    <w:rPr>
      <w:sz w:val="19"/>
      <w:szCs w:val="19"/>
    </w:rPr>
  </w:style>
  <w:style w:type="paragraph" w:customStyle="1" w:styleId="Style19">
    <w:name w:val="Style19"/>
    <w:basedOn w:val="Normal"/>
    <w:next w:val="Normal"/>
    <w:uiPriority w:val="99"/>
  </w:style>
  <w:style w:type="paragraph" w:customStyle="1" w:styleId="Style20">
    <w:name w:val="Style20"/>
    <w:basedOn w:val="Normal"/>
    <w:next w:val="Normal"/>
    <w:uiPriority w:val="99"/>
    <w:rPr>
      <w:sz w:val="18"/>
      <w:szCs w:val="18"/>
    </w:rPr>
  </w:style>
  <w:style w:type="paragraph" w:customStyle="1" w:styleId="Style21">
    <w:name w:val="Style21"/>
    <w:basedOn w:val="Normal"/>
    <w:next w:val="Normal"/>
    <w:uiPriority w:val="99"/>
    <w:rPr>
      <w:sz w:val="17"/>
      <w:szCs w:val="17"/>
    </w:rPr>
  </w:style>
  <w:style w:type="paragraph" w:customStyle="1" w:styleId="Style22">
    <w:name w:val="Style22"/>
    <w:basedOn w:val="Normal"/>
    <w:next w:val="Normal"/>
    <w:uiPriority w:val="99"/>
    <w:rPr>
      <w:sz w:val="18"/>
      <w:szCs w:val="18"/>
    </w:rPr>
  </w:style>
  <w:style w:type="paragraph" w:customStyle="1" w:styleId="Style23">
    <w:name w:val="Style23"/>
    <w:basedOn w:val="Normal"/>
    <w:next w:val="Normal"/>
    <w:uiPriority w:val="99"/>
    <w:rPr>
      <w:sz w:val="18"/>
      <w:szCs w:val="18"/>
    </w:rPr>
  </w:style>
  <w:style w:type="paragraph" w:customStyle="1" w:styleId="Style24">
    <w:name w:val="Style24"/>
    <w:basedOn w:val="Normal"/>
    <w:next w:val="Normal"/>
    <w:uiPriority w:val="99"/>
    <w:rPr>
      <w:sz w:val="18"/>
      <w:szCs w:val="18"/>
    </w:rPr>
  </w:style>
  <w:style w:type="paragraph" w:customStyle="1" w:styleId="Style25">
    <w:name w:val="Style25"/>
    <w:basedOn w:val="Normal"/>
    <w:next w:val="Normal"/>
    <w:uiPriority w:val="99"/>
    <w:rPr>
      <w:sz w:val="10"/>
      <w:szCs w:val="10"/>
    </w:rPr>
  </w:style>
  <w:style w:type="paragraph" w:customStyle="1" w:styleId="Style26">
    <w:name w:val="Style26"/>
    <w:basedOn w:val="Normal"/>
    <w:next w:val="Normal"/>
    <w:uiPriority w:val="99"/>
    <w:rPr>
      <w:sz w:val="15"/>
      <w:szCs w:val="15"/>
    </w:rPr>
  </w:style>
  <w:style w:type="paragraph" w:customStyle="1" w:styleId="Style27">
    <w:name w:val="Style27"/>
    <w:basedOn w:val="Normal"/>
    <w:next w:val="Normal"/>
    <w:uiPriority w:val="99"/>
    <w:rPr>
      <w:sz w:val="22"/>
      <w:szCs w:val="22"/>
    </w:rPr>
  </w:style>
  <w:style w:type="paragraph" w:customStyle="1" w:styleId="Style28">
    <w:name w:val="Style28"/>
    <w:basedOn w:val="Normal"/>
    <w:next w:val="Normal"/>
    <w:uiPriority w:val="99"/>
    <w:rPr>
      <w:sz w:val="16"/>
      <w:szCs w:val="16"/>
    </w:rPr>
  </w:style>
  <w:style w:type="paragraph" w:customStyle="1" w:styleId="Style29">
    <w:name w:val="Style29"/>
    <w:basedOn w:val="Normal"/>
    <w:next w:val="Normal"/>
    <w:uiPriority w:val="99"/>
    <w:rPr>
      <w:sz w:val="17"/>
      <w:szCs w:val="17"/>
    </w:rPr>
  </w:style>
  <w:style w:type="character" w:customStyle="1" w:styleId="Heading3Char">
    <w:name w:val="Heading 3 Char"/>
    <w:link w:val="Heading3"/>
    <w:rPr>
      <w:rFonts w:cs="Arial"/>
      <w:b/>
      <w:bCs/>
      <w:sz w:val="34"/>
      <w:szCs w:val="26"/>
      <w:lang w:val="en-US" w:eastAsia="en-US" w:bidi="ar-SA"/>
    </w:rPr>
  </w:style>
  <w:style w:type="character" w:customStyle="1" w:styleId="Heading2Char">
    <w:name w:val="Heading 2 Char"/>
    <w:link w:val="Heading2"/>
    <w:rPr>
      <w:rFonts w:cs="Arial"/>
      <w:b/>
      <w:bCs/>
      <w:iCs/>
      <w:sz w:val="38"/>
      <w:szCs w:val="28"/>
      <w:lang w:val="en-US" w:eastAsia="en-US" w:bidi="ar-SA"/>
    </w:rPr>
  </w:style>
  <w:style w:type="character" w:customStyle="1" w:styleId="Heading1Char">
    <w:name w:val="Heading 1 Char"/>
    <w:link w:val="Heading1"/>
    <w:rPr>
      <w:rFonts w:cs="Arial"/>
      <w:b/>
      <w:bCs/>
      <w:kern w:val="32"/>
      <w:sz w:val="43"/>
      <w:szCs w:val="32"/>
      <w:lang w:val="en-US" w:eastAsia="en-US" w:bidi="ar-SA"/>
    </w:rPr>
  </w:style>
  <w:style w:type="character" w:customStyle="1" w:styleId="Heading4Char">
    <w:name w:val="Heading 4 Char"/>
    <w:link w:val="Heading4"/>
    <w:rsid w:val="00B025AD"/>
    <w:rPr>
      <w:b/>
      <w:bCs/>
      <w:sz w:val="31"/>
      <w:szCs w:val="28"/>
      <w:lang w:val="en-US" w:eastAsia="en-US" w:bidi="ar-SA"/>
    </w:rPr>
  </w:style>
  <w:style w:type="character" w:customStyle="1" w:styleId="Heading5Char">
    <w:name w:val="Heading 5 Char"/>
    <w:link w:val="Heading5"/>
    <w:rsid w:val="00B025AD"/>
    <w:rPr>
      <w:b/>
      <w:bCs/>
      <w:iCs/>
      <w:sz w:val="29"/>
      <w:szCs w:val="26"/>
      <w:lang w:val="en-US" w:eastAsia="en-US" w:bidi="ar-SA"/>
    </w:rPr>
  </w:style>
  <w:style w:type="character" w:customStyle="1" w:styleId="Heading6Char">
    <w:name w:val="Heading 6 Char"/>
    <w:link w:val="Heading6"/>
    <w:rsid w:val="00B025AD"/>
    <w:rPr>
      <w:b/>
      <w:bCs/>
      <w:sz w:val="26"/>
      <w:szCs w:val="22"/>
      <w:lang w:val="en-US" w:eastAsia="en-US" w:bidi="ar-SA"/>
    </w:rPr>
  </w:style>
  <w:style w:type="paragraph" w:styleId="NormalWeb">
    <w:name w:val="Normal (Web)"/>
    <w:basedOn w:val="Normal"/>
    <w:link w:val="NormalWebChar"/>
    <w:rsid w:val="00F4683E"/>
    <w:pPr>
      <w:spacing w:before="100" w:beforeAutospacing="1" w:after="100" w:afterAutospacing="1"/>
    </w:pPr>
  </w:style>
  <w:style w:type="paragraph" w:customStyle="1" w:styleId="Affiliation">
    <w:name w:val="Affiliation"/>
    <w:basedOn w:val="NormalWeb"/>
    <w:rsid w:val="00F4683E"/>
  </w:style>
  <w:style w:type="paragraph" w:customStyle="1" w:styleId="Author">
    <w:name w:val="Author"/>
    <w:basedOn w:val="NormalWeb"/>
    <w:rsid w:val="00F4683E"/>
    <w:rPr>
      <w:sz w:val="26"/>
    </w:rPr>
  </w:style>
  <w:style w:type="paragraph" w:customStyle="1" w:styleId="Editor">
    <w:name w:val="Editor"/>
    <w:basedOn w:val="NormalWeb"/>
    <w:rsid w:val="00F4683E"/>
    <w:rPr>
      <w:sz w:val="26"/>
    </w:rPr>
  </w:style>
  <w:style w:type="paragraph" w:customStyle="1" w:styleId="Edition">
    <w:name w:val="Edition"/>
    <w:basedOn w:val="NormalWeb"/>
    <w:rsid w:val="00F4683E"/>
  </w:style>
  <w:style w:type="paragraph" w:customStyle="1" w:styleId="Dedication">
    <w:name w:val="Dedication"/>
    <w:basedOn w:val="NormalWeb"/>
    <w:rsid w:val="00F4683E"/>
  </w:style>
  <w:style w:type="paragraph" w:customStyle="1" w:styleId="Half-title">
    <w:name w:val="Half-title"/>
    <w:basedOn w:val="NormalWeb"/>
    <w:rsid w:val="00F4683E"/>
  </w:style>
  <w:style w:type="paragraph" w:customStyle="1" w:styleId="Copyright">
    <w:name w:val="Copyright"/>
    <w:basedOn w:val="NormalWeb"/>
    <w:rsid w:val="00F4683E"/>
  </w:style>
  <w:style w:type="paragraph" w:customStyle="1" w:styleId="LOC">
    <w:name w:val="LOC"/>
    <w:basedOn w:val="NormalWeb"/>
    <w:rsid w:val="00F4683E"/>
  </w:style>
  <w:style w:type="paragraph" w:customStyle="1" w:styleId="Publisher">
    <w:name w:val="Publisher"/>
    <w:basedOn w:val="NormalWeb"/>
    <w:rsid w:val="00F4683E"/>
  </w:style>
  <w:style w:type="paragraph" w:styleId="Subtitle">
    <w:name w:val="Subtitle"/>
    <w:basedOn w:val="NormalWeb"/>
    <w:link w:val="SubtitleChar"/>
    <w:qFormat/>
    <w:rsid w:val="00F4683E"/>
    <w:pPr>
      <w:outlineLvl w:val="1"/>
    </w:pPr>
    <w:rPr>
      <w:rFonts w:cs="Arial"/>
    </w:rPr>
  </w:style>
  <w:style w:type="character" w:customStyle="1" w:styleId="SubtitleChar">
    <w:name w:val="Subtitle Char"/>
    <w:link w:val="Subtitle"/>
    <w:rsid w:val="00B025AD"/>
    <w:rPr>
      <w:rFonts w:cs="Arial"/>
      <w:sz w:val="24"/>
      <w:szCs w:val="24"/>
      <w:lang w:val="en-US" w:eastAsia="en-US" w:bidi="ar-SA"/>
    </w:rPr>
  </w:style>
  <w:style w:type="paragraph" w:customStyle="1" w:styleId="TOCpart">
    <w:name w:val="TOCpart"/>
    <w:basedOn w:val="NormalWeb"/>
    <w:rsid w:val="00F4683E"/>
  </w:style>
  <w:style w:type="paragraph" w:customStyle="1" w:styleId="TOCChapter">
    <w:name w:val="TOCChapter"/>
    <w:basedOn w:val="NormalWeb"/>
    <w:rsid w:val="00F4683E"/>
  </w:style>
  <w:style w:type="paragraph" w:customStyle="1" w:styleId="TOCpagenumber">
    <w:name w:val="TOCpagenumber"/>
    <w:basedOn w:val="NormalWeb"/>
    <w:rsid w:val="00F4683E"/>
  </w:style>
  <w:style w:type="paragraph" w:customStyle="1" w:styleId="TOCsubchapter">
    <w:name w:val="TOCsubchapter"/>
    <w:basedOn w:val="NormalWeb"/>
    <w:rsid w:val="00F4683E"/>
  </w:style>
  <w:style w:type="paragraph" w:customStyle="1" w:styleId="TOCsubsubchapter">
    <w:name w:val="TOCsubsubchapter"/>
    <w:basedOn w:val="NormalWeb"/>
    <w:rsid w:val="00F4683E"/>
  </w:style>
  <w:style w:type="paragraph" w:customStyle="1" w:styleId="TOCsubsubsubchapter">
    <w:name w:val="TOCsubsubsubchapter"/>
    <w:basedOn w:val="NormalWeb"/>
    <w:rsid w:val="00F4683E"/>
  </w:style>
  <w:style w:type="paragraph" w:styleId="Caption">
    <w:name w:val="caption"/>
    <w:basedOn w:val="NormalWeb"/>
    <w:qFormat/>
    <w:rsid w:val="00F4683E"/>
    <w:rPr>
      <w:bCs/>
      <w:szCs w:val="20"/>
    </w:rPr>
  </w:style>
  <w:style w:type="paragraph" w:customStyle="1" w:styleId="Blockquote">
    <w:name w:val="Blockquote"/>
    <w:basedOn w:val="NormalWeb"/>
    <w:rsid w:val="00F4683E"/>
    <w:pPr>
      <w:ind w:left="432" w:right="432"/>
    </w:pPr>
  </w:style>
  <w:style w:type="paragraph" w:customStyle="1" w:styleId="Extract">
    <w:name w:val="Extract"/>
    <w:basedOn w:val="NormalWeb"/>
    <w:rsid w:val="00F4683E"/>
    <w:pPr>
      <w:ind w:left="432" w:right="432"/>
    </w:pPr>
  </w:style>
  <w:style w:type="paragraph" w:customStyle="1" w:styleId="Indentblock">
    <w:name w:val="Indentblock"/>
    <w:basedOn w:val="NormalWeb"/>
    <w:rsid w:val="00F4683E"/>
    <w:pPr>
      <w:ind w:left="432"/>
    </w:pPr>
  </w:style>
  <w:style w:type="paragraph" w:customStyle="1" w:styleId="Indenthanginga">
    <w:name w:val="Indenthanginga"/>
    <w:basedOn w:val="NormalWeb"/>
    <w:rsid w:val="00F4683E"/>
    <w:pPr>
      <w:ind w:left="432" w:hanging="432"/>
    </w:pPr>
  </w:style>
  <w:style w:type="paragraph" w:customStyle="1" w:styleId="Indenthanging1">
    <w:name w:val="Indenthanging1"/>
    <w:basedOn w:val="NormalWeb"/>
    <w:rsid w:val="00F4683E"/>
    <w:pPr>
      <w:ind w:left="190" w:hanging="190"/>
    </w:pPr>
  </w:style>
  <w:style w:type="paragraph" w:customStyle="1" w:styleId="Indenthangingb">
    <w:name w:val="Indenthangingb"/>
    <w:basedOn w:val="NormalWeb"/>
    <w:rsid w:val="00F4683E"/>
    <w:pPr>
      <w:ind w:left="432" w:hanging="432"/>
    </w:pPr>
  </w:style>
  <w:style w:type="paragraph" w:customStyle="1" w:styleId="Table">
    <w:name w:val="Table"/>
    <w:basedOn w:val="NormalWeb"/>
    <w:rsid w:val="00F4683E"/>
    <w:pPr>
      <w:spacing w:before="48" w:beforeAutospacing="0" w:after="48" w:afterAutospacing="0"/>
      <w:ind w:left="144"/>
    </w:pPr>
  </w:style>
  <w:style w:type="paragraph" w:customStyle="1" w:styleId="NlTable">
    <w:name w:val="NlTable"/>
    <w:basedOn w:val="Table"/>
    <w:rsid w:val="00F4683E"/>
  </w:style>
  <w:style w:type="paragraph" w:customStyle="1" w:styleId="Note">
    <w:name w:val="Note"/>
    <w:basedOn w:val="Table"/>
    <w:rsid w:val="00F4683E"/>
  </w:style>
  <w:style w:type="paragraph" w:customStyle="1" w:styleId="Sidebar">
    <w:name w:val="Sidebar"/>
    <w:basedOn w:val="Table"/>
    <w:rsid w:val="00F4683E"/>
  </w:style>
  <w:style w:type="paragraph" w:customStyle="1" w:styleId="Indexmain">
    <w:name w:val="Indexmain"/>
    <w:basedOn w:val="NormalWeb"/>
    <w:rsid w:val="00F4683E"/>
    <w:pPr>
      <w:spacing w:before="24" w:beforeAutospacing="0" w:after="24" w:afterAutospacing="0"/>
      <w:ind w:left="360" w:hanging="360"/>
    </w:pPr>
  </w:style>
  <w:style w:type="paragraph" w:customStyle="1" w:styleId="Indexsub">
    <w:name w:val="Indexsub"/>
    <w:basedOn w:val="NormalWeb"/>
    <w:rsid w:val="00F4683E"/>
    <w:pPr>
      <w:spacing w:before="24" w:beforeAutospacing="0" w:after="24" w:afterAutospacing="0"/>
      <w:ind w:left="619" w:hanging="360"/>
    </w:pPr>
  </w:style>
  <w:style w:type="paragraph" w:customStyle="1" w:styleId="Indexsubsub">
    <w:name w:val="Indexsubsub"/>
    <w:basedOn w:val="NormalWeb"/>
    <w:rsid w:val="00F4683E"/>
    <w:pPr>
      <w:spacing w:before="24" w:beforeAutospacing="0" w:after="24" w:afterAutospacing="0"/>
      <w:ind w:left="907" w:hanging="360"/>
    </w:pPr>
  </w:style>
  <w:style w:type="paragraph" w:customStyle="1" w:styleId="Indexsubsubsub">
    <w:name w:val="Indexsubsubsub"/>
    <w:basedOn w:val="NormalWeb"/>
    <w:rsid w:val="00F4683E"/>
    <w:pPr>
      <w:spacing w:before="24" w:beforeAutospacing="0" w:after="24" w:afterAutospacing="0"/>
      <w:ind w:left="1080" w:hanging="360"/>
    </w:pPr>
  </w:style>
  <w:style w:type="character" w:customStyle="1" w:styleId="eBol">
    <w:name w:val="eBol"/>
    <w:rsid w:val="00F4683E"/>
    <w:rPr>
      <w:rFonts w:ascii="Times New Roman" w:hAnsi="Times New Roman"/>
      <w:b/>
    </w:rPr>
  </w:style>
  <w:style w:type="character" w:customStyle="1" w:styleId="eIta">
    <w:name w:val="eIta"/>
    <w:rsid w:val="00F4683E"/>
    <w:rPr>
      <w:rFonts w:ascii="Times New Roman" w:hAnsi="Times New Roman"/>
      <w:i/>
    </w:rPr>
  </w:style>
  <w:style w:type="character" w:customStyle="1" w:styleId="eBolIta">
    <w:name w:val="eBolIta"/>
    <w:rsid w:val="00F4683E"/>
    <w:rPr>
      <w:rFonts w:ascii="Times New Roman" w:hAnsi="Times New Roman"/>
      <w:b/>
      <w:i/>
    </w:rPr>
  </w:style>
  <w:style w:type="paragraph" w:customStyle="1" w:styleId="TOC-Chapter">
    <w:name w:val="TOC-Chapter"/>
    <w:basedOn w:val="NormalWeb"/>
    <w:rsid w:val="00F4683E"/>
    <w:pPr>
      <w:spacing w:before="48" w:beforeAutospacing="0" w:after="48" w:afterAutospacing="0"/>
    </w:pPr>
  </w:style>
  <w:style w:type="paragraph" w:customStyle="1" w:styleId="TOC-pagenumber">
    <w:name w:val="TOC-pagenumber"/>
    <w:basedOn w:val="NormalWeb"/>
    <w:rsid w:val="00F4683E"/>
    <w:pPr>
      <w:spacing w:before="48" w:beforeAutospacing="0" w:after="48" w:afterAutospacing="0"/>
    </w:pPr>
  </w:style>
  <w:style w:type="paragraph" w:customStyle="1" w:styleId="TOC-part">
    <w:name w:val="TOC-part"/>
    <w:basedOn w:val="NormalWeb"/>
    <w:rsid w:val="00F4683E"/>
    <w:pPr>
      <w:spacing w:before="48" w:beforeAutospacing="0" w:after="48" w:afterAutospacing="0"/>
    </w:pPr>
  </w:style>
  <w:style w:type="paragraph" w:customStyle="1" w:styleId="TOC-subchapter">
    <w:name w:val="TOC-subchapter"/>
    <w:basedOn w:val="NormalWeb"/>
    <w:rsid w:val="00F4683E"/>
    <w:pPr>
      <w:spacing w:before="48" w:beforeAutospacing="0" w:after="48" w:afterAutospacing="0"/>
    </w:pPr>
  </w:style>
  <w:style w:type="paragraph" w:customStyle="1" w:styleId="TOC-subsubchapter">
    <w:name w:val="TOC-subsubchapter"/>
    <w:basedOn w:val="NormalWeb"/>
    <w:rsid w:val="00F4683E"/>
    <w:pPr>
      <w:spacing w:before="48" w:beforeAutospacing="0" w:after="48" w:afterAutospacing="0"/>
    </w:pPr>
  </w:style>
  <w:style w:type="paragraph" w:customStyle="1" w:styleId="TOC-subsubsubchapter">
    <w:name w:val="TOC-subsubsubchapter"/>
    <w:basedOn w:val="NormalWeb"/>
    <w:rsid w:val="00F4683E"/>
    <w:pPr>
      <w:spacing w:before="48" w:beforeAutospacing="0" w:after="48" w:afterAutospacing="0"/>
    </w:pPr>
  </w:style>
  <w:style w:type="paragraph" w:customStyle="1" w:styleId="TOC-Chapauthor">
    <w:name w:val="TOC-Chapauthor"/>
    <w:basedOn w:val="NormalWeb"/>
    <w:rsid w:val="00F4683E"/>
    <w:pPr>
      <w:spacing w:before="48" w:beforeAutospacing="0" w:after="48" w:afterAutospacing="0"/>
    </w:pPr>
  </w:style>
  <w:style w:type="paragraph" w:customStyle="1" w:styleId="Table-H">
    <w:name w:val="Table-H"/>
    <w:basedOn w:val="NormalWeb"/>
    <w:rsid w:val="00F4683E"/>
    <w:pPr>
      <w:spacing w:before="48" w:beforeAutospacing="0" w:after="48" w:afterAutospacing="0"/>
      <w:ind w:left="432" w:hanging="288"/>
    </w:pPr>
  </w:style>
  <w:style w:type="paragraph" w:customStyle="1" w:styleId="N1Table-H">
    <w:name w:val="N1Table-H"/>
    <w:basedOn w:val="Table-H"/>
    <w:rsid w:val="00F4683E"/>
  </w:style>
  <w:style w:type="paragraph" w:customStyle="1" w:styleId="NlTable-H">
    <w:name w:val="NlTable-H"/>
    <w:basedOn w:val="Table-H"/>
    <w:rsid w:val="00F4683E"/>
  </w:style>
  <w:style w:type="paragraph" w:customStyle="1" w:styleId="Note-H">
    <w:name w:val="Note-H"/>
    <w:basedOn w:val="Table-H"/>
    <w:rsid w:val="00F4683E"/>
  </w:style>
  <w:style w:type="paragraph" w:customStyle="1" w:styleId="Sidebar-H">
    <w:name w:val="Sidebar-H"/>
    <w:basedOn w:val="Table-H"/>
    <w:rsid w:val="00F4683E"/>
  </w:style>
  <w:style w:type="paragraph" w:customStyle="1" w:styleId="Poem">
    <w:name w:val="Poem"/>
    <w:basedOn w:val="Extract"/>
    <w:qFormat/>
    <w:rsid w:val="00F4683E"/>
    <w:pPr>
      <w:spacing w:before="0" w:beforeAutospacing="0" w:after="0" w:afterAutospacing="0"/>
    </w:pPr>
  </w:style>
  <w:style w:type="paragraph" w:customStyle="1" w:styleId="Poem1">
    <w:name w:val="Poem 1"/>
    <w:basedOn w:val="Poem"/>
    <w:rsid w:val="00F4683E"/>
    <w:pPr>
      <w:ind w:left="864"/>
    </w:pPr>
  </w:style>
  <w:style w:type="paragraph" w:customStyle="1" w:styleId="indent1">
    <w:name w:val="indent1"/>
    <w:basedOn w:val="Normal"/>
    <w:next w:val="NormalWeb"/>
    <w:qFormat/>
    <w:rsid w:val="00F4683E"/>
    <w:pPr>
      <w:ind w:left="288" w:hanging="288"/>
    </w:pPr>
  </w:style>
  <w:style w:type="paragraph" w:styleId="FootnoteText">
    <w:name w:val="footnote text"/>
    <w:basedOn w:val="Normal"/>
    <w:link w:val="FootnoteTextChar"/>
    <w:uiPriority w:val="99"/>
    <w:unhideWhenUsed/>
    <w:rsid w:val="008B43D7"/>
    <w:rPr>
      <w:sz w:val="20"/>
      <w:szCs w:val="20"/>
    </w:rPr>
  </w:style>
  <w:style w:type="character" w:customStyle="1" w:styleId="FootnoteTextChar">
    <w:name w:val="Footnote Text Char"/>
    <w:link w:val="FootnoteText"/>
    <w:uiPriority w:val="99"/>
    <w:rsid w:val="008B43D7"/>
    <w:rPr>
      <w:rFonts w:ascii="Times New Roman" w:hAnsi="Times New Roman"/>
      <w:lang w:val="en-US" w:eastAsia="en-US"/>
    </w:rPr>
  </w:style>
  <w:style w:type="character" w:styleId="FootnoteReference">
    <w:name w:val="footnote reference"/>
    <w:uiPriority w:val="99"/>
    <w:unhideWhenUsed/>
    <w:rsid w:val="008B43D7"/>
    <w:rPr>
      <w:vertAlign w:val="superscript"/>
    </w:rPr>
  </w:style>
  <w:style w:type="paragraph" w:customStyle="1" w:styleId="MTDisplayEquation">
    <w:name w:val="MTDisplayEquation"/>
    <w:basedOn w:val="NormalWeb"/>
    <w:next w:val="Normal"/>
    <w:link w:val="MTDisplayEquationChar"/>
    <w:rsid w:val="00635F36"/>
    <w:pPr>
      <w:tabs>
        <w:tab w:val="center" w:pos="4320"/>
        <w:tab w:val="right" w:pos="8640"/>
      </w:tabs>
    </w:pPr>
  </w:style>
  <w:style w:type="character" w:customStyle="1" w:styleId="NormalWebChar">
    <w:name w:val="Normal (Web) Char"/>
    <w:link w:val="NormalWeb"/>
    <w:rsid w:val="00635F36"/>
    <w:rPr>
      <w:sz w:val="24"/>
      <w:szCs w:val="24"/>
      <w:lang w:val="en-US" w:eastAsia="en-US" w:bidi="ar-SA"/>
    </w:rPr>
  </w:style>
  <w:style w:type="character" w:customStyle="1" w:styleId="MTDisplayEquationChar">
    <w:name w:val="MTDisplayEquation Char"/>
    <w:basedOn w:val="NormalWebChar"/>
    <w:link w:val="MTDisplayEquation"/>
    <w:rsid w:val="00635F36"/>
    <w:rPr>
      <w:sz w:val="24"/>
      <w:szCs w:val="24"/>
      <w:lang w:val="en-US" w:eastAsia="en-US" w:bidi="ar-SA"/>
    </w:rPr>
  </w:style>
  <w:style w:type="paragraph" w:styleId="Header">
    <w:name w:val="header"/>
    <w:basedOn w:val="Normal"/>
    <w:link w:val="HeaderChar"/>
    <w:uiPriority w:val="99"/>
    <w:unhideWhenUsed/>
    <w:rsid w:val="00DA3E0C"/>
    <w:pPr>
      <w:tabs>
        <w:tab w:val="center" w:pos="4320"/>
        <w:tab w:val="right" w:pos="8640"/>
      </w:tabs>
    </w:pPr>
  </w:style>
  <w:style w:type="character" w:customStyle="1" w:styleId="HeaderChar">
    <w:name w:val="Header Char"/>
    <w:link w:val="Header"/>
    <w:uiPriority w:val="99"/>
    <w:rsid w:val="00DA3E0C"/>
    <w:rPr>
      <w:rFonts w:ascii="Times New Roman" w:hAnsi="Times New Roman"/>
      <w:sz w:val="24"/>
      <w:szCs w:val="24"/>
    </w:rPr>
  </w:style>
  <w:style w:type="paragraph" w:styleId="Footer">
    <w:name w:val="footer"/>
    <w:basedOn w:val="Normal"/>
    <w:link w:val="FooterChar"/>
    <w:uiPriority w:val="99"/>
    <w:unhideWhenUsed/>
    <w:rsid w:val="00DA3E0C"/>
    <w:pPr>
      <w:tabs>
        <w:tab w:val="center" w:pos="4320"/>
        <w:tab w:val="right" w:pos="8640"/>
      </w:tabs>
    </w:pPr>
  </w:style>
  <w:style w:type="character" w:customStyle="1" w:styleId="FooterChar">
    <w:name w:val="Footer Char"/>
    <w:link w:val="Footer"/>
    <w:uiPriority w:val="99"/>
    <w:rsid w:val="00DA3E0C"/>
    <w:rPr>
      <w:rFonts w:ascii="Times New Roman" w:hAnsi="Times New Roman"/>
      <w:sz w:val="24"/>
      <w:szCs w:val="24"/>
    </w:rPr>
  </w:style>
  <w:style w:type="character" w:styleId="PageNumber">
    <w:name w:val="page number"/>
    <w:uiPriority w:val="99"/>
    <w:semiHidden/>
    <w:unhideWhenUsed/>
    <w:rsid w:val="00DE506E"/>
  </w:style>
  <w:style w:type="paragraph" w:customStyle="1" w:styleId="EndNoteBibliographyTitle">
    <w:name w:val="EndNote Bibliography Title"/>
    <w:basedOn w:val="Normal"/>
    <w:rsid w:val="00E617AD"/>
    <w:pPr>
      <w:jc w:val="center"/>
    </w:pPr>
  </w:style>
  <w:style w:type="paragraph" w:customStyle="1" w:styleId="EndNoteBibliography">
    <w:name w:val="EndNote Bibliography"/>
    <w:basedOn w:val="Normal"/>
    <w:rsid w:val="00E617AD"/>
  </w:style>
  <w:style w:type="character" w:styleId="CommentReference">
    <w:name w:val="annotation reference"/>
    <w:uiPriority w:val="99"/>
    <w:semiHidden/>
    <w:unhideWhenUsed/>
    <w:rsid w:val="00E8011F"/>
    <w:rPr>
      <w:sz w:val="18"/>
      <w:szCs w:val="18"/>
    </w:rPr>
  </w:style>
  <w:style w:type="paragraph" w:styleId="CommentText">
    <w:name w:val="annotation text"/>
    <w:basedOn w:val="Normal"/>
    <w:link w:val="CommentTextChar"/>
    <w:uiPriority w:val="99"/>
    <w:semiHidden/>
    <w:unhideWhenUsed/>
    <w:rsid w:val="00E8011F"/>
  </w:style>
  <w:style w:type="character" w:customStyle="1" w:styleId="CommentTextChar">
    <w:name w:val="Comment Text Char"/>
    <w:link w:val="CommentText"/>
    <w:uiPriority w:val="99"/>
    <w:semiHidden/>
    <w:rsid w:val="00E8011F"/>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8011F"/>
    <w:rPr>
      <w:b/>
      <w:bCs/>
      <w:sz w:val="20"/>
      <w:szCs w:val="20"/>
    </w:rPr>
  </w:style>
  <w:style w:type="character" w:customStyle="1" w:styleId="CommentSubjectChar">
    <w:name w:val="Comment Subject Char"/>
    <w:link w:val="CommentSubject"/>
    <w:uiPriority w:val="99"/>
    <w:semiHidden/>
    <w:rsid w:val="00E8011F"/>
    <w:rPr>
      <w:rFonts w:ascii="Times New Roman" w:hAnsi="Times New Roman"/>
      <w:b/>
      <w:bCs/>
      <w:sz w:val="24"/>
      <w:szCs w:val="24"/>
    </w:rPr>
  </w:style>
  <w:style w:type="paragraph" w:styleId="BalloonText">
    <w:name w:val="Balloon Text"/>
    <w:basedOn w:val="Normal"/>
    <w:link w:val="BalloonTextChar"/>
    <w:uiPriority w:val="99"/>
    <w:semiHidden/>
    <w:unhideWhenUsed/>
    <w:rsid w:val="00E8011F"/>
    <w:rPr>
      <w:rFonts w:ascii="Lucida Grande" w:hAnsi="Lucida Grande" w:cs="Lucida Grande"/>
      <w:sz w:val="18"/>
      <w:szCs w:val="18"/>
    </w:rPr>
  </w:style>
  <w:style w:type="character" w:customStyle="1" w:styleId="BalloonTextChar">
    <w:name w:val="Balloon Text Char"/>
    <w:link w:val="BalloonText"/>
    <w:uiPriority w:val="99"/>
    <w:semiHidden/>
    <w:rsid w:val="00E8011F"/>
    <w:rPr>
      <w:rFonts w:ascii="Lucida Grande" w:hAnsi="Lucida Grande" w:cs="Lucida Grande"/>
      <w:sz w:val="18"/>
      <w:szCs w:val="18"/>
    </w:rPr>
  </w:style>
  <w:style w:type="character" w:styleId="Hyperlink">
    <w:name w:val="Hyperlink"/>
    <w:basedOn w:val="DefaultParagraphFont"/>
    <w:uiPriority w:val="99"/>
    <w:unhideWhenUsed/>
    <w:rsid w:val="00E944BC"/>
    <w:rPr>
      <w:color w:val="0563C1" w:themeColor="hyperlink"/>
      <w:u w:val="single"/>
    </w:rPr>
  </w:style>
  <w:style w:type="character" w:customStyle="1" w:styleId="UnresolvedMention1">
    <w:name w:val="Unresolved Mention1"/>
    <w:basedOn w:val="DefaultParagraphFont"/>
    <w:uiPriority w:val="99"/>
    <w:rsid w:val="00E944BC"/>
    <w:rPr>
      <w:color w:val="808080"/>
      <w:shd w:val="clear" w:color="auto" w:fill="E6E6E6"/>
    </w:rPr>
  </w:style>
  <w:style w:type="character" w:styleId="FollowedHyperlink">
    <w:name w:val="FollowedHyperlink"/>
    <w:basedOn w:val="DefaultParagraphFont"/>
    <w:uiPriority w:val="99"/>
    <w:semiHidden/>
    <w:unhideWhenUsed/>
    <w:rsid w:val="007E1445"/>
    <w:rPr>
      <w:color w:val="954F72" w:themeColor="followedHyperlink"/>
      <w:u w:val="single"/>
    </w:rPr>
  </w:style>
  <w:style w:type="character" w:customStyle="1" w:styleId="apple-converted-space">
    <w:name w:val="apple-converted-space"/>
    <w:basedOn w:val="DefaultParagraphFont"/>
    <w:rsid w:val="00756526"/>
  </w:style>
  <w:style w:type="paragraph" w:styleId="Revision">
    <w:name w:val="Revision"/>
    <w:hidden/>
    <w:uiPriority w:val="71"/>
    <w:rsid w:val="008D16E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260297">
      <w:bodyDiv w:val="1"/>
      <w:marLeft w:val="0"/>
      <w:marRight w:val="0"/>
      <w:marTop w:val="0"/>
      <w:marBottom w:val="0"/>
      <w:divBdr>
        <w:top w:val="none" w:sz="0" w:space="0" w:color="auto"/>
        <w:left w:val="none" w:sz="0" w:space="0" w:color="auto"/>
        <w:bottom w:val="none" w:sz="0" w:space="0" w:color="auto"/>
        <w:right w:val="none" w:sz="0" w:space="0" w:color="auto"/>
      </w:divBdr>
    </w:div>
    <w:div w:id="536508978">
      <w:bodyDiv w:val="1"/>
      <w:marLeft w:val="0"/>
      <w:marRight w:val="0"/>
      <w:marTop w:val="0"/>
      <w:marBottom w:val="0"/>
      <w:divBdr>
        <w:top w:val="none" w:sz="0" w:space="0" w:color="auto"/>
        <w:left w:val="none" w:sz="0" w:space="0" w:color="auto"/>
        <w:bottom w:val="none" w:sz="0" w:space="0" w:color="auto"/>
        <w:right w:val="none" w:sz="0" w:space="0" w:color="auto"/>
      </w:divBdr>
    </w:div>
    <w:div w:id="679621872">
      <w:bodyDiv w:val="1"/>
      <w:marLeft w:val="0"/>
      <w:marRight w:val="0"/>
      <w:marTop w:val="0"/>
      <w:marBottom w:val="0"/>
      <w:divBdr>
        <w:top w:val="none" w:sz="0" w:space="0" w:color="auto"/>
        <w:left w:val="none" w:sz="0" w:space="0" w:color="auto"/>
        <w:bottom w:val="none" w:sz="0" w:space="0" w:color="auto"/>
        <w:right w:val="none" w:sz="0" w:space="0" w:color="auto"/>
      </w:divBdr>
    </w:div>
    <w:div w:id="969750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inis\AppData\Roaming\Microsoft\Templates\WordTemplateforMcGrawH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C:\Users\rubinis\AppData\Roaming\Microsoft\Templates\WordTemplateforMcGrawHill.dot</Template>
  <TotalTime>2</TotalTime>
  <Pages>16</Pages>
  <Words>9824</Words>
  <Characters>56001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CUUS430-10_p206-219</vt:lpstr>
    </vt:vector>
  </TitlesOfParts>
  <Company>I</Company>
  <LinksUpToDate>false</LinksUpToDate>
  <CharactersWithSpaces>65694</CharactersWithSpaces>
  <SharedDoc>false</SharedDoc>
  <HLinks>
    <vt:vector size="6" baseType="variant">
      <vt:variant>
        <vt:i4>5046342</vt:i4>
      </vt:variant>
      <vt:variant>
        <vt:i4>-1</vt:i4>
      </vt:variant>
      <vt:variant>
        <vt:i4>1070</vt:i4>
      </vt:variant>
      <vt:variant>
        <vt:i4>1</vt:i4>
      </vt:variant>
      <vt:variant>
        <vt:lpwstr>Screenshot 2017-10-24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CUUS430-10_p206-219</dc:title>
  <dc:subject/>
  <dc:creator>s113</dc:creator>
  <cp:keywords/>
  <cp:lastModifiedBy>Michael Kohn</cp:lastModifiedBy>
  <cp:revision>3</cp:revision>
  <cp:lastPrinted>2018-08-10T19:17:00Z</cp:lastPrinted>
  <dcterms:created xsi:type="dcterms:W3CDTF">2018-11-19T13:29:00Z</dcterms:created>
  <dcterms:modified xsi:type="dcterms:W3CDTF">2018-11-19T13:31:00Z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