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3AE0FD" w14:textId="56842DB0" w:rsidR="00B741A4" w:rsidRPr="00EF005D" w:rsidRDefault="00EF7C64" w:rsidP="00B741A4">
      <w:pPr>
        <w:pStyle w:val="ListParagraph"/>
        <w:numPr>
          <w:ilvl w:val="0"/>
          <w:numId w:val="4"/>
        </w:numPr>
        <w:spacing w:after="0" w:line="240" w:lineRule="auto"/>
        <w:rPr>
          <w:rFonts w:ascii="Arial" w:hAnsi="Arial" w:cs="Arial"/>
          <w:sz w:val="24"/>
          <w:szCs w:val="24"/>
        </w:rPr>
      </w:pPr>
      <w:r>
        <w:rPr>
          <w:rFonts w:ascii="Arial" w:hAnsi="Arial" w:cs="Arial"/>
          <w:b/>
          <w:sz w:val="24"/>
          <w:szCs w:val="24"/>
        </w:rPr>
        <w:t>Exercise</w:t>
      </w:r>
      <w:r w:rsidR="00B741A4" w:rsidRPr="00EF005D">
        <w:rPr>
          <w:rFonts w:ascii="Arial" w:hAnsi="Arial" w:cs="Arial"/>
          <w:b/>
          <w:sz w:val="24"/>
          <w:szCs w:val="24"/>
        </w:rPr>
        <w:t xml:space="preserve"> Objectives</w:t>
      </w:r>
    </w:p>
    <w:p w14:paraId="22D62600" w14:textId="77777777" w:rsidR="00B741A4" w:rsidRPr="00EF005D" w:rsidRDefault="00B741A4" w:rsidP="00B741A4">
      <w:pPr>
        <w:ind w:left="360"/>
        <w:rPr>
          <w:rFonts w:ascii="Arial" w:hAnsi="Arial" w:cs="Arial"/>
          <w:sz w:val="24"/>
          <w:szCs w:val="24"/>
        </w:rPr>
      </w:pPr>
    </w:p>
    <w:p w14:paraId="596AFDBB" w14:textId="77777777" w:rsidR="00EA33CB" w:rsidRDefault="00B741A4" w:rsidP="00B741A4">
      <w:pPr>
        <w:rPr>
          <w:rFonts w:ascii="Arial" w:hAnsi="Arial" w:cs="Arial"/>
          <w:sz w:val="24"/>
          <w:szCs w:val="24"/>
        </w:rPr>
      </w:pPr>
      <w:r w:rsidRPr="00EF005D">
        <w:rPr>
          <w:rFonts w:ascii="Arial" w:hAnsi="Arial" w:cs="Arial"/>
          <w:sz w:val="24"/>
          <w:szCs w:val="24"/>
        </w:rPr>
        <w:t xml:space="preserve">To </w:t>
      </w:r>
      <w:r w:rsidR="008F4E38" w:rsidRPr="008F4E38">
        <w:rPr>
          <w:rFonts w:ascii="Arial" w:hAnsi="Arial" w:cs="Arial"/>
          <w:sz w:val="24"/>
          <w:szCs w:val="24"/>
        </w:rPr>
        <w:t>highlight important concepts from the lecture in week #</w:t>
      </w:r>
      <w:r w:rsidR="00EA33CB">
        <w:rPr>
          <w:rFonts w:ascii="Arial" w:hAnsi="Arial" w:cs="Arial"/>
          <w:sz w:val="24"/>
          <w:szCs w:val="24"/>
        </w:rPr>
        <w:t>8 “Field research methods”</w:t>
      </w:r>
      <w:r w:rsidR="008F4E38" w:rsidRPr="008F4E38">
        <w:rPr>
          <w:rFonts w:ascii="Arial" w:hAnsi="Arial" w:cs="Arial"/>
          <w:sz w:val="24"/>
          <w:szCs w:val="24"/>
        </w:rPr>
        <w:t xml:space="preserve"> and to practice application of these c</w:t>
      </w:r>
      <w:r w:rsidR="00EA33CB">
        <w:rPr>
          <w:rFonts w:ascii="Arial" w:hAnsi="Arial" w:cs="Arial"/>
          <w:sz w:val="24"/>
          <w:szCs w:val="24"/>
        </w:rPr>
        <w:t>oncepts in real-life examples.</w:t>
      </w:r>
    </w:p>
    <w:p w14:paraId="20DBC759" w14:textId="4384D1A2" w:rsidR="00B741A4" w:rsidRPr="00EF005D" w:rsidRDefault="00B741A4" w:rsidP="00B741A4">
      <w:pPr>
        <w:rPr>
          <w:rFonts w:ascii="Arial" w:hAnsi="Arial" w:cs="Arial"/>
          <w:sz w:val="24"/>
          <w:szCs w:val="24"/>
        </w:rPr>
      </w:pPr>
      <w:r w:rsidRPr="00EF005D">
        <w:rPr>
          <w:rFonts w:ascii="Arial" w:hAnsi="Arial" w:cs="Arial"/>
          <w:sz w:val="24"/>
          <w:szCs w:val="24"/>
        </w:rPr>
        <w:t xml:space="preserve">  </w:t>
      </w:r>
    </w:p>
    <w:p w14:paraId="2A7B546F" w14:textId="20F8CB66" w:rsidR="00B741A4" w:rsidRDefault="00EF7C64" w:rsidP="00B741A4">
      <w:pPr>
        <w:pStyle w:val="ListParagraph"/>
        <w:numPr>
          <w:ilvl w:val="0"/>
          <w:numId w:val="4"/>
        </w:numPr>
        <w:spacing w:after="0" w:line="240" w:lineRule="auto"/>
        <w:rPr>
          <w:rFonts w:ascii="Arial" w:hAnsi="Arial" w:cs="Arial"/>
          <w:b/>
          <w:sz w:val="24"/>
          <w:szCs w:val="24"/>
        </w:rPr>
      </w:pPr>
      <w:r>
        <w:rPr>
          <w:rFonts w:ascii="Arial" w:hAnsi="Arial" w:cs="Arial"/>
          <w:b/>
          <w:sz w:val="24"/>
          <w:szCs w:val="24"/>
        </w:rPr>
        <w:t>Exercise Questions</w:t>
      </w:r>
    </w:p>
    <w:p w14:paraId="039FCA98" w14:textId="384866B1" w:rsidR="000C2C2E" w:rsidRPr="00CA4A4E" w:rsidRDefault="000C2C2E" w:rsidP="000C2C2E">
      <w:pPr>
        <w:pStyle w:val="ListParagraph"/>
        <w:spacing w:after="0" w:line="240" w:lineRule="auto"/>
        <w:ind w:left="360"/>
        <w:rPr>
          <w:rFonts w:ascii="Arial" w:hAnsi="Arial" w:cs="Arial"/>
          <w:b/>
          <w:sz w:val="24"/>
          <w:szCs w:val="24"/>
        </w:rPr>
      </w:pPr>
    </w:p>
    <w:p w14:paraId="43F6A1F9" w14:textId="70E7E7CA" w:rsidR="005F4496" w:rsidRPr="00CA4A4E" w:rsidRDefault="005F4496" w:rsidP="00EA33CB">
      <w:pPr>
        <w:pStyle w:val="Footer"/>
        <w:numPr>
          <w:ilvl w:val="0"/>
          <w:numId w:val="11"/>
        </w:numPr>
        <w:rPr>
          <w:rFonts w:ascii="Arial" w:hAnsi="Arial" w:cs="Arial"/>
          <w:b/>
          <w:sz w:val="24"/>
          <w:szCs w:val="24"/>
        </w:rPr>
      </w:pPr>
      <w:r w:rsidRPr="00CA4A4E">
        <w:rPr>
          <w:rFonts w:ascii="Arial" w:hAnsi="Arial" w:cs="Arial"/>
          <w:sz w:val="24"/>
          <w:szCs w:val="24"/>
        </w:rPr>
        <w:t xml:space="preserve">Explain why a study protocol and/or manual of operation are important for study validity. </w:t>
      </w:r>
    </w:p>
    <w:p w14:paraId="45882563" w14:textId="284739E3" w:rsidR="005F4496" w:rsidRPr="00CA4A4E" w:rsidRDefault="005F4496" w:rsidP="005F4496">
      <w:pPr>
        <w:pStyle w:val="Footer"/>
        <w:rPr>
          <w:rFonts w:ascii="Arial" w:hAnsi="Arial" w:cs="Arial"/>
          <w:b/>
          <w:sz w:val="24"/>
          <w:szCs w:val="24"/>
        </w:rPr>
      </w:pPr>
    </w:p>
    <w:p w14:paraId="4C986213" w14:textId="5168FE75" w:rsidR="00EA33CB" w:rsidRPr="00CA4A4E" w:rsidRDefault="00EA33CB" w:rsidP="00EA33CB">
      <w:pPr>
        <w:pStyle w:val="Footer"/>
        <w:numPr>
          <w:ilvl w:val="0"/>
          <w:numId w:val="11"/>
        </w:numPr>
        <w:rPr>
          <w:rFonts w:ascii="Arial" w:hAnsi="Arial" w:cs="Arial"/>
          <w:b/>
          <w:sz w:val="24"/>
          <w:szCs w:val="24"/>
        </w:rPr>
      </w:pPr>
      <w:r w:rsidRPr="00CA4A4E">
        <w:rPr>
          <w:rFonts w:ascii="Arial" w:hAnsi="Arial" w:cs="Arial"/>
          <w:sz w:val="24"/>
          <w:szCs w:val="24"/>
        </w:rPr>
        <w:t>Explain the difference between a study protocol and a manual of operation.</w:t>
      </w:r>
    </w:p>
    <w:p w14:paraId="43F9ED73" w14:textId="2AF7AA6D" w:rsidR="005F4496" w:rsidRPr="00CA4A4E" w:rsidRDefault="005F4496" w:rsidP="005F4496">
      <w:pPr>
        <w:pStyle w:val="BalloonText"/>
        <w:rPr>
          <w:rFonts w:ascii="Arial" w:hAnsi="Arial" w:cs="Arial"/>
          <w:color w:val="FF0000"/>
          <w:sz w:val="24"/>
          <w:szCs w:val="24"/>
        </w:rPr>
      </w:pPr>
    </w:p>
    <w:p w14:paraId="3DAF0EC6" w14:textId="5DAECD1F" w:rsidR="001E0647" w:rsidRPr="00CA4A4E" w:rsidRDefault="001E0647" w:rsidP="00F74C04">
      <w:pPr>
        <w:pStyle w:val="Footer"/>
        <w:numPr>
          <w:ilvl w:val="0"/>
          <w:numId w:val="11"/>
        </w:numPr>
        <w:rPr>
          <w:rFonts w:ascii="Arial" w:hAnsi="Arial" w:cs="Arial"/>
          <w:sz w:val="24"/>
          <w:szCs w:val="24"/>
        </w:rPr>
      </w:pPr>
      <w:r w:rsidRPr="00CA4A4E">
        <w:rPr>
          <w:rFonts w:ascii="Arial" w:hAnsi="Arial" w:cs="Arial"/>
          <w:sz w:val="24"/>
          <w:szCs w:val="24"/>
        </w:rPr>
        <w:t xml:space="preserve">Define quality assurance and quality control, and next to each activity shown in the table </w:t>
      </w:r>
      <w:r w:rsidR="00E47411">
        <w:rPr>
          <w:rFonts w:ascii="Arial" w:hAnsi="Arial" w:cs="Arial"/>
          <w:sz w:val="24"/>
          <w:szCs w:val="24"/>
        </w:rPr>
        <w:t xml:space="preserve">below </w:t>
      </w:r>
      <w:r w:rsidRPr="00CA4A4E">
        <w:rPr>
          <w:rFonts w:ascii="Arial" w:hAnsi="Arial" w:cs="Arial"/>
          <w:sz w:val="24"/>
          <w:szCs w:val="24"/>
        </w:rPr>
        <w:t xml:space="preserve">check whether it </w:t>
      </w:r>
      <w:proofErr w:type="gramStart"/>
      <w:r w:rsidRPr="00CA4A4E">
        <w:rPr>
          <w:rFonts w:ascii="Arial" w:hAnsi="Arial" w:cs="Arial"/>
          <w:sz w:val="24"/>
          <w:szCs w:val="24"/>
        </w:rPr>
        <w:t>should be regarded</w:t>
      </w:r>
      <w:proofErr w:type="gramEnd"/>
      <w:r w:rsidRPr="00CA4A4E">
        <w:rPr>
          <w:rFonts w:ascii="Arial" w:hAnsi="Arial" w:cs="Arial"/>
          <w:sz w:val="24"/>
          <w:szCs w:val="24"/>
        </w:rPr>
        <w:t xml:space="preserve"> as a quality assurance or a quality control activity.</w:t>
      </w:r>
    </w:p>
    <w:p w14:paraId="43F54DE5" w14:textId="180EB1CD" w:rsidR="001E0647" w:rsidRPr="00CA4A4E" w:rsidRDefault="001E0647" w:rsidP="001E0647">
      <w:pPr>
        <w:pStyle w:val="Footer"/>
        <w:rPr>
          <w:rFonts w:ascii="Arial" w:hAnsi="Arial" w:cs="Arial"/>
          <w:sz w:val="24"/>
          <w:szCs w:val="24"/>
        </w:rPr>
      </w:pPr>
    </w:p>
    <w:tbl>
      <w:tblPr>
        <w:tblStyle w:val="TableGrid"/>
        <w:tblW w:w="9357" w:type="dxa"/>
        <w:tblLook w:val="04A0" w:firstRow="1" w:lastRow="0" w:firstColumn="1" w:lastColumn="0" w:noHBand="0" w:noVBand="1"/>
      </w:tblPr>
      <w:tblGrid>
        <w:gridCol w:w="6790"/>
        <w:gridCol w:w="1444"/>
        <w:gridCol w:w="1123"/>
      </w:tblGrid>
      <w:tr w:rsidR="005C0D6C" w:rsidRPr="00CA4A4E" w14:paraId="31CDEA02" w14:textId="77777777" w:rsidTr="009E7DF9">
        <w:tc>
          <w:tcPr>
            <w:tcW w:w="7015" w:type="dxa"/>
          </w:tcPr>
          <w:p w14:paraId="1D523C1D" w14:textId="12CC75E1" w:rsidR="005C0D6C" w:rsidRPr="00BF5015" w:rsidRDefault="005C0D6C" w:rsidP="001E0647">
            <w:pPr>
              <w:pStyle w:val="Footer"/>
              <w:rPr>
                <w:rFonts w:ascii="Arial" w:hAnsi="Arial" w:cs="Arial"/>
                <w:b/>
                <w:sz w:val="24"/>
                <w:szCs w:val="24"/>
              </w:rPr>
            </w:pPr>
            <w:r w:rsidRPr="00BF5015">
              <w:rPr>
                <w:rFonts w:ascii="Arial" w:hAnsi="Arial" w:cs="Arial"/>
                <w:b/>
                <w:sz w:val="24"/>
                <w:szCs w:val="24"/>
              </w:rPr>
              <w:t>Activity</w:t>
            </w:r>
          </w:p>
        </w:tc>
        <w:tc>
          <w:tcPr>
            <w:tcW w:w="1216" w:type="dxa"/>
          </w:tcPr>
          <w:p w14:paraId="76D8DB01" w14:textId="30CAA760" w:rsidR="005C0D6C" w:rsidRPr="00BF5015" w:rsidRDefault="005C0D6C" w:rsidP="001E0647">
            <w:pPr>
              <w:pStyle w:val="Footer"/>
              <w:rPr>
                <w:rFonts w:ascii="Arial" w:hAnsi="Arial" w:cs="Arial"/>
                <w:b/>
                <w:sz w:val="24"/>
                <w:szCs w:val="24"/>
              </w:rPr>
            </w:pPr>
            <w:r w:rsidRPr="00BF5015">
              <w:rPr>
                <w:rFonts w:ascii="Arial" w:hAnsi="Arial" w:cs="Arial"/>
                <w:b/>
                <w:sz w:val="24"/>
                <w:szCs w:val="24"/>
              </w:rPr>
              <w:t>Quality Assurance</w:t>
            </w:r>
          </w:p>
        </w:tc>
        <w:tc>
          <w:tcPr>
            <w:tcW w:w="1126" w:type="dxa"/>
          </w:tcPr>
          <w:p w14:paraId="7856B796" w14:textId="5D9779C1" w:rsidR="005C0D6C" w:rsidRPr="00BF5015" w:rsidRDefault="005C0D6C" w:rsidP="001E0647">
            <w:pPr>
              <w:pStyle w:val="Footer"/>
              <w:rPr>
                <w:rFonts w:ascii="Arial" w:hAnsi="Arial" w:cs="Arial"/>
                <w:b/>
                <w:sz w:val="24"/>
                <w:szCs w:val="24"/>
              </w:rPr>
            </w:pPr>
            <w:r w:rsidRPr="00BF5015">
              <w:rPr>
                <w:rFonts w:ascii="Arial" w:hAnsi="Arial" w:cs="Arial"/>
                <w:b/>
                <w:sz w:val="24"/>
                <w:szCs w:val="24"/>
              </w:rPr>
              <w:t>Quality Control</w:t>
            </w:r>
          </w:p>
        </w:tc>
      </w:tr>
      <w:tr w:rsidR="005C0D6C" w:rsidRPr="00CA4A4E" w14:paraId="5FDD95A8" w14:textId="77777777" w:rsidTr="009E7DF9">
        <w:tc>
          <w:tcPr>
            <w:tcW w:w="7015" w:type="dxa"/>
          </w:tcPr>
          <w:p w14:paraId="43971396" w14:textId="1217DC64" w:rsidR="005C0D6C" w:rsidRPr="00CA4A4E" w:rsidRDefault="005C0D6C" w:rsidP="005C0D6C">
            <w:pPr>
              <w:pStyle w:val="Footer"/>
              <w:numPr>
                <w:ilvl w:val="0"/>
                <w:numId w:val="12"/>
              </w:numPr>
              <w:rPr>
                <w:rFonts w:ascii="Arial" w:hAnsi="Arial" w:cs="Arial"/>
                <w:sz w:val="24"/>
                <w:szCs w:val="24"/>
              </w:rPr>
            </w:pPr>
            <w:r w:rsidRPr="00CA4A4E">
              <w:rPr>
                <w:rFonts w:ascii="Arial" w:hAnsi="Arial" w:cs="Arial"/>
                <w:sz w:val="24"/>
                <w:szCs w:val="24"/>
              </w:rPr>
              <w:t>Preparation of manuals of operation</w:t>
            </w:r>
          </w:p>
        </w:tc>
        <w:tc>
          <w:tcPr>
            <w:tcW w:w="1216" w:type="dxa"/>
          </w:tcPr>
          <w:p w14:paraId="15D73890" w14:textId="5FC1CCFE" w:rsidR="005C0D6C" w:rsidRPr="00CA4A4E" w:rsidRDefault="005C0D6C" w:rsidP="00515D05">
            <w:pPr>
              <w:pStyle w:val="Footer"/>
              <w:jc w:val="center"/>
              <w:rPr>
                <w:rFonts w:ascii="Arial" w:hAnsi="Arial" w:cs="Arial"/>
                <w:color w:val="FF0000"/>
                <w:sz w:val="24"/>
                <w:szCs w:val="24"/>
              </w:rPr>
            </w:pPr>
          </w:p>
        </w:tc>
        <w:tc>
          <w:tcPr>
            <w:tcW w:w="1126" w:type="dxa"/>
          </w:tcPr>
          <w:p w14:paraId="7CA1A255" w14:textId="77777777" w:rsidR="005C0D6C" w:rsidRPr="00CA4A4E" w:rsidRDefault="005C0D6C" w:rsidP="00515D05">
            <w:pPr>
              <w:pStyle w:val="Footer"/>
              <w:jc w:val="center"/>
              <w:rPr>
                <w:rFonts w:ascii="Arial" w:hAnsi="Arial" w:cs="Arial"/>
                <w:color w:val="FF0000"/>
                <w:sz w:val="24"/>
                <w:szCs w:val="24"/>
              </w:rPr>
            </w:pPr>
          </w:p>
        </w:tc>
      </w:tr>
      <w:tr w:rsidR="00515D05" w:rsidRPr="00CA4A4E" w14:paraId="73361DD4" w14:textId="77777777" w:rsidTr="009E7DF9">
        <w:tc>
          <w:tcPr>
            <w:tcW w:w="7015" w:type="dxa"/>
          </w:tcPr>
          <w:p w14:paraId="52C334C2" w14:textId="05709CCF" w:rsidR="00515D05" w:rsidRPr="00CA4A4E" w:rsidRDefault="00515D05" w:rsidP="00515D05">
            <w:pPr>
              <w:pStyle w:val="Footer"/>
              <w:numPr>
                <w:ilvl w:val="0"/>
                <w:numId w:val="12"/>
              </w:numPr>
              <w:rPr>
                <w:rFonts w:ascii="Arial" w:hAnsi="Arial" w:cs="Arial"/>
                <w:sz w:val="24"/>
                <w:szCs w:val="24"/>
              </w:rPr>
            </w:pPr>
            <w:r w:rsidRPr="00CA4A4E">
              <w:rPr>
                <w:rFonts w:ascii="Arial" w:hAnsi="Arial" w:cs="Arial"/>
                <w:sz w:val="24"/>
                <w:szCs w:val="24"/>
              </w:rPr>
              <w:t>Over-the-shoulder observation of interviews during the study’s data collection phase</w:t>
            </w:r>
          </w:p>
        </w:tc>
        <w:tc>
          <w:tcPr>
            <w:tcW w:w="1216" w:type="dxa"/>
          </w:tcPr>
          <w:p w14:paraId="25CBD171" w14:textId="77777777" w:rsidR="00515D05" w:rsidRPr="00CA4A4E" w:rsidRDefault="00515D05" w:rsidP="00515D05">
            <w:pPr>
              <w:pStyle w:val="Footer"/>
              <w:jc w:val="center"/>
              <w:rPr>
                <w:rFonts w:ascii="Arial" w:hAnsi="Arial" w:cs="Arial"/>
                <w:color w:val="FF0000"/>
                <w:sz w:val="24"/>
                <w:szCs w:val="24"/>
              </w:rPr>
            </w:pPr>
          </w:p>
        </w:tc>
        <w:tc>
          <w:tcPr>
            <w:tcW w:w="1126" w:type="dxa"/>
          </w:tcPr>
          <w:p w14:paraId="172EA329" w14:textId="28E22489" w:rsidR="00515D05" w:rsidRPr="00CA4A4E" w:rsidRDefault="00515D05" w:rsidP="00515D05">
            <w:pPr>
              <w:pStyle w:val="Footer"/>
              <w:jc w:val="center"/>
              <w:rPr>
                <w:rFonts w:ascii="Arial" w:hAnsi="Arial" w:cs="Arial"/>
                <w:color w:val="FF0000"/>
                <w:sz w:val="24"/>
                <w:szCs w:val="24"/>
              </w:rPr>
            </w:pPr>
          </w:p>
        </w:tc>
      </w:tr>
      <w:tr w:rsidR="00515D05" w:rsidRPr="00CA4A4E" w14:paraId="6091BC3B" w14:textId="77777777" w:rsidTr="009E7DF9">
        <w:tc>
          <w:tcPr>
            <w:tcW w:w="7015" w:type="dxa"/>
          </w:tcPr>
          <w:p w14:paraId="7E234838" w14:textId="43FCFFB1" w:rsidR="00515D05" w:rsidRPr="00CA4A4E" w:rsidRDefault="00515D05" w:rsidP="00515D05">
            <w:pPr>
              <w:pStyle w:val="Footer"/>
              <w:numPr>
                <w:ilvl w:val="0"/>
                <w:numId w:val="12"/>
              </w:numPr>
              <w:rPr>
                <w:rFonts w:ascii="Arial" w:hAnsi="Arial" w:cs="Arial"/>
                <w:sz w:val="24"/>
                <w:szCs w:val="24"/>
              </w:rPr>
            </w:pPr>
            <w:r w:rsidRPr="00CA4A4E">
              <w:rPr>
                <w:rFonts w:ascii="Arial" w:hAnsi="Arial" w:cs="Arial"/>
                <w:sz w:val="24"/>
                <w:szCs w:val="24"/>
              </w:rPr>
              <w:t>Determination of inter-observer reliability during the study’s data collection phase</w:t>
            </w:r>
          </w:p>
        </w:tc>
        <w:tc>
          <w:tcPr>
            <w:tcW w:w="1216" w:type="dxa"/>
          </w:tcPr>
          <w:p w14:paraId="2A969670" w14:textId="77777777" w:rsidR="00515D05" w:rsidRPr="00CA4A4E" w:rsidRDefault="00515D05" w:rsidP="00515D05">
            <w:pPr>
              <w:pStyle w:val="Footer"/>
              <w:jc w:val="center"/>
              <w:rPr>
                <w:rFonts w:ascii="Arial" w:hAnsi="Arial" w:cs="Arial"/>
                <w:color w:val="FF0000"/>
                <w:sz w:val="24"/>
                <w:szCs w:val="24"/>
              </w:rPr>
            </w:pPr>
          </w:p>
        </w:tc>
        <w:tc>
          <w:tcPr>
            <w:tcW w:w="1126" w:type="dxa"/>
          </w:tcPr>
          <w:p w14:paraId="6E161788" w14:textId="06A063B4" w:rsidR="00515D05" w:rsidRPr="00CA4A4E" w:rsidRDefault="00515D05" w:rsidP="00515D05">
            <w:pPr>
              <w:pStyle w:val="Footer"/>
              <w:jc w:val="center"/>
              <w:rPr>
                <w:rFonts w:ascii="Arial" w:hAnsi="Arial" w:cs="Arial"/>
                <w:color w:val="FF0000"/>
                <w:sz w:val="24"/>
                <w:szCs w:val="24"/>
              </w:rPr>
            </w:pPr>
          </w:p>
        </w:tc>
      </w:tr>
      <w:tr w:rsidR="005C0D6C" w:rsidRPr="00CA4A4E" w14:paraId="0126799F" w14:textId="77777777" w:rsidTr="009E7DF9">
        <w:tc>
          <w:tcPr>
            <w:tcW w:w="7015" w:type="dxa"/>
          </w:tcPr>
          <w:p w14:paraId="51EF1F24" w14:textId="53C71555" w:rsidR="005C0D6C" w:rsidRPr="00CA4A4E" w:rsidRDefault="0075024B" w:rsidP="0075024B">
            <w:pPr>
              <w:pStyle w:val="Footer"/>
              <w:numPr>
                <w:ilvl w:val="0"/>
                <w:numId w:val="12"/>
              </w:numPr>
              <w:rPr>
                <w:rFonts w:ascii="Arial" w:hAnsi="Arial" w:cs="Arial"/>
                <w:sz w:val="24"/>
                <w:szCs w:val="24"/>
              </w:rPr>
            </w:pPr>
            <w:r w:rsidRPr="00CA4A4E">
              <w:rPr>
                <w:rFonts w:ascii="Arial" w:hAnsi="Arial" w:cs="Arial"/>
                <w:sz w:val="24"/>
                <w:szCs w:val="24"/>
              </w:rPr>
              <w:t>Certification of interviewers</w:t>
            </w:r>
          </w:p>
        </w:tc>
        <w:tc>
          <w:tcPr>
            <w:tcW w:w="1216" w:type="dxa"/>
          </w:tcPr>
          <w:p w14:paraId="5D8A7DA5" w14:textId="521DB240" w:rsidR="005C0D6C" w:rsidRPr="00CA4A4E" w:rsidRDefault="005C0D6C" w:rsidP="00515D05">
            <w:pPr>
              <w:pStyle w:val="Footer"/>
              <w:jc w:val="center"/>
              <w:rPr>
                <w:rFonts w:ascii="Arial" w:hAnsi="Arial" w:cs="Arial"/>
                <w:color w:val="FF0000"/>
                <w:sz w:val="24"/>
                <w:szCs w:val="24"/>
              </w:rPr>
            </w:pPr>
          </w:p>
        </w:tc>
        <w:tc>
          <w:tcPr>
            <w:tcW w:w="1126" w:type="dxa"/>
          </w:tcPr>
          <w:p w14:paraId="25030D6B" w14:textId="77777777" w:rsidR="005C0D6C" w:rsidRPr="00CA4A4E" w:rsidRDefault="005C0D6C" w:rsidP="00515D05">
            <w:pPr>
              <w:pStyle w:val="Footer"/>
              <w:jc w:val="center"/>
              <w:rPr>
                <w:rFonts w:ascii="Arial" w:hAnsi="Arial" w:cs="Arial"/>
                <w:color w:val="FF0000"/>
                <w:sz w:val="24"/>
                <w:szCs w:val="24"/>
              </w:rPr>
            </w:pPr>
          </w:p>
        </w:tc>
      </w:tr>
      <w:tr w:rsidR="005C0D6C" w:rsidRPr="00CA4A4E" w14:paraId="3518ABC1" w14:textId="77777777" w:rsidTr="009E7DF9">
        <w:tc>
          <w:tcPr>
            <w:tcW w:w="7015" w:type="dxa"/>
          </w:tcPr>
          <w:p w14:paraId="3C1481A2" w14:textId="6054364C" w:rsidR="005C0D6C" w:rsidRPr="00CA4A4E" w:rsidRDefault="0075024B" w:rsidP="0075024B">
            <w:pPr>
              <w:pStyle w:val="Footer"/>
              <w:numPr>
                <w:ilvl w:val="0"/>
                <w:numId w:val="12"/>
              </w:numPr>
              <w:rPr>
                <w:rFonts w:ascii="Arial" w:hAnsi="Arial" w:cs="Arial"/>
                <w:sz w:val="24"/>
                <w:szCs w:val="24"/>
              </w:rPr>
            </w:pPr>
            <w:r w:rsidRPr="00CA4A4E">
              <w:rPr>
                <w:rFonts w:ascii="Arial" w:hAnsi="Arial" w:cs="Arial"/>
                <w:sz w:val="24"/>
                <w:szCs w:val="24"/>
              </w:rPr>
              <w:t>Recertification of interviewers</w:t>
            </w:r>
          </w:p>
        </w:tc>
        <w:tc>
          <w:tcPr>
            <w:tcW w:w="1216" w:type="dxa"/>
          </w:tcPr>
          <w:p w14:paraId="79BDF885" w14:textId="77777777" w:rsidR="005C0D6C" w:rsidRPr="00CA4A4E" w:rsidRDefault="005C0D6C" w:rsidP="00515D05">
            <w:pPr>
              <w:pStyle w:val="Footer"/>
              <w:jc w:val="center"/>
              <w:rPr>
                <w:rFonts w:ascii="Arial" w:hAnsi="Arial" w:cs="Arial"/>
                <w:color w:val="FF0000"/>
                <w:sz w:val="24"/>
                <w:szCs w:val="24"/>
              </w:rPr>
            </w:pPr>
          </w:p>
        </w:tc>
        <w:tc>
          <w:tcPr>
            <w:tcW w:w="1126" w:type="dxa"/>
          </w:tcPr>
          <w:p w14:paraId="07F3F55D" w14:textId="584C347D" w:rsidR="005C0D6C" w:rsidRPr="00CA4A4E" w:rsidRDefault="005C0D6C" w:rsidP="00515D05">
            <w:pPr>
              <w:pStyle w:val="Footer"/>
              <w:jc w:val="center"/>
              <w:rPr>
                <w:rFonts w:ascii="Arial" w:hAnsi="Arial" w:cs="Arial"/>
                <w:color w:val="FF0000"/>
                <w:sz w:val="24"/>
                <w:szCs w:val="24"/>
              </w:rPr>
            </w:pPr>
          </w:p>
        </w:tc>
      </w:tr>
      <w:tr w:rsidR="005C0D6C" w:rsidRPr="00CA4A4E" w14:paraId="6C3D7F4B" w14:textId="77777777" w:rsidTr="009E7DF9">
        <w:tc>
          <w:tcPr>
            <w:tcW w:w="7015" w:type="dxa"/>
          </w:tcPr>
          <w:p w14:paraId="0E81E315" w14:textId="4F8FB229" w:rsidR="005C0D6C" w:rsidRPr="00CA4A4E" w:rsidRDefault="0075024B" w:rsidP="0075024B">
            <w:pPr>
              <w:pStyle w:val="Footer"/>
              <w:numPr>
                <w:ilvl w:val="0"/>
                <w:numId w:val="12"/>
              </w:numPr>
              <w:rPr>
                <w:rFonts w:ascii="Arial" w:hAnsi="Arial" w:cs="Arial"/>
                <w:sz w:val="24"/>
                <w:szCs w:val="24"/>
              </w:rPr>
            </w:pPr>
            <w:r w:rsidRPr="00CA4A4E">
              <w:rPr>
                <w:rFonts w:ascii="Arial" w:hAnsi="Arial" w:cs="Arial"/>
                <w:sz w:val="24"/>
                <w:szCs w:val="24"/>
              </w:rPr>
              <w:t xml:space="preserve">Examination of </w:t>
            </w:r>
            <w:proofErr w:type="spellStart"/>
            <w:r w:rsidRPr="00CA4A4E">
              <w:rPr>
                <w:rFonts w:ascii="Arial" w:hAnsi="Arial" w:cs="Arial"/>
                <w:sz w:val="24"/>
                <w:szCs w:val="24"/>
              </w:rPr>
              <w:t>intralaboratory</w:t>
            </w:r>
            <w:proofErr w:type="spellEnd"/>
            <w:r w:rsidRPr="00CA4A4E">
              <w:rPr>
                <w:rFonts w:ascii="Arial" w:hAnsi="Arial" w:cs="Arial"/>
                <w:sz w:val="24"/>
                <w:szCs w:val="24"/>
              </w:rPr>
              <w:t xml:space="preserve"> reliability using phantom (repeat) blood samples collected from the study participants</w:t>
            </w:r>
          </w:p>
        </w:tc>
        <w:tc>
          <w:tcPr>
            <w:tcW w:w="1216" w:type="dxa"/>
          </w:tcPr>
          <w:p w14:paraId="27F1598C" w14:textId="77777777" w:rsidR="005C0D6C" w:rsidRPr="00CA4A4E" w:rsidRDefault="005C0D6C" w:rsidP="00515D05">
            <w:pPr>
              <w:pStyle w:val="Footer"/>
              <w:jc w:val="center"/>
              <w:rPr>
                <w:rFonts w:ascii="Arial" w:hAnsi="Arial" w:cs="Arial"/>
                <w:color w:val="FF0000"/>
                <w:sz w:val="24"/>
                <w:szCs w:val="24"/>
              </w:rPr>
            </w:pPr>
          </w:p>
        </w:tc>
        <w:tc>
          <w:tcPr>
            <w:tcW w:w="1126" w:type="dxa"/>
          </w:tcPr>
          <w:p w14:paraId="71051D2F" w14:textId="7E86872F" w:rsidR="005C0D6C" w:rsidRPr="00CA4A4E" w:rsidRDefault="005C0D6C" w:rsidP="00515D05">
            <w:pPr>
              <w:pStyle w:val="Footer"/>
              <w:jc w:val="center"/>
              <w:rPr>
                <w:rFonts w:ascii="Arial" w:hAnsi="Arial" w:cs="Arial"/>
                <w:color w:val="FF0000"/>
                <w:sz w:val="24"/>
                <w:szCs w:val="24"/>
              </w:rPr>
            </w:pPr>
          </w:p>
        </w:tc>
      </w:tr>
      <w:tr w:rsidR="005C0D6C" w:rsidRPr="00CA4A4E" w14:paraId="4B4A1870" w14:textId="77777777" w:rsidTr="009E7DF9">
        <w:tc>
          <w:tcPr>
            <w:tcW w:w="7015" w:type="dxa"/>
          </w:tcPr>
          <w:p w14:paraId="0E495DC1" w14:textId="3E04A58B" w:rsidR="005C0D6C" w:rsidRPr="00CA4A4E" w:rsidRDefault="00420627" w:rsidP="00420627">
            <w:pPr>
              <w:pStyle w:val="Footer"/>
              <w:numPr>
                <w:ilvl w:val="0"/>
                <w:numId w:val="12"/>
              </w:numPr>
              <w:rPr>
                <w:rFonts w:ascii="Arial" w:hAnsi="Arial" w:cs="Arial"/>
                <w:sz w:val="24"/>
                <w:szCs w:val="24"/>
              </w:rPr>
            </w:pPr>
            <w:r w:rsidRPr="00CA4A4E">
              <w:rPr>
                <w:rFonts w:ascii="Arial" w:hAnsi="Arial" w:cs="Arial"/>
                <w:sz w:val="24"/>
                <w:szCs w:val="24"/>
              </w:rPr>
              <w:t>Assessment of the validity of two data collection instruments to decide which instrument should be used in the study</w:t>
            </w:r>
          </w:p>
        </w:tc>
        <w:tc>
          <w:tcPr>
            <w:tcW w:w="1216" w:type="dxa"/>
          </w:tcPr>
          <w:p w14:paraId="2F9E722E" w14:textId="09FD05DF" w:rsidR="005C0D6C" w:rsidRPr="00CA4A4E" w:rsidRDefault="005C0D6C" w:rsidP="00515D05">
            <w:pPr>
              <w:pStyle w:val="Footer"/>
              <w:jc w:val="center"/>
              <w:rPr>
                <w:rFonts w:ascii="Arial" w:hAnsi="Arial" w:cs="Arial"/>
                <w:color w:val="FF0000"/>
                <w:sz w:val="24"/>
                <w:szCs w:val="24"/>
              </w:rPr>
            </w:pPr>
          </w:p>
        </w:tc>
        <w:tc>
          <w:tcPr>
            <w:tcW w:w="1126" w:type="dxa"/>
          </w:tcPr>
          <w:p w14:paraId="6C8F29F9" w14:textId="77777777" w:rsidR="005C0D6C" w:rsidRPr="00CA4A4E" w:rsidRDefault="005C0D6C" w:rsidP="00515D05">
            <w:pPr>
              <w:pStyle w:val="Footer"/>
              <w:jc w:val="center"/>
              <w:rPr>
                <w:rFonts w:ascii="Arial" w:hAnsi="Arial" w:cs="Arial"/>
                <w:color w:val="FF0000"/>
                <w:sz w:val="24"/>
                <w:szCs w:val="24"/>
              </w:rPr>
            </w:pPr>
          </w:p>
        </w:tc>
      </w:tr>
      <w:tr w:rsidR="00420627" w:rsidRPr="00CA4A4E" w14:paraId="3EEDBB10" w14:textId="77777777" w:rsidTr="009E7DF9">
        <w:tc>
          <w:tcPr>
            <w:tcW w:w="7015" w:type="dxa"/>
          </w:tcPr>
          <w:p w14:paraId="69FA5FEC" w14:textId="19C8C2AF" w:rsidR="00420627" w:rsidRPr="00CA4A4E" w:rsidRDefault="000E6EFD" w:rsidP="00420627">
            <w:pPr>
              <w:pStyle w:val="Footer"/>
              <w:numPr>
                <w:ilvl w:val="0"/>
                <w:numId w:val="12"/>
              </w:numPr>
              <w:rPr>
                <w:rFonts w:ascii="Arial" w:hAnsi="Arial" w:cs="Arial"/>
                <w:sz w:val="24"/>
                <w:szCs w:val="24"/>
              </w:rPr>
            </w:pPr>
            <w:r w:rsidRPr="00CA4A4E">
              <w:rPr>
                <w:rFonts w:ascii="Arial" w:hAnsi="Arial" w:cs="Arial"/>
                <w:sz w:val="24"/>
                <w:szCs w:val="24"/>
              </w:rPr>
              <w:t>Duplicate readings (with adjudication by a third reader) of x-rays for confirmation of an outcome in an ongoing cohort study</w:t>
            </w:r>
          </w:p>
        </w:tc>
        <w:tc>
          <w:tcPr>
            <w:tcW w:w="1216" w:type="dxa"/>
          </w:tcPr>
          <w:p w14:paraId="453EDFBD" w14:textId="77777777" w:rsidR="00420627" w:rsidRPr="00CA4A4E" w:rsidRDefault="00420627" w:rsidP="00515D05">
            <w:pPr>
              <w:pStyle w:val="Footer"/>
              <w:jc w:val="center"/>
              <w:rPr>
                <w:rFonts w:ascii="Arial" w:hAnsi="Arial" w:cs="Arial"/>
                <w:color w:val="FF0000"/>
                <w:sz w:val="24"/>
                <w:szCs w:val="24"/>
              </w:rPr>
            </w:pPr>
          </w:p>
        </w:tc>
        <w:tc>
          <w:tcPr>
            <w:tcW w:w="1126" w:type="dxa"/>
          </w:tcPr>
          <w:p w14:paraId="181A2AEE" w14:textId="4AD6EFC9" w:rsidR="00420627" w:rsidRPr="00CA4A4E" w:rsidRDefault="00420627" w:rsidP="00515D05">
            <w:pPr>
              <w:pStyle w:val="Footer"/>
              <w:jc w:val="center"/>
              <w:rPr>
                <w:rFonts w:ascii="Arial" w:hAnsi="Arial" w:cs="Arial"/>
                <w:color w:val="FF0000"/>
                <w:sz w:val="24"/>
                <w:szCs w:val="24"/>
              </w:rPr>
            </w:pPr>
          </w:p>
        </w:tc>
      </w:tr>
      <w:tr w:rsidR="00515D05" w:rsidRPr="00CA4A4E" w14:paraId="3B2C45B0" w14:textId="77777777" w:rsidTr="009E7DF9">
        <w:tc>
          <w:tcPr>
            <w:tcW w:w="7015" w:type="dxa"/>
          </w:tcPr>
          <w:p w14:paraId="3B03AFA0" w14:textId="56B21A83" w:rsidR="00515D05" w:rsidRPr="00CA4A4E" w:rsidRDefault="00515D05" w:rsidP="00515D05">
            <w:pPr>
              <w:pStyle w:val="Footer"/>
              <w:numPr>
                <w:ilvl w:val="0"/>
                <w:numId w:val="12"/>
              </w:numPr>
              <w:rPr>
                <w:rFonts w:ascii="Arial" w:hAnsi="Arial" w:cs="Arial"/>
                <w:sz w:val="24"/>
                <w:szCs w:val="24"/>
              </w:rPr>
            </w:pPr>
            <w:r w:rsidRPr="00CA4A4E">
              <w:rPr>
                <w:rFonts w:ascii="Arial" w:hAnsi="Arial" w:cs="Arial"/>
                <w:sz w:val="24"/>
                <w:szCs w:val="24"/>
              </w:rPr>
              <w:t>Training of interviewers</w:t>
            </w:r>
          </w:p>
        </w:tc>
        <w:tc>
          <w:tcPr>
            <w:tcW w:w="1216" w:type="dxa"/>
          </w:tcPr>
          <w:p w14:paraId="177553DC" w14:textId="32B9DF91" w:rsidR="00515D05" w:rsidRPr="00CA4A4E" w:rsidRDefault="00515D05" w:rsidP="00515D05">
            <w:pPr>
              <w:pStyle w:val="Footer"/>
              <w:jc w:val="center"/>
              <w:rPr>
                <w:rFonts w:ascii="Arial" w:hAnsi="Arial" w:cs="Arial"/>
                <w:color w:val="FF0000"/>
                <w:sz w:val="24"/>
                <w:szCs w:val="24"/>
              </w:rPr>
            </w:pPr>
          </w:p>
        </w:tc>
        <w:tc>
          <w:tcPr>
            <w:tcW w:w="1126" w:type="dxa"/>
          </w:tcPr>
          <w:p w14:paraId="0B1EE462" w14:textId="77777777" w:rsidR="00515D05" w:rsidRPr="00CA4A4E" w:rsidRDefault="00515D05" w:rsidP="00515D05">
            <w:pPr>
              <w:pStyle w:val="Footer"/>
              <w:jc w:val="center"/>
              <w:rPr>
                <w:rFonts w:ascii="Arial" w:hAnsi="Arial" w:cs="Arial"/>
                <w:color w:val="FF0000"/>
                <w:sz w:val="24"/>
                <w:szCs w:val="24"/>
              </w:rPr>
            </w:pPr>
          </w:p>
        </w:tc>
      </w:tr>
      <w:tr w:rsidR="00515D05" w:rsidRPr="00CA4A4E" w14:paraId="04183C5B" w14:textId="77777777" w:rsidTr="009E7DF9">
        <w:tc>
          <w:tcPr>
            <w:tcW w:w="7015" w:type="dxa"/>
          </w:tcPr>
          <w:p w14:paraId="00017271" w14:textId="52DD1428" w:rsidR="00515D05" w:rsidRPr="00CA4A4E" w:rsidRDefault="00515D05" w:rsidP="00515D05">
            <w:pPr>
              <w:pStyle w:val="Footer"/>
              <w:numPr>
                <w:ilvl w:val="0"/>
                <w:numId w:val="12"/>
              </w:numPr>
              <w:rPr>
                <w:rFonts w:ascii="Arial" w:hAnsi="Arial" w:cs="Arial"/>
                <w:sz w:val="24"/>
                <w:szCs w:val="24"/>
              </w:rPr>
            </w:pPr>
            <w:r w:rsidRPr="00CA4A4E">
              <w:rPr>
                <w:rFonts w:ascii="Arial" w:hAnsi="Arial" w:cs="Arial"/>
                <w:sz w:val="24"/>
                <w:szCs w:val="24"/>
              </w:rPr>
              <w:t>Pretest of questionnaire</w:t>
            </w:r>
          </w:p>
        </w:tc>
        <w:tc>
          <w:tcPr>
            <w:tcW w:w="1216" w:type="dxa"/>
          </w:tcPr>
          <w:p w14:paraId="52900123" w14:textId="1FC28695" w:rsidR="00515D05" w:rsidRPr="00CA4A4E" w:rsidRDefault="00515D05" w:rsidP="00515D05">
            <w:pPr>
              <w:pStyle w:val="Footer"/>
              <w:jc w:val="center"/>
              <w:rPr>
                <w:rFonts w:ascii="Arial" w:hAnsi="Arial" w:cs="Arial"/>
                <w:color w:val="FF0000"/>
                <w:sz w:val="24"/>
                <w:szCs w:val="24"/>
              </w:rPr>
            </w:pPr>
          </w:p>
        </w:tc>
        <w:tc>
          <w:tcPr>
            <w:tcW w:w="1126" w:type="dxa"/>
          </w:tcPr>
          <w:p w14:paraId="79887C5F" w14:textId="77777777" w:rsidR="00515D05" w:rsidRPr="00CA4A4E" w:rsidRDefault="00515D05" w:rsidP="00515D05">
            <w:pPr>
              <w:pStyle w:val="Footer"/>
              <w:jc w:val="center"/>
              <w:rPr>
                <w:rFonts w:ascii="Arial" w:hAnsi="Arial" w:cs="Arial"/>
                <w:color w:val="FF0000"/>
                <w:sz w:val="24"/>
                <w:szCs w:val="24"/>
              </w:rPr>
            </w:pPr>
          </w:p>
        </w:tc>
      </w:tr>
    </w:tbl>
    <w:p w14:paraId="06C7CCCF" w14:textId="77777777" w:rsidR="001E0647" w:rsidRPr="00CA4A4E" w:rsidRDefault="001E0647" w:rsidP="001E0647">
      <w:pPr>
        <w:pStyle w:val="Footer"/>
        <w:rPr>
          <w:rFonts w:ascii="Arial" w:hAnsi="Arial" w:cs="Arial"/>
          <w:sz w:val="24"/>
          <w:szCs w:val="24"/>
        </w:rPr>
      </w:pPr>
    </w:p>
    <w:p w14:paraId="452FA8BF" w14:textId="7D8DA2E4" w:rsidR="002F7649" w:rsidRPr="00CA4A4E" w:rsidRDefault="002F7649" w:rsidP="00515D05">
      <w:pPr>
        <w:pStyle w:val="Footer"/>
        <w:numPr>
          <w:ilvl w:val="0"/>
          <w:numId w:val="11"/>
        </w:numPr>
        <w:rPr>
          <w:rFonts w:ascii="Arial" w:hAnsi="Arial" w:cs="Arial"/>
          <w:sz w:val="24"/>
          <w:szCs w:val="24"/>
        </w:rPr>
      </w:pPr>
      <w:r w:rsidRPr="00CA4A4E">
        <w:rPr>
          <w:rFonts w:ascii="Arial" w:hAnsi="Arial" w:cs="Arial"/>
          <w:sz w:val="24"/>
          <w:szCs w:val="24"/>
        </w:rPr>
        <w:t xml:space="preserve">Definition of the design strategy (e.g., cohort, case-control, </w:t>
      </w:r>
      <w:proofErr w:type="gramStart"/>
      <w:r w:rsidRPr="00CA4A4E">
        <w:rPr>
          <w:rFonts w:ascii="Arial" w:hAnsi="Arial" w:cs="Arial"/>
          <w:sz w:val="24"/>
          <w:szCs w:val="24"/>
        </w:rPr>
        <w:t>case</w:t>
      </w:r>
      <w:proofErr w:type="gramEnd"/>
      <w:r w:rsidRPr="00CA4A4E">
        <w:rPr>
          <w:rFonts w:ascii="Arial" w:hAnsi="Arial" w:cs="Arial"/>
          <w:sz w:val="24"/>
          <w:szCs w:val="24"/>
        </w:rPr>
        <w:t>-cohort) and of the groups to be compared, and specification of selection procedures for internal validity (comparability) purposes can be regarded as ________.</w:t>
      </w:r>
    </w:p>
    <w:p w14:paraId="1FE401D7" w14:textId="77777777" w:rsidR="00F74C04" w:rsidRPr="00CA4A4E" w:rsidRDefault="00F74C04" w:rsidP="00F74C04">
      <w:pPr>
        <w:pStyle w:val="Footer"/>
        <w:ind w:left="720"/>
        <w:rPr>
          <w:rFonts w:ascii="Arial" w:hAnsi="Arial" w:cs="Arial"/>
          <w:sz w:val="24"/>
          <w:szCs w:val="24"/>
        </w:rPr>
      </w:pPr>
    </w:p>
    <w:p w14:paraId="3274B585" w14:textId="3DCCD280" w:rsidR="00323C23" w:rsidRDefault="00323C23" w:rsidP="00BF5015">
      <w:pPr>
        <w:pStyle w:val="Footer"/>
        <w:numPr>
          <w:ilvl w:val="0"/>
          <w:numId w:val="11"/>
        </w:numPr>
        <w:rPr>
          <w:rFonts w:ascii="Arial" w:hAnsi="Arial" w:cs="Arial"/>
          <w:sz w:val="24"/>
          <w:szCs w:val="24"/>
        </w:rPr>
      </w:pPr>
      <w:r w:rsidRPr="00CA4A4E">
        <w:rPr>
          <w:rFonts w:ascii="Arial" w:hAnsi="Arial" w:cs="Arial"/>
          <w:sz w:val="24"/>
          <w:szCs w:val="24"/>
        </w:rPr>
        <w:lastRenderedPageBreak/>
        <w:t>Using the table provided below, correctly match terms to their definitions.</w:t>
      </w:r>
    </w:p>
    <w:p w14:paraId="75B45B8D" w14:textId="77777777" w:rsidR="00BF5015" w:rsidRPr="00BF5015" w:rsidRDefault="00BF5015" w:rsidP="00BF5015">
      <w:pPr>
        <w:pStyle w:val="Footer"/>
        <w:ind w:left="720"/>
        <w:rPr>
          <w:rFonts w:ascii="Arial" w:hAnsi="Arial" w:cs="Arial"/>
          <w:sz w:val="24"/>
          <w:szCs w:val="24"/>
        </w:rPr>
      </w:pPr>
    </w:p>
    <w:tbl>
      <w:tblPr>
        <w:tblStyle w:val="TableGrid"/>
        <w:tblW w:w="9553" w:type="dxa"/>
        <w:jc w:val="center"/>
        <w:tblLook w:val="04A0" w:firstRow="1" w:lastRow="0" w:firstColumn="1" w:lastColumn="0" w:noHBand="0" w:noVBand="1"/>
      </w:tblPr>
      <w:tblGrid>
        <w:gridCol w:w="2785"/>
        <w:gridCol w:w="6768"/>
      </w:tblGrid>
      <w:tr w:rsidR="00323C23" w:rsidRPr="00CA4A4E" w14:paraId="1A5395A9" w14:textId="77777777" w:rsidTr="00D40350">
        <w:trPr>
          <w:jc w:val="center"/>
        </w:trPr>
        <w:tc>
          <w:tcPr>
            <w:tcW w:w="2785" w:type="dxa"/>
          </w:tcPr>
          <w:p w14:paraId="42646EDB" w14:textId="77777777" w:rsidR="00323C23" w:rsidRPr="00CA4A4E" w:rsidRDefault="00323C23" w:rsidP="00562A54">
            <w:pPr>
              <w:spacing w:line="480" w:lineRule="auto"/>
              <w:rPr>
                <w:rFonts w:ascii="Arial" w:hAnsi="Arial" w:cs="Arial"/>
                <w:b/>
                <w:sz w:val="24"/>
                <w:szCs w:val="24"/>
              </w:rPr>
            </w:pPr>
            <w:r w:rsidRPr="00CA4A4E">
              <w:rPr>
                <w:rFonts w:ascii="Arial" w:hAnsi="Arial" w:cs="Arial"/>
                <w:b/>
                <w:sz w:val="24"/>
                <w:szCs w:val="24"/>
              </w:rPr>
              <w:t>Term</w:t>
            </w:r>
          </w:p>
        </w:tc>
        <w:tc>
          <w:tcPr>
            <w:tcW w:w="6768" w:type="dxa"/>
          </w:tcPr>
          <w:p w14:paraId="21FDA299" w14:textId="77777777" w:rsidR="00323C23" w:rsidRPr="00CA4A4E" w:rsidRDefault="00323C23" w:rsidP="00562A54">
            <w:pPr>
              <w:spacing w:line="480" w:lineRule="auto"/>
              <w:rPr>
                <w:rFonts w:ascii="Arial" w:hAnsi="Arial" w:cs="Arial"/>
                <w:b/>
                <w:sz w:val="24"/>
                <w:szCs w:val="24"/>
              </w:rPr>
            </w:pPr>
            <w:r w:rsidRPr="00CA4A4E">
              <w:rPr>
                <w:rFonts w:ascii="Arial" w:hAnsi="Arial" w:cs="Arial"/>
                <w:b/>
                <w:sz w:val="24"/>
                <w:szCs w:val="24"/>
              </w:rPr>
              <w:t>Definition</w:t>
            </w:r>
          </w:p>
        </w:tc>
      </w:tr>
      <w:tr w:rsidR="00323C23" w:rsidRPr="00CA4A4E" w14:paraId="462292E0" w14:textId="77777777" w:rsidTr="00D40350">
        <w:trPr>
          <w:jc w:val="center"/>
        </w:trPr>
        <w:tc>
          <w:tcPr>
            <w:tcW w:w="2785" w:type="dxa"/>
          </w:tcPr>
          <w:p w14:paraId="13A13237" w14:textId="77777777" w:rsidR="00323C23" w:rsidRPr="00CA4A4E" w:rsidRDefault="00323C23" w:rsidP="00D40350">
            <w:pPr>
              <w:spacing w:line="480" w:lineRule="auto"/>
              <w:ind w:left="360"/>
              <w:rPr>
                <w:rFonts w:ascii="Arial" w:hAnsi="Arial" w:cs="Arial"/>
                <w:sz w:val="24"/>
                <w:szCs w:val="24"/>
              </w:rPr>
            </w:pPr>
            <w:r w:rsidRPr="00CA4A4E">
              <w:rPr>
                <w:rFonts w:ascii="Arial" w:hAnsi="Arial" w:cs="Arial"/>
                <w:sz w:val="24"/>
                <w:szCs w:val="24"/>
              </w:rPr>
              <w:t>1. Quality Assurance</w:t>
            </w:r>
          </w:p>
        </w:tc>
        <w:tc>
          <w:tcPr>
            <w:tcW w:w="6768" w:type="dxa"/>
          </w:tcPr>
          <w:p w14:paraId="2A1015D7" w14:textId="77777777" w:rsidR="00323C23" w:rsidRPr="00CA4A4E" w:rsidRDefault="00323C23" w:rsidP="00D40350">
            <w:pPr>
              <w:rPr>
                <w:rFonts w:ascii="Arial" w:hAnsi="Arial" w:cs="Arial"/>
                <w:sz w:val="24"/>
                <w:szCs w:val="24"/>
              </w:rPr>
            </w:pPr>
            <w:r w:rsidRPr="00CA4A4E">
              <w:rPr>
                <w:rFonts w:ascii="Arial" w:hAnsi="Arial" w:cs="Arial"/>
                <w:sz w:val="24"/>
                <w:szCs w:val="24"/>
              </w:rPr>
              <w:t>A. The assessment of specific procedures on a convenience sample in order to detect major flaws</w:t>
            </w:r>
          </w:p>
        </w:tc>
      </w:tr>
      <w:tr w:rsidR="00323C23" w:rsidRPr="00CA4A4E" w14:paraId="2287B38B" w14:textId="77777777" w:rsidTr="00D40350">
        <w:trPr>
          <w:jc w:val="center"/>
        </w:trPr>
        <w:tc>
          <w:tcPr>
            <w:tcW w:w="2785" w:type="dxa"/>
          </w:tcPr>
          <w:p w14:paraId="376976F0" w14:textId="77777777" w:rsidR="00323C23" w:rsidRPr="00CA4A4E" w:rsidRDefault="00323C23" w:rsidP="00D40350">
            <w:pPr>
              <w:spacing w:line="480" w:lineRule="auto"/>
              <w:ind w:left="360"/>
              <w:rPr>
                <w:rFonts w:ascii="Arial" w:hAnsi="Arial" w:cs="Arial"/>
                <w:sz w:val="24"/>
                <w:szCs w:val="24"/>
              </w:rPr>
            </w:pPr>
            <w:r w:rsidRPr="00CA4A4E">
              <w:rPr>
                <w:rFonts w:ascii="Arial" w:hAnsi="Arial" w:cs="Arial"/>
                <w:sz w:val="24"/>
                <w:szCs w:val="24"/>
              </w:rPr>
              <w:t>2. Quality Control</w:t>
            </w:r>
          </w:p>
        </w:tc>
        <w:tc>
          <w:tcPr>
            <w:tcW w:w="6768" w:type="dxa"/>
          </w:tcPr>
          <w:p w14:paraId="6404ADAD" w14:textId="77777777" w:rsidR="00323C23" w:rsidRPr="00CA4A4E" w:rsidRDefault="00323C23" w:rsidP="00D40350">
            <w:pPr>
              <w:rPr>
                <w:rFonts w:ascii="Arial" w:hAnsi="Arial" w:cs="Arial"/>
                <w:sz w:val="24"/>
                <w:szCs w:val="24"/>
              </w:rPr>
            </w:pPr>
            <w:r w:rsidRPr="00CA4A4E">
              <w:rPr>
                <w:rFonts w:ascii="Arial" w:hAnsi="Arial" w:cs="Arial"/>
                <w:sz w:val="24"/>
                <w:szCs w:val="24"/>
              </w:rPr>
              <w:t>B. Assesses a test's ability to identify positive results</w:t>
            </w:r>
          </w:p>
        </w:tc>
      </w:tr>
      <w:tr w:rsidR="00323C23" w:rsidRPr="00CA4A4E" w14:paraId="3FA3DFC5" w14:textId="77777777" w:rsidTr="00D40350">
        <w:trPr>
          <w:jc w:val="center"/>
        </w:trPr>
        <w:tc>
          <w:tcPr>
            <w:tcW w:w="2785" w:type="dxa"/>
          </w:tcPr>
          <w:p w14:paraId="4AFFB256" w14:textId="77777777" w:rsidR="00323C23" w:rsidRPr="00CA4A4E" w:rsidRDefault="00323C23" w:rsidP="00D40350">
            <w:pPr>
              <w:spacing w:line="480" w:lineRule="auto"/>
              <w:ind w:left="360"/>
              <w:rPr>
                <w:rFonts w:ascii="Arial" w:hAnsi="Arial" w:cs="Arial"/>
                <w:sz w:val="24"/>
                <w:szCs w:val="24"/>
              </w:rPr>
            </w:pPr>
            <w:r w:rsidRPr="00CA4A4E">
              <w:rPr>
                <w:rFonts w:ascii="Arial" w:hAnsi="Arial" w:cs="Arial"/>
                <w:sz w:val="24"/>
                <w:szCs w:val="24"/>
              </w:rPr>
              <w:t>3. Validity Study</w:t>
            </w:r>
          </w:p>
        </w:tc>
        <w:tc>
          <w:tcPr>
            <w:tcW w:w="6768" w:type="dxa"/>
          </w:tcPr>
          <w:p w14:paraId="4E697B16" w14:textId="77777777" w:rsidR="00323C23" w:rsidRPr="00CA4A4E" w:rsidRDefault="00323C23" w:rsidP="00D40350">
            <w:pPr>
              <w:rPr>
                <w:rFonts w:ascii="Arial" w:hAnsi="Arial" w:cs="Arial"/>
                <w:sz w:val="24"/>
                <w:szCs w:val="24"/>
              </w:rPr>
            </w:pPr>
            <w:r w:rsidRPr="00CA4A4E">
              <w:rPr>
                <w:rFonts w:ascii="Arial" w:hAnsi="Arial" w:cs="Arial"/>
                <w:sz w:val="24"/>
                <w:szCs w:val="24"/>
              </w:rPr>
              <w:t>C. The activities to ensure quality of the data before data collection</w:t>
            </w:r>
          </w:p>
        </w:tc>
      </w:tr>
      <w:tr w:rsidR="00323C23" w:rsidRPr="00CA4A4E" w14:paraId="5BBB895D" w14:textId="77777777" w:rsidTr="00D40350">
        <w:trPr>
          <w:jc w:val="center"/>
        </w:trPr>
        <w:tc>
          <w:tcPr>
            <w:tcW w:w="2785" w:type="dxa"/>
          </w:tcPr>
          <w:p w14:paraId="0CCC6E2C" w14:textId="77777777" w:rsidR="00323C23" w:rsidRPr="00CA4A4E" w:rsidRDefault="00323C23" w:rsidP="00D40350">
            <w:pPr>
              <w:spacing w:line="480" w:lineRule="auto"/>
              <w:ind w:left="360"/>
              <w:rPr>
                <w:rFonts w:ascii="Arial" w:hAnsi="Arial" w:cs="Arial"/>
                <w:sz w:val="24"/>
                <w:szCs w:val="24"/>
              </w:rPr>
            </w:pPr>
            <w:r w:rsidRPr="00CA4A4E">
              <w:rPr>
                <w:rFonts w:ascii="Arial" w:hAnsi="Arial" w:cs="Arial"/>
                <w:sz w:val="24"/>
                <w:szCs w:val="24"/>
              </w:rPr>
              <w:t>4. Reliability Study</w:t>
            </w:r>
          </w:p>
        </w:tc>
        <w:tc>
          <w:tcPr>
            <w:tcW w:w="6768" w:type="dxa"/>
          </w:tcPr>
          <w:p w14:paraId="19AB4D27" w14:textId="77777777" w:rsidR="00323C23" w:rsidRPr="00CA4A4E" w:rsidRDefault="00323C23" w:rsidP="00D40350">
            <w:pPr>
              <w:rPr>
                <w:rFonts w:ascii="Arial" w:hAnsi="Arial" w:cs="Arial"/>
                <w:sz w:val="24"/>
                <w:szCs w:val="24"/>
              </w:rPr>
            </w:pPr>
            <w:r w:rsidRPr="00CA4A4E">
              <w:rPr>
                <w:rFonts w:ascii="Arial" w:hAnsi="Arial" w:cs="Arial"/>
                <w:sz w:val="24"/>
                <w:szCs w:val="24"/>
              </w:rPr>
              <w:t>D. Testing of study procedures that attempts to reproduce the entire flow of operations in a sample as similar as possible to study participants</w:t>
            </w:r>
          </w:p>
        </w:tc>
      </w:tr>
      <w:tr w:rsidR="00323C23" w:rsidRPr="00CA4A4E" w14:paraId="003E779A" w14:textId="77777777" w:rsidTr="00D40350">
        <w:trPr>
          <w:jc w:val="center"/>
        </w:trPr>
        <w:tc>
          <w:tcPr>
            <w:tcW w:w="2785" w:type="dxa"/>
          </w:tcPr>
          <w:p w14:paraId="44919777" w14:textId="77777777" w:rsidR="00323C23" w:rsidRPr="00CA4A4E" w:rsidRDefault="00323C23" w:rsidP="00D40350">
            <w:pPr>
              <w:spacing w:line="480" w:lineRule="auto"/>
              <w:ind w:left="360"/>
              <w:rPr>
                <w:rFonts w:ascii="Arial" w:hAnsi="Arial" w:cs="Arial"/>
                <w:sz w:val="24"/>
                <w:szCs w:val="24"/>
              </w:rPr>
            </w:pPr>
            <w:r w:rsidRPr="00CA4A4E">
              <w:rPr>
                <w:rFonts w:ascii="Arial" w:hAnsi="Arial" w:cs="Arial"/>
                <w:sz w:val="24"/>
                <w:szCs w:val="24"/>
              </w:rPr>
              <w:t>5. Sensitivity</w:t>
            </w:r>
          </w:p>
        </w:tc>
        <w:tc>
          <w:tcPr>
            <w:tcW w:w="6768" w:type="dxa"/>
          </w:tcPr>
          <w:p w14:paraId="206C928A" w14:textId="77777777" w:rsidR="00323C23" w:rsidRPr="00CA4A4E" w:rsidRDefault="00323C23" w:rsidP="00D40350">
            <w:pPr>
              <w:rPr>
                <w:rFonts w:ascii="Arial" w:hAnsi="Arial" w:cs="Arial"/>
                <w:sz w:val="24"/>
                <w:szCs w:val="24"/>
              </w:rPr>
            </w:pPr>
            <w:r w:rsidRPr="00CA4A4E">
              <w:rPr>
                <w:rFonts w:ascii="Arial" w:hAnsi="Arial" w:cs="Arial"/>
                <w:sz w:val="24"/>
                <w:szCs w:val="24"/>
              </w:rPr>
              <w:t>E. Assesses the extent to which results agree when obtained by different observers, study instruments or procedures</w:t>
            </w:r>
          </w:p>
        </w:tc>
      </w:tr>
      <w:tr w:rsidR="00323C23" w:rsidRPr="00CA4A4E" w14:paraId="2CBD648D" w14:textId="77777777" w:rsidTr="00D40350">
        <w:trPr>
          <w:jc w:val="center"/>
        </w:trPr>
        <w:tc>
          <w:tcPr>
            <w:tcW w:w="2785" w:type="dxa"/>
          </w:tcPr>
          <w:p w14:paraId="777EFCA6" w14:textId="77777777" w:rsidR="00323C23" w:rsidRPr="00CA4A4E" w:rsidRDefault="00323C23" w:rsidP="00D40350">
            <w:pPr>
              <w:spacing w:line="480" w:lineRule="auto"/>
              <w:ind w:left="360"/>
              <w:rPr>
                <w:rFonts w:ascii="Arial" w:hAnsi="Arial" w:cs="Arial"/>
                <w:sz w:val="24"/>
                <w:szCs w:val="24"/>
              </w:rPr>
            </w:pPr>
            <w:r w:rsidRPr="00CA4A4E">
              <w:rPr>
                <w:rFonts w:ascii="Arial" w:hAnsi="Arial" w:cs="Arial"/>
                <w:sz w:val="24"/>
                <w:szCs w:val="24"/>
              </w:rPr>
              <w:t>6. Specificity</w:t>
            </w:r>
          </w:p>
        </w:tc>
        <w:tc>
          <w:tcPr>
            <w:tcW w:w="6768" w:type="dxa"/>
          </w:tcPr>
          <w:p w14:paraId="5DAF64DD" w14:textId="77777777" w:rsidR="00323C23" w:rsidRPr="00CA4A4E" w:rsidRDefault="00323C23" w:rsidP="00D40350">
            <w:pPr>
              <w:rPr>
                <w:rFonts w:ascii="Arial" w:hAnsi="Arial" w:cs="Arial"/>
                <w:sz w:val="24"/>
                <w:szCs w:val="24"/>
              </w:rPr>
            </w:pPr>
            <w:r w:rsidRPr="00CA4A4E">
              <w:rPr>
                <w:rFonts w:ascii="Arial" w:hAnsi="Arial" w:cs="Arial"/>
                <w:sz w:val="24"/>
                <w:szCs w:val="24"/>
              </w:rPr>
              <w:t>F. Assesses the error that may result from the assessment of variables using less accurate measures or procedures</w:t>
            </w:r>
          </w:p>
        </w:tc>
      </w:tr>
      <w:tr w:rsidR="00323C23" w:rsidRPr="00CA4A4E" w14:paraId="0AE6DA68" w14:textId="77777777" w:rsidTr="00D40350">
        <w:trPr>
          <w:jc w:val="center"/>
        </w:trPr>
        <w:tc>
          <w:tcPr>
            <w:tcW w:w="2785" w:type="dxa"/>
          </w:tcPr>
          <w:p w14:paraId="78C74F22" w14:textId="77777777" w:rsidR="00323C23" w:rsidRPr="00CA4A4E" w:rsidRDefault="00323C23" w:rsidP="00D40350">
            <w:pPr>
              <w:spacing w:line="480" w:lineRule="auto"/>
              <w:ind w:left="360"/>
              <w:rPr>
                <w:rFonts w:ascii="Arial" w:hAnsi="Arial" w:cs="Arial"/>
                <w:sz w:val="24"/>
                <w:szCs w:val="24"/>
              </w:rPr>
            </w:pPr>
            <w:r w:rsidRPr="00CA4A4E">
              <w:rPr>
                <w:rFonts w:ascii="Arial" w:hAnsi="Arial" w:cs="Arial"/>
                <w:sz w:val="24"/>
                <w:szCs w:val="24"/>
              </w:rPr>
              <w:t xml:space="preserve">7. Pilot studies </w:t>
            </w:r>
          </w:p>
        </w:tc>
        <w:tc>
          <w:tcPr>
            <w:tcW w:w="6768" w:type="dxa"/>
          </w:tcPr>
          <w:p w14:paraId="1133CA5C" w14:textId="77777777" w:rsidR="00323C23" w:rsidRPr="00CA4A4E" w:rsidRDefault="00323C23" w:rsidP="00D40350">
            <w:pPr>
              <w:rPr>
                <w:rFonts w:ascii="Arial" w:hAnsi="Arial" w:cs="Arial"/>
                <w:sz w:val="24"/>
                <w:szCs w:val="24"/>
              </w:rPr>
            </w:pPr>
            <w:r w:rsidRPr="00CA4A4E">
              <w:rPr>
                <w:rFonts w:ascii="Arial" w:hAnsi="Arial" w:cs="Arial"/>
                <w:sz w:val="24"/>
                <w:szCs w:val="24"/>
              </w:rPr>
              <w:t>G. Assesses a test’s ability to identify negative results</w:t>
            </w:r>
          </w:p>
        </w:tc>
      </w:tr>
      <w:tr w:rsidR="00323C23" w:rsidRPr="00CA4A4E" w14:paraId="248279EE" w14:textId="77777777" w:rsidTr="00D40350">
        <w:trPr>
          <w:jc w:val="center"/>
        </w:trPr>
        <w:tc>
          <w:tcPr>
            <w:tcW w:w="2785" w:type="dxa"/>
          </w:tcPr>
          <w:p w14:paraId="555576FC" w14:textId="2E794EA0" w:rsidR="00323C23" w:rsidRPr="00CA4A4E" w:rsidRDefault="00CA4A4E" w:rsidP="00562A54">
            <w:pPr>
              <w:spacing w:line="480" w:lineRule="auto"/>
              <w:rPr>
                <w:rFonts w:ascii="Arial" w:hAnsi="Arial" w:cs="Arial"/>
                <w:sz w:val="24"/>
                <w:szCs w:val="24"/>
              </w:rPr>
            </w:pPr>
            <w:r w:rsidRPr="00CA4A4E">
              <w:rPr>
                <w:rFonts w:ascii="Arial" w:hAnsi="Arial" w:cs="Arial"/>
                <w:sz w:val="24"/>
                <w:szCs w:val="24"/>
              </w:rPr>
              <w:t xml:space="preserve">      </w:t>
            </w:r>
            <w:r w:rsidR="00323C23" w:rsidRPr="00CA4A4E">
              <w:rPr>
                <w:rFonts w:ascii="Arial" w:hAnsi="Arial" w:cs="Arial"/>
                <w:sz w:val="24"/>
                <w:szCs w:val="24"/>
              </w:rPr>
              <w:t>8. Pretesting</w:t>
            </w:r>
          </w:p>
        </w:tc>
        <w:tc>
          <w:tcPr>
            <w:tcW w:w="6768" w:type="dxa"/>
          </w:tcPr>
          <w:p w14:paraId="4AC28C05" w14:textId="77777777" w:rsidR="00323C23" w:rsidRPr="00CA4A4E" w:rsidRDefault="00323C23" w:rsidP="00D40350">
            <w:pPr>
              <w:rPr>
                <w:rFonts w:ascii="Arial" w:hAnsi="Arial" w:cs="Arial"/>
                <w:sz w:val="24"/>
                <w:szCs w:val="24"/>
              </w:rPr>
            </w:pPr>
            <w:r w:rsidRPr="00CA4A4E">
              <w:rPr>
                <w:rFonts w:ascii="Arial" w:hAnsi="Arial" w:cs="Arial"/>
                <w:sz w:val="24"/>
                <w:szCs w:val="24"/>
              </w:rPr>
              <w:t>H. The efforts to monitor and maintain the quality of the data during the conduct of the study</w:t>
            </w:r>
          </w:p>
        </w:tc>
      </w:tr>
    </w:tbl>
    <w:p w14:paraId="3C8C5855" w14:textId="77777777" w:rsidR="00323C23" w:rsidRPr="00CA4A4E" w:rsidRDefault="00323C23" w:rsidP="00323C23">
      <w:pPr>
        <w:spacing w:after="0" w:line="480" w:lineRule="auto"/>
        <w:ind w:left="360" w:hanging="360"/>
        <w:rPr>
          <w:rFonts w:ascii="Arial" w:hAnsi="Arial" w:cs="Arial"/>
          <w:sz w:val="24"/>
          <w:szCs w:val="24"/>
        </w:rPr>
      </w:pPr>
      <w:r w:rsidRPr="00CA4A4E">
        <w:rPr>
          <w:rFonts w:ascii="Arial" w:hAnsi="Arial" w:cs="Arial"/>
          <w:sz w:val="24"/>
          <w:szCs w:val="24"/>
        </w:rPr>
        <w:t xml:space="preserve"> </w:t>
      </w:r>
    </w:p>
    <w:p w14:paraId="485E63E0" w14:textId="52801D2F" w:rsidR="00EE0D98" w:rsidRPr="00FD124D" w:rsidRDefault="00EE0D98" w:rsidP="00FD124D">
      <w:pPr>
        <w:pStyle w:val="Footer"/>
        <w:numPr>
          <w:ilvl w:val="0"/>
          <w:numId w:val="11"/>
        </w:numPr>
        <w:rPr>
          <w:rFonts w:ascii="Arial" w:hAnsi="Arial" w:cs="Arial"/>
          <w:sz w:val="24"/>
          <w:szCs w:val="24"/>
        </w:rPr>
      </w:pPr>
      <w:r w:rsidRPr="00FD124D">
        <w:rPr>
          <w:rFonts w:ascii="Arial" w:hAnsi="Arial" w:cs="Arial"/>
          <w:sz w:val="24"/>
          <w:szCs w:val="24"/>
        </w:rPr>
        <w:t>Pennsylvania Patient Safety Authority</w:t>
      </w:r>
      <w:r w:rsidRPr="00FD124D">
        <w:rPr>
          <w:rFonts w:ascii="Arial" w:hAnsi="Arial" w:cs="Arial"/>
          <w:sz w:val="24"/>
          <w:szCs w:val="24"/>
        </w:rPr>
        <w:t xml:space="preserve"> recently issued a </w:t>
      </w:r>
      <w:r w:rsidRPr="00FD124D">
        <w:rPr>
          <w:rFonts w:ascii="Arial" w:hAnsi="Arial" w:cs="Arial"/>
          <w:sz w:val="24"/>
          <w:szCs w:val="24"/>
        </w:rPr>
        <w:t xml:space="preserve">report </w:t>
      </w:r>
      <w:r w:rsidR="000E49E1" w:rsidRPr="00FD124D">
        <w:rPr>
          <w:rFonts w:ascii="Arial" w:hAnsi="Arial" w:cs="Arial"/>
          <w:sz w:val="24"/>
          <w:szCs w:val="24"/>
        </w:rPr>
        <w:t xml:space="preserve">on </w:t>
      </w:r>
      <w:r w:rsidR="000E49E1" w:rsidRPr="00FD124D">
        <w:rPr>
          <w:rFonts w:ascii="Arial" w:hAnsi="Arial" w:cs="Arial"/>
          <w:sz w:val="24"/>
          <w:szCs w:val="24"/>
        </w:rPr>
        <w:t xml:space="preserve">medication errors that negatively </w:t>
      </w:r>
      <w:proofErr w:type="gramStart"/>
      <w:r w:rsidR="000E49E1" w:rsidRPr="00FD124D">
        <w:rPr>
          <w:rFonts w:ascii="Arial" w:hAnsi="Arial" w:cs="Arial"/>
          <w:sz w:val="24"/>
          <w:szCs w:val="24"/>
        </w:rPr>
        <w:t>impact</w:t>
      </w:r>
      <w:proofErr w:type="gramEnd"/>
      <w:r w:rsidR="000E49E1" w:rsidRPr="00FD124D">
        <w:rPr>
          <w:rFonts w:ascii="Arial" w:hAnsi="Arial" w:cs="Arial"/>
          <w:sz w:val="24"/>
          <w:szCs w:val="24"/>
        </w:rPr>
        <w:t xml:space="preserve"> patient safety</w:t>
      </w:r>
      <w:r w:rsidR="000E49E1" w:rsidRPr="00FD124D">
        <w:rPr>
          <w:rFonts w:ascii="Arial" w:hAnsi="Arial" w:cs="Arial"/>
          <w:sz w:val="24"/>
          <w:szCs w:val="24"/>
        </w:rPr>
        <w:t xml:space="preserve">. The report </w:t>
      </w:r>
      <w:proofErr w:type="gramStart"/>
      <w:r w:rsidR="000E49E1" w:rsidRPr="00FD124D">
        <w:rPr>
          <w:rFonts w:ascii="Arial" w:hAnsi="Arial" w:cs="Arial"/>
          <w:sz w:val="24"/>
          <w:szCs w:val="24"/>
        </w:rPr>
        <w:t>was based</w:t>
      </w:r>
      <w:proofErr w:type="gramEnd"/>
      <w:r w:rsidR="000E49E1" w:rsidRPr="00FD124D">
        <w:rPr>
          <w:rFonts w:ascii="Arial" w:hAnsi="Arial" w:cs="Arial"/>
          <w:sz w:val="24"/>
          <w:szCs w:val="24"/>
        </w:rPr>
        <w:t xml:space="preserve"> on</w:t>
      </w:r>
      <w:r w:rsidRPr="00FD124D">
        <w:rPr>
          <w:rFonts w:ascii="Arial" w:hAnsi="Arial" w:cs="Arial"/>
          <w:sz w:val="24"/>
          <w:szCs w:val="24"/>
        </w:rPr>
        <w:t xml:space="preserve"> 889 reported </w:t>
      </w:r>
      <w:r w:rsidR="000E49E1" w:rsidRPr="00FD124D">
        <w:rPr>
          <w:rFonts w:ascii="Arial" w:hAnsi="Arial" w:cs="Arial"/>
          <w:sz w:val="24"/>
          <w:szCs w:val="24"/>
        </w:rPr>
        <w:t xml:space="preserve">medication error </w:t>
      </w:r>
      <w:r w:rsidRPr="00FD124D">
        <w:rPr>
          <w:rFonts w:ascii="Arial" w:hAnsi="Arial" w:cs="Arial"/>
          <w:sz w:val="24"/>
          <w:szCs w:val="24"/>
        </w:rPr>
        <w:t>events from January 1 to June 30, 2016</w:t>
      </w:r>
      <w:r w:rsidR="000E49E1" w:rsidRPr="00FD124D">
        <w:rPr>
          <w:rFonts w:ascii="Arial" w:hAnsi="Arial" w:cs="Arial"/>
          <w:sz w:val="24"/>
          <w:szCs w:val="24"/>
        </w:rPr>
        <w:t xml:space="preserve">. </w:t>
      </w:r>
      <w:r w:rsidR="000E49E1" w:rsidRPr="00FD124D">
        <w:rPr>
          <w:rFonts w:ascii="Arial" w:hAnsi="Arial" w:cs="Arial"/>
          <w:sz w:val="24"/>
          <w:szCs w:val="24"/>
        </w:rPr>
        <w:t>Errors occurred during every step of the medication cycle, including 38.1 percent during prescribing, 27.6 percent during transcribing, 8.8 percent at dispensing, and 32.2 during administration.</w:t>
      </w:r>
      <w:r w:rsidR="00D50E8A" w:rsidRPr="00FD124D">
        <w:rPr>
          <w:rFonts w:ascii="Arial" w:hAnsi="Arial" w:cs="Arial"/>
          <w:sz w:val="24"/>
          <w:szCs w:val="24"/>
        </w:rPr>
        <w:t xml:space="preserve"> </w:t>
      </w:r>
      <w:r w:rsidR="00F20DE7" w:rsidRPr="00FD124D">
        <w:rPr>
          <w:rFonts w:ascii="Arial" w:hAnsi="Arial" w:cs="Arial"/>
          <w:sz w:val="24"/>
          <w:szCs w:val="24"/>
        </w:rPr>
        <w:t>Give examples of</w:t>
      </w:r>
      <w:r w:rsidR="00D50E8A" w:rsidRPr="00FD124D">
        <w:rPr>
          <w:rFonts w:ascii="Arial" w:hAnsi="Arial" w:cs="Arial"/>
          <w:sz w:val="24"/>
          <w:szCs w:val="24"/>
        </w:rPr>
        <w:t xml:space="preserve"> potential breakdowns in </w:t>
      </w:r>
      <w:r w:rsidR="00F20DE7" w:rsidRPr="00FD124D">
        <w:rPr>
          <w:rFonts w:ascii="Arial" w:hAnsi="Arial" w:cs="Arial"/>
          <w:sz w:val="24"/>
          <w:szCs w:val="24"/>
        </w:rPr>
        <w:t xml:space="preserve">the process </w:t>
      </w:r>
      <w:r w:rsidR="005B129D">
        <w:rPr>
          <w:rFonts w:ascii="Arial" w:hAnsi="Arial" w:cs="Arial"/>
          <w:sz w:val="24"/>
          <w:szCs w:val="24"/>
        </w:rPr>
        <w:t xml:space="preserve">prescribing medications </w:t>
      </w:r>
      <w:r w:rsidR="00F20DE7" w:rsidRPr="00FD124D">
        <w:rPr>
          <w:rFonts w:ascii="Arial" w:hAnsi="Arial" w:cs="Arial"/>
          <w:sz w:val="24"/>
          <w:szCs w:val="24"/>
        </w:rPr>
        <w:t xml:space="preserve">and how they could be addressed </w:t>
      </w:r>
      <w:proofErr w:type="gramStart"/>
      <w:r w:rsidR="00F20DE7" w:rsidRPr="00FD124D">
        <w:rPr>
          <w:rFonts w:ascii="Arial" w:hAnsi="Arial" w:cs="Arial"/>
          <w:sz w:val="24"/>
          <w:szCs w:val="24"/>
        </w:rPr>
        <w:t>through the use of</w:t>
      </w:r>
      <w:proofErr w:type="gramEnd"/>
      <w:r w:rsidR="00F20DE7" w:rsidRPr="00FD124D">
        <w:rPr>
          <w:rFonts w:ascii="Arial" w:hAnsi="Arial" w:cs="Arial"/>
          <w:sz w:val="24"/>
          <w:szCs w:val="24"/>
        </w:rPr>
        <w:t xml:space="preserve"> best practices of field research administration.</w:t>
      </w:r>
    </w:p>
    <w:p w14:paraId="7459726B" w14:textId="79132D80" w:rsidR="004D600B" w:rsidRDefault="005833AD" w:rsidP="00DC3D39">
      <w:pPr>
        <w:pStyle w:val="NormalWeb"/>
        <w:rPr>
          <w:rFonts w:ascii="Arial" w:hAnsi="Arial" w:cs="Arial"/>
          <w:b/>
        </w:rPr>
      </w:pPr>
      <w:r w:rsidRPr="00CF2384">
        <w:rPr>
          <w:rFonts w:ascii="Arial" w:hAnsi="Arial" w:cs="Arial"/>
          <w:b/>
        </w:rPr>
        <w:t xml:space="preserve">For </w:t>
      </w:r>
      <w:r w:rsidR="00A712E4" w:rsidRPr="00CF2384">
        <w:rPr>
          <w:rFonts w:ascii="Arial" w:hAnsi="Arial" w:cs="Arial"/>
          <w:b/>
        </w:rPr>
        <w:t>studies described in questions</w:t>
      </w:r>
      <w:r w:rsidRPr="00CF2384">
        <w:rPr>
          <w:rFonts w:ascii="Arial" w:hAnsi="Arial" w:cs="Arial"/>
          <w:b/>
        </w:rPr>
        <w:t xml:space="preserve"> #7-10</w:t>
      </w:r>
      <w:r w:rsidR="000C400B" w:rsidRPr="00CF2384">
        <w:rPr>
          <w:rFonts w:ascii="Arial" w:hAnsi="Arial" w:cs="Arial"/>
          <w:b/>
        </w:rPr>
        <w:t xml:space="preserve"> below</w:t>
      </w:r>
      <w:r w:rsidRPr="00CF2384">
        <w:rPr>
          <w:rFonts w:ascii="Arial" w:hAnsi="Arial" w:cs="Arial"/>
          <w:b/>
        </w:rPr>
        <w:t xml:space="preserve">, </w:t>
      </w:r>
      <w:r w:rsidR="00A712E4" w:rsidRPr="00CF2384">
        <w:rPr>
          <w:rFonts w:ascii="Arial" w:hAnsi="Arial" w:cs="Arial"/>
          <w:b/>
        </w:rPr>
        <w:t>fill the table:</w:t>
      </w:r>
    </w:p>
    <w:tbl>
      <w:tblPr>
        <w:tblStyle w:val="TableGrid"/>
        <w:tblW w:w="9445" w:type="dxa"/>
        <w:tblLook w:val="04A0" w:firstRow="1" w:lastRow="0" w:firstColumn="1" w:lastColumn="0" w:noHBand="0" w:noVBand="1"/>
      </w:tblPr>
      <w:tblGrid>
        <w:gridCol w:w="1257"/>
        <w:gridCol w:w="2428"/>
        <w:gridCol w:w="2070"/>
        <w:gridCol w:w="1737"/>
        <w:gridCol w:w="1953"/>
      </w:tblGrid>
      <w:tr w:rsidR="00DC3D39" w14:paraId="199F8782" w14:textId="77777777" w:rsidTr="00DC3D39">
        <w:tc>
          <w:tcPr>
            <w:tcW w:w="1257" w:type="dxa"/>
          </w:tcPr>
          <w:p w14:paraId="50A97F24" w14:textId="77777777" w:rsidR="00DC3D39" w:rsidRPr="00A51DCC" w:rsidRDefault="00DC3D39" w:rsidP="00562A54">
            <w:pPr>
              <w:pStyle w:val="NormalWeb"/>
              <w:rPr>
                <w:rFonts w:ascii="Arial" w:hAnsi="Arial" w:cs="Arial"/>
                <w:b/>
              </w:rPr>
            </w:pPr>
            <w:r w:rsidRPr="00A51DCC">
              <w:rPr>
                <w:rFonts w:ascii="Arial" w:hAnsi="Arial" w:cs="Arial"/>
                <w:b/>
              </w:rPr>
              <w:t>Question</w:t>
            </w:r>
          </w:p>
        </w:tc>
        <w:tc>
          <w:tcPr>
            <w:tcW w:w="2428" w:type="dxa"/>
          </w:tcPr>
          <w:p w14:paraId="117F6285" w14:textId="77777777" w:rsidR="00DC3D39" w:rsidRPr="00A51DCC" w:rsidRDefault="00DC3D39" w:rsidP="00562A54">
            <w:pPr>
              <w:pStyle w:val="NormalWeb"/>
              <w:rPr>
                <w:rFonts w:ascii="Arial" w:hAnsi="Arial" w:cs="Arial"/>
                <w:b/>
              </w:rPr>
            </w:pPr>
            <w:r w:rsidRPr="00A51DCC">
              <w:rPr>
                <w:rFonts w:ascii="Arial" w:hAnsi="Arial" w:cs="Arial"/>
                <w:b/>
              </w:rPr>
              <w:t>Research question using PICO format</w:t>
            </w:r>
          </w:p>
        </w:tc>
        <w:tc>
          <w:tcPr>
            <w:tcW w:w="2070" w:type="dxa"/>
          </w:tcPr>
          <w:p w14:paraId="5EF34502" w14:textId="77777777" w:rsidR="00DC3D39" w:rsidRPr="00A51DCC" w:rsidRDefault="00DC3D39" w:rsidP="00562A54">
            <w:pPr>
              <w:pStyle w:val="NormalWeb"/>
              <w:rPr>
                <w:rFonts w:ascii="Arial" w:hAnsi="Arial" w:cs="Arial"/>
                <w:b/>
              </w:rPr>
            </w:pPr>
            <w:r w:rsidRPr="00A51DCC">
              <w:rPr>
                <w:rFonts w:ascii="Arial" w:hAnsi="Arial" w:cs="Arial"/>
                <w:b/>
              </w:rPr>
              <w:t>Null hypothesis</w:t>
            </w:r>
          </w:p>
        </w:tc>
        <w:tc>
          <w:tcPr>
            <w:tcW w:w="1737" w:type="dxa"/>
          </w:tcPr>
          <w:p w14:paraId="35AB3C83" w14:textId="77777777" w:rsidR="00DC3D39" w:rsidRPr="00A51DCC" w:rsidRDefault="00DC3D39" w:rsidP="00562A54">
            <w:pPr>
              <w:pStyle w:val="NormalWeb"/>
              <w:rPr>
                <w:rFonts w:ascii="Arial" w:hAnsi="Arial" w:cs="Arial"/>
                <w:b/>
              </w:rPr>
            </w:pPr>
            <w:r w:rsidRPr="00A51DCC">
              <w:rPr>
                <w:rFonts w:ascii="Arial" w:hAnsi="Arial" w:cs="Arial"/>
                <w:b/>
              </w:rPr>
              <w:t>Phenomenon of interest</w:t>
            </w:r>
          </w:p>
        </w:tc>
        <w:tc>
          <w:tcPr>
            <w:tcW w:w="1953" w:type="dxa"/>
          </w:tcPr>
          <w:p w14:paraId="053D3ED1" w14:textId="01370DD0" w:rsidR="00DC3D39" w:rsidRPr="00A51DCC" w:rsidRDefault="00DC3D39" w:rsidP="00562A54">
            <w:pPr>
              <w:pStyle w:val="NormalWeb"/>
              <w:rPr>
                <w:rFonts w:ascii="Arial" w:hAnsi="Arial" w:cs="Arial"/>
                <w:b/>
              </w:rPr>
            </w:pPr>
            <w:r w:rsidRPr="00A51DCC">
              <w:rPr>
                <w:rFonts w:ascii="Arial" w:hAnsi="Arial" w:cs="Arial"/>
                <w:b/>
              </w:rPr>
              <w:t>Domains/</w:t>
            </w:r>
            <w:r>
              <w:rPr>
                <w:rFonts w:ascii="Arial" w:hAnsi="Arial" w:cs="Arial"/>
                <w:b/>
              </w:rPr>
              <w:t xml:space="preserve"> </w:t>
            </w:r>
            <w:r w:rsidRPr="00A51DCC">
              <w:rPr>
                <w:rFonts w:ascii="Arial" w:hAnsi="Arial" w:cs="Arial"/>
                <w:b/>
              </w:rPr>
              <w:t>Concepts</w:t>
            </w:r>
          </w:p>
        </w:tc>
      </w:tr>
      <w:tr w:rsidR="00DC3D39" w14:paraId="4DF74D46" w14:textId="77777777" w:rsidTr="00DC3D39">
        <w:tc>
          <w:tcPr>
            <w:tcW w:w="1257" w:type="dxa"/>
          </w:tcPr>
          <w:p w14:paraId="181E46D1" w14:textId="77777777" w:rsidR="00DC3D39" w:rsidRDefault="00DC3D39" w:rsidP="00562A54">
            <w:pPr>
              <w:pStyle w:val="NormalWeb"/>
              <w:rPr>
                <w:rFonts w:ascii="Arial" w:hAnsi="Arial" w:cs="Arial"/>
              </w:rPr>
            </w:pPr>
            <w:r>
              <w:rPr>
                <w:rFonts w:ascii="Arial" w:hAnsi="Arial" w:cs="Arial"/>
              </w:rPr>
              <w:t>Q#7</w:t>
            </w:r>
          </w:p>
        </w:tc>
        <w:tc>
          <w:tcPr>
            <w:tcW w:w="2428" w:type="dxa"/>
          </w:tcPr>
          <w:p w14:paraId="5C8F896E" w14:textId="77777777" w:rsidR="00DC3D39" w:rsidRPr="003511E7" w:rsidRDefault="00DC3D39" w:rsidP="00562A54">
            <w:pPr>
              <w:pStyle w:val="NormalWeb"/>
              <w:rPr>
                <w:rFonts w:ascii="Arial" w:hAnsi="Arial" w:cs="Arial"/>
                <w:color w:val="FF0000"/>
              </w:rPr>
            </w:pPr>
          </w:p>
        </w:tc>
        <w:tc>
          <w:tcPr>
            <w:tcW w:w="2070" w:type="dxa"/>
          </w:tcPr>
          <w:p w14:paraId="09982212" w14:textId="77777777" w:rsidR="00DC3D39" w:rsidRPr="003511E7" w:rsidRDefault="00DC3D39" w:rsidP="00562A54">
            <w:pPr>
              <w:pStyle w:val="NormalWeb"/>
              <w:rPr>
                <w:rFonts w:ascii="Arial" w:hAnsi="Arial" w:cs="Arial"/>
                <w:color w:val="FF0000"/>
              </w:rPr>
            </w:pPr>
          </w:p>
        </w:tc>
        <w:tc>
          <w:tcPr>
            <w:tcW w:w="1737" w:type="dxa"/>
          </w:tcPr>
          <w:p w14:paraId="2C5FCF9A" w14:textId="77777777" w:rsidR="00DC3D39" w:rsidRPr="003511E7" w:rsidRDefault="00DC3D39" w:rsidP="00562A54">
            <w:pPr>
              <w:pStyle w:val="NormalWeb"/>
              <w:rPr>
                <w:rFonts w:ascii="Arial" w:hAnsi="Arial" w:cs="Arial"/>
                <w:color w:val="FF0000"/>
              </w:rPr>
            </w:pPr>
          </w:p>
        </w:tc>
        <w:tc>
          <w:tcPr>
            <w:tcW w:w="1953" w:type="dxa"/>
          </w:tcPr>
          <w:p w14:paraId="72AC1039" w14:textId="77777777" w:rsidR="00DC3D39" w:rsidRPr="003511E7" w:rsidRDefault="00DC3D39" w:rsidP="00562A54">
            <w:pPr>
              <w:pStyle w:val="NormalWeb"/>
              <w:rPr>
                <w:rFonts w:ascii="Arial" w:hAnsi="Arial" w:cs="Arial"/>
                <w:color w:val="FF0000"/>
              </w:rPr>
            </w:pPr>
          </w:p>
        </w:tc>
      </w:tr>
      <w:tr w:rsidR="00DC3D39" w14:paraId="718ADFCB" w14:textId="77777777" w:rsidTr="00DC3D39">
        <w:tc>
          <w:tcPr>
            <w:tcW w:w="1257" w:type="dxa"/>
          </w:tcPr>
          <w:p w14:paraId="235C45EE" w14:textId="77777777" w:rsidR="00DC3D39" w:rsidRDefault="00DC3D39" w:rsidP="00562A54">
            <w:pPr>
              <w:pStyle w:val="NormalWeb"/>
              <w:rPr>
                <w:rFonts w:ascii="Arial" w:hAnsi="Arial" w:cs="Arial"/>
              </w:rPr>
            </w:pPr>
            <w:r>
              <w:rPr>
                <w:rFonts w:ascii="Arial" w:hAnsi="Arial" w:cs="Arial"/>
              </w:rPr>
              <w:t>Q#8</w:t>
            </w:r>
          </w:p>
        </w:tc>
        <w:tc>
          <w:tcPr>
            <w:tcW w:w="2428" w:type="dxa"/>
          </w:tcPr>
          <w:p w14:paraId="25F38A96" w14:textId="77777777" w:rsidR="00DC3D39" w:rsidRPr="00A51DCC" w:rsidRDefault="00DC3D39" w:rsidP="00562A54">
            <w:pPr>
              <w:pStyle w:val="NormalWeb"/>
              <w:rPr>
                <w:rFonts w:ascii="Arial" w:hAnsi="Arial" w:cs="Arial"/>
                <w:color w:val="FF0000"/>
              </w:rPr>
            </w:pPr>
          </w:p>
        </w:tc>
        <w:tc>
          <w:tcPr>
            <w:tcW w:w="2070" w:type="dxa"/>
          </w:tcPr>
          <w:p w14:paraId="0B186F24" w14:textId="77777777" w:rsidR="00DC3D39" w:rsidRPr="00A51DCC" w:rsidRDefault="00DC3D39" w:rsidP="00562A54">
            <w:pPr>
              <w:pStyle w:val="NormalWeb"/>
              <w:rPr>
                <w:rFonts w:ascii="Arial" w:hAnsi="Arial" w:cs="Arial"/>
                <w:color w:val="FF0000"/>
              </w:rPr>
            </w:pPr>
          </w:p>
        </w:tc>
        <w:tc>
          <w:tcPr>
            <w:tcW w:w="1737" w:type="dxa"/>
          </w:tcPr>
          <w:p w14:paraId="436C78F7" w14:textId="77777777" w:rsidR="00DC3D39" w:rsidRPr="00A51DCC" w:rsidRDefault="00DC3D39" w:rsidP="00562A54">
            <w:pPr>
              <w:pStyle w:val="NormalWeb"/>
              <w:rPr>
                <w:rFonts w:ascii="Arial" w:hAnsi="Arial" w:cs="Arial"/>
                <w:color w:val="FF0000"/>
              </w:rPr>
            </w:pPr>
          </w:p>
        </w:tc>
        <w:tc>
          <w:tcPr>
            <w:tcW w:w="1953" w:type="dxa"/>
          </w:tcPr>
          <w:p w14:paraId="3369811C" w14:textId="77777777" w:rsidR="00DC3D39" w:rsidRPr="00A51DCC" w:rsidRDefault="00DC3D39" w:rsidP="00562A54">
            <w:pPr>
              <w:pStyle w:val="NormalWeb"/>
              <w:rPr>
                <w:rFonts w:ascii="Arial" w:hAnsi="Arial" w:cs="Arial"/>
                <w:color w:val="FF0000"/>
              </w:rPr>
            </w:pPr>
          </w:p>
        </w:tc>
      </w:tr>
      <w:tr w:rsidR="00DC3D39" w14:paraId="67807800" w14:textId="77777777" w:rsidTr="00DC3D39">
        <w:tc>
          <w:tcPr>
            <w:tcW w:w="1257" w:type="dxa"/>
          </w:tcPr>
          <w:p w14:paraId="77B859AA" w14:textId="77777777" w:rsidR="00DC3D39" w:rsidRDefault="00DC3D39" w:rsidP="00562A54">
            <w:pPr>
              <w:pStyle w:val="NormalWeb"/>
              <w:rPr>
                <w:rFonts w:ascii="Arial" w:hAnsi="Arial" w:cs="Arial"/>
              </w:rPr>
            </w:pPr>
            <w:r>
              <w:rPr>
                <w:rFonts w:ascii="Arial" w:hAnsi="Arial" w:cs="Arial"/>
              </w:rPr>
              <w:t>Q#9</w:t>
            </w:r>
          </w:p>
        </w:tc>
        <w:tc>
          <w:tcPr>
            <w:tcW w:w="2428" w:type="dxa"/>
          </w:tcPr>
          <w:p w14:paraId="7654D6C0" w14:textId="77777777" w:rsidR="00DC3D39" w:rsidRPr="00A51DCC" w:rsidRDefault="00DC3D39" w:rsidP="00562A54">
            <w:pPr>
              <w:pStyle w:val="Footer"/>
              <w:rPr>
                <w:rFonts w:ascii="Arial" w:hAnsi="Arial" w:cs="Arial"/>
                <w:color w:val="FF0000"/>
                <w:sz w:val="24"/>
              </w:rPr>
            </w:pPr>
          </w:p>
        </w:tc>
        <w:tc>
          <w:tcPr>
            <w:tcW w:w="2070" w:type="dxa"/>
          </w:tcPr>
          <w:p w14:paraId="2FBF77AA" w14:textId="77777777" w:rsidR="00DC3D39" w:rsidRPr="00A51DCC" w:rsidRDefault="00DC3D39" w:rsidP="00562A54">
            <w:pPr>
              <w:pStyle w:val="NormalWeb"/>
              <w:rPr>
                <w:rFonts w:ascii="Arial" w:hAnsi="Arial" w:cs="Arial"/>
                <w:color w:val="FF0000"/>
              </w:rPr>
            </w:pPr>
          </w:p>
        </w:tc>
        <w:tc>
          <w:tcPr>
            <w:tcW w:w="1737" w:type="dxa"/>
          </w:tcPr>
          <w:p w14:paraId="5F5E8E98" w14:textId="77777777" w:rsidR="00DC3D39" w:rsidRPr="00A51DCC" w:rsidRDefault="00DC3D39" w:rsidP="00562A54">
            <w:pPr>
              <w:pStyle w:val="NormalWeb"/>
              <w:rPr>
                <w:rFonts w:ascii="Arial" w:hAnsi="Arial" w:cs="Arial"/>
                <w:color w:val="FF0000"/>
              </w:rPr>
            </w:pPr>
          </w:p>
        </w:tc>
        <w:tc>
          <w:tcPr>
            <w:tcW w:w="1953" w:type="dxa"/>
          </w:tcPr>
          <w:p w14:paraId="49915541" w14:textId="77777777" w:rsidR="00DC3D39" w:rsidRPr="00A51DCC" w:rsidRDefault="00DC3D39" w:rsidP="00562A54">
            <w:pPr>
              <w:pStyle w:val="NormalWeb"/>
              <w:rPr>
                <w:rFonts w:ascii="Arial" w:hAnsi="Arial" w:cs="Arial"/>
                <w:color w:val="FF0000"/>
              </w:rPr>
            </w:pPr>
          </w:p>
        </w:tc>
      </w:tr>
      <w:tr w:rsidR="00DC3D39" w14:paraId="27915E6E" w14:textId="77777777" w:rsidTr="00DC3D39">
        <w:tc>
          <w:tcPr>
            <w:tcW w:w="1257" w:type="dxa"/>
          </w:tcPr>
          <w:p w14:paraId="46888C97" w14:textId="77777777" w:rsidR="00DC3D39" w:rsidRDefault="00DC3D39" w:rsidP="00562A54">
            <w:pPr>
              <w:pStyle w:val="NormalWeb"/>
              <w:rPr>
                <w:rFonts w:ascii="Arial" w:hAnsi="Arial" w:cs="Arial"/>
              </w:rPr>
            </w:pPr>
            <w:r>
              <w:rPr>
                <w:rFonts w:ascii="Arial" w:hAnsi="Arial" w:cs="Arial"/>
              </w:rPr>
              <w:t>Q#10</w:t>
            </w:r>
          </w:p>
        </w:tc>
        <w:tc>
          <w:tcPr>
            <w:tcW w:w="2428" w:type="dxa"/>
          </w:tcPr>
          <w:p w14:paraId="7F86489B" w14:textId="77777777" w:rsidR="00DC3D39" w:rsidRPr="00A51DCC" w:rsidRDefault="00DC3D39" w:rsidP="00562A54">
            <w:pPr>
              <w:pStyle w:val="NormalWeb"/>
              <w:rPr>
                <w:rFonts w:ascii="Arial" w:hAnsi="Arial" w:cs="Arial"/>
                <w:color w:val="FF0000"/>
              </w:rPr>
            </w:pPr>
          </w:p>
        </w:tc>
        <w:tc>
          <w:tcPr>
            <w:tcW w:w="2070" w:type="dxa"/>
          </w:tcPr>
          <w:p w14:paraId="5D9C54A6" w14:textId="77777777" w:rsidR="00DC3D39" w:rsidRPr="00A51DCC" w:rsidRDefault="00DC3D39" w:rsidP="00562A54">
            <w:pPr>
              <w:pStyle w:val="NormalWeb"/>
              <w:rPr>
                <w:rFonts w:ascii="Arial" w:hAnsi="Arial" w:cs="Arial"/>
                <w:color w:val="FF0000"/>
              </w:rPr>
            </w:pPr>
          </w:p>
        </w:tc>
        <w:tc>
          <w:tcPr>
            <w:tcW w:w="1737" w:type="dxa"/>
          </w:tcPr>
          <w:p w14:paraId="51684556" w14:textId="77777777" w:rsidR="00DC3D39" w:rsidRPr="00A51DCC" w:rsidRDefault="00DC3D39" w:rsidP="00562A54">
            <w:pPr>
              <w:pStyle w:val="NormalWeb"/>
              <w:rPr>
                <w:rFonts w:ascii="Arial" w:hAnsi="Arial" w:cs="Arial"/>
                <w:color w:val="FF0000"/>
              </w:rPr>
            </w:pPr>
          </w:p>
        </w:tc>
        <w:tc>
          <w:tcPr>
            <w:tcW w:w="1953" w:type="dxa"/>
          </w:tcPr>
          <w:p w14:paraId="2838D6B3" w14:textId="77777777" w:rsidR="00DC3D39" w:rsidRPr="00A51DCC" w:rsidRDefault="00DC3D39" w:rsidP="00562A54">
            <w:pPr>
              <w:pStyle w:val="NormalWeb"/>
              <w:rPr>
                <w:rFonts w:ascii="Arial" w:hAnsi="Arial" w:cs="Arial"/>
                <w:color w:val="FF0000"/>
              </w:rPr>
            </w:pPr>
          </w:p>
        </w:tc>
      </w:tr>
    </w:tbl>
    <w:p w14:paraId="6FC57890" w14:textId="77777777" w:rsidR="00DC3D39" w:rsidRPr="00CF2384" w:rsidRDefault="00DC3D39" w:rsidP="00DC3D39">
      <w:pPr>
        <w:pStyle w:val="NormalWeb"/>
        <w:rPr>
          <w:rFonts w:ascii="Arial" w:hAnsi="Arial" w:cs="Arial"/>
          <w:b/>
        </w:rPr>
      </w:pPr>
    </w:p>
    <w:p w14:paraId="79FFFB07" w14:textId="2F2011A2" w:rsidR="00870E39" w:rsidRDefault="005833AD" w:rsidP="00CF2384">
      <w:pPr>
        <w:pStyle w:val="Footer"/>
        <w:numPr>
          <w:ilvl w:val="0"/>
          <w:numId w:val="11"/>
        </w:numPr>
        <w:rPr>
          <w:rFonts w:ascii="Arial" w:hAnsi="Arial" w:cs="Arial"/>
          <w:sz w:val="24"/>
        </w:rPr>
      </w:pPr>
      <w:r w:rsidRPr="00756878">
        <w:rPr>
          <w:rFonts w:ascii="Arial" w:hAnsi="Arial" w:cs="Arial"/>
          <w:sz w:val="24"/>
        </w:rPr>
        <w:lastRenderedPageBreak/>
        <w:t xml:space="preserve">Chronic non-cancer pain (CNCP) continues to be a significant challenge for clinicians and policymakers in the Veterans Health Administration (VHA). The number of veterans with CNCP </w:t>
      </w:r>
      <w:proofErr w:type="gramStart"/>
      <w:r w:rsidRPr="00756878">
        <w:rPr>
          <w:rFonts w:ascii="Arial" w:hAnsi="Arial" w:cs="Arial"/>
          <w:sz w:val="24"/>
        </w:rPr>
        <w:t>was estimated</w:t>
      </w:r>
      <w:proofErr w:type="gramEnd"/>
      <w:r w:rsidRPr="00756878">
        <w:rPr>
          <w:rFonts w:ascii="Arial" w:hAnsi="Arial" w:cs="Arial"/>
          <w:sz w:val="24"/>
        </w:rPr>
        <w:t xml:space="preserve"> to be 1.33 million in 2009 and 1.44 million in 2011 (</w:t>
      </w:r>
      <w:proofErr w:type="spellStart"/>
      <w:r w:rsidRPr="00756878">
        <w:rPr>
          <w:rFonts w:ascii="Arial" w:hAnsi="Arial" w:cs="Arial"/>
          <w:sz w:val="24"/>
        </w:rPr>
        <w:t>Edlund</w:t>
      </w:r>
      <w:proofErr w:type="spellEnd"/>
      <w:r w:rsidRPr="00756878">
        <w:rPr>
          <w:rFonts w:ascii="Arial" w:hAnsi="Arial" w:cs="Arial"/>
          <w:sz w:val="24"/>
        </w:rPr>
        <w:t xml:space="preserve"> et al., 2014). Additionally, CNCP is highly prevalent in veterans returning from the recent tours of Operation Enduring Freedom/Operation Iraqi Freedom (OEF/OIF) (Macey, Weimer, </w:t>
      </w:r>
      <w:proofErr w:type="spellStart"/>
      <w:r w:rsidRPr="00756878">
        <w:rPr>
          <w:rFonts w:ascii="Arial" w:hAnsi="Arial" w:cs="Arial"/>
          <w:sz w:val="24"/>
        </w:rPr>
        <w:t>Grimaldi</w:t>
      </w:r>
      <w:proofErr w:type="spellEnd"/>
      <w:r w:rsidRPr="00756878">
        <w:rPr>
          <w:rFonts w:ascii="Arial" w:hAnsi="Arial" w:cs="Arial"/>
          <w:sz w:val="24"/>
        </w:rPr>
        <w:t xml:space="preserve">, </w:t>
      </w:r>
      <w:proofErr w:type="spellStart"/>
      <w:r w:rsidRPr="00756878">
        <w:rPr>
          <w:rFonts w:ascii="Arial" w:hAnsi="Arial" w:cs="Arial"/>
          <w:sz w:val="24"/>
        </w:rPr>
        <w:t>Dobscha</w:t>
      </w:r>
      <w:proofErr w:type="spellEnd"/>
      <w:r w:rsidRPr="00756878">
        <w:rPr>
          <w:rFonts w:ascii="Arial" w:hAnsi="Arial" w:cs="Arial"/>
          <w:sz w:val="24"/>
        </w:rPr>
        <w:t xml:space="preserve">, &amp; </w:t>
      </w:r>
      <w:proofErr w:type="spellStart"/>
      <w:r w:rsidRPr="00756878">
        <w:rPr>
          <w:rFonts w:ascii="Arial" w:hAnsi="Arial" w:cs="Arial"/>
          <w:sz w:val="24"/>
        </w:rPr>
        <w:t>Morasco</w:t>
      </w:r>
      <w:proofErr w:type="spellEnd"/>
      <w:r w:rsidRPr="00756878">
        <w:rPr>
          <w:rFonts w:ascii="Arial" w:hAnsi="Arial" w:cs="Arial"/>
          <w:sz w:val="24"/>
        </w:rPr>
        <w:t>, 2013). Nearly half of these veterans report high rates of musculoskeletal pain, CNCP from complex injuries</w:t>
      </w:r>
      <w:r w:rsidR="006A1E96">
        <w:rPr>
          <w:rFonts w:ascii="Arial" w:hAnsi="Arial" w:cs="Arial"/>
          <w:sz w:val="24"/>
        </w:rPr>
        <w:t>,</w:t>
      </w:r>
      <w:r w:rsidRPr="00756878">
        <w:rPr>
          <w:rFonts w:ascii="Arial" w:hAnsi="Arial" w:cs="Arial"/>
          <w:sz w:val="24"/>
        </w:rPr>
        <w:t xml:space="preserve"> including poly-trauma and blast injuries</w:t>
      </w:r>
      <w:r w:rsidR="006A1E96">
        <w:rPr>
          <w:rFonts w:ascii="Arial" w:hAnsi="Arial" w:cs="Arial"/>
          <w:sz w:val="24"/>
        </w:rPr>
        <w:t>,</w:t>
      </w:r>
      <w:r w:rsidRPr="00756878">
        <w:rPr>
          <w:rFonts w:ascii="Arial" w:hAnsi="Arial" w:cs="Arial"/>
          <w:sz w:val="24"/>
        </w:rPr>
        <w:t xml:space="preserve"> in addition to psychological trauma related to war and active combat (Macey et al., 2013). Collectively, the impact of CNCP on veterans’ long-term physical, emotional, and social well-being are significant, often leading to higher rates of disabilities, depression, substance use disorder (SUD), suicide, and overdose (Gallagher, 2016).</w:t>
      </w:r>
    </w:p>
    <w:p w14:paraId="39A768DF" w14:textId="77777777" w:rsidR="00AC4B4C" w:rsidRDefault="00AC4B4C" w:rsidP="00AC4B4C">
      <w:pPr>
        <w:pStyle w:val="Footer"/>
        <w:ind w:left="720"/>
        <w:rPr>
          <w:rFonts w:ascii="Arial" w:hAnsi="Arial" w:cs="Arial"/>
          <w:sz w:val="24"/>
        </w:rPr>
      </w:pPr>
    </w:p>
    <w:p w14:paraId="167026A1" w14:textId="0CA5605A" w:rsidR="00AC4B4C" w:rsidRDefault="00C84083" w:rsidP="006277F8">
      <w:pPr>
        <w:pStyle w:val="Footer"/>
        <w:numPr>
          <w:ilvl w:val="0"/>
          <w:numId w:val="11"/>
        </w:numPr>
        <w:rPr>
          <w:rFonts w:ascii="Arial" w:hAnsi="Arial" w:cs="Arial"/>
          <w:sz w:val="24"/>
        </w:rPr>
      </w:pPr>
      <w:r w:rsidRPr="00C84083">
        <w:rPr>
          <w:rFonts w:ascii="Arial" w:hAnsi="Arial" w:cs="Arial"/>
          <w:sz w:val="24"/>
        </w:rPr>
        <w:t xml:space="preserve">Stimulant use disorders can </w:t>
      </w:r>
      <w:proofErr w:type="gramStart"/>
      <w:r w:rsidRPr="00C84083">
        <w:rPr>
          <w:rFonts w:ascii="Arial" w:hAnsi="Arial" w:cs="Arial"/>
          <w:sz w:val="24"/>
        </w:rPr>
        <w:t>impact</w:t>
      </w:r>
      <w:proofErr w:type="gramEnd"/>
      <w:r w:rsidRPr="00C84083">
        <w:rPr>
          <w:rFonts w:ascii="Arial" w:hAnsi="Arial" w:cs="Arial"/>
          <w:sz w:val="24"/>
        </w:rPr>
        <w:t xml:space="preserve"> various cognitive domains, such as attention, memory, executive function, impulsivity and decision-making. Regarding memory, various types of memory </w:t>
      </w:r>
      <w:proofErr w:type="gramStart"/>
      <w:r w:rsidRPr="00C84083">
        <w:rPr>
          <w:rFonts w:ascii="Arial" w:hAnsi="Arial" w:cs="Arial"/>
          <w:sz w:val="24"/>
        </w:rPr>
        <w:t>can be impacted</w:t>
      </w:r>
      <w:proofErr w:type="gramEnd"/>
      <w:r w:rsidRPr="00C84083">
        <w:rPr>
          <w:rFonts w:ascii="Arial" w:hAnsi="Arial" w:cs="Arial"/>
          <w:sz w:val="24"/>
        </w:rPr>
        <w:t xml:space="preserve"> with chronic stimulant use, such as working memory, verbal memory and visual memory. </w:t>
      </w:r>
      <w:r>
        <w:rPr>
          <w:rFonts w:ascii="Arial" w:hAnsi="Arial" w:cs="Arial"/>
          <w:sz w:val="24"/>
        </w:rPr>
        <w:t xml:space="preserve">The study was based in a neighborhood health clinic serving a population of </w:t>
      </w:r>
      <w:r w:rsidR="00FF515A">
        <w:rPr>
          <w:rFonts w:ascii="Arial" w:hAnsi="Arial" w:cs="Arial"/>
          <w:sz w:val="24"/>
        </w:rPr>
        <w:t xml:space="preserve">marginally housed men-having-sex-with-men (MSM) in San Francisco and aimed to examine the effects of stimulant use on </w:t>
      </w:r>
      <w:r w:rsidR="0060731A">
        <w:rPr>
          <w:rFonts w:ascii="Arial" w:hAnsi="Arial" w:cs="Arial"/>
          <w:sz w:val="24"/>
        </w:rPr>
        <w:t xml:space="preserve">memory, in particular </w:t>
      </w:r>
      <w:r w:rsidR="0060731A" w:rsidRPr="00C84083">
        <w:rPr>
          <w:rFonts w:ascii="Arial" w:hAnsi="Arial" w:cs="Arial"/>
          <w:sz w:val="24"/>
        </w:rPr>
        <w:t>verbal memory</w:t>
      </w:r>
      <w:r w:rsidR="0060731A">
        <w:rPr>
          <w:rFonts w:ascii="Arial" w:hAnsi="Arial" w:cs="Arial"/>
          <w:sz w:val="24"/>
        </w:rPr>
        <w:t xml:space="preserve"> and its components, including</w:t>
      </w:r>
      <w:r w:rsidR="0060731A" w:rsidRPr="00C84083">
        <w:rPr>
          <w:rFonts w:ascii="Arial" w:hAnsi="Arial" w:cs="Arial"/>
          <w:sz w:val="24"/>
        </w:rPr>
        <w:t xml:space="preserve"> immediate</w:t>
      </w:r>
      <w:r w:rsidRPr="00C84083">
        <w:rPr>
          <w:rFonts w:ascii="Arial" w:hAnsi="Arial" w:cs="Arial"/>
          <w:sz w:val="24"/>
        </w:rPr>
        <w:t xml:space="preserve"> verbal recall, delayed verbal recall, total verbal recall, retention and recognition.</w:t>
      </w:r>
    </w:p>
    <w:p w14:paraId="1E671C9D" w14:textId="77777777" w:rsidR="007D25E8" w:rsidRDefault="007D25E8" w:rsidP="007D25E8">
      <w:pPr>
        <w:pStyle w:val="ListParagraph"/>
        <w:rPr>
          <w:rFonts w:ascii="Arial" w:hAnsi="Arial" w:cs="Arial"/>
          <w:sz w:val="24"/>
        </w:rPr>
      </w:pPr>
    </w:p>
    <w:p w14:paraId="161DC78F" w14:textId="4620811B" w:rsidR="007D25E8" w:rsidRDefault="00030411" w:rsidP="006277F8">
      <w:pPr>
        <w:pStyle w:val="Footer"/>
        <w:numPr>
          <w:ilvl w:val="0"/>
          <w:numId w:val="11"/>
        </w:numPr>
        <w:rPr>
          <w:rFonts w:ascii="Arial" w:hAnsi="Arial" w:cs="Arial"/>
          <w:sz w:val="24"/>
        </w:rPr>
      </w:pPr>
      <w:r w:rsidRPr="00030411">
        <w:rPr>
          <w:rFonts w:ascii="Arial" w:hAnsi="Arial" w:cs="Arial"/>
          <w:sz w:val="24"/>
        </w:rPr>
        <w:t>Despite the multiple connections documented between physical pain and psychological pain</w:t>
      </w:r>
      <w:r w:rsidR="006D6441">
        <w:rPr>
          <w:rFonts w:ascii="Arial" w:hAnsi="Arial" w:cs="Arial"/>
          <w:sz w:val="24"/>
        </w:rPr>
        <w:t>,</w:t>
      </w:r>
      <w:r w:rsidRPr="00030411">
        <w:rPr>
          <w:rFonts w:ascii="Arial" w:hAnsi="Arial" w:cs="Arial"/>
          <w:sz w:val="24"/>
        </w:rPr>
        <w:t xml:space="preserve"> there are </w:t>
      </w:r>
      <w:r w:rsidR="003A7BDA">
        <w:rPr>
          <w:rFonts w:ascii="Arial" w:hAnsi="Arial" w:cs="Arial"/>
          <w:sz w:val="24"/>
        </w:rPr>
        <w:t xml:space="preserve">only a </w:t>
      </w:r>
      <w:r>
        <w:rPr>
          <w:rFonts w:ascii="Arial" w:hAnsi="Arial" w:cs="Arial"/>
          <w:sz w:val="24"/>
        </w:rPr>
        <w:t>few</w:t>
      </w:r>
      <w:r w:rsidRPr="00030411">
        <w:rPr>
          <w:rFonts w:ascii="Arial" w:hAnsi="Arial" w:cs="Arial"/>
          <w:sz w:val="24"/>
        </w:rPr>
        <w:t xml:space="preserve"> published studies on the relationship between physical pain and psychological pain from a symptom management perspective.  Increased understanding of the relationship between physical pain and psychological pain will deepen understanding of the complexities of chronic pain and how chronic pain conditions </w:t>
      </w:r>
      <w:proofErr w:type="gramStart"/>
      <w:r w:rsidRPr="00030411">
        <w:rPr>
          <w:rFonts w:ascii="Arial" w:hAnsi="Arial" w:cs="Arial"/>
          <w:sz w:val="24"/>
        </w:rPr>
        <w:t>might be influence</w:t>
      </w:r>
      <w:r w:rsidR="00820C05">
        <w:rPr>
          <w:rFonts w:ascii="Arial" w:hAnsi="Arial" w:cs="Arial"/>
          <w:sz w:val="24"/>
        </w:rPr>
        <w:t>d</w:t>
      </w:r>
      <w:proofErr w:type="gramEnd"/>
      <w:r w:rsidRPr="00030411">
        <w:rPr>
          <w:rFonts w:ascii="Arial" w:hAnsi="Arial" w:cs="Arial"/>
          <w:sz w:val="24"/>
        </w:rPr>
        <w:t xml:space="preserve"> by </w:t>
      </w:r>
      <w:r w:rsidR="00592F06">
        <w:rPr>
          <w:rFonts w:ascii="Arial" w:hAnsi="Arial" w:cs="Arial"/>
          <w:sz w:val="24"/>
        </w:rPr>
        <w:t xml:space="preserve">factors contributing to </w:t>
      </w:r>
      <w:r w:rsidR="009C4C8B">
        <w:rPr>
          <w:rFonts w:ascii="Arial" w:hAnsi="Arial" w:cs="Arial"/>
          <w:sz w:val="24"/>
        </w:rPr>
        <w:t>psychological</w:t>
      </w:r>
      <w:r w:rsidR="00820C05">
        <w:rPr>
          <w:rFonts w:ascii="Arial" w:hAnsi="Arial" w:cs="Arial"/>
          <w:sz w:val="24"/>
        </w:rPr>
        <w:t xml:space="preserve"> </w:t>
      </w:r>
      <w:r w:rsidR="00592F06">
        <w:rPr>
          <w:rFonts w:ascii="Arial" w:hAnsi="Arial" w:cs="Arial"/>
          <w:sz w:val="24"/>
        </w:rPr>
        <w:t>pain</w:t>
      </w:r>
      <w:r w:rsidR="003A7BDA">
        <w:rPr>
          <w:rFonts w:ascii="Arial" w:hAnsi="Arial" w:cs="Arial"/>
          <w:sz w:val="24"/>
        </w:rPr>
        <w:t>, including socioeconomic, demographic</w:t>
      </w:r>
      <w:r w:rsidR="00820C05">
        <w:rPr>
          <w:rFonts w:ascii="Arial" w:hAnsi="Arial" w:cs="Arial"/>
          <w:sz w:val="24"/>
        </w:rPr>
        <w:t xml:space="preserve"> and environmental</w:t>
      </w:r>
      <w:r w:rsidRPr="00030411">
        <w:rPr>
          <w:rFonts w:ascii="Arial" w:hAnsi="Arial" w:cs="Arial"/>
          <w:sz w:val="24"/>
        </w:rPr>
        <w:t xml:space="preserve">.  It </w:t>
      </w:r>
      <w:proofErr w:type="gramStart"/>
      <w:r w:rsidRPr="00030411">
        <w:rPr>
          <w:rFonts w:ascii="Arial" w:hAnsi="Arial" w:cs="Arial"/>
          <w:sz w:val="24"/>
        </w:rPr>
        <w:t>is hoped</w:t>
      </w:r>
      <w:proofErr w:type="gramEnd"/>
      <w:r w:rsidRPr="00030411">
        <w:rPr>
          <w:rFonts w:ascii="Arial" w:hAnsi="Arial" w:cs="Arial"/>
          <w:sz w:val="24"/>
        </w:rPr>
        <w:t xml:space="preserve"> that this will ultimately lead to improved management of</w:t>
      </w:r>
      <w:r w:rsidR="006D6441">
        <w:rPr>
          <w:rFonts w:ascii="Arial" w:hAnsi="Arial" w:cs="Arial"/>
          <w:sz w:val="24"/>
        </w:rPr>
        <w:t xml:space="preserve"> chronic physical pain symptoms in patients undergoing treatment for chronic conditions at </w:t>
      </w:r>
      <w:r w:rsidR="003A7BDA">
        <w:rPr>
          <w:rFonts w:ascii="Arial" w:hAnsi="Arial" w:cs="Arial"/>
          <w:sz w:val="24"/>
        </w:rPr>
        <w:t xml:space="preserve">the </w:t>
      </w:r>
      <w:r w:rsidR="006D6441">
        <w:rPr>
          <w:rFonts w:ascii="Arial" w:hAnsi="Arial" w:cs="Arial"/>
          <w:sz w:val="24"/>
        </w:rPr>
        <w:t>UCSF ambulatory care clinic.</w:t>
      </w:r>
    </w:p>
    <w:p w14:paraId="2F640EF9" w14:textId="77777777" w:rsidR="00111D9A" w:rsidRDefault="00111D9A" w:rsidP="00111D9A">
      <w:pPr>
        <w:pStyle w:val="ListParagraph"/>
        <w:rPr>
          <w:rFonts w:ascii="Arial" w:hAnsi="Arial" w:cs="Arial"/>
          <w:sz w:val="24"/>
        </w:rPr>
      </w:pPr>
    </w:p>
    <w:p w14:paraId="4D3030FF" w14:textId="458A4EF7" w:rsidR="00111D9A" w:rsidRDefault="00111D9A" w:rsidP="006277F8">
      <w:pPr>
        <w:pStyle w:val="Footer"/>
        <w:numPr>
          <w:ilvl w:val="0"/>
          <w:numId w:val="11"/>
        </w:numPr>
        <w:rPr>
          <w:rFonts w:ascii="Arial" w:hAnsi="Arial" w:cs="Arial"/>
          <w:sz w:val="24"/>
        </w:rPr>
      </w:pPr>
      <w:r w:rsidRPr="00111D9A">
        <w:rPr>
          <w:rFonts w:ascii="Arial" w:hAnsi="Arial" w:cs="Arial"/>
          <w:sz w:val="24"/>
        </w:rPr>
        <w:t>Quality of life (</w:t>
      </w:r>
      <w:proofErr w:type="spellStart"/>
      <w:r w:rsidRPr="00111D9A">
        <w:rPr>
          <w:rFonts w:ascii="Arial" w:hAnsi="Arial" w:cs="Arial"/>
          <w:sz w:val="24"/>
        </w:rPr>
        <w:t>QoL</w:t>
      </w:r>
      <w:proofErr w:type="spellEnd"/>
      <w:r w:rsidRPr="00111D9A">
        <w:rPr>
          <w:rFonts w:ascii="Arial" w:hAnsi="Arial" w:cs="Arial"/>
          <w:sz w:val="24"/>
        </w:rPr>
        <w:t xml:space="preserve">) is an important yet understudied concept (Foster et al., 1999). The World Health Organization (WHO) defines </w:t>
      </w:r>
      <w:proofErr w:type="spellStart"/>
      <w:r w:rsidRPr="00111D9A">
        <w:rPr>
          <w:rFonts w:ascii="Arial" w:hAnsi="Arial" w:cs="Arial"/>
          <w:sz w:val="24"/>
        </w:rPr>
        <w:t>QoL</w:t>
      </w:r>
      <w:proofErr w:type="spellEnd"/>
      <w:r w:rsidRPr="00111D9A">
        <w:rPr>
          <w:rFonts w:ascii="Arial" w:hAnsi="Arial" w:cs="Arial"/>
          <w:sz w:val="24"/>
        </w:rPr>
        <w:t xml:space="preserve"> as, “an individual’s perception of their position in life in the context of the culture and value systems in which they live and in relation to their goals, expectations, standards and concerns (The World Health Organization Quality of Life Group [WHOQOL Group], 1998). </w:t>
      </w:r>
      <w:proofErr w:type="spellStart"/>
      <w:r w:rsidRPr="00111D9A">
        <w:rPr>
          <w:rFonts w:ascii="Arial" w:hAnsi="Arial" w:cs="Arial"/>
          <w:sz w:val="24"/>
        </w:rPr>
        <w:t>QoL</w:t>
      </w:r>
      <w:proofErr w:type="spellEnd"/>
      <w:r w:rsidRPr="00111D9A">
        <w:rPr>
          <w:rFonts w:ascii="Arial" w:hAnsi="Arial" w:cs="Arial"/>
          <w:sz w:val="24"/>
        </w:rPr>
        <w:t xml:space="preserve"> </w:t>
      </w:r>
      <w:r>
        <w:rPr>
          <w:rFonts w:ascii="Arial" w:hAnsi="Arial" w:cs="Arial"/>
          <w:sz w:val="24"/>
        </w:rPr>
        <w:t>broadly refers to</w:t>
      </w:r>
      <w:r w:rsidRPr="00111D9A">
        <w:rPr>
          <w:rFonts w:ascii="Arial" w:hAnsi="Arial" w:cs="Arial"/>
          <w:sz w:val="24"/>
        </w:rPr>
        <w:t xml:space="preserve"> physical health and mental health. Physical functioning, role- physical, bodily pain and general health are under the physical health </w:t>
      </w:r>
      <w:r w:rsidR="00464FE9">
        <w:rPr>
          <w:rFonts w:ascii="Arial" w:hAnsi="Arial" w:cs="Arial"/>
          <w:sz w:val="24"/>
        </w:rPr>
        <w:t>area</w:t>
      </w:r>
      <w:r w:rsidRPr="00111D9A">
        <w:rPr>
          <w:rFonts w:ascii="Arial" w:hAnsi="Arial" w:cs="Arial"/>
          <w:sz w:val="24"/>
        </w:rPr>
        <w:t xml:space="preserve">, while vitality, social functioning, role-emotional, and mental health </w:t>
      </w:r>
      <w:r w:rsidRPr="00111D9A">
        <w:rPr>
          <w:rFonts w:ascii="Arial" w:hAnsi="Arial" w:cs="Arial"/>
          <w:sz w:val="24"/>
        </w:rPr>
        <w:lastRenderedPageBreak/>
        <w:t xml:space="preserve">fall under the mental health </w:t>
      </w:r>
      <w:r w:rsidR="00464FE9">
        <w:rPr>
          <w:rFonts w:ascii="Arial" w:hAnsi="Arial" w:cs="Arial"/>
          <w:sz w:val="24"/>
        </w:rPr>
        <w:t>area</w:t>
      </w:r>
      <w:r w:rsidRPr="00111D9A">
        <w:rPr>
          <w:rFonts w:ascii="Arial" w:hAnsi="Arial" w:cs="Arial"/>
          <w:sz w:val="24"/>
        </w:rPr>
        <w:t xml:space="preserve">. </w:t>
      </w:r>
      <w:r w:rsidR="00464FE9">
        <w:rPr>
          <w:rFonts w:ascii="Arial" w:hAnsi="Arial" w:cs="Arial"/>
          <w:sz w:val="24"/>
        </w:rPr>
        <w:t xml:space="preserve">The researchers </w:t>
      </w:r>
      <w:r w:rsidR="009714AB">
        <w:rPr>
          <w:rFonts w:ascii="Arial" w:hAnsi="Arial" w:cs="Arial"/>
          <w:sz w:val="24"/>
        </w:rPr>
        <w:t>are</w:t>
      </w:r>
      <w:bookmarkStart w:id="0" w:name="_GoBack"/>
      <w:bookmarkEnd w:id="0"/>
      <w:r w:rsidR="00464FE9">
        <w:rPr>
          <w:rFonts w:ascii="Arial" w:hAnsi="Arial" w:cs="Arial"/>
          <w:sz w:val="24"/>
        </w:rPr>
        <w:t xml:space="preserve"> interested</w:t>
      </w:r>
      <w:r w:rsidRPr="00111D9A">
        <w:rPr>
          <w:rFonts w:ascii="Arial" w:hAnsi="Arial" w:cs="Arial"/>
          <w:sz w:val="24"/>
        </w:rPr>
        <w:t xml:space="preserve"> to evaluate the </w:t>
      </w:r>
      <w:proofErr w:type="spellStart"/>
      <w:r w:rsidR="00DF7F1B">
        <w:rPr>
          <w:rFonts w:ascii="Arial" w:hAnsi="Arial" w:cs="Arial"/>
          <w:sz w:val="24"/>
        </w:rPr>
        <w:t>QoL</w:t>
      </w:r>
      <w:proofErr w:type="spellEnd"/>
      <w:r w:rsidRPr="00111D9A">
        <w:rPr>
          <w:rFonts w:ascii="Arial" w:hAnsi="Arial" w:cs="Arial"/>
          <w:sz w:val="24"/>
        </w:rPr>
        <w:t xml:space="preserve"> among chronically homeless individu</w:t>
      </w:r>
      <w:r w:rsidR="00DF7F1B">
        <w:rPr>
          <w:rFonts w:ascii="Arial" w:hAnsi="Arial" w:cs="Arial"/>
          <w:sz w:val="24"/>
        </w:rPr>
        <w:t>als with alcohol dependence who</w:t>
      </w:r>
      <w:r w:rsidRPr="00111D9A">
        <w:rPr>
          <w:rFonts w:ascii="Arial" w:hAnsi="Arial" w:cs="Arial"/>
          <w:sz w:val="24"/>
        </w:rPr>
        <w:t xml:space="preserve"> </w:t>
      </w:r>
      <w:proofErr w:type="gramStart"/>
      <w:r w:rsidRPr="00111D9A">
        <w:rPr>
          <w:rFonts w:ascii="Arial" w:hAnsi="Arial" w:cs="Arial"/>
          <w:sz w:val="24"/>
        </w:rPr>
        <w:t>are currently enrolled</w:t>
      </w:r>
      <w:proofErr w:type="gramEnd"/>
      <w:r w:rsidRPr="00111D9A">
        <w:rPr>
          <w:rFonts w:ascii="Arial" w:hAnsi="Arial" w:cs="Arial"/>
          <w:sz w:val="24"/>
        </w:rPr>
        <w:t xml:space="preserve"> in </w:t>
      </w:r>
      <w:r w:rsidR="00DF7F1B">
        <w:rPr>
          <w:rFonts w:ascii="Arial" w:hAnsi="Arial" w:cs="Arial"/>
          <w:sz w:val="24"/>
        </w:rPr>
        <w:t xml:space="preserve">two </w:t>
      </w:r>
      <w:r w:rsidRPr="00111D9A">
        <w:rPr>
          <w:rFonts w:ascii="Arial" w:hAnsi="Arial" w:cs="Arial"/>
          <w:sz w:val="24"/>
        </w:rPr>
        <w:t xml:space="preserve">outpatient treatment programs </w:t>
      </w:r>
      <w:r w:rsidR="00DF7F1B">
        <w:rPr>
          <w:rFonts w:ascii="Arial" w:hAnsi="Arial" w:cs="Arial"/>
          <w:sz w:val="24"/>
        </w:rPr>
        <w:t>called</w:t>
      </w:r>
      <w:r w:rsidRPr="00111D9A">
        <w:rPr>
          <w:rFonts w:ascii="Arial" w:hAnsi="Arial" w:cs="Arial"/>
          <w:sz w:val="24"/>
        </w:rPr>
        <w:t xml:space="preserve"> Housing First </w:t>
      </w:r>
      <w:r w:rsidR="00DF7F1B">
        <w:rPr>
          <w:rFonts w:ascii="Arial" w:hAnsi="Arial" w:cs="Arial"/>
          <w:sz w:val="24"/>
        </w:rPr>
        <w:t xml:space="preserve">and </w:t>
      </w:r>
      <w:r w:rsidRPr="00111D9A">
        <w:rPr>
          <w:rFonts w:ascii="Arial" w:hAnsi="Arial" w:cs="Arial"/>
          <w:sz w:val="24"/>
        </w:rPr>
        <w:t>Managed Alcohol Program.</w:t>
      </w:r>
    </w:p>
    <w:p w14:paraId="35ABF031" w14:textId="4914F95B" w:rsidR="00CF2384" w:rsidRPr="00030411" w:rsidRDefault="00CF2384" w:rsidP="00CF2384">
      <w:pPr>
        <w:pStyle w:val="Footer"/>
        <w:rPr>
          <w:rFonts w:ascii="Arial" w:hAnsi="Arial" w:cs="Arial"/>
          <w:sz w:val="24"/>
        </w:rPr>
      </w:pPr>
    </w:p>
    <w:sectPr w:rsidR="00CF2384" w:rsidRPr="00030411" w:rsidSect="00DC3D39">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9E0238" w14:textId="77777777" w:rsidR="00F7169C" w:rsidRDefault="00F7169C" w:rsidP="00B741A4">
      <w:pPr>
        <w:spacing w:after="0" w:line="240" w:lineRule="auto"/>
      </w:pPr>
      <w:r>
        <w:separator/>
      </w:r>
    </w:p>
  </w:endnote>
  <w:endnote w:type="continuationSeparator" w:id="0">
    <w:p w14:paraId="6BD3DCE4" w14:textId="77777777" w:rsidR="00F7169C" w:rsidRDefault="00F7169C" w:rsidP="00B74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Lucida Grande">
    <w:altName w:val="Arial"/>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160654"/>
      <w:docPartObj>
        <w:docPartGallery w:val="Page Numbers (Bottom of Page)"/>
        <w:docPartUnique/>
      </w:docPartObj>
    </w:sdtPr>
    <w:sdtEndPr>
      <w:rPr>
        <w:rFonts w:ascii="Arial" w:hAnsi="Arial" w:cs="Arial"/>
        <w:noProof/>
      </w:rPr>
    </w:sdtEndPr>
    <w:sdtContent>
      <w:p w14:paraId="2510D4CB" w14:textId="48541860" w:rsidR="00401332" w:rsidRPr="00401332" w:rsidRDefault="00401332">
        <w:pPr>
          <w:pStyle w:val="Footer"/>
          <w:jc w:val="right"/>
          <w:rPr>
            <w:rFonts w:ascii="Arial" w:hAnsi="Arial" w:cs="Arial"/>
          </w:rPr>
        </w:pPr>
        <w:r w:rsidRPr="00401332">
          <w:rPr>
            <w:rFonts w:ascii="Arial" w:hAnsi="Arial" w:cs="Arial"/>
          </w:rPr>
          <w:fldChar w:fldCharType="begin"/>
        </w:r>
        <w:r w:rsidRPr="00401332">
          <w:rPr>
            <w:rFonts w:ascii="Arial" w:hAnsi="Arial" w:cs="Arial"/>
          </w:rPr>
          <w:instrText xml:space="preserve"> PAGE   \* MERGEFORMAT </w:instrText>
        </w:r>
        <w:r w:rsidRPr="00401332">
          <w:rPr>
            <w:rFonts w:ascii="Arial" w:hAnsi="Arial" w:cs="Arial"/>
          </w:rPr>
          <w:fldChar w:fldCharType="separate"/>
        </w:r>
        <w:r w:rsidR="009714AB">
          <w:rPr>
            <w:rFonts w:ascii="Arial" w:hAnsi="Arial" w:cs="Arial"/>
            <w:noProof/>
          </w:rPr>
          <w:t>4</w:t>
        </w:r>
        <w:r w:rsidRPr="00401332">
          <w:rPr>
            <w:rFonts w:ascii="Arial" w:hAnsi="Arial" w:cs="Arial"/>
            <w:noProof/>
          </w:rPr>
          <w:fldChar w:fldCharType="end"/>
        </w:r>
      </w:p>
    </w:sdtContent>
  </w:sdt>
  <w:p w14:paraId="11C02ED7" w14:textId="77777777" w:rsidR="00401332" w:rsidRDefault="004013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B53BCE" w14:textId="77777777" w:rsidR="00F7169C" w:rsidRDefault="00F7169C" w:rsidP="00B741A4">
      <w:pPr>
        <w:spacing w:after="0" w:line="240" w:lineRule="auto"/>
      </w:pPr>
      <w:r>
        <w:separator/>
      </w:r>
    </w:p>
  </w:footnote>
  <w:footnote w:type="continuationSeparator" w:id="0">
    <w:p w14:paraId="1A1C6D16" w14:textId="77777777" w:rsidR="00F7169C" w:rsidRDefault="00F7169C" w:rsidP="00B74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BE2072" w14:textId="77777777" w:rsidR="00C82D5F" w:rsidRPr="00F320B8" w:rsidRDefault="00C82D5F" w:rsidP="00C82D5F">
    <w:pPr>
      <w:pStyle w:val="Header"/>
      <w:jc w:val="right"/>
      <w:rPr>
        <w:rFonts w:ascii="Arial" w:hAnsi="Arial" w:cs="Arial"/>
      </w:rPr>
    </w:pPr>
    <w:r>
      <w:rPr>
        <w:rFonts w:ascii="Arial" w:hAnsi="Arial" w:cs="Arial"/>
      </w:rPr>
      <w:t>Epi 228</w:t>
    </w:r>
    <w:r w:rsidRPr="00F320B8">
      <w:rPr>
        <w:rFonts w:ascii="Arial" w:hAnsi="Arial" w:cs="Arial"/>
      </w:rPr>
      <w:t xml:space="preserve"> Measurement Theory</w:t>
    </w:r>
    <w:r>
      <w:rPr>
        <w:rFonts w:ascii="Arial" w:hAnsi="Arial" w:cs="Arial"/>
      </w:rPr>
      <w:t xml:space="preserve"> and Practice</w:t>
    </w:r>
  </w:p>
  <w:p w14:paraId="38EF7122" w14:textId="77777777" w:rsidR="00C82D5F" w:rsidRDefault="00C82D5F" w:rsidP="00C82D5F">
    <w:pPr>
      <w:pStyle w:val="Header"/>
      <w:jc w:val="right"/>
      <w:rPr>
        <w:rFonts w:ascii="Arial" w:hAnsi="Arial" w:cs="Arial"/>
      </w:rPr>
    </w:pPr>
    <w:r>
      <w:rPr>
        <w:rFonts w:ascii="Arial" w:hAnsi="Arial" w:cs="Arial"/>
      </w:rPr>
      <w:t>Fall</w:t>
    </w:r>
    <w:r w:rsidRPr="00F320B8">
      <w:rPr>
        <w:rFonts w:ascii="Arial" w:hAnsi="Arial" w:cs="Arial"/>
      </w:rPr>
      <w:t xml:space="preserve"> </w:t>
    </w:r>
    <w:r>
      <w:rPr>
        <w:rFonts w:ascii="Arial" w:hAnsi="Arial" w:cs="Arial"/>
      </w:rPr>
      <w:t>2018</w:t>
    </w:r>
  </w:p>
  <w:p w14:paraId="54D3F646" w14:textId="77777777" w:rsidR="00C82D5F" w:rsidRPr="00F320B8" w:rsidRDefault="00C82D5F" w:rsidP="00C82D5F">
    <w:pPr>
      <w:pStyle w:val="Header"/>
      <w:jc w:val="right"/>
      <w:rPr>
        <w:rFonts w:ascii="Arial" w:hAnsi="Arial" w:cs="Arial"/>
      </w:rPr>
    </w:pPr>
  </w:p>
  <w:p w14:paraId="629BBBDC" w14:textId="6C3DFE87" w:rsidR="00C82D5F" w:rsidRPr="00F320B8" w:rsidRDefault="00C82D5F" w:rsidP="00C82D5F">
    <w:pPr>
      <w:pStyle w:val="Header"/>
      <w:jc w:val="right"/>
      <w:rPr>
        <w:rFonts w:ascii="Arial" w:hAnsi="Arial" w:cs="Arial"/>
      </w:rPr>
    </w:pPr>
    <w:r w:rsidRPr="00F320B8">
      <w:rPr>
        <w:rFonts w:ascii="Arial" w:hAnsi="Arial" w:cs="Arial"/>
      </w:rPr>
      <w:t>Homework #</w:t>
    </w:r>
    <w:r w:rsidR="008F4E38">
      <w:rPr>
        <w:rFonts w:ascii="Arial" w:hAnsi="Arial" w:cs="Arial"/>
      </w:rPr>
      <w:t>4</w:t>
    </w:r>
  </w:p>
  <w:p w14:paraId="7BC720E8" w14:textId="77777777" w:rsidR="00B741A4" w:rsidRDefault="00B741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94AC9"/>
    <w:multiLevelType w:val="hybridMultilevel"/>
    <w:tmpl w:val="8FD2D5EE"/>
    <w:lvl w:ilvl="0" w:tplc="29B8F6C8">
      <w:start w:val="1"/>
      <w:numFmt w:val="decimal"/>
      <w:lvlText w:val="%1."/>
      <w:lvlJc w:val="left"/>
      <w:pPr>
        <w:ind w:left="360" w:hanging="360"/>
      </w:pPr>
      <w:rPr>
        <w:rFonts w:ascii="Arial" w:hAnsi="Arial"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F6345B"/>
    <w:multiLevelType w:val="hybridMultilevel"/>
    <w:tmpl w:val="D4BE239E"/>
    <w:lvl w:ilvl="0" w:tplc="ED3236E2">
      <w:start w:val="1"/>
      <w:numFmt w:val="upperRoman"/>
      <w:lvlText w:val="%1."/>
      <w:lvlJc w:val="right"/>
      <w:pPr>
        <w:ind w:left="360" w:hanging="360"/>
      </w:pPr>
      <w:rPr>
        <w:rFonts w:ascii="Arial" w:hAnsi="Arial" w:hint="default"/>
        <w:b/>
        <w:i w:val="0"/>
        <w:sz w:val="24"/>
      </w:rPr>
    </w:lvl>
    <w:lvl w:ilvl="1" w:tplc="E4ECC136">
      <w:start w:val="1"/>
      <w:numFmt w:val="decimal"/>
      <w:lvlText w:val="%2."/>
      <w:lvlJc w:val="left"/>
      <w:pPr>
        <w:ind w:left="1080" w:hanging="360"/>
      </w:pPr>
      <w:rPr>
        <w:rFonts w:ascii="Arial" w:hAnsi="Arial" w:hint="default"/>
        <w:b w:val="0"/>
        <w:i w:val="0"/>
        <w:sz w:val="24"/>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F875588"/>
    <w:multiLevelType w:val="hybridMultilevel"/>
    <w:tmpl w:val="F67C98AA"/>
    <w:lvl w:ilvl="0" w:tplc="21B6A854">
      <w:start w:val="1"/>
      <w:numFmt w:val="bullet"/>
      <w:lvlText w:val="•"/>
      <w:lvlJc w:val="left"/>
      <w:pPr>
        <w:ind w:left="400" w:hanging="400"/>
      </w:pPr>
      <w:rPr>
        <w:rFonts w:ascii="Malgun Gothic" w:eastAsia="Malgun Gothic" w:hAnsi="Malgun Gothic" w:hint="eastAsia"/>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 w15:restartNumberingAfterBreak="0">
    <w:nsid w:val="1278266A"/>
    <w:multiLevelType w:val="hybridMultilevel"/>
    <w:tmpl w:val="87C64E50"/>
    <w:lvl w:ilvl="0" w:tplc="1B725DE4">
      <w:start w:val="1"/>
      <w:numFmt w:val="decimal"/>
      <w:lvlText w:val="%1)"/>
      <w:lvlJc w:val="left"/>
      <w:pPr>
        <w:ind w:left="720" w:hanging="360"/>
      </w:pPr>
      <w:rPr>
        <w:rFonts w:eastAsiaTheme="minorEastAsia"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553F2B"/>
    <w:multiLevelType w:val="hybridMultilevel"/>
    <w:tmpl w:val="F06AA244"/>
    <w:lvl w:ilvl="0" w:tplc="090099A6">
      <w:start w:val="1"/>
      <w:numFmt w:val="decimal"/>
      <w:lvlText w:val="%1."/>
      <w:lvlJc w:val="left"/>
      <w:pPr>
        <w:ind w:left="720" w:hanging="360"/>
      </w:pPr>
      <w:rPr>
        <w:rFonts w:ascii="Arial" w:hAnsi="Arial" w:hint="default"/>
        <w:b w:val="0"/>
        <w:i w:val="0"/>
        <w:sz w:val="24"/>
      </w:rPr>
    </w:lvl>
    <w:lvl w:ilvl="1" w:tplc="9FB674F0">
      <w:numFmt w:val="bullet"/>
      <w:lvlText w:val="•"/>
      <w:lvlJc w:val="left"/>
      <w:pPr>
        <w:ind w:left="1800" w:hanging="72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7A10F1"/>
    <w:multiLevelType w:val="hybridMultilevel"/>
    <w:tmpl w:val="F27640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83111F"/>
    <w:multiLevelType w:val="hybridMultilevel"/>
    <w:tmpl w:val="07163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213F2C"/>
    <w:multiLevelType w:val="hybridMultilevel"/>
    <w:tmpl w:val="65086D32"/>
    <w:lvl w:ilvl="0" w:tplc="8F3214A0">
      <w:start w:val="1"/>
      <w:numFmt w:val="decimal"/>
      <w:lvlText w:val="%1."/>
      <w:lvlJc w:val="left"/>
      <w:pPr>
        <w:ind w:left="360" w:hanging="360"/>
      </w:pPr>
      <w:rPr>
        <w:rFonts w:ascii="Arial" w:hAnsi="Arial"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B61D2C"/>
    <w:multiLevelType w:val="hybridMultilevel"/>
    <w:tmpl w:val="4330E270"/>
    <w:lvl w:ilvl="0" w:tplc="5D38881C">
      <w:start w:val="1"/>
      <w:numFmt w:val="decimal"/>
      <w:lvlText w:val="%1."/>
      <w:lvlJc w:val="left"/>
      <w:pPr>
        <w:ind w:left="720" w:hanging="360"/>
      </w:pPr>
      <w:rPr>
        <w:rFonts w:ascii="Arial" w:hAnsi="Arial"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9E60B5"/>
    <w:multiLevelType w:val="hybridMultilevel"/>
    <w:tmpl w:val="79C4D39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71B45D9"/>
    <w:multiLevelType w:val="hybridMultilevel"/>
    <w:tmpl w:val="4330E270"/>
    <w:lvl w:ilvl="0" w:tplc="5D38881C">
      <w:start w:val="1"/>
      <w:numFmt w:val="decimal"/>
      <w:lvlText w:val="%1."/>
      <w:lvlJc w:val="left"/>
      <w:pPr>
        <w:ind w:left="720" w:hanging="360"/>
      </w:pPr>
      <w:rPr>
        <w:rFonts w:ascii="Arial" w:hAnsi="Arial"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24754D"/>
    <w:multiLevelType w:val="hybridMultilevel"/>
    <w:tmpl w:val="C130F20E"/>
    <w:lvl w:ilvl="0" w:tplc="090099A6">
      <w:start w:val="1"/>
      <w:numFmt w:val="decimal"/>
      <w:lvlText w:val="%1."/>
      <w:lvlJc w:val="left"/>
      <w:pPr>
        <w:ind w:left="360" w:hanging="360"/>
      </w:pPr>
      <w:rPr>
        <w:rFonts w:ascii="Arial" w:hAnsi="Arial" w:hint="default"/>
        <w:b w:val="0"/>
        <w:i w:val="0"/>
        <w:sz w:val="24"/>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2" w15:restartNumberingAfterBreak="0">
    <w:nsid w:val="75CF490D"/>
    <w:multiLevelType w:val="hybridMultilevel"/>
    <w:tmpl w:val="875077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6"/>
  </w:num>
  <w:num w:numId="3">
    <w:abstractNumId w:val="2"/>
  </w:num>
  <w:num w:numId="4">
    <w:abstractNumId w:val="1"/>
  </w:num>
  <w:num w:numId="5">
    <w:abstractNumId w:val="4"/>
  </w:num>
  <w:num w:numId="6">
    <w:abstractNumId w:val="11"/>
  </w:num>
  <w:num w:numId="7">
    <w:abstractNumId w:val="0"/>
  </w:num>
  <w:num w:numId="8">
    <w:abstractNumId w:val="7"/>
  </w:num>
  <w:num w:numId="9">
    <w:abstractNumId w:val="3"/>
  </w:num>
  <w:num w:numId="10">
    <w:abstractNumId w:val="9"/>
  </w:num>
  <w:num w:numId="11">
    <w:abstractNumId w:val="8"/>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MwsrA0NzA1MbC0tDRW0lEKTi0uzszPAykwrgUAz+9yOSwAAAA="/>
  </w:docVars>
  <w:rsids>
    <w:rsidRoot w:val="00F21AE4"/>
    <w:rsid w:val="000079E4"/>
    <w:rsid w:val="00030411"/>
    <w:rsid w:val="00073355"/>
    <w:rsid w:val="000C2C2E"/>
    <w:rsid w:val="000C400B"/>
    <w:rsid w:val="000E49E1"/>
    <w:rsid w:val="000E6EFD"/>
    <w:rsid w:val="000F1374"/>
    <w:rsid w:val="00111D9A"/>
    <w:rsid w:val="00123525"/>
    <w:rsid w:val="00146D5C"/>
    <w:rsid w:val="001C606D"/>
    <w:rsid w:val="001E0647"/>
    <w:rsid w:val="00203157"/>
    <w:rsid w:val="00277616"/>
    <w:rsid w:val="002F7649"/>
    <w:rsid w:val="00323C23"/>
    <w:rsid w:val="003511E7"/>
    <w:rsid w:val="003A7BDA"/>
    <w:rsid w:val="00401332"/>
    <w:rsid w:val="00420627"/>
    <w:rsid w:val="0043594F"/>
    <w:rsid w:val="00446F26"/>
    <w:rsid w:val="00464FE9"/>
    <w:rsid w:val="00487536"/>
    <w:rsid w:val="00497453"/>
    <w:rsid w:val="004D600B"/>
    <w:rsid w:val="00515D05"/>
    <w:rsid w:val="00527452"/>
    <w:rsid w:val="005833AD"/>
    <w:rsid w:val="00590D0B"/>
    <w:rsid w:val="00592F06"/>
    <w:rsid w:val="005B129D"/>
    <w:rsid w:val="005C0D6C"/>
    <w:rsid w:val="005F4496"/>
    <w:rsid w:val="0060731A"/>
    <w:rsid w:val="006155D7"/>
    <w:rsid w:val="006277F8"/>
    <w:rsid w:val="0063162F"/>
    <w:rsid w:val="00637DCC"/>
    <w:rsid w:val="00644001"/>
    <w:rsid w:val="006A1E96"/>
    <w:rsid w:val="006D6441"/>
    <w:rsid w:val="0075024B"/>
    <w:rsid w:val="007546A2"/>
    <w:rsid w:val="00756878"/>
    <w:rsid w:val="0076629A"/>
    <w:rsid w:val="00776084"/>
    <w:rsid w:val="007C0CEB"/>
    <w:rsid w:val="007D25E8"/>
    <w:rsid w:val="00820C05"/>
    <w:rsid w:val="008445FC"/>
    <w:rsid w:val="00861627"/>
    <w:rsid w:val="00870E39"/>
    <w:rsid w:val="008C4FC5"/>
    <w:rsid w:val="008E6B3F"/>
    <w:rsid w:val="008F4E38"/>
    <w:rsid w:val="009714AB"/>
    <w:rsid w:val="009806EE"/>
    <w:rsid w:val="009C4C8B"/>
    <w:rsid w:val="009E7DF9"/>
    <w:rsid w:val="009F5A00"/>
    <w:rsid w:val="00A4472F"/>
    <w:rsid w:val="00A51DCC"/>
    <w:rsid w:val="00A712E4"/>
    <w:rsid w:val="00A81667"/>
    <w:rsid w:val="00AC4B4C"/>
    <w:rsid w:val="00B534E4"/>
    <w:rsid w:val="00B73755"/>
    <w:rsid w:val="00B741A4"/>
    <w:rsid w:val="00BF5015"/>
    <w:rsid w:val="00C66159"/>
    <w:rsid w:val="00C82D5F"/>
    <w:rsid w:val="00C84083"/>
    <w:rsid w:val="00C85CCA"/>
    <w:rsid w:val="00CA4A4E"/>
    <w:rsid w:val="00CF2384"/>
    <w:rsid w:val="00CF6474"/>
    <w:rsid w:val="00D40350"/>
    <w:rsid w:val="00D50E8A"/>
    <w:rsid w:val="00D8010D"/>
    <w:rsid w:val="00DC3D39"/>
    <w:rsid w:val="00DD3A9D"/>
    <w:rsid w:val="00DE5B5F"/>
    <w:rsid w:val="00DF7F1B"/>
    <w:rsid w:val="00E47411"/>
    <w:rsid w:val="00E518DD"/>
    <w:rsid w:val="00EA33CB"/>
    <w:rsid w:val="00EE0D98"/>
    <w:rsid w:val="00EF005D"/>
    <w:rsid w:val="00EF7C64"/>
    <w:rsid w:val="00F01698"/>
    <w:rsid w:val="00F20DE7"/>
    <w:rsid w:val="00F21AE4"/>
    <w:rsid w:val="00F7169C"/>
    <w:rsid w:val="00F74C04"/>
    <w:rsid w:val="00FA7F7D"/>
    <w:rsid w:val="00FD124D"/>
    <w:rsid w:val="00FE479D"/>
    <w:rsid w:val="00FE490E"/>
    <w:rsid w:val="00FF51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5F656D"/>
  <w15:docId w15:val="{7204B768-53C5-4BC8-AA6C-067B9BE87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41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B741A4"/>
    <w:rPr>
      <w:i/>
      <w:iCs/>
    </w:rPr>
  </w:style>
  <w:style w:type="character" w:styleId="Strong">
    <w:name w:val="Strong"/>
    <w:basedOn w:val="DefaultParagraphFont"/>
    <w:uiPriority w:val="22"/>
    <w:qFormat/>
    <w:rsid w:val="00B741A4"/>
    <w:rPr>
      <w:b/>
      <w:bCs/>
    </w:rPr>
  </w:style>
  <w:style w:type="paragraph" w:styleId="ListParagraph">
    <w:name w:val="List Paragraph"/>
    <w:basedOn w:val="Normal"/>
    <w:uiPriority w:val="34"/>
    <w:qFormat/>
    <w:rsid w:val="00B741A4"/>
    <w:pPr>
      <w:ind w:left="720"/>
      <w:contextualSpacing/>
    </w:pPr>
  </w:style>
  <w:style w:type="paragraph" w:styleId="Header">
    <w:name w:val="header"/>
    <w:basedOn w:val="Normal"/>
    <w:link w:val="HeaderChar"/>
    <w:uiPriority w:val="99"/>
    <w:unhideWhenUsed/>
    <w:rsid w:val="00B74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41A4"/>
    <w:rPr>
      <w:rFonts w:eastAsiaTheme="minorEastAsia"/>
    </w:rPr>
  </w:style>
  <w:style w:type="paragraph" w:styleId="Footer">
    <w:name w:val="footer"/>
    <w:basedOn w:val="Normal"/>
    <w:link w:val="FooterChar"/>
    <w:uiPriority w:val="99"/>
    <w:unhideWhenUsed/>
    <w:rsid w:val="00B74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41A4"/>
  </w:style>
  <w:style w:type="paragraph" w:customStyle="1" w:styleId="Title1">
    <w:name w:val="Title1"/>
    <w:basedOn w:val="Normal"/>
    <w:rsid w:val="000079E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079E4"/>
    <w:rPr>
      <w:color w:val="0000FF"/>
      <w:u w:val="single"/>
    </w:rPr>
  </w:style>
  <w:style w:type="paragraph" w:customStyle="1" w:styleId="desc">
    <w:name w:val="desc"/>
    <w:basedOn w:val="Normal"/>
    <w:rsid w:val="000079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tails">
    <w:name w:val="details"/>
    <w:basedOn w:val="Normal"/>
    <w:rsid w:val="000079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rnl">
    <w:name w:val="jrnl"/>
    <w:basedOn w:val="DefaultParagraphFont"/>
    <w:rsid w:val="000079E4"/>
  </w:style>
  <w:style w:type="paragraph" w:styleId="BalloonText">
    <w:name w:val="Balloon Text"/>
    <w:basedOn w:val="Normal"/>
    <w:link w:val="BalloonTextChar"/>
    <w:uiPriority w:val="99"/>
    <w:semiHidden/>
    <w:unhideWhenUsed/>
    <w:rsid w:val="00C85CCA"/>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85CCA"/>
    <w:rPr>
      <w:rFonts w:ascii="Lucida Grande" w:hAnsi="Lucida Grande" w:cs="Lucida Grande"/>
      <w:sz w:val="18"/>
      <w:szCs w:val="18"/>
    </w:rPr>
  </w:style>
  <w:style w:type="character" w:styleId="CommentReference">
    <w:name w:val="annotation reference"/>
    <w:basedOn w:val="DefaultParagraphFont"/>
    <w:uiPriority w:val="99"/>
    <w:semiHidden/>
    <w:unhideWhenUsed/>
    <w:rsid w:val="00C85CCA"/>
    <w:rPr>
      <w:sz w:val="18"/>
      <w:szCs w:val="18"/>
    </w:rPr>
  </w:style>
  <w:style w:type="paragraph" w:styleId="CommentText">
    <w:name w:val="annotation text"/>
    <w:basedOn w:val="Normal"/>
    <w:link w:val="CommentTextChar"/>
    <w:uiPriority w:val="99"/>
    <w:semiHidden/>
    <w:unhideWhenUsed/>
    <w:rsid w:val="00C85CCA"/>
    <w:pPr>
      <w:spacing w:line="240" w:lineRule="auto"/>
    </w:pPr>
    <w:rPr>
      <w:sz w:val="24"/>
      <w:szCs w:val="24"/>
    </w:rPr>
  </w:style>
  <w:style w:type="character" w:customStyle="1" w:styleId="CommentTextChar">
    <w:name w:val="Comment Text Char"/>
    <w:basedOn w:val="DefaultParagraphFont"/>
    <w:link w:val="CommentText"/>
    <w:uiPriority w:val="99"/>
    <w:semiHidden/>
    <w:rsid w:val="00C85CCA"/>
    <w:rPr>
      <w:sz w:val="24"/>
      <w:szCs w:val="24"/>
    </w:rPr>
  </w:style>
  <w:style w:type="paragraph" w:styleId="CommentSubject">
    <w:name w:val="annotation subject"/>
    <w:basedOn w:val="CommentText"/>
    <w:next w:val="CommentText"/>
    <w:link w:val="CommentSubjectChar"/>
    <w:uiPriority w:val="99"/>
    <w:semiHidden/>
    <w:unhideWhenUsed/>
    <w:rsid w:val="00C85CCA"/>
    <w:rPr>
      <w:b/>
      <w:bCs/>
      <w:sz w:val="20"/>
      <w:szCs w:val="20"/>
    </w:rPr>
  </w:style>
  <w:style w:type="character" w:customStyle="1" w:styleId="CommentSubjectChar">
    <w:name w:val="Comment Subject Char"/>
    <w:basedOn w:val="CommentTextChar"/>
    <w:link w:val="CommentSubject"/>
    <w:uiPriority w:val="99"/>
    <w:semiHidden/>
    <w:rsid w:val="00C85CCA"/>
    <w:rPr>
      <w:b/>
      <w:bCs/>
      <w:sz w:val="20"/>
      <w:szCs w:val="20"/>
    </w:rPr>
  </w:style>
  <w:style w:type="paragraph" w:styleId="NormalWeb">
    <w:name w:val="Normal (Web)"/>
    <w:basedOn w:val="Normal"/>
    <w:uiPriority w:val="99"/>
    <w:unhideWhenUsed/>
    <w:rsid w:val="00EE0D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cle-read-more">
    <w:name w:val="article-read-more"/>
    <w:basedOn w:val="Normal"/>
    <w:rsid w:val="00EE0D9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676354">
      <w:bodyDiv w:val="1"/>
      <w:marLeft w:val="0"/>
      <w:marRight w:val="0"/>
      <w:marTop w:val="0"/>
      <w:marBottom w:val="0"/>
      <w:divBdr>
        <w:top w:val="none" w:sz="0" w:space="0" w:color="auto"/>
        <w:left w:val="none" w:sz="0" w:space="0" w:color="auto"/>
        <w:bottom w:val="none" w:sz="0" w:space="0" w:color="auto"/>
        <w:right w:val="none" w:sz="0" w:space="0" w:color="auto"/>
      </w:divBdr>
      <w:divsChild>
        <w:div w:id="1656569657">
          <w:marLeft w:val="0"/>
          <w:marRight w:val="0"/>
          <w:marTop w:val="0"/>
          <w:marBottom w:val="0"/>
          <w:divBdr>
            <w:top w:val="none" w:sz="0" w:space="0" w:color="auto"/>
            <w:left w:val="none" w:sz="0" w:space="0" w:color="auto"/>
            <w:bottom w:val="none" w:sz="0" w:space="0" w:color="auto"/>
            <w:right w:val="none" w:sz="0" w:space="0" w:color="auto"/>
          </w:divBdr>
          <w:divsChild>
            <w:div w:id="2030403165">
              <w:marLeft w:val="0"/>
              <w:marRight w:val="0"/>
              <w:marTop w:val="0"/>
              <w:marBottom w:val="0"/>
              <w:divBdr>
                <w:top w:val="none" w:sz="0" w:space="0" w:color="auto"/>
                <w:left w:val="none" w:sz="0" w:space="0" w:color="auto"/>
                <w:bottom w:val="none" w:sz="0" w:space="0" w:color="auto"/>
                <w:right w:val="none" w:sz="0" w:space="0" w:color="auto"/>
              </w:divBdr>
            </w:div>
            <w:div w:id="1631863145">
              <w:marLeft w:val="0"/>
              <w:marRight w:val="0"/>
              <w:marTop w:val="0"/>
              <w:marBottom w:val="0"/>
              <w:divBdr>
                <w:top w:val="none" w:sz="0" w:space="0" w:color="auto"/>
                <w:left w:val="none" w:sz="0" w:space="0" w:color="auto"/>
                <w:bottom w:val="none" w:sz="0" w:space="0" w:color="auto"/>
                <w:right w:val="none" w:sz="0" w:space="0" w:color="auto"/>
              </w:divBdr>
            </w:div>
            <w:div w:id="1645544591">
              <w:marLeft w:val="0"/>
              <w:marRight w:val="0"/>
              <w:marTop w:val="0"/>
              <w:marBottom w:val="0"/>
              <w:divBdr>
                <w:top w:val="none" w:sz="0" w:space="0" w:color="auto"/>
                <w:left w:val="none" w:sz="0" w:space="0" w:color="auto"/>
                <w:bottom w:val="none" w:sz="0" w:space="0" w:color="auto"/>
                <w:right w:val="none" w:sz="0" w:space="0" w:color="auto"/>
              </w:divBdr>
            </w:div>
            <w:div w:id="1642736056">
              <w:marLeft w:val="0"/>
              <w:marRight w:val="0"/>
              <w:marTop w:val="0"/>
              <w:marBottom w:val="0"/>
              <w:divBdr>
                <w:top w:val="none" w:sz="0" w:space="0" w:color="auto"/>
                <w:left w:val="none" w:sz="0" w:space="0" w:color="auto"/>
                <w:bottom w:val="none" w:sz="0" w:space="0" w:color="auto"/>
                <w:right w:val="none" w:sz="0" w:space="0" w:color="auto"/>
              </w:divBdr>
            </w:div>
            <w:div w:id="79066570">
              <w:marLeft w:val="0"/>
              <w:marRight w:val="0"/>
              <w:marTop w:val="0"/>
              <w:marBottom w:val="0"/>
              <w:divBdr>
                <w:top w:val="none" w:sz="0" w:space="0" w:color="auto"/>
                <w:left w:val="none" w:sz="0" w:space="0" w:color="auto"/>
                <w:bottom w:val="none" w:sz="0" w:space="0" w:color="auto"/>
                <w:right w:val="none" w:sz="0" w:space="0" w:color="auto"/>
              </w:divBdr>
            </w:div>
            <w:div w:id="40129780">
              <w:marLeft w:val="0"/>
              <w:marRight w:val="0"/>
              <w:marTop w:val="0"/>
              <w:marBottom w:val="0"/>
              <w:divBdr>
                <w:top w:val="none" w:sz="0" w:space="0" w:color="auto"/>
                <w:left w:val="none" w:sz="0" w:space="0" w:color="auto"/>
                <w:bottom w:val="none" w:sz="0" w:space="0" w:color="auto"/>
                <w:right w:val="none" w:sz="0" w:space="0" w:color="auto"/>
              </w:divBdr>
            </w:div>
            <w:div w:id="1189175004">
              <w:marLeft w:val="0"/>
              <w:marRight w:val="0"/>
              <w:marTop w:val="0"/>
              <w:marBottom w:val="0"/>
              <w:divBdr>
                <w:top w:val="none" w:sz="0" w:space="0" w:color="auto"/>
                <w:left w:val="none" w:sz="0" w:space="0" w:color="auto"/>
                <w:bottom w:val="none" w:sz="0" w:space="0" w:color="auto"/>
                <w:right w:val="none" w:sz="0" w:space="0" w:color="auto"/>
              </w:divBdr>
            </w:div>
            <w:div w:id="93436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38484">
      <w:bodyDiv w:val="1"/>
      <w:marLeft w:val="0"/>
      <w:marRight w:val="0"/>
      <w:marTop w:val="0"/>
      <w:marBottom w:val="0"/>
      <w:divBdr>
        <w:top w:val="none" w:sz="0" w:space="0" w:color="auto"/>
        <w:left w:val="none" w:sz="0" w:space="0" w:color="auto"/>
        <w:bottom w:val="none" w:sz="0" w:space="0" w:color="auto"/>
        <w:right w:val="none" w:sz="0" w:space="0" w:color="auto"/>
      </w:divBdr>
      <w:divsChild>
        <w:div w:id="1899196153">
          <w:marLeft w:val="0"/>
          <w:marRight w:val="0"/>
          <w:marTop w:val="0"/>
          <w:marBottom w:val="0"/>
          <w:divBdr>
            <w:top w:val="none" w:sz="0" w:space="0" w:color="auto"/>
            <w:left w:val="none" w:sz="0" w:space="0" w:color="auto"/>
            <w:bottom w:val="none" w:sz="0" w:space="0" w:color="auto"/>
            <w:right w:val="none" w:sz="0" w:space="0" w:color="auto"/>
          </w:divBdr>
        </w:div>
        <w:div w:id="604001940">
          <w:marLeft w:val="0"/>
          <w:marRight w:val="0"/>
          <w:marTop w:val="0"/>
          <w:marBottom w:val="0"/>
          <w:divBdr>
            <w:top w:val="none" w:sz="0" w:space="0" w:color="auto"/>
            <w:left w:val="none" w:sz="0" w:space="0" w:color="auto"/>
            <w:bottom w:val="none" w:sz="0" w:space="0" w:color="auto"/>
            <w:right w:val="none" w:sz="0" w:space="0" w:color="auto"/>
          </w:divBdr>
          <w:divsChild>
            <w:div w:id="177158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370562">
      <w:bodyDiv w:val="1"/>
      <w:marLeft w:val="0"/>
      <w:marRight w:val="0"/>
      <w:marTop w:val="0"/>
      <w:marBottom w:val="0"/>
      <w:divBdr>
        <w:top w:val="none" w:sz="0" w:space="0" w:color="auto"/>
        <w:left w:val="none" w:sz="0" w:space="0" w:color="auto"/>
        <w:bottom w:val="none" w:sz="0" w:space="0" w:color="auto"/>
        <w:right w:val="none" w:sz="0" w:space="0" w:color="auto"/>
      </w:divBdr>
    </w:div>
    <w:div w:id="1098522890">
      <w:bodyDiv w:val="1"/>
      <w:marLeft w:val="0"/>
      <w:marRight w:val="0"/>
      <w:marTop w:val="0"/>
      <w:marBottom w:val="0"/>
      <w:divBdr>
        <w:top w:val="none" w:sz="0" w:space="0" w:color="auto"/>
        <w:left w:val="none" w:sz="0" w:space="0" w:color="auto"/>
        <w:bottom w:val="none" w:sz="0" w:space="0" w:color="auto"/>
        <w:right w:val="none" w:sz="0" w:space="0" w:color="auto"/>
      </w:divBdr>
    </w:div>
    <w:div w:id="1224682245">
      <w:bodyDiv w:val="1"/>
      <w:marLeft w:val="0"/>
      <w:marRight w:val="0"/>
      <w:marTop w:val="0"/>
      <w:marBottom w:val="0"/>
      <w:divBdr>
        <w:top w:val="none" w:sz="0" w:space="0" w:color="auto"/>
        <w:left w:val="none" w:sz="0" w:space="0" w:color="auto"/>
        <w:bottom w:val="none" w:sz="0" w:space="0" w:color="auto"/>
        <w:right w:val="none" w:sz="0" w:space="0" w:color="auto"/>
      </w:divBdr>
    </w:div>
    <w:div w:id="1307971017">
      <w:bodyDiv w:val="1"/>
      <w:marLeft w:val="0"/>
      <w:marRight w:val="0"/>
      <w:marTop w:val="0"/>
      <w:marBottom w:val="0"/>
      <w:divBdr>
        <w:top w:val="none" w:sz="0" w:space="0" w:color="auto"/>
        <w:left w:val="none" w:sz="0" w:space="0" w:color="auto"/>
        <w:bottom w:val="none" w:sz="0" w:space="0" w:color="auto"/>
        <w:right w:val="none" w:sz="0" w:space="0" w:color="auto"/>
      </w:divBdr>
    </w:div>
    <w:div w:id="1481927194">
      <w:bodyDiv w:val="1"/>
      <w:marLeft w:val="0"/>
      <w:marRight w:val="0"/>
      <w:marTop w:val="0"/>
      <w:marBottom w:val="0"/>
      <w:divBdr>
        <w:top w:val="none" w:sz="0" w:space="0" w:color="auto"/>
        <w:left w:val="none" w:sz="0" w:space="0" w:color="auto"/>
        <w:bottom w:val="none" w:sz="0" w:space="0" w:color="auto"/>
        <w:right w:val="none" w:sz="0" w:space="0" w:color="auto"/>
      </w:divBdr>
      <w:divsChild>
        <w:div w:id="753823474">
          <w:marLeft w:val="0"/>
          <w:marRight w:val="0"/>
          <w:marTop w:val="0"/>
          <w:marBottom w:val="0"/>
          <w:divBdr>
            <w:top w:val="none" w:sz="0" w:space="0" w:color="auto"/>
            <w:left w:val="none" w:sz="0" w:space="0" w:color="auto"/>
            <w:bottom w:val="none" w:sz="0" w:space="0" w:color="auto"/>
            <w:right w:val="none" w:sz="0" w:space="0" w:color="auto"/>
          </w:divBdr>
        </w:div>
        <w:div w:id="1237125977">
          <w:marLeft w:val="0"/>
          <w:marRight w:val="0"/>
          <w:marTop w:val="0"/>
          <w:marBottom w:val="0"/>
          <w:divBdr>
            <w:top w:val="none" w:sz="0" w:space="0" w:color="auto"/>
            <w:left w:val="none" w:sz="0" w:space="0" w:color="auto"/>
            <w:bottom w:val="none" w:sz="0" w:space="0" w:color="auto"/>
            <w:right w:val="none" w:sz="0" w:space="0" w:color="auto"/>
          </w:divBdr>
          <w:divsChild>
            <w:div w:id="173323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191021">
      <w:bodyDiv w:val="1"/>
      <w:marLeft w:val="0"/>
      <w:marRight w:val="0"/>
      <w:marTop w:val="0"/>
      <w:marBottom w:val="0"/>
      <w:divBdr>
        <w:top w:val="none" w:sz="0" w:space="0" w:color="auto"/>
        <w:left w:val="none" w:sz="0" w:space="0" w:color="auto"/>
        <w:bottom w:val="none" w:sz="0" w:space="0" w:color="auto"/>
        <w:right w:val="none" w:sz="0" w:space="0" w:color="auto"/>
      </w:divBdr>
      <w:divsChild>
        <w:div w:id="2080664191">
          <w:marLeft w:val="0"/>
          <w:marRight w:val="0"/>
          <w:marTop w:val="0"/>
          <w:marBottom w:val="0"/>
          <w:divBdr>
            <w:top w:val="none" w:sz="0" w:space="0" w:color="auto"/>
            <w:left w:val="none" w:sz="0" w:space="0" w:color="auto"/>
            <w:bottom w:val="none" w:sz="0" w:space="0" w:color="auto"/>
            <w:right w:val="none" w:sz="0" w:space="0" w:color="auto"/>
          </w:divBdr>
        </w:div>
        <w:div w:id="1006858895">
          <w:marLeft w:val="0"/>
          <w:marRight w:val="0"/>
          <w:marTop w:val="0"/>
          <w:marBottom w:val="0"/>
          <w:divBdr>
            <w:top w:val="none" w:sz="0" w:space="0" w:color="auto"/>
            <w:left w:val="none" w:sz="0" w:space="0" w:color="auto"/>
            <w:bottom w:val="none" w:sz="0" w:space="0" w:color="auto"/>
            <w:right w:val="none" w:sz="0" w:space="0" w:color="auto"/>
          </w:divBdr>
        </w:div>
        <w:div w:id="118912849">
          <w:marLeft w:val="0"/>
          <w:marRight w:val="0"/>
          <w:marTop w:val="0"/>
          <w:marBottom w:val="0"/>
          <w:divBdr>
            <w:top w:val="none" w:sz="0" w:space="0" w:color="auto"/>
            <w:left w:val="none" w:sz="0" w:space="0" w:color="auto"/>
            <w:bottom w:val="none" w:sz="0" w:space="0" w:color="auto"/>
            <w:right w:val="none" w:sz="0" w:space="0" w:color="auto"/>
          </w:divBdr>
        </w:div>
        <w:div w:id="20752769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979</Words>
  <Characters>5582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ChenJ</dc:creator>
  <cp:lastModifiedBy>Zablotska, Lydia</cp:lastModifiedBy>
  <cp:revision>5</cp:revision>
  <dcterms:created xsi:type="dcterms:W3CDTF">2018-11-15T21:08:00Z</dcterms:created>
  <dcterms:modified xsi:type="dcterms:W3CDTF">2018-11-15T21:17:00Z</dcterms:modified>
</cp:coreProperties>
</file>