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6BA3A" w14:textId="77777777" w:rsidR="00B97DEE" w:rsidRPr="00B97DEE" w:rsidRDefault="00B97DEE" w:rsidP="00B97DEE">
      <w:pPr>
        <w:spacing w:after="0"/>
        <w:jc w:val="center"/>
        <w:rPr>
          <w:rFonts w:ascii="Arial" w:hAnsi="Arial" w:cs="Arial"/>
          <w:b/>
        </w:rPr>
      </w:pPr>
      <w:r w:rsidRPr="00B97DEE">
        <w:rPr>
          <w:rFonts w:ascii="Arial" w:hAnsi="Arial" w:cs="Arial"/>
          <w:b/>
        </w:rPr>
        <w:t>Epi 228 Measurement Theory and Practice</w:t>
      </w:r>
    </w:p>
    <w:p w14:paraId="6FF57D2C" w14:textId="77777777" w:rsidR="00B97DEE" w:rsidRDefault="00B97DEE" w:rsidP="00B97DEE">
      <w:pPr>
        <w:spacing w:after="0"/>
        <w:jc w:val="center"/>
        <w:rPr>
          <w:rFonts w:ascii="Arial" w:hAnsi="Arial" w:cs="Arial"/>
          <w:b/>
        </w:rPr>
      </w:pPr>
      <w:r w:rsidRPr="00B97DEE">
        <w:rPr>
          <w:rFonts w:ascii="Arial" w:hAnsi="Arial" w:cs="Arial"/>
          <w:b/>
        </w:rPr>
        <w:t>Fall 2018</w:t>
      </w:r>
    </w:p>
    <w:p w14:paraId="665195AA" w14:textId="628A5541" w:rsidR="00C338DC" w:rsidRDefault="00C338DC" w:rsidP="00B97DEE">
      <w:pPr>
        <w:spacing w:after="0"/>
        <w:jc w:val="center"/>
        <w:rPr>
          <w:rFonts w:ascii="Arial" w:hAnsi="Arial" w:cs="Arial"/>
          <w:b/>
        </w:rPr>
      </w:pPr>
      <w:r w:rsidRPr="007E0244">
        <w:rPr>
          <w:rFonts w:ascii="Arial" w:hAnsi="Arial" w:cs="Arial"/>
          <w:b/>
        </w:rPr>
        <w:t>Oral Presentation of Review of Instrument</w:t>
      </w:r>
    </w:p>
    <w:p w14:paraId="62E798A3" w14:textId="77777777" w:rsidR="00C338DC" w:rsidRDefault="00C338DC" w:rsidP="00C338DC">
      <w:pPr>
        <w:spacing w:after="0"/>
        <w:jc w:val="center"/>
        <w:rPr>
          <w:rFonts w:ascii="Arial" w:hAnsi="Arial" w:cs="Arial"/>
          <w:b/>
        </w:rPr>
      </w:pPr>
    </w:p>
    <w:p w14:paraId="69D7850C" w14:textId="77777777" w:rsidR="00C338DC" w:rsidRDefault="00C338DC" w:rsidP="00C338DC">
      <w:pPr>
        <w:spacing w:after="0"/>
        <w:rPr>
          <w:rFonts w:ascii="Arial" w:hAnsi="Arial" w:cs="Arial"/>
          <w:b/>
        </w:rPr>
      </w:pPr>
    </w:p>
    <w:p w14:paraId="1047BC1F" w14:textId="55F5BDB6" w:rsidR="00C338DC" w:rsidRDefault="00B97DEE" w:rsidP="00C338D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Name of the Presenter: ______________________________________________________</w:t>
      </w:r>
    </w:p>
    <w:p w14:paraId="2B08B719" w14:textId="77777777" w:rsidR="00C338DC" w:rsidRDefault="00C338DC" w:rsidP="00C338DC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4598" w:type="dxa"/>
        <w:tblInd w:w="-113" w:type="dxa"/>
        <w:tblLook w:val="04A0" w:firstRow="1" w:lastRow="0" w:firstColumn="1" w:lastColumn="0" w:noHBand="0" w:noVBand="1"/>
      </w:tblPr>
      <w:tblGrid>
        <w:gridCol w:w="4878"/>
        <w:gridCol w:w="4770"/>
        <w:gridCol w:w="4950"/>
      </w:tblGrid>
      <w:tr w:rsidR="00427F24" w:rsidRPr="007E0244" w14:paraId="42B8F567" w14:textId="77777777" w:rsidTr="0076545C">
        <w:trPr>
          <w:trHeight w:val="385"/>
        </w:trPr>
        <w:tc>
          <w:tcPr>
            <w:tcW w:w="4878" w:type="dxa"/>
          </w:tcPr>
          <w:p w14:paraId="0864F8A7" w14:textId="77777777" w:rsidR="00427F24" w:rsidRPr="007E0244" w:rsidRDefault="00427F24" w:rsidP="00301F4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Phenomenon</w:t>
            </w:r>
          </w:p>
        </w:tc>
        <w:tc>
          <w:tcPr>
            <w:tcW w:w="4770" w:type="dxa"/>
          </w:tcPr>
          <w:p w14:paraId="0035AE63" w14:textId="77777777" w:rsidR="00427F24" w:rsidRDefault="00427F24" w:rsidP="00301F41">
            <w:pPr>
              <w:spacing w:after="0" w:line="240" w:lineRule="auto"/>
              <w:rPr>
                <w:rStyle w:val="Strong"/>
                <w:rFonts w:ascii="Arial" w:hAnsi="Arial" w:cs="Arial"/>
                <w:b w:val="0"/>
              </w:rPr>
            </w:pPr>
            <w:r w:rsidRPr="007E0244">
              <w:rPr>
                <w:rStyle w:val="Strong"/>
                <w:rFonts w:ascii="Arial" w:hAnsi="Arial" w:cs="Arial"/>
                <w:b w:val="0"/>
              </w:rPr>
              <w:t>e.g</w:t>
            </w:r>
            <w:r>
              <w:rPr>
                <w:rStyle w:val="Strong"/>
                <w:rFonts w:ascii="Arial" w:hAnsi="Arial" w:cs="Arial"/>
                <w:b w:val="0"/>
              </w:rPr>
              <w:t>., Neighborhood walkability</w:t>
            </w:r>
          </w:p>
        </w:tc>
        <w:tc>
          <w:tcPr>
            <w:tcW w:w="4950" w:type="dxa"/>
          </w:tcPr>
          <w:p w14:paraId="39DBDCF8" w14:textId="391F48B9" w:rsidR="00427F24" w:rsidRPr="007E0244" w:rsidRDefault="00427F24" w:rsidP="00301F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27F24" w:rsidRPr="007E0244" w14:paraId="05FC8213" w14:textId="77777777" w:rsidTr="0076545C">
        <w:trPr>
          <w:trHeight w:val="385"/>
        </w:trPr>
        <w:tc>
          <w:tcPr>
            <w:tcW w:w="4878" w:type="dxa"/>
          </w:tcPr>
          <w:p w14:paraId="4CAB4C0E" w14:textId="3E9F8322" w:rsidR="00427F24" w:rsidRPr="007E0244" w:rsidRDefault="00264A7F" w:rsidP="00301F4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1. </w:t>
            </w:r>
            <w:r w:rsidR="00427F24">
              <w:rPr>
                <w:rFonts w:ascii="Arial" w:hAnsi="Arial" w:cs="Arial"/>
                <w:b/>
              </w:rPr>
              <w:t>Concept(s)/ Conceptual framework</w:t>
            </w:r>
            <w:r w:rsidR="00886F4E">
              <w:rPr>
                <w:rFonts w:ascii="Arial" w:hAnsi="Arial" w:cs="Arial"/>
                <w:b/>
              </w:rPr>
              <w:t xml:space="preserve"> – 5%</w:t>
            </w:r>
          </w:p>
        </w:tc>
        <w:tc>
          <w:tcPr>
            <w:tcW w:w="4770" w:type="dxa"/>
          </w:tcPr>
          <w:p w14:paraId="2C4AB266" w14:textId="77777777" w:rsidR="00427F24" w:rsidRPr="007E0244" w:rsidRDefault="00427F24" w:rsidP="00301F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  <w:b w:val="0"/>
              </w:rPr>
              <w:t xml:space="preserve">e.g., Residential density, land use mix, street connectivity, infrastructure for walking/cycling, neighborhood aesthetics, traffic, crime safety </w:t>
            </w:r>
          </w:p>
        </w:tc>
        <w:tc>
          <w:tcPr>
            <w:tcW w:w="4950" w:type="dxa"/>
          </w:tcPr>
          <w:p w14:paraId="6291948B" w14:textId="4F3B2D6E" w:rsidR="00427F24" w:rsidRPr="007E0244" w:rsidRDefault="00427F24" w:rsidP="00301F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2E7C" w:rsidRPr="007E0244" w14:paraId="4834C030" w14:textId="77777777" w:rsidTr="0076545C">
        <w:trPr>
          <w:trHeight w:val="528"/>
        </w:trPr>
        <w:tc>
          <w:tcPr>
            <w:tcW w:w="4878" w:type="dxa"/>
          </w:tcPr>
          <w:p w14:paraId="44F47CD4" w14:textId="692742ED" w:rsidR="00C22E7C" w:rsidRPr="007E0244" w:rsidRDefault="00C22E7C" w:rsidP="00264A7F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  <w:r w:rsidRPr="007E0244">
              <w:rPr>
                <w:rStyle w:val="Emphasis"/>
                <w:rFonts w:ascii="Arial" w:hAnsi="Arial" w:cs="Arial"/>
                <w:b/>
                <w:i w:val="0"/>
              </w:rPr>
              <w:t>Operational definitions</w:t>
            </w:r>
          </w:p>
        </w:tc>
        <w:tc>
          <w:tcPr>
            <w:tcW w:w="4770" w:type="dxa"/>
          </w:tcPr>
          <w:p w14:paraId="72659FB0" w14:textId="223F5CF6" w:rsidR="00C22E7C" w:rsidRDefault="00C22E7C" w:rsidP="00301F41">
            <w:pPr>
              <w:spacing w:after="0" w:line="240" w:lineRule="auto"/>
              <w:rPr>
                <w:rFonts w:ascii="Arial" w:hAnsi="Arial" w:cs="Arial"/>
              </w:rPr>
            </w:pPr>
            <w:r w:rsidRPr="007E0244">
              <w:rPr>
                <w:rFonts w:ascii="Arial" w:hAnsi="Arial" w:cs="Arial"/>
              </w:rPr>
              <w:t>e.g. Items were scaled from 1 (strongly disagree) to  4 (strongly agree), with higher scores indicating a more favorable value of the environmental walkability</w:t>
            </w:r>
          </w:p>
        </w:tc>
        <w:tc>
          <w:tcPr>
            <w:tcW w:w="4950" w:type="dxa"/>
          </w:tcPr>
          <w:p w14:paraId="3FAC1880" w14:textId="77777777" w:rsidR="00C22E7C" w:rsidRDefault="00C22E7C" w:rsidP="00301F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7625F" w:rsidRPr="007E0244" w14:paraId="19369BE7" w14:textId="77777777" w:rsidTr="0076545C">
        <w:trPr>
          <w:trHeight w:val="528"/>
        </w:trPr>
        <w:tc>
          <w:tcPr>
            <w:tcW w:w="4878" w:type="dxa"/>
          </w:tcPr>
          <w:p w14:paraId="0B4346FA" w14:textId="5CEBC9E8" w:rsidR="00C7625F" w:rsidRPr="007E0244" w:rsidRDefault="00264A7F" w:rsidP="00C7625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 </w:t>
            </w:r>
            <w:r w:rsidRPr="00264A7F">
              <w:rPr>
                <w:rFonts w:ascii="Arial" w:hAnsi="Arial" w:cs="Arial"/>
                <w:b/>
              </w:rPr>
              <w:t>Selected Measure/Instrument</w:t>
            </w:r>
            <w:r w:rsidR="00886F4E">
              <w:rPr>
                <w:rFonts w:ascii="Arial" w:hAnsi="Arial" w:cs="Arial"/>
                <w:b/>
              </w:rPr>
              <w:t xml:space="preserve"> – 10%</w:t>
            </w:r>
          </w:p>
        </w:tc>
        <w:tc>
          <w:tcPr>
            <w:tcW w:w="4770" w:type="dxa"/>
          </w:tcPr>
          <w:p w14:paraId="3E03B318" w14:textId="00E39868" w:rsidR="00C7625F" w:rsidRDefault="00C7625F" w:rsidP="00C7625F">
            <w:pPr>
              <w:spacing w:after="0" w:line="240" w:lineRule="auto"/>
              <w:rPr>
                <w:rStyle w:val="Strong"/>
                <w:rFonts w:ascii="Arial" w:hAnsi="Arial" w:cs="Arial"/>
                <w:b w:val="0"/>
              </w:rPr>
            </w:pPr>
            <w:r w:rsidRPr="007E0244">
              <w:rPr>
                <w:rStyle w:val="Strong"/>
                <w:rFonts w:ascii="Arial" w:hAnsi="Arial" w:cs="Arial"/>
                <w:b w:val="0"/>
              </w:rPr>
              <w:t>e.g.</w:t>
            </w:r>
            <w:r>
              <w:rPr>
                <w:rStyle w:val="Strong"/>
                <w:rFonts w:ascii="Arial" w:hAnsi="Arial" w:cs="Arial"/>
                <w:b w:val="0"/>
              </w:rPr>
              <w:t>, #1 -</w:t>
            </w:r>
            <w:r w:rsidRPr="007E0244">
              <w:rPr>
                <w:rStyle w:val="Strong"/>
                <w:rFonts w:ascii="Arial" w:hAnsi="Arial" w:cs="Arial"/>
                <w:b w:val="0"/>
              </w:rPr>
              <w:t xml:space="preserve"> Neighborhood Environment Walkability Scale – Youth (NEWS-Y)</w:t>
            </w:r>
            <w:r w:rsidR="006A4E2B">
              <w:rPr>
                <w:rStyle w:val="Strong"/>
                <w:rFonts w:ascii="Arial" w:hAnsi="Arial" w:cs="Arial"/>
                <w:b w:val="0"/>
              </w:rPr>
              <w:t>, self-administered</w:t>
            </w:r>
          </w:p>
          <w:p w14:paraId="2F06ABEE" w14:textId="77777777" w:rsidR="00C7625F" w:rsidRDefault="00C7625F" w:rsidP="00C762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50" w:type="dxa"/>
          </w:tcPr>
          <w:p w14:paraId="2DFE8B66" w14:textId="77777777" w:rsidR="00C7625F" w:rsidRPr="007E0244" w:rsidRDefault="00C7625F" w:rsidP="00C762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7625F" w:rsidRPr="007E0244" w14:paraId="7E5F0027" w14:textId="77777777" w:rsidTr="0076545C">
        <w:trPr>
          <w:trHeight w:val="528"/>
        </w:trPr>
        <w:tc>
          <w:tcPr>
            <w:tcW w:w="4878" w:type="dxa"/>
          </w:tcPr>
          <w:p w14:paraId="76E4D566" w14:textId="77777777" w:rsidR="00C7625F" w:rsidRPr="007E0244" w:rsidRDefault="00C7625F" w:rsidP="006A4E2B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  <w:r w:rsidRPr="007E0244">
              <w:rPr>
                <w:rFonts w:ascii="Arial" w:hAnsi="Arial" w:cs="Arial"/>
                <w:b/>
              </w:rPr>
              <w:t>Article</w:t>
            </w:r>
            <w:r>
              <w:rPr>
                <w:rFonts w:ascii="Arial" w:hAnsi="Arial" w:cs="Arial"/>
                <w:b/>
              </w:rPr>
              <w:t xml:space="preserve">(s) describing instruments </w:t>
            </w:r>
          </w:p>
        </w:tc>
        <w:tc>
          <w:tcPr>
            <w:tcW w:w="4770" w:type="dxa"/>
          </w:tcPr>
          <w:p w14:paraId="43DB9068" w14:textId="21D38E55" w:rsidR="00C7625F" w:rsidRPr="007E0244" w:rsidRDefault="00C7625F" w:rsidP="00C762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Article(s) for instrument #1: </w:t>
            </w:r>
            <w:proofErr w:type="spellStart"/>
            <w:r w:rsidRPr="007E0244">
              <w:rPr>
                <w:rFonts w:ascii="Arial" w:hAnsi="Arial" w:cs="Arial"/>
              </w:rPr>
              <w:t>Salis</w:t>
            </w:r>
            <w:proofErr w:type="spellEnd"/>
            <w:r w:rsidRPr="007E0244">
              <w:rPr>
                <w:rFonts w:ascii="Arial" w:hAnsi="Arial" w:cs="Arial"/>
              </w:rPr>
              <w:t>, J. (2007).</w:t>
            </w:r>
          </w:p>
        </w:tc>
        <w:tc>
          <w:tcPr>
            <w:tcW w:w="4950" w:type="dxa"/>
          </w:tcPr>
          <w:p w14:paraId="593FC46A" w14:textId="2DCD2164" w:rsidR="00C7625F" w:rsidRPr="007E0244" w:rsidRDefault="00C7625F" w:rsidP="00C762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4E2B" w:rsidRPr="007E0244" w14:paraId="565594C8" w14:textId="77777777" w:rsidTr="0076545C">
        <w:trPr>
          <w:trHeight w:val="387"/>
        </w:trPr>
        <w:tc>
          <w:tcPr>
            <w:tcW w:w="4878" w:type="dxa"/>
          </w:tcPr>
          <w:p w14:paraId="06E31805" w14:textId="7886185C" w:rsidR="006A4E2B" w:rsidRPr="007E0244" w:rsidRDefault="006A4E2B" w:rsidP="00C7625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886F4E">
              <w:rPr>
                <w:rFonts w:ascii="Arial" w:hAnsi="Arial" w:cs="Arial"/>
                <w:b/>
              </w:rPr>
              <w:t xml:space="preserve"> </w:t>
            </w:r>
            <w:r w:rsidRPr="006A4E2B">
              <w:rPr>
                <w:rFonts w:ascii="Arial" w:hAnsi="Arial" w:cs="Arial"/>
                <w:b/>
              </w:rPr>
              <w:t>Critique of the Measure/Instrument</w:t>
            </w:r>
            <w:r w:rsidR="00886F4E">
              <w:rPr>
                <w:rFonts w:ascii="Arial" w:hAnsi="Arial" w:cs="Arial"/>
                <w:b/>
              </w:rPr>
              <w:t xml:space="preserve"> – 10% </w:t>
            </w:r>
          </w:p>
        </w:tc>
        <w:tc>
          <w:tcPr>
            <w:tcW w:w="4770" w:type="dxa"/>
          </w:tcPr>
          <w:p w14:paraId="511D358E" w14:textId="77777777" w:rsidR="006A4E2B" w:rsidRPr="007E0244" w:rsidRDefault="006A4E2B" w:rsidP="00C762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50" w:type="dxa"/>
          </w:tcPr>
          <w:p w14:paraId="689C7C33" w14:textId="77777777" w:rsidR="006A4E2B" w:rsidRPr="007E0244" w:rsidRDefault="006A4E2B" w:rsidP="00C7625F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C7625F" w:rsidRPr="007E0244" w14:paraId="7302431B" w14:textId="77777777" w:rsidTr="0076545C">
        <w:trPr>
          <w:trHeight w:val="387"/>
        </w:trPr>
        <w:tc>
          <w:tcPr>
            <w:tcW w:w="4878" w:type="dxa"/>
          </w:tcPr>
          <w:p w14:paraId="1D95DCB8" w14:textId="77777777" w:rsidR="00C7625F" w:rsidRPr="007E0244" w:rsidRDefault="00C7625F" w:rsidP="006A4E2B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  <w:r w:rsidRPr="007E0244">
              <w:rPr>
                <w:rFonts w:ascii="Arial" w:hAnsi="Arial" w:cs="Arial"/>
                <w:b/>
              </w:rPr>
              <w:t>Sample and setting</w:t>
            </w:r>
          </w:p>
        </w:tc>
        <w:tc>
          <w:tcPr>
            <w:tcW w:w="4770" w:type="dxa"/>
          </w:tcPr>
          <w:p w14:paraId="19413EC3" w14:textId="454CA3C6" w:rsidR="00C7625F" w:rsidRPr="007E0244" w:rsidRDefault="00F96CFF" w:rsidP="00F96CFF">
            <w:pPr>
              <w:spacing w:after="0" w:line="240" w:lineRule="auto"/>
              <w:rPr>
                <w:rFonts w:ascii="Arial" w:hAnsi="Arial" w:cs="Arial"/>
              </w:rPr>
            </w:pPr>
            <w:r w:rsidRPr="00F96CFF">
              <w:rPr>
                <w:rFonts w:ascii="Arial" w:hAnsi="Arial" w:cs="Arial"/>
              </w:rPr>
              <w:t>Original version used in Nei</w:t>
            </w:r>
            <w:r>
              <w:rPr>
                <w:rFonts w:ascii="Arial" w:hAnsi="Arial" w:cs="Arial"/>
              </w:rPr>
              <w:t xml:space="preserve">ghborhood Quality of Life Study, </w:t>
            </w:r>
            <w:r w:rsidRPr="00F96CFF">
              <w:rPr>
                <w:rFonts w:ascii="Arial" w:hAnsi="Arial" w:cs="Arial"/>
              </w:rPr>
              <w:t>2,200 adults aged 20-65 randomly selected from 32 neighborhoods in two regions of the U.S.</w:t>
            </w:r>
          </w:p>
        </w:tc>
        <w:tc>
          <w:tcPr>
            <w:tcW w:w="4950" w:type="dxa"/>
          </w:tcPr>
          <w:p w14:paraId="77116FFD" w14:textId="77777777" w:rsidR="00C7625F" w:rsidRPr="007E0244" w:rsidRDefault="00C7625F" w:rsidP="00C7625F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C7625F" w:rsidRPr="007E0244" w14:paraId="51D56D30" w14:textId="77777777" w:rsidTr="0076545C">
        <w:trPr>
          <w:trHeight w:val="887"/>
        </w:trPr>
        <w:tc>
          <w:tcPr>
            <w:tcW w:w="4878" w:type="dxa"/>
          </w:tcPr>
          <w:p w14:paraId="66B2312B" w14:textId="77777777" w:rsidR="00C7625F" w:rsidRPr="007E0244" w:rsidRDefault="00C7625F" w:rsidP="00765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  <w:r w:rsidRPr="007E0244">
              <w:rPr>
                <w:rFonts w:ascii="Arial" w:hAnsi="Arial" w:cs="Arial"/>
                <w:b/>
              </w:rPr>
              <w:t>Validity</w:t>
            </w:r>
          </w:p>
          <w:p w14:paraId="5D15317C" w14:textId="77777777" w:rsidR="00C7625F" w:rsidRPr="007E0244" w:rsidRDefault="00C7625F" w:rsidP="006D3A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7E0244">
              <w:rPr>
                <w:rFonts w:ascii="Arial" w:hAnsi="Arial" w:cs="Arial"/>
                <w:b/>
              </w:rPr>
              <w:t>Content validity</w:t>
            </w:r>
          </w:p>
          <w:p w14:paraId="11184D59" w14:textId="77777777" w:rsidR="00C7625F" w:rsidRPr="007E0244" w:rsidRDefault="00C7625F" w:rsidP="006D3AE8">
            <w:pPr>
              <w:spacing w:after="0" w:line="240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-F</w:t>
            </w:r>
            <w:r w:rsidRPr="007E0244">
              <w:rPr>
                <w:rFonts w:ascii="Arial" w:hAnsi="Arial" w:cs="Arial"/>
              </w:rPr>
              <w:t>ace validity</w:t>
            </w:r>
          </w:p>
          <w:p w14:paraId="6C5C0700" w14:textId="77777777" w:rsidR="00C7625F" w:rsidRPr="007E0244" w:rsidRDefault="00C7625F" w:rsidP="006D3A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Strong"/>
                <w:rFonts w:ascii="Arial" w:hAnsi="Arial" w:cs="Arial"/>
              </w:rPr>
            </w:pPr>
            <w:r w:rsidRPr="007E0244">
              <w:rPr>
                <w:rStyle w:val="Strong"/>
                <w:rFonts w:ascii="Arial" w:hAnsi="Arial" w:cs="Arial"/>
              </w:rPr>
              <w:t>Criterion-related validity</w:t>
            </w:r>
          </w:p>
          <w:p w14:paraId="218589A2" w14:textId="77777777" w:rsidR="00C7625F" w:rsidRPr="007E0244" w:rsidRDefault="00C7625F" w:rsidP="006D3AE8">
            <w:pPr>
              <w:spacing w:after="0" w:line="240" w:lineRule="auto"/>
              <w:ind w:left="720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  <w:b w:val="0"/>
              </w:rPr>
              <w:t>-C</w:t>
            </w:r>
            <w:r w:rsidRPr="007E0244">
              <w:rPr>
                <w:rStyle w:val="Strong"/>
                <w:rFonts w:ascii="Arial" w:hAnsi="Arial" w:cs="Arial"/>
                <w:b w:val="0"/>
              </w:rPr>
              <w:t>oncurrent /predictive</w:t>
            </w:r>
            <w:r w:rsidRPr="007E0244">
              <w:rPr>
                <w:rFonts w:ascii="Arial" w:hAnsi="Arial" w:cs="Arial"/>
              </w:rPr>
              <w:t xml:space="preserve"> validity</w:t>
            </w:r>
          </w:p>
          <w:p w14:paraId="1AFDBE48" w14:textId="77777777" w:rsidR="00C7625F" w:rsidRDefault="00C7625F" w:rsidP="006D3A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7E0244">
              <w:rPr>
                <w:rFonts w:ascii="Arial" w:hAnsi="Arial" w:cs="Arial"/>
                <w:b/>
              </w:rPr>
              <w:t>Construct validity</w:t>
            </w:r>
          </w:p>
          <w:p w14:paraId="13798D00" w14:textId="77777777" w:rsidR="00C7625F" w:rsidRPr="00253CD9" w:rsidRDefault="00C7625F" w:rsidP="006D3AE8">
            <w:pPr>
              <w:spacing w:after="0" w:line="240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-C</w:t>
            </w:r>
            <w:r w:rsidRPr="007E0244">
              <w:rPr>
                <w:rFonts w:ascii="Arial" w:hAnsi="Arial" w:cs="Arial"/>
              </w:rPr>
              <w:t>onvergent /discriminant validity</w:t>
            </w:r>
          </w:p>
          <w:p w14:paraId="4C64A234" w14:textId="77777777" w:rsidR="00C7625F" w:rsidRPr="002A48C3" w:rsidRDefault="00C7625F" w:rsidP="006D3A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Strong"/>
                <w:rFonts w:ascii="Arial" w:hAnsi="Arial" w:cs="Arial"/>
                <w:b w:val="0"/>
                <w:bCs w:val="0"/>
              </w:rPr>
            </w:pPr>
            <w:r>
              <w:rPr>
                <w:rStyle w:val="Strong"/>
                <w:rFonts w:ascii="Arial" w:hAnsi="Arial" w:cs="Arial"/>
              </w:rPr>
              <w:t xml:space="preserve">Results of </w:t>
            </w:r>
            <w:r w:rsidRPr="00253CD9">
              <w:rPr>
                <w:rStyle w:val="Strong"/>
                <w:rFonts w:ascii="Arial" w:hAnsi="Arial" w:cs="Arial"/>
              </w:rPr>
              <w:t>factor analysis</w:t>
            </w:r>
          </w:p>
          <w:p w14:paraId="1BFD0652" w14:textId="4BAF8420" w:rsidR="00C7625F" w:rsidRPr="002A48C3" w:rsidRDefault="00C7625F" w:rsidP="006D3A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2A48C3">
              <w:rPr>
                <w:rFonts w:ascii="Arial" w:hAnsi="Arial" w:cs="Arial"/>
                <w:b/>
              </w:rPr>
              <w:t>Consequential validity</w:t>
            </w:r>
          </w:p>
        </w:tc>
        <w:tc>
          <w:tcPr>
            <w:tcW w:w="4770" w:type="dxa"/>
          </w:tcPr>
          <w:p w14:paraId="54E848A0" w14:textId="59E6D182" w:rsidR="00C7625F" w:rsidRDefault="008846A6" w:rsidP="00C762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 </w:t>
            </w:r>
            <w:r w:rsidR="004B0EC3">
              <w:rPr>
                <w:rFonts w:ascii="Arial" w:hAnsi="Arial" w:cs="Arial"/>
              </w:rPr>
              <w:t xml:space="preserve">evaluated in the original study. Subsequent studies evaluated construct validity and criterion validity (0.54 at the group level, 0.19 at the individual level, compared to </w:t>
            </w:r>
            <w:r w:rsidR="00241F98">
              <w:rPr>
                <w:rFonts w:ascii="Arial" w:hAnsi="Arial" w:cs="Arial"/>
              </w:rPr>
              <w:t>pedometers)</w:t>
            </w:r>
            <w:r w:rsidR="004B0EC3">
              <w:rPr>
                <w:rFonts w:ascii="Arial" w:hAnsi="Arial" w:cs="Arial"/>
              </w:rPr>
              <w:t>. Translated versions evaluated construct validity.</w:t>
            </w:r>
          </w:p>
        </w:tc>
        <w:tc>
          <w:tcPr>
            <w:tcW w:w="4950" w:type="dxa"/>
          </w:tcPr>
          <w:p w14:paraId="6E3712B4" w14:textId="77777777" w:rsidR="00C7625F" w:rsidRPr="007E0244" w:rsidRDefault="00C7625F" w:rsidP="00C762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7625F" w:rsidRPr="007E0244" w14:paraId="2D9ADC97" w14:textId="77777777" w:rsidTr="0076545C">
        <w:trPr>
          <w:trHeight w:val="347"/>
        </w:trPr>
        <w:tc>
          <w:tcPr>
            <w:tcW w:w="4878" w:type="dxa"/>
          </w:tcPr>
          <w:p w14:paraId="38D548F0" w14:textId="77777777" w:rsidR="00C7625F" w:rsidRPr="007E0244" w:rsidRDefault="00C7625F" w:rsidP="00765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  <w:r w:rsidRPr="007E0244">
              <w:rPr>
                <w:rFonts w:ascii="Arial" w:hAnsi="Arial" w:cs="Arial"/>
                <w:b/>
              </w:rPr>
              <w:lastRenderedPageBreak/>
              <w:t>Reliability</w:t>
            </w:r>
          </w:p>
          <w:p w14:paraId="06006F27" w14:textId="77777777" w:rsidR="00C7625F" w:rsidRPr="005A3AAF" w:rsidRDefault="00C7625F" w:rsidP="00662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  <w:r w:rsidRPr="005A3AAF">
              <w:rPr>
                <w:rFonts w:ascii="Arial" w:hAnsi="Arial" w:cs="Arial"/>
                <w:b/>
              </w:rPr>
              <w:t>Internal consistency reliability</w:t>
            </w:r>
          </w:p>
          <w:p w14:paraId="00940409" w14:textId="77777777" w:rsidR="006D3AE8" w:rsidRDefault="00C7625F" w:rsidP="00662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Alternate/parallel form reliability </w:t>
            </w:r>
          </w:p>
          <w:p w14:paraId="318FDDE9" w14:textId="77777777" w:rsidR="006D3AE8" w:rsidRDefault="00C7625F" w:rsidP="00662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  <w:r w:rsidRPr="006D3AE8">
              <w:rPr>
                <w:rFonts w:ascii="Arial" w:hAnsi="Arial" w:cs="Arial"/>
                <w:b/>
              </w:rPr>
              <w:t>Inter/Intra-rater reliability</w:t>
            </w:r>
          </w:p>
          <w:p w14:paraId="5A46B6B5" w14:textId="1696C853" w:rsidR="00C7625F" w:rsidRPr="006D3AE8" w:rsidRDefault="00C7625F" w:rsidP="00662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  <w:r w:rsidRPr="006D3AE8">
              <w:rPr>
                <w:rFonts w:ascii="Arial" w:hAnsi="Arial" w:cs="Arial"/>
                <w:b/>
              </w:rPr>
              <w:t>Test-retest reliability</w:t>
            </w:r>
          </w:p>
        </w:tc>
        <w:tc>
          <w:tcPr>
            <w:tcW w:w="4770" w:type="dxa"/>
          </w:tcPr>
          <w:p w14:paraId="66EEB198" w14:textId="012C1F23" w:rsidR="00C7625F" w:rsidRDefault="00C7625F" w:rsidP="00C762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Cronbach’s alpha: 0.91 (whole instrument), 0.87-0.94 for 7 subscales</w:t>
            </w:r>
          </w:p>
          <w:p w14:paraId="65DC30B1" w14:textId="0C2547B9" w:rsidR="00C7625F" w:rsidRPr="007E0244" w:rsidRDefault="00C7625F" w:rsidP="00C762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7E0244">
              <w:rPr>
                <w:rFonts w:ascii="Arial" w:hAnsi="Arial" w:cs="Arial"/>
              </w:rPr>
              <w:t xml:space="preserve">est-retest reliability: ICC range </w:t>
            </w:r>
            <w:r>
              <w:rPr>
                <w:rFonts w:ascii="Arial" w:hAnsi="Arial" w:cs="Arial"/>
              </w:rPr>
              <w:t>0</w:t>
            </w:r>
            <w:r w:rsidRPr="007E0244">
              <w:rPr>
                <w:rFonts w:ascii="Arial" w:hAnsi="Arial" w:cs="Arial"/>
              </w:rPr>
              <w:t>.56-</w:t>
            </w:r>
            <w:r>
              <w:rPr>
                <w:rFonts w:ascii="Arial" w:hAnsi="Arial" w:cs="Arial"/>
              </w:rPr>
              <w:t>0</w:t>
            </w:r>
            <w:r w:rsidRPr="007E0244">
              <w:rPr>
                <w:rFonts w:ascii="Arial" w:hAnsi="Arial" w:cs="Arial"/>
              </w:rPr>
              <w:t xml:space="preserve">.87 </w:t>
            </w:r>
          </w:p>
        </w:tc>
        <w:tc>
          <w:tcPr>
            <w:tcW w:w="4950" w:type="dxa"/>
          </w:tcPr>
          <w:p w14:paraId="4B44E891" w14:textId="77777777" w:rsidR="00C7625F" w:rsidRPr="007E0244" w:rsidRDefault="00C7625F" w:rsidP="00C762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7625F" w:rsidRPr="007E0244" w14:paraId="3FBD6A96" w14:textId="77777777" w:rsidTr="00662D21">
        <w:trPr>
          <w:trHeight w:val="1706"/>
        </w:trPr>
        <w:tc>
          <w:tcPr>
            <w:tcW w:w="4878" w:type="dxa"/>
          </w:tcPr>
          <w:p w14:paraId="1E61036C" w14:textId="77777777" w:rsidR="00C7625F" w:rsidRPr="007E0244" w:rsidRDefault="00C7625F" w:rsidP="0076545C">
            <w:p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  <w:r w:rsidRPr="007E0244">
              <w:rPr>
                <w:rFonts w:ascii="Arial" w:hAnsi="Arial" w:cs="Arial"/>
                <w:b/>
              </w:rPr>
              <w:t>Contextual Issues</w:t>
            </w:r>
          </w:p>
          <w:p w14:paraId="0ACD14FD" w14:textId="77777777" w:rsidR="00C7625F" w:rsidRPr="007E0244" w:rsidRDefault="00C7625F" w:rsidP="00662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  <w:r w:rsidRPr="007E0244">
              <w:rPr>
                <w:rFonts w:ascii="Arial" w:hAnsi="Arial" w:cs="Arial"/>
                <w:b/>
              </w:rPr>
              <w:t xml:space="preserve">Population characteristics </w:t>
            </w:r>
          </w:p>
          <w:p w14:paraId="78AADDB6" w14:textId="77777777" w:rsidR="00C7625F" w:rsidRPr="007E0244" w:rsidRDefault="00C7625F" w:rsidP="00662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  <w:r w:rsidRPr="007E0244">
              <w:rPr>
                <w:rFonts w:ascii="Arial" w:hAnsi="Arial" w:cs="Arial"/>
                <w:b/>
              </w:rPr>
              <w:t xml:space="preserve">Cultural context </w:t>
            </w:r>
          </w:p>
          <w:p w14:paraId="4E088AF9" w14:textId="77777777" w:rsidR="00C7625F" w:rsidRPr="007E0244" w:rsidRDefault="00C7625F" w:rsidP="00662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  <w:r w:rsidRPr="007E0244">
              <w:rPr>
                <w:rFonts w:ascii="Arial" w:hAnsi="Arial" w:cs="Arial"/>
                <w:b/>
              </w:rPr>
              <w:t xml:space="preserve">Historical context </w:t>
            </w:r>
          </w:p>
          <w:p w14:paraId="38C8560A" w14:textId="77777777" w:rsidR="00C7625F" w:rsidRPr="007E0244" w:rsidRDefault="00C7625F" w:rsidP="00662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  <w:r w:rsidRPr="007E0244">
              <w:rPr>
                <w:rFonts w:ascii="Arial" w:hAnsi="Arial" w:cs="Arial"/>
                <w:b/>
              </w:rPr>
              <w:t xml:space="preserve">Research goals </w:t>
            </w:r>
          </w:p>
          <w:p w14:paraId="78998077" w14:textId="77777777" w:rsidR="00C7625F" w:rsidRPr="007E0244" w:rsidRDefault="00C7625F" w:rsidP="00662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Arial" w:hAnsi="Arial" w:cs="Arial"/>
                <w:b/>
              </w:rPr>
            </w:pPr>
            <w:r w:rsidRPr="007E0244">
              <w:rPr>
                <w:rFonts w:ascii="Arial" w:hAnsi="Arial" w:cs="Arial"/>
                <w:b/>
              </w:rPr>
              <w:t>Administration issues</w:t>
            </w:r>
            <w:r w:rsidRPr="00662D2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770" w:type="dxa"/>
          </w:tcPr>
          <w:p w14:paraId="33E25655" w14:textId="63EA2716" w:rsidR="00C7625F" w:rsidRPr="007E0244" w:rsidRDefault="00437DCF" w:rsidP="00C762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Translated and validated in many countries. Concept of leisure walking not fully supported in some translated versions.</w:t>
            </w:r>
          </w:p>
        </w:tc>
        <w:tc>
          <w:tcPr>
            <w:tcW w:w="4950" w:type="dxa"/>
          </w:tcPr>
          <w:p w14:paraId="0D16D386" w14:textId="77777777" w:rsidR="00C7625F" w:rsidRPr="007E0244" w:rsidRDefault="00C7625F" w:rsidP="00C762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7625F" w:rsidRPr="007E0244" w14:paraId="2459EA36" w14:textId="77777777" w:rsidTr="0076545C">
        <w:trPr>
          <w:trHeight w:val="1994"/>
        </w:trPr>
        <w:tc>
          <w:tcPr>
            <w:tcW w:w="4878" w:type="dxa"/>
          </w:tcPr>
          <w:p w14:paraId="20B494F0" w14:textId="6EA0EDD0" w:rsidR="00C7625F" w:rsidRPr="007E0244" w:rsidRDefault="00886F4E" w:rsidP="00C7625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4. </w:t>
            </w:r>
            <w:r w:rsidRPr="00886F4E">
              <w:rPr>
                <w:rFonts w:ascii="Arial" w:hAnsi="Arial" w:cs="Arial"/>
                <w:b/>
              </w:rPr>
              <w:t>Recommendations</w:t>
            </w:r>
            <w:r w:rsidR="00C7625F" w:rsidRPr="0040046C">
              <w:rPr>
                <w:rFonts w:ascii="Arial" w:hAnsi="Arial" w:cs="Arial"/>
                <w:b/>
              </w:rPr>
              <w:t xml:space="preserve"> for Improvement of the Measure/Instrument</w:t>
            </w:r>
            <w:r w:rsidR="0076545C">
              <w:rPr>
                <w:rFonts w:ascii="Arial" w:hAnsi="Arial" w:cs="Arial"/>
                <w:b/>
              </w:rPr>
              <w:t xml:space="preserve"> – 10%</w:t>
            </w:r>
          </w:p>
        </w:tc>
        <w:tc>
          <w:tcPr>
            <w:tcW w:w="4770" w:type="dxa"/>
          </w:tcPr>
          <w:p w14:paraId="4AC26D64" w14:textId="6C8DBA1F" w:rsidR="00C7625F" w:rsidRPr="007E0244" w:rsidRDefault="00E90D8B" w:rsidP="00C762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Various version of the instrument </w:t>
            </w:r>
            <w:proofErr w:type="gramStart"/>
            <w:r>
              <w:rPr>
                <w:rFonts w:ascii="Arial" w:hAnsi="Arial" w:cs="Arial"/>
              </w:rPr>
              <w:t>have been proposed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2C28D6">
              <w:rPr>
                <w:rFonts w:ascii="Arial" w:hAnsi="Arial" w:cs="Arial"/>
              </w:rPr>
              <w:t>because of its originally low validity and reliability.</w:t>
            </w:r>
            <w:bookmarkStart w:id="0" w:name="_GoBack"/>
            <w:bookmarkEnd w:id="0"/>
          </w:p>
        </w:tc>
        <w:tc>
          <w:tcPr>
            <w:tcW w:w="4950" w:type="dxa"/>
          </w:tcPr>
          <w:p w14:paraId="1FEB63A1" w14:textId="77777777" w:rsidR="00C7625F" w:rsidRPr="007E0244" w:rsidRDefault="00C7625F" w:rsidP="00C762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0AECB17" w14:textId="77777777" w:rsidR="00C338DC" w:rsidRPr="007E0244" w:rsidRDefault="00C338DC" w:rsidP="00C338DC">
      <w:pPr>
        <w:rPr>
          <w:rFonts w:ascii="Arial" w:hAnsi="Arial" w:cs="Arial"/>
        </w:rPr>
      </w:pPr>
    </w:p>
    <w:p w14:paraId="2CB21FF3" w14:textId="77777777" w:rsidR="003A2B4E" w:rsidRDefault="003A2B4E"/>
    <w:sectPr w:rsidR="003A2B4E" w:rsidSect="00D21E64">
      <w:footerReference w:type="default" r:id="rId7"/>
      <w:pgSz w:w="15840" w:h="12240" w:orient="landscape"/>
      <w:pgMar w:top="993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1219B" w14:textId="77777777" w:rsidR="007B7E6E" w:rsidRDefault="007B7E6E">
      <w:pPr>
        <w:spacing w:after="0" w:line="240" w:lineRule="auto"/>
      </w:pPr>
      <w:r>
        <w:separator/>
      </w:r>
    </w:p>
  </w:endnote>
  <w:endnote w:type="continuationSeparator" w:id="0">
    <w:p w14:paraId="3CF0BFE2" w14:textId="77777777" w:rsidR="007B7E6E" w:rsidRDefault="007B7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altName w:val="Arial Unicode M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39082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8808B03" w14:textId="49B28373" w:rsidR="007E0244" w:rsidRPr="007E0244" w:rsidRDefault="00A67478">
        <w:pPr>
          <w:pStyle w:val="Footer"/>
          <w:jc w:val="right"/>
          <w:rPr>
            <w:rFonts w:ascii="Arial" w:hAnsi="Arial" w:cs="Arial"/>
          </w:rPr>
        </w:pPr>
        <w:r w:rsidRPr="007E0244">
          <w:rPr>
            <w:rFonts w:ascii="Arial" w:hAnsi="Arial" w:cs="Arial"/>
          </w:rPr>
          <w:fldChar w:fldCharType="begin"/>
        </w:r>
        <w:r w:rsidRPr="007E0244">
          <w:rPr>
            <w:rFonts w:ascii="Arial" w:hAnsi="Arial" w:cs="Arial"/>
          </w:rPr>
          <w:instrText xml:space="preserve"> PAGE   \* MERGEFORMAT </w:instrText>
        </w:r>
        <w:r w:rsidRPr="007E0244">
          <w:rPr>
            <w:rFonts w:ascii="Arial" w:hAnsi="Arial" w:cs="Arial"/>
          </w:rPr>
          <w:fldChar w:fldCharType="separate"/>
        </w:r>
        <w:r w:rsidR="002C28D6">
          <w:rPr>
            <w:rFonts w:ascii="Arial" w:hAnsi="Arial" w:cs="Arial"/>
            <w:noProof/>
          </w:rPr>
          <w:t>2</w:t>
        </w:r>
        <w:r w:rsidRPr="007E0244">
          <w:rPr>
            <w:rFonts w:ascii="Arial" w:hAnsi="Arial" w:cs="Arial"/>
            <w:noProof/>
          </w:rPr>
          <w:fldChar w:fldCharType="end"/>
        </w:r>
      </w:p>
    </w:sdtContent>
  </w:sdt>
  <w:p w14:paraId="0661D4D9" w14:textId="77777777" w:rsidR="007E0244" w:rsidRDefault="007B7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763F5" w14:textId="77777777" w:rsidR="007B7E6E" w:rsidRDefault="007B7E6E">
      <w:pPr>
        <w:spacing w:after="0" w:line="240" w:lineRule="auto"/>
      </w:pPr>
      <w:r>
        <w:separator/>
      </w:r>
    </w:p>
  </w:footnote>
  <w:footnote w:type="continuationSeparator" w:id="0">
    <w:p w14:paraId="071E0D65" w14:textId="77777777" w:rsidR="007B7E6E" w:rsidRDefault="007B7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5588"/>
    <w:multiLevelType w:val="hybridMultilevel"/>
    <w:tmpl w:val="F67C98AA"/>
    <w:lvl w:ilvl="0" w:tplc="21B6A854">
      <w:start w:val="1"/>
      <w:numFmt w:val="bullet"/>
      <w:lvlText w:val="•"/>
      <w:lvlJc w:val="left"/>
      <w:pPr>
        <w:ind w:left="4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4083111F"/>
    <w:multiLevelType w:val="hybridMultilevel"/>
    <w:tmpl w:val="64A6C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F490D"/>
    <w:multiLevelType w:val="hybridMultilevel"/>
    <w:tmpl w:val="ED7A2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wMDEwMgACUxMLYyUdpeDU4uLM/DyQAsNaACUMGzosAAAA"/>
  </w:docVars>
  <w:rsids>
    <w:rsidRoot w:val="00C338DC"/>
    <w:rsid w:val="000C7E71"/>
    <w:rsid w:val="002273FB"/>
    <w:rsid w:val="00241F98"/>
    <w:rsid w:val="00253CD9"/>
    <w:rsid w:val="00264A7F"/>
    <w:rsid w:val="002A48C3"/>
    <w:rsid w:val="002C28D6"/>
    <w:rsid w:val="00301F41"/>
    <w:rsid w:val="003A2B4E"/>
    <w:rsid w:val="0040046C"/>
    <w:rsid w:val="00427F24"/>
    <w:rsid w:val="00437DCF"/>
    <w:rsid w:val="004A3265"/>
    <w:rsid w:val="004B0EC3"/>
    <w:rsid w:val="005A3AAF"/>
    <w:rsid w:val="00643979"/>
    <w:rsid w:val="00662D21"/>
    <w:rsid w:val="006A4E2B"/>
    <w:rsid w:val="006C1D47"/>
    <w:rsid w:val="006D3AE8"/>
    <w:rsid w:val="0076545C"/>
    <w:rsid w:val="007B7E6E"/>
    <w:rsid w:val="008846A6"/>
    <w:rsid w:val="00886F4E"/>
    <w:rsid w:val="008D51EC"/>
    <w:rsid w:val="00921BC7"/>
    <w:rsid w:val="009A76D8"/>
    <w:rsid w:val="00A67478"/>
    <w:rsid w:val="00B842B1"/>
    <w:rsid w:val="00B97DEE"/>
    <w:rsid w:val="00BC7CBE"/>
    <w:rsid w:val="00BD5BF2"/>
    <w:rsid w:val="00C05C06"/>
    <w:rsid w:val="00C20A1F"/>
    <w:rsid w:val="00C22E7C"/>
    <w:rsid w:val="00C338DC"/>
    <w:rsid w:val="00C4109F"/>
    <w:rsid w:val="00C7625F"/>
    <w:rsid w:val="00E56BBC"/>
    <w:rsid w:val="00E90D8B"/>
    <w:rsid w:val="00EA4F7B"/>
    <w:rsid w:val="00F9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BCAAEB"/>
  <w14:defaultImageDpi w14:val="300"/>
  <w15:docId w15:val="{3F679E71-7EE0-43FF-BB51-8F2A78E5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D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38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338DC"/>
    <w:rPr>
      <w:i/>
      <w:iCs/>
    </w:rPr>
  </w:style>
  <w:style w:type="character" w:styleId="Strong">
    <w:name w:val="Strong"/>
    <w:basedOn w:val="DefaultParagraphFont"/>
    <w:uiPriority w:val="22"/>
    <w:qFormat/>
    <w:rsid w:val="00C338D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33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8D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33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8D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338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8D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8D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Lorinda A Coombs</dc:creator>
  <cp:lastModifiedBy>Zablotska, Lydia</cp:lastModifiedBy>
  <cp:revision>4</cp:revision>
  <dcterms:created xsi:type="dcterms:W3CDTF">2018-11-29T22:28:00Z</dcterms:created>
  <dcterms:modified xsi:type="dcterms:W3CDTF">2018-11-29T22:55:00Z</dcterms:modified>
</cp:coreProperties>
</file>