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4B8" w:rsidRDefault="00E174B8">
      <w:pPr>
        <w:tabs>
          <w:tab w:val="left" w:pos="0"/>
        </w:tabs>
        <w:suppressAutoHyphens/>
        <w:jc w:val="center"/>
        <w:rPr>
          <w:rFonts w:ascii="Times" w:hAnsi="Times"/>
          <w:b/>
          <w:bCs/>
          <w:smallCaps/>
        </w:rPr>
      </w:pPr>
      <w:r>
        <w:rPr>
          <w:rFonts w:ascii="Times" w:hAnsi="Times"/>
          <w:b/>
          <w:bCs/>
          <w:smallCaps/>
          <w:sz w:val="26"/>
        </w:rPr>
        <w:t>Decision and Cost-Effectiveness Analysis</w:t>
      </w:r>
      <w:r>
        <w:rPr>
          <w:rFonts w:ascii="Times" w:hAnsi="Times"/>
          <w:b/>
          <w:bCs/>
          <w:smallCaps/>
          <w:sz w:val="26"/>
        </w:rPr>
        <w:br/>
      </w:r>
    </w:p>
    <w:p w:rsidR="00E174B8" w:rsidRDefault="00E174B8">
      <w:pPr>
        <w:tabs>
          <w:tab w:val="left" w:pos="0"/>
        </w:tabs>
        <w:suppressAutoHyphens/>
        <w:jc w:val="center"/>
        <w:rPr>
          <w:rFonts w:ascii="Times" w:hAnsi="Times"/>
          <w:sz w:val="24"/>
        </w:rPr>
      </w:pPr>
      <w:r>
        <w:rPr>
          <w:rFonts w:ascii="Times" w:hAnsi="Times"/>
          <w:sz w:val="24"/>
        </w:rPr>
        <w:t>Elective, Training in Clinical Research</w:t>
      </w:r>
    </w:p>
    <w:p w:rsidR="00E174B8" w:rsidRDefault="00E174B8">
      <w:pPr>
        <w:tabs>
          <w:tab w:val="left" w:pos="0"/>
        </w:tabs>
        <w:suppressAutoHyphens/>
        <w:jc w:val="center"/>
        <w:rPr>
          <w:rFonts w:ascii="Times" w:hAnsi="Times"/>
          <w:sz w:val="24"/>
        </w:rPr>
      </w:pPr>
      <w:r>
        <w:rPr>
          <w:rFonts w:ascii="Times" w:hAnsi="Times"/>
          <w:sz w:val="24"/>
        </w:rPr>
        <w:t>UCSF Department of Epidemiology and Biostatistics EPI 213</w:t>
      </w:r>
    </w:p>
    <w:p w:rsidR="00E174B8" w:rsidRDefault="00E174B8">
      <w:pPr>
        <w:tabs>
          <w:tab w:val="left" w:pos="0"/>
        </w:tabs>
        <w:suppressAutoHyphens/>
        <w:jc w:val="center"/>
        <w:rPr>
          <w:rFonts w:ascii="Times" w:hAnsi="Times"/>
          <w:sz w:val="24"/>
        </w:rPr>
      </w:pPr>
      <w:r>
        <w:rPr>
          <w:rFonts w:ascii="Times" w:hAnsi="Times"/>
          <w:sz w:val="24"/>
        </w:rPr>
        <w:t>Jan-Mar 201</w:t>
      </w:r>
      <w:r w:rsidR="002E12D1">
        <w:rPr>
          <w:rFonts w:ascii="Times" w:hAnsi="Times"/>
          <w:sz w:val="24"/>
        </w:rPr>
        <w:t>9</w:t>
      </w:r>
    </w:p>
    <w:p w:rsidR="00E174B8" w:rsidRDefault="00E174B8">
      <w:pPr>
        <w:tabs>
          <w:tab w:val="left" w:pos="0"/>
          <w:tab w:val="left" w:pos="5364"/>
        </w:tabs>
        <w:suppressAutoHyphens/>
      </w:pPr>
      <w:r>
        <w:tab/>
      </w:r>
    </w:p>
    <w:p w:rsidR="00E174B8" w:rsidRDefault="00E174B8">
      <w:pPr>
        <w:pStyle w:val="BodyText3"/>
        <w:shd w:val="pct10" w:color="auto" w:fill="FFFFFF"/>
        <w:ind w:right="-360"/>
        <w:rPr>
          <w:shd w:val="pct10" w:color="auto" w:fill="FFFFFF"/>
        </w:rPr>
      </w:pPr>
      <w:r>
        <w:rPr>
          <w:shd w:val="pct10" w:color="auto" w:fill="FFFFFF"/>
        </w:rPr>
        <w:t xml:space="preserve">DCEA Lecture 3, </w:t>
      </w:r>
      <w:r w:rsidR="002E12D1">
        <w:rPr>
          <w:shd w:val="pct10" w:color="auto" w:fill="FFFFFF"/>
        </w:rPr>
        <w:t>31</w:t>
      </w:r>
      <w:r w:rsidR="00884DCC">
        <w:rPr>
          <w:shd w:val="pct10" w:color="auto" w:fill="FFFFFF"/>
        </w:rPr>
        <w:t xml:space="preserve"> </w:t>
      </w:r>
      <w:r>
        <w:rPr>
          <w:shd w:val="pct10" w:color="auto" w:fill="FFFFFF"/>
        </w:rPr>
        <w:t>January 201</w:t>
      </w:r>
      <w:r w:rsidR="002E12D1">
        <w:rPr>
          <w:shd w:val="pct10" w:color="auto" w:fill="FFFFFF"/>
        </w:rPr>
        <w:t>9</w:t>
      </w:r>
      <w:bookmarkStart w:id="0" w:name="_GoBack"/>
      <w:bookmarkEnd w:id="0"/>
      <w:r>
        <w:rPr>
          <w:shd w:val="pct10" w:color="auto" w:fill="FFFFFF"/>
        </w:rPr>
        <w:br/>
        <w:t>Cost-Effectiveness Analysis: Overview, Steps</w:t>
      </w:r>
    </w:p>
    <w:p w:rsidR="00E174B8" w:rsidRDefault="00E174B8">
      <w:pPr>
        <w:tabs>
          <w:tab w:val="left" w:pos="5314"/>
        </w:tabs>
        <w:ind w:right="-1080"/>
      </w:pPr>
      <w:r>
        <w:tab/>
      </w:r>
    </w:p>
    <w:p w:rsidR="00E174B8" w:rsidRPr="00F969B3" w:rsidRDefault="00E174B8">
      <w:pPr>
        <w:ind w:left="720" w:right="-360" w:hanging="720"/>
        <w:rPr>
          <w:sz w:val="24"/>
          <w:szCs w:val="24"/>
        </w:rPr>
      </w:pPr>
      <w:r w:rsidRPr="00F969B3">
        <w:rPr>
          <w:b/>
          <w:sz w:val="24"/>
          <w:szCs w:val="24"/>
        </w:rPr>
        <w:t>Objectives:</w:t>
      </w:r>
    </w:p>
    <w:p w:rsidR="00E174B8" w:rsidRDefault="00E174B8">
      <w:pPr>
        <w:ind w:left="720" w:right="-360" w:hanging="720"/>
      </w:pPr>
    </w:p>
    <w:p w:rsidR="00E174B8" w:rsidRPr="00F969B3" w:rsidRDefault="00E174B8">
      <w:pPr>
        <w:tabs>
          <w:tab w:val="left" w:pos="260"/>
        </w:tabs>
        <w:ind w:right="-360"/>
        <w:rPr>
          <w:sz w:val="22"/>
          <w:szCs w:val="22"/>
        </w:rPr>
      </w:pPr>
      <w:r w:rsidRPr="00F969B3">
        <w:rPr>
          <w:sz w:val="22"/>
          <w:szCs w:val="22"/>
        </w:rPr>
        <w:t>•</w:t>
      </w:r>
      <w:r w:rsidRPr="00F969B3">
        <w:rPr>
          <w:sz w:val="22"/>
          <w:szCs w:val="22"/>
        </w:rPr>
        <w:tab/>
        <w:t>To understand the uses and basic components of CEA</w:t>
      </w:r>
    </w:p>
    <w:p w:rsidR="00E174B8" w:rsidRPr="00F969B3" w:rsidRDefault="00E174B8">
      <w:pPr>
        <w:tabs>
          <w:tab w:val="left" w:pos="260"/>
        </w:tabs>
        <w:ind w:right="-360"/>
        <w:rPr>
          <w:sz w:val="22"/>
          <w:szCs w:val="22"/>
        </w:rPr>
      </w:pPr>
      <w:r w:rsidRPr="00F969B3">
        <w:rPr>
          <w:sz w:val="22"/>
          <w:szCs w:val="22"/>
        </w:rPr>
        <w:t>•</w:t>
      </w:r>
      <w:r w:rsidRPr="00F969B3">
        <w:rPr>
          <w:sz w:val="22"/>
          <w:szCs w:val="22"/>
        </w:rPr>
        <w:tab/>
        <w:t>To understand the basic steps in conducting a CEA</w:t>
      </w:r>
    </w:p>
    <w:p w:rsidR="00E174B8" w:rsidRDefault="00E174B8">
      <w:pPr>
        <w:tabs>
          <w:tab w:val="left" w:pos="260"/>
        </w:tabs>
        <w:ind w:right="-360"/>
      </w:pPr>
    </w:p>
    <w:p w:rsidR="00E174B8" w:rsidRPr="00F969B3" w:rsidRDefault="00E174B8">
      <w:pPr>
        <w:tabs>
          <w:tab w:val="left" w:pos="0"/>
        </w:tabs>
        <w:suppressAutoHyphens/>
        <w:rPr>
          <w:b/>
          <w:sz w:val="24"/>
          <w:szCs w:val="24"/>
        </w:rPr>
      </w:pPr>
      <w:r w:rsidRPr="00F969B3">
        <w:rPr>
          <w:b/>
          <w:sz w:val="24"/>
          <w:szCs w:val="24"/>
        </w:rPr>
        <w:t>Readings:</w:t>
      </w:r>
    </w:p>
    <w:p w:rsidR="00E174B8" w:rsidRDefault="00E174B8">
      <w:pPr>
        <w:ind w:right="-1080"/>
      </w:pPr>
    </w:p>
    <w:p w:rsidR="00E174B8" w:rsidRDefault="00D169D4">
      <w:pPr>
        <w:ind w:left="270" w:right="-1080" w:hanging="270"/>
        <w:rPr>
          <w:rFonts w:ascii="Arial" w:hAnsi="Arial" w:cs="Arial"/>
          <w:color w:val="000000"/>
        </w:rPr>
      </w:pPr>
      <w:r w:rsidRPr="00D169D4">
        <w:rPr>
          <w:sz w:val="22"/>
          <w:szCs w:val="22"/>
        </w:rPr>
        <w:t xml:space="preserve">Jamison DT, </w:t>
      </w:r>
      <w:proofErr w:type="spellStart"/>
      <w:r w:rsidRPr="00D169D4">
        <w:rPr>
          <w:sz w:val="22"/>
          <w:szCs w:val="22"/>
        </w:rPr>
        <w:t>Breman</w:t>
      </w:r>
      <w:proofErr w:type="spellEnd"/>
      <w:r w:rsidRPr="00D169D4">
        <w:rPr>
          <w:sz w:val="22"/>
          <w:szCs w:val="22"/>
        </w:rPr>
        <w:t xml:space="preserve"> JG, </w:t>
      </w:r>
      <w:proofErr w:type="spellStart"/>
      <w:r w:rsidRPr="00D169D4">
        <w:rPr>
          <w:sz w:val="22"/>
          <w:szCs w:val="22"/>
        </w:rPr>
        <w:t>Measham</w:t>
      </w:r>
      <w:proofErr w:type="spellEnd"/>
      <w:r w:rsidRPr="00D169D4">
        <w:rPr>
          <w:sz w:val="22"/>
          <w:szCs w:val="22"/>
        </w:rPr>
        <w:t xml:space="preserve"> AR, et al., editors. Cost-Effectiveness Analysis in Disease Control Priorities in Health. Washington (DC): World Bank. 2006</w:t>
      </w:r>
      <w:r w:rsidRPr="00900CF2">
        <w:rPr>
          <w:rFonts w:ascii="Arial" w:hAnsi="Arial" w:cs="Arial"/>
          <w:color w:val="000000"/>
        </w:rPr>
        <w:t>.</w:t>
      </w:r>
      <w:hyperlink r:id="rId7" w:history="1">
        <w:r w:rsidRPr="00900CF2">
          <w:rPr>
            <w:rStyle w:val="Hyperlink"/>
            <w:rFonts w:ascii="Arial" w:hAnsi="Arial" w:cs="Arial"/>
            <w:color w:val="800080"/>
          </w:rPr>
          <w:t>http://www.ncbi.nlm.nih.gov/books/NBK10253/</w:t>
        </w:r>
      </w:hyperlink>
    </w:p>
    <w:p w:rsidR="00D169D4" w:rsidRPr="00F969B3" w:rsidRDefault="00D169D4">
      <w:pPr>
        <w:ind w:left="270" w:right="-1080" w:hanging="270"/>
        <w:rPr>
          <w:sz w:val="22"/>
          <w:szCs w:val="22"/>
        </w:rPr>
      </w:pPr>
    </w:p>
    <w:p w:rsidR="005F27DE" w:rsidRDefault="00E02A54">
      <w:pPr>
        <w:ind w:left="270" w:right="-1080" w:hanging="270"/>
        <w:rPr>
          <w:sz w:val="22"/>
          <w:szCs w:val="22"/>
        </w:rPr>
      </w:pPr>
      <w:r w:rsidRPr="00E02A54">
        <w:rPr>
          <w:sz w:val="22"/>
          <w:szCs w:val="22"/>
        </w:rPr>
        <w:t xml:space="preserve">Kahn JG, Marseille EA, Bennett R, Williams BG, </w:t>
      </w:r>
      <w:proofErr w:type="spellStart"/>
      <w:r w:rsidRPr="00E02A54">
        <w:rPr>
          <w:sz w:val="22"/>
          <w:szCs w:val="22"/>
        </w:rPr>
        <w:t>Granich</w:t>
      </w:r>
      <w:proofErr w:type="spellEnd"/>
      <w:r w:rsidRPr="00E02A54">
        <w:rPr>
          <w:sz w:val="22"/>
          <w:szCs w:val="22"/>
        </w:rPr>
        <w:t xml:space="preserve"> R. </w:t>
      </w:r>
      <w:hyperlink r:id="rId8" w:history="1">
        <w:r w:rsidRPr="00E02A54">
          <w:rPr>
            <w:sz w:val="22"/>
            <w:szCs w:val="22"/>
          </w:rPr>
          <w:t>Cost-Effectiveness of Antiretroviral Therapy for Prevention.</w:t>
        </w:r>
      </w:hyperlink>
      <w:r w:rsidRPr="00E02A54">
        <w:rPr>
          <w:sz w:val="22"/>
          <w:szCs w:val="22"/>
        </w:rPr>
        <w:t xml:space="preserve"> </w:t>
      </w:r>
      <w:proofErr w:type="spellStart"/>
      <w:r w:rsidRPr="00E02A54">
        <w:rPr>
          <w:sz w:val="22"/>
          <w:szCs w:val="22"/>
        </w:rPr>
        <w:t>Curr</w:t>
      </w:r>
      <w:proofErr w:type="spellEnd"/>
      <w:r w:rsidRPr="00E02A54">
        <w:rPr>
          <w:sz w:val="22"/>
          <w:szCs w:val="22"/>
        </w:rPr>
        <w:t xml:space="preserve"> HIV Res. 2011 Oct 14.  (just the section about economic analysis)</w:t>
      </w:r>
    </w:p>
    <w:p w:rsidR="005F27DE" w:rsidRDefault="005F27DE">
      <w:pPr>
        <w:ind w:left="270" w:right="-1080" w:hanging="270"/>
        <w:rPr>
          <w:sz w:val="22"/>
          <w:szCs w:val="22"/>
        </w:rPr>
      </w:pPr>
    </w:p>
    <w:p w:rsidR="00E174B8" w:rsidRPr="00F969B3" w:rsidRDefault="00E174B8">
      <w:pPr>
        <w:ind w:left="270" w:right="-1080" w:hanging="270"/>
        <w:rPr>
          <w:sz w:val="22"/>
          <w:szCs w:val="22"/>
        </w:rPr>
      </w:pPr>
      <w:r w:rsidRPr="00F969B3">
        <w:rPr>
          <w:sz w:val="22"/>
          <w:szCs w:val="22"/>
        </w:rPr>
        <w:t>Russell LB et al. Cost-Effectiveness Analysis as a Guide to Resource Allocation in Health: Roles and Limitations. Ch. 1 in Gold MR, et al., eds. Cost-Effectiveness in Health and Medicine. New York: Oxford University Press, 1996.</w:t>
      </w:r>
    </w:p>
    <w:p w:rsidR="00E174B8" w:rsidRDefault="00E174B8">
      <w:pPr>
        <w:ind w:left="270" w:right="-1080" w:hanging="270"/>
      </w:pPr>
    </w:p>
    <w:p w:rsidR="00E174B8" w:rsidRDefault="00E174B8">
      <w:pPr>
        <w:ind w:right="-1080"/>
      </w:pPr>
    </w:p>
    <w:p w:rsidR="00E174B8" w:rsidRDefault="00E174B8">
      <w:pPr>
        <w:pStyle w:val="Heading9"/>
        <w:rPr>
          <w:sz w:val="28"/>
        </w:rPr>
      </w:pPr>
      <w:r>
        <w:rPr>
          <w:sz w:val="28"/>
        </w:rPr>
        <w:t>Cost-effectiveness analysis</w:t>
      </w:r>
    </w:p>
    <w:p w:rsidR="00E174B8" w:rsidRDefault="00E174B8">
      <w:pPr>
        <w:ind w:right="-1080"/>
      </w:pPr>
    </w:p>
    <w:p w:rsidR="00E174B8" w:rsidRPr="00F969B3" w:rsidRDefault="00E174B8">
      <w:pPr>
        <w:ind w:left="720" w:right="-1080"/>
        <w:rPr>
          <w:sz w:val="22"/>
          <w:szCs w:val="22"/>
        </w:rPr>
      </w:pPr>
      <w:r w:rsidRPr="00F969B3">
        <w:rPr>
          <w:sz w:val="22"/>
          <w:szCs w:val="22"/>
        </w:rPr>
        <w:t>The past two lectures described clinical decision analysis – assessing health outcomes. Now we add the cost component. The topics of this lecture are:</w:t>
      </w:r>
    </w:p>
    <w:p w:rsidR="00E174B8" w:rsidRPr="00F969B3" w:rsidRDefault="00E174B8">
      <w:pPr>
        <w:ind w:left="720" w:right="-1080"/>
        <w:rPr>
          <w:sz w:val="22"/>
          <w:szCs w:val="22"/>
        </w:rPr>
      </w:pPr>
    </w:p>
    <w:p w:rsidR="00E174B8" w:rsidRPr="00F969B3" w:rsidRDefault="00E174B8">
      <w:pPr>
        <w:ind w:left="720" w:right="-1080"/>
        <w:rPr>
          <w:sz w:val="22"/>
          <w:szCs w:val="22"/>
        </w:rPr>
      </w:pPr>
      <w:r w:rsidRPr="00F969B3">
        <w:rPr>
          <w:sz w:val="22"/>
          <w:szCs w:val="22"/>
        </w:rPr>
        <w:t>I. Why do cost-effectiveness analysis?</w:t>
      </w:r>
    </w:p>
    <w:p w:rsidR="00E174B8" w:rsidRPr="00F969B3" w:rsidRDefault="00E174B8">
      <w:pPr>
        <w:ind w:left="720" w:right="-1080"/>
        <w:rPr>
          <w:sz w:val="22"/>
          <w:szCs w:val="22"/>
        </w:rPr>
      </w:pPr>
      <w:r w:rsidRPr="00F969B3">
        <w:rPr>
          <w:sz w:val="22"/>
          <w:szCs w:val="22"/>
        </w:rPr>
        <w:t>II. Overview of CEA methods</w:t>
      </w:r>
    </w:p>
    <w:p w:rsidR="00E174B8" w:rsidRPr="00F969B3" w:rsidRDefault="00E174B8">
      <w:pPr>
        <w:ind w:left="720" w:right="-1080"/>
        <w:rPr>
          <w:sz w:val="22"/>
          <w:szCs w:val="22"/>
        </w:rPr>
      </w:pPr>
      <w:r w:rsidRPr="00F969B3">
        <w:rPr>
          <w:sz w:val="22"/>
          <w:szCs w:val="22"/>
        </w:rPr>
        <w:t>III. Steps in conducting a CEA</w:t>
      </w:r>
    </w:p>
    <w:p w:rsidR="00E174B8" w:rsidRPr="00F969B3" w:rsidRDefault="00E174B8">
      <w:pPr>
        <w:ind w:right="-1080"/>
        <w:rPr>
          <w:sz w:val="22"/>
          <w:szCs w:val="22"/>
        </w:rPr>
      </w:pPr>
    </w:p>
    <w:p w:rsidR="00E174B8" w:rsidRDefault="00E174B8">
      <w:pPr>
        <w:tabs>
          <w:tab w:val="left" w:pos="260"/>
        </w:tabs>
        <w:ind w:right="-360"/>
      </w:pPr>
    </w:p>
    <w:p w:rsidR="00E174B8" w:rsidRDefault="00E174B8">
      <w:pPr>
        <w:pStyle w:val="headingI"/>
        <w:rPr>
          <w:rFonts w:ascii="Times New Roman" w:hAnsi="Times New Roman"/>
        </w:rPr>
      </w:pPr>
      <w:r>
        <w:rPr>
          <w:rFonts w:ascii="Times New Roman" w:hAnsi="Times New Roman"/>
        </w:rPr>
        <w:t>I. Why do cost-effectiveness analysis?</w:t>
      </w:r>
    </w:p>
    <w:p w:rsidR="00E174B8" w:rsidRDefault="00E174B8">
      <w:pPr>
        <w:tabs>
          <w:tab w:val="left" w:pos="260"/>
        </w:tabs>
        <w:ind w:right="-360"/>
      </w:pPr>
    </w:p>
    <w:p w:rsidR="00E174B8" w:rsidRDefault="00E174B8">
      <w:pPr>
        <w:pStyle w:val="indentABC"/>
        <w:ind w:left="720" w:firstLine="0"/>
        <w:rPr>
          <w:rFonts w:ascii="Times New Roman" w:hAnsi="Times New Roman"/>
        </w:rPr>
      </w:pPr>
      <w:r>
        <w:rPr>
          <w:rFonts w:ascii="Times New Roman" w:hAnsi="Times New Roman"/>
        </w:rPr>
        <w:t>Cost-effectiveness analysis is useful because it permits us to assess the benefits achieved with health care dollars. We face resource allocation choices all the time. Think of the trade-offs among worthy social spending – health care, education, fire departments. And within health care: Public and private insurance programs commonly have spending goals or limits. Money spent for one health care intervention may decrease money available for another intervention – or for another person. We are uncomfortable spending large sums of money on interventions that don’t work well compared to our investment in them. On the whole, we want to apply health care dollars where they can do the most good. Even when paying for especially expensive life-saving interventions, we want to know the price.</w:t>
      </w:r>
    </w:p>
    <w:p w:rsidR="00E174B8" w:rsidRDefault="00E174B8">
      <w:pPr>
        <w:pStyle w:val="indentABC"/>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At the societal level, discussions on these issues focus on the overall costs of health care. In the U.S. these total about $</w:t>
      </w:r>
      <w:r w:rsidR="00D169D4">
        <w:rPr>
          <w:rFonts w:ascii="Times New Roman" w:hAnsi="Times New Roman"/>
        </w:rPr>
        <w:t>2.</w:t>
      </w:r>
      <w:r w:rsidR="00FB1CB0">
        <w:rPr>
          <w:rFonts w:ascii="Times New Roman" w:hAnsi="Times New Roman"/>
        </w:rPr>
        <w:t>8</w:t>
      </w:r>
      <w:r>
        <w:rPr>
          <w:rFonts w:ascii="Times New Roman" w:hAnsi="Times New Roman"/>
        </w:rPr>
        <w:t xml:space="preserve"> </w:t>
      </w:r>
      <w:r w:rsidR="00D169D4">
        <w:rPr>
          <w:rFonts w:ascii="Times New Roman" w:hAnsi="Times New Roman"/>
        </w:rPr>
        <w:t>tr</w:t>
      </w:r>
      <w:r>
        <w:rPr>
          <w:rFonts w:ascii="Times New Roman" w:hAnsi="Times New Roman"/>
        </w:rPr>
        <w:t>illion</w:t>
      </w:r>
      <w:r w:rsidR="0099280A">
        <w:rPr>
          <w:rFonts w:ascii="Times New Roman" w:hAnsi="Times New Roman"/>
        </w:rPr>
        <w:t xml:space="preserve"> per year</w:t>
      </w:r>
      <w:r>
        <w:rPr>
          <w:rFonts w:ascii="Times New Roman" w:hAnsi="Times New Roman"/>
        </w:rPr>
        <w:t xml:space="preserve">, equal to </w:t>
      </w:r>
      <w:r w:rsidR="00FB1CB0">
        <w:rPr>
          <w:rFonts w:ascii="Times New Roman" w:hAnsi="Times New Roman"/>
        </w:rPr>
        <w:t xml:space="preserve">nearly </w:t>
      </w:r>
      <w:r>
        <w:rPr>
          <w:rFonts w:ascii="Times New Roman" w:hAnsi="Times New Roman"/>
        </w:rPr>
        <w:t>1</w:t>
      </w:r>
      <w:r w:rsidR="00D169D4">
        <w:rPr>
          <w:rFonts w:ascii="Times New Roman" w:hAnsi="Times New Roman"/>
        </w:rPr>
        <w:t>8</w:t>
      </w:r>
      <w:r>
        <w:rPr>
          <w:rFonts w:ascii="Times New Roman" w:hAnsi="Times New Roman"/>
        </w:rPr>
        <w:t>% of the economy. In other industrialized countries, health care spending ranges from about 4% to 1</w:t>
      </w:r>
      <w:r w:rsidR="00D169D4">
        <w:rPr>
          <w:rFonts w:ascii="Times New Roman" w:hAnsi="Times New Roman"/>
        </w:rPr>
        <w:t>2</w:t>
      </w:r>
      <w:r>
        <w:rPr>
          <w:rFonts w:ascii="Times New Roman" w:hAnsi="Times New Roman"/>
        </w:rPr>
        <w:t>% of the economy. Thus, we’re spending more, per person and as a percent of the economy. (And, we have many uninsured and underinsured individuals – about 4</w:t>
      </w:r>
      <w:r w:rsidR="004968CA">
        <w:rPr>
          <w:rFonts w:ascii="Times New Roman" w:hAnsi="Times New Roman"/>
        </w:rPr>
        <w:t>8</w:t>
      </w:r>
      <w:r>
        <w:rPr>
          <w:rFonts w:ascii="Times New Roman" w:hAnsi="Times New Roman"/>
        </w:rPr>
        <w:t xml:space="preserve"> million.) </w:t>
      </w:r>
      <w:r w:rsidR="004968CA">
        <w:rPr>
          <w:rFonts w:ascii="Times New Roman" w:hAnsi="Times New Roman"/>
        </w:rPr>
        <w:t>Health care costs continue to rise more rapidly than does the overall GDP.</w:t>
      </w:r>
    </w:p>
    <w:p w:rsidR="004968CA" w:rsidRDefault="004968CA">
      <w:pPr>
        <w:pStyle w:val="indentABC"/>
        <w:ind w:left="720" w:firstLine="0"/>
        <w:rPr>
          <w:rFonts w:ascii="Times New Roman" w:hAnsi="Times New Roman"/>
        </w:rPr>
      </w:pPr>
    </w:p>
    <w:p w:rsidR="009E4DEF" w:rsidRDefault="004968CA">
      <w:pPr>
        <w:pStyle w:val="indentABC"/>
        <w:ind w:left="720" w:firstLine="0"/>
        <w:rPr>
          <w:rFonts w:ascii="Times New Roman" w:hAnsi="Times New Roman"/>
        </w:rPr>
      </w:pPr>
      <w:r>
        <w:rPr>
          <w:rFonts w:ascii="Times New Roman" w:hAnsi="Times New Roman"/>
        </w:rPr>
        <w:t>On the global level, there is a r</w:t>
      </w:r>
      <w:r w:rsidRPr="004968CA">
        <w:rPr>
          <w:rFonts w:ascii="Times New Roman" w:hAnsi="Times New Roman"/>
        </w:rPr>
        <w:t xml:space="preserve">enewed effort to help low income (developing) countries. At the forefront of these efforts are </w:t>
      </w:r>
      <w:hyperlink r:id="rId9" w:history="1">
        <w:r w:rsidRPr="004968CA">
          <w:rPr>
            <w:rFonts w:ascii="Times New Roman" w:hAnsi="Times New Roman"/>
          </w:rPr>
          <w:t xml:space="preserve">The </w:t>
        </w:r>
        <w:r w:rsidRPr="004968CA">
          <w:rPr>
            <w:rFonts w:ascii="Times New Roman" w:hAnsi="Times New Roman"/>
            <w:iCs/>
          </w:rPr>
          <w:t>Global Fund to Fight AIDS</w:t>
        </w:r>
        <w:r w:rsidRPr="004968CA">
          <w:rPr>
            <w:rFonts w:ascii="Times New Roman" w:hAnsi="Times New Roman"/>
          </w:rPr>
          <w:t>, Tuberculosis and Malaria</w:t>
        </w:r>
      </w:hyperlink>
      <w:r>
        <w:rPr>
          <w:rFonts w:ascii="Times New Roman" w:hAnsi="Times New Roman"/>
        </w:rPr>
        <w:t xml:space="preserve">; the U.S. PEPFAR program and Global Health Initiative; the Bill &amp; Melinda Gates Foundation, </w:t>
      </w:r>
      <w:r w:rsidR="0099280A">
        <w:rPr>
          <w:rFonts w:ascii="Times New Roman" w:hAnsi="Times New Roman"/>
        </w:rPr>
        <w:t>and</w:t>
      </w:r>
      <w:r>
        <w:rPr>
          <w:rFonts w:ascii="Times New Roman" w:hAnsi="Times New Roman"/>
        </w:rPr>
        <w:t xml:space="preserve"> many other multi-lateral and bilateral </w:t>
      </w:r>
      <w:r w:rsidR="0099280A">
        <w:rPr>
          <w:rFonts w:ascii="Times New Roman" w:hAnsi="Times New Roman"/>
        </w:rPr>
        <w:t xml:space="preserve">aid </w:t>
      </w:r>
      <w:r>
        <w:rPr>
          <w:rFonts w:ascii="Times New Roman" w:hAnsi="Times New Roman"/>
        </w:rPr>
        <w:t xml:space="preserve">programs and, of course, </w:t>
      </w:r>
      <w:r w:rsidR="0099280A">
        <w:rPr>
          <w:rFonts w:ascii="Times New Roman" w:hAnsi="Times New Roman"/>
        </w:rPr>
        <w:t>domestic</w:t>
      </w:r>
      <w:r>
        <w:rPr>
          <w:rFonts w:ascii="Times New Roman" w:hAnsi="Times New Roman"/>
        </w:rPr>
        <w:t xml:space="preserve"> </w:t>
      </w:r>
      <w:r w:rsidR="0099280A">
        <w:rPr>
          <w:rFonts w:ascii="Times New Roman" w:hAnsi="Times New Roman"/>
        </w:rPr>
        <w:t>health programs</w:t>
      </w:r>
      <w:r>
        <w:rPr>
          <w:rFonts w:ascii="Times New Roman" w:hAnsi="Times New Roman"/>
        </w:rPr>
        <w:t xml:space="preserve"> in each country. </w:t>
      </w:r>
      <w:r w:rsidR="0099280A">
        <w:rPr>
          <w:rFonts w:ascii="Times New Roman" w:hAnsi="Times New Roman"/>
        </w:rPr>
        <w:t>Aid</w:t>
      </w:r>
      <w:r>
        <w:rPr>
          <w:rFonts w:ascii="Times New Roman" w:hAnsi="Times New Roman"/>
        </w:rPr>
        <w:t xml:space="preserve"> spending amounts to tens of billions per year, and total spending far more than that. </w:t>
      </w:r>
    </w:p>
    <w:p w:rsidR="009E4DEF" w:rsidRDefault="009E4DEF">
      <w:pPr>
        <w:pStyle w:val="indentABC"/>
        <w:ind w:left="720" w:firstLine="0"/>
        <w:rPr>
          <w:rFonts w:ascii="Times New Roman" w:hAnsi="Times New Roman"/>
        </w:rPr>
      </w:pPr>
    </w:p>
    <w:p w:rsidR="004968CA" w:rsidRDefault="004968CA">
      <w:pPr>
        <w:pStyle w:val="indentABC"/>
        <w:ind w:left="720" w:firstLine="0"/>
        <w:rPr>
          <w:rFonts w:ascii="Times New Roman" w:hAnsi="Times New Roman"/>
        </w:rPr>
      </w:pPr>
      <w:r>
        <w:rPr>
          <w:rFonts w:ascii="Times New Roman" w:hAnsi="Times New Roman"/>
        </w:rPr>
        <w:t>There is increas</w:t>
      </w:r>
      <w:r w:rsidR="0099280A">
        <w:rPr>
          <w:rFonts w:ascii="Times New Roman" w:hAnsi="Times New Roman"/>
        </w:rPr>
        <w:t>ing attention to the questions, “How much value do we get for this spending? How can we best spend large but still limited funds?”</w:t>
      </w:r>
      <w:r w:rsidR="009E4DEF">
        <w:rPr>
          <w:rFonts w:ascii="Times New Roman" w:hAnsi="Times New Roman"/>
        </w:rPr>
        <w:t xml:space="preserve"> Emblematic of – and fostering – this trend is the Disease Control Priorities Project, with its second round of major reporting (3 volumes) from 2004-6, and a third round under way.</w:t>
      </w:r>
      <w:r w:rsidR="00FB1CB0">
        <w:rPr>
          <w:rFonts w:ascii="Times New Roman" w:hAnsi="Times New Roman"/>
        </w:rPr>
        <w:t xml:space="preserve"> Just recently the Lancet published “Global Health 2035”, from the Commission on Investing in Health, which proposes ambitious global health investments and goals.</w:t>
      </w:r>
    </w:p>
    <w:p w:rsidR="00E174B8" w:rsidRDefault="00E174B8">
      <w:pPr>
        <w:pStyle w:val="indentABC"/>
        <w:ind w:left="720" w:firstLine="0"/>
        <w:rPr>
          <w:rFonts w:ascii="Times New Roman" w:hAnsi="Times New Roman"/>
        </w:rPr>
      </w:pPr>
    </w:p>
    <w:p w:rsidR="00E174B8" w:rsidRDefault="009E4DEF">
      <w:pPr>
        <w:pStyle w:val="indentABC"/>
        <w:ind w:left="720" w:firstLine="0"/>
        <w:rPr>
          <w:rFonts w:ascii="Times New Roman" w:hAnsi="Times New Roman"/>
        </w:rPr>
      </w:pPr>
      <w:r>
        <w:rPr>
          <w:rFonts w:ascii="Times New Roman" w:hAnsi="Times New Roman"/>
        </w:rPr>
        <w:t>Thus, w</w:t>
      </w:r>
      <w:r w:rsidR="00E174B8">
        <w:rPr>
          <w:rFonts w:ascii="Times New Roman" w:hAnsi="Times New Roman"/>
        </w:rPr>
        <w:t>hen funding decisions are made about health interventions, cost-effectiveness is one consideration. Programs that save money, or improve health more economically than others, often get a political boost.</w:t>
      </w:r>
    </w:p>
    <w:p w:rsidR="00E174B8" w:rsidRDefault="00E174B8">
      <w:pPr>
        <w:pStyle w:val="indentABC"/>
        <w:ind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 xml:space="preserve">Cost-effectiveness analysis is the tool that helps us examine how to make the best use of limited resources. CEA allows us to address the question </w:t>
      </w:r>
      <w:r>
        <w:rPr>
          <w:rFonts w:ascii="Times New Roman" w:hAnsi="Times New Roman"/>
          <w:b/>
        </w:rPr>
        <w:t>“What health benefits do we get for each dollar we spend on health care?”</w:t>
      </w:r>
      <w:r>
        <w:rPr>
          <w:rFonts w:ascii="Times New Roman" w:hAnsi="Times New Roman"/>
        </w:rPr>
        <w:t xml:space="preserve"> Answers to this question provide insight into a series of even tougher questions about spending health care resources: “Is it ‘worth it’ to do a more expensive intervention?”, “How do we most effectively spend a limited pot of money available for health care?”</w:t>
      </w:r>
    </w:p>
    <w:p w:rsidR="00E174B8" w:rsidRDefault="00E174B8">
      <w:pPr>
        <w:pStyle w:val="indentABC"/>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b/>
          <w:i/>
        </w:rPr>
        <w:t>Choices and CEA</w:t>
      </w:r>
      <w:r>
        <w:rPr>
          <w:rFonts w:ascii="Times New Roman" w:hAnsi="Times New Roman"/>
        </w:rPr>
        <w:br/>
      </w:r>
      <w:r>
        <w:rPr>
          <w:rFonts w:ascii="Times New Roman" w:hAnsi="Times New Roman"/>
        </w:rPr>
        <w:br/>
        <w:t xml:space="preserve">Cost-effectiveness analysis always involves assessing a choice: </w:t>
      </w:r>
      <w:r w:rsidRPr="00E63EE5">
        <w:rPr>
          <w:rFonts w:ascii="Times New Roman" w:hAnsi="Times New Roman"/>
          <w:u w:val="single"/>
        </w:rPr>
        <w:t>comparing two or more courses of action</w:t>
      </w:r>
      <w:r>
        <w:rPr>
          <w:rFonts w:ascii="Times New Roman" w:hAnsi="Times New Roman"/>
        </w:rPr>
        <w:t xml:space="preserve"> with different effects and costs. Health care choices assessed with CEA usually fall into three categories: clinical management, prevention, and health service delivery. </w:t>
      </w:r>
    </w:p>
    <w:p w:rsidR="00E174B8" w:rsidRDefault="00E174B8">
      <w:pPr>
        <w:pStyle w:val="indentABC"/>
        <w:ind w:left="72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i/>
        </w:rPr>
        <w:t>Clinical management:</w:t>
      </w:r>
      <w:r>
        <w:rPr>
          <w:rFonts w:ascii="Times New Roman" w:hAnsi="Times New Roman"/>
        </w:rPr>
        <w:t xml:space="preserve"> medication vs. surgery, medication A vs. B (e.g., streptokinase vs. t-PA).</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i/>
        </w:rPr>
        <w:t>Prevention:</w:t>
      </w:r>
      <w:r>
        <w:rPr>
          <w:rFonts w:ascii="Times New Roman" w:hAnsi="Times New Roman"/>
        </w:rPr>
        <w:t xml:space="preserve"> program vs. no program, or universal vs. targeted to high risk individuals.</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i/>
        </w:rPr>
        <w:t>Health service delivery:</w:t>
      </w:r>
      <w:r>
        <w:rPr>
          <w:rFonts w:ascii="Times New Roman" w:hAnsi="Times New Roman"/>
        </w:rPr>
        <w:t xml:space="preserve"> incentive payments vs none, innovative programs such as home care vs none.</w:t>
      </w:r>
    </w:p>
    <w:p w:rsidR="00E174B8" w:rsidRDefault="00E174B8">
      <w:pPr>
        <w:pStyle w:val="indent1"/>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Sometimes choices are obvious, and may not need formal CEA. The following table illustrates. Each cell describes how an intervention might look in comparison to an alternative course of action, on costs and effectiveness.</w:t>
      </w:r>
    </w:p>
    <w:p w:rsidR="00E174B8" w:rsidRDefault="00E174B8">
      <w:pPr>
        <w:pStyle w:val="indentABC"/>
        <w:rPr>
          <w:rFonts w:ascii="Times New Roman" w:hAnsi="Times New Roman"/>
        </w:rPr>
      </w:pPr>
    </w:p>
    <w:p w:rsidR="00E174B8" w:rsidRPr="00247252" w:rsidRDefault="00E174B8">
      <w:pPr>
        <w:pStyle w:val="indentABC"/>
        <w:rPr>
          <w:rFonts w:ascii="Times New Roman" w:hAnsi="Times New Roman"/>
          <w:i/>
        </w:rPr>
      </w:pPr>
      <w:r>
        <w:rPr>
          <w:rFonts w:ascii="Times New Roman" w:hAnsi="Times New Roman"/>
          <w:i/>
        </w:rPr>
        <w:t>Figure 1</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970"/>
        <w:gridCol w:w="2988"/>
      </w:tblGrid>
      <w:tr w:rsidR="00E174B8">
        <w:trPr>
          <w:trHeight w:val="548"/>
        </w:trPr>
        <w:tc>
          <w:tcPr>
            <w:tcW w:w="1818" w:type="dxa"/>
            <w:tcBorders>
              <w:top w:val="nil"/>
              <w:left w:val="nil"/>
              <w:bottom w:val="single" w:sz="4" w:space="0" w:color="auto"/>
            </w:tcBorders>
          </w:tcPr>
          <w:p w:rsidR="00E174B8" w:rsidRDefault="00E174B8">
            <w:pPr>
              <w:pStyle w:val="indentABC"/>
              <w:ind w:left="0" w:right="0" w:firstLine="0"/>
              <w:jc w:val="center"/>
              <w:rPr>
                <w:rFonts w:ascii="Times New Roman" w:hAnsi="Times New Roman"/>
              </w:rPr>
            </w:pPr>
          </w:p>
        </w:tc>
        <w:tc>
          <w:tcPr>
            <w:tcW w:w="2970" w:type="dxa"/>
            <w:shd w:val="clear" w:color="auto" w:fill="FFFFFF"/>
          </w:tcPr>
          <w:p w:rsidR="00E174B8" w:rsidRDefault="00E174B8">
            <w:pPr>
              <w:pStyle w:val="indentABC"/>
              <w:ind w:left="0" w:right="0" w:firstLine="0"/>
              <w:jc w:val="center"/>
              <w:rPr>
                <w:rFonts w:ascii="Times New Roman" w:hAnsi="Times New Roman"/>
              </w:rPr>
            </w:pPr>
            <w:r>
              <w:rPr>
                <w:rFonts w:ascii="Times New Roman" w:hAnsi="Times New Roman"/>
              </w:rPr>
              <w:t>Lower cost</w:t>
            </w:r>
          </w:p>
        </w:tc>
        <w:tc>
          <w:tcPr>
            <w:tcW w:w="2988" w:type="dxa"/>
            <w:shd w:val="clear" w:color="auto" w:fill="FFFFFF"/>
          </w:tcPr>
          <w:p w:rsidR="00E174B8" w:rsidRDefault="00E174B8">
            <w:pPr>
              <w:pStyle w:val="indentABC"/>
              <w:ind w:left="0" w:right="0" w:firstLine="0"/>
              <w:jc w:val="center"/>
              <w:rPr>
                <w:rFonts w:ascii="Times New Roman" w:hAnsi="Times New Roman"/>
              </w:rPr>
            </w:pPr>
            <w:r>
              <w:rPr>
                <w:rFonts w:ascii="Times New Roman" w:hAnsi="Times New Roman"/>
              </w:rPr>
              <w:t>Higher cost</w:t>
            </w:r>
          </w:p>
        </w:tc>
      </w:tr>
      <w:tr w:rsidR="00E174B8">
        <w:trPr>
          <w:trHeight w:val="710"/>
        </w:trPr>
        <w:tc>
          <w:tcPr>
            <w:tcW w:w="1818" w:type="dxa"/>
            <w:shd w:val="clear" w:color="auto" w:fill="FFFFFF"/>
          </w:tcPr>
          <w:p w:rsidR="00E174B8" w:rsidRDefault="00E174B8">
            <w:pPr>
              <w:pStyle w:val="indentABC"/>
              <w:ind w:left="0" w:right="0" w:firstLine="0"/>
              <w:rPr>
                <w:rFonts w:ascii="Times New Roman" w:hAnsi="Times New Roman"/>
              </w:rPr>
            </w:pPr>
            <w:r>
              <w:rPr>
                <w:rFonts w:ascii="Times New Roman" w:hAnsi="Times New Roman"/>
              </w:rPr>
              <w:t>Lower effectiveness</w:t>
            </w:r>
          </w:p>
        </w:tc>
        <w:tc>
          <w:tcPr>
            <w:tcW w:w="2970" w:type="dxa"/>
          </w:tcPr>
          <w:p w:rsidR="00E174B8" w:rsidRDefault="00E174B8">
            <w:pPr>
              <w:pStyle w:val="indentABC"/>
              <w:ind w:left="0" w:right="0" w:firstLine="0"/>
              <w:jc w:val="center"/>
              <w:rPr>
                <w:rFonts w:ascii="Times New Roman" w:hAnsi="Times New Roman"/>
                <w:b/>
              </w:rPr>
            </w:pPr>
          </w:p>
          <w:p w:rsidR="00E174B8" w:rsidRDefault="00E174B8">
            <w:pPr>
              <w:pStyle w:val="indentABC"/>
              <w:ind w:left="0" w:right="0" w:firstLine="0"/>
              <w:jc w:val="center"/>
              <w:rPr>
                <w:rFonts w:ascii="Times New Roman" w:hAnsi="Times New Roman"/>
                <w:b/>
              </w:rPr>
            </w:pPr>
            <w:r>
              <w:rPr>
                <w:rFonts w:ascii="Times New Roman" w:hAnsi="Times New Roman"/>
                <w:b/>
              </w:rPr>
              <w:t>A</w:t>
            </w:r>
          </w:p>
        </w:tc>
        <w:tc>
          <w:tcPr>
            <w:tcW w:w="2988" w:type="dxa"/>
          </w:tcPr>
          <w:p w:rsidR="00E174B8" w:rsidRDefault="00E174B8">
            <w:pPr>
              <w:pStyle w:val="indentABC"/>
              <w:ind w:left="0" w:right="0" w:firstLine="0"/>
              <w:jc w:val="center"/>
              <w:rPr>
                <w:rFonts w:ascii="Times New Roman" w:hAnsi="Times New Roman"/>
                <w:b/>
              </w:rPr>
            </w:pPr>
          </w:p>
          <w:p w:rsidR="00E174B8" w:rsidRDefault="00E174B8">
            <w:pPr>
              <w:pStyle w:val="indentABC"/>
              <w:ind w:left="0" w:right="0" w:firstLine="0"/>
              <w:jc w:val="center"/>
              <w:rPr>
                <w:rFonts w:ascii="Times New Roman" w:hAnsi="Times New Roman"/>
                <w:b/>
              </w:rPr>
            </w:pPr>
            <w:r>
              <w:rPr>
                <w:rFonts w:ascii="Times New Roman" w:hAnsi="Times New Roman"/>
                <w:b/>
              </w:rPr>
              <w:t>B</w:t>
            </w:r>
          </w:p>
        </w:tc>
      </w:tr>
      <w:tr w:rsidR="00E174B8">
        <w:trPr>
          <w:trHeight w:val="710"/>
        </w:trPr>
        <w:tc>
          <w:tcPr>
            <w:tcW w:w="1818" w:type="dxa"/>
            <w:shd w:val="clear" w:color="auto" w:fill="FFFFFF"/>
          </w:tcPr>
          <w:p w:rsidR="00E174B8" w:rsidRDefault="00E174B8">
            <w:pPr>
              <w:pStyle w:val="indentABC"/>
              <w:ind w:left="0" w:right="0" w:firstLine="0"/>
              <w:rPr>
                <w:rFonts w:ascii="Times New Roman" w:hAnsi="Times New Roman"/>
              </w:rPr>
            </w:pPr>
            <w:r>
              <w:rPr>
                <w:rFonts w:ascii="Times New Roman" w:hAnsi="Times New Roman"/>
              </w:rPr>
              <w:t>Higher effectiveness</w:t>
            </w:r>
          </w:p>
        </w:tc>
        <w:tc>
          <w:tcPr>
            <w:tcW w:w="2970" w:type="dxa"/>
          </w:tcPr>
          <w:p w:rsidR="00E174B8" w:rsidRDefault="00E174B8">
            <w:pPr>
              <w:pStyle w:val="indentABC"/>
              <w:ind w:left="0" w:right="0" w:firstLine="0"/>
              <w:jc w:val="center"/>
              <w:rPr>
                <w:rFonts w:ascii="Times New Roman" w:hAnsi="Times New Roman"/>
                <w:b/>
              </w:rPr>
            </w:pPr>
          </w:p>
          <w:p w:rsidR="00E174B8" w:rsidRDefault="00E174B8">
            <w:pPr>
              <w:pStyle w:val="indentABC"/>
              <w:ind w:left="0" w:right="0" w:firstLine="0"/>
              <w:jc w:val="center"/>
              <w:rPr>
                <w:rFonts w:ascii="Times New Roman" w:hAnsi="Times New Roman"/>
                <w:b/>
              </w:rPr>
            </w:pPr>
            <w:r>
              <w:rPr>
                <w:rFonts w:ascii="Times New Roman" w:hAnsi="Times New Roman"/>
                <w:b/>
              </w:rPr>
              <w:t>C</w:t>
            </w:r>
          </w:p>
        </w:tc>
        <w:tc>
          <w:tcPr>
            <w:tcW w:w="2988" w:type="dxa"/>
          </w:tcPr>
          <w:p w:rsidR="00E174B8" w:rsidRDefault="00E174B8">
            <w:pPr>
              <w:pStyle w:val="indentABC"/>
              <w:ind w:left="0" w:right="0" w:firstLine="0"/>
              <w:jc w:val="center"/>
              <w:rPr>
                <w:rFonts w:ascii="Times New Roman" w:hAnsi="Times New Roman"/>
                <w:b/>
              </w:rPr>
            </w:pPr>
          </w:p>
          <w:p w:rsidR="00E174B8" w:rsidRDefault="00E174B8">
            <w:pPr>
              <w:pStyle w:val="indentABC"/>
              <w:ind w:left="0" w:right="0" w:firstLine="0"/>
              <w:jc w:val="center"/>
              <w:rPr>
                <w:rFonts w:ascii="Times New Roman" w:hAnsi="Times New Roman"/>
                <w:b/>
              </w:rPr>
            </w:pPr>
            <w:r>
              <w:rPr>
                <w:rFonts w:ascii="Times New Roman" w:hAnsi="Times New Roman"/>
                <w:b/>
              </w:rPr>
              <w:t>D</w:t>
            </w:r>
          </w:p>
        </w:tc>
      </w:tr>
    </w:tbl>
    <w:p w:rsidR="00E174B8" w:rsidRDefault="00E174B8">
      <w:pPr>
        <w:pStyle w:val="indentABC"/>
        <w:rPr>
          <w:rFonts w:ascii="Times New Roman" w:hAnsi="Times New Roman"/>
        </w:rPr>
      </w:pPr>
    </w:p>
    <w:p w:rsidR="00E174B8" w:rsidRDefault="00E174B8">
      <w:pPr>
        <w:pStyle w:val="indentABC"/>
        <w:ind w:left="720" w:firstLine="0"/>
        <w:rPr>
          <w:rFonts w:ascii="Times New Roman" w:hAnsi="Times New Roman"/>
        </w:rPr>
      </w:pPr>
      <w:r w:rsidRPr="00E63EE5">
        <w:rPr>
          <w:rFonts w:ascii="Times New Roman" w:hAnsi="Times New Roman"/>
          <w:b/>
        </w:rPr>
        <w:t xml:space="preserve">Cell </w:t>
      </w:r>
      <w:r w:rsidRPr="00E63EE5">
        <w:rPr>
          <w:rFonts w:ascii="Times New Roman" w:hAnsi="Times New Roman"/>
          <w:b/>
          <w:bCs/>
        </w:rPr>
        <w:t>C</w:t>
      </w:r>
      <w:r>
        <w:rPr>
          <w:rFonts w:ascii="Times New Roman" w:hAnsi="Times New Roman"/>
        </w:rPr>
        <w:t xml:space="preserve"> describes an intervention that is the best of both worlds: </w:t>
      </w:r>
      <w:r>
        <w:rPr>
          <w:rFonts w:ascii="Times New Roman" w:hAnsi="Times New Roman"/>
          <w:i/>
        </w:rPr>
        <w:t>less</w:t>
      </w:r>
      <w:r>
        <w:rPr>
          <w:rFonts w:ascii="Times New Roman" w:hAnsi="Times New Roman"/>
        </w:rPr>
        <w:t xml:space="preserve"> expensive and </w:t>
      </w:r>
      <w:r>
        <w:rPr>
          <w:rFonts w:ascii="Times New Roman" w:hAnsi="Times New Roman"/>
          <w:i/>
        </w:rPr>
        <w:t>more</w:t>
      </w:r>
      <w:r>
        <w:rPr>
          <w:rFonts w:ascii="Times New Roman" w:hAnsi="Times New Roman"/>
        </w:rPr>
        <w:t xml:space="preserve"> effective than the comparison strategy. With this information, no formal cost-effectiveness analysis is needed to conclude that it is the preferred option! Such an option is said to “dominate” the comparison strategy by being both cheaper and better. HIV prevention targeted to high-risk groups (versus untargeted prevention) is a good example.</w: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 xml:space="preserve">Similarly, </w:t>
      </w:r>
      <w:r w:rsidRPr="00E63EE5">
        <w:rPr>
          <w:rFonts w:ascii="Times New Roman" w:hAnsi="Times New Roman"/>
          <w:b/>
        </w:rPr>
        <w:t xml:space="preserve">cell </w:t>
      </w:r>
      <w:r w:rsidRPr="00E63EE5">
        <w:rPr>
          <w:rFonts w:ascii="Times New Roman" w:hAnsi="Times New Roman"/>
          <w:b/>
          <w:bCs/>
        </w:rPr>
        <w:t>B</w:t>
      </w:r>
      <w:r>
        <w:rPr>
          <w:rFonts w:ascii="Times New Roman" w:hAnsi="Times New Roman"/>
        </w:rPr>
        <w:t xml:space="preserve"> describes in intervention that is easy to assess. It is the worst combination: higher cost and less effective. No CEA is needed to reject that option.</w: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 xml:space="preserve">Another easy choice is when one course of action has </w:t>
      </w:r>
      <w:r>
        <w:rPr>
          <w:rFonts w:ascii="Times New Roman" w:hAnsi="Times New Roman"/>
          <w:i/>
        </w:rPr>
        <w:t>equal</w:t>
      </w:r>
      <w:r>
        <w:rPr>
          <w:rFonts w:ascii="Times New Roman" w:hAnsi="Times New Roman"/>
        </w:rPr>
        <w:t xml:space="preserve"> effectiveness but lower costs, for example if short term treatment with antibiotics is as effective as a longer course of therapy. </w: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sidRPr="00E63EE5">
        <w:rPr>
          <w:rFonts w:ascii="Times New Roman" w:hAnsi="Times New Roman"/>
          <w:b/>
        </w:rPr>
        <w:t xml:space="preserve">Cells </w:t>
      </w:r>
      <w:r w:rsidRPr="00E63EE5">
        <w:rPr>
          <w:rFonts w:ascii="Times New Roman" w:hAnsi="Times New Roman"/>
          <w:b/>
          <w:bCs/>
        </w:rPr>
        <w:t>A</w:t>
      </w:r>
      <w:r w:rsidRPr="00E63EE5">
        <w:rPr>
          <w:rFonts w:ascii="Times New Roman" w:hAnsi="Times New Roman"/>
          <w:b/>
        </w:rPr>
        <w:t xml:space="preserve"> and </w:t>
      </w:r>
      <w:r w:rsidRPr="00E63EE5">
        <w:rPr>
          <w:rFonts w:ascii="Times New Roman" w:hAnsi="Times New Roman"/>
          <w:b/>
          <w:bCs/>
        </w:rPr>
        <w:t>D</w:t>
      </w:r>
      <w:r>
        <w:rPr>
          <w:rFonts w:ascii="Times New Roman" w:hAnsi="Times New Roman"/>
        </w:rPr>
        <w:t xml:space="preserve"> are more interesting: there is a trade-off between cost and effectiveness. Then the CEA defines a </w:t>
      </w:r>
      <w:r>
        <w:rPr>
          <w:rFonts w:ascii="Times New Roman" w:hAnsi="Times New Roman"/>
          <w:i/>
          <w:iCs/>
        </w:rPr>
        <w:t>cost-effectiveness ratio</w:t>
      </w:r>
      <w:r>
        <w:rPr>
          <w:rFonts w:ascii="Times New Roman" w:hAnsi="Times New Roman"/>
        </w:rPr>
        <w:t xml:space="preserve">. The choice one makes depends on the estimated cost per increment in health status, and on the threshold for paying for improved health status. Thus, CEA is most useful when there is a </w:t>
      </w:r>
      <w:r>
        <w:rPr>
          <w:rFonts w:ascii="Times New Roman" w:hAnsi="Times New Roman"/>
          <w:i/>
          <w:iCs/>
        </w:rPr>
        <w:t>tradeoff</w:t>
      </w:r>
      <w:r>
        <w:rPr>
          <w:rFonts w:ascii="Times New Roman" w:hAnsi="Times New Roman"/>
        </w:rPr>
        <w:t xml:space="preserve"> – higher effectiveness versus higher cost. </w: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CEA is also important when effectiveness and/or costs cannot be specified with certainty in the absence of a formal analysis. Some CEAs ultimately conclude that the option they evaluated is in cell B or C, but only after conducting the formal analysis. The data and calculations were to</w:t>
      </w:r>
      <w:r w:rsidR="00E63EE5">
        <w:rPr>
          <w:rFonts w:ascii="Times New Roman" w:hAnsi="Times New Roman"/>
        </w:rPr>
        <w:t>o numerous to assess informally; this initial uncertainty is the norm.</w:t>
      </w:r>
    </w:p>
    <w:p w:rsidR="00E174B8" w:rsidRDefault="00E174B8">
      <w:pPr>
        <w:pStyle w:val="indentABC"/>
        <w:ind w:left="720" w:firstLine="0"/>
        <w:rPr>
          <w:rFonts w:ascii="Times New Roman" w:hAnsi="Times New Roman"/>
        </w:rPr>
      </w:pPr>
    </w:p>
    <w:p w:rsidR="00E174B8" w:rsidRDefault="00E174B8">
      <w:pPr>
        <w:pStyle w:val="indentABC"/>
        <w:ind w:left="720"/>
        <w:rPr>
          <w:rFonts w:ascii="Times New Roman" w:hAnsi="Times New Roman"/>
        </w:rPr>
      </w:pPr>
      <w:r>
        <w:rPr>
          <w:rFonts w:ascii="Times New Roman" w:hAnsi="Times New Roman"/>
          <w:b/>
        </w:rPr>
        <w:tab/>
        <w:t>Opportunity cost</w:t>
      </w:r>
      <w:r>
        <w:rPr>
          <w:rFonts w:ascii="Times New Roman" w:hAnsi="Times New Roman"/>
        </w:rPr>
        <w:t xml:space="preserve"> is another key concept in CEA. It’s another way to think about CEA. What is sacrificed to do the intervention being considered? Opportunity cost is defined as the benefit of the most productive activity foregone by committing </w:t>
      </w:r>
      <w:r>
        <w:rPr>
          <w:rFonts w:ascii="Times New Roman" w:hAnsi="Times New Roman"/>
        </w:rPr>
        <w:lastRenderedPageBreak/>
        <w:t>resources to an intervention. For example, STD testing may mean fewer resources available for diabetes management, and hence lost health benefits. We might quantify this by saying “putting the same money into diabetes care would have yielded 25 quality-adjusted life years”. This calculation is done using cost-effectiveness measures ... which brings us back to the main topic.</w:t>
      </w:r>
    </w:p>
    <w:p w:rsidR="00E174B8" w:rsidRDefault="00E174B8">
      <w:pPr>
        <w:pStyle w:val="indentABC"/>
        <w:rPr>
          <w:rFonts w:ascii="Times New Roman" w:hAnsi="Times New Roman"/>
        </w:rPr>
      </w:pPr>
    </w:p>
    <w:p w:rsidR="00E174B8" w:rsidRPr="006E7151" w:rsidRDefault="00E174B8">
      <w:pPr>
        <w:pStyle w:val="indentABC"/>
        <w:ind w:left="720" w:right="-450" w:firstLine="0"/>
      </w:pPr>
      <w:r>
        <w:rPr>
          <w:rFonts w:ascii="Times New Roman" w:hAnsi="Times New Roman"/>
          <w:b/>
          <w:bCs/>
          <w:i/>
          <w:iCs/>
        </w:rPr>
        <w:t>Selected CEA results from the literature</w:t>
      </w:r>
      <w:r>
        <w:rPr>
          <w:rFonts w:ascii="Times New Roman" w:hAnsi="Times New Roman"/>
          <w:b/>
          <w:bCs/>
        </w:rPr>
        <w:br/>
      </w:r>
      <w:r>
        <w:rPr>
          <w:rFonts w:ascii="Times New Roman" w:hAnsi="Times New Roman"/>
        </w:rPr>
        <w:br/>
        <w:t xml:space="preserve">Findings in Table 1, from a variety of studies, illustrate the range in cost-effectiveness for currently practiced or debated clinical and public health interventions. </w:t>
      </w:r>
      <w:r w:rsidR="000B3F10">
        <w:rPr>
          <w:rFonts w:ascii="Times New Roman" w:hAnsi="Times New Roman"/>
        </w:rPr>
        <w:t>For years many</w:t>
      </w:r>
      <w:r>
        <w:rPr>
          <w:rFonts w:ascii="Times New Roman" w:hAnsi="Times New Roman"/>
        </w:rPr>
        <w:t xml:space="preserve"> analysts suggest</w:t>
      </w:r>
      <w:r w:rsidR="000B3F10">
        <w:rPr>
          <w:rFonts w:ascii="Times New Roman" w:hAnsi="Times New Roman"/>
        </w:rPr>
        <w:t>ed</w:t>
      </w:r>
      <w:r>
        <w:rPr>
          <w:rFonts w:ascii="Times New Roman" w:hAnsi="Times New Roman"/>
        </w:rPr>
        <w:t xml:space="preserve"> that society </w:t>
      </w:r>
      <w:r w:rsidR="000B3F10">
        <w:rPr>
          <w:rFonts w:ascii="Times New Roman" w:hAnsi="Times New Roman"/>
        </w:rPr>
        <w:t>was</w:t>
      </w:r>
      <w:r>
        <w:rPr>
          <w:rFonts w:ascii="Times New Roman" w:hAnsi="Times New Roman"/>
        </w:rPr>
        <w:t xml:space="preserve"> willing to spend about $50,000 per year of life saved -- the approximate cost-effectiveness for renal dialysis when first authorized for coverage under Medicare. In practice, our actions seem to indicate that </w:t>
      </w:r>
      <w:r w:rsidR="000B3F10">
        <w:rPr>
          <w:rFonts w:ascii="Times New Roman" w:hAnsi="Times New Roman"/>
        </w:rPr>
        <w:t xml:space="preserve">in the U.S. we </w:t>
      </w:r>
      <w:r>
        <w:rPr>
          <w:rFonts w:ascii="Times New Roman" w:hAnsi="Times New Roman"/>
        </w:rPr>
        <w:t>are willing to spend more (perhaps $</w:t>
      </w:r>
      <w:r w:rsidR="000B3F10">
        <w:rPr>
          <w:rFonts w:ascii="Times New Roman" w:hAnsi="Times New Roman"/>
        </w:rPr>
        <w:t>150</w:t>
      </w:r>
      <w:r>
        <w:rPr>
          <w:rFonts w:ascii="Times New Roman" w:hAnsi="Times New Roman"/>
        </w:rPr>
        <w:t>,000 per year of life saved) for potentially curative medical interventions (such as intensive care or transplants) but that we may have a lower threshold for prevention.</w:t>
      </w:r>
      <w:r>
        <w:rPr>
          <w:rStyle w:val="FootnoteReference"/>
          <w:rFonts w:ascii="Times New Roman" w:hAnsi="Times New Roman"/>
        </w:rPr>
        <w:footnoteReference w:id="1"/>
      </w:r>
      <w:r>
        <w:rPr>
          <w:rFonts w:ascii="Times New Roman" w:hAnsi="Times New Roman"/>
        </w:rPr>
        <w:t xml:space="preserve"> One review of CEA studies</w:t>
      </w:r>
      <w:r w:rsidR="000B3F10">
        <w:rPr>
          <w:rFonts w:ascii="Times New Roman" w:hAnsi="Times New Roman"/>
        </w:rPr>
        <w:t xml:space="preserve"> </w:t>
      </w:r>
      <w:r>
        <w:rPr>
          <w:rFonts w:ascii="Times New Roman" w:hAnsi="Times New Roman"/>
        </w:rPr>
        <w:t>found that the median cost per life year saved was $19,000 ($5,000 prevention, $22,000 treatment) (</w:t>
      </w:r>
      <w:proofErr w:type="spellStart"/>
      <w:r>
        <w:rPr>
          <w:rFonts w:ascii="Times New Roman" w:hAnsi="Times New Roman"/>
        </w:rPr>
        <w:t>Tengs</w:t>
      </w:r>
      <w:proofErr w:type="spellEnd"/>
      <w:r>
        <w:rPr>
          <w:rFonts w:ascii="Times New Roman" w:hAnsi="Times New Roman"/>
        </w:rPr>
        <w:t xml:space="preserve"> 95).</w:t>
      </w:r>
      <w:r w:rsidR="000B3F10">
        <w:rPr>
          <w:rFonts w:ascii="Times New Roman" w:hAnsi="Times New Roman"/>
        </w:rPr>
        <w:t xml:space="preserve"> </w:t>
      </w:r>
      <w:r w:rsidR="006E7151">
        <w:rPr>
          <w:rFonts w:ascii="Times New Roman" w:hAnsi="Times New Roman"/>
        </w:rPr>
        <w:t xml:space="preserve">This review has evolved into an online registry: </w:t>
      </w:r>
      <w:hyperlink r:id="rId10" w:history="1">
        <w:r w:rsidR="006E7151" w:rsidRPr="009A00FC">
          <w:rPr>
            <w:rStyle w:val="Hyperlink"/>
          </w:rPr>
          <w:t>https://research.tufts-nemc.org/cear4/default.aspx</w:t>
        </w:r>
      </w:hyperlink>
      <w:r w:rsidR="006E7151">
        <w:t xml:space="preserve"> </w:t>
      </w:r>
    </w:p>
    <w:p w:rsidR="00E174B8" w:rsidRDefault="00E174B8">
      <w:pPr>
        <w:pStyle w:val="indentABC"/>
        <w:rPr>
          <w:rFonts w:ascii="Times New Roman" w:hAnsi="Times New Roman"/>
        </w:rPr>
      </w:pPr>
    </w:p>
    <w:p w:rsidR="00E174B8" w:rsidRDefault="00E174B8">
      <w:pPr>
        <w:pStyle w:val="indentABC"/>
        <w:rPr>
          <w:rFonts w:ascii="Times New Roman" w:hAnsi="Times New Roman"/>
        </w:rPr>
      </w:pPr>
    </w:p>
    <w:p w:rsidR="00E174B8" w:rsidRDefault="00E174B8">
      <w:pPr>
        <w:pStyle w:val="table"/>
        <w:jc w:val="center"/>
        <w:rPr>
          <w:rFonts w:ascii="Times New Roman" w:hAnsi="Times New Roman"/>
        </w:rPr>
      </w:pPr>
      <w:r>
        <w:rPr>
          <w:rFonts w:ascii="Times New Roman" w:hAnsi="Times New Roman"/>
        </w:rPr>
        <w:t>Table 1. Cost-effectiveness of Medical and Preventive Interventions: Examples</w:t>
      </w:r>
      <w:r>
        <w:rPr>
          <w:rFonts w:ascii="Times New Roman" w:hAnsi="Times New Roman"/>
          <w:sz w:val="28"/>
        </w:rPr>
        <w:br/>
      </w:r>
    </w:p>
    <w:tbl>
      <w:tblPr>
        <w:tblW w:w="0" w:type="auto"/>
        <w:tblInd w:w="432" w:type="dxa"/>
        <w:tblLayout w:type="fixed"/>
        <w:tblCellMar>
          <w:left w:w="80" w:type="dxa"/>
          <w:right w:w="80" w:type="dxa"/>
        </w:tblCellMar>
        <w:tblLook w:val="0000" w:firstRow="0" w:lastRow="0" w:firstColumn="0" w:lastColumn="0" w:noHBand="0" w:noVBand="0"/>
      </w:tblPr>
      <w:tblGrid>
        <w:gridCol w:w="6288"/>
        <w:gridCol w:w="1980"/>
      </w:tblGrid>
      <w:tr w:rsidR="00E174B8">
        <w:trPr>
          <w:cantSplit/>
        </w:trPr>
        <w:tc>
          <w:tcPr>
            <w:tcW w:w="6288" w:type="dxa"/>
            <w:tcBorders>
              <w:top w:val="single" w:sz="6" w:space="0" w:color="auto"/>
              <w:left w:val="single" w:sz="6" w:space="0" w:color="auto"/>
              <w:bottom w:val="single" w:sz="12" w:space="0" w:color="auto"/>
            </w:tcBorders>
          </w:tcPr>
          <w:p w:rsidR="00E174B8" w:rsidRDefault="00E174B8">
            <w:pPr>
              <w:pStyle w:val="table"/>
              <w:rPr>
                <w:rFonts w:ascii="Times New Roman" w:hAnsi="Times New Roman"/>
              </w:rPr>
            </w:pPr>
          </w:p>
          <w:p w:rsidR="00E174B8" w:rsidRDefault="00E174B8">
            <w:pPr>
              <w:pStyle w:val="table"/>
              <w:rPr>
                <w:rFonts w:ascii="Times New Roman" w:hAnsi="Times New Roman"/>
              </w:rPr>
            </w:pPr>
            <w:r>
              <w:rPr>
                <w:rFonts w:ascii="Times New Roman" w:hAnsi="Times New Roman"/>
              </w:rPr>
              <w:t>Intervention</w:t>
            </w:r>
          </w:p>
        </w:tc>
        <w:tc>
          <w:tcPr>
            <w:tcW w:w="1980" w:type="dxa"/>
            <w:tcBorders>
              <w:top w:val="single" w:sz="6" w:space="0" w:color="auto"/>
              <w:bottom w:val="single" w:sz="12" w:space="0" w:color="auto"/>
              <w:right w:val="single" w:sz="6" w:space="0" w:color="auto"/>
            </w:tcBorders>
          </w:tcPr>
          <w:p w:rsidR="00E174B8" w:rsidRDefault="00E174B8">
            <w:pPr>
              <w:pStyle w:val="table"/>
              <w:spacing w:after="0"/>
              <w:jc w:val="center"/>
              <w:rPr>
                <w:rFonts w:ascii="Times New Roman" w:hAnsi="Times New Roman"/>
              </w:rPr>
            </w:pPr>
            <w:r>
              <w:rPr>
                <w:rFonts w:ascii="Times New Roman" w:hAnsi="Times New Roman"/>
              </w:rPr>
              <w:t>Cost per year</w:t>
            </w:r>
            <w:r>
              <w:rPr>
                <w:rFonts w:ascii="Times New Roman" w:hAnsi="Times New Roman"/>
              </w:rPr>
              <w:br/>
              <w:t>of life saved</w:t>
            </w:r>
          </w:p>
        </w:tc>
      </w:tr>
      <w:tr w:rsidR="00E174B8">
        <w:trPr>
          <w:cantSplit/>
        </w:trPr>
        <w:tc>
          <w:tcPr>
            <w:tcW w:w="6288" w:type="dxa"/>
            <w:tcBorders>
              <w:top w:val="single" w:sz="12" w:space="0" w:color="auto"/>
              <w:left w:val="single" w:sz="6" w:space="0" w:color="auto"/>
            </w:tcBorders>
          </w:tcPr>
          <w:p w:rsidR="00E174B8" w:rsidRDefault="00E174B8">
            <w:pPr>
              <w:pStyle w:val="table"/>
              <w:rPr>
                <w:rFonts w:ascii="Times New Roman" w:hAnsi="Times New Roman"/>
              </w:rPr>
            </w:pPr>
            <w:r>
              <w:rPr>
                <w:rFonts w:ascii="Times New Roman" w:hAnsi="Times New Roman"/>
              </w:rPr>
              <w:t xml:space="preserve">Lovastatin for high cholesterol, men with CHD 50 </w:t>
            </w:r>
            <w:proofErr w:type="spellStart"/>
            <w:r>
              <w:rPr>
                <w:rFonts w:ascii="Times New Roman" w:hAnsi="Times New Roman"/>
              </w:rPr>
              <w:t>y.o</w:t>
            </w:r>
            <w:proofErr w:type="spellEnd"/>
            <w:r>
              <w:rPr>
                <w:rFonts w:ascii="Times New Roman" w:hAnsi="Times New Roman"/>
              </w:rPr>
              <w:t>.</w:t>
            </w:r>
          </w:p>
        </w:tc>
        <w:tc>
          <w:tcPr>
            <w:tcW w:w="1980" w:type="dxa"/>
            <w:tcBorders>
              <w:top w:val="single" w:sz="12" w:space="0" w:color="auto"/>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(savings)*</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Varicella vaccination (societal perspective)</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(savings)</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Needle exchange, IDUs</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300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Hepatitis B vaccination</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375</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HIV counseling and testing, IDUs, U.S. northeast</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1,000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Brief quit smoking counseling</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2,000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Varicella vaccination (payer perspective)</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2,500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Beta blockers for MI</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2,700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F/u visit for quit smoking</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5,000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Neonatal intensive care (1,000 – 1,499 gm)</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5,500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Nicotine gum</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4,100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Drug treatment of HTN (moderate disease)</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6,250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HIV counseling and testing, surgeons</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$ 10,000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lastRenderedPageBreak/>
              <w:t>Drug treatment of HTN (mild disease)</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$ 13,500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Neonatal intensive care (500 – 999 gm)</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$ 38,800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t-PA (versus Streptokinase) for AMI, overall</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$ 32,700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 xml:space="preserve">Cholestyramine for cholesterol &gt;265, men 48 </w:t>
            </w:r>
            <w:proofErr w:type="spellStart"/>
            <w:r>
              <w:rPr>
                <w:rFonts w:ascii="Times New Roman" w:hAnsi="Times New Roman"/>
              </w:rPr>
              <w:t>y.o</w:t>
            </w:r>
            <w:proofErr w:type="spellEnd"/>
            <w:r>
              <w:rPr>
                <w:rFonts w:ascii="Times New Roman" w:hAnsi="Times New Roman"/>
              </w:rPr>
              <w:t>.</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$160,000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 xml:space="preserve">t-PA (versus Streptokinase) for inferior wall AMI, ≤40 </w:t>
            </w:r>
            <w:proofErr w:type="spellStart"/>
            <w:r>
              <w:rPr>
                <w:rFonts w:ascii="Times New Roman" w:hAnsi="Times New Roman"/>
              </w:rPr>
              <w:t>y.o</w:t>
            </w:r>
            <w:proofErr w:type="spellEnd"/>
            <w:r>
              <w:rPr>
                <w:rFonts w:ascii="Times New Roman" w:hAnsi="Times New Roman"/>
              </w:rPr>
              <w:t>.</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$203,100</w:t>
            </w:r>
          </w:p>
        </w:tc>
      </w:tr>
      <w:tr w:rsidR="00E174B8">
        <w:trPr>
          <w:cantSplit/>
        </w:trPr>
        <w:tc>
          <w:tcPr>
            <w:tcW w:w="6288" w:type="dxa"/>
            <w:tcBorders>
              <w:left w:val="single" w:sz="6" w:space="0" w:color="auto"/>
              <w:bottom w:val="single" w:sz="6" w:space="0" w:color="auto"/>
            </w:tcBorders>
          </w:tcPr>
          <w:p w:rsidR="00E174B8" w:rsidRDefault="00E174B8">
            <w:pPr>
              <w:pStyle w:val="table"/>
              <w:rPr>
                <w:rFonts w:ascii="Times New Roman" w:hAnsi="Times New Roman"/>
              </w:rPr>
            </w:pPr>
            <w:r>
              <w:rPr>
                <w:rFonts w:ascii="Times New Roman" w:hAnsi="Times New Roman"/>
              </w:rPr>
              <w:t xml:space="preserve">Lovastatin for high cholesterol, low-risk men 30 </w:t>
            </w:r>
            <w:proofErr w:type="spellStart"/>
            <w:r>
              <w:rPr>
                <w:rFonts w:ascii="Times New Roman" w:hAnsi="Times New Roman"/>
              </w:rPr>
              <w:t>y.o</w:t>
            </w:r>
            <w:proofErr w:type="spellEnd"/>
            <w:r>
              <w:rPr>
                <w:rFonts w:ascii="Times New Roman" w:hAnsi="Times New Roman"/>
              </w:rPr>
              <w:t>.</w:t>
            </w:r>
          </w:p>
        </w:tc>
        <w:tc>
          <w:tcPr>
            <w:tcW w:w="1980" w:type="dxa"/>
            <w:tcBorders>
              <w:bottom w:val="single" w:sz="6" w:space="0" w:color="auto"/>
              <w:right w:val="single" w:sz="6" w:space="0" w:color="auto"/>
            </w:tcBorders>
          </w:tcPr>
          <w:p w:rsidR="00E174B8" w:rsidRDefault="00E174B8">
            <w:pPr>
              <w:pStyle w:val="table"/>
              <w:jc w:val="center"/>
              <w:rPr>
                <w:rFonts w:ascii="Times New Roman" w:hAnsi="Times New Roman"/>
              </w:rPr>
            </w:pPr>
            <w:r>
              <w:rPr>
                <w:rFonts w:ascii="Times New Roman" w:hAnsi="Times New Roman"/>
              </w:rPr>
              <w:t>$1 million</w:t>
            </w:r>
          </w:p>
        </w:tc>
      </w:tr>
    </w:tbl>
    <w:p w:rsidR="00E174B8" w:rsidRDefault="00E174B8">
      <w:pPr>
        <w:pStyle w:val="indentABC"/>
        <w:spacing w:before="60"/>
        <w:ind w:left="360" w:right="0" w:firstLine="0"/>
        <w:rPr>
          <w:rFonts w:ascii="Times New Roman" w:hAnsi="Times New Roman"/>
          <w:sz w:val="20"/>
        </w:rPr>
      </w:pPr>
      <w:r>
        <w:rPr>
          <w:rFonts w:ascii="Times New Roman" w:hAnsi="Times New Roman"/>
          <w:sz w:val="20"/>
        </w:rPr>
        <w:t xml:space="preserve">* “(savings)” means that costs averted exceed costs incurred, so “cost per year of life saved” is not calculated. </w:t>
      </w:r>
      <w:r>
        <w:rPr>
          <w:rFonts w:ascii="Times New Roman" w:hAnsi="Times New Roman"/>
          <w:b/>
          <w:bCs/>
          <w:sz w:val="20"/>
        </w:rPr>
        <w:t>NB:</w:t>
      </w:r>
      <w:r>
        <w:rPr>
          <w:rFonts w:ascii="Times New Roman" w:hAnsi="Times New Roman"/>
          <w:sz w:val="20"/>
        </w:rPr>
        <w:t xml:space="preserve"> These results are not precisely comparable due to variations in methods, e.g., quality adjustments, discounting, and types of costs assessed. Nor are they all based on the latest data.</w:t>
      </w:r>
    </w:p>
    <w:p w:rsidR="00E174B8" w:rsidRDefault="00E174B8">
      <w:pPr>
        <w:pStyle w:val="indentABC"/>
        <w:rPr>
          <w:rFonts w:ascii="Times New Roman" w:hAnsi="Times New Roman"/>
        </w:rPr>
      </w:pPr>
    </w:p>
    <w:p w:rsidR="00E174B8" w:rsidRDefault="00E174B8">
      <w:pPr>
        <w:pStyle w:val="indentABC"/>
        <w:rPr>
          <w:rFonts w:ascii="Times New Roman" w:hAnsi="Times New Roman"/>
        </w:rPr>
      </w:pPr>
    </w:p>
    <w:p w:rsidR="00E174B8" w:rsidRDefault="00E174B8">
      <w:pPr>
        <w:pStyle w:val="headingI"/>
        <w:rPr>
          <w:rFonts w:ascii="Times New Roman" w:hAnsi="Times New Roman"/>
        </w:rPr>
      </w:pPr>
      <w:r>
        <w:rPr>
          <w:rFonts w:ascii="Times New Roman" w:hAnsi="Times New Roman"/>
        </w:rPr>
        <w:t>II. Overview of CEA methods</w:t>
      </w:r>
    </w:p>
    <w:p w:rsidR="00E174B8" w:rsidRDefault="00E174B8">
      <w:pPr>
        <w:pStyle w:val="headingI"/>
        <w:rPr>
          <w:rFonts w:ascii="Times New Roman" w:hAnsi="Times New Roman"/>
        </w:rPr>
      </w:pPr>
    </w:p>
    <w:p w:rsidR="00E174B8" w:rsidRDefault="00E174B8">
      <w:pPr>
        <w:pStyle w:val="headingI"/>
        <w:ind w:left="720"/>
        <w:rPr>
          <w:rFonts w:ascii="Times New Roman" w:hAnsi="Times New Roman"/>
          <w:b w:val="0"/>
          <w:bCs/>
        </w:rPr>
      </w:pPr>
      <w:r>
        <w:rPr>
          <w:rFonts w:ascii="Times New Roman" w:hAnsi="Times New Roman"/>
          <w:b w:val="0"/>
          <w:bCs/>
        </w:rPr>
        <w:t>This section reviews the two major components of CEA: outcomes and input data. We start with outcomes because this clarifies what we mean by CEA.</w:t>
      </w:r>
    </w:p>
    <w:p w:rsidR="00E174B8" w:rsidRDefault="00E174B8">
      <w:pPr>
        <w:tabs>
          <w:tab w:val="left" w:pos="260"/>
        </w:tabs>
        <w:ind w:right="-360"/>
      </w:pPr>
    </w:p>
    <w:p w:rsidR="00E174B8" w:rsidRDefault="00E174B8">
      <w:pPr>
        <w:pStyle w:val="indentABC"/>
        <w:keepNext/>
        <w:ind w:left="360" w:firstLine="0"/>
        <w:rPr>
          <w:rFonts w:ascii="Times New Roman" w:hAnsi="Times New Roman"/>
          <w:b/>
          <w:i/>
        </w:rPr>
      </w:pPr>
      <w:r>
        <w:rPr>
          <w:rFonts w:ascii="Times New Roman" w:hAnsi="Times New Roman"/>
          <w:b/>
          <w:i/>
        </w:rPr>
        <w:t>Outcomes</w:t>
      </w:r>
    </w:p>
    <w:p w:rsidR="00E174B8" w:rsidRDefault="00E174B8">
      <w:pPr>
        <w:pStyle w:val="indentABC"/>
        <w:keepNext/>
        <w:ind w:left="720" w:firstLine="0"/>
        <w:rPr>
          <w:rFonts w:ascii="Times New Roman" w:hAnsi="Times New Roman"/>
          <w:b/>
          <w:i/>
        </w:rPr>
      </w:pPr>
    </w:p>
    <w:p w:rsidR="00E174B8" w:rsidRDefault="00E174B8">
      <w:pPr>
        <w:pStyle w:val="indentABC"/>
        <w:ind w:left="720" w:firstLine="0"/>
        <w:rPr>
          <w:rFonts w:ascii="Times New Roman" w:hAnsi="Times New Roman"/>
        </w:rPr>
      </w:pPr>
      <w:r>
        <w:rPr>
          <w:rFonts w:ascii="Times New Roman" w:hAnsi="Times New Roman"/>
        </w:rPr>
        <w:t>In technical terms, cost-effectiveness analysis in health care assesses the</w:t>
      </w:r>
      <w:r>
        <w:rPr>
          <w:rFonts w:ascii="Times New Roman" w:hAnsi="Times New Roman"/>
          <w:b/>
        </w:rPr>
        <w:t xml:space="preserve"> </w:t>
      </w:r>
      <w:r>
        <w:rPr>
          <w:rFonts w:ascii="Times New Roman" w:hAnsi="Times New Roman"/>
          <w:b/>
          <w:i/>
          <w:iCs/>
        </w:rPr>
        <w:t>incremental gain in health status</w:t>
      </w:r>
      <w:r>
        <w:rPr>
          <w:rFonts w:ascii="Times New Roman" w:hAnsi="Times New Roman"/>
          <w:b/>
        </w:rPr>
        <w:t xml:space="preserve"> achievable with an </w:t>
      </w:r>
      <w:r>
        <w:rPr>
          <w:rFonts w:ascii="Times New Roman" w:hAnsi="Times New Roman"/>
          <w:b/>
          <w:i/>
          <w:iCs/>
        </w:rPr>
        <w:t>incremental increase in health care resources</w:t>
      </w:r>
      <w:r>
        <w:rPr>
          <w:rFonts w:ascii="Times New Roman" w:hAnsi="Times New Roman"/>
        </w:rPr>
        <w:t>.</w:t>
      </w:r>
    </w:p>
    <w:p w:rsidR="00E174B8" w:rsidRDefault="00E174B8">
      <w:pPr>
        <w:pStyle w:val="indentABC"/>
        <w:tabs>
          <w:tab w:val="left" w:pos="1260"/>
        </w:tabs>
        <w:rPr>
          <w:rFonts w:ascii="Times New Roman" w:hAnsi="Times New Roman"/>
        </w:rPr>
      </w:pPr>
      <w:r>
        <w:rPr>
          <w:rFonts w:ascii="Times New Roman" w:hAnsi="Times New Roman"/>
        </w:rPr>
        <w:tab/>
      </w:r>
    </w:p>
    <w:p w:rsidR="00E174B8" w:rsidRDefault="00E174B8">
      <w:pPr>
        <w:pStyle w:val="indentABC"/>
        <w:ind w:left="720" w:firstLine="0"/>
        <w:rPr>
          <w:rFonts w:ascii="Times New Roman" w:hAnsi="Times New Roman"/>
        </w:rPr>
      </w:pPr>
      <w:r>
        <w:rPr>
          <w:rFonts w:ascii="Times New Roman" w:hAnsi="Times New Roman"/>
        </w:rPr>
        <w:t xml:space="preserve">The </w:t>
      </w:r>
      <w:r>
        <w:rPr>
          <w:rFonts w:ascii="Times New Roman" w:hAnsi="Times New Roman"/>
          <w:b/>
          <w:i/>
        </w:rPr>
        <w:t>gain in health status</w:t>
      </w:r>
      <w:r>
        <w:rPr>
          <w:rFonts w:ascii="Times New Roman" w:hAnsi="Times New Roman"/>
        </w:rPr>
        <w:t xml:space="preserve"> is measured in "health outcomes"</w:t>
      </w:r>
      <w:r>
        <w:rPr>
          <w:rStyle w:val="FootnoteReference"/>
          <w:rFonts w:ascii="Times New Roman" w:hAnsi="Times New Roman"/>
        </w:rPr>
        <w:footnoteReference w:id="2"/>
      </w:r>
      <w:r>
        <w:rPr>
          <w:rFonts w:ascii="Times New Roman" w:hAnsi="Times New Roman"/>
        </w:rPr>
        <w:t>, as we’ve discussed in the sessions on decision analysis. These health status measures include:</w:t>
      </w:r>
    </w:p>
    <w:p w:rsidR="00E174B8" w:rsidRDefault="00E174B8">
      <w:pPr>
        <w:pStyle w:val="indentABC"/>
        <w:rPr>
          <w:rFonts w:ascii="Times New Roman" w:hAnsi="Times New Roman"/>
        </w:rPr>
      </w:pPr>
    </w:p>
    <w:p w:rsidR="00E174B8" w:rsidRDefault="00E174B8">
      <w:pPr>
        <w:pStyle w:val="indentABC"/>
        <w:ind w:left="1800"/>
        <w:rPr>
          <w:rFonts w:ascii="Times New Roman" w:hAnsi="Times New Roman"/>
        </w:rPr>
      </w:pPr>
      <w:r>
        <w:rPr>
          <w:rFonts w:ascii="Times New Roman" w:hAnsi="Times New Roman"/>
        </w:rPr>
        <w:t xml:space="preserve">&gt; </w:t>
      </w:r>
      <w:r>
        <w:rPr>
          <w:rFonts w:ascii="Times New Roman" w:hAnsi="Times New Roman"/>
          <w:i/>
        </w:rPr>
        <w:t>mortality</w:t>
      </w:r>
      <w:r>
        <w:rPr>
          <w:rFonts w:ascii="Times New Roman" w:hAnsi="Times New Roman"/>
        </w:rPr>
        <w:t xml:space="preserve"> = deaths</w:t>
      </w:r>
    </w:p>
    <w:p w:rsidR="00E174B8" w:rsidRDefault="00E174B8">
      <w:pPr>
        <w:pStyle w:val="indentABC"/>
        <w:ind w:left="1800"/>
        <w:rPr>
          <w:rFonts w:ascii="Times New Roman" w:hAnsi="Times New Roman"/>
        </w:rPr>
      </w:pPr>
    </w:p>
    <w:p w:rsidR="00E174B8" w:rsidRDefault="00E174B8">
      <w:pPr>
        <w:pStyle w:val="indentABC"/>
        <w:ind w:left="1800"/>
        <w:rPr>
          <w:rFonts w:ascii="Times New Roman" w:hAnsi="Times New Roman"/>
        </w:rPr>
      </w:pPr>
      <w:r>
        <w:rPr>
          <w:rFonts w:ascii="Times New Roman" w:hAnsi="Times New Roman"/>
        </w:rPr>
        <w:t xml:space="preserve">&gt; </w:t>
      </w:r>
      <w:r>
        <w:rPr>
          <w:rFonts w:ascii="Times New Roman" w:hAnsi="Times New Roman"/>
          <w:i/>
        </w:rPr>
        <w:t>morbidity:</w:t>
      </w:r>
      <w:r>
        <w:rPr>
          <w:rFonts w:ascii="Times New Roman" w:hAnsi="Times New Roman"/>
        </w:rPr>
        <w:t xml:space="preserve"> other disease events, such as episodes of illness, infections, or duration of a particular disability (e.g., years of sight);</w:t>
      </w:r>
    </w:p>
    <w:p w:rsidR="00E174B8" w:rsidRDefault="00E174B8">
      <w:pPr>
        <w:pStyle w:val="indentABC"/>
        <w:ind w:left="1800"/>
        <w:rPr>
          <w:rFonts w:ascii="Times New Roman" w:hAnsi="Times New Roman"/>
        </w:rPr>
      </w:pPr>
    </w:p>
    <w:p w:rsidR="00E174B8" w:rsidRDefault="00E174B8">
      <w:pPr>
        <w:pStyle w:val="indentABC"/>
        <w:ind w:left="1800"/>
        <w:rPr>
          <w:rFonts w:ascii="Times New Roman" w:hAnsi="Times New Roman"/>
        </w:rPr>
      </w:pPr>
      <w:r>
        <w:rPr>
          <w:rFonts w:ascii="Times New Roman" w:hAnsi="Times New Roman"/>
        </w:rPr>
        <w:t xml:space="preserve">&gt; </w:t>
      </w:r>
      <w:r>
        <w:rPr>
          <w:rFonts w:ascii="Times New Roman" w:hAnsi="Times New Roman"/>
          <w:i/>
        </w:rPr>
        <w:t>life years:</w:t>
      </w:r>
      <w:r>
        <w:rPr>
          <w:rFonts w:ascii="Times New Roman" w:hAnsi="Times New Roman"/>
        </w:rPr>
        <w:t xml:space="preserve"> the expected duration of life;</w:t>
      </w:r>
    </w:p>
    <w:p w:rsidR="00E174B8" w:rsidRDefault="00E174B8">
      <w:pPr>
        <w:pStyle w:val="indentABC"/>
        <w:ind w:left="1800"/>
        <w:rPr>
          <w:rFonts w:ascii="Times New Roman" w:hAnsi="Times New Roman"/>
        </w:rPr>
      </w:pPr>
    </w:p>
    <w:p w:rsidR="00E174B8" w:rsidRDefault="00E174B8">
      <w:pPr>
        <w:pStyle w:val="indentABC"/>
        <w:ind w:left="1710" w:hanging="270"/>
        <w:rPr>
          <w:rFonts w:ascii="Times New Roman" w:hAnsi="Times New Roman"/>
        </w:rPr>
      </w:pPr>
      <w:r>
        <w:rPr>
          <w:rFonts w:ascii="Times New Roman" w:hAnsi="Times New Roman"/>
        </w:rPr>
        <w:t xml:space="preserve">&gt; </w:t>
      </w:r>
      <w:r>
        <w:rPr>
          <w:rFonts w:ascii="Times New Roman" w:hAnsi="Times New Roman"/>
          <w:i/>
        </w:rPr>
        <w:t>quality-adjusted life years (QALYs):</w:t>
      </w:r>
      <w:r>
        <w:rPr>
          <w:rFonts w:ascii="Times New Roman" w:hAnsi="Times New Roman"/>
        </w:rPr>
        <w:t xml:space="preserve"> life years adjusted for the value people place on their health status during those years (i.e., life years x utility score);</w:t>
      </w:r>
      <w:r w:rsidR="006E7151">
        <w:rPr>
          <w:rFonts w:ascii="Times New Roman" w:hAnsi="Times New Roman"/>
        </w:rPr>
        <w:t xml:space="preserve"> or </w:t>
      </w:r>
      <w:r w:rsidR="006E7151">
        <w:rPr>
          <w:rFonts w:ascii="Times New Roman" w:hAnsi="Times New Roman"/>
        </w:rPr>
        <w:br/>
      </w:r>
      <w:r w:rsidR="006E7151">
        <w:rPr>
          <w:rFonts w:ascii="Times New Roman" w:hAnsi="Times New Roman"/>
        </w:rPr>
        <w:br/>
      </w:r>
      <w:r w:rsidR="006E7151" w:rsidRPr="006E7151">
        <w:rPr>
          <w:rFonts w:ascii="Times New Roman" w:hAnsi="Times New Roman"/>
          <w:i/>
        </w:rPr>
        <w:t>disability-adjusted life years (DALYs):</w:t>
      </w:r>
      <w:r w:rsidR="006E7151">
        <w:rPr>
          <w:rFonts w:ascii="Times New Roman" w:hAnsi="Times New Roman"/>
        </w:rPr>
        <w:t xml:space="preserve"> burden of disease, equal to premature mortality plus disability due to morbidity.</w:t>
      </w:r>
    </w:p>
    <w:p w:rsidR="00E174B8" w:rsidRDefault="00E174B8">
      <w:pPr>
        <w:pStyle w:val="indentABC"/>
        <w:ind w:left="0" w:firstLine="0"/>
        <w:rPr>
          <w:rFonts w:ascii="Times New Roman" w:hAnsi="Times New Roman"/>
        </w:rPr>
      </w:pPr>
    </w:p>
    <w:p w:rsidR="00E174B8" w:rsidRDefault="00E174B8">
      <w:pPr>
        <w:pStyle w:val="indentABC"/>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The</w:t>
      </w:r>
      <w:r>
        <w:rPr>
          <w:rFonts w:ascii="Times New Roman" w:hAnsi="Times New Roman"/>
          <w:i/>
        </w:rPr>
        <w:t xml:space="preserve"> </w:t>
      </w:r>
      <w:r>
        <w:rPr>
          <w:rFonts w:ascii="Times New Roman" w:hAnsi="Times New Roman"/>
          <w:b/>
          <w:i/>
        </w:rPr>
        <w:t>increase in health care resources</w:t>
      </w:r>
      <w:r>
        <w:rPr>
          <w:rFonts w:ascii="Times New Roman" w:hAnsi="Times New Roman"/>
        </w:rPr>
        <w:t xml:space="preserve"> is the difference in resources between a less expensive and a more expensive course of action. The unit of measurement for </w:t>
      </w:r>
      <w:r>
        <w:rPr>
          <w:rFonts w:ascii="Times New Roman" w:hAnsi="Times New Roman"/>
        </w:rPr>
        <w:lastRenderedPageBreak/>
        <w:t>resources is dollars -- a scale which is widely understood and which allows resources of all types (e.g., doctor visits and hospital days) to be summed and compared using a common metric.</w: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 xml:space="preserve">By convention, the results of cost-effectiveness analyses are usually expressed as a </w:t>
      </w:r>
      <w:r>
        <w:rPr>
          <w:rFonts w:ascii="Times New Roman" w:hAnsi="Times New Roman"/>
          <w:i/>
        </w:rPr>
        <w:t>ratio</w:t>
      </w:r>
      <w:r>
        <w:rPr>
          <w:rFonts w:ascii="Times New Roman" w:hAnsi="Times New Roman"/>
        </w:rPr>
        <w:t xml:space="preserve">: </w:t>
      </w:r>
      <w:r>
        <w:rPr>
          <w:rFonts w:ascii="Times New Roman" w:hAnsi="Times New Roman"/>
          <w:b/>
        </w:rPr>
        <w:t xml:space="preserve">the increment in costs between two courses of action </w:t>
      </w:r>
      <w:r>
        <w:rPr>
          <w:rFonts w:ascii="Times New Roman" w:hAnsi="Times New Roman"/>
          <w:b/>
          <w:i/>
        </w:rPr>
        <w:t>divided by</w:t>
      </w:r>
      <w:r>
        <w:rPr>
          <w:rFonts w:ascii="Times New Roman" w:hAnsi="Times New Roman"/>
          <w:b/>
        </w:rPr>
        <w:t xml:space="preserve"> the increment in health outcomes</w:t>
      </w:r>
      <w:r>
        <w:rPr>
          <w:rFonts w:ascii="Times New Roman" w:hAnsi="Times New Roman"/>
        </w:rPr>
        <w:t xml:space="preserve">. For example, the cost of universal HIV prevention minus the cost of targeted HIV prevention, divided by the difference in HIV infections prevented. That is, </w:t>
      </w:r>
      <w:r w:rsidR="00733809">
        <w:rPr>
          <w:rFonts w:ascii="Times New Roman" w:hAnsi="Times New Roman"/>
        </w:rPr>
        <w:t>cost</w:t>
      </w:r>
      <w:r>
        <w:rPr>
          <w:rFonts w:ascii="Times New Roman" w:hAnsi="Times New Roman"/>
        </w:rPr>
        <w:t xml:space="preserve"> per HIV infection prevented.</w: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There are two other types of outcome measures, for two special types of CEA:</w:t>
      </w:r>
    </w:p>
    <w:p w:rsidR="006E7151" w:rsidRDefault="00E174B8" w:rsidP="006E7151">
      <w:pPr>
        <w:pStyle w:val="indent1"/>
        <w:spacing w:before="160"/>
        <w:ind w:left="0" w:firstLine="720"/>
      </w:pPr>
      <w:r>
        <w:rPr>
          <w:b/>
        </w:rPr>
        <w:t>Cost-utility analysis (CUA):</w:t>
      </w:r>
      <w:r>
        <w:t xml:space="preserve"> </w:t>
      </w:r>
      <w:r w:rsidR="00733809">
        <w:t>cost</w:t>
      </w:r>
      <w:r>
        <w:t xml:space="preserve"> per QALY gained.</w:t>
      </w:r>
    </w:p>
    <w:p w:rsidR="0090581F" w:rsidRDefault="0090581F" w:rsidP="0090581F">
      <w:pPr>
        <w:pStyle w:val="indent1"/>
        <w:spacing w:before="160"/>
        <w:ind w:left="720" w:firstLine="0"/>
      </w:pPr>
      <w:r>
        <w:t xml:space="preserve">In the global setting, the most common outcome measure parallel to the CUA approach is </w:t>
      </w:r>
      <w:r w:rsidRPr="0090581F">
        <w:rPr>
          <w:b/>
        </w:rPr>
        <w:t>cost per DALY averted</w:t>
      </w:r>
      <w:r>
        <w:t>.</w:t>
      </w:r>
    </w:p>
    <w:p w:rsidR="00E174B8" w:rsidRDefault="00E174B8">
      <w:pPr>
        <w:pStyle w:val="indent1"/>
        <w:spacing w:before="160"/>
        <w:ind w:left="720" w:firstLine="0"/>
      </w:pPr>
      <w:r>
        <w:rPr>
          <w:b/>
        </w:rPr>
        <w:t>Cost-benefit analysis (CBA):</w:t>
      </w:r>
      <w:r>
        <w:t xml:space="preserve"> Health outcomes are translated into financial values (e.g., willingness to pay). A difference (rather than a ratio) is used: dollars spent on the intervention minus dollars saved in benefits. More on this in the appendix.</w:t>
      </w:r>
    </w:p>
    <w:p w:rsidR="0090581F" w:rsidRDefault="0090581F">
      <w:pPr>
        <w:pStyle w:val="indent1"/>
        <w:spacing w:before="160"/>
        <w:ind w:left="720" w:firstLine="0"/>
      </w:pPr>
    </w:p>
    <w:p w:rsidR="0090581F" w:rsidRDefault="0090581F" w:rsidP="0090581F">
      <w:pPr>
        <w:pStyle w:val="indentABC"/>
        <w:keepNext/>
        <w:ind w:left="360" w:firstLine="0"/>
        <w:rPr>
          <w:rFonts w:ascii="Times New Roman" w:hAnsi="Times New Roman"/>
          <w:b/>
          <w:i/>
        </w:rPr>
      </w:pPr>
      <w:r>
        <w:rPr>
          <w:rFonts w:ascii="Times New Roman" w:hAnsi="Times New Roman"/>
          <w:b/>
          <w:i/>
        </w:rPr>
        <w:t>Some notes on terminology</w:t>
      </w:r>
    </w:p>
    <w:p w:rsidR="006E7151" w:rsidRDefault="006E7151">
      <w:pPr>
        <w:pStyle w:val="indent1"/>
        <w:spacing w:before="160"/>
        <w:ind w:left="720" w:firstLine="0"/>
      </w:pPr>
      <w:r w:rsidRPr="0090581F">
        <w:t xml:space="preserve">The term </w:t>
      </w:r>
      <w:r w:rsidRPr="0090581F">
        <w:rPr>
          <w:b/>
        </w:rPr>
        <w:t>“Cost-effectiveness analysis</w:t>
      </w:r>
      <w:r w:rsidR="004657B6" w:rsidRPr="0090581F">
        <w:rPr>
          <w:b/>
        </w:rPr>
        <w:t>”</w:t>
      </w:r>
      <w:r w:rsidR="004657B6" w:rsidRPr="0090581F">
        <w:t xml:space="preserve"> is </w:t>
      </w:r>
      <w:r w:rsidR="0067047A" w:rsidRPr="0090581F">
        <w:t>used in two ways: to refer to the general</w:t>
      </w:r>
      <w:r w:rsidR="004657B6" w:rsidRPr="0090581F">
        <w:t xml:space="preserve"> field of inquiry, and to refer to analyses using the most widely accepted methods – cost per QALY gained, or cost per DALY averted.</w:t>
      </w:r>
    </w:p>
    <w:p w:rsidR="0090581F" w:rsidRPr="0090581F" w:rsidRDefault="0090581F">
      <w:pPr>
        <w:pStyle w:val="indent1"/>
        <w:spacing w:before="160"/>
        <w:ind w:left="720" w:firstLine="0"/>
      </w:pPr>
      <w:r>
        <w:t>The CE result is often referred to as the “</w:t>
      </w:r>
      <w:r>
        <w:rPr>
          <w:b/>
        </w:rPr>
        <w:t>Incremental Cost-Effectiveness Ratio”</w:t>
      </w:r>
      <w:r w:rsidRPr="0090581F">
        <w:t xml:space="preserve"> – the </w:t>
      </w:r>
      <w:r>
        <w:rPr>
          <w:b/>
        </w:rPr>
        <w:t>ICER</w:t>
      </w:r>
      <w:r>
        <w:t>. This term highlights the fact that CEA compares changes (increments) in costs and in health outcomes between two or more options. That is, increment in cost divided by increment in health outcome.</w:t>
      </w:r>
    </w:p>
    <w:p w:rsidR="00E174B8" w:rsidRDefault="00E174B8">
      <w:pPr>
        <w:pStyle w:val="indentABC"/>
        <w:ind w:left="720" w:firstLine="0"/>
        <w:rPr>
          <w:rFonts w:ascii="Times New Roman" w:hAnsi="Times New Roman"/>
        </w:rPr>
      </w:pPr>
    </w:p>
    <w:p w:rsidR="00E174B8" w:rsidRDefault="00E174B8">
      <w:pPr>
        <w:pStyle w:val="indent1"/>
        <w:rPr>
          <w:rFonts w:ascii="Times New Roman" w:hAnsi="Times New Roman"/>
        </w:rPr>
      </w:pPr>
    </w:p>
    <w:p w:rsidR="00E174B8" w:rsidRDefault="00E174B8" w:rsidP="00E174B8">
      <w:pPr>
        <w:pStyle w:val="indentABC"/>
        <w:keepNext/>
        <w:ind w:left="360" w:firstLine="0"/>
        <w:rPr>
          <w:rFonts w:ascii="Times New Roman" w:hAnsi="Times New Roman"/>
          <w:b/>
          <w:i/>
        </w:rPr>
      </w:pPr>
      <w:r>
        <w:rPr>
          <w:rFonts w:ascii="Times New Roman" w:hAnsi="Times New Roman"/>
          <w:b/>
          <w:i/>
        </w:rPr>
        <w:t>Input data</w:t>
      </w:r>
    </w:p>
    <w:p w:rsidR="00E174B8" w:rsidRDefault="00E174B8" w:rsidP="00E174B8">
      <w:pPr>
        <w:pStyle w:val="indentABC"/>
        <w:keepNext/>
        <w:ind w:left="360" w:firstLine="0"/>
        <w:rPr>
          <w:rFonts w:ascii="Times New Roman" w:hAnsi="Times New Roman"/>
          <w:b/>
          <w:i/>
        </w:rPr>
      </w:pPr>
    </w:p>
    <w:p w:rsidR="00E174B8" w:rsidRDefault="00E174B8">
      <w:pPr>
        <w:pStyle w:val="indentABC"/>
        <w:ind w:left="720" w:firstLine="0"/>
        <w:rPr>
          <w:rFonts w:ascii="Times New Roman" w:hAnsi="Times New Roman"/>
        </w:rPr>
      </w:pPr>
      <w:r>
        <w:rPr>
          <w:rFonts w:ascii="Times New Roman" w:hAnsi="Times New Roman"/>
        </w:rPr>
        <w:t xml:space="preserve">CEA integrates a broad set of input data on health outcomes and costs. Data are collected using various techniques, as discussed in the next lecture. </w: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To integrate the data, CEA uses techniques of outcomes research (e.g., decision analysis). The relationship of health data, decision analysis, cost data, and the three cost-effectiveness outcome measures is shown in the figure below.</w:t>
      </w:r>
    </w:p>
    <w:p w:rsidR="00E174B8" w:rsidRDefault="00E174B8">
      <w:pPr>
        <w:pStyle w:val="indentABC"/>
        <w:ind w:left="720" w:firstLine="0"/>
        <w:rPr>
          <w:rFonts w:ascii="Times New Roman" w:hAnsi="Times New Roman"/>
        </w:rPr>
      </w:pPr>
    </w:p>
    <w:p w:rsidR="00E174B8" w:rsidRDefault="00E174B8">
      <w:pPr>
        <w:pStyle w:val="indentABC"/>
        <w:keepNext/>
        <w:ind w:left="360"/>
        <w:rPr>
          <w:rFonts w:ascii="Times New Roman" w:hAnsi="Times New Roman"/>
        </w:rPr>
      </w:pPr>
      <w:r w:rsidRPr="00247252">
        <w:rPr>
          <w:rFonts w:ascii="Times New Roman" w:hAnsi="Times New Roman"/>
          <w:i/>
        </w:rPr>
        <w:lastRenderedPageBreak/>
        <w:t>Figure 2</w:t>
      </w:r>
      <w:r>
        <w:rPr>
          <w:rFonts w:ascii="Times New Roman" w:hAnsi="Times New Roman"/>
        </w:rPr>
        <w:t>: Components of cost-effectiveness analysis</w:t>
      </w:r>
    </w:p>
    <w:p w:rsidR="00E174B8" w:rsidRDefault="00E174B8">
      <w:pPr>
        <w:pStyle w:val="indentABC"/>
        <w:keepNext/>
        <w:ind w:left="360"/>
        <w:rPr>
          <w:rFonts w:ascii="Times New Roman" w:hAnsi="Times New Roman"/>
        </w:rPr>
      </w:pPr>
    </w:p>
    <w:bookmarkStart w:id="1" w:name="_MON_1048580236"/>
    <w:bookmarkStart w:id="2" w:name="_MON_1048579863"/>
    <w:bookmarkEnd w:id="1"/>
    <w:bookmarkEnd w:id="2"/>
    <w:bookmarkStart w:id="3" w:name="_MON_1048580155"/>
    <w:bookmarkEnd w:id="3"/>
    <w:p w:rsidR="00E174B8" w:rsidRDefault="00E174B8">
      <w:pPr>
        <w:pStyle w:val="indentABC"/>
        <w:ind w:left="0" w:firstLine="0"/>
        <w:rPr>
          <w:rFonts w:ascii="Times New Roman" w:hAnsi="Times New Roman"/>
        </w:rPr>
      </w:pPr>
      <w:r w:rsidRPr="008B48E0">
        <w:rPr>
          <w:rFonts w:ascii="Times New Roman" w:hAnsi="Times New Roman"/>
          <w:outline/>
          <w:color w:val="000000"/>
          <w14:textOutline w14:w="9525" w14:cap="flat" w14:cmpd="sng" w14:algn="ctr">
            <w14:solidFill>
              <w14:srgbClr w14:val="000000"/>
            </w14:solidFill>
            <w14:prstDash w14:val="solid"/>
            <w14:round/>
          </w14:textOutline>
          <w14:textFill>
            <w14:noFill/>
          </w14:textFill>
        </w:rPr>
        <w:object w:dxaOrig="9120" w:dyaOrig="5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252.75pt" o:ole="" o:bordertopcolor="this" o:borderleftcolor="this" o:borderbottomcolor="this" o:borderrightcolor="this" fillcolor="window">
            <v:imagedata r:id="rId11" o:title=""/>
            <w10:bordertop type="single" width="6"/>
            <w10:borderleft type="single" width="6"/>
            <w10:borderbottom type="single" width="6"/>
            <w10:borderright type="single" width="6"/>
          </v:shape>
          <o:OLEObject Type="Embed" ProgID="Word.Picture.8" ShapeID="_x0000_i1025" DrawAspect="Content" ObjectID="_1607423370" r:id="rId12"/>
        </w:objec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ab/>
      </w:r>
      <w:r>
        <w:rPr>
          <w:rFonts w:ascii="Times New Roman" w:hAnsi="Times New Roman"/>
          <w:b/>
        </w:rPr>
        <w:t>Health outcomes</w:t>
      </w:r>
      <w:r>
        <w:rPr>
          <w:rFonts w:ascii="Times New Roman" w:hAnsi="Times New Roman"/>
        </w:rPr>
        <w:t xml:space="preserve"> are extracted from individual studies using </w:t>
      </w:r>
      <w:r>
        <w:rPr>
          <w:rFonts w:ascii="Times New Roman" w:hAnsi="Times New Roman"/>
          <w:i/>
        </w:rPr>
        <w:t>meta-analysis</w:t>
      </w:r>
      <w:r>
        <w:rPr>
          <w:rFonts w:ascii="Times New Roman" w:hAnsi="Times New Roman"/>
        </w:rPr>
        <w:t xml:space="preserve"> or less quantitative techniques to synthesize study data. </w:t>
      </w:r>
      <w:r>
        <w:rPr>
          <w:rFonts w:ascii="Times New Roman" w:hAnsi="Times New Roman"/>
          <w:b/>
        </w:rPr>
        <w:t>Population characteristics</w:t>
      </w:r>
      <w:r>
        <w:rPr>
          <w:rFonts w:ascii="Times New Roman" w:hAnsi="Times New Roman"/>
        </w:rPr>
        <w:t xml:space="preserve"> such as disease prevalence or probability of death are identified from epidemiologic studies and databases. Together these represent the </w:t>
      </w:r>
      <w:r>
        <w:rPr>
          <w:rFonts w:ascii="Times New Roman" w:hAnsi="Times New Roman"/>
          <w:b/>
        </w:rPr>
        <w:t>health inputs</w:t>
      </w:r>
      <w:r>
        <w:rPr>
          <w:rFonts w:ascii="Times New Roman" w:hAnsi="Times New Roman"/>
        </w:rPr>
        <w:t>.</w:t>
      </w:r>
    </w:p>
    <w:p w:rsidR="00E174B8" w:rsidRDefault="00E174B8">
      <w:pPr>
        <w:pStyle w:val="indentABC"/>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ab/>
      </w:r>
      <w:r>
        <w:rPr>
          <w:rFonts w:ascii="Times New Roman" w:hAnsi="Times New Roman"/>
          <w:b/>
        </w:rPr>
        <w:t>Resource use</w:t>
      </w:r>
      <w:r>
        <w:rPr>
          <w:rFonts w:ascii="Times New Roman" w:hAnsi="Times New Roman"/>
        </w:rPr>
        <w:t xml:space="preserve"> represents the services (e.g., </w:t>
      </w:r>
      <w:proofErr w:type="spellStart"/>
      <w:r>
        <w:rPr>
          <w:rFonts w:ascii="Times New Roman" w:hAnsi="Times New Roman"/>
        </w:rPr>
        <w:t>xrays</w:t>
      </w:r>
      <w:proofErr w:type="spellEnd"/>
      <w:r>
        <w:rPr>
          <w:rFonts w:ascii="Times New Roman" w:hAnsi="Times New Roman"/>
        </w:rPr>
        <w:t xml:space="preserve"> or outpatient visits) or production inputs (e.g., labor and supplies) used when an intervention or medical care occurs.</w:t>
      </w:r>
      <w:r>
        <w:rPr>
          <w:rFonts w:ascii="Times New Roman" w:hAnsi="Times New Roman"/>
          <w:b/>
        </w:rPr>
        <w:t xml:space="preserve"> Cost per resource unit</w:t>
      </w:r>
      <w:r>
        <w:rPr>
          <w:rFonts w:ascii="Times New Roman" w:hAnsi="Times New Roman"/>
        </w:rPr>
        <w:t xml:space="preserve"> is the dollar value for each type of resource, e.g., $95 for a chest </w:t>
      </w:r>
      <w:proofErr w:type="spellStart"/>
      <w:r>
        <w:rPr>
          <w:rFonts w:ascii="Times New Roman" w:hAnsi="Times New Roman"/>
        </w:rPr>
        <w:t>xray</w:t>
      </w:r>
      <w:proofErr w:type="spellEnd"/>
      <w:r>
        <w:rPr>
          <w:rFonts w:ascii="Times New Roman" w:hAnsi="Times New Roman"/>
        </w:rPr>
        <w:t xml:space="preserve">. These inputs are estimated from a variety of databases or from cost studies, and together represent the </w:t>
      </w:r>
      <w:r>
        <w:rPr>
          <w:rFonts w:ascii="Times New Roman" w:hAnsi="Times New Roman"/>
          <w:b/>
        </w:rPr>
        <w:t>cost inputs</w:t>
      </w:r>
      <w:r>
        <w:rPr>
          <w:rFonts w:ascii="Times New Roman" w:hAnsi="Times New Roman"/>
        </w:rPr>
        <w:t>.</w:t>
      </w:r>
    </w:p>
    <w:p w:rsidR="00E174B8" w:rsidRDefault="00E174B8">
      <w:pPr>
        <w:pStyle w:val="indentABC"/>
        <w:rPr>
          <w:rFonts w:ascii="Times New Roman" w:hAnsi="Times New Roman"/>
        </w:rPr>
      </w:pPr>
    </w:p>
    <w:p w:rsidR="00E174B8" w:rsidRDefault="00E174B8">
      <w:pPr>
        <w:pStyle w:val="indentABC"/>
        <w:tabs>
          <w:tab w:val="left" w:pos="2777"/>
        </w:tabs>
        <w:rPr>
          <w:rFonts w:ascii="Times New Roman" w:hAnsi="Times New Roman"/>
        </w:rPr>
      </w:pPr>
      <w:r>
        <w:rPr>
          <w:rFonts w:ascii="Times New Roman" w:hAnsi="Times New Roman"/>
        </w:rPr>
        <w:tab/>
      </w:r>
      <w:r>
        <w:rPr>
          <w:rFonts w:ascii="Times New Roman" w:hAnsi="Times New Roman"/>
        </w:rPr>
        <w:tab/>
      </w:r>
    </w:p>
    <w:p w:rsidR="00E174B8" w:rsidRDefault="00E174B8">
      <w:pPr>
        <w:pStyle w:val="headingI"/>
        <w:rPr>
          <w:rFonts w:ascii="Times New Roman" w:hAnsi="Times New Roman"/>
        </w:rPr>
      </w:pPr>
      <w:r>
        <w:rPr>
          <w:rFonts w:ascii="Times New Roman" w:hAnsi="Times New Roman"/>
        </w:rPr>
        <w:t>III. Steps in conducting a cost-effectiveness analysis</w:t>
      </w:r>
    </w:p>
    <w:p w:rsidR="00E174B8" w:rsidRDefault="00E174B8">
      <w:pPr>
        <w:keepNext/>
        <w:ind w:left="720" w:right="-360"/>
      </w:pPr>
    </w:p>
    <w:p w:rsidR="00E174B8" w:rsidRDefault="00E174B8">
      <w:pPr>
        <w:pStyle w:val="indentABC"/>
        <w:ind w:left="720" w:firstLine="0"/>
        <w:rPr>
          <w:rFonts w:ascii="Times New Roman" w:hAnsi="Times New Roman"/>
        </w:rPr>
      </w:pPr>
      <w:r>
        <w:rPr>
          <w:rFonts w:ascii="Times New Roman" w:hAnsi="Times New Roman"/>
        </w:rPr>
        <w:t>There are multiple descriptions of how to do a cost-effectiveness analysis, all with similar components. The simplified scheme described here focuses on the big steps. It might be called “introduction to CEA”.</w:t>
      </w:r>
    </w:p>
    <w:p w:rsidR="00E174B8" w:rsidRDefault="00E174B8">
      <w:pPr>
        <w:pStyle w:val="indentABC"/>
        <w:tabs>
          <w:tab w:val="left" w:pos="3390"/>
        </w:tabs>
        <w:ind w:left="720" w:firstLine="0"/>
        <w:rPr>
          <w:rFonts w:ascii="Times New Roman" w:hAnsi="Times New Roman"/>
        </w:rPr>
      </w:pPr>
      <w:r>
        <w:rPr>
          <w:rFonts w:ascii="Times New Roman" w:hAnsi="Times New Roman"/>
        </w:rPr>
        <w:tab/>
      </w:r>
      <w:r>
        <w:rPr>
          <w:rFonts w:ascii="Times New Roman" w:hAnsi="Times New Roman"/>
        </w:rPr>
        <w:tab/>
      </w:r>
    </w:p>
    <w:p w:rsidR="00E174B8" w:rsidRDefault="00E174B8">
      <w:pPr>
        <w:pStyle w:val="indentABC"/>
        <w:ind w:left="720" w:firstLine="0"/>
        <w:rPr>
          <w:rFonts w:ascii="Times New Roman" w:hAnsi="Times New Roman"/>
        </w:rPr>
      </w:pPr>
      <w:r>
        <w:rPr>
          <w:rFonts w:ascii="Times New Roman" w:hAnsi="Times New Roman"/>
        </w:rPr>
        <w:t xml:space="preserve">A more detailed how-to discussion is provided in </w:t>
      </w:r>
      <w:r w:rsidR="00E63EE5">
        <w:rPr>
          <w:rFonts w:ascii="Times New Roman" w:hAnsi="Times New Roman"/>
        </w:rPr>
        <w:t>appendices, available on request</w:t>
      </w:r>
      <w:r>
        <w:rPr>
          <w:rFonts w:ascii="Times New Roman" w:hAnsi="Times New Roman"/>
        </w:rPr>
        <w:t>. This might be called “a technical guide for CEA.”</w: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The five steps in the simplified approach are described briefly below, and illustrated in this and subsequent syllabus sections. For each step, you’ve seen the decision analysis components in prior lectures, but the cost components are new.</w:t>
      </w:r>
    </w:p>
    <w:p w:rsidR="00E174B8" w:rsidRDefault="00E174B8">
      <w:pPr>
        <w:pStyle w:val="indentABC"/>
        <w:rPr>
          <w:rFonts w:ascii="Times New Roman" w:hAnsi="Times New Roman"/>
        </w:rPr>
      </w:pPr>
    </w:p>
    <w:p w:rsidR="00E174B8" w:rsidRDefault="00E174B8">
      <w:pPr>
        <w:pStyle w:val="indentABC"/>
        <w:rPr>
          <w:rFonts w:ascii="Times New Roman" w:hAnsi="Times New Roman"/>
        </w:rPr>
      </w:pPr>
      <w:r>
        <w:rPr>
          <w:rFonts w:ascii="Times New Roman" w:hAnsi="Times New Roman"/>
        </w:rPr>
        <w:tab/>
        <w:t xml:space="preserve">(1) </w:t>
      </w:r>
      <w:r w:rsidRPr="0090581F">
        <w:rPr>
          <w:rFonts w:ascii="Times New Roman" w:hAnsi="Times New Roman"/>
          <w:b/>
          <w:i/>
        </w:rPr>
        <w:t>Define the analysis.</w:t>
      </w:r>
      <w:r>
        <w:rPr>
          <w:rFonts w:ascii="Times New Roman" w:hAnsi="Times New Roman"/>
        </w:rPr>
        <w:t xml:space="preserve"> This means specifying the clinical or policy situation (</w:t>
      </w:r>
      <w:proofErr w:type="spellStart"/>
      <w:r>
        <w:rPr>
          <w:rFonts w:ascii="Times New Roman" w:hAnsi="Times New Roman"/>
        </w:rPr>
        <w:t>eg</w:t>
      </w:r>
      <w:proofErr w:type="spellEnd"/>
      <w:r>
        <w:rPr>
          <w:rFonts w:ascii="Times New Roman" w:hAnsi="Times New Roman"/>
        </w:rPr>
        <w:t xml:space="preserve">, a patient with diabetes) and the options being portrayed (e.g., monitoring vs. oral agents vs. insulin). Defining the analysis includes deciding the </w:t>
      </w:r>
      <w:r>
        <w:rPr>
          <w:rFonts w:ascii="Times New Roman" w:hAnsi="Times New Roman"/>
          <w:u w:val="single"/>
        </w:rPr>
        <w:t>cost</w:t>
      </w:r>
      <w:r>
        <w:rPr>
          <w:rFonts w:ascii="Times New Roman" w:hAnsi="Times New Roman"/>
        </w:rPr>
        <w:t xml:space="preserve"> elements</w:t>
      </w:r>
      <w:r>
        <w:rPr>
          <w:rFonts w:ascii="Times New Roman" w:hAnsi="Times New Roman"/>
          <w:u w:val="single"/>
        </w:rPr>
        <w:t>:</w:t>
      </w:r>
      <w:r>
        <w:rPr>
          <w:rFonts w:ascii="Times New Roman" w:hAnsi="Times New Roman"/>
        </w:rPr>
        <w:t xml:space="preserve"> perspective (e.g., society’s, the patient’s, or an insurer), appropriate outcome measures (e.g., cost per QALY gained), and if useful the decision threshold. This step is analogous to specifying the research question in an empirical study.</w:t>
      </w:r>
      <w:r>
        <w:rPr>
          <w:rFonts w:ascii="Times New Roman" w:hAnsi="Times New Roman"/>
        </w:rPr>
        <w:br/>
      </w:r>
      <w:r>
        <w:rPr>
          <w:rFonts w:ascii="Times New Roman" w:hAnsi="Times New Roman"/>
        </w:rPr>
        <w:br/>
        <w:t xml:space="preserve">(2) </w:t>
      </w:r>
      <w:r w:rsidRPr="0090581F">
        <w:rPr>
          <w:rFonts w:ascii="Times New Roman" w:hAnsi="Times New Roman"/>
          <w:b/>
          <w:i/>
        </w:rPr>
        <w:t>Specify the technical approach.</w:t>
      </w:r>
      <w:r>
        <w:rPr>
          <w:rFonts w:ascii="Times New Roman" w:hAnsi="Times New Roman"/>
        </w:rPr>
        <w:t xml:space="preserve"> This involves translating the defined analysis into operational tools. The major task is creating the decision</w:t>
      </w:r>
      <w:r>
        <w:rPr>
          <w:rFonts w:ascii="Times New Roman" w:hAnsi="Times New Roman"/>
          <w:i/>
        </w:rPr>
        <w:t xml:space="preserve"> </w:t>
      </w:r>
      <w:r>
        <w:rPr>
          <w:rFonts w:ascii="Times New Roman" w:hAnsi="Times New Roman"/>
        </w:rPr>
        <w:t xml:space="preserve">tree that portrays the consequences of each action option (e.g., if using insulin, risk of side effects and complications of diabetes). The essential </w:t>
      </w:r>
      <w:r>
        <w:rPr>
          <w:rFonts w:ascii="Times New Roman" w:hAnsi="Times New Roman"/>
          <w:u w:val="single"/>
        </w:rPr>
        <w:t>cost</w:t>
      </w:r>
      <w:r>
        <w:rPr>
          <w:rFonts w:ascii="Times New Roman" w:hAnsi="Times New Roman"/>
        </w:rPr>
        <w:t xml:space="preserve"> task is specifying the formulas to calculate the cost-effectiveness outcome measures. This step is equivalent to the analytic plan for a research project.</w:t>
      </w:r>
      <w:r>
        <w:rPr>
          <w:rFonts w:ascii="Times New Roman" w:hAnsi="Times New Roman"/>
        </w:rPr>
        <w:br/>
      </w:r>
      <w:r>
        <w:rPr>
          <w:rFonts w:ascii="Times New Roman" w:hAnsi="Times New Roman"/>
        </w:rPr>
        <w:br/>
        <w:t xml:space="preserve">(3) </w:t>
      </w:r>
      <w:r w:rsidRPr="0090581F">
        <w:rPr>
          <w:rFonts w:ascii="Times New Roman" w:hAnsi="Times New Roman"/>
          <w:b/>
          <w:i/>
        </w:rPr>
        <w:t>Determine input values.</w:t>
      </w:r>
      <w:r w:rsidRPr="0090581F">
        <w:rPr>
          <w:rFonts w:ascii="Times New Roman" w:hAnsi="Times New Roman"/>
          <w:b/>
        </w:rPr>
        <w:t xml:space="preserve"> </w:t>
      </w:r>
      <w:r>
        <w:rPr>
          <w:rFonts w:ascii="Times New Roman" w:hAnsi="Times New Roman"/>
        </w:rPr>
        <w:t xml:space="preserve">Sophisticated input data make a CEA meaningful. These inputs are for health values (chance node probabilities, utilities) and </w:t>
      </w:r>
      <w:r>
        <w:rPr>
          <w:rFonts w:ascii="Times New Roman" w:hAnsi="Times New Roman"/>
          <w:u w:val="single"/>
        </w:rPr>
        <w:t>costs</w:t>
      </w:r>
      <w:r>
        <w:rPr>
          <w:rFonts w:ascii="Times New Roman" w:hAnsi="Times New Roman"/>
        </w:rPr>
        <w:t xml:space="preserve"> (for programs and medical care). Obtaining them requires broad searches, systematic review and synthesis, and sometimes new data collection. This topic is illustrated here and covered in detail in the next lecture.</w:t>
      </w:r>
      <w:r>
        <w:rPr>
          <w:rFonts w:ascii="Times New Roman" w:hAnsi="Times New Roman"/>
        </w:rPr>
        <w:br/>
      </w:r>
      <w:r>
        <w:rPr>
          <w:rFonts w:ascii="Times New Roman" w:hAnsi="Times New Roman"/>
        </w:rPr>
        <w:br/>
        <w:t xml:space="preserve">(4) </w:t>
      </w:r>
      <w:r w:rsidRPr="0090581F">
        <w:rPr>
          <w:rFonts w:ascii="Times New Roman" w:hAnsi="Times New Roman"/>
          <w:b/>
          <w:i/>
        </w:rPr>
        <w:t>Conduct analyses.</w:t>
      </w:r>
      <w:r>
        <w:rPr>
          <w:rFonts w:ascii="Times New Roman" w:hAnsi="Times New Roman"/>
        </w:rPr>
        <w:t xml:space="preserve"> This is using decision tree software and inputs to determine the health outcomes for each option, and also the </w:t>
      </w:r>
      <w:r>
        <w:rPr>
          <w:rFonts w:ascii="Times New Roman" w:hAnsi="Times New Roman"/>
          <w:u w:val="single"/>
        </w:rPr>
        <w:t>cost</w:t>
      </w:r>
      <w:r>
        <w:rPr>
          <w:rFonts w:ascii="Times New Roman" w:hAnsi="Times New Roman"/>
        </w:rPr>
        <w:t xml:space="preserve"> outcomes: cost and cost-effectiveness measures. Doing the “base case” analysis is the first step. Extensive sensitivity analyses help debug the software and show how uncertainty in inputs affects results; they are illustrated here and covered in detail in a later lecture.</w:t>
      </w:r>
    </w:p>
    <w:p w:rsidR="00E174B8" w:rsidRDefault="00E174B8">
      <w:pPr>
        <w:pStyle w:val="indentABC"/>
        <w:rPr>
          <w:rFonts w:ascii="Times New Roman" w:hAnsi="Times New Roman"/>
        </w:rPr>
      </w:pPr>
      <w:r>
        <w:rPr>
          <w:rFonts w:ascii="Times New Roman" w:hAnsi="Times New Roman"/>
        </w:rPr>
        <w:br/>
        <w:t xml:space="preserve">(5) </w:t>
      </w:r>
      <w:r w:rsidRPr="0090581F">
        <w:rPr>
          <w:rFonts w:ascii="Times New Roman" w:hAnsi="Times New Roman"/>
          <w:b/>
          <w:i/>
        </w:rPr>
        <w:t>Prepare manuscripts.</w:t>
      </w:r>
      <w:r>
        <w:rPr>
          <w:rFonts w:ascii="Times New Roman" w:hAnsi="Times New Roman"/>
        </w:rPr>
        <w:t xml:space="preserve"> Your analysis is brilliant, so get it out there! This is semi-formulaic, with time-tested and widely used standard components for medical CEA papers. The challenge is concisely describing the analytic structure and sources of data, and in telling a clear but appropriately nuanced story with the results. This topic is not discussed here, but is reviewed in the Appendix.</w:t>
      </w:r>
    </w:p>
    <w:p w:rsidR="00E174B8" w:rsidRDefault="00E174B8">
      <w:pPr>
        <w:pStyle w:val="indentABC"/>
        <w:ind w:left="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 xml:space="preserve">These five steps </w:t>
      </w:r>
      <w:r w:rsidR="00F13999">
        <w:rPr>
          <w:rFonts w:ascii="Times New Roman" w:hAnsi="Times New Roman"/>
        </w:rPr>
        <w:t>sometimes</w:t>
      </w:r>
      <w:r>
        <w:rPr>
          <w:rFonts w:ascii="Times New Roman" w:hAnsi="Times New Roman"/>
        </w:rPr>
        <w:t xml:space="preserve"> occur in the order presented. However, cost-effectiveness analysis is usually iterative rather than lock-step sequential. Unlike a research project such as a prospective cohort study, it is often desirable to refine or redefine the analysis question as your understanding of the problem improves by working on it. Until the CEA is published, you can revise. The advantage of this flexibility is that you seldom feel as if you have missed a chance to design the best possible analysis. The disadvantage is that you can feel as if no analysis is really final. If you do multiple CEAs, you will develop a sense for what changes are important enough to warrant revision, and when to say "done". </w:t>
      </w:r>
    </w:p>
    <w:p w:rsidR="00E174B8" w:rsidRDefault="00E174B8">
      <w:pPr>
        <w:pStyle w:val="indentABC"/>
        <w:rPr>
          <w:rFonts w:ascii="Times New Roman" w:hAnsi="Times New Roman"/>
        </w:rPr>
      </w:pPr>
    </w:p>
    <w:p w:rsidR="00E174B8" w:rsidRDefault="00E174B8">
      <w:pPr>
        <w:pStyle w:val="indentABC"/>
        <w:rPr>
          <w:rFonts w:ascii="Times New Roman" w:hAnsi="Times New Roman"/>
        </w:rPr>
      </w:pPr>
    </w:p>
    <w:p w:rsidR="00E174B8" w:rsidRDefault="00E174B8">
      <w:pPr>
        <w:pStyle w:val="indentABC"/>
        <w:keepNext/>
        <w:rPr>
          <w:rFonts w:ascii="Times New Roman" w:hAnsi="Times New Roman"/>
          <w:b/>
          <w:i/>
        </w:rPr>
      </w:pPr>
      <w:r>
        <w:rPr>
          <w:rFonts w:ascii="Times New Roman" w:hAnsi="Times New Roman"/>
          <w:b/>
          <w:i/>
        </w:rPr>
        <w:lastRenderedPageBreak/>
        <w:t>(1) Define the analysis</w:t>
      </w:r>
    </w:p>
    <w:p w:rsidR="00E174B8" w:rsidRDefault="00E174B8">
      <w:pPr>
        <w:pStyle w:val="indentABC"/>
        <w:keepNext/>
        <w:rPr>
          <w:rFonts w:ascii="Times New Roman" w:hAnsi="Times New Roman"/>
        </w:rPr>
      </w:pPr>
    </w:p>
    <w:p w:rsidR="00E174B8" w:rsidRDefault="00E174B8">
      <w:pPr>
        <w:pStyle w:val="indentABC"/>
        <w:ind w:firstLine="0"/>
        <w:rPr>
          <w:rFonts w:ascii="Times New Roman" w:hAnsi="Times New Roman"/>
        </w:rPr>
      </w:pPr>
      <w:r>
        <w:rPr>
          <w:rFonts w:ascii="Times New Roman" w:hAnsi="Times New Roman"/>
        </w:rPr>
        <w:t>For our aneurysm example, the clinical situation is defined as a woman, aged 50, with an unruptured cerebral aneurysm found incidentally. The options considered are no treatment or surgery (clipping).</w:t>
      </w:r>
    </w:p>
    <w:p w:rsidR="00E174B8" w:rsidRDefault="00E174B8">
      <w:pPr>
        <w:pStyle w:val="indentABC"/>
        <w:ind w:firstLine="0"/>
        <w:rPr>
          <w:rFonts w:ascii="Times New Roman" w:hAnsi="Times New Roman"/>
        </w:rPr>
      </w:pPr>
    </w:p>
    <w:p w:rsidR="00E174B8" w:rsidRDefault="00E174B8">
      <w:pPr>
        <w:pStyle w:val="indentABC"/>
        <w:ind w:firstLine="0"/>
        <w:rPr>
          <w:rFonts w:ascii="Times New Roman" w:hAnsi="Times New Roman"/>
        </w:rPr>
      </w:pPr>
      <w:r>
        <w:rPr>
          <w:rFonts w:ascii="Times New Roman" w:hAnsi="Times New Roman"/>
        </w:rPr>
        <w:t xml:space="preserve">The perspective for the aneurysm CEA is </w:t>
      </w:r>
      <w:r w:rsidRPr="00F13999">
        <w:rPr>
          <w:rFonts w:ascii="Times New Roman" w:hAnsi="Times New Roman"/>
          <w:b/>
          <w:i/>
        </w:rPr>
        <w:t>societal</w:t>
      </w:r>
      <w:r>
        <w:rPr>
          <w:rFonts w:ascii="Times New Roman" w:hAnsi="Times New Roman"/>
        </w:rPr>
        <w:t xml:space="preserve">. That is, all </w:t>
      </w:r>
      <w:r w:rsidR="00F13999">
        <w:rPr>
          <w:rFonts w:ascii="Times New Roman" w:hAnsi="Times New Roman"/>
        </w:rPr>
        <w:t xml:space="preserve">relevant </w:t>
      </w:r>
      <w:r>
        <w:rPr>
          <w:rFonts w:ascii="Times New Roman" w:hAnsi="Times New Roman"/>
        </w:rPr>
        <w:t xml:space="preserve">costs are counted, regardless of who pays them. The economic effects on particular participants in the health care system (patients, providers, insurers, </w:t>
      </w:r>
      <w:proofErr w:type="spellStart"/>
      <w:r>
        <w:rPr>
          <w:rFonts w:ascii="Times New Roman" w:hAnsi="Times New Roman"/>
        </w:rPr>
        <w:t>etc</w:t>
      </w:r>
      <w:proofErr w:type="spellEnd"/>
      <w:r>
        <w:rPr>
          <w:rFonts w:ascii="Times New Roman" w:hAnsi="Times New Roman"/>
        </w:rPr>
        <w:t>) are not considered. This is the most common perspective. In fact, the recommendation of the US Panel on Cost-Effectiveness in Health and Medicine is that all analyses include the societal perspective (as part of the “reference case”), even if the economic perspective of a particular participant is also considered.</w:t>
      </w:r>
    </w:p>
    <w:p w:rsidR="00F13999" w:rsidRDefault="00F13999">
      <w:pPr>
        <w:pStyle w:val="indentABC"/>
        <w:ind w:firstLine="0"/>
        <w:rPr>
          <w:rFonts w:ascii="Times New Roman" w:hAnsi="Times New Roman"/>
        </w:rPr>
      </w:pPr>
    </w:p>
    <w:p w:rsidR="00F13999" w:rsidRPr="00F13999" w:rsidRDefault="00F13999">
      <w:pPr>
        <w:pStyle w:val="indentABC"/>
        <w:ind w:firstLine="0"/>
        <w:rPr>
          <w:rFonts w:ascii="Times New Roman" w:hAnsi="Times New Roman"/>
          <w:b/>
          <w:i/>
        </w:rPr>
      </w:pPr>
      <w:r>
        <w:rPr>
          <w:rFonts w:ascii="Times New Roman" w:hAnsi="Times New Roman"/>
        </w:rPr>
        <w:t>In the aneurysm example, as in most CEAs, only “</w:t>
      </w:r>
      <w:r w:rsidRPr="00F13999">
        <w:rPr>
          <w:rFonts w:ascii="Times New Roman" w:hAnsi="Times New Roman"/>
          <w:b/>
          <w:i/>
        </w:rPr>
        <w:t>direct medical costs</w:t>
      </w:r>
      <w:r>
        <w:rPr>
          <w:rFonts w:ascii="Times New Roman" w:hAnsi="Times New Roman"/>
        </w:rPr>
        <w:t>” are included. Thus, other types of costs -- nonmedical (e.g., patient transport) and indirect (e.g., lost economic productivity) -- are excluded. The perspective (e.g., societal) and type of costs are different issues.</w:t>
      </w:r>
    </w:p>
    <w:p w:rsidR="00E174B8" w:rsidRDefault="00E174B8">
      <w:pPr>
        <w:pStyle w:val="indentABC"/>
        <w:ind w:firstLine="0"/>
        <w:rPr>
          <w:rFonts w:ascii="Times New Roman" w:hAnsi="Times New Roman"/>
        </w:rPr>
      </w:pPr>
    </w:p>
    <w:p w:rsidR="00E174B8" w:rsidRDefault="00E174B8">
      <w:pPr>
        <w:pStyle w:val="indentABC"/>
        <w:ind w:firstLine="0"/>
        <w:rPr>
          <w:rFonts w:ascii="Times New Roman" w:hAnsi="Times New Roman"/>
        </w:rPr>
      </w:pPr>
      <w:r>
        <w:rPr>
          <w:rFonts w:ascii="Times New Roman" w:hAnsi="Times New Roman"/>
        </w:rPr>
        <w:t xml:space="preserve">The outcome measure in this analysis is </w:t>
      </w:r>
      <w:r>
        <w:rPr>
          <w:rFonts w:ascii="Times New Roman" w:hAnsi="Times New Roman"/>
          <w:i/>
        </w:rPr>
        <w:t>cost per QALY gained</w:t>
      </w:r>
      <w:r>
        <w:rPr>
          <w:rFonts w:ascii="Times New Roman" w:hAnsi="Times New Roman"/>
        </w:rPr>
        <w:t xml:space="preserve">. Again, this is part of the Panel’s recommended “reference case”. This type of CEA is called a cost-utility analysis. The threshold in dollars per QALY to accept an intervention is not codified, but is typically estimated in the range of $50,000-$150,000 per QALY. </w:t>
      </w:r>
    </w:p>
    <w:p w:rsidR="00E174B8" w:rsidRDefault="00E174B8">
      <w:pPr>
        <w:pStyle w:val="indentABC"/>
        <w:ind w:firstLine="0"/>
        <w:rPr>
          <w:rFonts w:ascii="Times New Roman" w:hAnsi="Times New Roman"/>
        </w:rPr>
      </w:pPr>
    </w:p>
    <w:p w:rsidR="00E174B8" w:rsidRDefault="00E174B8">
      <w:pPr>
        <w:pStyle w:val="HRRCexample"/>
        <w:ind w:left="1080"/>
        <w:rPr>
          <w:rFonts w:ascii="Times New Roman" w:hAnsi="Times New Roman"/>
        </w:rPr>
      </w:pPr>
      <w:r>
        <w:rPr>
          <w:rFonts w:ascii="Times New Roman" w:hAnsi="Times New Roman"/>
        </w:rPr>
        <w:t>This CEA compares surgical clipping to no treatment for the management of an asymptomatic small cerebral aneurysm, for a 50 year old woman, estimating the societal cost per QALY gained.</w:t>
      </w:r>
    </w:p>
    <w:p w:rsidR="00E174B8" w:rsidRDefault="00E174B8">
      <w:pPr>
        <w:pStyle w:val="indentABC"/>
        <w:ind w:firstLine="0"/>
        <w:rPr>
          <w:rFonts w:ascii="Times New Roman" w:hAnsi="Times New Roman"/>
        </w:rPr>
      </w:pPr>
    </w:p>
    <w:p w:rsidR="00E174B8" w:rsidRDefault="00E174B8">
      <w:pPr>
        <w:pStyle w:val="indentABC"/>
        <w:tabs>
          <w:tab w:val="left" w:pos="2280"/>
        </w:tabs>
        <w:rPr>
          <w:rFonts w:ascii="Times New Roman" w:hAnsi="Times New Roman"/>
        </w:rPr>
      </w:pPr>
      <w:r>
        <w:rPr>
          <w:rFonts w:ascii="Times New Roman" w:hAnsi="Times New Roman"/>
        </w:rPr>
        <w:tab/>
        <w:t xml:space="preserve">We could estimate the cost per death averted, but QALYs are preferred. They capture the timing of deaths and </w:t>
      </w:r>
      <w:proofErr w:type="spellStart"/>
      <w:r>
        <w:rPr>
          <w:rFonts w:ascii="Times New Roman" w:hAnsi="Times New Roman"/>
        </w:rPr>
        <w:t>disutilities</w:t>
      </w:r>
      <w:proofErr w:type="spellEnd"/>
      <w:r>
        <w:rPr>
          <w:rFonts w:ascii="Times New Roman" w:hAnsi="Times New Roman"/>
        </w:rPr>
        <w:t>. Also, they facilitate comparison with other medical interventions evaluated using similar techniques.</w:t>
      </w:r>
    </w:p>
    <w:p w:rsidR="00E174B8" w:rsidRDefault="00E174B8">
      <w:pPr>
        <w:pStyle w:val="indentABC"/>
        <w:tabs>
          <w:tab w:val="left" w:pos="2280"/>
        </w:tabs>
        <w:rPr>
          <w:rFonts w:ascii="Times New Roman" w:hAnsi="Times New Roman"/>
        </w:rPr>
      </w:pPr>
      <w:r>
        <w:rPr>
          <w:rFonts w:ascii="Times New Roman" w:hAnsi="Times New Roman"/>
        </w:rPr>
        <w:t xml:space="preserve">. </w:t>
      </w:r>
    </w:p>
    <w:p w:rsidR="00E174B8" w:rsidRDefault="00E174B8">
      <w:pPr>
        <w:pStyle w:val="indentABC"/>
        <w:keepNext/>
        <w:rPr>
          <w:rFonts w:ascii="Times New Roman" w:hAnsi="Times New Roman"/>
          <w:b/>
          <w:i/>
        </w:rPr>
      </w:pPr>
      <w:r>
        <w:rPr>
          <w:rFonts w:ascii="Times New Roman" w:hAnsi="Times New Roman"/>
          <w:b/>
          <w:i/>
        </w:rPr>
        <w:t xml:space="preserve">(2) Specify the technical approach </w:t>
      </w:r>
    </w:p>
    <w:p w:rsidR="00E174B8" w:rsidRDefault="00E174B8">
      <w:pPr>
        <w:pStyle w:val="indent1"/>
        <w:keepNext/>
        <w:ind w:left="108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The aneurysm decision tree was presented in earlier lectures – portraying the clinical consequences of each management strategy. Below is the tree with the cost components added. Note that each terminal branch has associated costs. These represent the costs of initial surgery and of disability due to surgical morbidity, plus the costs of subarachnoid hemorrhages (SAH).</w:t>
      </w:r>
    </w:p>
    <w:p w:rsidR="00E174B8" w:rsidRDefault="00E174B8">
      <w:pPr>
        <w:pStyle w:val="indent1"/>
        <w:ind w:left="1080" w:firstLine="0"/>
        <w:rPr>
          <w:rFonts w:ascii="Times New Roman" w:hAnsi="Times New Roman"/>
        </w:rPr>
      </w:pPr>
    </w:p>
    <w:p w:rsidR="00E174B8" w:rsidRPr="00247252" w:rsidRDefault="00E174B8" w:rsidP="00E174B8">
      <w:pPr>
        <w:pStyle w:val="indentABC"/>
        <w:keepNext/>
        <w:rPr>
          <w:rFonts w:ascii="Times New Roman" w:hAnsi="Times New Roman"/>
          <w:i/>
        </w:rPr>
      </w:pPr>
      <w:r>
        <w:rPr>
          <w:rFonts w:ascii="Times New Roman" w:hAnsi="Times New Roman"/>
          <w:i/>
        </w:rPr>
        <w:lastRenderedPageBreak/>
        <w:t>Figure 2</w:t>
      </w:r>
    </w:p>
    <w:p w:rsidR="00E174B8" w:rsidRDefault="00B2405B">
      <w:pPr>
        <w:pStyle w:val="indent1"/>
        <w:ind w:left="360" w:firstLine="0"/>
        <w:rPr>
          <w:rFonts w:ascii="Times New Roman" w:hAnsi="Times New Roman"/>
        </w:rPr>
      </w:pPr>
      <w:r>
        <w:rPr>
          <w:rFonts w:ascii="Times New Roman" w:hAnsi="Times New Roman"/>
          <w:noProof/>
        </w:rPr>
        <w:drawing>
          <wp:inline distT="0" distB="0" distL="0" distR="0" wp14:anchorId="1F7859D7" wp14:editId="671B5782">
            <wp:extent cx="5476875" cy="29241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6875" cy="2924175"/>
                    </a:xfrm>
                    <a:prstGeom prst="rect">
                      <a:avLst/>
                    </a:prstGeom>
                    <a:noFill/>
                    <a:ln w="6350" cmpd="sng">
                      <a:solidFill>
                        <a:srgbClr val="000000"/>
                      </a:solidFill>
                      <a:miter lim="800000"/>
                      <a:headEnd/>
                      <a:tailEnd/>
                    </a:ln>
                    <a:effectLst/>
                  </pic:spPr>
                </pic:pic>
              </a:graphicData>
            </a:graphic>
          </wp:inline>
        </w:drawing>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The cost per QALY gained is defined as follows:</w:t>
      </w:r>
    </w:p>
    <w:p w:rsidR="00E174B8" w:rsidRDefault="00E174B8">
      <w:pPr>
        <w:pStyle w:val="indent1"/>
        <w:ind w:left="1080" w:firstLine="0"/>
        <w:rPr>
          <w:rFonts w:ascii="Times New Roman" w:hAnsi="Times New Roman"/>
        </w:rPr>
      </w:pPr>
    </w:p>
    <w:p w:rsidR="00E174B8" w:rsidRDefault="00E174B8">
      <w:pPr>
        <w:pStyle w:val="HRRCexample"/>
        <w:pBdr>
          <w:top w:val="none" w:sz="0" w:space="0" w:color="auto"/>
          <w:left w:val="none" w:sz="0" w:space="0" w:color="auto"/>
          <w:bottom w:val="none" w:sz="0" w:space="0" w:color="auto"/>
          <w:right w:val="none" w:sz="0" w:space="0" w:color="auto"/>
        </w:pBdr>
        <w:tabs>
          <w:tab w:val="left" w:pos="180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u w:val="single"/>
        </w:rPr>
        <w:tab/>
        <w:t>cost with surgery - cost with no surgery</w:t>
      </w:r>
      <w:r>
        <w:rPr>
          <w:rFonts w:ascii="Times New Roman" w:hAnsi="Times New Roman"/>
          <w:u w:val="single"/>
        </w:rPr>
        <w:tab/>
      </w:r>
      <w:r>
        <w:rPr>
          <w:rFonts w:ascii="Times New Roman" w:hAnsi="Times New Roman"/>
          <w:u w:val="single"/>
        </w:rPr>
        <w:tab/>
      </w:r>
    </w:p>
    <w:p w:rsidR="00E174B8" w:rsidRDefault="00E174B8">
      <w:pPr>
        <w:pStyle w:val="HRRCexample"/>
        <w:pBdr>
          <w:top w:val="none" w:sz="0" w:space="0" w:color="auto"/>
          <w:left w:val="none" w:sz="0" w:space="0" w:color="auto"/>
          <w:bottom w:val="none" w:sz="0" w:space="0" w:color="auto"/>
          <w:right w:val="none" w:sz="0" w:space="0" w:color="auto"/>
        </w:pBdr>
        <w:tabs>
          <w:tab w:val="left" w:pos="2520"/>
        </w:tabs>
        <w:rPr>
          <w:rFonts w:ascii="Times New Roman" w:hAnsi="Times New Roman"/>
        </w:rPr>
      </w:pPr>
      <w:r>
        <w:rPr>
          <w:rFonts w:ascii="Times New Roman" w:hAnsi="Times New Roman"/>
        </w:rPr>
        <w:tab/>
        <w:t>QALYs with surgery - QALYs with no surgery</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or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ab/>
        <w:t xml:space="preserve"> Δ cost</w:t>
      </w:r>
      <w:r>
        <w:rPr>
          <w:rFonts w:ascii="Times New Roman" w:hAnsi="Times New Roman"/>
          <w:u w:val="single"/>
        </w:rPr>
        <w:tab/>
      </w:r>
      <w:r>
        <w:rPr>
          <w:rFonts w:ascii="Times New Roman" w:hAnsi="Times New Roman"/>
        </w:rPr>
        <w:br/>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Δ QALYs</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 xml:space="preserve">The formulation must always be </w:t>
      </w:r>
      <w:r w:rsidRPr="0090581F">
        <w:rPr>
          <w:rFonts w:ascii="Times New Roman" w:hAnsi="Times New Roman"/>
          <w:b/>
          <w:i/>
        </w:rPr>
        <w:t>incremental</w:t>
      </w:r>
      <w:r>
        <w:rPr>
          <w:rFonts w:ascii="Times New Roman" w:hAnsi="Times New Roman"/>
          <w:i/>
        </w:rPr>
        <w:t>:</w:t>
      </w:r>
      <w:r>
        <w:rPr>
          <w:rFonts w:ascii="Times New Roman" w:hAnsi="Times New Roman"/>
        </w:rPr>
        <w:t xml:space="preserve"> one course of action versus a less expensive course of action. In this example, the ratio represents the cost-effectiveness of going from no intervention to clipping surgery. The CE ratio can also compare intervention strategies of </w:t>
      </w:r>
      <w:r>
        <w:rPr>
          <w:rFonts w:ascii="Times New Roman" w:hAnsi="Times New Roman"/>
          <w:i/>
          <w:iCs/>
        </w:rPr>
        <w:t>different intensity</w:t>
      </w:r>
      <w:r>
        <w:rPr>
          <w:rFonts w:ascii="Times New Roman" w:hAnsi="Times New Roman"/>
        </w:rPr>
        <w:t>, e.g., going from a low cost medical intervention to a higher cost surgical intervention, or going from targeting an intervention to high risk individuals to offering it to everyone at risk. Properly applying the incremental approach is essential when examining strategies of differing intensity, as illustrated at the end of the lecture.</w:t>
      </w:r>
    </w:p>
    <w:p w:rsidR="00E174B8" w:rsidRDefault="00E174B8">
      <w:pPr>
        <w:pStyle w:val="indent1"/>
        <w:ind w:left="1080" w:firstLine="0"/>
        <w:rPr>
          <w:rFonts w:ascii="Times New Roman" w:hAnsi="Times New Roman"/>
        </w:rPr>
      </w:pPr>
    </w:p>
    <w:p w:rsidR="00E174B8" w:rsidRDefault="00E174B8">
      <w:pPr>
        <w:pStyle w:val="indent1"/>
        <w:ind w:left="1260"/>
        <w:rPr>
          <w:rFonts w:ascii="Times New Roman" w:hAnsi="Times New Roman"/>
        </w:rPr>
      </w:pPr>
    </w:p>
    <w:p w:rsidR="00E174B8" w:rsidRDefault="00E174B8">
      <w:pPr>
        <w:pStyle w:val="indentABC"/>
        <w:keepNext/>
        <w:rPr>
          <w:rFonts w:ascii="Times New Roman" w:hAnsi="Times New Roman"/>
          <w:b/>
          <w:i/>
        </w:rPr>
      </w:pPr>
      <w:r>
        <w:rPr>
          <w:rFonts w:ascii="Times New Roman" w:hAnsi="Times New Roman"/>
          <w:b/>
          <w:i/>
        </w:rPr>
        <w:t>(3) Determine input values.</w:t>
      </w:r>
    </w:p>
    <w:p w:rsidR="00E174B8" w:rsidRDefault="00E174B8">
      <w:pPr>
        <w:pStyle w:val="indent1"/>
        <w:keepNext/>
        <w:ind w:left="126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There are two types of inputs: health (chance node probabilities, utilities) and cost (for programs and medical care). How input values can be determined – data collection and review – is the topic of the next lecture.</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The health inputs were specified in prior lectures. Here are the key cost inputs:</w:t>
      </w:r>
    </w:p>
    <w:p w:rsidR="00E174B8" w:rsidRDefault="00E174B8">
      <w:pPr>
        <w:pStyle w:val="indent1"/>
        <w:ind w:left="1080" w:firstLine="0"/>
        <w:rPr>
          <w:rFonts w:ascii="Times New Roman" w:hAnsi="Times New Roman"/>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790"/>
        <w:gridCol w:w="2448"/>
      </w:tblGrid>
      <w:tr w:rsidR="00E174B8">
        <w:tc>
          <w:tcPr>
            <w:tcW w:w="2538" w:type="dxa"/>
          </w:tcPr>
          <w:p w:rsidR="00E174B8" w:rsidRDefault="00E174B8" w:rsidP="00F13999">
            <w:pPr>
              <w:pStyle w:val="indent1"/>
              <w:keepNext/>
              <w:ind w:left="0" w:right="14" w:firstLine="0"/>
              <w:jc w:val="center"/>
              <w:rPr>
                <w:rFonts w:ascii="Times New Roman" w:hAnsi="Times New Roman"/>
                <w:b/>
              </w:rPr>
            </w:pPr>
            <w:r>
              <w:rPr>
                <w:rFonts w:ascii="Times New Roman" w:hAnsi="Times New Roman"/>
                <w:b/>
              </w:rPr>
              <w:lastRenderedPageBreak/>
              <w:t>Cost input</w:t>
            </w:r>
          </w:p>
        </w:tc>
        <w:tc>
          <w:tcPr>
            <w:tcW w:w="2790" w:type="dxa"/>
          </w:tcPr>
          <w:p w:rsidR="00E174B8" w:rsidRDefault="00E174B8">
            <w:pPr>
              <w:pStyle w:val="indent1"/>
              <w:ind w:left="0" w:right="20" w:firstLine="0"/>
              <w:jc w:val="center"/>
              <w:rPr>
                <w:rFonts w:ascii="Times New Roman" w:hAnsi="Times New Roman"/>
                <w:b/>
              </w:rPr>
            </w:pPr>
            <w:r>
              <w:rPr>
                <w:rFonts w:ascii="Times New Roman" w:hAnsi="Times New Roman"/>
                <w:b/>
              </w:rPr>
              <w:t>Value (range)</w:t>
            </w:r>
          </w:p>
        </w:tc>
        <w:tc>
          <w:tcPr>
            <w:tcW w:w="2448" w:type="dxa"/>
          </w:tcPr>
          <w:p w:rsidR="00E174B8" w:rsidRDefault="00E174B8">
            <w:pPr>
              <w:pStyle w:val="indent1"/>
              <w:ind w:left="0" w:right="20" w:firstLine="0"/>
              <w:jc w:val="center"/>
              <w:rPr>
                <w:rFonts w:ascii="Times New Roman" w:hAnsi="Times New Roman"/>
                <w:b/>
              </w:rPr>
            </w:pPr>
            <w:r>
              <w:rPr>
                <w:rFonts w:ascii="Times New Roman" w:hAnsi="Times New Roman"/>
                <w:b/>
              </w:rPr>
              <w:t>Source</w:t>
            </w:r>
          </w:p>
        </w:tc>
      </w:tr>
      <w:tr w:rsidR="00E174B8">
        <w:tc>
          <w:tcPr>
            <w:tcW w:w="2538" w:type="dxa"/>
          </w:tcPr>
          <w:p w:rsidR="00E174B8" w:rsidRDefault="00E174B8">
            <w:pPr>
              <w:pStyle w:val="indent1"/>
              <w:ind w:left="0" w:right="20" w:firstLine="0"/>
              <w:rPr>
                <w:rFonts w:ascii="Times New Roman" w:hAnsi="Times New Roman"/>
                <w:sz w:val="22"/>
              </w:rPr>
            </w:pPr>
            <w:r>
              <w:rPr>
                <w:rFonts w:ascii="Times New Roman" w:hAnsi="Times New Roman"/>
                <w:sz w:val="22"/>
              </w:rPr>
              <w:t>Clipping</w:t>
            </w:r>
          </w:p>
        </w:tc>
        <w:tc>
          <w:tcPr>
            <w:tcW w:w="2790" w:type="dxa"/>
          </w:tcPr>
          <w:p w:rsidR="00E174B8" w:rsidRDefault="00E174B8">
            <w:pPr>
              <w:pStyle w:val="indent1"/>
              <w:ind w:left="0" w:right="20" w:firstLine="0"/>
              <w:rPr>
                <w:rFonts w:ascii="Times New Roman" w:hAnsi="Times New Roman"/>
                <w:sz w:val="22"/>
              </w:rPr>
            </w:pPr>
            <w:r>
              <w:rPr>
                <w:rFonts w:ascii="Times New Roman" w:hAnsi="Times New Roman"/>
                <w:sz w:val="22"/>
              </w:rPr>
              <w:t>$25,150 (18,000-35,000)</w:t>
            </w:r>
          </w:p>
        </w:tc>
        <w:tc>
          <w:tcPr>
            <w:tcW w:w="2448" w:type="dxa"/>
          </w:tcPr>
          <w:p w:rsidR="00E174B8" w:rsidRDefault="00E174B8">
            <w:pPr>
              <w:pStyle w:val="indent1"/>
              <w:ind w:left="0" w:right="20" w:firstLine="0"/>
              <w:rPr>
                <w:rFonts w:ascii="Times New Roman" w:hAnsi="Times New Roman"/>
                <w:sz w:val="22"/>
              </w:rPr>
            </w:pPr>
            <w:r>
              <w:rPr>
                <w:rFonts w:ascii="Times New Roman" w:hAnsi="Times New Roman"/>
                <w:sz w:val="22"/>
              </w:rPr>
              <w:t>Cohort study – cost accounting system</w:t>
            </w:r>
          </w:p>
        </w:tc>
      </w:tr>
      <w:tr w:rsidR="00E174B8">
        <w:tc>
          <w:tcPr>
            <w:tcW w:w="2538" w:type="dxa"/>
          </w:tcPr>
          <w:p w:rsidR="00E174B8" w:rsidRDefault="00E174B8">
            <w:pPr>
              <w:pStyle w:val="indent1"/>
              <w:ind w:left="0" w:right="20" w:firstLine="0"/>
              <w:rPr>
                <w:rFonts w:ascii="Times New Roman" w:hAnsi="Times New Roman"/>
                <w:sz w:val="22"/>
              </w:rPr>
            </w:pPr>
            <w:r>
              <w:rPr>
                <w:rFonts w:ascii="Times New Roman" w:hAnsi="Times New Roman"/>
                <w:sz w:val="22"/>
              </w:rPr>
              <w:t>Moderate/severe disability</w:t>
            </w:r>
          </w:p>
        </w:tc>
        <w:tc>
          <w:tcPr>
            <w:tcW w:w="2790" w:type="dxa"/>
          </w:tcPr>
          <w:p w:rsidR="00E174B8" w:rsidRDefault="00E174B8">
            <w:pPr>
              <w:pStyle w:val="indent1"/>
              <w:ind w:left="0" w:right="20" w:firstLine="0"/>
              <w:rPr>
                <w:rFonts w:ascii="Times New Roman" w:hAnsi="Times New Roman"/>
                <w:sz w:val="22"/>
              </w:rPr>
            </w:pPr>
            <w:r>
              <w:rPr>
                <w:rFonts w:ascii="Times New Roman" w:hAnsi="Times New Roman"/>
                <w:sz w:val="22"/>
              </w:rPr>
              <w:t>$20,000/</w:t>
            </w:r>
            <w:proofErr w:type="spellStart"/>
            <w:r>
              <w:rPr>
                <w:rFonts w:ascii="Times New Roman" w:hAnsi="Times New Roman"/>
                <w:sz w:val="22"/>
              </w:rPr>
              <w:t>yr</w:t>
            </w:r>
            <w:proofErr w:type="spellEnd"/>
            <w:r>
              <w:rPr>
                <w:rFonts w:ascii="Times New Roman" w:hAnsi="Times New Roman"/>
                <w:sz w:val="22"/>
              </w:rPr>
              <w:t xml:space="preserve"> (13,000-30,000)</w:t>
            </w:r>
          </w:p>
        </w:tc>
        <w:tc>
          <w:tcPr>
            <w:tcW w:w="2448" w:type="dxa"/>
          </w:tcPr>
          <w:p w:rsidR="00E174B8" w:rsidRDefault="00E174B8">
            <w:pPr>
              <w:pStyle w:val="indent1"/>
              <w:ind w:left="0" w:right="20" w:firstLine="0"/>
              <w:rPr>
                <w:rFonts w:ascii="Times New Roman" w:hAnsi="Times New Roman"/>
                <w:sz w:val="22"/>
              </w:rPr>
            </w:pPr>
            <w:r>
              <w:rPr>
                <w:rFonts w:ascii="Times New Roman" w:hAnsi="Times New Roman"/>
                <w:sz w:val="22"/>
              </w:rPr>
              <w:t>Published estimate</w:t>
            </w:r>
          </w:p>
        </w:tc>
      </w:tr>
      <w:tr w:rsidR="00E174B8">
        <w:tc>
          <w:tcPr>
            <w:tcW w:w="2538" w:type="dxa"/>
          </w:tcPr>
          <w:p w:rsidR="00E174B8" w:rsidRDefault="00E174B8">
            <w:pPr>
              <w:pStyle w:val="indent1"/>
              <w:ind w:left="0" w:right="20" w:firstLine="0"/>
              <w:rPr>
                <w:rFonts w:ascii="Times New Roman" w:hAnsi="Times New Roman"/>
                <w:sz w:val="22"/>
              </w:rPr>
            </w:pPr>
            <w:r>
              <w:rPr>
                <w:rFonts w:ascii="Times New Roman" w:hAnsi="Times New Roman"/>
                <w:sz w:val="22"/>
              </w:rPr>
              <w:t>SAH hospitalization</w:t>
            </w:r>
          </w:p>
        </w:tc>
        <w:tc>
          <w:tcPr>
            <w:tcW w:w="2790" w:type="dxa"/>
          </w:tcPr>
          <w:p w:rsidR="00E174B8" w:rsidRDefault="00E174B8">
            <w:pPr>
              <w:pStyle w:val="indent1"/>
              <w:ind w:left="0" w:right="20" w:firstLine="0"/>
              <w:rPr>
                <w:rFonts w:ascii="Times New Roman" w:hAnsi="Times New Roman"/>
                <w:sz w:val="22"/>
              </w:rPr>
            </w:pPr>
            <w:r>
              <w:rPr>
                <w:rFonts w:ascii="Times New Roman" w:hAnsi="Times New Roman"/>
                <w:sz w:val="22"/>
              </w:rPr>
              <w:t>$47,000 ($33,000-$67,000)</w:t>
            </w:r>
          </w:p>
        </w:tc>
        <w:tc>
          <w:tcPr>
            <w:tcW w:w="2448" w:type="dxa"/>
          </w:tcPr>
          <w:p w:rsidR="00E174B8" w:rsidRDefault="00E174B8">
            <w:pPr>
              <w:pStyle w:val="indent1"/>
              <w:ind w:left="0" w:right="20" w:firstLine="0"/>
              <w:rPr>
                <w:rFonts w:ascii="Times New Roman" w:hAnsi="Times New Roman"/>
                <w:sz w:val="22"/>
              </w:rPr>
            </w:pPr>
            <w:r>
              <w:rPr>
                <w:rFonts w:ascii="Times New Roman" w:hAnsi="Times New Roman"/>
                <w:sz w:val="22"/>
              </w:rPr>
              <w:t>Cohort study – cost accounting system</w:t>
            </w:r>
          </w:p>
        </w:tc>
      </w:tr>
      <w:tr w:rsidR="00E174B8">
        <w:tc>
          <w:tcPr>
            <w:tcW w:w="2538" w:type="dxa"/>
          </w:tcPr>
          <w:p w:rsidR="00E174B8" w:rsidRDefault="00E174B8">
            <w:pPr>
              <w:pStyle w:val="indent1"/>
              <w:ind w:left="0" w:right="20" w:firstLine="0"/>
              <w:rPr>
                <w:rFonts w:ascii="Times New Roman" w:hAnsi="Times New Roman"/>
                <w:sz w:val="22"/>
              </w:rPr>
            </w:pPr>
            <w:r>
              <w:rPr>
                <w:rFonts w:ascii="Times New Roman" w:hAnsi="Times New Roman"/>
                <w:sz w:val="22"/>
              </w:rPr>
              <w:t>Discount rate</w:t>
            </w:r>
          </w:p>
        </w:tc>
        <w:tc>
          <w:tcPr>
            <w:tcW w:w="2790" w:type="dxa"/>
          </w:tcPr>
          <w:p w:rsidR="00E174B8" w:rsidRDefault="00E174B8">
            <w:pPr>
              <w:pStyle w:val="indent1"/>
              <w:ind w:left="0" w:right="20" w:firstLine="0"/>
              <w:rPr>
                <w:rFonts w:ascii="Times New Roman" w:hAnsi="Times New Roman"/>
                <w:sz w:val="22"/>
              </w:rPr>
            </w:pPr>
            <w:r>
              <w:rPr>
                <w:rFonts w:ascii="Times New Roman" w:hAnsi="Times New Roman"/>
                <w:sz w:val="22"/>
              </w:rPr>
              <w:t>3% (0-5)</w:t>
            </w:r>
          </w:p>
        </w:tc>
        <w:tc>
          <w:tcPr>
            <w:tcW w:w="2448" w:type="dxa"/>
          </w:tcPr>
          <w:p w:rsidR="00E174B8" w:rsidRDefault="00E174B8">
            <w:pPr>
              <w:pStyle w:val="indent1"/>
              <w:ind w:left="0" w:right="20" w:firstLine="0"/>
              <w:rPr>
                <w:rFonts w:ascii="Times New Roman" w:hAnsi="Times New Roman"/>
                <w:sz w:val="22"/>
              </w:rPr>
            </w:pPr>
            <w:r>
              <w:rPr>
                <w:rFonts w:ascii="Times New Roman" w:hAnsi="Times New Roman"/>
                <w:sz w:val="22"/>
              </w:rPr>
              <w:t>CEA guidelines</w:t>
            </w:r>
          </w:p>
        </w:tc>
      </w:tr>
    </w:tbl>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Note that each value has a range</w:t>
      </w:r>
      <w:r w:rsidR="00370E27">
        <w:rPr>
          <w:rFonts w:ascii="Times New Roman" w:hAnsi="Times New Roman"/>
        </w:rPr>
        <w:t xml:space="preserve"> specified. These represent</w:t>
      </w:r>
      <w:r>
        <w:rPr>
          <w:rFonts w:ascii="Times New Roman" w:hAnsi="Times New Roman"/>
        </w:rPr>
        <w:t xml:space="preserve"> </w:t>
      </w:r>
      <w:proofErr w:type="gramStart"/>
      <w:r>
        <w:rPr>
          <w:rFonts w:ascii="Times New Roman" w:hAnsi="Times New Roman"/>
        </w:rPr>
        <w:t>uncertainty, and</w:t>
      </w:r>
      <w:proofErr w:type="gramEnd"/>
      <w:r>
        <w:rPr>
          <w:rFonts w:ascii="Times New Roman" w:hAnsi="Times New Roman"/>
        </w:rPr>
        <w:t xml:space="preserve"> is used for the sensitivity analyses.</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Remember, the costs must be discounted to net present value before being used in the tree. Thus, for example, $47,000 for an SAH hospitalization, which occurs on average 17 years into the future, is discounted to $35,912. Note also that in the “aneurysm … die” branch, the cost is $23,941, since some of these individuals die before reaching the hospital and thus incur no medical costs.</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Now the tree looks like this:</w:t>
      </w:r>
    </w:p>
    <w:p w:rsidR="00E174B8" w:rsidRDefault="00E174B8">
      <w:pPr>
        <w:pStyle w:val="indent1"/>
        <w:ind w:left="1080" w:firstLine="0"/>
        <w:rPr>
          <w:rFonts w:ascii="Times New Roman" w:hAnsi="Times New Roman"/>
        </w:rPr>
      </w:pPr>
    </w:p>
    <w:p w:rsidR="00E174B8" w:rsidRPr="00247252" w:rsidRDefault="00E174B8" w:rsidP="00E174B8">
      <w:pPr>
        <w:pStyle w:val="indentABC"/>
        <w:rPr>
          <w:rFonts w:ascii="Times New Roman" w:hAnsi="Times New Roman"/>
          <w:i/>
        </w:rPr>
      </w:pPr>
      <w:r>
        <w:rPr>
          <w:rFonts w:ascii="Times New Roman" w:hAnsi="Times New Roman"/>
          <w:i/>
        </w:rPr>
        <w:t>Figure 3</w:t>
      </w:r>
    </w:p>
    <w:p w:rsidR="00E174B8" w:rsidRDefault="00B2405B">
      <w:pPr>
        <w:pStyle w:val="indent1"/>
        <w:ind w:left="360" w:firstLine="0"/>
        <w:rPr>
          <w:rFonts w:ascii="Times New Roman" w:hAnsi="Times New Roman"/>
        </w:rPr>
      </w:pPr>
      <w:r>
        <w:rPr>
          <w:rFonts w:ascii="Times New Roman" w:hAnsi="Times New Roman"/>
          <w:noProof/>
        </w:rPr>
        <w:drawing>
          <wp:inline distT="0" distB="0" distL="0" distR="0" wp14:anchorId="41251927" wp14:editId="4742B8C5">
            <wp:extent cx="5867400" cy="3267075"/>
            <wp:effectExtent l="19050" t="19050" r="1905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67400" cy="3267075"/>
                    </a:xfrm>
                    <a:prstGeom prst="rect">
                      <a:avLst/>
                    </a:prstGeom>
                    <a:noFill/>
                    <a:ln w="6350" cmpd="sng">
                      <a:solidFill>
                        <a:srgbClr val="000000"/>
                      </a:solidFill>
                      <a:miter lim="800000"/>
                      <a:headEnd/>
                      <a:tailEnd/>
                    </a:ln>
                    <a:effectLst/>
                  </pic:spPr>
                </pic:pic>
              </a:graphicData>
            </a:graphic>
          </wp:inline>
        </w:drawing>
      </w:r>
    </w:p>
    <w:p w:rsidR="00E174B8" w:rsidRDefault="00E174B8">
      <w:pPr>
        <w:pStyle w:val="indent1"/>
        <w:ind w:left="1080" w:firstLine="0"/>
        <w:rPr>
          <w:rFonts w:ascii="Times New Roman" w:hAnsi="Times New Roman"/>
        </w:rPr>
      </w:pPr>
    </w:p>
    <w:p w:rsidR="00E174B8" w:rsidRDefault="00E174B8">
      <w:pPr>
        <w:pStyle w:val="indent1"/>
        <w:ind w:left="1260"/>
        <w:rPr>
          <w:rFonts w:ascii="Times New Roman" w:hAnsi="Times New Roman"/>
        </w:rPr>
      </w:pPr>
    </w:p>
    <w:p w:rsidR="00E174B8" w:rsidRDefault="00E174B8">
      <w:pPr>
        <w:pStyle w:val="indentABC"/>
        <w:keepNext/>
        <w:rPr>
          <w:rFonts w:ascii="Times New Roman" w:hAnsi="Times New Roman"/>
          <w:b/>
          <w:i/>
        </w:rPr>
      </w:pPr>
      <w:r>
        <w:rPr>
          <w:rFonts w:ascii="Times New Roman" w:hAnsi="Times New Roman"/>
          <w:b/>
          <w:i/>
        </w:rPr>
        <w:t xml:space="preserve">(4) Conduct analyses. </w:t>
      </w:r>
    </w:p>
    <w:p w:rsidR="00E174B8" w:rsidRDefault="00E174B8">
      <w:pPr>
        <w:pStyle w:val="indentABC"/>
        <w:keepNext/>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In this critical step, the analytic structure is used to combine the collected input data. How are the calculations done?</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lastRenderedPageBreak/>
        <w:t>It is possible to calculate results by hand for simpler CEAs; this is instructive to do once, but inefficient with multiple sensitivity analyses and other changes in inputs. It is also prone to arithmetic errors.</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The more practical approach is to rely on one of two types of computer programs:</w:t>
      </w:r>
    </w:p>
    <w:p w:rsidR="00E174B8" w:rsidRDefault="00E174B8">
      <w:pPr>
        <w:pStyle w:val="indent1"/>
        <w:ind w:left="1080" w:firstLine="0"/>
        <w:rPr>
          <w:rFonts w:ascii="Times New Roman" w:hAnsi="Times New Roman"/>
        </w:rPr>
      </w:pPr>
    </w:p>
    <w:p w:rsidR="00E174B8" w:rsidRDefault="00E174B8">
      <w:pPr>
        <w:pStyle w:val="indent1"/>
        <w:ind w:firstLine="0"/>
        <w:rPr>
          <w:rFonts w:ascii="Times New Roman" w:hAnsi="Times New Roman"/>
        </w:rPr>
      </w:pPr>
      <w:r w:rsidRPr="00370E27">
        <w:rPr>
          <w:rFonts w:ascii="Times New Roman" w:hAnsi="Times New Roman"/>
          <w:b/>
          <w:i/>
        </w:rPr>
        <w:t>Spreadsheets</w:t>
      </w:r>
      <w:r w:rsidR="00370E27">
        <w:rPr>
          <w:rFonts w:ascii="Times New Roman" w:hAnsi="Times New Roman"/>
        </w:rPr>
        <w:t xml:space="preserve"> </w:t>
      </w:r>
      <w:r>
        <w:rPr>
          <w:rFonts w:ascii="Times New Roman" w:hAnsi="Times New Roman"/>
        </w:rPr>
        <w:t>(e.g., Excel) are very flexible – just about any analytic structure, input, calculation technique, outcome measure, or presentation format can be accommodated. For example, it is possible to do infectious disease epidemic modeling, or interacting Markov models of the progression of complications in multi-system disease. For Monte Carlo analyses, there is now add-on program</w:t>
      </w:r>
      <w:r w:rsidR="00986408">
        <w:rPr>
          <w:rFonts w:ascii="Times New Roman" w:hAnsi="Times New Roman"/>
        </w:rPr>
        <w:t>s</w:t>
      </w:r>
      <w:r>
        <w:rPr>
          <w:rFonts w:ascii="Times New Roman" w:hAnsi="Times New Roman"/>
        </w:rPr>
        <w:t xml:space="preserve"> (Crystal Ball</w:t>
      </w:r>
      <w:r w:rsidR="00986408">
        <w:rPr>
          <w:rFonts w:ascii="Times New Roman" w:hAnsi="Times New Roman"/>
        </w:rPr>
        <w:t>, @Risk</w:t>
      </w:r>
      <w:r>
        <w:rPr>
          <w:rFonts w:ascii="Times New Roman" w:hAnsi="Times New Roman"/>
        </w:rPr>
        <w:t>). However, a spreadsheet must be programmed to perform many standard CEA tasks. The aneurysm analysis uses Excel.</w:t>
      </w:r>
    </w:p>
    <w:p w:rsidR="00E174B8" w:rsidRDefault="00E174B8">
      <w:pPr>
        <w:pStyle w:val="indent1"/>
        <w:ind w:firstLine="0"/>
        <w:rPr>
          <w:rFonts w:ascii="Times New Roman" w:hAnsi="Times New Roman"/>
          <w:i/>
        </w:rPr>
      </w:pPr>
    </w:p>
    <w:p w:rsidR="00E174B8" w:rsidRDefault="00E174B8">
      <w:pPr>
        <w:pStyle w:val="indent1"/>
        <w:ind w:firstLine="0"/>
        <w:rPr>
          <w:rFonts w:ascii="Times New Roman" w:hAnsi="Times New Roman"/>
        </w:rPr>
      </w:pPr>
      <w:r w:rsidRPr="00370E27">
        <w:rPr>
          <w:rFonts w:ascii="Times New Roman" w:hAnsi="Times New Roman"/>
          <w:b/>
          <w:i/>
        </w:rPr>
        <w:t>Decision analysis packages</w:t>
      </w:r>
      <w:r>
        <w:rPr>
          <w:rFonts w:ascii="Times New Roman" w:hAnsi="Times New Roman"/>
        </w:rPr>
        <w:t xml:space="preserve"> such as </w:t>
      </w:r>
      <w:proofErr w:type="spellStart"/>
      <w:r w:rsidR="00986408">
        <w:rPr>
          <w:rFonts w:ascii="Times New Roman" w:hAnsi="Times New Roman"/>
        </w:rPr>
        <w:t>TreeAge</w:t>
      </w:r>
      <w:proofErr w:type="spellEnd"/>
      <w:r>
        <w:rPr>
          <w:rFonts w:ascii="Times New Roman" w:hAnsi="Times New Roman"/>
        </w:rPr>
        <w:t xml:space="preserve"> are designed to perform most common decision analytic tasks at the flick of a keystroke. For example, it is straightforward to build decision trees and enter input values. Markov analyses are relatively easy. Costs, health outcomes, and cost-effectiveness ratios are calculated nearly automatically, as are one-, two-, and three-way sensitivity analyses. Newer programs do Monte Carlo analyses as a standard procedure. However, decision analysis packages are less flexible: the CEA must conform to the program structure rather than vice versa. For example, programs often allow only 2-4 simultaneous outcomes. It can be impossible to concomitantly track deaths, life years, QALYs, direct costs, and indirect costs. Epidemic or complex Markov modeling can be too difficult or impossible. </w:t>
      </w:r>
    </w:p>
    <w:p w:rsidR="00E174B8" w:rsidRDefault="00E174B8">
      <w:pPr>
        <w:pStyle w:val="indent1"/>
        <w:ind w:firstLine="0"/>
        <w:rPr>
          <w:rFonts w:ascii="Times New Roman" w:hAnsi="Times New Roman"/>
        </w:rPr>
      </w:pPr>
    </w:p>
    <w:p w:rsidR="00E174B8" w:rsidRDefault="00E174B8">
      <w:pPr>
        <w:pStyle w:val="indent1"/>
        <w:ind w:firstLine="0"/>
        <w:rPr>
          <w:rFonts w:ascii="Times New Roman" w:hAnsi="Times New Roman"/>
        </w:rPr>
      </w:pPr>
      <w:r>
        <w:rPr>
          <w:rFonts w:ascii="Times New Roman" w:hAnsi="Times New Roman"/>
        </w:rPr>
        <w:t>Sometimes the two program types are used in tandem, with complex spreadsheet calculations creating inputs for the decision analysis program. Your program choice will depend on the particulars of your analysis, personal computing preferences, and what program is easily available.</w:t>
      </w:r>
    </w:p>
    <w:p w:rsidR="00E174B8" w:rsidRDefault="00E174B8">
      <w:pPr>
        <w:pStyle w:val="indent1"/>
        <w:spacing w:line="240" w:lineRule="exact"/>
        <w:ind w:left="0" w:firstLine="0"/>
        <w:rPr>
          <w:rFonts w:ascii="Times New Roman" w:hAnsi="Times New Roman"/>
        </w:rPr>
      </w:pPr>
    </w:p>
    <w:p w:rsidR="00E174B8" w:rsidRDefault="00E174B8" w:rsidP="00986408">
      <w:pPr>
        <w:pStyle w:val="indent1"/>
        <w:keepNext/>
        <w:spacing w:line="240" w:lineRule="exact"/>
        <w:ind w:left="1080" w:firstLine="0"/>
        <w:rPr>
          <w:rFonts w:ascii="Times New Roman" w:hAnsi="Times New Roman"/>
        </w:rPr>
      </w:pPr>
      <w:r>
        <w:rPr>
          <w:rFonts w:ascii="Times New Roman" w:hAnsi="Times New Roman"/>
        </w:rPr>
        <w:lastRenderedPageBreak/>
        <w:t>Here is the “base case” analysis for the aneurysm example. Note that the results cell says “</w:t>
      </w:r>
      <w:r w:rsidRPr="00370E27">
        <w:rPr>
          <w:rFonts w:ascii="Times New Roman" w:hAnsi="Times New Roman"/>
          <w:b/>
        </w:rPr>
        <w:t>Dominant Strategy</w:t>
      </w:r>
      <w:r>
        <w:rPr>
          <w:rFonts w:ascii="Times New Roman" w:hAnsi="Times New Roman"/>
        </w:rPr>
        <w:t>.” That’s because the clipping surgery is both more expensive and less effective. It is less effective due to surgical mortality and morbidity.</w:t>
      </w:r>
    </w:p>
    <w:p w:rsidR="00E174B8" w:rsidRDefault="00E174B8" w:rsidP="00986408">
      <w:pPr>
        <w:pStyle w:val="indentABC"/>
        <w:keepNext/>
        <w:ind w:left="0" w:firstLine="0"/>
        <w:rPr>
          <w:rFonts w:ascii="Times New Roman" w:hAnsi="Times New Roman"/>
        </w:rPr>
      </w:pPr>
    </w:p>
    <w:p w:rsidR="00E174B8" w:rsidRPr="00247252" w:rsidRDefault="00E174B8" w:rsidP="00E174B8">
      <w:pPr>
        <w:pStyle w:val="indentABC"/>
        <w:keepNext/>
        <w:rPr>
          <w:rFonts w:ascii="Times New Roman" w:hAnsi="Times New Roman"/>
          <w:i/>
        </w:rPr>
      </w:pPr>
      <w:r>
        <w:rPr>
          <w:rFonts w:ascii="Times New Roman" w:hAnsi="Times New Roman"/>
          <w:i/>
        </w:rPr>
        <w:t>Figure 4</w:t>
      </w:r>
    </w:p>
    <w:p w:rsidR="00E174B8" w:rsidRDefault="00B2405B">
      <w:pPr>
        <w:pStyle w:val="indent1"/>
        <w:ind w:left="0" w:firstLine="0"/>
        <w:rPr>
          <w:rFonts w:ascii="Times New Roman" w:hAnsi="Times New Roman"/>
        </w:rPr>
      </w:pPr>
      <w:r>
        <w:rPr>
          <w:rFonts w:ascii="Times New Roman" w:hAnsi="Times New Roman"/>
          <w:noProof/>
        </w:rPr>
        <w:drawing>
          <wp:inline distT="0" distB="0" distL="0" distR="0" wp14:anchorId="65B741F8" wp14:editId="426AB038">
            <wp:extent cx="5905500" cy="3114675"/>
            <wp:effectExtent l="19050" t="19050" r="1905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05500" cy="3114675"/>
                    </a:xfrm>
                    <a:prstGeom prst="rect">
                      <a:avLst/>
                    </a:prstGeom>
                    <a:noFill/>
                    <a:ln w="6350" cmpd="sng">
                      <a:solidFill>
                        <a:srgbClr val="000000"/>
                      </a:solidFill>
                      <a:miter lim="800000"/>
                      <a:headEnd/>
                      <a:tailEnd/>
                    </a:ln>
                    <a:effectLst/>
                  </pic:spPr>
                </pic:pic>
              </a:graphicData>
            </a:graphic>
          </wp:inline>
        </w:drawing>
      </w:r>
    </w:p>
    <w:p w:rsidR="00E174B8" w:rsidRDefault="00E174B8">
      <w:pPr>
        <w:pStyle w:val="indent1"/>
        <w:spacing w:line="240" w:lineRule="exact"/>
        <w:ind w:left="1260" w:firstLine="0"/>
        <w:rPr>
          <w:rFonts w:ascii="Times New Roman" w:hAnsi="Times New Roman"/>
        </w:rPr>
      </w:pPr>
    </w:p>
    <w:p w:rsidR="00E174B8" w:rsidRDefault="00E174B8">
      <w:pPr>
        <w:pStyle w:val="indent1"/>
        <w:spacing w:line="240" w:lineRule="exact"/>
        <w:ind w:left="1260" w:firstLine="0"/>
        <w:rPr>
          <w:rFonts w:ascii="Times New Roman" w:hAnsi="Times New Roman"/>
        </w:rPr>
      </w:pPr>
    </w:p>
    <w:p w:rsidR="00E174B8" w:rsidRDefault="00E174B8">
      <w:pPr>
        <w:pStyle w:val="indent1"/>
        <w:spacing w:line="240" w:lineRule="exact"/>
        <w:ind w:left="1080" w:firstLine="0"/>
        <w:rPr>
          <w:rFonts w:ascii="Times New Roman" w:hAnsi="Times New Roman"/>
        </w:rPr>
      </w:pPr>
      <w:r>
        <w:rPr>
          <w:rFonts w:ascii="Times New Roman" w:hAnsi="Times New Roman"/>
        </w:rPr>
        <w:t xml:space="preserve">In a manuscript, the results might be presented as follows. </w:t>
      </w:r>
    </w:p>
    <w:p w:rsidR="00E174B8" w:rsidRDefault="00E174B8">
      <w:pPr>
        <w:pStyle w:val="indent1"/>
        <w:spacing w:line="240" w:lineRule="exact"/>
        <w:ind w:left="0" w:firstLine="0"/>
        <w:rPr>
          <w:rFonts w:ascii="Times New Roman" w:hAnsi="Times New Roman"/>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080"/>
        <w:gridCol w:w="1080"/>
        <w:gridCol w:w="1170"/>
        <w:gridCol w:w="1016"/>
        <w:gridCol w:w="1504"/>
      </w:tblGrid>
      <w:tr w:rsidR="00E174B8">
        <w:trPr>
          <w:cantSplit/>
        </w:trPr>
        <w:tc>
          <w:tcPr>
            <w:tcW w:w="2790" w:type="dxa"/>
          </w:tcPr>
          <w:p w:rsidR="00E174B8" w:rsidRDefault="00E174B8">
            <w:pPr>
              <w:pStyle w:val="indent1"/>
              <w:spacing w:line="240" w:lineRule="exact"/>
              <w:ind w:left="0" w:right="0" w:firstLine="0"/>
              <w:jc w:val="center"/>
              <w:rPr>
                <w:rFonts w:ascii="Times New Roman" w:hAnsi="Times New Roman"/>
                <w:b/>
              </w:rPr>
            </w:pPr>
          </w:p>
        </w:tc>
        <w:tc>
          <w:tcPr>
            <w:tcW w:w="2160" w:type="dxa"/>
            <w:gridSpan w:val="2"/>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QALYs</w:t>
            </w:r>
          </w:p>
        </w:tc>
        <w:tc>
          <w:tcPr>
            <w:tcW w:w="2186" w:type="dxa"/>
            <w:gridSpan w:val="2"/>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Costs</w:t>
            </w:r>
          </w:p>
        </w:tc>
        <w:tc>
          <w:tcPr>
            <w:tcW w:w="1504" w:type="dxa"/>
          </w:tcPr>
          <w:p w:rsidR="00E174B8" w:rsidRDefault="00E174B8">
            <w:pPr>
              <w:pStyle w:val="indent1"/>
              <w:spacing w:line="240" w:lineRule="exact"/>
              <w:ind w:left="0" w:right="0" w:firstLine="0"/>
              <w:jc w:val="center"/>
              <w:rPr>
                <w:rFonts w:ascii="Times New Roman" w:hAnsi="Times New Roman"/>
                <w:b/>
              </w:rPr>
            </w:pPr>
          </w:p>
        </w:tc>
      </w:tr>
      <w:tr w:rsidR="00E174B8">
        <w:tc>
          <w:tcPr>
            <w:tcW w:w="279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Scenario</w:t>
            </w:r>
          </w:p>
        </w:tc>
        <w:tc>
          <w:tcPr>
            <w:tcW w:w="108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Total</w:t>
            </w:r>
          </w:p>
        </w:tc>
        <w:tc>
          <w:tcPr>
            <w:tcW w:w="108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Added</w:t>
            </w:r>
          </w:p>
        </w:tc>
        <w:tc>
          <w:tcPr>
            <w:tcW w:w="117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Total</w:t>
            </w:r>
          </w:p>
        </w:tc>
        <w:tc>
          <w:tcPr>
            <w:tcW w:w="1016"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Added</w:t>
            </w:r>
          </w:p>
        </w:tc>
        <w:tc>
          <w:tcPr>
            <w:tcW w:w="1504"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 / QALY</w:t>
            </w:r>
          </w:p>
        </w:tc>
      </w:tr>
      <w:tr w:rsidR="00E174B8">
        <w:tc>
          <w:tcPr>
            <w:tcW w:w="2790" w:type="dxa"/>
          </w:tcPr>
          <w:p w:rsidR="00E174B8" w:rsidRDefault="00E174B8">
            <w:pPr>
              <w:pStyle w:val="indent1"/>
              <w:spacing w:line="240" w:lineRule="exact"/>
              <w:ind w:left="0" w:right="0" w:firstLine="0"/>
              <w:rPr>
                <w:rFonts w:ascii="Times New Roman" w:hAnsi="Times New Roman"/>
                <w:sz w:val="22"/>
              </w:rPr>
            </w:pPr>
            <w:r>
              <w:rPr>
                <w:rFonts w:ascii="Times New Roman" w:hAnsi="Times New Roman"/>
                <w:sz w:val="22"/>
              </w:rPr>
              <w:t>No symptoms, &lt;10 mm, no past SAH</w:t>
            </w:r>
          </w:p>
        </w:tc>
        <w:tc>
          <w:tcPr>
            <w:tcW w:w="1080" w:type="dxa"/>
          </w:tcPr>
          <w:p w:rsidR="00E174B8" w:rsidRDefault="00E174B8">
            <w:pPr>
              <w:pStyle w:val="indent1"/>
              <w:spacing w:line="240" w:lineRule="exact"/>
              <w:ind w:left="0" w:right="0" w:firstLine="0"/>
              <w:jc w:val="center"/>
              <w:rPr>
                <w:rFonts w:ascii="Times New Roman" w:hAnsi="Times New Roman"/>
                <w:sz w:val="22"/>
              </w:rPr>
            </w:pPr>
          </w:p>
        </w:tc>
        <w:tc>
          <w:tcPr>
            <w:tcW w:w="1080" w:type="dxa"/>
          </w:tcPr>
          <w:p w:rsidR="00E174B8" w:rsidRDefault="00E174B8">
            <w:pPr>
              <w:pStyle w:val="indent1"/>
              <w:spacing w:line="240" w:lineRule="exact"/>
              <w:ind w:left="0" w:right="0" w:firstLine="0"/>
              <w:jc w:val="center"/>
              <w:rPr>
                <w:rFonts w:ascii="Times New Roman" w:hAnsi="Times New Roman"/>
                <w:sz w:val="22"/>
              </w:rPr>
            </w:pPr>
          </w:p>
        </w:tc>
        <w:tc>
          <w:tcPr>
            <w:tcW w:w="1170" w:type="dxa"/>
          </w:tcPr>
          <w:p w:rsidR="00E174B8" w:rsidRDefault="00E174B8">
            <w:pPr>
              <w:pStyle w:val="indent1"/>
              <w:spacing w:line="240" w:lineRule="exact"/>
              <w:ind w:left="0" w:right="0" w:firstLine="0"/>
              <w:jc w:val="center"/>
              <w:rPr>
                <w:rFonts w:ascii="Times New Roman" w:hAnsi="Times New Roman"/>
                <w:sz w:val="22"/>
              </w:rPr>
            </w:pPr>
          </w:p>
        </w:tc>
        <w:tc>
          <w:tcPr>
            <w:tcW w:w="1016" w:type="dxa"/>
          </w:tcPr>
          <w:p w:rsidR="00E174B8" w:rsidRDefault="00E174B8">
            <w:pPr>
              <w:pStyle w:val="indent1"/>
              <w:spacing w:line="240" w:lineRule="exact"/>
              <w:ind w:left="0" w:right="0" w:firstLine="0"/>
              <w:jc w:val="center"/>
              <w:rPr>
                <w:rFonts w:ascii="Times New Roman" w:hAnsi="Times New Roman"/>
                <w:sz w:val="22"/>
              </w:rPr>
            </w:pPr>
          </w:p>
        </w:tc>
        <w:tc>
          <w:tcPr>
            <w:tcW w:w="1504" w:type="dxa"/>
          </w:tcPr>
          <w:p w:rsidR="00E174B8" w:rsidRDefault="00E174B8">
            <w:pPr>
              <w:pStyle w:val="indent1"/>
              <w:spacing w:line="240" w:lineRule="exact"/>
              <w:ind w:left="0" w:right="0" w:firstLine="0"/>
              <w:jc w:val="center"/>
              <w:rPr>
                <w:rFonts w:ascii="Times New Roman" w:hAnsi="Times New Roman"/>
                <w:sz w:val="22"/>
              </w:rPr>
            </w:pPr>
          </w:p>
        </w:tc>
      </w:tr>
      <w:tr w:rsidR="00E174B8">
        <w:tc>
          <w:tcPr>
            <w:tcW w:w="2790" w:type="dxa"/>
          </w:tcPr>
          <w:p w:rsidR="00E174B8" w:rsidRDefault="00E174B8">
            <w:pPr>
              <w:pStyle w:val="indent1"/>
              <w:spacing w:line="240" w:lineRule="exact"/>
              <w:ind w:left="0" w:right="0" w:firstLine="0"/>
              <w:rPr>
                <w:rFonts w:ascii="Times New Roman" w:hAnsi="Times New Roman"/>
                <w:sz w:val="22"/>
              </w:rPr>
            </w:pPr>
            <w:r>
              <w:rPr>
                <w:rFonts w:ascii="Times New Roman" w:hAnsi="Times New Roman"/>
                <w:sz w:val="22"/>
              </w:rPr>
              <w:t xml:space="preserve">  No treatment</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21.37</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w:t>
            </w:r>
          </w:p>
        </w:tc>
        <w:tc>
          <w:tcPr>
            <w:tcW w:w="117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$534</w:t>
            </w:r>
          </w:p>
        </w:tc>
        <w:tc>
          <w:tcPr>
            <w:tcW w:w="1016"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w:t>
            </w:r>
          </w:p>
        </w:tc>
        <w:tc>
          <w:tcPr>
            <w:tcW w:w="1504"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w:t>
            </w:r>
          </w:p>
        </w:tc>
      </w:tr>
      <w:tr w:rsidR="00E174B8">
        <w:tc>
          <w:tcPr>
            <w:tcW w:w="2790" w:type="dxa"/>
          </w:tcPr>
          <w:p w:rsidR="00E174B8" w:rsidRDefault="00E174B8">
            <w:pPr>
              <w:pStyle w:val="indent1"/>
              <w:spacing w:line="240" w:lineRule="exact"/>
              <w:ind w:left="0" w:right="0" w:firstLine="0"/>
              <w:rPr>
                <w:rFonts w:ascii="Times New Roman" w:hAnsi="Times New Roman"/>
                <w:sz w:val="22"/>
              </w:rPr>
            </w:pPr>
            <w:r>
              <w:rPr>
                <w:rFonts w:ascii="Times New Roman" w:hAnsi="Times New Roman"/>
                <w:sz w:val="22"/>
              </w:rPr>
              <w:t xml:space="preserve">  Clipping</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19.74</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-1.63</w:t>
            </w:r>
          </w:p>
        </w:tc>
        <w:tc>
          <w:tcPr>
            <w:tcW w:w="117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$39,666</w:t>
            </w:r>
          </w:p>
        </w:tc>
        <w:tc>
          <w:tcPr>
            <w:tcW w:w="1016"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$39,132</w:t>
            </w:r>
          </w:p>
        </w:tc>
        <w:tc>
          <w:tcPr>
            <w:tcW w:w="1504"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Dominated</w:t>
            </w:r>
          </w:p>
        </w:tc>
      </w:tr>
    </w:tbl>
    <w:p w:rsidR="00E174B8" w:rsidRDefault="00E174B8">
      <w:pPr>
        <w:pStyle w:val="indent1"/>
        <w:ind w:left="900" w:firstLine="0"/>
        <w:rPr>
          <w:rFonts w:ascii="Times New Roman" w:hAnsi="Times New Roman"/>
        </w:rPr>
      </w:pPr>
    </w:p>
    <w:p w:rsidR="00E174B8" w:rsidRDefault="00E174B8">
      <w:pPr>
        <w:pStyle w:val="indent1"/>
        <w:ind w:left="90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Below are some of the formulas in the cells (light blue for QALYs, green for costs). Once you have the hang of it, the formulas for a tree of this size are easy.</w:t>
      </w:r>
    </w:p>
    <w:p w:rsidR="00E174B8" w:rsidRDefault="00E174B8">
      <w:pPr>
        <w:pStyle w:val="indent1"/>
        <w:ind w:left="1260"/>
        <w:rPr>
          <w:rFonts w:ascii="Times New Roman" w:hAnsi="Times New Roman"/>
        </w:rPr>
      </w:pPr>
    </w:p>
    <w:p w:rsidR="00E174B8" w:rsidRPr="00247252" w:rsidRDefault="00E174B8" w:rsidP="00986408">
      <w:pPr>
        <w:pStyle w:val="indentABC"/>
        <w:keepNext/>
        <w:rPr>
          <w:rFonts w:ascii="Times New Roman" w:hAnsi="Times New Roman"/>
          <w:i/>
        </w:rPr>
      </w:pPr>
      <w:r>
        <w:rPr>
          <w:rFonts w:ascii="Times New Roman" w:hAnsi="Times New Roman"/>
          <w:i/>
        </w:rPr>
        <w:lastRenderedPageBreak/>
        <w:t>Figure 5</w:t>
      </w:r>
    </w:p>
    <w:p w:rsidR="00E174B8" w:rsidRDefault="00B2405B">
      <w:pPr>
        <w:pStyle w:val="indent1"/>
        <w:ind w:left="0" w:firstLine="0"/>
        <w:rPr>
          <w:rFonts w:ascii="Times New Roman" w:hAnsi="Times New Roman"/>
        </w:rPr>
      </w:pPr>
      <w:r>
        <w:rPr>
          <w:rFonts w:ascii="Times New Roman" w:hAnsi="Times New Roman"/>
          <w:noProof/>
        </w:rPr>
        <w:drawing>
          <wp:inline distT="0" distB="0" distL="0" distR="0" wp14:anchorId="706ED6D8" wp14:editId="67350A9C">
            <wp:extent cx="6038850" cy="2047875"/>
            <wp:effectExtent l="19050" t="19050" r="19050"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38850" cy="2047875"/>
                    </a:xfrm>
                    <a:prstGeom prst="rect">
                      <a:avLst/>
                    </a:prstGeom>
                    <a:noFill/>
                    <a:ln w="6350" cmpd="sng">
                      <a:solidFill>
                        <a:srgbClr val="000000"/>
                      </a:solidFill>
                      <a:miter lim="800000"/>
                      <a:headEnd/>
                      <a:tailEnd/>
                    </a:ln>
                    <a:effectLst/>
                  </pic:spPr>
                </pic:pic>
              </a:graphicData>
            </a:graphic>
          </wp:inline>
        </w:drawing>
      </w:r>
    </w:p>
    <w:p w:rsidR="00E174B8" w:rsidRDefault="00E174B8">
      <w:pPr>
        <w:pStyle w:val="indent1"/>
        <w:spacing w:line="240" w:lineRule="exact"/>
        <w:ind w:left="1260" w:firstLine="0"/>
        <w:rPr>
          <w:rFonts w:ascii="Times New Roman" w:hAnsi="Times New Roman"/>
        </w:rPr>
      </w:pPr>
    </w:p>
    <w:p w:rsidR="00E174B8" w:rsidRDefault="00E174B8">
      <w:pPr>
        <w:pStyle w:val="indent1"/>
        <w:spacing w:line="240" w:lineRule="exact"/>
        <w:ind w:left="1260" w:firstLine="0"/>
        <w:rPr>
          <w:rFonts w:ascii="Times New Roman" w:hAnsi="Times New Roman"/>
        </w:rPr>
      </w:pPr>
    </w:p>
    <w:p w:rsidR="00E174B8" w:rsidRPr="0090581F" w:rsidRDefault="00E174B8">
      <w:pPr>
        <w:ind w:left="720" w:right="-1080"/>
        <w:rPr>
          <w:sz w:val="24"/>
          <w:szCs w:val="24"/>
        </w:rPr>
      </w:pPr>
      <w:r w:rsidRPr="0090581F">
        <w:rPr>
          <w:sz w:val="24"/>
          <w:szCs w:val="24"/>
        </w:rPr>
        <w:t xml:space="preserve">When analyzing interventions of varying intensity, doing appropriate </w:t>
      </w:r>
      <w:r w:rsidRPr="0090581F">
        <w:rPr>
          <w:i/>
          <w:iCs/>
          <w:sz w:val="24"/>
          <w:szCs w:val="24"/>
        </w:rPr>
        <w:t>incremental analysis</w:t>
      </w:r>
      <w:r w:rsidRPr="0090581F">
        <w:rPr>
          <w:sz w:val="24"/>
          <w:szCs w:val="24"/>
        </w:rPr>
        <w:t xml:space="preserve"> is crucial. Failing to examine the proper increments will generate misleading results. Consider the example of HIV prevention targeting. The choice is: no prevention; prevention for high risk individuals (targeted); and prevention for everyone (universal). Sample results are presented in the table:</w:t>
      </w:r>
    </w:p>
    <w:p w:rsidR="00E174B8" w:rsidRDefault="00E174B8">
      <w:pPr>
        <w:ind w:left="720" w:right="-1080"/>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080"/>
        <w:gridCol w:w="1080"/>
        <w:gridCol w:w="1170"/>
        <w:gridCol w:w="1170"/>
        <w:gridCol w:w="1350"/>
      </w:tblGrid>
      <w:tr w:rsidR="00E174B8">
        <w:trPr>
          <w:cantSplit/>
        </w:trPr>
        <w:tc>
          <w:tcPr>
            <w:tcW w:w="279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HIV Prevention, group of 1000 individuals</w:t>
            </w:r>
          </w:p>
        </w:tc>
        <w:tc>
          <w:tcPr>
            <w:tcW w:w="2160" w:type="dxa"/>
            <w:gridSpan w:val="2"/>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QALYs</w:t>
            </w:r>
          </w:p>
        </w:tc>
        <w:tc>
          <w:tcPr>
            <w:tcW w:w="2340" w:type="dxa"/>
            <w:gridSpan w:val="2"/>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Program Costs</w:t>
            </w:r>
          </w:p>
        </w:tc>
        <w:tc>
          <w:tcPr>
            <w:tcW w:w="1350" w:type="dxa"/>
          </w:tcPr>
          <w:p w:rsidR="00E174B8" w:rsidRDefault="00E174B8">
            <w:pPr>
              <w:pStyle w:val="indent1"/>
              <w:spacing w:line="240" w:lineRule="exact"/>
              <w:ind w:left="0" w:right="0" w:firstLine="0"/>
              <w:jc w:val="center"/>
              <w:rPr>
                <w:rFonts w:ascii="Times New Roman" w:hAnsi="Times New Roman"/>
                <w:b/>
              </w:rPr>
            </w:pPr>
          </w:p>
        </w:tc>
      </w:tr>
      <w:tr w:rsidR="00E174B8">
        <w:tc>
          <w:tcPr>
            <w:tcW w:w="279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Scenario</w:t>
            </w:r>
          </w:p>
        </w:tc>
        <w:tc>
          <w:tcPr>
            <w:tcW w:w="108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Total</w:t>
            </w:r>
          </w:p>
        </w:tc>
        <w:tc>
          <w:tcPr>
            <w:tcW w:w="108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Added vs. prior strategy</w:t>
            </w:r>
          </w:p>
        </w:tc>
        <w:tc>
          <w:tcPr>
            <w:tcW w:w="117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Total</w:t>
            </w:r>
          </w:p>
        </w:tc>
        <w:tc>
          <w:tcPr>
            <w:tcW w:w="117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Added vs. prior strategy</w:t>
            </w:r>
          </w:p>
        </w:tc>
        <w:tc>
          <w:tcPr>
            <w:tcW w:w="135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 / QALY vs. prior strategy</w:t>
            </w:r>
          </w:p>
        </w:tc>
      </w:tr>
      <w:tr w:rsidR="00E174B8">
        <w:tc>
          <w:tcPr>
            <w:tcW w:w="2790" w:type="dxa"/>
          </w:tcPr>
          <w:p w:rsidR="00E174B8" w:rsidRDefault="00E174B8">
            <w:pPr>
              <w:pStyle w:val="indent1"/>
              <w:spacing w:line="240" w:lineRule="exact"/>
              <w:ind w:left="0" w:right="0" w:firstLine="0"/>
              <w:rPr>
                <w:rFonts w:ascii="Times New Roman" w:hAnsi="Times New Roman"/>
                <w:sz w:val="22"/>
              </w:rPr>
            </w:pPr>
            <w:r>
              <w:rPr>
                <w:rFonts w:ascii="Times New Roman" w:hAnsi="Times New Roman"/>
                <w:sz w:val="22"/>
              </w:rPr>
              <w:t>No prevention</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20,000</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w:t>
            </w:r>
          </w:p>
        </w:tc>
        <w:tc>
          <w:tcPr>
            <w:tcW w:w="117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$0</w:t>
            </w:r>
          </w:p>
        </w:tc>
        <w:tc>
          <w:tcPr>
            <w:tcW w:w="117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w:t>
            </w:r>
          </w:p>
        </w:tc>
        <w:tc>
          <w:tcPr>
            <w:tcW w:w="135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w:t>
            </w:r>
          </w:p>
        </w:tc>
      </w:tr>
      <w:tr w:rsidR="00E174B8">
        <w:tc>
          <w:tcPr>
            <w:tcW w:w="2790" w:type="dxa"/>
          </w:tcPr>
          <w:p w:rsidR="00E174B8" w:rsidRDefault="00E174B8">
            <w:pPr>
              <w:pStyle w:val="indent1"/>
              <w:spacing w:line="240" w:lineRule="exact"/>
              <w:ind w:left="0" w:right="0" w:firstLine="0"/>
              <w:rPr>
                <w:rFonts w:ascii="Times New Roman" w:hAnsi="Times New Roman"/>
                <w:sz w:val="22"/>
              </w:rPr>
            </w:pPr>
            <w:r>
              <w:rPr>
                <w:rFonts w:ascii="Times New Roman" w:hAnsi="Times New Roman"/>
                <w:sz w:val="22"/>
              </w:rPr>
              <w:t>Targeted (n = 100)</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20,025</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25</w:t>
            </w:r>
          </w:p>
        </w:tc>
        <w:tc>
          <w:tcPr>
            <w:tcW w:w="117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$20,000</w:t>
            </w:r>
          </w:p>
        </w:tc>
        <w:tc>
          <w:tcPr>
            <w:tcW w:w="117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$20,000</w:t>
            </w:r>
          </w:p>
        </w:tc>
        <w:tc>
          <w:tcPr>
            <w:tcW w:w="135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$800</w:t>
            </w:r>
          </w:p>
        </w:tc>
      </w:tr>
      <w:tr w:rsidR="00E174B8">
        <w:tc>
          <w:tcPr>
            <w:tcW w:w="2790" w:type="dxa"/>
          </w:tcPr>
          <w:p w:rsidR="00E174B8" w:rsidRDefault="00E174B8">
            <w:pPr>
              <w:pStyle w:val="indent1"/>
              <w:spacing w:line="240" w:lineRule="exact"/>
              <w:ind w:left="0" w:right="0" w:firstLine="0"/>
              <w:rPr>
                <w:rFonts w:ascii="Times New Roman" w:hAnsi="Times New Roman"/>
                <w:sz w:val="22"/>
              </w:rPr>
            </w:pPr>
            <w:r>
              <w:rPr>
                <w:rFonts w:ascii="Times New Roman" w:hAnsi="Times New Roman"/>
                <w:sz w:val="22"/>
              </w:rPr>
              <w:t>Universal</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22,027</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w:t>
            </w:r>
          </w:p>
        </w:tc>
        <w:tc>
          <w:tcPr>
            <w:tcW w:w="117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$200,000</w:t>
            </w:r>
          </w:p>
        </w:tc>
        <w:tc>
          <w:tcPr>
            <w:tcW w:w="117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$180,000</w:t>
            </w:r>
          </w:p>
        </w:tc>
        <w:tc>
          <w:tcPr>
            <w:tcW w:w="135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$90,000</w:t>
            </w:r>
          </w:p>
        </w:tc>
      </w:tr>
    </w:tbl>
    <w:p w:rsidR="00E174B8" w:rsidRDefault="00E174B8">
      <w:pPr>
        <w:pStyle w:val="indent1"/>
        <w:ind w:left="900" w:firstLine="0"/>
        <w:rPr>
          <w:rFonts w:ascii="Times New Roman" w:hAnsi="Times New Roman"/>
        </w:rPr>
      </w:pPr>
    </w:p>
    <w:p w:rsidR="00E174B8" w:rsidRPr="0090581F" w:rsidRDefault="00E174B8">
      <w:pPr>
        <w:ind w:left="720" w:right="-1080"/>
        <w:rPr>
          <w:sz w:val="24"/>
          <w:szCs w:val="24"/>
        </w:rPr>
      </w:pPr>
      <w:r w:rsidRPr="0090581F">
        <w:rPr>
          <w:sz w:val="24"/>
          <w:szCs w:val="24"/>
        </w:rPr>
        <w:t xml:space="preserve">The cost-effectiveness of the first increment, from no prevention to targeted, is very attractive. The next increment, from targeted to universal, is less attractive, more than a threshold of $50,000 per QALY. If there were limited funds to put into prevention, it would make more sense to spend them on targeted prevention. Calculating an average (non-incremental) cost-effectiveness ratio (universal versus no prevention) yields $7,400 per QALY ($200,000/27). This calculation is misleading because it obscures the concentration of benefits in a viable </w:t>
      </w:r>
      <w:proofErr w:type="spellStart"/>
      <w:r w:rsidRPr="0090581F">
        <w:rPr>
          <w:sz w:val="24"/>
          <w:szCs w:val="24"/>
        </w:rPr>
        <w:t>suboption</w:t>
      </w:r>
      <w:proofErr w:type="spellEnd"/>
      <w:r w:rsidRPr="0090581F">
        <w:rPr>
          <w:sz w:val="24"/>
          <w:szCs w:val="24"/>
        </w:rPr>
        <w:t xml:space="preserve"> (targeted), blending the attractive CE ratio of the first increment with the less attractive CE ratio of the second. This is illustrated in a figure:</w:t>
      </w:r>
    </w:p>
    <w:p w:rsidR="00E174B8" w:rsidRDefault="00E174B8">
      <w:pPr>
        <w:ind w:left="1080" w:right="-1080"/>
      </w:pPr>
    </w:p>
    <w:p w:rsidR="00E174B8" w:rsidRPr="00247252" w:rsidRDefault="00E174B8" w:rsidP="00986408">
      <w:pPr>
        <w:pStyle w:val="indentABC"/>
        <w:keepNext/>
        <w:rPr>
          <w:rFonts w:ascii="Times New Roman" w:hAnsi="Times New Roman"/>
          <w:i/>
        </w:rPr>
      </w:pPr>
      <w:r>
        <w:rPr>
          <w:rFonts w:ascii="Times New Roman" w:hAnsi="Times New Roman"/>
          <w:i/>
        </w:rPr>
        <w:lastRenderedPageBreak/>
        <w:t>Figure 6</w:t>
      </w:r>
    </w:p>
    <w:p w:rsidR="00E174B8" w:rsidRDefault="00E174B8">
      <w:pPr>
        <w:ind w:left="720" w:right="-1080"/>
      </w:pPr>
      <w:r w:rsidRPr="0076582D">
        <w:rPr>
          <w:sz w:val="22"/>
        </w:rPr>
        <w:object w:dxaOrig="7590" w:dyaOrig="4320">
          <v:shape id="_x0000_i1026" type="#_x0000_t75" style="width:379.5pt;height:3in" o:ole="" o:bordertopcolor="this" o:borderleftcolor="this" o:borderbottomcolor="this" o:borderrightcolor="this">
            <v:imagedata r:id="rId17" o:title=""/>
            <w10:bordertop type="single" width="4"/>
            <w10:borderleft type="single" width="4"/>
            <w10:borderbottom type="single" width="4"/>
            <w10:borderright type="single" width="4"/>
          </v:shape>
          <o:OLEObject Type="Embed" ProgID="MSDraw.Drawing.8.2" ShapeID="_x0000_i1026" DrawAspect="Content" ObjectID="_1607423371" r:id="rId18"/>
        </w:object>
      </w:r>
    </w:p>
    <w:p w:rsidR="00E174B8" w:rsidRDefault="00E174B8">
      <w:pPr>
        <w:ind w:left="720" w:right="-540"/>
      </w:pPr>
    </w:p>
    <w:p w:rsidR="00E174B8" w:rsidRPr="006F67F6" w:rsidRDefault="00E174B8">
      <w:pPr>
        <w:ind w:left="720" w:right="-540"/>
        <w:rPr>
          <w:sz w:val="24"/>
          <w:szCs w:val="24"/>
        </w:rPr>
      </w:pPr>
      <w:r w:rsidRPr="006F67F6">
        <w:rPr>
          <w:sz w:val="24"/>
          <w:szCs w:val="24"/>
        </w:rPr>
        <w:t>In the figure, the slope represents the CE ratio. A steep slope means a high cost per QALY. The slope for “Targeted” is clearly less than the “decision threshold”, and the slope for “to Universal” is clearly larger. The Average CE slope (non-incremental) is less than the decision threshold, and thus obscures the high “to Universal” slope required to get to the full program. Beware of this pitfall, in published CEAs and in your own work.</w:t>
      </w:r>
      <w:r w:rsidR="004F0C1B">
        <w:rPr>
          <w:sz w:val="24"/>
          <w:szCs w:val="24"/>
        </w:rPr>
        <w:t xml:space="preserve"> We’ll present another example in lecture.</w:t>
      </w:r>
    </w:p>
    <w:p w:rsidR="00E174B8" w:rsidRPr="006F67F6" w:rsidRDefault="00E174B8">
      <w:pPr>
        <w:ind w:left="720" w:right="-1080"/>
        <w:rPr>
          <w:sz w:val="24"/>
          <w:szCs w:val="24"/>
        </w:rPr>
      </w:pPr>
    </w:p>
    <w:p w:rsidR="00E174B8" w:rsidRPr="006F67F6" w:rsidRDefault="00E174B8">
      <w:pPr>
        <w:ind w:left="720" w:right="-1080"/>
        <w:rPr>
          <w:sz w:val="24"/>
          <w:szCs w:val="24"/>
        </w:rPr>
      </w:pPr>
      <w:r w:rsidRPr="006F67F6">
        <w:rPr>
          <w:sz w:val="24"/>
          <w:szCs w:val="24"/>
        </w:rPr>
        <w:t xml:space="preserve">Extensive </w:t>
      </w:r>
      <w:r w:rsidRPr="006F67F6">
        <w:rPr>
          <w:i/>
          <w:iCs/>
          <w:sz w:val="24"/>
          <w:szCs w:val="24"/>
        </w:rPr>
        <w:t>sensitivity analyses</w:t>
      </w:r>
      <w:r w:rsidRPr="006F67F6">
        <w:rPr>
          <w:sz w:val="24"/>
          <w:szCs w:val="24"/>
        </w:rPr>
        <w:t xml:space="preserve"> help debug the software and show how uncertainty in inputs affects results. For example, how much risk of aneurysm rupture does there need to be to warrant clipping surgery? Sensitivity analyses are covered in detail in a later lecture. Here’s a teaser. How high would rupture risk need to recommend clipping?</w:t>
      </w:r>
    </w:p>
    <w:p w:rsidR="00E174B8" w:rsidRDefault="00E174B8">
      <w:pPr>
        <w:ind w:left="720" w:right="-1080"/>
      </w:pPr>
    </w:p>
    <w:p w:rsidR="00E174B8" w:rsidRPr="00247252" w:rsidRDefault="00E174B8" w:rsidP="004F0C1B">
      <w:pPr>
        <w:pStyle w:val="indentABC"/>
        <w:keepNext/>
        <w:rPr>
          <w:rFonts w:ascii="Times New Roman" w:hAnsi="Times New Roman"/>
          <w:i/>
        </w:rPr>
      </w:pPr>
      <w:r>
        <w:rPr>
          <w:rFonts w:ascii="Times New Roman" w:hAnsi="Times New Roman"/>
          <w:i/>
        </w:rPr>
        <w:lastRenderedPageBreak/>
        <w:t>Figure 7</w:t>
      </w:r>
    </w:p>
    <w:p w:rsidR="00E174B8" w:rsidRDefault="00B2405B">
      <w:pPr>
        <w:ind w:left="1440" w:right="-1080"/>
      </w:pPr>
      <w:r>
        <w:rPr>
          <w:noProof/>
        </w:rPr>
        <w:drawing>
          <wp:inline distT="0" distB="0" distL="0" distR="0">
            <wp:extent cx="4867275" cy="2933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67275" cy="2933700"/>
                    </a:xfrm>
                    <a:prstGeom prst="rect">
                      <a:avLst/>
                    </a:prstGeom>
                    <a:noFill/>
                    <a:ln>
                      <a:noFill/>
                    </a:ln>
                  </pic:spPr>
                </pic:pic>
              </a:graphicData>
            </a:graphic>
          </wp:inline>
        </w:drawing>
      </w:r>
    </w:p>
    <w:p w:rsidR="00E174B8" w:rsidRDefault="00E174B8">
      <w:pPr>
        <w:ind w:left="720" w:right="-1080"/>
        <w:rPr>
          <w:b/>
          <w:bCs/>
        </w:rPr>
      </w:pPr>
    </w:p>
    <w:p w:rsidR="004F0C1B" w:rsidRDefault="004F0C1B">
      <w:pPr>
        <w:ind w:left="720" w:right="-1080"/>
        <w:rPr>
          <w:b/>
          <w:bCs/>
        </w:rPr>
      </w:pPr>
    </w:p>
    <w:p w:rsidR="00E174B8" w:rsidRDefault="00E174B8">
      <w:pPr>
        <w:ind w:left="720" w:right="-1080"/>
        <w:rPr>
          <w:b/>
          <w:bCs/>
        </w:rPr>
      </w:pPr>
      <w:r>
        <w:rPr>
          <w:b/>
          <w:bCs/>
        </w:rPr>
        <w:t>Additional reading:</w:t>
      </w:r>
    </w:p>
    <w:p w:rsidR="00E174B8" w:rsidRDefault="00E174B8">
      <w:pPr>
        <w:ind w:right="-720"/>
      </w:pPr>
    </w:p>
    <w:p w:rsidR="0003053B" w:rsidRDefault="00E63EE5" w:rsidP="0003053B">
      <w:pPr>
        <w:ind w:left="1080" w:right="-1080" w:hanging="360"/>
      </w:pPr>
      <w:r>
        <w:t>Appendices available on request from Dr. Kahn.</w:t>
      </w:r>
    </w:p>
    <w:p w:rsidR="0003053B" w:rsidRDefault="0003053B" w:rsidP="0003053B">
      <w:pPr>
        <w:ind w:left="1080" w:right="-1080" w:hanging="360"/>
      </w:pPr>
      <w:r>
        <w:br/>
        <w:t>-- Glossary of Terms &amp; Ideas, Cost-Effectiveness Analysis</w:t>
      </w:r>
    </w:p>
    <w:p w:rsidR="0003053B" w:rsidRDefault="0003053B" w:rsidP="0003053B">
      <w:pPr>
        <w:ind w:left="1080" w:right="-1080" w:hanging="360"/>
      </w:pPr>
    </w:p>
    <w:p w:rsidR="0003053B" w:rsidRDefault="0003053B" w:rsidP="0003053B">
      <w:pPr>
        <w:ind w:left="1080" w:right="-1080" w:hanging="360"/>
      </w:pPr>
      <w:r>
        <w:t xml:space="preserve"> </w:t>
      </w:r>
      <w:r>
        <w:tab/>
        <w:t>-- Conducting a Cost-Effectiveness/Utility/Benefit Analysis – detailed steps (2-page table).</w:t>
      </w:r>
    </w:p>
    <w:p w:rsidR="0003053B" w:rsidRDefault="0003053B" w:rsidP="0003053B">
      <w:pPr>
        <w:tabs>
          <w:tab w:val="left" w:pos="2229"/>
        </w:tabs>
        <w:ind w:left="1080" w:right="-1080" w:hanging="360"/>
      </w:pPr>
      <w:r>
        <w:tab/>
      </w:r>
      <w:r>
        <w:tab/>
      </w:r>
    </w:p>
    <w:p w:rsidR="0003053B" w:rsidRDefault="0003053B" w:rsidP="0003053B">
      <w:pPr>
        <w:ind w:left="1080" w:right="-1080" w:hanging="360"/>
      </w:pPr>
      <w:r>
        <w:t xml:space="preserve"> </w:t>
      </w:r>
      <w:r>
        <w:tab/>
        <w:t>-- Cost-Effectiveness Analysis – detailed steps (narrative). Many topics are discussed more extensively than in the syllabus. Most useful for someone interested in doing a CEA and wanting to further explore the ins and outs of different approaches.</w:t>
      </w:r>
    </w:p>
    <w:p w:rsidR="0003053B" w:rsidRDefault="0003053B" w:rsidP="0003053B">
      <w:pPr>
        <w:ind w:left="1080" w:right="-1080" w:hanging="360"/>
      </w:pPr>
    </w:p>
    <w:p w:rsidR="00E174B8" w:rsidRDefault="00E174B8">
      <w:pPr>
        <w:ind w:left="1080" w:right="-1080" w:hanging="360"/>
        <w:rPr>
          <w:b/>
          <w:bCs/>
        </w:rPr>
      </w:pPr>
      <w:r w:rsidRPr="00634D1B">
        <w:rPr>
          <w:lang w:val="de-DE"/>
        </w:rPr>
        <w:t xml:space="preserve">Gold MR, Siegel JE, Russell LB, Weinstein MC (eds.). </w:t>
      </w:r>
      <w:r>
        <w:rPr>
          <w:i/>
        </w:rPr>
        <w:t>Cost-effectiveness in Health and Medicine.</w:t>
      </w:r>
      <w:r>
        <w:t xml:space="preserve"> New York: Oxford University Press, 1996. </w:t>
      </w:r>
      <w:r w:rsidR="00B2405B">
        <w:rPr>
          <w:b/>
          <w:bCs/>
        </w:rPr>
        <w:t xml:space="preserve">This is </w:t>
      </w:r>
      <w:r>
        <w:rPr>
          <w:b/>
          <w:bCs/>
        </w:rPr>
        <w:t>from the US Panel on Cost-effectiveness in Health and Medicine</w:t>
      </w:r>
      <w:r w:rsidR="0003053B">
        <w:rPr>
          <w:b/>
          <w:bCs/>
        </w:rPr>
        <w:t>; o</w:t>
      </w:r>
      <w:r w:rsidR="002649DF">
        <w:rPr>
          <w:b/>
          <w:bCs/>
        </w:rPr>
        <w:t xml:space="preserve">ld but still an important reference. </w:t>
      </w:r>
      <w:r w:rsidR="0003053B">
        <w:rPr>
          <w:b/>
          <w:bCs/>
        </w:rPr>
        <w:t>Chapter 1 is listed as required reading;</w:t>
      </w:r>
      <w:r>
        <w:rPr>
          <w:b/>
          <w:bCs/>
        </w:rPr>
        <w:t xml:space="preserve"> other chapters review a wide range of topics. See also JAMA articles with the recommendations.</w:t>
      </w:r>
    </w:p>
    <w:p w:rsidR="00E174B8" w:rsidRDefault="00E174B8">
      <w:pPr>
        <w:ind w:left="1080" w:right="-1080" w:hanging="360"/>
        <w:rPr>
          <w:b/>
          <w:bCs/>
        </w:rPr>
      </w:pPr>
    </w:p>
    <w:p w:rsidR="00E174B8" w:rsidRDefault="00E174B8">
      <w:pPr>
        <w:ind w:left="1080" w:right="-1080" w:hanging="360"/>
        <w:rPr>
          <w:b/>
          <w:bCs/>
        </w:rPr>
      </w:pPr>
      <w:r>
        <w:t xml:space="preserve">Drummond MF, </w:t>
      </w:r>
      <w:proofErr w:type="spellStart"/>
      <w:r w:rsidR="002649DF">
        <w:t>Sculpher</w:t>
      </w:r>
      <w:proofErr w:type="spellEnd"/>
      <w:r w:rsidR="002649DF">
        <w:t xml:space="preserve"> MJ, Torrance GW, O’Brien B, </w:t>
      </w:r>
      <w:r>
        <w:t xml:space="preserve">Stoddart </w:t>
      </w:r>
      <w:proofErr w:type="gramStart"/>
      <w:r>
        <w:t>GL,.</w:t>
      </w:r>
      <w:proofErr w:type="gramEnd"/>
      <w:r>
        <w:t xml:space="preserve"> </w:t>
      </w:r>
      <w:r>
        <w:rPr>
          <w:i/>
        </w:rPr>
        <w:t xml:space="preserve">Methods for the economic evaluation of </w:t>
      </w:r>
      <w:r>
        <w:rPr>
          <w:i/>
          <w:iCs/>
        </w:rPr>
        <w:t xml:space="preserve">health care </w:t>
      </w:r>
      <w:proofErr w:type="spellStart"/>
      <w:r>
        <w:rPr>
          <w:i/>
          <w:iCs/>
        </w:rPr>
        <w:t>programmes</w:t>
      </w:r>
      <w:proofErr w:type="spellEnd"/>
      <w:r>
        <w:t xml:space="preserve"> (</w:t>
      </w:r>
      <w:r w:rsidR="002649DF">
        <w:t>3</w:t>
      </w:r>
      <w:r w:rsidR="002649DF" w:rsidRPr="002649DF">
        <w:rPr>
          <w:vertAlign w:val="superscript"/>
        </w:rPr>
        <w:t>rd</w:t>
      </w:r>
      <w:r w:rsidR="002649DF">
        <w:t xml:space="preserve"> </w:t>
      </w:r>
      <w:r>
        <w:t xml:space="preserve">ed). New York: Oxford University Press, </w:t>
      </w:r>
      <w:r w:rsidR="002649DF">
        <w:t>2005</w:t>
      </w:r>
      <w:r>
        <w:t xml:space="preserve">. </w:t>
      </w:r>
      <w:r>
        <w:rPr>
          <w:b/>
          <w:bCs/>
        </w:rPr>
        <w:t>Excellent reference, particularly thorough on costing.</w:t>
      </w:r>
    </w:p>
    <w:p w:rsidR="00E174B8" w:rsidRDefault="00E174B8">
      <w:pPr>
        <w:ind w:left="1080" w:right="-1080" w:hanging="360"/>
        <w:rPr>
          <w:b/>
          <w:bCs/>
        </w:rPr>
      </w:pPr>
    </w:p>
    <w:p w:rsidR="00E174B8" w:rsidRDefault="00E174B8">
      <w:pPr>
        <w:ind w:left="1080" w:right="-1080" w:hanging="360"/>
        <w:rPr>
          <w:b/>
          <w:bCs/>
        </w:rPr>
      </w:pPr>
      <w:r w:rsidRPr="00634D1B">
        <w:rPr>
          <w:lang w:val="de-DE"/>
        </w:rPr>
        <w:t xml:space="preserve">Haddix AC, Teutsch SM, </w:t>
      </w:r>
      <w:r w:rsidR="002649DF">
        <w:rPr>
          <w:lang w:val="de-DE"/>
        </w:rPr>
        <w:t xml:space="preserve">Corso </w:t>
      </w:r>
      <w:r w:rsidR="002649DF">
        <w:t>PS.</w:t>
      </w:r>
      <w:r w:rsidRPr="00634D1B">
        <w:rPr>
          <w:lang w:val="de-DE"/>
        </w:rPr>
        <w:t xml:space="preserve"> </w:t>
      </w:r>
      <w:r>
        <w:t xml:space="preserve">Prevention Effectiveness: A guide to </w:t>
      </w:r>
      <w:r>
        <w:rPr>
          <w:i/>
        </w:rPr>
        <w:t>decision analysis and economic evaluation</w:t>
      </w:r>
      <w:r w:rsidR="002649DF">
        <w:rPr>
          <w:i/>
        </w:rPr>
        <w:t xml:space="preserve"> (2</w:t>
      </w:r>
      <w:r w:rsidR="002649DF" w:rsidRPr="002649DF">
        <w:rPr>
          <w:i/>
          <w:vertAlign w:val="superscript"/>
        </w:rPr>
        <w:t>nd</w:t>
      </w:r>
      <w:r w:rsidR="002649DF">
        <w:rPr>
          <w:i/>
        </w:rPr>
        <w:t xml:space="preserve"> ed)</w:t>
      </w:r>
      <w:r>
        <w:rPr>
          <w:i/>
        </w:rPr>
        <w:t>.</w:t>
      </w:r>
      <w:r>
        <w:t xml:space="preserve"> New York: Oxford University Press, </w:t>
      </w:r>
      <w:r w:rsidR="002649DF">
        <w:t>2002</w:t>
      </w:r>
      <w:r>
        <w:t xml:space="preserve">. </w:t>
      </w:r>
      <w:proofErr w:type="gramStart"/>
      <w:r w:rsidR="002649DF">
        <w:rPr>
          <w:b/>
          <w:bCs/>
        </w:rPr>
        <w:t>Also</w:t>
      </w:r>
      <w:proofErr w:type="gramEnd"/>
      <w:r w:rsidR="002649DF">
        <w:rPr>
          <w:b/>
          <w:bCs/>
        </w:rPr>
        <w:t xml:space="preserve"> an</w:t>
      </w:r>
      <w:r>
        <w:rPr>
          <w:b/>
          <w:bCs/>
        </w:rPr>
        <w:t xml:space="preserve"> excellent, practical reference.</w:t>
      </w:r>
    </w:p>
    <w:p w:rsidR="00E174B8" w:rsidRDefault="00E174B8">
      <w:pPr>
        <w:pStyle w:val="indent1"/>
        <w:spacing w:line="240" w:lineRule="exact"/>
        <w:ind w:left="720" w:firstLine="0"/>
        <w:rPr>
          <w:rFonts w:ascii="Times New Roman" w:hAnsi="Times New Roman"/>
        </w:rPr>
      </w:pPr>
    </w:p>
    <w:sectPr w:rsidR="00E174B8" w:rsidSect="0076582D">
      <w:headerReference w:type="default" r:id="rId2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CB1" w:rsidRDefault="00C55CB1">
      <w:r>
        <w:separator/>
      </w:r>
    </w:p>
  </w:endnote>
  <w:endnote w:type="continuationSeparator" w:id="0">
    <w:p w:rsidR="00C55CB1" w:rsidRDefault="00C5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CB1" w:rsidRDefault="00C55CB1">
      <w:r>
        <w:separator/>
      </w:r>
    </w:p>
  </w:footnote>
  <w:footnote w:type="continuationSeparator" w:id="0">
    <w:p w:rsidR="00C55CB1" w:rsidRDefault="00C55CB1">
      <w:r>
        <w:continuationSeparator/>
      </w:r>
    </w:p>
  </w:footnote>
  <w:footnote w:id="1">
    <w:p w:rsidR="00370E27" w:rsidRDefault="00370E27">
      <w:pPr>
        <w:pStyle w:val="FootnoteText"/>
        <w:widowControl w:val="0"/>
        <w:ind w:right="-360"/>
      </w:pPr>
      <w:r>
        <w:rPr>
          <w:rStyle w:val="FootnoteReference"/>
        </w:rPr>
        <w:footnoteRef/>
      </w:r>
      <w:r>
        <w:t xml:space="preserve"> The preference for spending on curative care results from several related factors: our society's moral commitment to saving lives; the emotional drive to care for a sick patient; and our greater valuing of a 50% chance of saving one identified person vs. saving 0.5 lives in 100 unidentified persons via prevention.</w:t>
      </w:r>
    </w:p>
  </w:footnote>
  <w:footnote w:id="2">
    <w:p w:rsidR="00370E27" w:rsidRDefault="00370E27">
      <w:pPr>
        <w:pStyle w:val="FootnoteText"/>
        <w:widowControl w:val="0"/>
      </w:pPr>
      <w:r>
        <w:rPr>
          <w:rStyle w:val="FootnoteReference"/>
        </w:rPr>
        <w:footnoteRef/>
      </w:r>
      <w:r>
        <w:t xml:space="preserve"> The term "health outcomes" is used in two senses in CEA: an estimate that results from the CEA and the results of clinical </w:t>
      </w:r>
      <w:r>
        <w:t xml:space="preserve">studies which are used as inputs into the CEA. Distinct terms would reduce confusion, but there are no such standardized terms.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E27" w:rsidRDefault="00370E27" w:rsidP="00E174B8">
    <w:pPr>
      <w:pStyle w:val="Header"/>
      <w:jc w:val="center"/>
      <w:rPr>
        <w:smallCaps/>
      </w:rPr>
    </w:pPr>
    <w:r>
      <w:rPr>
        <w:smallCaps/>
      </w:rPr>
      <w:t xml:space="preserve">                                                                        Decision and Cost-Effectiveness Analysis</w:t>
    </w:r>
  </w:p>
  <w:p w:rsidR="00370E27" w:rsidRDefault="00370E27" w:rsidP="00E174B8">
    <w:pPr>
      <w:pStyle w:val="Header"/>
      <w:jc w:val="center"/>
      <w:rPr>
        <w:smallCaps/>
      </w:rPr>
    </w:pPr>
    <w:r>
      <w:rPr>
        <w:smallCaps/>
      </w:rPr>
      <w:t xml:space="preserve">                                                                   TICR, UCSF, Winter 201</w:t>
    </w:r>
    <w:r w:rsidR="002E12D1">
      <w:rPr>
        <w:smallCaps/>
      </w:rPr>
      <w:t>9</w:t>
    </w:r>
    <w:r>
      <w:rPr>
        <w:smallCaps/>
      </w:rPr>
      <w:t xml:space="preserve">. Lecture 3, </w:t>
    </w:r>
    <w:r>
      <w:rPr>
        <w:smallCaps/>
        <w:snapToGrid w:val="0"/>
      </w:rPr>
      <w:t xml:space="preserve">Page </w:t>
    </w:r>
    <w:r w:rsidR="0076582D">
      <w:rPr>
        <w:smallCaps/>
        <w:snapToGrid w:val="0"/>
      </w:rPr>
      <w:fldChar w:fldCharType="begin"/>
    </w:r>
    <w:r>
      <w:rPr>
        <w:smallCaps/>
        <w:snapToGrid w:val="0"/>
      </w:rPr>
      <w:instrText xml:space="preserve"> PAGE </w:instrText>
    </w:r>
    <w:r w:rsidR="0076582D">
      <w:rPr>
        <w:smallCaps/>
        <w:snapToGrid w:val="0"/>
      </w:rPr>
      <w:fldChar w:fldCharType="separate"/>
    </w:r>
    <w:r w:rsidR="00884DCC">
      <w:rPr>
        <w:smallCaps/>
        <w:noProof/>
        <w:snapToGrid w:val="0"/>
      </w:rPr>
      <w:t>16</w:t>
    </w:r>
    <w:r w:rsidR="0076582D">
      <w:rPr>
        <w:smallCaps/>
        <w:snapToGrid w:val="0"/>
      </w:rPr>
      <w:fldChar w:fldCharType="end"/>
    </w:r>
    <w:r>
      <w:rPr>
        <w:smallCaps/>
        <w:snapToGrid w:val="0"/>
      </w:rPr>
      <w:t xml:space="preserve"> of </w:t>
    </w:r>
    <w:r w:rsidR="0076582D">
      <w:rPr>
        <w:smallCaps/>
        <w:snapToGrid w:val="0"/>
      </w:rPr>
      <w:fldChar w:fldCharType="begin"/>
    </w:r>
    <w:r>
      <w:rPr>
        <w:smallCaps/>
        <w:snapToGrid w:val="0"/>
      </w:rPr>
      <w:instrText xml:space="preserve"> NUMPAGES </w:instrText>
    </w:r>
    <w:r w:rsidR="0076582D">
      <w:rPr>
        <w:smallCaps/>
        <w:snapToGrid w:val="0"/>
      </w:rPr>
      <w:fldChar w:fldCharType="separate"/>
    </w:r>
    <w:r w:rsidR="00884DCC">
      <w:rPr>
        <w:smallCaps/>
        <w:noProof/>
        <w:snapToGrid w:val="0"/>
      </w:rPr>
      <w:t>16</w:t>
    </w:r>
    <w:r w:rsidR="0076582D">
      <w:rPr>
        <w:smallCaps/>
        <w:snapToGrid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4" w15:restartNumberingAfterBreak="0">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6" w15:restartNumberingAfterBreak="0">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130728"/>
    <w:multiLevelType w:val="singleLevel"/>
    <w:tmpl w:val="61FC95D8"/>
    <w:lvl w:ilvl="0">
      <w:start w:val="1"/>
      <w:numFmt w:val="decimal"/>
      <w:lvlText w:val="%1."/>
      <w:legacy w:legacy="1" w:legacySpace="0" w:legacyIndent="720"/>
      <w:lvlJc w:val="left"/>
      <w:pPr>
        <w:ind w:left="720" w:hanging="720"/>
      </w:pPr>
    </w:lvl>
  </w:abstractNum>
  <w:num w:numId="1">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4"/>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numFmt w:val="bullet"/>
        <w:lvlText w:val="•"/>
        <w:legacy w:legacy="1" w:legacySpace="0" w:legacyIndent="0"/>
        <w:lvlJc w:val="left"/>
        <w:rPr>
          <w:rFonts w:ascii="Times New Roman" w:hAnsi="Times New Roman" w:hint="default"/>
          <w:sz w:val="28"/>
        </w:rPr>
      </w:lvl>
    </w:lvlOverride>
  </w:num>
  <w:num w:numId="5">
    <w:abstractNumId w:val="1"/>
    <w:lvlOverride w:ilvl="0">
      <w:lvl w:ilvl="0">
        <w:numFmt w:val="bullet"/>
        <w:lvlText w:val="–"/>
        <w:legacy w:legacy="1" w:legacySpace="0" w:legacyIndent="0"/>
        <w:lvlJc w:val="left"/>
        <w:rPr>
          <w:rFonts w:ascii="Times New Roman" w:hAnsi="Times New Roman" w:hint="default"/>
          <w:sz w:val="24"/>
        </w:rPr>
      </w:lvl>
    </w:lvlOverride>
  </w:num>
  <w:num w:numId="6">
    <w:abstractNumId w:val="0"/>
  </w:num>
  <w:num w:numId="7">
    <w:abstractNumId w:val="5"/>
  </w:num>
  <w:num w:numId="8">
    <w:abstractNumId w:val="7"/>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921"/>
    <w:rsid w:val="0003053B"/>
    <w:rsid w:val="000B3F10"/>
    <w:rsid w:val="000E3BCA"/>
    <w:rsid w:val="00154F57"/>
    <w:rsid w:val="002323E1"/>
    <w:rsid w:val="002649DF"/>
    <w:rsid w:val="002E12D1"/>
    <w:rsid w:val="00326A33"/>
    <w:rsid w:val="00370E27"/>
    <w:rsid w:val="004657B6"/>
    <w:rsid w:val="00496421"/>
    <w:rsid w:val="004968CA"/>
    <w:rsid w:val="004F0C1B"/>
    <w:rsid w:val="005F1BBB"/>
    <w:rsid w:val="005F27DE"/>
    <w:rsid w:val="0067047A"/>
    <w:rsid w:val="006B4EE8"/>
    <w:rsid w:val="006E7151"/>
    <w:rsid w:val="006F67F6"/>
    <w:rsid w:val="00733809"/>
    <w:rsid w:val="0076582D"/>
    <w:rsid w:val="00771ED5"/>
    <w:rsid w:val="00826803"/>
    <w:rsid w:val="00884DCC"/>
    <w:rsid w:val="008B48E0"/>
    <w:rsid w:val="0090581F"/>
    <w:rsid w:val="009462D8"/>
    <w:rsid w:val="00981AE9"/>
    <w:rsid w:val="00986408"/>
    <w:rsid w:val="0099280A"/>
    <w:rsid w:val="009C145C"/>
    <w:rsid w:val="009E4DEF"/>
    <w:rsid w:val="00A96921"/>
    <w:rsid w:val="00B2405B"/>
    <w:rsid w:val="00C455EC"/>
    <w:rsid w:val="00C55CB1"/>
    <w:rsid w:val="00CB779A"/>
    <w:rsid w:val="00D169D4"/>
    <w:rsid w:val="00E02A54"/>
    <w:rsid w:val="00E174B8"/>
    <w:rsid w:val="00E63EE5"/>
    <w:rsid w:val="00F13999"/>
    <w:rsid w:val="00F84AC5"/>
    <w:rsid w:val="00FA2526"/>
    <w:rsid w:val="00FB1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BC2EA9"/>
  <w15:docId w15:val="{13832693-3EE4-4F54-8F16-8168AF03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qFormat/>
    <w:rsid w:val="004968CA"/>
    <w:pPr>
      <w:keepNext/>
      <w:spacing w:before="240" w:after="60"/>
      <w:outlineLvl w:val="2"/>
    </w:pPr>
    <w:rPr>
      <w:rFonts w:ascii="Arial" w:hAnsi="Arial" w:cs="Arial"/>
      <w:b/>
      <w:bCs/>
      <w:sz w:val="26"/>
      <w:szCs w:val="26"/>
    </w:rPr>
  </w:style>
  <w:style w:type="paragraph" w:styleId="Heading9">
    <w:name w:val="heading 9"/>
    <w:basedOn w:val="Normal"/>
    <w:next w:val="Normal"/>
    <w:qFormat/>
    <w:pPr>
      <w:keepNext/>
      <w:overflowPunct w:val="0"/>
      <w:autoSpaceDE w:val="0"/>
      <w:autoSpaceDN w:val="0"/>
      <w:adjustRightInd w:val="0"/>
      <w:ind w:right="-1080"/>
      <w:textAlignment w:val="baseline"/>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customStyle="1" w:styleId="headingI">
    <w:name w:val="heading I"/>
    <w:aliases w:val="II,III"/>
    <w:pPr>
      <w:keepNext/>
      <w:tabs>
        <w:tab w:val="left" w:pos="260"/>
      </w:tabs>
      <w:overflowPunct w:val="0"/>
      <w:autoSpaceDE w:val="0"/>
      <w:autoSpaceDN w:val="0"/>
      <w:adjustRightInd w:val="0"/>
      <w:ind w:right="-360"/>
      <w:textAlignment w:val="baseline"/>
    </w:pPr>
    <w:rPr>
      <w:rFonts w:ascii="Times" w:hAnsi="Times"/>
      <w:b/>
      <w:sz w:val="24"/>
    </w:r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paragraph" w:customStyle="1" w:styleId="indent1">
    <w:name w:val="indent 1"/>
    <w:aliases w:val="2,3"/>
    <w:basedOn w:val="indentABC"/>
    <w:pPr>
      <w:ind w:left="1440"/>
    </w:pPr>
  </w:style>
  <w:style w:type="character" w:styleId="FootnoteReference">
    <w:name w:val="footnote reference"/>
    <w:basedOn w:val="DefaultParagraphFont"/>
    <w:semiHidden/>
    <w:rPr>
      <w:position w:val="6"/>
      <w:sz w:val="16"/>
    </w:rPr>
  </w:style>
  <w:style w:type="paragraph" w:customStyle="1" w:styleId="table">
    <w:name w:val="table"/>
    <w:pPr>
      <w:overflowPunct w:val="0"/>
      <w:autoSpaceDE w:val="0"/>
      <w:autoSpaceDN w:val="0"/>
      <w:adjustRightInd w:val="0"/>
      <w:spacing w:before="40" w:after="40"/>
      <w:textAlignment w:val="baseline"/>
    </w:pPr>
    <w:rPr>
      <w:rFonts w:ascii="Times" w:hAnsi="Times"/>
      <w:sz w:val="24"/>
    </w:rPr>
  </w:style>
  <w:style w:type="paragraph" w:customStyle="1" w:styleId="HRRCexample">
    <w:name w:val="HRRC example"/>
    <w:basedOn w:val="indent1"/>
    <w:pPr>
      <w:pBdr>
        <w:top w:val="single" w:sz="6" w:space="0" w:color="auto"/>
        <w:left w:val="single" w:sz="6" w:space="0" w:color="auto"/>
        <w:bottom w:val="single" w:sz="6" w:space="0" w:color="auto"/>
        <w:right w:val="single" w:sz="6" w:space="0" w:color="auto"/>
      </w:pBdr>
      <w:ind w:firstLine="0"/>
    </w:pPr>
  </w:style>
  <w:style w:type="paragraph" w:styleId="FootnoteText">
    <w:name w:val="footnote text"/>
    <w:basedOn w:val="Normal"/>
    <w:next w:val="Normal"/>
    <w:semiHidden/>
    <w:pPr>
      <w:overflowPunct w:val="0"/>
      <w:autoSpaceDE w:val="0"/>
      <w:autoSpaceDN w:val="0"/>
      <w:adjustRightInd w:val="0"/>
      <w:textAlignment w:val="baseline"/>
    </w:pPr>
    <w:rPr>
      <w:rFonts w:ascii="Times" w:hAnsi="Times"/>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Footer">
    <w:name w:val="footer"/>
    <w:basedOn w:val="Normal"/>
    <w:rsid w:val="00A96921"/>
    <w:pPr>
      <w:tabs>
        <w:tab w:val="center" w:pos="4320"/>
        <w:tab w:val="right" w:pos="8640"/>
      </w:tabs>
    </w:pPr>
  </w:style>
  <w:style w:type="character" w:styleId="Hyperlink">
    <w:name w:val="Hyperlink"/>
    <w:unhideWhenUsed/>
    <w:rsid w:val="00D169D4"/>
    <w:rPr>
      <w:color w:val="0000FF"/>
      <w:u w:val="single"/>
    </w:rPr>
  </w:style>
  <w:style w:type="character" w:customStyle="1" w:styleId="apple-converted-space">
    <w:name w:val="apple-converted-space"/>
    <w:rsid w:val="00D169D4"/>
  </w:style>
  <w:style w:type="character" w:styleId="FollowedHyperlink">
    <w:name w:val="FollowedHyperlink"/>
    <w:basedOn w:val="DefaultParagraphFont"/>
    <w:rsid w:val="00D169D4"/>
    <w:rPr>
      <w:color w:val="800080"/>
      <w:u w:val="single"/>
    </w:rPr>
  </w:style>
  <w:style w:type="character" w:styleId="Emphasis">
    <w:name w:val="Emphasis"/>
    <w:basedOn w:val="DefaultParagraphFont"/>
    <w:qFormat/>
    <w:rsid w:val="004968CA"/>
    <w:rPr>
      <w:i/>
      <w:iCs/>
    </w:rPr>
  </w:style>
  <w:style w:type="paragraph" w:styleId="BalloonText">
    <w:name w:val="Balloon Text"/>
    <w:basedOn w:val="Normal"/>
    <w:link w:val="BalloonTextChar"/>
    <w:uiPriority w:val="99"/>
    <w:semiHidden/>
    <w:unhideWhenUsed/>
    <w:rsid w:val="0003053B"/>
    <w:rPr>
      <w:rFonts w:ascii="Tahoma" w:hAnsi="Tahoma" w:cs="Tahoma"/>
      <w:sz w:val="16"/>
      <w:szCs w:val="16"/>
    </w:rPr>
  </w:style>
  <w:style w:type="character" w:customStyle="1" w:styleId="BalloonTextChar">
    <w:name w:val="Balloon Text Char"/>
    <w:basedOn w:val="DefaultParagraphFont"/>
    <w:link w:val="BalloonText"/>
    <w:uiPriority w:val="99"/>
    <w:semiHidden/>
    <w:rsid w:val="000305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00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21999776" TargetMode="External"/><Relationship Id="rId13" Type="http://schemas.openxmlformats.org/officeDocument/2006/relationships/image" Target="media/image2.wmf"/><Relationship Id="rId18"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ncbi.nlm.nih.gov/books/NBK10253/" TargetMode="External"/><Relationship Id="rId12" Type="http://schemas.openxmlformats.org/officeDocument/2006/relationships/oleObject" Target="embeddings/oleObject1.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hyperlink" Target="https://research.tufts-nemc.org/cear4/default.aspx" TargetMode="Externa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hyperlink" Target="http://www.theglobalfund.org/" TargetMode="Externa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4165</Words>
  <Characters>23742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DECISION AND COST-EFFECTIVENESS ANALYSIS</vt:lpstr>
    </vt:vector>
  </TitlesOfParts>
  <Company>UCSF-PSG</Company>
  <LinksUpToDate>false</LinksUpToDate>
  <CharactersWithSpaces>27852</CharactersWithSpaces>
  <SharedDoc>false</SharedDoc>
  <HLinks>
    <vt:vector size="24" baseType="variant">
      <vt:variant>
        <vt:i4>7274603</vt:i4>
      </vt:variant>
      <vt:variant>
        <vt:i4>9</vt:i4>
      </vt:variant>
      <vt:variant>
        <vt:i4>0</vt:i4>
      </vt:variant>
      <vt:variant>
        <vt:i4>5</vt:i4>
      </vt:variant>
      <vt:variant>
        <vt:lpwstr>https://research.tufts-nemc.org/cear4/default.aspx</vt:lpwstr>
      </vt:variant>
      <vt:variant>
        <vt:lpwstr/>
      </vt:variant>
      <vt:variant>
        <vt:i4>4259845</vt:i4>
      </vt:variant>
      <vt:variant>
        <vt:i4>6</vt:i4>
      </vt:variant>
      <vt:variant>
        <vt:i4>0</vt:i4>
      </vt:variant>
      <vt:variant>
        <vt:i4>5</vt:i4>
      </vt:variant>
      <vt:variant>
        <vt:lpwstr>http://www.theglobalfund.org/</vt:lpwstr>
      </vt:variant>
      <vt:variant>
        <vt:lpwstr/>
      </vt:variant>
      <vt:variant>
        <vt:i4>3473449</vt:i4>
      </vt:variant>
      <vt:variant>
        <vt:i4>3</vt:i4>
      </vt:variant>
      <vt:variant>
        <vt:i4>0</vt:i4>
      </vt:variant>
      <vt:variant>
        <vt:i4>5</vt:i4>
      </vt:variant>
      <vt:variant>
        <vt:lpwstr>http://www.ncbi.nlm.nih.gov/pubmed/21999776</vt:lpwstr>
      </vt:variant>
      <vt:variant>
        <vt:lpwstr/>
      </vt:variant>
      <vt:variant>
        <vt:i4>3473456</vt:i4>
      </vt:variant>
      <vt:variant>
        <vt:i4>0</vt:i4>
      </vt:variant>
      <vt:variant>
        <vt:i4>0</vt:i4>
      </vt:variant>
      <vt:variant>
        <vt:i4>5</vt:i4>
      </vt:variant>
      <vt:variant>
        <vt:lpwstr>http://www.ncbi.nlm.nih.gov/books/NBK10253/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COST-EFFECTIVENESS ANALYSIS</dc:title>
  <dc:creator>Anna Weisman</dc:creator>
  <cp:lastModifiedBy>Elliot Marseille</cp:lastModifiedBy>
  <cp:revision>2</cp:revision>
  <dcterms:created xsi:type="dcterms:W3CDTF">2018-12-27T21:43:00Z</dcterms:created>
  <dcterms:modified xsi:type="dcterms:W3CDTF">2018-12-27T21:43:00Z</dcterms:modified>
</cp:coreProperties>
</file>