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w:t>
      </w:r>
      <w:r>
        <w:t xml:space="preserve"> </w:t>
      </w:r>
      <w:r>
        <w:t xml:space="preserve">#8:</w:t>
      </w:r>
      <w:r>
        <w:t xml:space="preserve"> </w:t>
      </w:r>
      <w:r>
        <w:t xml:space="preserve">Unsupervised</w:t>
      </w:r>
      <w:r>
        <w:t xml:space="preserve"> </w:t>
      </w:r>
      <w:r>
        <w:t xml:space="preserve">Learning</w:t>
      </w:r>
    </w:p>
    <w:p>
      <w:pPr>
        <w:pStyle w:val="Heading1"/>
      </w:pPr>
      <w:bookmarkStart w:id="21" w:name="biostat-216-machine-learning-in-r-for-the-biomedical-sciences"/>
      <w:bookmarkEnd w:id="21"/>
      <w:r>
        <w:t xml:space="preserve">Biostat 216: Machine Learning in R for the Biomedical Sciences</w:t>
      </w:r>
    </w:p>
    <w:p>
      <w:pPr>
        <w:pStyle w:val="Heading2"/>
      </w:pPr>
      <w:bookmarkStart w:id="22" w:name="principal-components-analysis"/>
      <w:bookmarkEnd w:id="22"/>
      <w:r>
        <w:t xml:space="preserve">Principal Components Analysis</w:t>
      </w:r>
    </w:p>
    <w:p>
      <w:pPr>
        <w:numPr>
          <w:numId w:val="1001"/>
          <w:ilvl w:val="0"/>
        </w:numPr>
      </w:pPr>
      <w:r>
        <w:t xml:space="preserve">Read in the breast cancer imaging data</w:t>
      </w:r>
      <w:r>
        <w:t xml:space="preserve"> </w:t>
      </w:r>
      <w:r>
        <w:t xml:space="preserve">“</w:t>
      </w:r>
      <w:r>
        <w:t xml:space="preserve">ispy1doctored2.csv</w:t>
      </w:r>
      <w:r>
        <w:t xml:space="preserve">”</w:t>
      </w:r>
      <w:r>
        <w:t xml:space="preserve"> </w:t>
      </w:r>
      <w:r>
        <w:t xml:space="preserve">into a data frame called</w:t>
      </w:r>
      <w:r>
        <w:t xml:space="preserve"> </w:t>
      </w:r>
      <w:r>
        <w:rPr>
          <w:rStyle w:val="VerbatimChar"/>
        </w:rPr>
        <w:t xml:space="preserve">dat</w:t>
      </w:r>
    </w:p>
    <w:p>
      <w:pPr>
        <w:numPr>
          <w:numId w:val="1001"/>
          <w:ilvl w:val="0"/>
        </w:numPr>
      </w:pPr>
      <w:r>
        <w:t xml:space="preserve">Perform principal components on just the variables</w:t>
      </w:r>
      <w:r>
        <w:t xml:space="preserve"> </w:t>
      </w:r>
      <w:r>
        <w:rPr>
          <w:rStyle w:val="VerbatimChar"/>
        </w:rPr>
        <w:t xml:space="preserve">"pixelVolT0", "pixelVolT1", "pixelVolT2", "pixelVolTfinal", "pixelVolPctChgT0_T1", "ftvPeT0", "ftvPeT1", "ftvPeT2", "ftvPeTfinal", "ftvPePctChgT0_T1", "age", "MRI_LD_T0", "MRI_LD_T1", "MRI_LD_T2", "MRI_LD_Tfinal"</w:t>
      </w:r>
      <w:r>
        <w:t xml:space="preserve">. Use the command</w:t>
      </w:r>
      <w:r>
        <w:t xml:space="preserve"> </w:t>
      </w:r>
      <w:r>
        <w:rPr>
          <w:rStyle w:val="VerbatimChar"/>
        </w:rPr>
        <w:t xml:space="preserve">pr.out &lt;- prcomp(~ pixelVolT0 + pixelVolT1 + pixelVolT2 + pixelVolTfinal + pixelVolPctChgT0_T1 + ftvPeT0 + ftvPeT1 + ftvPeT2 + ftvPeTfinal + ftvPePctChgT0_T1 + age + MRI_LD_T0 + MRI_LD_T1 + MRI_LD_T2 + MRI_LD_Tfinal, data = dat, scale=TRUE)</w:t>
      </w:r>
      <w:r>
        <w:t xml:space="preserve">. The</w:t>
      </w:r>
      <w:r>
        <w:t xml:space="preserve"> </w:t>
      </w:r>
      <w:r>
        <w:rPr>
          <w:rStyle w:val="VerbatimChar"/>
        </w:rPr>
        <w:t xml:space="preserve">scale=TRUE</w:t>
      </w:r>
      <w:r>
        <w:t xml:space="preserve"> </w:t>
      </w:r>
      <w:r>
        <w:t xml:space="preserve">argument makes all the variables be normalized before performing PCA.</w:t>
      </w:r>
    </w:p>
    <w:p>
      <w:pPr>
        <w:numPr>
          <w:numId w:val="1001"/>
          <w:ilvl w:val="0"/>
        </w:numPr>
      </w:pPr>
      <w:r>
        <w:t xml:space="preserve">Look at the</w:t>
      </w:r>
      <w:r>
        <w:t xml:space="preserve"> </w:t>
      </w:r>
      <w:r>
        <w:rPr>
          <w:rStyle w:val="VerbatimChar"/>
        </w:rPr>
        <w:t xml:space="preserve">center</w:t>
      </w:r>
      <w:r>
        <w:t xml:space="preserve"> </w:t>
      </w:r>
      <w:r>
        <w:t xml:space="preserve">and</w:t>
      </w:r>
      <w:r>
        <w:t xml:space="preserve"> </w:t>
      </w:r>
      <w:r>
        <w:rPr>
          <w:rStyle w:val="VerbatimChar"/>
        </w:rPr>
        <w:t xml:space="preserve">scale</w:t>
      </w:r>
      <w:r>
        <w:t xml:space="preserve"> </w:t>
      </w:r>
      <w:r>
        <w:t xml:space="preserve">components of</w:t>
      </w:r>
      <w:r>
        <w:t xml:space="preserve"> </w:t>
      </w:r>
      <w:r>
        <w:rPr>
          <w:rStyle w:val="VerbatimChar"/>
        </w:rPr>
        <w:t xml:space="preserve">pr.out</w:t>
      </w:r>
      <w:r>
        <w:t xml:space="preserve">. These correspond to the means and standard deviations of the variables that were used for scaling prior to implementing PCA. E.g.</w:t>
      </w:r>
      <w:r>
        <w:t xml:space="preserve"> </w:t>
      </w:r>
      <w:r>
        <w:rPr>
          <w:rStyle w:val="VerbatimChar"/>
        </w:rPr>
        <w:t xml:space="preserve">pr.out$center</w:t>
      </w:r>
    </w:p>
    <w:p>
      <w:pPr>
        <w:numPr>
          <w:numId w:val="1001"/>
          <w:ilvl w:val="0"/>
        </w:numPr>
      </w:pPr>
      <w:r>
        <w:t xml:space="preserve">What is the dimension of the part of the data frame that you performed PCA on? Hint: you can find it as an object in</w:t>
      </w:r>
      <w:r>
        <w:t xml:space="preserve"> </w:t>
      </w:r>
      <w:r>
        <w:rPr>
          <w:rStyle w:val="VerbatimChar"/>
        </w:rPr>
        <w:t xml:space="preserve">pr.out</w:t>
      </w:r>
      <w:r>
        <w:t xml:space="preserve"> </w:t>
      </w:r>
      <w:r>
        <w:t xml:space="preserve">– check</w:t>
      </w:r>
      <w:r>
        <w:t xml:space="preserve"> </w:t>
      </w:r>
      <w:r>
        <w:rPr>
          <w:rStyle w:val="VerbatimChar"/>
        </w:rPr>
        <w:t xml:space="preserve">?pr.out</w:t>
      </w:r>
    </w:p>
    <w:p>
      <w:pPr>
        <w:numPr>
          <w:numId w:val="1001"/>
          <w:ilvl w:val="0"/>
        </w:numPr>
      </w:pPr>
      <w:r>
        <w:t xml:space="preserve">Now look at the</w:t>
      </w:r>
      <w:r>
        <w:t xml:space="preserve"> </w:t>
      </w:r>
      <w:r>
        <w:rPr>
          <w:rStyle w:val="VerbatimChar"/>
        </w:rPr>
        <w:t xml:space="preserve">rotation</w:t>
      </w:r>
      <w:r>
        <w:t xml:space="preserve"> </w:t>
      </w:r>
      <w:r>
        <w:t xml:space="preserve">matrix component of</w:t>
      </w:r>
      <w:r>
        <w:t xml:space="preserve"> </w:t>
      </w:r>
      <w:r>
        <w:rPr>
          <w:rStyle w:val="VerbatimChar"/>
        </w:rPr>
        <w:t xml:space="preserve">pr.out</w:t>
      </w:r>
      <w:r>
        <w:t xml:space="preserve"> </w:t>
      </w:r>
      <w:r>
        <w:t xml:space="preserve">which gives the principal component loading vector. How many PCs are there? Does that agree with what you would expect?</w:t>
      </w:r>
    </w:p>
    <w:p>
      <w:pPr>
        <w:numPr>
          <w:numId w:val="1001"/>
          <w:ilvl w:val="0"/>
        </w:numPr>
      </w:pPr>
      <w:r>
        <w:t xml:space="preserve">Plot the first two principal components with</w:t>
      </w:r>
      <w:r>
        <w:t xml:space="preserve"> </w:t>
      </w:r>
      <w:r>
        <w:rPr>
          <w:rStyle w:val="VerbatimChar"/>
        </w:rPr>
        <w:t xml:space="preserve">biplot(pr.out, scale=0)</w:t>
      </w:r>
      <w:r>
        <w:t xml:space="preserve">. The</w:t>
      </w:r>
      <w:r>
        <w:t xml:space="preserve"> </w:t>
      </w:r>
      <w:r>
        <w:rPr>
          <w:rStyle w:val="VerbatimChar"/>
        </w:rPr>
        <w:t xml:space="preserve">scale=0</w:t>
      </w:r>
      <w:r>
        <w:t xml:space="preserve"> </w:t>
      </w:r>
      <w:r>
        <w:t xml:space="preserve">argument ensures that arrows are scaled to represent the loadings.</w:t>
      </w:r>
    </w:p>
    <w:p>
      <w:pPr>
        <w:numPr>
          <w:numId w:val="1001"/>
          <w:ilvl w:val="0"/>
        </w:numPr>
      </w:pPr>
      <w:r>
        <w:t xml:space="preserve">The red arrows represent the loadings and there contributions to each PC. Why do you think there are many arrows that are almost overlapping?</w:t>
      </w:r>
    </w:p>
    <w:p>
      <w:pPr>
        <w:numPr>
          <w:numId w:val="1001"/>
          <w:ilvl w:val="0"/>
        </w:numPr>
      </w:pPr>
      <w:r>
        <w:t xml:space="preserve">Look at the</w:t>
      </w:r>
      <w:r>
        <w:t xml:space="preserve"> </w:t>
      </w:r>
      <w:r>
        <w:rPr>
          <w:rStyle w:val="VerbatimChar"/>
        </w:rPr>
        <w:t xml:space="preserve">sdev</w:t>
      </w:r>
      <w:r>
        <w:t xml:space="preserve"> </w:t>
      </w:r>
      <w:r>
        <w:t xml:space="preserve">component of</w:t>
      </w:r>
      <w:r>
        <w:t xml:space="preserve"> </w:t>
      </w:r>
      <w:r>
        <w:rPr>
          <w:rStyle w:val="VerbatimChar"/>
        </w:rPr>
        <w:t xml:space="preserve">pr.out</w:t>
      </w:r>
      <w:r>
        <w:t xml:space="preserve">. This gives the standard deviation of each PC.</w:t>
      </w:r>
    </w:p>
    <w:p>
      <w:pPr>
        <w:numPr>
          <w:numId w:val="1001"/>
          <w:ilvl w:val="0"/>
        </w:numPr>
      </w:pPr>
      <w:r>
        <w:t xml:space="preserve">Generate a vector</w:t>
      </w:r>
      <w:r>
        <w:t xml:space="preserve"> </w:t>
      </w:r>
      <w:r>
        <w:rPr>
          <w:rStyle w:val="VerbatimChar"/>
        </w:rPr>
        <w:t xml:space="preserve">pr.var</w:t>
      </w:r>
      <w:r>
        <w:t xml:space="preserve"> </w:t>
      </w:r>
      <w:r>
        <w:t xml:space="preserve">that is the variance explained by each PC by squaring the standard deviations.</w:t>
      </w:r>
    </w:p>
    <w:p>
      <w:pPr>
        <w:numPr>
          <w:numId w:val="1001"/>
          <w:ilvl w:val="0"/>
        </w:numPr>
      </w:pPr>
      <w:r>
        <w:t xml:space="preserve">Generate a new vector</w:t>
      </w:r>
      <w:r>
        <w:t xml:space="preserve"> </w:t>
      </w:r>
      <w:r>
        <w:rPr>
          <w:rStyle w:val="VerbatimChar"/>
        </w:rPr>
        <w:t xml:space="preserve">pve</w:t>
      </w:r>
      <w:r>
        <w:t xml:space="preserve"> </w:t>
      </w:r>
      <w:r>
        <w:t xml:space="preserve">that is the proportion of variance explained by each vector. Generate the</w:t>
      </w:r>
      <w:r>
        <w:t xml:space="preserve"> </w:t>
      </w:r>
      <w:r>
        <w:rPr>
          <w:rStyle w:val="VerbatimChar"/>
        </w:rPr>
        <w:t xml:space="preserve">sum</w:t>
      </w:r>
      <w:r>
        <w:t xml:space="preserve"> </w:t>
      </w:r>
      <w:r>
        <w:t xml:space="preserve">of</w:t>
      </w:r>
      <w:r>
        <w:t xml:space="preserve"> </w:t>
      </w:r>
      <w:r>
        <w:rPr>
          <w:rStyle w:val="VerbatimChar"/>
        </w:rPr>
        <w:t xml:space="preserve">pve</w:t>
      </w:r>
      <w:r>
        <w:t xml:space="preserve"> </w:t>
      </w:r>
      <w:r>
        <w:t xml:space="preserve">as a confirmation that you are on the right lines.</w:t>
      </w:r>
    </w:p>
    <w:p>
      <w:pPr>
        <w:numPr>
          <w:numId w:val="1001"/>
          <w:ilvl w:val="0"/>
        </w:numPr>
      </w:pPr>
      <w:r>
        <w:t xml:space="preserve">Generate plots of proportion of variance explained and cummulative variance explained against PC number. You will need the function</w:t>
      </w:r>
      <w:r>
        <w:t xml:space="preserve"> </w:t>
      </w:r>
      <w:r>
        <w:rPr>
          <w:rStyle w:val="VerbatimChar"/>
        </w:rPr>
        <w:t xml:space="preserve">cumsum</w:t>
      </w:r>
      <w:r>
        <w:t xml:space="preserve"> </w:t>
      </w:r>
      <w:r>
        <w:t xml:space="preserve">which compute the cumulative sum of elements in a numeric vector, e.g. for</w:t>
      </w:r>
      <w:r>
        <w:t xml:space="preserve"> </w:t>
      </w:r>
      <w:r>
        <w:rPr>
          <w:rStyle w:val="VerbatimChar"/>
        </w:rPr>
        <w:t xml:space="preserve">a1 &lt;- c(2,1,3,4)</w:t>
      </w:r>
      <w:r>
        <w:t xml:space="preserve">,</w:t>
      </w:r>
      <w:r>
        <w:t xml:space="preserve"> </w:t>
      </w:r>
      <w:r>
        <w:rPr>
          <w:rStyle w:val="VerbatimChar"/>
        </w:rPr>
        <w:t xml:space="preserve">cumsum(a1)</w:t>
      </w:r>
      <w:r>
        <w:t xml:space="preserve"> </w:t>
      </w:r>
      <w:r>
        <w:t xml:space="preserve">gives</w:t>
      </w:r>
      <w:r>
        <w:t xml:space="preserve"> </w:t>
      </w:r>
      <w:r>
        <w:rPr>
          <w:rStyle w:val="VerbatimChar"/>
        </w:rPr>
        <w:t xml:space="preserve">[1]  2  3  6 10</w:t>
      </w:r>
    </w:p>
    <w:p>
      <w:pPr>
        <w:numPr>
          <w:numId w:val="1001"/>
          <w:ilvl w:val="0"/>
        </w:numPr>
      </w:pPr>
      <w:r>
        <w:t xml:space="preserve">How many PCs do you you need to explain at least 80% of the variance?</w:t>
      </w:r>
    </w:p>
    <w:p>
      <w:pPr>
        <w:pStyle w:val="Heading2"/>
      </w:pPr>
      <w:bookmarkStart w:id="23" w:name="k-means-clustering"/>
      <w:bookmarkEnd w:id="23"/>
      <w:r>
        <w:t xml:space="preserve">K-means clustering</w:t>
      </w:r>
    </w:p>
    <w:p>
      <w:pPr>
        <w:numPr>
          <w:numId w:val="1002"/>
          <w:ilvl w:val="0"/>
        </w:numPr>
      </w:pPr>
      <w:r>
        <w:t xml:space="preserve">Subset</w:t>
      </w:r>
      <w:r>
        <w:t xml:space="preserve"> </w:t>
      </w:r>
      <w:r>
        <w:rPr>
          <w:rStyle w:val="VerbatimChar"/>
        </w:rPr>
        <w:t xml:space="preserve">dat</w:t>
      </w:r>
      <w:r>
        <w:t xml:space="preserve"> </w:t>
      </w:r>
      <w:r>
        <w:t xml:space="preserve">to only the columns</w:t>
      </w:r>
      <w:r>
        <w:t xml:space="preserve"> </w:t>
      </w:r>
      <w:r>
        <w:rPr>
          <w:rStyle w:val="VerbatimChar"/>
        </w:rPr>
        <w:t xml:space="preserve">"pixelVolTfinal", "ftvPeTfinal", "age", "MRI_LD_Tfinal"</w:t>
      </w:r>
      <w:r>
        <w:t xml:space="preserve">. Name the new object</w:t>
      </w:r>
      <w:r>
        <w:t xml:space="preserve"> </w:t>
      </w:r>
      <w:r>
        <w:rPr>
          <w:rStyle w:val="VerbatimChar"/>
        </w:rPr>
        <w:t xml:space="preserve">datsub</w:t>
      </w:r>
    </w:p>
    <w:p>
      <w:pPr>
        <w:numPr>
          <w:numId w:val="1002"/>
          <w:ilvl w:val="0"/>
        </w:numPr>
      </w:pPr>
      <w:r>
        <w:t xml:space="preserve">Perform</w:t>
      </w:r>
      <w:r>
        <w:t xml:space="preserve"> </w:t>
      </w:r>
      <m:oMath>
        <m:r>
          <m:t>K</m:t>
        </m:r>
      </m:oMath>
      <w:r>
        <w:t xml:space="preserve">-means clustering on the subset of variables for</w:t>
      </w:r>
      <w:r>
        <w:t xml:space="preserve"> </w:t>
      </w:r>
      <m:oMath>
        <m:r>
          <m:t>K</m:t>
        </m:r>
        <m:r>
          <m:t>=</m:t>
        </m:r>
        <m:r>
          <m:t>3</m:t>
        </m:r>
      </m:oMath>
      <w:r>
        <w:t xml:space="preserve">. Use 30 random starting configurations.</w:t>
      </w:r>
    </w:p>
    <w:p>
      <w:pPr>
        <w:numPr>
          <w:numId w:val="1002"/>
          <w:ilvl w:val="0"/>
        </w:numPr>
      </w:pPr>
      <w:r>
        <w:t xml:space="preserve">Output the cluster assignments of the 3 clusters</w:t>
      </w:r>
    </w:p>
    <w:p>
      <w:pPr>
        <w:numPr>
          <w:numId w:val="1002"/>
          <w:ilvl w:val="0"/>
        </w:numPr>
      </w:pPr>
      <w:r>
        <w:t xml:space="preserve">Generate a table of agreement between the cluster labels and the outcome pathologic complete response</w:t>
      </w:r>
      <w:r>
        <w:t xml:space="preserve"> </w:t>
      </w:r>
      <w:r>
        <w:rPr>
          <w:rStyle w:val="VerbatimChar"/>
        </w:rPr>
        <w:t xml:space="preserve">pCR</w:t>
      </w:r>
      <w:r>
        <w:t xml:space="preserve">. Do you think the cluster allocations are illuminating with respect to pCR?</w:t>
      </w:r>
    </w:p>
    <w:p>
      <w:pPr>
        <w:pStyle w:val="Heading2"/>
      </w:pPr>
      <w:bookmarkStart w:id="24" w:name="hierarchical-clustering"/>
      <w:bookmarkEnd w:id="24"/>
      <w:r>
        <w:t xml:space="preserve">Hierarchical clustering</w:t>
      </w:r>
    </w:p>
    <w:p>
      <w:pPr>
        <w:numPr>
          <w:numId w:val="1003"/>
          <w:ilvl w:val="0"/>
        </w:numPr>
      </w:pPr>
      <w:r>
        <w:t xml:space="preserve">The</w:t>
      </w:r>
      <w:r>
        <w:t xml:space="preserve"> </w:t>
      </w:r>
      <w:r>
        <w:rPr>
          <w:rStyle w:val="VerbatimChar"/>
        </w:rPr>
        <w:t xml:space="preserve">hclust()</w:t>
      </w:r>
      <w:r>
        <w:t xml:space="preserve"> </w:t>
      </w:r>
      <w:r>
        <w:t xml:space="preserve">function implements hierarchical clustering in</w:t>
      </w:r>
      <w:r>
        <w:t xml:space="preserve"> </w:t>
      </w:r>
      <w:r>
        <w:rPr>
          <w:rStyle w:val="VerbatimChar"/>
        </w:rPr>
        <w:t xml:space="preserve">R</w:t>
      </w:r>
      <w:r>
        <w:t xml:space="preserve">. We will plot the hierarchical clustering dendogram using complete, single, and average linkage clustering, with Euclidean distance as the similarity measure. Start by creating the distance matrix between all pairs of observations using the</w:t>
      </w:r>
      <w:r>
        <w:t xml:space="preserve"> </w:t>
      </w:r>
      <w:r>
        <w:rPr>
          <w:rStyle w:val="VerbatimChar"/>
        </w:rPr>
        <w:t xml:space="preserve">dist()</w:t>
      </w:r>
      <w:r>
        <w:t xml:space="preserve"> </w:t>
      </w:r>
      <w:r>
        <w:t xml:space="preserve">function:</w:t>
      </w:r>
      <w:r>
        <w:t xml:space="preserve"> </w:t>
      </w:r>
      <w:r>
        <w:rPr>
          <w:rStyle w:val="VerbatimChar"/>
        </w:rPr>
        <w:t xml:space="preserve">distx &lt;- dist(datsub)</w:t>
      </w:r>
      <w:r>
        <w:t xml:space="preserve">.</w:t>
      </w:r>
    </w:p>
    <w:p>
      <w:pPr>
        <w:numPr>
          <w:numId w:val="1003"/>
          <w:ilvl w:val="0"/>
        </w:numPr>
      </w:pPr>
      <w:r>
        <w:t xml:space="preserve">Generate hierarchical clustering with</w:t>
      </w:r>
      <w:r>
        <w:t xml:space="preserve"> </w:t>
      </w:r>
      <w:r>
        <w:rPr>
          <w:rStyle w:val="VerbatimChar"/>
        </w:rPr>
        <w:t xml:space="preserve">method="complete"</w:t>
      </w:r>
      <w:r>
        <w:t xml:space="preserve">. Use the command</w:t>
      </w:r>
      <w:r>
        <w:t xml:space="preserve"> </w:t>
      </w:r>
      <w:r>
        <w:rPr>
          <w:rStyle w:val="VerbatimChar"/>
        </w:rPr>
        <w:t xml:space="preserve">hc.complete &lt;- hclust(distx, method="complete")</w:t>
      </w:r>
      <w:r>
        <w:t xml:space="preserve">.</w:t>
      </w:r>
    </w:p>
    <w:p>
      <w:pPr>
        <w:numPr>
          <w:numId w:val="1003"/>
          <w:ilvl w:val="0"/>
        </w:numPr>
      </w:pPr>
      <w:r>
        <w:t xml:space="preserve">Generate similar objects for</w:t>
      </w:r>
      <w:r>
        <w:t xml:space="preserve"> </w:t>
      </w:r>
      <w:r>
        <w:rPr>
          <w:rStyle w:val="VerbatimChar"/>
        </w:rPr>
        <w:t xml:space="preserve">average</w:t>
      </w:r>
      <w:r>
        <w:t xml:space="preserve"> </w:t>
      </w:r>
      <w:r>
        <w:t xml:space="preserve">and</w:t>
      </w:r>
      <w:r>
        <w:t xml:space="preserve"> </w:t>
      </w:r>
      <w:r>
        <w:rPr>
          <w:rStyle w:val="VerbatimChar"/>
        </w:rPr>
        <w:t xml:space="preserve">single</w:t>
      </w:r>
      <w:r>
        <w:t xml:space="preserve"> </w:t>
      </w:r>
      <w:r>
        <w:t xml:space="preserve">linkage.</w:t>
      </w:r>
    </w:p>
    <w:p>
      <w:pPr>
        <w:numPr>
          <w:numId w:val="1003"/>
          <w:ilvl w:val="0"/>
        </w:numPr>
      </w:pPr>
      <w:r>
        <w:t xml:space="preserve">Plot each of the dendograms using the</w:t>
      </w:r>
      <w:r>
        <w:t xml:space="preserve"> </w:t>
      </w:r>
      <w:r>
        <w:rPr>
          <w:rStyle w:val="VerbatimChar"/>
        </w:rPr>
        <w:t xml:space="preserve">plot</w:t>
      </w:r>
      <w:r>
        <w:t xml:space="preserve"> </w:t>
      </w:r>
      <w:r>
        <w:t xml:space="preserve">function.</w:t>
      </w:r>
    </w:p>
    <w:p>
      <w:pPr>
        <w:numPr>
          <w:numId w:val="1003"/>
          <w:ilvl w:val="0"/>
        </w:numPr>
      </w:pPr>
      <w:r>
        <w:t xml:space="preserve">Determine the cluster labels for each observation associated with cutting the dendogram with 4 clusters using the</w:t>
      </w:r>
      <w:r>
        <w:t xml:space="preserve"> </w:t>
      </w:r>
      <w:r>
        <w:rPr>
          <w:rStyle w:val="VerbatimChar"/>
        </w:rPr>
        <w:t xml:space="preserve">cutree()</w:t>
      </w:r>
      <w:r>
        <w:t xml:space="preserve"> </w:t>
      </w:r>
      <w:r>
        <w:t xml:space="preserve">function.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6e3b8b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d9f21c0e"/>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13">
    <w:nsid w:val="4fcedb2f"/>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abstractNum w:abstractNumId="994117">
    <w:nsid w:val="2833e977"/>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003">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#8: Unsupervised Learning</dc:title>
  <dc:creator/>
  <dcterms:created xsi:type="dcterms:W3CDTF">2019-05-24T19:46:35Z</dcterms:created>
  <dcterms:modified xsi:type="dcterms:W3CDTF">2019-05-24T19:46:35Z</dcterms:modified>
</cp:coreProperties>
</file>