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D6FB2" w14:textId="77777777" w:rsidR="003951CB" w:rsidRPr="00711B22" w:rsidRDefault="007A3661" w:rsidP="00716E2D">
      <w:pPr>
        <w:pStyle w:val="Heading1"/>
        <w:ind w:left="360" w:hanging="360"/>
        <w:rPr>
          <w:rFonts w:cs="Times New Roman"/>
        </w:rPr>
      </w:pPr>
      <w:r>
        <w:rPr>
          <w:rFonts w:cs="Times New Roman"/>
        </w:rPr>
        <w:t>7</w:t>
      </w:r>
      <w:r w:rsidRPr="00711B22">
        <w:rPr>
          <w:rFonts w:cs="Times New Roman"/>
        </w:rPr>
        <w:t xml:space="preserve"> </w:t>
      </w:r>
      <w:r w:rsidR="007E4D31" w:rsidRPr="00711B22">
        <w:rPr>
          <w:rFonts w:cs="Times New Roman"/>
        </w:rPr>
        <w:t>Multiple tests and multivariable dec</w:t>
      </w:r>
      <w:bookmarkStart w:id="0" w:name="_GoBack"/>
      <w:bookmarkEnd w:id="0"/>
      <w:r w:rsidR="007E4D31" w:rsidRPr="00711B22">
        <w:rPr>
          <w:rFonts w:cs="Times New Roman"/>
        </w:rPr>
        <w:t>ision rules</w:t>
      </w:r>
    </w:p>
    <w:p w14:paraId="5042E6B1" w14:textId="77777777" w:rsidR="003951CB" w:rsidRPr="00711B22" w:rsidRDefault="003E0F94" w:rsidP="0019023B">
      <w:pPr>
        <w:pStyle w:val="Heading2"/>
        <w:rPr>
          <w:rFonts w:cs="Times New Roman"/>
        </w:rPr>
      </w:pPr>
      <w:r w:rsidRPr="00711B22">
        <w:rPr>
          <w:rFonts w:cs="Times New Roman"/>
        </w:rPr>
        <w:t>Introduction</w:t>
      </w:r>
    </w:p>
    <w:p w14:paraId="3198E4C6" w14:textId="557F2AD1" w:rsidR="003951CB" w:rsidRPr="00711B22" w:rsidRDefault="00221714" w:rsidP="0019023B">
      <w:pPr>
        <w:pStyle w:val="NormalWeb"/>
      </w:pPr>
      <w:r>
        <w:t>At this point, w</w:t>
      </w:r>
      <w:r w:rsidR="004F6437">
        <w:t xml:space="preserve">e </w:t>
      </w:r>
      <w:r w:rsidR="002F6F52">
        <w:t>know how to use</w:t>
      </w:r>
      <w:r w:rsidR="004F6437">
        <w:t xml:space="preserve"> the result of</w:t>
      </w:r>
      <w:r w:rsidR="00482AD7">
        <w:t xml:space="preserve"> </w:t>
      </w:r>
      <w:r w:rsidR="002F6F52">
        <w:t>a single</w:t>
      </w:r>
      <w:r w:rsidR="00973260">
        <w:t xml:space="preserve"> test</w:t>
      </w:r>
      <w:r w:rsidR="00662FC5">
        <w:t xml:space="preserve"> to</w:t>
      </w:r>
      <w:r w:rsidR="002F6F52">
        <w:t xml:space="preserve"> update the probability of disease but not how to </w:t>
      </w:r>
      <w:r w:rsidR="00973260">
        <w:t>combin</w:t>
      </w:r>
      <w:r w:rsidR="002F6F52">
        <w:t>e the</w:t>
      </w:r>
      <w:r w:rsidR="00973260">
        <w:t xml:space="preserve"> </w:t>
      </w:r>
      <w:r w:rsidR="004F6437">
        <w:t xml:space="preserve">results from </w:t>
      </w:r>
      <w:r w:rsidR="00973260">
        <w:t>multiple tests</w:t>
      </w:r>
      <w:r w:rsidR="002F6F52">
        <w:t xml:space="preserve">, and we can evaluate </w:t>
      </w:r>
      <w:r w:rsidR="00973260">
        <w:t>risk prediction</w:t>
      </w:r>
      <w:r w:rsidR="002F6F52">
        <w:t xml:space="preserve"> models but </w:t>
      </w:r>
      <w:r w:rsidR="00973260">
        <w:t xml:space="preserve">not </w:t>
      </w:r>
      <w:r w:rsidR="002F6F52">
        <w:t xml:space="preserve">create them.   In </w:t>
      </w:r>
      <w:r>
        <w:t xml:space="preserve">making </w:t>
      </w:r>
      <w:r w:rsidR="005D5CF4">
        <w:t xml:space="preserve">a clinical treatment decision </w:t>
      </w:r>
      <w:r>
        <w:t>(</w:t>
      </w:r>
      <w:r w:rsidR="005D5CF4">
        <w:t>or any other decision</w:t>
      </w:r>
      <w:r>
        <w:t>)</w:t>
      </w:r>
      <w:r w:rsidR="005D5CF4">
        <w:t xml:space="preserve">, we </w:t>
      </w:r>
      <w:r w:rsidR="002F6F52">
        <w:t>usually</w:t>
      </w:r>
      <w:r w:rsidR="005D5CF4">
        <w:t xml:space="preserve"> consider multiple variables.  This chapter is about combining the results of multiple tests with other information to estimate the probability of a disease or the risk of an outcome. </w:t>
      </w:r>
      <w:r w:rsidR="007E4D31" w:rsidRPr="00711B22">
        <w:t>We begin by reviewing the concept of test independence and then discuss how to deal with departures from independence, which are probably the rule rather than the exception.</w:t>
      </w:r>
      <w:r w:rsidR="00395702">
        <w:t xml:space="preserve">  </w:t>
      </w:r>
      <w:r w:rsidR="00620540">
        <w:t>Next</w:t>
      </w:r>
      <w:r w:rsidR="004F6437">
        <w:t>,</w:t>
      </w:r>
      <w:r w:rsidR="002F6F52">
        <w:t xml:space="preserve"> </w:t>
      </w:r>
      <w:r w:rsidR="00620540">
        <w:t>w</w:t>
      </w:r>
      <w:r w:rsidR="00395702">
        <w:t xml:space="preserve">e cover </w:t>
      </w:r>
      <w:r w:rsidR="005D5CF4">
        <w:t xml:space="preserve">two common </w:t>
      </w:r>
      <w:r>
        <w:t xml:space="preserve">methods of </w:t>
      </w:r>
      <w:r w:rsidR="005D5CF4">
        <w:t>combin</w:t>
      </w:r>
      <w:r>
        <w:t>ing</w:t>
      </w:r>
      <w:r w:rsidR="005D5CF4">
        <w:t xml:space="preserve"> </w:t>
      </w:r>
      <w:r w:rsidR="0066660D">
        <w:t xml:space="preserve">variables to predict a </w:t>
      </w:r>
      <w:r w:rsidR="004F6437">
        <w:t xml:space="preserve">binary condition or outcome: </w:t>
      </w:r>
      <w:r w:rsidR="0066660D">
        <w:t xml:space="preserve"> </w:t>
      </w:r>
      <w:r w:rsidR="004F6437">
        <w:t xml:space="preserve">classification </w:t>
      </w:r>
      <w:r w:rsidR="0066660D">
        <w:t>tree</w:t>
      </w:r>
      <w:r w:rsidR="004F6437">
        <w:t xml:space="preserve">s </w:t>
      </w:r>
      <w:r w:rsidR="0066660D">
        <w:t>and logistic regression.</w:t>
      </w:r>
      <w:r w:rsidR="00620540">
        <w:t xml:space="preserve">  Finally, we discuss the process and pitfalls of </w:t>
      </w:r>
      <w:r w:rsidR="004F6437">
        <w:t xml:space="preserve">variable </w:t>
      </w:r>
      <w:r w:rsidR="00620540">
        <w:t>selection and the importance of model validation.</w:t>
      </w:r>
    </w:p>
    <w:p w14:paraId="518D5CEA" w14:textId="77777777" w:rsidR="003951CB" w:rsidRPr="00711B22" w:rsidRDefault="0019023B" w:rsidP="0019023B">
      <w:pPr>
        <w:pStyle w:val="Heading3"/>
        <w:rPr>
          <w:rFonts w:cs="Times New Roman"/>
        </w:rPr>
      </w:pPr>
      <w:r w:rsidRPr="00711B22">
        <w:rPr>
          <w:rFonts w:cs="Times New Roman"/>
        </w:rPr>
        <w:t>Test independence</w:t>
      </w:r>
    </w:p>
    <w:p w14:paraId="373266CF" w14:textId="348A6C14" w:rsidR="003951CB" w:rsidRPr="00711B22" w:rsidRDefault="007E4D31" w:rsidP="0019023B">
      <w:pPr>
        <w:pStyle w:val="NormalWeb"/>
      </w:pPr>
      <w:r w:rsidRPr="00711B22">
        <w:rPr>
          <w:b/>
        </w:rPr>
        <w:t>De</w:t>
      </w:r>
      <w:r w:rsidR="00191BDE" w:rsidRPr="00711B22">
        <w:rPr>
          <w:b/>
        </w:rPr>
        <w:t>fi</w:t>
      </w:r>
      <w:r w:rsidRPr="00711B22">
        <w:rPr>
          <w:b/>
        </w:rPr>
        <w:t>nition:</w:t>
      </w:r>
      <w:r w:rsidRPr="00711B22">
        <w:t xml:space="preserve"> Two tests are </w:t>
      </w:r>
      <w:r w:rsidRPr="002B03E3">
        <w:rPr>
          <w:color w:val="00B050"/>
        </w:rPr>
        <w:t xml:space="preserve">independent </w:t>
      </w:r>
      <w:r w:rsidRPr="00711B22">
        <w:t xml:space="preserve">if the LR for any combination of results on the two tests is equal to the </w:t>
      </w:r>
      <w:r w:rsidR="006C5CB2">
        <w:t xml:space="preserve">product of the </w:t>
      </w:r>
      <w:r w:rsidRPr="00711B22">
        <w:t xml:space="preserve">LR for the result on the </w:t>
      </w:r>
      <w:r w:rsidR="00191BDE" w:rsidRPr="00711B22">
        <w:t>fi</w:t>
      </w:r>
      <w:r w:rsidRPr="00711B22">
        <w:t xml:space="preserve">rst test </w:t>
      </w:r>
      <w:r w:rsidR="006C5CB2">
        <w:t>and</w:t>
      </w:r>
      <w:r w:rsidR="006C5CB2" w:rsidRPr="00711B22">
        <w:t xml:space="preserve"> </w:t>
      </w:r>
      <w:r w:rsidRPr="00711B22">
        <w:t>the LR for the result on the second test.</w:t>
      </w:r>
    </w:p>
    <w:p w14:paraId="239ED8F6" w14:textId="3626D737" w:rsidR="003951CB" w:rsidRPr="00711B22" w:rsidRDefault="007E4D31" w:rsidP="0019023B">
      <w:pPr>
        <w:pStyle w:val="NormalWeb"/>
      </w:pPr>
      <w:r w:rsidRPr="00711B22">
        <w:rPr>
          <w:b/>
        </w:rPr>
        <w:t>Explanation:</w:t>
      </w:r>
      <w:r w:rsidRPr="00711B22">
        <w:t xml:space="preserve"> What independence means is that, </w:t>
      </w:r>
      <w:r w:rsidRPr="00711B22">
        <w:rPr>
          <w:i/>
        </w:rPr>
        <w:t>among people who have the disease</w:t>
      </w:r>
      <w:r w:rsidRPr="00711B22">
        <w:t>, knowing the result of Test 1 tells you nothing about the probability of a certain result</w:t>
      </w:r>
      <w:r w:rsidR="0019023B" w:rsidRPr="00711B22">
        <w:t xml:space="preserve"> </w:t>
      </w:r>
      <w:r w:rsidRPr="00711B22">
        <w:t xml:space="preserve">on Test 2, and that the same is true </w:t>
      </w:r>
      <w:r w:rsidRPr="00711B22">
        <w:rPr>
          <w:i/>
        </w:rPr>
        <w:t>among people who do not have the disease</w:t>
      </w:r>
      <w:r w:rsidRPr="00711B22">
        <w:t xml:space="preserve">. When we say the two tests are independent, we mean they are independent </w:t>
      </w:r>
      <w:r w:rsidRPr="00711B22">
        <w:rPr>
          <w:i/>
        </w:rPr>
        <w:t>once disease status is taken into account</w:t>
      </w:r>
      <w:r w:rsidRPr="00711B22">
        <w:t xml:space="preserve">. That is why we keep putting that part in italics. This is called </w:t>
      </w:r>
      <w:r w:rsidR="003E0F94" w:rsidRPr="00711B22">
        <w:t>“</w:t>
      </w:r>
      <w:r w:rsidRPr="00711B22">
        <w:t>stratifying</w:t>
      </w:r>
      <w:r w:rsidR="003E0F94" w:rsidRPr="00711B22">
        <w:t>”</w:t>
      </w:r>
      <w:r w:rsidRPr="00711B22">
        <w:t xml:space="preserve"> on disease status. If we did not do this, then patients with an abnormal result on Test 1 would be more likely to be abnormal on Test 2 simply because they would be more likely to have the disease. Mathematically, the way to express this is to say the tests are </w:t>
      </w:r>
      <w:r w:rsidRPr="002B03E3">
        <w:rPr>
          <w:color w:val="00B050"/>
        </w:rPr>
        <w:t>conditionally independent</w:t>
      </w:r>
      <w:r w:rsidRPr="00711B22">
        <w:t xml:space="preserve">, by which we mean they are independent once the condition of having </w:t>
      </w:r>
      <w:r w:rsidR="009C0155">
        <w:t xml:space="preserve">or not having </w:t>
      </w:r>
      <w:r w:rsidRPr="00711B22">
        <w:t>the disease is accounted for.</w:t>
      </w:r>
    </w:p>
    <w:p w14:paraId="549FCA30" w14:textId="77777777" w:rsidR="007E732B" w:rsidRPr="00711B22" w:rsidRDefault="007E732B" w:rsidP="007E732B">
      <w:pPr>
        <w:pStyle w:val="NormalWeb"/>
      </w:pPr>
      <w:r w:rsidRPr="00711B22">
        <w:t xml:space="preserve">Using probability notation, independence means that, for every possible result </w:t>
      </w:r>
      <w:proofErr w:type="spellStart"/>
      <w:r w:rsidRPr="00711B22">
        <w:t>r</w:t>
      </w:r>
      <w:r>
        <w:rPr>
          <w:vertAlign w:val="subscript"/>
        </w:rPr>
        <w:t>A</w:t>
      </w:r>
      <w:proofErr w:type="spellEnd"/>
      <w:r w:rsidRPr="00711B22">
        <w:t xml:space="preserve"> of Test </w:t>
      </w:r>
      <w:r>
        <w:t>A</w:t>
      </w:r>
      <w:r w:rsidRPr="00711B22">
        <w:t>, the probability of a patient with disease having that result, P(</w:t>
      </w:r>
      <w:proofErr w:type="spellStart"/>
      <w:r w:rsidRPr="00711B22">
        <w:t>r</w:t>
      </w:r>
      <w:r>
        <w:rPr>
          <w:vertAlign w:val="subscript"/>
        </w:rPr>
        <w:t>A</w:t>
      </w:r>
      <w:r w:rsidRPr="00711B22">
        <w:t>|D</w:t>
      </w:r>
      <w:proofErr w:type="spellEnd"/>
      <w:r w:rsidRPr="00711B22">
        <w:t xml:space="preserve">+), is the same regardless of the result that the patient has on Test </w:t>
      </w:r>
      <w:r>
        <w:t>B</w:t>
      </w:r>
      <w:r w:rsidRPr="00711B22">
        <w:t xml:space="preserve">. If Tests A and B are dichotomous and the patient actually has the disease, independence requires that a false negative on Test </w:t>
      </w:r>
      <w:r>
        <w:t>A</w:t>
      </w:r>
      <w:r w:rsidRPr="00711B22">
        <w:t xml:space="preserve"> is no more likely because the patient had a false negative on Test </w:t>
      </w:r>
      <w:r>
        <w:t>B</w:t>
      </w:r>
      <w:r w:rsidRPr="00711B22">
        <w:t xml:space="preserve">. It is easy to think of counterexamples – </w:t>
      </w:r>
      <w:proofErr w:type="spellStart"/>
      <w:r w:rsidRPr="00711B22">
        <w:t>nonindependent</w:t>
      </w:r>
      <w:proofErr w:type="spellEnd"/>
      <w:r w:rsidRPr="00711B22">
        <w:t xml:space="preserve"> tests – where a false negative on Test </w:t>
      </w:r>
      <w:r>
        <w:t>B</w:t>
      </w:r>
      <w:r w:rsidRPr="00711B22">
        <w:t xml:space="preserve"> makes a false negative on Test </w:t>
      </w:r>
      <w:r>
        <w:t>A</w:t>
      </w:r>
      <w:r w:rsidRPr="00711B22">
        <w:t xml:space="preserve"> more likely. For example, </w:t>
      </w:r>
      <w:r>
        <w:t xml:space="preserve">in problem 4.6 a systematic review compared the accuracy of dermatologists diagnosing melanoma with and without </w:t>
      </w:r>
      <w:r>
        <w:lastRenderedPageBreak/>
        <w:t>the help of dermoscopy.  It is easy to imagine that the same melanomas that look normal with dermoscopy (Test B) would look normal to the naked eye (Test A).</w:t>
      </w:r>
    </w:p>
    <w:p w14:paraId="111C7F43" w14:textId="77777777" w:rsidR="007E732B" w:rsidRPr="00711B22" w:rsidRDefault="007E732B" w:rsidP="007E732B">
      <w:pPr>
        <w:pStyle w:val="NormalWeb"/>
      </w:pPr>
      <w:r w:rsidRPr="00711B22">
        <w:t>Similarly, in a patient without disease, independence means the probability of the result, P(</w:t>
      </w:r>
      <w:proofErr w:type="spellStart"/>
      <w:r w:rsidRPr="00711B22">
        <w:t>r</w:t>
      </w:r>
      <w:r>
        <w:rPr>
          <w:vertAlign w:val="subscript"/>
        </w:rPr>
        <w:t>A</w:t>
      </w:r>
      <w:r w:rsidRPr="00711B22">
        <w:t>|D</w:t>
      </w:r>
      <w:proofErr w:type="spellEnd"/>
      <w:r w:rsidRPr="00711B22">
        <w:t xml:space="preserve">−), is the same regardless of the result on Test </w:t>
      </w:r>
      <w:r>
        <w:t>B</w:t>
      </w:r>
      <w:r w:rsidRPr="00711B22">
        <w:t xml:space="preserve">. For dichotomous tests on a patient without the disease, independence requires that a false positive on Test </w:t>
      </w:r>
      <w:r>
        <w:t>A</w:t>
      </w:r>
      <w:r w:rsidRPr="00711B22">
        <w:t xml:space="preserve"> is no more likely because the patient had a false positive on Test </w:t>
      </w:r>
      <w:r>
        <w:t>B</w:t>
      </w:r>
      <w:r w:rsidRPr="00711B22">
        <w:t>. Again, counterexamples are numerous. A patient</w:t>
      </w:r>
      <w:r>
        <w:t xml:space="preserve"> with abdominal pain</w:t>
      </w:r>
      <w:r w:rsidRPr="00711B22">
        <w:rPr>
          <w:i/>
        </w:rPr>
        <w:t xml:space="preserve"> </w:t>
      </w:r>
      <w:r w:rsidRPr="002E1E31">
        <w:t xml:space="preserve">who does </w:t>
      </w:r>
      <w:r>
        <w:rPr>
          <w:i/>
        </w:rPr>
        <w:t xml:space="preserve">not </w:t>
      </w:r>
      <w:r w:rsidRPr="002E1E31">
        <w:t>have</w:t>
      </w:r>
      <w:r>
        <w:rPr>
          <w:i/>
        </w:rPr>
        <w:t xml:space="preserve"> </w:t>
      </w:r>
      <w:r w:rsidRPr="00711B22">
        <w:t xml:space="preserve">appendicitis who nevertheless has a fever is also more likely </w:t>
      </w:r>
      <w:r>
        <w:t xml:space="preserve">also </w:t>
      </w:r>
      <w:r w:rsidRPr="00711B22">
        <w:t>to have an elevated WBC count</w:t>
      </w:r>
      <w:r>
        <w:t xml:space="preserve"> because infections other than appendicitis can cause both fever and a high WBC count. </w:t>
      </w:r>
    </w:p>
    <w:p w14:paraId="0D4AEF6E" w14:textId="77777777" w:rsidR="007E732B" w:rsidRPr="00711B22" w:rsidRDefault="007E732B" w:rsidP="007E732B">
      <w:pPr>
        <w:pStyle w:val="NormalWeb"/>
      </w:pPr>
      <w:r w:rsidRPr="00711B22">
        <w:t>If neither P(</w:t>
      </w:r>
      <w:proofErr w:type="spellStart"/>
      <w:r w:rsidRPr="00711B22">
        <w:t>r</w:t>
      </w:r>
      <w:r>
        <w:rPr>
          <w:vertAlign w:val="subscript"/>
        </w:rPr>
        <w:t>A</w:t>
      </w:r>
      <w:r w:rsidRPr="00711B22">
        <w:t>|D</w:t>
      </w:r>
      <w:proofErr w:type="spellEnd"/>
      <w:r w:rsidRPr="00711B22">
        <w:t>+) nor P(</w:t>
      </w:r>
      <w:proofErr w:type="spellStart"/>
      <w:r w:rsidRPr="00711B22">
        <w:t>r</w:t>
      </w:r>
      <w:r>
        <w:rPr>
          <w:vertAlign w:val="subscript"/>
        </w:rPr>
        <w:t>A</w:t>
      </w:r>
      <w:r w:rsidRPr="00711B22">
        <w:t>|D</w:t>
      </w:r>
      <w:proofErr w:type="spellEnd"/>
      <w:r w:rsidRPr="00711B22">
        <w:t xml:space="preserve">−) depends on the result of Test </w:t>
      </w:r>
      <w:r>
        <w:t>B</w:t>
      </w:r>
      <w:r w:rsidRPr="00711B22">
        <w:t xml:space="preserve">, then the LR for result </w:t>
      </w:r>
      <w:proofErr w:type="spellStart"/>
      <w:r w:rsidRPr="00711B22">
        <w:t>r</w:t>
      </w:r>
      <w:r>
        <w:rPr>
          <w:vertAlign w:val="subscript"/>
        </w:rPr>
        <w:t>A</w:t>
      </w:r>
      <w:proofErr w:type="spellEnd"/>
      <w:r w:rsidRPr="00711B22">
        <w:t>, P(</w:t>
      </w:r>
      <w:proofErr w:type="spellStart"/>
      <w:r w:rsidRPr="00711B22">
        <w:t>r</w:t>
      </w:r>
      <w:r>
        <w:rPr>
          <w:vertAlign w:val="subscript"/>
        </w:rPr>
        <w:t>A</w:t>
      </w:r>
      <w:r w:rsidRPr="00711B22">
        <w:t>|D</w:t>
      </w:r>
      <w:proofErr w:type="spellEnd"/>
      <w:r w:rsidRPr="00711B22">
        <w:t>+)/P(</w:t>
      </w:r>
      <w:proofErr w:type="spellStart"/>
      <w:r w:rsidRPr="00711B22">
        <w:t>r</w:t>
      </w:r>
      <w:r>
        <w:rPr>
          <w:vertAlign w:val="subscript"/>
        </w:rPr>
        <w:t>A</w:t>
      </w:r>
      <w:r w:rsidRPr="00711B22">
        <w:t>|D</w:t>
      </w:r>
      <w:proofErr w:type="spellEnd"/>
      <w:r w:rsidRPr="00711B22">
        <w:t xml:space="preserve">−), </w:t>
      </w:r>
      <w:r>
        <w:t>will</w:t>
      </w:r>
      <w:r w:rsidRPr="00711B22">
        <w:t xml:space="preserve"> not depend on the result of Test </w:t>
      </w:r>
      <w:r>
        <w:t>B</w:t>
      </w:r>
      <w:r w:rsidRPr="00711B22">
        <w:t>. When this is the case, the tests are independent. We can start with any prior odds of disease and multiply by the LR for the result of Test A to get posterior odds of disease. Then, we use these odds as the prior odds for Test B, multiply by the LR for the result of Test B, and get the posterior odds after both Test A and Test B.</w:t>
      </w:r>
    </w:p>
    <w:p w14:paraId="4C5162F8" w14:textId="7B31E0E1" w:rsidR="003951CB" w:rsidRPr="00711B22" w:rsidRDefault="007E4D31" w:rsidP="00247EF0">
      <w:pPr>
        <w:pStyle w:val="NormalWeb"/>
      </w:pPr>
      <w:r w:rsidRPr="00711B22">
        <w:t xml:space="preserve">Perhaps it is easiest to understand independence by giving some </w:t>
      </w:r>
      <w:r w:rsidR="00D55C1A">
        <w:t xml:space="preserve">more </w:t>
      </w:r>
      <w:r w:rsidRPr="00711B22">
        <w:t xml:space="preserve">examples of </w:t>
      </w:r>
      <w:proofErr w:type="spellStart"/>
      <w:r w:rsidRPr="00711B22">
        <w:t>nonindependent</w:t>
      </w:r>
      <w:proofErr w:type="spellEnd"/>
      <w:r w:rsidRPr="00711B22">
        <w:t xml:space="preserve"> tests. Suppose you are doing a study to identify predictors of pneumonia in nursing home residents with fever and cough. You determine that cyanosis</w:t>
      </w:r>
      <w:r w:rsidR="009C0155">
        <w:t xml:space="preserve"> (a blueish tint to the skin due to low oxygen levels)</w:t>
      </w:r>
      <w:r w:rsidRPr="00711B22">
        <w:t xml:space="preserve"> has an LR of 5 and that an oxygen saturation of 85% to 90% has an LR of 6. If the patient is cyanotic </w:t>
      </w:r>
      <w:r w:rsidRPr="00711B22">
        <w:rPr>
          <w:i/>
        </w:rPr>
        <w:t>and</w:t>
      </w:r>
      <w:r w:rsidRPr="00711B22">
        <w:t xml:space="preserve"> has an oxygen saturation of 87%, does that mean we can multiply the prior odds by 5</w:t>
      </w:r>
      <w:r w:rsidR="00247EF0" w:rsidRPr="00711B22">
        <w:t xml:space="preserve"> ×</w:t>
      </w:r>
      <w:r w:rsidRPr="00711B22">
        <w:t xml:space="preserve"> 6 = 30 to get the posterior odds? No. Once we know that the patient is cyanotic, we do not learn that much more about the probability of pneumonia from the oxygen saturation, and vice versa.</w:t>
      </w:r>
    </w:p>
    <w:p w14:paraId="694EB456" w14:textId="4D122245" w:rsidR="003951CB" w:rsidRPr="00711B22" w:rsidRDefault="007E4D31" w:rsidP="00247EF0">
      <w:pPr>
        <w:pStyle w:val="NormalWeb"/>
      </w:pPr>
      <w:r w:rsidRPr="00711B22">
        <w:t xml:space="preserve">There are at least three related reasons why tests can be </w:t>
      </w:r>
      <w:proofErr w:type="spellStart"/>
      <w:r w:rsidRPr="00711B22">
        <w:t>nonindependent</w:t>
      </w:r>
      <w:proofErr w:type="spellEnd"/>
      <w:r w:rsidRPr="00711B22">
        <w:t xml:space="preserve">. The </w:t>
      </w:r>
      <w:r w:rsidR="00191BDE" w:rsidRPr="00711B22">
        <w:t>fi</w:t>
      </w:r>
      <w:r w:rsidRPr="00711B22">
        <w:t xml:space="preserve">rst is that they are </w:t>
      </w:r>
      <w:r w:rsidRPr="002B03E3">
        <w:rPr>
          <w:color w:val="00B050"/>
        </w:rPr>
        <w:t>measuring similar things</w:t>
      </w:r>
      <w:r w:rsidRPr="00711B22">
        <w:t xml:space="preserve">. The cyanosis and low oxygen saturation example </w:t>
      </w:r>
      <w:proofErr w:type="gramStart"/>
      <w:r w:rsidRPr="00711B22">
        <w:t>illustrates</w:t>
      </w:r>
      <w:proofErr w:type="gramEnd"/>
      <w:r w:rsidRPr="00711B22">
        <w:t xml:space="preserve"> this. Some patients with pneumonia will </w:t>
      </w:r>
      <w:r w:rsidR="009C0155">
        <w:t>have hypoxemia (low oxygen levels)</w:t>
      </w:r>
      <w:r w:rsidRPr="00711B22">
        <w:t xml:space="preserve"> and some will not, and both the patient</w:t>
      </w:r>
      <w:r w:rsidR="003951CB" w:rsidRPr="00711B22">
        <w:t>’</w:t>
      </w:r>
      <w:r w:rsidRPr="00711B22">
        <w:t>s color and the oxygen saturation are giving</w:t>
      </w:r>
      <w:r w:rsidR="00247EF0" w:rsidRPr="00711B22">
        <w:t xml:space="preserve"> </w:t>
      </w:r>
      <w:r w:rsidRPr="00711B22">
        <w:t xml:space="preserve">information on that one aspect of pneumonia: hypoxemia. Jaundice, dark urine, light stools, and </w:t>
      </w:r>
      <w:r w:rsidR="009C0155">
        <w:t>a high bilirubin level</w:t>
      </w:r>
      <w:r w:rsidRPr="00711B22">
        <w:t xml:space="preserve"> provide a similar example of tests that are measuring the same basic pathophysiologic manifestation of hepatitis</w:t>
      </w:r>
      <w:r w:rsidR="00D55C1A">
        <w:t xml:space="preserve"> (poor bile flow)</w:t>
      </w:r>
      <w:r w:rsidRPr="00711B22">
        <w:t>, and therefore will not be independent.</w:t>
      </w:r>
    </w:p>
    <w:p w14:paraId="3EB923F1" w14:textId="27DE341A" w:rsidR="007B0693" w:rsidRDefault="007E4D31" w:rsidP="00F9722A">
      <w:pPr>
        <w:pStyle w:val="NormalWeb"/>
      </w:pPr>
      <w:r w:rsidRPr="00711B22">
        <w:t xml:space="preserve">A second reason is that the </w:t>
      </w:r>
      <w:r w:rsidRPr="002B03E3">
        <w:rPr>
          <w:color w:val="00B050"/>
        </w:rPr>
        <w:t xml:space="preserve">disease </w:t>
      </w:r>
      <w:r w:rsidR="00417640">
        <w:rPr>
          <w:color w:val="00B050"/>
        </w:rPr>
        <w:t>may be</w:t>
      </w:r>
      <w:r w:rsidR="00417640" w:rsidRPr="002B03E3">
        <w:rPr>
          <w:color w:val="00B050"/>
        </w:rPr>
        <w:t xml:space="preserve"> </w:t>
      </w:r>
      <w:r w:rsidRPr="002B03E3">
        <w:rPr>
          <w:color w:val="00B050"/>
        </w:rPr>
        <w:t>heterogeneous</w:t>
      </w:r>
      <w:r w:rsidRPr="00711B22">
        <w:t xml:space="preserve">. Pneumonia is heterogeneous in that some cases are associated with hypoxemia and some are not. Similarly, some cases of hepatitis </w:t>
      </w:r>
      <w:r w:rsidR="009C0155">
        <w:t xml:space="preserve">include </w:t>
      </w:r>
      <w:proofErr w:type="gramStart"/>
      <w:r w:rsidR="009C0155">
        <w:t>jaundice</w:t>
      </w:r>
      <w:proofErr w:type="gramEnd"/>
      <w:r w:rsidRPr="00711B22">
        <w:t xml:space="preserve"> and some </w:t>
      </w:r>
      <w:r w:rsidR="009C0155">
        <w:t>do</w:t>
      </w:r>
      <w:r w:rsidR="009C0155" w:rsidRPr="00711B22">
        <w:t xml:space="preserve"> </w:t>
      </w:r>
      <w:r w:rsidRPr="00711B22">
        <w:t xml:space="preserve">not. But disease heterogeneity can lead to test nonindependence even when the tests do not measure the same pathophysiologic aspect of the disease. For example, another cause of heterogeneity is disease </w:t>
      </w:r>
      <w:r w:rsidRPr="002B03E3">
        <w:rPr>
          <w:color w:val="00B050"/>
        </w:rPr>
        <w:t>severity</w:t>
      </w:r>
      <w:r w:rsidRPr="00711B22">
        <w:t xml:space="preserve">. </w:t>
      </w:r>
      <w:r w:rsidR="007B0693">
        <w:t>We already mentioned this in Chapter 4 when we discussed spectrum bias</w:t>
      </w:r>
      <w:r w:rsidR="00D55C1A">
        <w:t>,</w:t>
      </w:r>
      <w:r w:rsidR="007B0693">
        <w:t xml:space="preserve"> and said most tests are more sensitive when the diseased patients are the "sickest of the sick."  Similarly, most tests will be more likely to give false-negative results in the diseased patients with less severe disease, the "</w:t>
      </w:r>
      <w:proofErr w:type="spellStart"/>
      <w:r w:rsidR="007B0693">
        <w:t>wellest</w:t>
      </w:r>
      <w:proofErr w:type="spellEnd"/>
      <w:r w:rsidR="007B0693">
        <w:t xml:space="preserve"> of the sick."   </w:t>
      </w:r>
    </w:p>
    <w:p w14:paraId="0B6924D5" w14:textId="409BC163" w:rsidR="003951CB" w:rsidRPr="00711B22" w:rsidRDefault="007E4D31" w:rsidP="00F9722A">
      <w:pPr>
        <w:pStyle w:val="NormalWeb"/>
      </w:pPr>
      <w:r w:rsidRPr="00711B22">
        <w:lastRenderedPageBreak/>
        <w:t>Varying disease severity is an obvious cause of nonindependence for diseases with an arbitrary de</w:t>
      </w:r>
      <w:r w:rsidR="00191BDE" w:rsidRPr="00711B22">
        <w:t>fi</w:t>
      </w:r>
      <w:r w:rsidRPr="00711B22">
        <w:t>nition. For example, if we de</w:t>
      </w:r>
      <w:r w:rsidR="00191BDE" w:rsidRPr="00711B22">
        <w:t>fi</w:t>
      </w:r>
      <w:r w:rsidRPr="00711B22">
        <w:t>ne coronary heart disease based on at least 70% stenosis of a coronary vessel, patients with 71% stenosis are more likely to have false-negative results on most tests than those with 98% stenosis, regardless of what pathophysiologic alteration is actually being measured.</w:t>
      </w:r>
    </w:p>
    <w:p w14:paraId="2BCF0A1D" w14:textId="3AC860F4" w:rsidR="0034063C" w:rsidRPr="00711B22" w:rsidRDefault="007E4D31" w:rsidP="0034063C">
      <w:pPr>
        <w:pStyle w:val="NormalWeb"/>
      </w:pPr>
      <w:r w:rsidRPr="00711B22">
        <w:t xml:space="preserve">Third, the </w:t>
      </w:r>
      <w:proofErr w:type="spellStart"/>
      <w:r w:rsidRPr="002B03E3">
        <w:rPr>
          <w:color w:val="00B050"/>
        </w:rPr>
        <w:t>nondisease</w:t>
      </w:r>
      <w:proofErr w:type="spellEnd"/>
      <w:r w:rsidRPr="002B03E3">
        <w:rPr>
          <w:color w:val="00B050"/>
        </w:rPr>
        <w:t xml:space="preserve"> may be heterogeneous</w:t>
      </w:r>
      <w:r w:rsidRPr="00711B22">
        <w:t>. Lack of coronary disease is going to be much more dif</w:t>
      </w:r>
      <w:r w:rsidR="00191BDE" w:rsidRPr="00711B22">
        <w:t>fi</w:t>
      </w:r>
      <w:r w:rsidRPr="00711B22">
        <w:t xml:space="preserve">cult to diagnose in a patient with 69% stenosis than it is in patients with 10% stenosis. Alternatively, the </w:t>
      </w:r>
      <w:proofErr w:type="spellStart"/>
      <w:r w:rsidRPr="00711B22">
        <w:t>nondisease</w:t>
      </w:r>
      <w:proofErr w:type="spellEnd"/>
      <w:r w:rsidRPr="00711B22">
        <w:t xml:space="preserve"> group could be heterogeneous because it includes patients with other diseases that make the tests falsely positive. For example</w:t>
      </w:r>
      <w:r w:rsidR="00417640" w:rsidRPr="00711B22">
        <w:t>,</w:t>
      </w:r>
      <w:r w:rsidR="00417640">
        <w:t xml:space="preserve"> as discussed in </w:t>
      </w:r>
      <w:r w:rsidR="0034063C">
        <w:t xml:space="preserve">Problem </w:t>
      </w:r>
      <w:r w:rsidR="00417640">
        <w:t xml:space="preserve">4.3, </w:t>
      </w:r>
      <w:r w:rsidRPr="00711B22">
        <w:t xml:space="preserve">if we were looking at LRs for bacterial meningitis in patients with headache and fever, the comparison group might include both patients with no meningitis at all and patients with viral meningitis. If that were the case, we would expect </w:t>
      </w:r>
      <w:r w:rsidR="00191BDE" w:rsidRPr="00711B22">
        <w:t>fi</w:t>
      </w:r>
      <w:r w:rsidRPr="00711B22">
        <w:t xml:space="preserve">ndings that pointed to meningitis in general </w:t>
      </w:r>
      <w:r w:rsidR="007E732B">
        <w:t>(</w:t>
      </w:r>
      <w:r w:rsidRPr="00711B22">
        <w:t xml:space="preserve">e.g., headache, stiff neck, photophobia, </w:t>
      </w:r>
      <w:r w:rsidR="00417640">
        <w:t xml:space="preserve">white blood cells in the </w:t>
      </w:r>
      <w:r w:rsidRPr="00711B22">
        <w:t xml:space="preserve">cerebrospinal </w:t>
      </w:r>
      <w:r w:rsidR="003413CF" w:rsidRPr="00711B22">
        <w:t>fl</w:t>
      </w:r>
      <w:r w:rsidRPr="00711B22">
        <w:t>uid</w:t>
      </w:r>
      <w:r w:rsidR="007E732B">
        <w:t>)</w:t>
      </w:r>
      <w:r w:rsidRPr="00711B22">
        <w:t xml:space="preserve"> also to be </w:t>
      </w:r>
      <w:proofErr w:type="spellStart"/>
      <w:r w:rsidRPr="00711B22">
        <w:t>nonindependent</w:t>
      </w:r>
      <w:proofErr w:type="spellEnd"/>
      <w:r w:rsidRPr="00711B22">
        <w:t xml:space="preserve">, because all of these would be more likely to be falsely positive in the subset of non–bacterial meningitis patients who had viral meningitis. </w:t>
      </w:r>
    </w:p>
    <w:p w14:paraId="5BB6ADD5" w14:textId="744590C0" w:rsidR="003951CB" w:rsidRDefault="003951CB" w:rsidP="00F9722A">
      <w:pPr>
        <w:pStyle w:val="NormalWeb"/>
      </w:pPr>
    </w:p>
    <w:p w14:paraId="0A37B5E6" w14:textId="77777777" w:rsidR="0004551C" w:rsidRPr="00997A7B" w:rsidRDefault="00E80457" w:rsidP="0004551C">
      <w:pPr>
        <w:pStyle w:val="NormalWeb"/>
        <w:rPr>
          <w:rStyle w:val="Heading4Char"/>
        </w:rPr>
      </w:pPr>
      <w:r>
        <w:rPr>
          <w:rStyle w:val="Heading4Char"/>
        </w:rPr>
        <w:t>T</w:t>
      </w:r>
      <w:r w:rsidR="0004551C" w:rsidRPr="00997A7B">
        <w:rPr>
          <w:rStyle w:val="Heading4Char"/>
        </w:rPr>
        <w:t>est nonindependence</w:t>
      </w:r>
      <w:r>
        <w:rPr>
          <w:rStyle w:val="Heading4Char"/>
        </w:rPr>
        <w:t xml:space="preserve"> and spectrum bias</w:t>
      </w:r>
    </w:p>
    <w:p w14:paraId="1649F327" w14:textId="77777777" w:rsidR="00BC07D9" w:rsidRDefault="00E951FC" w:rsidP="0004551C">
      <w:pPr>
        <w:pStyle w:val="NormalWeb"/>
      </w:pPr>
      <w:r>
        <w:t>When we discussed spectrum bias in</w:t>
      </w:r>
      <w:r w:rsidR="002A4002">
        <w:t xml:space="preserve"> Chapter 4</w:t>
      </w:r>
      <w:r>
        <w:t>,</w:t>
      </w:r>
      <w:r w:rsidR="002A4002">
        <w:t xml:space="preserve"> we saw that the </w:t>
      </w:r>
      <w:r w:rsidR="006D77D7">
        <w:t xml:space="preserve">pre-test probability and </w:t>
      </w:r>
      <w:r>
        <w:t xml:space="preserve">LRs of a test may not be independent.  </w:t>
      </w:r>
      <w:r w:rsidR="001F1F85">
        <w:t>If it’s a</w:t>
      </w:r>
      <w:r>
        <w:t xml:space="preserve"> dichotomous </w:t>
      </w:r>
      <w:r w:rsidR="00BC07D9">
        <w:t>index t</w:t>
      </w:r>
      <w:r>
        <w:t xml:space="preserve">est, the sensitivity and specificity may depend on pre-test probability.   </w:t>
      </w:r>
      <w:r w:rsidR="00BC07D9">
        <w:t>In Chapter 4, our topic was how spectrum of disease and spectrum of non-disease relate to pre-test probability, but we can also think of this as non-independence between the index test and another “test” used to estimate pre-index test probability.</w:t>
      </w:r>
    </w:p>
    <w:p w14:paraId="2E01D44B" w14:textId="3A61363D" w:rsidR="0004551C" w:rsidRPr="00997A7B" w:rsidRDefault="00BC07D9" w:rsidP="0004551C">
      <w:pPr>
        <w:pStyle w:val="NormalWeb"/>
      </w:pPr>
      <w:r>
        <w:t>For example, i</w:t>
      </w:r>
      <w:r w:rsidR="0004551C" w:rsidRPr="00997A7B">
        <w:t xml:space="preserve">n a classic article on spectrum bias </w:t>
      </w:r>
      <w:r w:rsidR="00DA779C">
        <w:fldChar w:fldCharType="begin"/>
      </w:r>
      <w:r w:rsidR="00DA779C">
        <w:instrText xml:space="preserve"> ADDIN EN.CITE &lt;EndNote&gt;&lt;Cite&gt;&lt;Author&gt;Lachs&lt;/Author&gt;&lt;Year&gt;1992&lt;/Year&gt;&lt;RecNum&gt;173&lt;/RecNum&gt;&lt;DisplayText&gt;[1]&lt;/DisplayText&gt;&lt;record&gt;&lt;rec-number&gt;173&lt;/rec-number&gt;&lt;foreign-keys&gt;&lt;key app="EN" db-id="0ftvff9p80fp5few5s05f5fw9rd9fefrdzer" timestamp="0"&gt;173&lt;/key&gt;&lt;/foreign-keys&gt;&lt;ref-type name="Journal Article"&gt;17&lt;/ref-type&gt;&lt;contributors&gt;&lt;authors&gt;&lt;author&gt;Lachs, M. S.&lt;/author&gt;&lt;author&gt;Nachamkin, I.&lt;/author&gt;&lt;author&gt;Edelstein, P. H.&lt;/author&gt;&lt;author&gt;Goldman, J.&lt;/author&gt;&lt;author&gt;Feinstein, A. R.&lt;/author&gt;&lt;author&gt;Schwartz, J. S.&lt;/author&gt;&lt;/authors&gt;&lt;/contributors&gt;&lt;auth-address&gt;Yale University School of Medicine, New Haven, Connecticut.&lt;/auth-address&gt;&lt;titles&gt;&lt;title&gt;Spectrum bias in the evaluation of diagnostic tests: lessons from the rapid dipstick test for urinary tract infection&lt;/title&gt;&lt;secondary-title&gt;Ann Intern Med&lt;/secondary-title&gt;&lt;/titles&gt;&lt;periodical&gt;&lt;full-title&gt;Ann Intern Med&lt;/full-title&gt;&lt;/periodical&gt;&lt;pages&gt;135-40&lt;/pages&gt;&lt;volume&gt;117&lt;/volume&gt;&lt;number&gt;2&lt;/number&gt;&lt;keywords&gt;&lt;keyword&gt;Adolescent&lt;/keyword&gt;&lt;keyword&gt;Adult&lt;/keyword&gt;&lt;keyword&gt;Aged&lt;/keyword&gt;&lt;keyword&gt;Aged, 80 and over&lt;/keyword&gt;&lt;keyword&gt;*Bias (Epidemiology)&lt;/keyword&gt;&lt;keyword&gt;Cross-Sectional Studies&lt;/keyword&gt;&lt;keyword&gt;Female&lt;/keyword&gt;&lt;keyword&gt;Human&lt;/keyword&gt;&lt;keyword&gt;Male&lt;/keyword&gt;&lt;keyword&gt;Middle Aged&lt;/keyword&gt;&lt;keyword&gt;Prevalence&lt;/keyword&gt;&lt;keyword&gt;Probability&lt;/keyword&gt;&lt;keyword&gt;*Reagent Strips&lt;/keyword&gt;&lt;keyword&gt;*Sensitivity and Specificity&lt;/keyword&gt;&lt;keyword&gt;Support, Non-U.S. Gov&amp;apos;t&lt;/keyword&gt;&lt;keyword&gt;Urinary Tract Infections/*diagnosis&lt;/keyword&gt;&lt;/keywords&gt;&lt;dates&gt;&lt;year&gt;1992&lt;/year&gt;&lt;pub-dates&gt;&lt;date&gt;Jul 15&lt;/date&gt;&lt;/pub-dates&gt;&lt;/dates&gt;&lt;accession-num&gt;1605428&lt;/accession-num&gt;&lt;urls&gt;&lt;related-urls&gt;&lt;url&gt;http://www.ncbi.nlm.nih.gov/entrez/query.fcgi?cmd=Retrieve&amp;amp;db=PubMed&amp;amp;dopt=Citation&amp;amp;list_uids=1605428&lt;/url&gt;&lt;/related-urls&gt;&lt;/urls&gt;&lt;/record&gt;&lt;/Cite&gt;&lt;/EndNote&gt;</w:instrText>
      </w:r>
      <w:r w:rsidR="00DA779C">
        <w:fldChar w:fldCharType="separate"/>
      </w:r>
      <w:r w:rsidR="00DA779C">
        <w:rPr>
          <w:noProof/>
        </w:rPr>
        <w:t>[1]</w:t>
      </w:r>
      <w:r w:rsidR="00DA779C">
        <w:fldChar w:fldCharType="end"/>
      </w:r>
      <w:r w:rsidR="003B5B79">
        <w:t>,</w:t>
      </w:r>
      <w:r w:rsidR="0004551C" w:rsidRPr="00997A7B">
        <w:t xml:space="preserve"> the authors studied the leukocyte esterase and nitrite</w:t>
      </w:r>
      <w:r w:rsidR="0004551C" w:rsidRPr="00997A7B">
        <w:rPr>
          <w:rStyle w:val="FootnoteReference"/>
        </w:rPr>
        <w:footnoteReference w:id="2"/>
      </w:r>
      <w:r w:rsidR="0004551C" w:rsidRPr="00997A7B">
        <w:t xml:space="preserve"> on a urine dipstick as predictors of a urinary tract infection (UTI), defined as a urine culture with </w:t>
      </w:r>
      <w:r w:rsidR="00F44F1C">
        <w:t>&gt;</w:t>
      </w:r>
      <w:r w:rsidR="0004551C" w:rsidRPr="00997A7B">
        <w:t xml:space="preserve"> 10</w:t>
      </w:r>
      <w:r w:rsidR="00214D8F">
        <w:rPr>
          <w:vertAlign w:val="superscript"/>
        </w:rPr>
        <w:t>5</w:t>
      </w:r>
      <w:r w:rsidR="00214D8F">
        <w:t xml:space="preserve"> bacteria/</w:t>
      </w:r>
      <w:proofErr w:type="spellStart"/>
      <w:r w:rsidR="00214D8F">
        <w:t>mL.</w:t>
      </w:r>
      <w:proofErr w:type="spellEnd"/>
      <w:r w:rsidR="0004551C" w:rsidRPr="00997A7B">
        <w:t xml:space="preserve"> They divided the 366 adults subjects in the study into those with high (</w:t>
      </w:r>
      <w:r w:rsidR="0004551C" w:rsidRPr="00997A7B">
        <w:rPr>
          <w:i/>
        </w:rPr>
        <w:t>&gt;</w:t>
      </w:r>
      <w:r w:rsidR="0004551C" w:rsidRPr="00997A7B">
        <w:t xml:space="preserve">50%) and low (≤50%) prior probability of UTI, based on the signs and symptoms recorded by clinicians before obtaining the urine dipstick result, which was classified as positive if either the leukocyte esterase or nitrite was positive. They found marked differences in both sensitivity and specificity in 2 groups defined by prior probability </w:t>
      </w:r>
      <w:r w:rsidR="0004551C" w:rsidRPr="00BC07D9">
        <w:rPr>
          <w:highlight w:val="yellow"/>
        </w:rPr>
        <w:t xml:space="preserve">(Table </w:t>
      </w:r>
      <w:r w:rsidRPr="00BC07D9">
        <w:rPr>
          <w:highlight w:val="yellow"/>
        </w:rPr>
        <w:t>7</w:t>
      </w:r>
      <w:r w:rsidR="0004551C" w:rsidRPr="00BC07D9">
        <w:rPr>
          <w:highlight w:val="yellow"/>
        </w:rPr>
        <w:t>.</w:t>
      </w:r>
      <w:r w:rsidRPr="00BC07D9">
        <w:rPr>
          <w:highlight w:val="yellow"/>
        </w:rPr>
        <w:t>1</w:t>
      </w:r>
      <w:r w:rsidR="0004551C" w:rsidRPr="00BC07D9">
        <w:rPr>
          <w:highlight w:val="yellow"/>
        </w:rPr>
        <w:t>).</w:t>
      </w:r>
    </w:p>
    <w:p w14:paraId="173A12C5" w14:textId="5D03A091" w:rsidR="0004551C" w:rsidRPr="00997A7B" w:rsidRDefault="0004551C" w:rsidP="0004551C">
      <w:pPr>
        <w:pStyle w:val="NormalWeb"/>
      </w:pPr>
      <w:r w:rsidRPr="00997A7B">
        <w:t xml:space="preserve">How can we account for these results? </w:t>
      </w:r>
      <w:r w:rsidR="00396E68">
        <w:t>If you think of this as spectrum bias, you say that the</w:t>
      </w:r>
      <w:r w:rsidRPr="00997A7B">
        <w:t xml:space="preserve"> patients with higher prior probability of UTI had more severe UTIs. Thus, their UTIs were easier to diagnose, and sensitivity was higher. Similarly, </w:t>
      </w:r>
      <w:r w:rsidR="00F44F1C">
        <w:t xml:space="preserve">perhaps </w:t>
      </w:r>
      <w:r w:rsidRPr="00997A7B">
        <w:t xml:space="preserve">some of those with </w:t>
      </w:r>
      <w:r w:rsidRPr="00997A7B">
        <w:lastRenderedPageBreak/>
        <w:t>high prior probability of UTI had urine cultures with just under 10</w:t>
      </w:r>
      <w:r w:rsidRPr="00997A7B">
        <w:rPr>
          <w:vertAlign w:val="superscript"/>
        </w:rPr>
        <w:t>5</w:t>
      </w:r>
      <w:r w:rsidRPr="00997A7B">
        <w:t xml:space="preserve"> bacteria/</w:t>
      </w:r>
      <w:proofErr w:type="spellStart"/>
      <w:r w:rsidRPr="00997A7B">
        <w:t>mL.</w:t>
      </w:r>
      <w:proofErr w:type="spellEnd"/>
      <w:r w:rsidRPr="00997A7B">
        <w:t xml:space="preserve"> In that case, their lack of UTI would be harder to diagnose, leading to a lower specificity.</w:t>
      </w:r>
    </w:p>
    <w:p w14:paraId="29EEDB05" w14:textId="02A59431" w:rsidR="0004551C" w:rsidRPr="00997A7B" w:rsidRDefault="0004551C" w:rsidP="0004551C">
      <w:pPr>
        <w:pStyle w:val="NormalWeb"/>
      </w:pPr>
      <w:r w:rsidRPr="002F5778">
        <w:rPr>
          <w:b/>
          <w:highlight w:val="yellow"/>
        </w:rPr>
        <w:t xml:space="preserve">Table </w:t>
      </w:r>
      <w:r w:rsidR="00BC07D9" w:rsidRPr="002F5778">
        <w:rPr>
          <w:b/>
          <w:highlight w:val="yellow"/>
        </w:rPr>
        <w:t>7</w:t>
      </w:r>
      <w:r w:rsidRPr="002F5778">
        <w:rPr>
          <w:b/>
          <w:highlight w:val="yellow"/>
        </w:rPr>
        <w:t>.</w:t>
      </w:r>
      <w:r w:rsidR="00BC07D9" w:rsidRPr="002F5778">
        <w:rPr>
          <w:b/>
          <w:highlight w:val="yellow"/>
        </w:rPr>
        <w:t>1</w:t>
      </w:r>
      <w:r w:rsidRPr="002F5778">
        <w:rPr>
          <w:b/>
          <w:highlight w:val="yellow"/>
        </w:rPr>
        <w:t>.</w:t>
      </w:r>
      <w:r w:rsidRPr="00997A7B">
        <w:rPr>
          <w:b/>
        </w:rPr>
        <w:t xml:space="preserve"> </w:t>
      </w:r>
      <w:r w:rsidRPr="00997A7B">
        <w:t xml:space="preserve">Differences in test characteristics of the urine dipstick in women at high and low prior probability of UTI, based on signs and symptoms (from </w:t>
      </w:r>
      <w:proofErr w:type="spellStart"/>
      <w:r w:rsidRPr="00997A7B">
        <w:t>Lachs</w:t>
      </w:r>
      <w:proofErr w:type="spellEnd"/>
      <w:r w:rsidRPr="00997A7B">
        <w:t xml:space="preserve"> et al. 1992)</w:t>
      </w:r>
      <w:r w:rsidR="00DA779C">
        <w:fldChar w:fldCharType="begin"/>
      </w:r>
      <w:r w:rsidR="00DA779C">
        <w:instrText xml:space="preserve"> ADDIN EN.CITE &lt;EndNote&gt;&lt;Cite&gt;&lt;Author&gt;Lachs&lt;/Author&gt;&lt;Year&gt;1992&lt;/Year&gt;&lt;RecNum&gt;173&lt;/RecNum&gt;&lt;DisplayText&gt;[1]&lt;/DisplayText&gt;&lt;record&gt;&lt;rec-number&gt;173&lt;/rec-number&gt;&lt;foreign-keys&gt;&lt;key app="EN" db-id="0ftvff9p80fp5few5s05f5fw9rd9fefrdzer" timestamp="0"&gt;173&lt;/key&gt;&lt;/foreign-keys&gt;&lt;ref-type name="Journal Article"&gt;17&lt;/ref-type&gt;&lt;contributors&gt;&lt;authors&gt;&lt;author&gt;Lachs, M. S.&lt;/author&gt;&lt;author&gt;Nachamkin, I.&lt;/author&gt;&lt;author&gt;Edelstein, P. H.&lt;/author&gt;&lt;author&gt;Goldman, J.&lt;/author&gt;&lt;author&gt;Feinstein, A. R.&lt;/author&gt;&lt;author&gt;Schwartz, J. S.&lt;/author&gt;&lt;/authors&gt;&lt;/contributors&gt;&lt;auth-address&gt;Yale University School of Medicine, New Haven, Connecticut.&lt;/auth-address&gt;&lt;titles&gt;&lt;title&gt;Spectrum bias in the evaluation of diagnostic tests: lessons from the rapid dipstick test for urinary tract infection&lt;/title&gt;&lt;secondary-title&gt;Ann Intern Med&lt;/secondary-title&gt;&lt;/titles&gt;&lt;periodical&gt;&lt;full-title&gt;Ann Intern Med&lt;/full-title&gt;&lt;/periodical&gt;&lt;pages&gt;135-40&lt;/pages&gt;&lt;volume&gt;117&lt;/volume&gt;&lt;number&gt;2&lt;/number&gt;&lt;keywords&gt;&lt;keyword&gt;Adolescent&lt;/keyword&gt;&lt;keyword&gt;Adult&lt;/keyword&gt;&lt;keyword&gt;Aged&lt;/keyword&gt;&lt;keyword&gt;Aged, 80 and over&lt;/keyword&gt;&lt;keyword&gt;*Bias (Epidemiology)&lt;/keyword&gt;&lt;keyword&gt;Cross-Sectional Studies&lt;/keyword&gt;&lt;keyword&gt;Female&lt;/keyword&gt;&lt;keyword&gt;Human&lt;/keyword&gt;&lt;keyword&gt;Male&lt;/keyword&gt;&lt;keyword&gt;Middle Aged&lt;/keyword&gt;&lt;keyword&gt;Prevalence&lt;/keyword&gt;&lt;keyword&gt;Probability&lt;/keyword&gt;&lt;keyword&gt;*Reagent Strips&lt;/keyword&gt;&lt;keyword&gt;*Sensitivity and Specificity&lt;/keyword&gt;&lt;keyword&gt;Support, Non-U.S. Gov&amp;apos;t&lt;/keyword&gt;&lt;keyword&gt;Urinary Tract Infections/*diagnosis&lt;/keyword&gt;&lt;/keywords&gt;&lt;dates&gt;&lt;year&gt;1992&lt;/year&gt;&lt;pub-dates&gt;&lt;date&gt;Jul 15&lt;/date&gt;&lt;/pub-dates&gt;&lt;/dates&gt;&lt;accession-num&gt;1605428&lt;/accession-num&gt;&lt;urls&gt;&lt;related-urls&gt;&lt;url&gt;http://www.ncbi.nlm.nih.gov/entrez/query.fcgi?cmd=Retrieve&amp;amp;db=PubMed&amp;amp;dopt=Citation&amp;amp;list_uids=1605428&lt;/url&gt;&lt;/related-urls&gt;&lt;/urls&gt;&lt;/record&gt;&lt;/Cite&gt;&lt;/EndNote&gt;</w:instrText>
      </w:r>
      <w:r w:rsidR="00DA779C">
        <w:fldChar w:fldCharType="separate"/>
      </w:r>
      <w:r w:rsidR="00DA779C">
        <w:rPr>
          <w:noProof/>
        </w:rPr>
        <w:t>[1]</w:t>
      </w:r>
      <w:r w:rsidR="00DA779C">
        <w:fldChar w:fldCharType="end"/>
      </w:r>
    </w:p>
    <w:tbl>
      <w:tblPr>
        <w:tblW w:w="0" w:type="auto"/>
        <w:tblInd w:w="40" w:type="dxa"/>
        <w:tblLayout w:type="fixed"/>
        <w:tblCellMar>
          <w:left w:w="40" w:type="dxa"/>
          <w:right w:w="40" w:type="dxa"/>
        </w:tblCellMar>
        <w:tblLook w:val="0000" w:firstRow="0" w:lastRow="0" w:firstColumn="0" w:lastColumn="0" w:noHBand="0" w:noVBand="0"/>
      </w:tblPr>
      <w:tblGrid>
        <w:gridCol w:w="2520"/>
        <w:gridCol w:w="1440"/>
        <w:gridCol w:w="1350"/>
        <w:gridCol w:w="990"/>
        <w:gridCol w:w="1080"/>
      </w:tblGrid>
      <w:tr w:rsidR="0004551C" w:rsidRPr="00997A7B" w14:paraId="354435BF" w14:textId="77777777" w:rsidTr="0004551C">
        <w:trPr>
          <w:trHeight w:hRule="exact" w:val="559"/>
        </w:trPr>
        <w:tc>
          <w:tcPr>
            <w:tcW w:w="2520" w:type="dxa"/>
            <w:tcBorders>
              <w:top w:val="single" w:sz="4" w:space="0" w:color="auto"/>
              <w:left w:val="nil"/>
              <w:bottom w:val="single" w:sz="6" w:space="0" w:color="auto"/>
              <w:right w:val="nil"/>
            </w:tcBorders>
            <w:shd w:val="clear" w:color="auto" w:fill="FFFFFF"/>
          </w:tcPr>
          <w:p w14:paraId="4B552549" w14:textId="77777777" w:rsidR="0004551C" w:rsidRPr="00997A7B" w:rsidRDefault="0004551C" w:rsidP="0004551C">
            <w:pPr>
              <w:pStyle w:val="Table"/>
            </w:pPr>
          </w:p>
        </w:tc>
        <w:tc>
          <w:tcPr>
            <w:tcW w:w="1440" w:type="dxa"/>
            <w:tcBorders>
              <w:top w:val="single" w:sz="4" w:space="0" w:color="auto"/>
              <w:left w:val="nil"/>
              <w:bottom w:val="single" w:sz="6" w:space="0" w:color="auto"/>
              <w:right w:val="nil"/>
            </w:tcBorders>
            <w:shd w:val="clear" w:color="auto" w:fill="FFFFFF"/>
          </w:tcPr>
          <w:p w14:paraId="1C842C86" w14:textId="77777777" w:rsidR="0004551C" w:rsidRPr="00997A7B" w:rsidRDefault="0004551C" w:rsidP="0004551C">
            <w:pPr>
              <w:pStyle w:val="Table"/>
            </w:pPr>
            <w:r w:rsidRPr="00997A7B">
              <w:t>Sensitivity</w:t>
            </w:r>
          </w:p>
        </w:tc>
        <w:tc>
          <w:tcPr>
            <w:tcW w:w="1350" w:type="dxa"/>
            <w:tcBorders>
              <w:top w:val="single" w:sz="4" w:space="0" w:color="auto"/>
              <w:left w:val="nil"/>
              <w:bottom w:val="single" w:sz="6" w:space="0" w:color="auto"/>
              <w:right w:val="nil"/>
            </w:tcBorders>
            <w:shd w:val="clear" w:color="auto" w:fill="FFFFFF"/>
          </w:tcPr>
          <w:p w14:paraId="15ACE3B4" w14:textId="77777777" w:rsidR="0004551C" w:rsidRPr="00997A7B" w:rsidRDefault="0004551C" w:rsidP="0004551C">
            <w:pPr>
              <w:pStyle w:val="Table"/>
            </w:pPr>
            <w:r w:rsidRPr="00997A7B">
              <w:t>Specificity</w:t>
            </w:r>
          </w:p>
        </w:tc>
        <w:tc>
          <w:tcPr>
            <w:tcW w:w="990" w:type="dxa"/>
            <w:tcBorders>
              <w:top w:val="single" w:sz="4" w:space="0" w:color="auto"/>
              <w:left w:val="nil"/>
              <w:bottom w:val="single" w:sz="6" w:space="0" w:color="auto"/>
              <w:right w:val="nil"/>
            </w:tcBorders>
            <w:shd w:val="clear" w:color="auto" w:fill="FFFFFF"/>
          </w:tcPr>
          <w:p w14:paraId="24A82DC2" w14:textId="77777777" w:rsidR="0004551C" w:rsidRPr="00997A7B" w:rsidRDefault="0004551C" w:rsidP="0004551C">
            <w:pPr>
              <w:pStyle w:val="Table"/>
            </w:pPr>
            <w:r w:rsidRPr="00997A7B">
              <w:t>LR+</w:t>
            </w:r>
          </w:p>
        </w:tc>
        <w:tc>
          <w:tcPr>
            <w:tcW w:w="1080" w:type="dxa"/>
            <w:tcBorders>
              <w:top w:val="single" w:sz="4" w:space="0" w:color="auto"/>
              <w:left w:val="nil"/>
              <w:bottom w:val="single" w:sz="6" w:space="0" w:color="auto"/>
              <w:right w:val="nil"/>
            </w:tcBorders>
            <w:shd w:val="clear" w:color="auto" w:fill="FFFFFF"/>
          </w:tcPr>
          <w:p w14:paraId="62F03C3F" w14:textId="77777777" w:rsidR="0004551C" w:rsidRPr="00997A7B" w:rsidRDefault="0004551C" w:rsidP="0004551C">
            <w:pPr>
              <w:pStyle w:val="Table"/>
            </w:pPr>
            <w:r w:rsidRPr="00997A7B">
              <w:t>LR−</w:t>
            </w:r>
          </w:p>
        </w:tc>
      </w:tr>
      <w:tr w:rsidR="0004551C" w:rsidRPr="00997A7B" w14:paraId="4421205B" w14:textId="77777777" w:rsidTr="0004551C">
        <w:trPr>
          <w:trHeight w:hRule="exact" w:val="645"/>
        </w:trPr>
        <w:tc>
          <w:tcPr>
            <w:tcW w:w="2520" w:type="dxa"/>
            <w:tcBorders>
              <w:top w:val="nil"/>
              <w:left w:val="nil"/>
              <w:right w:val="nil"/>
            </w:tcBorders>
            <w:shd w:val="clear" w:color="auto" w:fill="FFFFFF"/>
          </w:tcPr>
          <w:p w14:paraId="14CEB9B4" w14:textId="77777777" w:rsidR="0004551C" w:rsidRPr="00997A7B" w:rsidRDefault="0004551C" w:rsidP="0004551C">
            <w:pPr>
              <w:pStyle w:val="Table"/>
            </w:pPr>
            <w:r w:rsidRPr="00997A7B">
              <w:t>High Prior</w:t>
            </w:r>
          </w:p>
        </w:tc>
        <w:tc>
          <w:tcPr>
            <w:tcW w:w="1440" w:type="dxa"/>
            <w:tcBorders>
              <w:top w:val="nil"/>
              <w:left w:val="nil"/>
              <w:right w:val="nil"/>
            </w:tcBorders>
            <w:shd w:val="clear" w:color="auto" w:fill="FFFFFF"/>
          </w:tcPr>
          <w:p w14:paraId="59B6F5A5" w14:textId="77777777" w:rsidR="0004551C" w:rsidRPr="00997A7B" w:rsidRDefault="0004551C" w:rsidP="0004551C">
            <w:pPr>
              <w:pStyle w:val="Table"/>
              <w:jc w:val="center"/>
            </w:pPr>
            <w:r w:rsidRPr="00997A7B">
              <w:t>92%</w:t>
            </w:r>
          </w:p>
        </w:tc>
        <w:tc>
          <w:tcPr>
            <w:tcW w:w="1350" w:type="dxa"/>
            <w:tcBorders>
              <w:top w:val="nil"/>
              <w:left w:val="nil"/>
              <w:right w:val="nil"/>
            </w:tcBorders>
            <w:shd w:val="clear" w:color="auto" w:fill="FFFFFF"/>
          </w:tcPr>
          <w:p w14:paraId="5AFAB12D" w14:textId="77777777" w:rsidR="0004551C" w:rsidRPr="00997A7B" w:rsidRDefault="0004551C" w:rsidP="0004551C">
            <w:pPr>
              <w:pStyle w:val="Table"/>
              <w:jc w:val="center"/>
            </w:pPr>
            <w:r w:rsidRPr="00997A7B">
              <w:t>42%</w:t>
            </w:r>
          </w:p>
        </w:tc>
        <w:tc>
          <w:tcPr>
            <w:tcW w:w="990" w:type="dxa"/>
            <w:tcBorders>
              <w:top w:val="nil"/>
              <w:left w:val="nil"/>
              <w:right w:val="nil"/>
            </w:tcBorders>
            <w:shd w:val="clear" w:color="auto" w:fill="FFFFFF"/>
          </w:tcPr>
          <w:p w14:paraId="5E6BFD50" w14:textId="77777777" w:rsidR="0004551C" w:rsidRPr="00997A7B" w:rsidRDefault="0004551C" w:rsidP="0004551C">
            <w:pPr>
              <w:pStyle w:val="Table"/>
              <w:jc w:val="center"/>
            </w:pPr>
            <w:r w:rsidRPr="00997A7B">
              <w:t>1.6</w:t>
            </w:r>
          </w:p>
        </w:tc>
        <w:tc>
          <w:tcPr>
            <w:tcW w:w="1080" w:type="dxa"/>
            <w:tcBorders>
              <w:top w:val="nil"/>
              <w:left w:val="nil"/>
              <w:right w:val="nil"/>
            </w:tcBorders>
            <w:shd w:val="clear" w:color="auto" w:fill="FFFFFF"/>
          </w:tcPr>
          <w:p w14:paraId="6FE1CA77" w14:textId="77777777" w:rsidR="0004551C" w:rsidRPr="00997A7B" w:rsidRDefault="0004551C" w:rsidP="0004551C">
            <w:pPr>
              <w:pStyle w:val="Table"/>
              <w:jc w:val="center"/>
            </w:pPr>
            <w:r w:rsidRPr="00997A7B">
              <w:t>0.19</w:t>
            </w:r>
          </w:p>
        </w:tc>
      </w:tr>
      <w:tr w:rsidR="0004551C" w:rsidRPr="00997A7B" w14:paraId="4435B56B" w14:textId="77777777" w:rsidTr="0004551C">
        <w:trPr>
          <w:trHeight w:hRule="exact" w:val="933"/>
        </w:trPr>
        <w:tc>
          <w:tcPr>
            <w:tcW w:w="2520" w:type="dxa"/>
            <w:tcBorders>
              <w:left w:val="nil"/>
              <w:bottom w:val="single" w:sz="6" w:space="0" w:color="auto"/>
              <w:right w:val="nil"/>
            </w:tcBorders>
            <w:shd w:val="clear" w:color="auto" w:fill="FFFFFF"/>
          </w:tcPr>
          <w:p w14:paraId="45E316E7" w14:textId="77777777" w:rsidR="0004551C" w:rsidRPr="00997A7B" w:rsidRDefault="0004551C" w:rsidP="0004551C">
            <w:pPr>
              <w:pStyle w:val="Table"/>
            </w:pPr>
            <w:r w:rsidRPr="00997A7B">
              <w:t>Prob. Low Prior Prob.</w:t>
            </w:r>
          </w:p>
        </w:tc>
        <w:tc>
          <w:tcPr>
            <w:tcW w:w="1440" w:type="dxa"/>
            <w:tcBorders>
              <w:left w:val="nil"/>
              <w:bottom w:val="single" w:sz="6" w:space="0" w:color="auto"/>
              <w:right w:val="nil"/>
            </w:tcBorders>
            <w:shd w:val="clear" w:color="auto" w:fill="FFFFFF"/>
          </w:tcPr>
          <w:p w14:paraId="33F27F93" w14:textId="77777777" w:rsidR="0004551C" w:rsidRPr="00997A7B" w:rsidRDefault="0004551C" w:rsidP="0004551C">
            <w:pPr>
              <w:pStyle w:val="Table"/>
              <w:jc w:val="center"/>
            </w:pPr>
            <w:r w:rsidRPr="00997A7B">
              <w:t>56%</w:t>
            </w:r>
          </w:p>
        </w:tc>
        <w:tc>
          <w:tcPr>
            <w:tcW w:w="1350" w:type="dxa"/>
            <w:tcBorders>
              <w:left w:val="nil"/>
              <w:bottom w:val="single" w:sz="6" w:space="0" w:color="auto"/>
              <w:right w:val="nil"/>
            </w:tcBorders>
            <w:shd w:val="clear" w:color="auto" w:fill="FFFFFF"/>
          </w:tcPr>
          <w:p w14:paraId="7914F434" w14:textId="77777777" w:rsidR="0004551C" w:rsidRPr="00997A7B" w:rsidRDefault="0004551C" w:rsidP="0004551C">
            <w:pPr>
              <w:pStyle w:val="Table"/>
              <w:jc w:val="center"/>
            </w:pPr>
            <w:r w:rsidRPr="00997A7B">
              <w:t>78%</w:t>
            </w:r>
          </w:p>
        </w:tc>
        <w:tc>
          <w:tcPr>
            <w:tcW w:w="990" w:type="dxa"/>
            <w:tcBorders>
              <w:left w:val="nil"/>
              <w:bottom w:val="single" w:sz="6" w:space="0" w:color="auto"/>
              <w:right w:val="nil"/>
            </w:tcBorders>
            <w:shd w:val="clear" w:color="auto" w:fill="FFFFFF"/>
          </w:tcPr>
          <w:p w14:paraId="33E96BDF" w14:textId="77777777" w:rsidR="0004551C" w:rsidRPr="00997A7B" w:rsidRDefault="0004551C" w:rsidP="0004551C">
            <w:pPr>
              <w:pStyle w:val="Table"/>
              <w:jc w:val="center"/>
            </w:pPr>
            <w:r w:rsidRPr="00997A7B">
              <w:t>2.5</w:t>
            </w:r>
          </w:p>
        </w:tc>
        <w:tc>
          <w:tcPr>
            <w:tcW w:w="1080" w:type="dxa"/>
            <w:tcBorders>
              <w:left w:val="nil"/>
              <w:bottom w:val="single" w:sz="6" w:space="0" w:color="auto"/>
              <w:right w:val="nil"/>
            </w:tcBorders>
            <w:shd w:val="clear" w:color="auto" w:fill="FFFFFF"/>
          </w:tcPr>
          <w:p w14:paraId="1CDC22F4" w14:textId="77777777" w:rsidR="0004551C" w:rsidRPr="00997A7B" w:rsidRDefault="0004551C" w:rsidP="0004551C">
            <w:pPr>
              <w:pStyle w:val="Table"/>
              <w:jc w:val="center"/>
            </w:pPr>
            <w:r w:rsidRPr="00997A7B">
              <w:t>0.56</w:t>
            </w:r>
          </w:p>
        </w:tc>
      </w:tr>
    </w:tbl>
    <w:p w14:paraId="5B7DAE59" w14:textId="07FBE485" w:rsidR="0004551C" w:rsidRPr="00997A7B" w:rsidRDefault="001A2E83" w:rsidP="0004551C">
      <w:pPr>
        <w:pStyle w:val="NormalWeb"/>
      </w:pPr>
      <w:r>
        <w:t>Alternatively,</w:t>
      </w:r>
      <w:r w:rsidR="00396E68">
        <w:t xml:space="preserve"> you could say that </w:t>
      </w:r>
      <w:r w:rsidR="0004551C" w:rsidRPr="00997A7B">
        <w:t xml:space="preserve">the index test (dipstick) is measuring something that has already been measured by another test: in this case, the clinical assessment based on signs and symptoms. Perhaps there is a subset of patients with UTI who have inﬂammation of the lower urinary tract. If this inﬂammation is what leads to both pain with urination and abnormal urine tests, then, in a way, painful voiding (obtained from the history) is measuring the same aspect of the disease (urinary tract inﬂammation) as the inﬂammation identified with </w:t>
      </w:r>
      <w:r w:rsidR="00F44F1C">
        <w:t xml:space="preserve">the </w:t>
      </w:r>
      <w:r w:rsidR="0004551C" w:rsidRPr="00997A7B">
        <w:t>dipstick leukocyte esterase. In that case, we would expect the two tests – clinical assessment of dysuria</w:t>
      </w:r>
      <w:r w:rsidR="00F44F1C">
        <w:t xml:space="preserve"> (painful urination)</w:t>
      </w:r>
      <w:r w:rsidR="0004551C" w:rsidRPr="00997A7B">
        <w:t xml:space="preserve"> and a dipstick positive for leukocyte esterase – to be </w:t>
      </w:r>
      <w:proofErr w:type="spellStart"/>
      <w:r w:rsidR="0004551C" w:rsidRPr="00997A7B">
        <w:t>nonindependent</w:t>
      </w:r>
      <w:proofErr w:type="spellEnd"/>
      <w:r w:rsidR="008D5F00">
        <w:t xml:space="preserve">.  </w:t>
      </w:r>
      <w:r w:rsidR="0004551C" w:rsidRPr="00997A7B">
        <w:t xml:space="preserve">Once you know that a woman has dysuria, you do not learn as much from finding out that she has </w:t>
      </w:r>
      <w:r w:rsidR="00C03652">
        <w:t xml:space="preserve">a positive </w:t>
      </w:r>
      <w:r w:rsidR="0004551C" w:rsidRPr="00997A7B">
        <w:t xml:space="preserve">leukocyte esterase on her urine dipstick. Nonindependence tends to make the sensitivity of the index test appear better, whereas the specificity will generally decrease. The results in </w:t>
      </w:r>
      <w:r w:rsidR="0004551C" w:rsidRPr="00396E68">
        <w:rPr>
          <w:highlight w:val="yellow"/>
        </w:rPr>
        <w:t xml:space="preserve">Table </w:t>
      </w:r>
      <w:r w:rsidR="00396E68" w:rsidRPr="00396E68">
        <w:rPr>
          <w:highlight w:val="yellow"/>
        </w:rPr>
        <w:t>7.1</w:t>
      </w:r>
      <w:r w:rsidR="0004551C" w:rsidRPr="00997A7B">
        <w:t xml:space="preserve"> are consistent with this explanation.</w:t>
      </w:r>
    </w:p>
    <w:p w14:paraId="0E78CB3C" w14:textId="77777777" w:rsidR="003951CB" w:rsidRPr="00711B22" w:rsidRDefault="007E4D31" w:rsidP="007E4D4F">
      <w:pPr>
        <w:pStyle w:val="Heading2"/>
      </w:pPr>
      <w:r w:rsidRPr="00711B22">
        <w:t>Combining the results of tw</w:t>
      </w:r>
      <w:r w:rsidR="00FC7AE8" w:rsidRPr="00711B22">
        <w:t>o dichotomous tests: an example</w:t>
      </w:r>
    </w:p>
    <w:p w14:paraId="4B1967A8" w14:textId="788AB601" w:rsidR="003951CB" w:rsidRPr="00711B22" w:rsidRDefault="00417640" w:rsidP="00FC7AE8">
      <w:pPr>
        <w:pStyle w:val="NormalWeb"/>
      </w:pPr>
      <w:r>
        <w:t>Recall Clinical Scenario #4 from Chapter 1, in which we wished to identify fetal chromosomal abnormalities on a prenatal ultrasound at 13 weeks.  T</w:t>
      </w:r>
      <w:r w:rsidR="007E4D31" w:rsidRPr="00711B22">
        <w:t>wo prenatal sonographic tests for trisomy 21 (Down syndrome</w:t>
      </w:r>
      <w:r w:rsidRPr="00711B22">
        <w:t>)</w:t>
      </w:r>
      <w:r>
        <w:t xml:space="preserve"> are</w:t>
      </w:r>
      <w:r w:rsidRPr="00711B22">
        <w:t xml:space="preserve"> </w:t>
      </w:r>
      <w:r w:rsidR="007E4D31" w:rsidRPr="00711B22">
        <w:t xml:space="preserve">nuchal translucency (NT) and examination for the nasal bone. </w:t>
      </w:r>
      <w:r>
        <w:t xml:space="preserve"> Nasal bone absence (NBA) </w:t>
      </w:r>
      <w:r w:rsidR="007E4D31" w:rsidRPr="00711B22">
        <w:t>constitutes</w:t>
      </w:r>
      <w:r>
        <w:t xml:space="preserve"> a</w:t>
      </w:r>
      <w:r w:rsidR="007E4D31" w:rsidRPr="00711B22">
        <w:t xml:space="preserve"> </w:t>
      </w:r>
      <w:r w:rsidR="003E0F94" w:rsidRPr="00711B22">
        <w:t>“</w:t>
      </w:r>
      <w:r w:rsidR="007E4D31" w:rsidRPr="00711B22">
        <w:t>positive</w:t>
      </w:r>
      <w:r w:rsidR="003E0F94" w:rsidRPr="00711B22">
        <w:t>”</w:t>
      </w:r>
      <w:r w:rsidR="007E4D31" w:rsidRPr="00711B22">
        <w:t xml:space="preserve"> nasal bone exam for trisomy 21. NT is the measurement (in mm) of the subcutaneous edema between the skin at the back of the fetal neck and the soft tissue overlying the cervical spine. We pointed out in Chapter </w:t>
      </w:r>
      <w:r w:rsidR="00E155F2">
        <w:t>3</w:t>
      </w:r>
      <w:r w:rsidR="00E155F2" w:rsidRPr="00711B22">
        <w:t xml:space="preserve"> </w:t>
      </w:r>
      <w:r w:rsidR="007E4D31" w:rsidRPr="00711B22">
        <w:t>that choosing a cut-off to make a continuous or multilevel test into a dichotomous test discards information. However, for purposes of exposition, we will use the cut-off of</w:t>
      </w:r>
      <w:r w:rsidR="00FC7AE8" w:rsidRPr="00711B22">
        <w:t xml:space="preserve"> </w:t>
      </w:r>
      <w:r w:rsidR="007E4D31" w:rsidRPr="00711B22">
        <w:t>3.5 mm to make NT a dichotomous test; we will consider an NT ≥</w:t>
      </w:r>
      <w:r>
        <w:t xml:space="preserve"> </w:t>
      </w:r>
      <w:r w:rsidR="007E4D31" w:rsidRPr="00711B22">
        <w:t xml:space="preserve">3.5 mm </w:t>
      </w:r>
      <w:r w:rsidR="003E0F94" w:rsidRPr="00711B22">
        <w:t>“</w:t>
      </w:r>
      <w:r w:rsidR="007E4D31" w:rsidRPr="00711B22">
        <w:t>positive</w:t>
      </w:r>
      <w:r w:rsidR="003E0F94" w:rsidRPr="00711B22">
        <w:t>”</w:t>
      </w:r>
      <w:r w:rsidR="007E4D31" w:rsidRPr="00711B22">
        <w:t xml:space="preserve"> for trisomy 21.</w:t>
      </w:r>
    </w:p>
    <w:p w14:paraId="28AA6DFA" w14:textId="28907ED7" w:rsidR="003951CB" w:rsidRPr="00711B22" w:rsidRDefault="007E4D31" w:rsidP="00FC7AE8">
      <w:pPr>
        <w:pStyle w:val="NormalWeb"/>
      </w:pPr>
      <w:r w:rsidRPr="00711B22">
        <w:lastRenderedPageBreak/>
        <w:t xml:space="preserve">Cicero et al. </w:t>
      </w:r>
      <w:r w:rsidR="00DA779C">
        <w:fldChar w:fldCharType="begin"/>
      </w:r>
      <w:r w:rsidR="00DA779C">
        <w:instrText xml:space="preserve"> ADDIN EN.CITE &lt;EndNote&gt;&lt;Cite&gt;&lt;Author&gt;Cicero&lt;/Author&gt;&lt;Year&gt;2004&lt;/Year&gt;&lt;RecNum&gt;875&lt;/RecNum&gt;&lt;DisplayText&gt;[2]&lt;/DisplayText&gt;&lt;record&gt;&lt;rec-number&gt;875&lt;/rec-number&gt;&lt;foreign-keys&gt;&lt;key app="EN" db-id="0ftvff9p80fp5few5s05f5fw9rd9fefrdzer" timestamp="0"&gt;875&lt;/key&gt;&lt;/foreign-keys&gt;&lt;ref-type name="Journal Article"&gt;17&lt;/ref-type&gt;&lt;contributors&gt;&lt;authors&gt;&lt;author&gt;Cicero, S.&lt;/author&gt;&lt;author&gt;Rembouskos, G.&lt;/author&gt;&lt;author&gt;Vandecruys, H.&lt;/author&gt;&lt;author&gt;Hogg, M.&lt;/author&gt;&lt;author&gt;Nicolaides, K. H.&lt;/author&gt;&lt;/authors&gt;&lt;/contributors&gt;&lt;auth-address&gt;Harris Birthright Research Centre for Fetal Medicine, King&amp;apos;s College Hospital Medical School, London, UK.&lt;/auth-address&gt;&lt;titles&gt;&lt;title&gt;Likelihood ratio for trisomy 21 in fetuses with absent nasal bone at the 11-14-week scan&lt;/title&gt;&lt;secondary-title&gt;Ultrasound Obstet Gynecol&lt;/secondary-title&gt;&lt;/titles&gt;&lt;pages&gt;218-23&lt;/pages&gt;&lt;volume&gt;23&lt;/volume&gt;&lt;number&gt;3&lt;/number&gt;&lt;keywords&gt;&lt;keyword&gt;Adolescent&lt;/keyword&gt;&lt;keyword&gt;Adult&lt;/keyword&gt;&lt;keyword&gt;Chromosome Aberrations&lt;/keyword&gt;&lt;keyword&gt;Crown-Rump Length&lt;/keyword&gt;&lt;keyword&gt;Down Syndrome/ethnology/*ultrasonography&lt;/keyword&gt;&lt;keyword&gt;Female&lt;/keyword&gt;&lt;keyword&gt;Humans&lt;/keyword&gt;&lt;keyword&gt;Incidence&lt;/keyword&gt;&lt;keyword&gt;Karyotyping&lt;/keyword&gt;&lt;keyword&gt;Logistic Models&lt;/keyword&gt;&lt;keyword&gt;London/epidemiology&lt;/keyword&gt;&lt;keyword&gt;Mass Screening/methods&lt;/keyword&gt;&lt;keyword&gt;Middle Aged&lt;/keyword&gt;&lt;keyword&gt;Nasal Bone/abnormalities/*ultrasonography&lt;/keyword&gt;&lt;keyword&gt;Neck/ultrasonography&lt;/keyword&gt;&lt;keyword&gt;Pregnancy&lt;/keyword&gt;&lt;keyword&gt;Prospective Studies&lt;/keyword&gt;&lt;keyword&gt;Research Support, Non-U.S. Gov&amp;apos;t&lt;/keyword&gt;&lt;keyword&gt;Ultrasonography, Prenatal/*methods&lt;/keyword&gt;&lt;/keywords&gt;&lt;dates&gt;&lt;year&gt;2004&lt;/year&gt;&lt;pub-dates&gt;&lt;date&gt;Mar&lt;/date&gt;&lt;/pub-dates&gt;&lt;/dates&gt;&lt;accession-num&gt;15027007&lt;/accession-num&gt;&lt;urls&gt;&lt;related-urls&gt;&lt;url&gt;http://www.ncbi.nlm.nih.gov/entrez/query.fcgi?cmd=Retrieve&amp;amp;db=PubMed&amp;amp;dopt=Citation&amp;amp;list_uids=15027007 &lt;/url&gt;&lt;/related-urls&gt;&lt;/urls&gt;&lt;/record&gt;&lt;/Cite&gt;&lt;/EndNote&gt;</w:instrText>
      </w:r>
      <w:r w:rsidR="00DA779C">
        <w:fldChar w:fldCharType="separate"/>
      </w:r>
      <w:r w:rsidR="00DA779C">
        <w:rPr>
          <w:noProof/>
        </w:rPr>
        <w:t>[2]</w:t>
      </w:r>
      <w:r w:rsidR="00DA779C">
        <w:fldChar w:fldCharType="end"/>
      </w:r>
      <w:r w:rsidRPr="00711B22">
        <w:t>reported NTs and nasal bone examinations on 5556 fetuses. The tests were done prior to de</w:t>
      </w:r>
      <w:r w:rsidR="00191BDE" w:rsidRPr="00711B22">
        <w:t>fi</w:t>
      </w:r>
      <w:r w:rsidRPr="00711B22">
        <w:t xml:space="preserve">nitive determination of trisomy 21 versus normal karyotype via chorionic villus sampling. The results are shown in </w:t>
      </w:r>
      <w:r w:rsidRPr="001F6793">
        <w:rPr>
          <w:highlight w:val="yellow"/>
        </w:rPr>
        <w:t xml:space="preserve">Table </w:t>
      </w:r>
      <w:r w:rsidR="00EC67B9" w:rsidRPr="001F6793">
        <w:rPr>
          <w:highlight w:val="yellow"/>
        </w:rPr>
        <w:t>7</w:t>
      </w:r>
      <w:r w:rsidRPr="001F6793">
        <w:rPr>
          <w:highlight w:val="yellow"/>
        </w:rPr>
        <w:t>.</w:t>
      </w:r>
      <w:r w:rsidR="001F6793" w:rsidRPr="001F6793">
        <w:rPr>
          <w:highlight w:val="yellow"/>
        </w:rPr>
        <w:t>2</w:t>
      </w:r>
      <w:r w:rsidRPr="00711B22">
        <w:t>.</w:t>
      </w:r>
      <w:r w:rsidR="003651CF">
        <w:rPr>
          <w:rStyle w:val="FootnoteReference"/>
        </w:rPr>
        <w:footnoteReference w:id="3"/>
      </w:r>
    </w:p>
    <w:p w14:paraId="2D49D069" w14:textId="513659CE" w:rsidR="00FC7AE8" w:rsidRDefault="00E155F2" w:rsidP="00FC7AE8">
      <w:pPr>
        <w:pStyle w:val="NormalWeb"/>
      </w:pPr>
      <w:r>
        <w:t>T</w:t>
      </w:r>
      <w:r w:rsidR="007E4D31" w:rsidRPr="00711B22">
        <w:t xml:space="preserve">he </w:t>
      </w:r>
      <w:r>
        <w:t xml:space="preserve">screened </w:t>
      </w:r>
      <w:r w:rsidR="007E4D31" w:rsidRPr="00711B22">
        <w:t>fetuses ha</w:t>
      </w:r>
      <w:r>
        <w:t xml:space="preserve">d </w:t>
      </w:r>
      <w:r w:rsidR="007E4D31" w:rsidRPr="00711B22">
        <w:t xml:space="preserve">a </w:t>
      </w:r>
      <w:r>
        <w:t xml:space="preserve">prevalence of </w:t>
      </w:r>
      <w:r w:rsidR="007E4D31" w:rsidRPr="00711B22">
        <w:t xml:space="preserve">trisomy 21 of </w:t>
      </w:r>
      <w:r>
        <w:t xml:space="preserve">about </w:t>
      </w:r>
      <w:r w:rsidR="007E4D31" w:rsidRPr="00711B22">
        <w:t>6%</w:t>
      </w:r>
      <w:r>
        <w:t xml:space="preserve"> (much higher than the general population because all had been referred for chorionic villus sampling)</w:t>
      </w:r>
      <w:r w:rsidR="007E4D31" w:rsidRPr="00711B22">
        <w:t>. If a fetus ha</w:t>
      </w:r>
      <w:r w:rsidR="006861EF">
        <w:t>d</w:t>
      </w:r>
      <w:r w:rsidR="007E4D31" w:rsidRPr="00711B22">
        <w:t xml:space="preserve"> a</w:t>
      </w:r>
      <w:r w:rsidR="00417640">
        <w:t>n</w:t>
      </w:r>
      <w:r w:rsidR="007E4D31" w:rsidRPr="00711B22">
        <w:t xml:space="preserve"> NT ≥</w:t>
      </w:r>
      <w:r w:rsidR="00417640">
        <w:t xml:space="preserve"> </w:t>
      </w:r>
      <w:r w:rsidR="007E4D31" w:rsidRPr="00711B22">
        <w:t xml:space="preserve">3.5 mm, the post-test probability of trisomy 21 </w:t>
      </w:r>
      <w:r w:rsidR="004B760C">
        <w:t>wa</w:t>
      </w:r>
      <w:r w:rsidR="004B760C" w:rsidRPr="00711B22">
        <w:t xml:space="preserve">s </w:t>
      </w:r>
      <w:r w:rsidR="007E4D31" w:rsidRPr="00711B22">
        <w:t>31%. Ignoring the NT, if the fetus ha</w:t>
      </w:r>
      <w:r w:rsidR="006861EF">
        <w:t>d</w:t>
      </w:r>
      <w:r w:rsidR="007E4D31" w:rsidRPr="00711B22">
        <w:t xml:space="preserve"> NBA, the post-test probability </w:t>
      </w:r>
      <w:r w:rsidR="004B760C">
        <w:t>wa</w:t>
      </w:r>
      <w:r w:rsidR="004B760C" w:rsidRPr="00711B22">
        <w:t xml:space="preserve">s </w:t>
      </w:r>
      <w:r w:rsidR="007E4D31" w:rsidRPr="00711B22">
        <w:t>64%. See if you can reproduce</w:t>
      </w:r>
      <w:r w:rsidR="00FC7AE8" w:rsidRPr="00711B22">
        <w:t xml:space="preserve"> these calculations. They are displayed in </w:t>
      </w:r>
      <w:r w:rsidR="002664C8">
        <w:rPr>
          <w:highlight w:val="yellow"/>
        </w:rPr>
        <w:t>Figure 7.1</w:t>
      </w:r>
      <w:r w:rsidR="00FC7AE8" w:rsidRPr="00711B22">
        <w:t xml:space="preserve"> on the LR Slide Rule’s log</w:t>
      </w:r>
      <w:r w:rsidR="00C43D5E" w:rsidRPr="00711B22">
        <w:t xml:space="preserve"> </w:t>
      </w:r>
      <w:r w:rsidR="00FC7AE8" w:rsidRPr="00711B22">
        <w:t>(Odds) scale.</w:t>
      </w:r>
    </w:p>
    <w:p w14:paraId="15CF990D" w14:textId="2D201971" w:rsidR="003755B9" w:rsidRDefault="007E4D31" w:rsidP="003755B9">
      <w:pPr>
        <w:pStyle w:val="NormalWeb"/>
      </w:pPr>
      <w:r w:rsidRPr="00711B22">
        <w:rPr>
          <w:b/>
        </w:rPr>
        <w:t xml:space="preserve">Table </w:t>
      </w:r>
      <w:r w:rsidR="00EC67B9">
        <w:rPr>
          <w:b/>
        </w:rPr>
        <w:t>7</w:t>
      </w:r>
      <w:r w:rsidRPr="00711B22">
        <w:rPr>
          <w:b/>
        </w:rPr>
        <w:t>.</w:t>
      </w:r>
      <w:r w:rsidR="00EC67B9">
        <w:rPr>
          <w:b/>
        </w:rPr>
        <w:t>2</w:t>
      </w:r>
      <w:r w:rsidRPr="00711B22">
        <w:t xml:space="preserve">. </w:t>
      </w:r>
      <w:r w:rsidR="004B760C">
        <w:t xml:space="preserve">Nuchal translucency (NT) </w:t>
      </w:r>
      <w:r w:rsidRPr="00711B22">
        <w:t xml:space="preserve">and </w:t>
      </w:r>
      <w:r w:rsidR="004B760C">
        <w:t>nasal bone absence (</w:t>
      </w:r>
      <w:r w:rsidRPr="00711B22">
        <w:t>NBA</w:t>
      </w:r>
      <w:r w:rsidR="004B760C">
        <w:t>)</w:t>
      </w:r>
      <w:r w:rsidRPr="00711B22">
        <w:t xml:space="preserve"> in fetuses with and without trisomy 21</w:t>
      </w:r>
      <w:r w:rsidR="009567CF">
        <w:t xml:space="preserve"> </w:t>
      </w:r>
      <w:r w:rsidR="00F44F1C">
        <w:t>among those selected for</w:t>
      </w:r>
      <w:r w:rsidRPr="00711B22">
        <w:t xml:space="preserve"> chorionic villus </w:t>
      </w:r>
      <w:proofErr w:type="spellStart"/>
      <w:r w:rsidRPr="00711B22">
        <w:t>sampling</w:t>
      </w:r>
      <w:r w:rsidR="000851F9" w:rsidRPr="00711B22">
        <w:rPr>
          <w:rStyle w:val="FootnoteReference"/>
        </w:rPr>
        <w:t>a</w:t>
      </w:r>
      <w:proofErr w:type="spellEnd"/>
    </w:p>
    <w:tbl>
      <w:tblPr>
        <w:tblW w:w="7020" w:type="dxa"/>
        <w:tblLook w:val="04A0" w:firstRow="1" w:lastRow="0" w:firstColumn="1" w:lastColumn="0" w:noHBand="0" w:noVBand="1"/>
      </w:tblPr>
      <w:tblGrid>
        <w:gridCol w:w="1820"/>
        <w:gridCol w:w="1300"/>
        <w:gridCol w:w="1300"/>
        <w:gridCol w:w="1300"/>
        <w:gridCol w:w="1300"/>
      </w:tblGrid>
      <w:tr w:rsidR="00256F9A" w:rsidRPr="00256F9A" w14:paraId="296B43F3" w14:textId="77777777" w:rsidTr="00256F9A">
        <w:trPr>
          <w:trHeight w:val="340"/>
        </w:trPr>
        <w:tc>
          <w:tcPr>
            <w:tcW w:w="1820" w:type="dxa"/>
            <w:vMerge w:val="restart"/>
            <w:tcBorders>
              <w:top w:val="nil"/>
              <w:left w:val="nil"/>
              <w:bottom w:val="single" w:sz="8" w:space="0" w:color="000000"/>
              <w:right w:val="nil"/>
            </w:tcBorders>
            <w:shd w:val="clear" w:color="000000" w:fill="FFFFFF"/>
            <w:vAlign w:val="center"/>
            <w:hideMark/>
          </w:tcPr>
          <w:p w14:paraId="0CBD0A51" w14:textId="77777777" w:rsidR="00256F9A" w:rsidRPr="00256F9A" w:rsidRDefault="00256F9A" w:rsidP="00256F9A">
            <w:pPr>
              <w:rPr>
                <w:color w:val="000000"/>
              </w:rPr>
            </w:pPr>
            <w:r w:rsidRPr="00256F9A">
              <w:rPr>
                <w:color w:val="000000"/>
              </w:rPr>
              <w:t> </w:t>
            </w:r>
          </w:p>
        </w:tc>
        <w:tc>
          <w:tcPr>
            <w:tcW w:w="1300" w:type="dxa"/>
            <w:vMerge w:val="restart"/>
            <w:tcBorders>
              <w:top w:val="nil"/>
              <w:left w:val="nil"/>
              <w:bottom w:val="single" w:sz="8" w:space="0" w:color="000000"/>
              <w:right w:val="nil"/>
            </w:tcBorders>
            <w:shd w:val="clear" w:color="000000" w:fill="FFFFFF"/>
            <w:vAlign w:val="center"/>
            <w:hideMark/>
          </w:tcPr>
          <w:p w14:paraId="4B417468" w14:textId="77777777" w:rsidR="00256F9A" w:rsidRPr="00256F9A" w:rsidRDefault="00256F9A" w:rsidP="00256F9A">
            <w:pPr>
              <w:rPr>
                <w:color w:val="000000"/>
              </w:rPr>
            </w:pPr>
            <w:r w:rsidRPr="00256F9A">
              <w:rPr>
                <w:color w:val="000000"/>
              </w:rPr>
              <w:t> </w:t>
            </w:r>
          </w:p>
        </w:tc>
        <w:tc>
          <w:tcPr>
            <w:tcW w:w="2600" w:type="dxa"/>
            <w:gridSpan w:val="2"/>
            <w:tcBorders>
              <w:top w:val="nil"/>
              <w:left w:val="nil"/>
              <w:bottom w:val="single" w:sz="8" w:space="0" w:color="auto"/>
              <w:right w:val="nil"/>
            </w:tcBorders>
            <w:shd w:val="clear" w:color="000000" w:fill="FFFFFF"/>
            <w:vAlign w:val="center"/>
            <w:hideMark/>
          </w:tcPr>
          <w:p w14:paraId="291B8F5A" w14:textId="77777777" w:rsidR="00256F9A" w:rsidRPr="00256F9A" w:rsidRDefault="00256F9A" w:rsidP="00256F9A">
            <w:pPr>
              <w:jc w:val="center"/>
              <w:rPr>
                <w:color w:val="000000"/>
              </w:rPr>
            </w:pPr>
            <w:r w:rsidRPr="00256F9A">
              <w:rPr>
                <w:color w:val="000000"/>
              </w:rPr>
              <w:t>Trisomy 21</w:t>
            </w:r>
          </w:p>
        </w:tc>
        <w:tc>
          <w:tcPr>
            <w:tcW w:w="1300" w:type="dxa"/>
            <w:tcBorders>
              <w:top w:val="nil"/>
              <w:left w:val="nil"/>
              <w:bottom w:val="nil"/>
              <w:right w:val="nil"/>
            </w:tcBorders>
            <w:shd w:val="clear" w:color="000000" w:fill="FFFFFF"/>
            <w:vAlign w:val="center"/>
            <w:hideMark/>
          </w:tcPr>
          <w:p w14:paraId="215733CF" w14:textId="77777777" w:rsidR="00256F9A" w:rsidRPr="00256F9A" w:rsidRDefault="00256F9A" w:rsidP="00256F9A">
            <w:pPr>
              <w:jc w:val="center"/>
              <w:rPr>
                <w:color w:val="000000"/>
              </w:rPr>
            </w:pPr>
            <w:r w:rsidRPr="00256F9A">
              <w:rPr>
                <w:color w:val="000000"/>
              </w:rPr>
              <w:t> </w:t>
            </w:r>
          </w:p>
        </w:tc>
      </w:tr>
      <w:tr w:rsidR="00256F9A" w:rsidRPr="00256F9A" w14:paraId="21CF02D6" w14:textId="77777777" w:rsidTr="00256F9A">
        <w:trPr>
          <w:trHeight w:val="360"/>
        </w:trPr>
        <w:tc>
          <w:tcPr>
            <w:tcW w:w="1820" w:type="dxa"/>
            <w:vMerge/>
            <w:tcBorders>
              <w:top w:val="nil"/>
              <w:left w:val="nil"/>
              <w:bottom w:val="single" w:sz="8" w:space="0" w:color="000000"/>
              <w:right w:val="nil"/>
            </w:tcBorders>
            <w:vAlign w:val="center"/>
            <w:hideMark/>
          </w:tcPr>
          <w:p w14:paraId="131A7A27" w14:textId="77777777" w:rsidR="00256F9A" w:rsidRPr="00256F9A" w:rsidRDefault="00256F9A" w:rsidP="00256F9A">
            <w:pPr>
              <w:rPr>
                <w:color w:val="000000"/>
              </w:rPr>
            </w:pPr>
          </w:p>
        </w:tc>
        <w:tc>
          <w:tcPr>
            <w:tcW w:w="1300" w:type="dxa"/>
            <w:vMerge/>
            <w:tcBorders>
              <w:top w:val="nil"/>
              <w:left w:val="nil"/>
              <w:bottom w:val="single" w:sz="8" w:space="0" w:color="000000"/>
              <w:right w:val="nil"/>
            </w:tcBorders>
            <w:vAlign w:val="center"/>
            <w:hideMark/>
          </w:tcPr>
          <w:p w14:paraId="79CCD878" w14:textId="77777777" w:rsidR="00256F9A" w:rsidRPr="00256F9A" w:rsidRDefault="00256F9A" w:rsidP="00256F9A">
            <w:pPr>
              <w:rPr>
                <w:color w:val="000000"/>
              </w:rPr>
            </w:pPr>
          </w:p>
        </w:tc>
        <w:tc>
          <w:tcPr>
            <w:tcW w:w="1300" w:type="dxa"/>
            <w:tcBorders>
              <w:top w:val="nil"/>
              <w:left w:val="nil"/>
              <w:bottom w:val="single" w:sz="8" w:space="0" w:color="auto"/>
              <w:right w:val="nil"/>
            </w:tcBorders>
            <w:shd w:val="clear" w:color="000000" w:fill="FFFFFF"/>
            <w:vAlign w:val="center"/>
            <w:hideMark/>
          </w:tcPr>
          <w:p w14:paraId="42997D89" w14:textId="77777777" w:rsidR="00256F9A" w:rsidRPr="00256F9A" w:rsidRDefault="00256F9A" w:rsidP="00256F9A">
            <w:pPr>
              <w:jc w:val="center"/>
              <w:rPr>
                <w:color w:val="000000"/>
              </w:rPr>
            </w:pPr>
            <w:r w:rsidRPr="00256F9A">
              <w:rPr>
                <w:color w:val="000000"/>
                <w:w w:val="76"/>
              </w:rPr>
              <w:t>Yes</w:t>
            </w:r>
          </w:p>
        </w:tc>
        <w:tc>
          <w:tcPr>
            <w:tcW w:w="1300" w:type="dxa"/>
            <w:tcBorders>
              <w:top w:val="nil"/>
              <w:left w:val="nil"/>
              <w:bottom w:val="single" w:sz="8" w:space="0" w:color="auto"/>
              <w:right w:val="nil"/>
            </w:tcBorders>
            <w:shd w:val="clear" w:color="000000" w:fill="FFFFFF"/>
            <w:vAlign w:val="center"/>
            <w:hideMark/>
          </w:tcPr>
          <w:p w14:paraId="1571DA0C" w14:textId="77777777" w:rsidR="00256F9A" w:rsidRPr="00256F9A" w:rsidRDefault="00256F9A" w:rsidP="00256F9A">
            <w:pPr>
              <w:jc w:val="center"/>
              <w:rPr>
                <w:color w:val="000000"/>
              </w:rPr>
            </w:pPr>
            <w:r w:rsidRPr="00256F9A">
              <w:rPr>
                <w:color w:val="000000"/>
              </w:rPr>
              <w:t>No</w:t>
            </w:r>
          </w:p>
        </w:tc>
        <w:tc>
          <w:tcPr>
            <w:tcW w:w="1300" w:type="dxa"/>
            <w:tcBorders>
              <w:top w:val="nil"/>
              <w:left w:val="nil"/>
              <w:bottom w:val="single" w:sz="8" w:space="0" w:color="auto"/>
              <w:right w:val="nil"/>
            </w:tcBorders>
            <w:shd w:val="clear" w:color="000000" w:fill="FFFFFF"/>
            <w:vAlign w:val="center"/>
            <w:hideMark/>
          </w:tcPr>
          <w:p w14:paraId="4BC6B9B4" w14:textId="77777777" w:rsidR="00256F9A" w:rsidRPr="00256F9A" w:rsidRDefault="00256F9A" w:rsidP="00256F9A">
            <w:pPr>
              <w:jc w:val="center"/>
              <w:rPr>
                <w:color w:val="000000"/>
              </w:rPr>
            </w:pPr>
            <w:r w:rsidRPr="00256F9A">
              <w:rPr>
                <w:color w:val="000000"/>
                <w:lang w:val="sq-AL"/>
              </w:rPr>
              <w:t>LR</w:t>
            </w:r>
          </w:p>
        </w:tc>
      </w:tr>
      <w:tr w:rsidR="00256F9A" w:rsidRPr="00256F9A" w14:paraId="5FFE332F"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1DAC9A6B" w14:textId="77777777" w:rsidR="00256F9A" w:rsidRPr="00256F9A" w:rsidRDefault="00256F9A" w:rsidP="00256F9A">
            <w:pPr>
              <w:rPr>
                <w:color w:val="000000"/>
              </w:rPr>
            </w:pPr>
            <w:r w:rsidRPr="00256F9A">
              <w:rPr>
                <w:color w:val="000000"/>
              </w:rPr>
              <w:t>NT ≥ 3.5 mm</w:t>
            </w:r>
          </w:p>
        </w:tc>
        <w:tc>
          <w:tcPr>
            <w:tcW w:w="1300" w:type="dxa"/>
            <w:tcBorders>
              <w:top w:val="nil"/>
              <w:left w:val="nil"/>
              <w:bottom w:val="single" w:sz="8" w:space="0" w:color="auto"/>
              <w:right w:val="nil"/>
            </w:tcBorders>
            <w:shd w:val="clear" w:color="000000" w:fill="FFFFFF"/>
            <w:vAlign w:val="center"/>
            <w:hideMark/>
          </w:tcPr>
          <w:p w14:paraId="01ACCA13" w14:textId="77777777" w:rsidR="00256F9A" w:rsidRPr="00256F9A" w:rsidRDefault="00256F9A" w:rsidP="00256F9A">
            <w:pPr>
              <w:jc w:val="center"/>
              <w:rPr>
                <w:color w:val="000000"/>
              </w:rPr>
            </w:pPr>
            <w:r w:rsidRPr="00256F9A">
              <w:rPr>
                <w:color w:val="000000"/>
              </w:rPr>
              <w:t>Yes</w:t>
            </w:r>
          </w:p>
        </w:tc>
        <w:tc>
          <w:tcPr>
            <w:tcW w:w="1300" w:type="dxa"/>
            <w:tcBorders>
              <w:top w:val="nil"/>
              <w:left w:val="nil"/>
              <w:bottom w:val="single" w:sz="8" w:space="0" w:color="auto"/>
              <w:right w:val="nil"/>
            </w:tcBorders>
            <w:shd w:val="clear" w:color="000000" w:fill="FFFFFF"/>
            <w:vAlign w:val="center"/>
            <w:hideMark/>
          </w:tcPr>
          <w:p w14:paraId="5CD0EE27" w14:textId="77777777" w:rsidR="00256F9A" w:rsidRPr="00256F9A" w:rsidRDefault="00256F9A" w:rsidP="00256F9A">
            <w:pPr>
              <w:jc w:val="center"/>
              <w:rPr>
                <w:color w:val="000000"/>
              </w:rPr>
            </w:pPr>
            <w:r w:rsidRPr="00256F9A">
              <w:rPr>
                <w:color w:val="000000"/>
              </w:rPr>
              <w:t>212</w:t>
            </w:r>
          </w:p>
        </w:tc>
        <w:tc>
          <w:tcPr>
            <w:tcW w:w="1300" w:type="dxa"/>
            <w:tcBorders>
              <w:top w:val="nil"/>
              <w:left w:val="nil"/>
              <w:bottom w:val="single" w:sz="8" w:space="0" w:color="auto"/>
              <w:right w:val="nil"/>
            </w:tcBorders>
            <w:shd w:val="clear" w:color="000000" w:fill="FFFFFF"/>
            <w:vAlign w:val="center"/>
            <w:hideMark/>
          </w:tcPr>
          <w:p w14:paraId="564D314D" w14:textId="77777777" w:rsidR="00256F9A" w:rsidRPr="00256F9A" w:rsidRDefault="00256F9A" w:rsidP="00256F9A">
            <w:pPr>
              <w:jc w:val="center"/>
              <w:rPr>
                <w:color w:val="000000"/>
              </w:rPr>
            </w:pPr>
            <w:r w:rsidRPr="00256F9A">
              <w:rPr>
                <w:color w:val="000000"/>
              </w:rPr>
              <w:t>478</w:t>
            </w:r>
          </w:p>
        </w:tc>
        <w:tc>
          <w:tcPr>
            <w:tcW w:w="1300" w:type="dxa"/>
            <w:tcBorders>
              <w:top w:val="nil"/>
              <w:left w:val="nil"/>
              <w:bottom w:val="single" w:sz="8" w:space="0" w:color="auto"/>
              <w:right w:val="nil"/>
            </w:tcBorders>
            <w:shd w:val="clear" w:color="000000" w:fill="FFFFFF"/>
            <w:vAlign w:val="center"/>
            <w:hideMark/>
          </w:tcPr>
          <w:p w14:paraId="6A692D5D" w14:textId="77777777" w:rsidR="00256F9A" w:rsidRPr="00256F9A" w:rsidRDefault="00256F9A" w:rsidP="00256F9A">
            <w:pPr>
              <w:jc w:val="center"/>
              <w:rPr>
                <w:color w:val="000000"/>
              </w:rPr>
            </w:pPr>
            <w:r w:rsidRPr="00256F9A">
              <w:rPr>
                <w:color w:val="000000"/>
              </w:rPr>
              <w:t>7</w:t>
            </w:r>
          </w:p>
        </w:tc>
      </w:tr>
      <w:tr w:rsidR="00256F9A" w:rsidRPr="00256F9A" w14:paraId="3416B5E6"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35FE6937" w14:textId="77777777" w:rsidR="00256F9A" w:rsidRPr="00256F9A" w:rsidRDefault="00256F9A" w:rsidP="00256F9A">
            <w:pPr>
              <w:rPr>
                <w:color w:val="000000"/>
              </w:rPr>
            </w:pPr>
            <w:r w:rsidRPr="00256F9A">
              <w:rPr>
                <w:color w:val="000000"/>
              </w:rPr>
              <w:t> </w:t>
            </w:r>
          </w:p>
        </w:tc>
        <w:tc>
          <w:tcPr>
            <w:tcW w:w="1300" w:type="dxa"/>
            <w:tcBorders>
              <w:top w:val="nil"/>
              <w:left w:val="nil"/>
              <w:bottom w:val="single" w:sz="8" w:space="0" w:color="auto"/>
              <w:right w:val="nil"/>
            </w:tcBorders>
            <w:shd w:val="clear" w:color="000000" w:fill="FFFFFF"/>
            <w:vAlign w:val="center"/>
            <w:hideMark/>
          </w:tcPr>
          <w:p w14:paraId="7C174655" w14:textId="77777777" w:rsidR="00256F9A" w:rsidRPr="00256F9A" w:rsidRDefault="00256F9A" w:rsidP="00256F9A">
            <w:pPr>
              <w:jc w:val="center"/>
              <w:rPr>
                <w:color w:val="000000"/>
              </w:rPr>
            </w:pPr>
            <w:r w:rsidRPr="00256F9A">
              <w:rPr>
                <w:color w:val="000000"/>
              </w:rPr>
              <w:t>No</w:t>
            </w:r>
          </w:p>
        </w:tc>
        <w:tc>
          <w:tcPr>
            <w:tcW w:w="1300" w:type="dxa"/>
            <w:tcBorders>
              <w:top w:val="nil"/>
              <w:left w:val="nil"/>
              <w:bottom w:val="single" w:sz="8" w:space="0" w:color="auto"/>
              <w:right w:val="nil"/>
            </w:tcBorders>
            <w:shd w:val="clear" w:color="000000" w:fill="FFFFFF"/>
            <w:vAlign w:val="center"/>
            <w:hideMark/>
          </w:tcPr>
          <w:p w14:paraId="23F2258A" w14:textId="77777777" w:rsidR="00256F9A" w:rsidRPr="00256F9A" w:rsidRDefault="00256F9A" w:rsidP="00256F9A">
            <w:pPr>
              <w:jc w:val="center"/>
              <w:rPr>
                <w:color w:val="000000"/>
              </w:rPr>
            </w:pPr>
            <w:r w:rsidRPr="00256F9A">
              <w:rPr>
                <w:color w:val="000000"/>
              </w:rPr>
              <w:t>121</w:t>
            </w:r>
          </w:p>
        </w:tc>
        <w:tc>
          <w:tcPr>
            <w:tcW w:w="1300" w:type="dxa"/>
            <w:tcBorders>
              <w:top w:val="nil"/>
              <w:left w:val="nil"/>
              <w:bottom w:val="single" w:sz="8" w:space="0" w:color="auto"/>
              <w:right w:val="nil"/>
            </w:tcBorders>
            <w:shd w:val="clear" w:color="000000" w:fill="FFFFFF"/>
            <w:vAlign w:val="center"/>
            <w:hideMark/>
          </w:tcPr>
          <w:p w14:paraId="1B96DFF3" w14:textId="77777777" w:rsidR="00256F9A" w:rsidRPr="00256F9A" w:rsidRDefault="00256F9A" w:rsidP="00256F9A">
            <w:pPr>
              <w:jc w:val="center"/>
              <w:rPr>
                <w:color w:val="000000"/>
              </w:rPr>
            </w:pPr>
            <w:r w:rsidRPr="00256F9A">
              <w:rPr>
                <w:color w:val="000000"/>
              </w:rPr>
              <w:t>4745</w:t>
            </w:r>
          </w:p>
        </w:tc>
        <w:tc>
          <w:tcPr>
            <w:tcW w:w="1300" w:type="dxa"/>
            <w:tcBorders>
              <w:top w:val="nil"/>
              <w:left w:val="nil"/>
              <w:bottom w:val="single" w:sz="8" w:space="0" w:color="auto"/>
              <w:right w:val="nil"/>
            </w:tcBorders>
            <w:shd w:val="clear" w:color="000000" w:fill="FFFFFF"/>
            <w:vAlign w:val="center"/>
            <w:hideMark/>
          </w:tcPr>
          <w:p w14:paraId="061A2554" w14:textId="77777777" w:rsidR="00256F9A" w:rsidRPr="00256F9A" w:rsidRDefault="00256F9A" w:rsidP="00256F9A">
            <w:pPr>
              <w:jc w:val="center"/>
              <w:rPr>
                <w:color w:val="000000"/>
              </w:rPr>
            </w:pPr>
            <w:r w:rsidRPr="00256F9A">
              <w:rPr>
                <w:color w:val="000000"/>
              </w:rPr>
              <w:t>0.4</w:t>
            </w:r>
          </w:p>
        </w:tc>
      </w:tr>
      <w:tr w:rsidR="00256F9A" w:rsidRPr="00256F9A" w14:paraId="166CA08D"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664CFCBD" w14:textId="77777777" w:rsidR="00256F9A" w:rsidRPr="00256F9A" w:rsidRDefault="00256F9A" w:rsidP="00256F9A">
            <w:pPr>
              <w:rPr>
                <w:b/>
                <w:bCs/>
                <w:color w:val="000000"/>
              </w:rPr>
            </w:pPr>
            <w:r w:rsidRPr="00256F9A">
              <w:rPr>
                <w:b/>
                <w:bCs/>
                <w:color w:val="000000"/>
              </w:rPr>
              <w:t>Total</w:t>
            </w:r>
          </w:p>
        </w:tc>
        <w:tc>
          <w:tcPr>
            <w:tcW w:w="1300" w:type="dxa"/>
            <w:tcBorders>
              <w:top w:val="nil"/>
              <w:left w:val="nil"/>
              <w:bottom w:val="single" w:sz="8" w:space="0" w:color="auto"/>
              <w:right w:val="nil"/>
            </w:tcBorders>
            <w:shd w:val="clear" w:color="000000" w:fill="FFFFFF"/>
            <w:vAlign w:val="center"/>
            <w:hideMark/>
          </w:tcPr>
          <w:p w14:paraId="3288C3BD" w14:textId="77777777" w:rsidR="00256F9A" w:rsidRPr="00256F9A" w:rsidRDefault="00256F9A" w:rsidP="00256F9A">
            <w:pPr>
              <w:jc w:val="center"/>
              <w:rPr>
                <w:color w:val="000000"/>
              </w:rPr>
            </w:pPr>
            <w:r w:rsidRPr="00256F9A">
              <w:rPr>
                <w:color w:val="000000"/>
              </w:rPr>
              <w:t> </w:t>
            </w:r>
          </w:p>
        </w:tc>
        <w:tc>
          <w:tcPr>
            <w:tcW w:w="1300" w:type="dxa"/>
            <w:tcBorders>
              <w:top w:val="nil"/>
              <w:left w:val="nil"/>
              <w:bottom w:val="single" w:sz="8" w:space="0" w:color="auto"/>
              <w:right w:val="nil"/>
            </w:tcBorders>
            <w:shd w:val="clear" w:color="000000" w:fill="FFFFFF"/>
            <w:vAlign w:val="center"/>
            <w:hideMark/>
          </w:tcPr>
          <w:p w14:paraId="43CA04C6" w14:textId="77777777" w:rsidR="00256F9A" w:rsidRPr="00256F9A" w:rsidRDefault="00256F9A" w:rsidP="00256F9A">
            <w:pPr>
              <w:jc w:val="center"/>
              <w:rPr>
                <w:b/>
                <w:bCs/>
                <w:color w:val="000000"/>
              </w:rPr>
            </w:pPr>
            <w:r w:rsidRPr="00256F9A">
              <w:rPr>
                <w:b/>
                <w:bCs/>
                <w:color w:val="000000"/>
              </w:rPr>
              <w:t>333</w:t>
            </w:r>
          </w:p>
        </w:tc>
        <w:tc>
          <w:tcPr>
            <w:tcW w:w="1300" w:type="dxa"/>
            <w:tcBorders>
              <w:top w:val="nil"/>
              <w:left w:val="nil"/>
              <w:bottom w:val="single" w:sz="8" w:space="0" w:color="auto"/>
              <w:right w:val="nil"/>
            </w:tcBorders>
            <w:shd w:val="clear" w:color="000000" w:fill="FFFFFF"/>
            <w:vAlign w:val="center"/>
            <w:hideMark/>
          </w:tcPr>
          <w:p w14:paraId="3825F4F9" w14:textId="77777777" w:rsidR="00256F9A" w:rsidRPr="00256F9A" w:rsidRDefault="00256F9A" w:rsidP="00256F9A">
            <w:pPr>
              <w:jc w:val="center"/>
              <w:rPr>
                <w:b/>
                <w:bCs/>
                <w:color w:val="000000"/>
              </w:rPr>
            </w:pPr>
            <w:r w:rsidRPr="00256F9A">
              <w:rPr>
                <w:b/>
                <w:bCs/>
                <w:color w:val="000000"/>
              </w:rPr>
              <w:t>5223</w:t>
            </w:r>
          </w:p>
        </w:tc>
        <w:tc>
          <w:tcPr>
            <w:tcW w:w="1300" w:type="dxa"/>
            <w:tcBorders>
              <w:top w:val="nil"/>
              <w:left w:val="nil"/>
              <w:bottom w:val="single" w:sz="8" w:space="0" w:color="auto"/>
              <w:right w:val="nil"/>
            </w:tcBorders>
            <w:shd w:val="clear" w:color="000000" w:fill="FFFFFF"/>
            <w:vAlign w:val="center"/>
            <w:hideMark/>
          </w:tcPr>
          <w:p w14:paraId="2333D484" w14:textId="77777777" w:rsidR="00256F9A" w:rsidRPr="00256F9A" w:rsidRDefault="00256F9A" w:rsidP="00256F9A">
            <w:pPr>
              <w:jc w:val="center"/>
              <w:rPr>
                <w:color w:val="000000"/>
              </w:rPr>
            </w:pPr>
            <w:r w:rsidRPr="00256F9A">
              <w:rPr>
                <w:color w:val="000000"/>
              </w:rPr>
              <w:t> </w:t>
            </w:r>
          </w:p>
        </w:tc>
      </w:tr>
      <w:tr w:rsidR="00256F9A" w:rsidRPr="00256F9A" w14:paraId="58B63A90" w14:textId="77777777" w:rsidTr="00256F9A">
        <w:trPr>
          <w:trHeight w:hRule="exact" w:val="340"/>
        </w:trPr>
        <w:tc>
          <w:tcPr>
            <w:tcW w:w="1820" w:type="dxa"/>
            <w:tcBorders>
              <w:top w:val="nil"/>
              <w:left w:val="nil"/>
              <w:bottom w:val="nil"/>
              <w:right w:val="nil"/>
            </w:tcBorders>
            <w:shd w:val="clear" w:color="000000" w:fill="FFFFFF"/>
            <w:vAlign w:val="center"/>
            <w:hideMark/>
          </w:tcPr>
          <w:p w14:paraId="6057F778" w14:textId="77777777" w:rsidR="00256F9A" w:rsidRPr="00256F9A" w:rsidRDefault="00256F9A" w:rsidP="00256F9A">
            <w:pPr>
              <w:rPr>
                <w:color w:val="000000"/>
              </w:rPr>
            </w:pPr>
            <w:r w:rsidRPr="00256F9A">
              <w:rPr>
                <w:color w:val="000000"/>
              </w:rPr>
              <w:t> </w:t>
            </w:r>
          </w:p>
        </w:tc>
        <w:tc>
          <w:tcPr>
            <w:tcW w:w="1300" w:type="dxa"/>
            <w:tcBorders>
              <w:top w:val="nil"/>
              <w:left w:val="nil"/>
              <w:bottom w:val="single" w:sz="8" w:space="0" w:color="auto"/>
              <w:right w:val="nil"/>
            </w:tcBorders>
            <w:shd w:val="clear" w:color="000000" w:fill="FFFFFF"/>
            <w:vAlign w:val="center"/>
            <w:hideMark/>
          </w:tcPr>
          <w:p w14:paraId="29BDA3EA" w14:textId="77777777" w:rsidR="00256F9A" w:rsidRPr="00256F9A" w:rsidRDefault="00256F9A" w:rsidP="00256F9A">
            <w:pPr>
              <w:rPr>
                <w:color w:val="000000"/>
              </w:rPr>
            </w:pPr>
            <w:r w:rsidRPr="00256F9A">
              <w:rPr>
                <w:color w:val="000000"/>
              </w:rPr>
              <w:t> </w:t>
            </w:r>
          </w:p>
        </w:tc>
        <w:tc>
          <w:tcPr>
            <w:tcW w:w="2600" w:type="dxa"/>
            <w:gridSpan w:val="2"/>
            <w:tcBorders>
              <w:top w:val="single" w:sz="8" w:space="0" w:color="auto"/>
              <w:left w:val="nil"/>
              <w:bottom w:val="single" w:sz="8" w:space="0" w:color="auto"/>
              <w:right w:val="nil"/>
            </w:tcBorders>
            <w:shd w:val="clear" w:color="000000" w:fill="FFFFFF"/>
            <w:vAlign w:val="center"/>
            <w:hideMark/>
          </w:tcPr>
          <w:p w14:paraId="6B46225E" w14:textId="77777777" w:rsidR="00256F9A" w:rsidRPr="00256F9A" w:rsidRDefault="00256F9A" w:rsidP="00256F9A">
            <w:pPr>
              <w:jc w:val="center"/>
              <w:rPr>
                <w:color w:val="000000"/>
              </w:rPr>
            </w:pPr>
            <w:r w:rsidRPr="00256F9A">
              <w:rPr>
                <w:color w:val="000000"/>
              </w:rPr>
              <w:t> </w:t>
            </w:r>
          </w:p>
        </w:tc>
        <w:tc>
          <w:tcPr>
            <w:tcW w:w="1300" w:type="dxa"/>
            <w:tcBorders>
              <w:top w:val="nil"/>
              <w:left w:val="nil"/>
              <w:bottom w:val="nil"/>
              <w:right w:val="nil"/>
            </w:tcBorders>
            <w:shd w:val="clear" w:color="000000" w:fill="FFFFFF"/>
            <w:vAlign w:val="center"/>
            <w:hideMark/>
          </w:tcPr>
          <w:p w14:paraId="7CA17298" w14:textId="77777777" w:rsidR="00256F9A" w:rsidRPr="00256F9A" w:rsidRDefault="00256F9A" w:rsidP="00256F9A">
            <w:pPr>
              <w:jc w:val="center"/>
              <w:rPr>
                <w:color w:val="000000"/>
              </w:rPr>
            </w:pPr>
            <w:r w:rsidRPr="00256F9A">
              <w:rPr>
                <w:color w:val="000000"/>
              </w:rPr>
              <w:t> </w:t>
            </w:r>
          </w:p>
        </w:tc>
      </w:tr>
      <w:tr w:rsidR="00256F9A" w:rsidRPr="00256F9A" w14:paraId="5517BFF1" w14:textId="77777777" w:rsidTr="00256F9A">
        <w:trPr>
          <w:trHeight w:hRule="exact" w:val="340"/>
        </w:trPr>
        <w:tc>
          <w:tcPr>
            <w:tcW w:w="1820" w:type="dxa"/>
            <w:tcBorders>
              <w:top w:val="single" w:sz="8" w:space="0" w:color="auto"/>
              <w:left w:val="nil"/>
              <w:bottom w:val="nil"/>
              <w:right w:val="nil"/>
            </w:tcBorders>
            <w:shd w:val="clear" w:color="000000" w:fill="FFFFFF"/>
            <w:vAlign w:val="center"/>
            <w:hideMark/>
          </w:tcPr>
          <w:p w14:paraId="61F17E34" w14:textId="77777777" w:rsidR="00256F9A" w:rsidRPr="00256F9A" w:rsidRDefault="00256F9A" w:rsidP="00256F9A">
            <w:pPr>
              <w:rPr>
                <w:color w:val="000000"/>
              </w:rPr>
            </w:pPr>
            <w:r w:rsidRPr="00256F9A">
              <w:rPr>
                <w:color w:val="000000"/>
              </w:rPr>
              <w:t> </w:t>
            </w:r>
          </w:p>
        </w:tc>
        <w:tc>
          <w:tcPr>
            <w:tcW w:w="1300" w:type="dxa"/>
            <w:vMerge w:val="restart"/>
            <w:tcBorders>
              <w:top w:val="nil"/>
              <w:left w:val="nil"/>
              <w:bottom w:val="single" w:sz="8" w:space="0" w:color="000000"/>
              <w:right w:val="nil"/>
            </w:tcBorders>
            <w:shd w:val="clear" w:color="000000" w:fill="FFFFFF"/>
            <w:vAlign w:val="center"/>
            <w:hideMark/>
          </w:tcPr>
          <w:p w14:paraId="08836D35" w14:textId="77777777" w:rsidR="00256F9A" w:rsidRPr="00256F9A" w:rsidRDefault="00256F9A" w:rsidP="00256F9A">
            <w:pPr>
              <w:rPr>
                <w:color w:val="000000"/>
              </w:rPr>
            </w:pPr>
            <w:r w:rsidRPr="00256F9A">
              <w:rPr>
                <w:color w:val="000000"/>
              </w:rPr>
              <w:t> </w:t>
            </w:r>
          </w:p>
        </w:tc>
        <w:tc>
          <w:tcPr>
            <w:tcW w:w="2600" w:type="dxa"/>
            <w:gridSpan w:val="2"/>
            <w:tcBorders>
              <w:top w:val="single" w:sz="8" w:space="0" w:color="auto"/>
              <w:left w:val="nil"/>
              <w:bottom w:val="single" w:sz="8" w:space="0" w:color="auto"/>
              <w:right w:val="nil"/>
            </w:tcBorders>
            <w:shd w:val="clear" w:color="000000" w:fill="FFFFFF"/>
            <w:vAlign w:val="center"/>
            <w:hideMark/>
          </w:tcPr>
          <w:p w14:paraId="35013557" w14:textId="77777777" w:rsidR="00256F9A" w:rsidRPr="00256F9A" w:rsidRDefault="00256F9A" w:rsidP="00256F9A">
            <w:pPr>
              <w:jc w:val="center"/>
              <w:rPr>
                <w:color w:val="000000"/>
              </w:rPr>
            </w:pPr>
            <w:r w:rsidRPr="00256F9A">
              <w:rPr>
                <w:color w:val="000000"/>
              </w:rPr>
              <w:t>Trisomy 21</w:t>
            </w:r>
          </w:p>
        </w:tc>
        <w:tc>
          <w:tcPr>
            <w:tcW w:w="1300" w:type="dxa"/>
            <w:tcBorders>
              <w:top w:val="single" w:sz="8" w:space="0" w:color="auto"/>
              <w:left w:val="nil"/>
              <w:bottom w:val="nil"/>
              <w:right w:val="nil"/>
            </w:tcBorders>
            <w:shd w:val="clear" w:color="000000" w:fill="FFFFFF"/>
            <w:vAlign w:val="center"/>
            <w:hideMark/>
          </w:tcPr>
          <w:p w14:paraId="0A680F18" w14:textId="77777777" w:rsidR="00256F9A" w:rsidRPr="00256F9A" w:rsidRDefault="00256F9A" w:rsidP="00256F9A">
            <w:pPr>
              <w:jc w:val="center"/>
              <w:rPr>
                <w:color w:val="000000"/>
              </w:rPr>
            </w:pPr>
            <w:r w:rsidRPr="00256F9A">
              <w:rPr>
                <w:color w:val="000000"/>
              </w:rPr>
              <w:t> </w:t>
            </w:r>
          </w:p>
        </w:tc>
      </w:tr>
      <w:tr w:rsidR="00256F9A" w:rsidRPr="00256F9A" w14:paraId="4246D5AC"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0B2B718C" w14:textId="77777777" w:rsidR="00256F9A" w:rsidRPr="00256F9A" w:rsidRDefault="00256F9A" w:rsidP="00256F9A">
            <w:pPr>
              <w:rPr>
                <w:color w:val="000000"/>
              </w:rPr>
            </w:pPr>
            <w:r w:rsidRPr="00256F9A">
              <w:rPr>
                <w:color w:val="000000"/>
              </w:rPr>
              <w:t> </w:t>
            </w:r>
          </w:p>
        </w:tc>
        <w:tc>
          <w:tcPr>
            <w:tcW w:w="1300" w:type="dxa"/>
            <w:vMerge/>
            <w:tcBorders>
              <w:top w:val="nil"/>
              <w:left w:val="nil"/>
              <w:bottom w:val="single" w:sz="8" w:space="0" w:color="000000"/>
              <w:right w:val="nil"/>
            </w:tcBorders>
            <w:vAlign w:val="center"/>
            <w:hideMark/>
          </w:tcPr>
          <w:p w14:paraId="1CAFB80A" w14:textId="77777777" w:rsidR="00256F9A" w:rsidRPr="00256F9A" w:rsidRDefault="00256F9A" w:rsidP="00256F9A">
            <w:pPr>
              <w:rPr>
                <w:color w:val="000000"/>
              </w:rPr>
            </w:pPr>
          </w:p>
        </w:tc>
        <w:tc>
          <w:tcPr>
            <w:tcW w:w="1300" w:type="dxa"/>
            <w:tcBorders>
              <w:top w:val="nil"/>
              <w:left w:val="nil"/>
              <w:bottom w:val="single" w:sz="8" w:space="0" w:color="auto"/>
              <w:right w:val="nil"/>
            </w:tcBorders>
            <w:shd w:val="clear" w:color="000000" w:fill="FFFFFF"/>
            <w:vAlign w:val="center"/>
            <w:hideMark/>
          </w:tcPr>
          <w:p w14:paraId="1C34299B" w14:textId="77777777" w:rsidR="00256F9A" w:rsidRPr="00256F9A" w:rsidRDefault="00256F9A" w:rsidP="00256F9A">
            <w:pPr>
              <w:jc w:val="center"/>
              <w:rPr>
                <w:color w:val="000000"/>
              </w:rPr>
            </w:pPr>
            <w:r w:rsidRPr="00256F9A">
              <w:rPr>
                <w:color w:val="000000"/>
              </w:rPr>
              <w:t>Yes</w:t>
            </w:r>
          </w:p>
        </w:tc>
        <w:tc>
          <w:tcPr>
            <w:tcW w:w="1300" w:type="dxa"/>
            <w:tcBorders>
              <w:top w:val="nil"/>
              <w:left w:val="nil"/>
              <w:bottom w:val="single" w:sz="8" w:space="0" w:color="auto"/>
              <w:right w:val="nil"/>
            </w:tcBorders>
            <w:shd w:val="clear" w:color="000000" w:fill="FFFFFF"/>
            <w:vAlign w:val="center"/>
            <w:hideMark/>
          </w:tcPr>
          <w:p w14:paraId="182CEE36" w14:textId="77777777" w:rsidR="00256F9A" w:rsidRPr="00256F9A" w:rsidRDefault="00256F9A" w:rsidP="00256F9A">
            <w:pPr>
              <w:jc w:val="center"/>
              <w:rPr>
                <w:color w:val="000000"/>
              </w:rPr>
            </w:pPr>
            <w:r w:rsidRPr="00256F9A">
              <w:rPr>
                <w:color w:val="000000"/>
              </w:rPr>
              <w:t>No</w:t>
            </w:r>
          </w:p>
        </w:tc>
        <w:tc>
          <w:tcPr>
            <w:tcW w:w="1300" w:type="dxa"/>
            <w:tcBorders>
              <w:top w:val="nil"/>
              <w:left w:val="nil"/>
              <w:bottom w:val="single" w:sz="8" w:space="0" w:color="auto"/>
              <w:right w:val="nil"/>
            </w:tcBorders>
            <w:shd w:val="clear" w:color="000000" w:fill="FFFFFF"/>
            <w:vAlign w:val="center"/>
            <w:hideMark/>
          </w:tcPr>
          <w:p w14:paraId="0EBB4B5D" w14:textId="77777777" w:rsidR="00256F9A" w:rsidRPr="00256F9A" w:rsidRDefault="00256F9A" w:rsidP="00256F9A">
            <w:pPr>
              <w:jc w:val="center"/>
              <w:rPr>
                <w:color w:val="000000"/>
              </w:rPr>
            </w:pPr>
            <w:r w:rsidRPr="00256F9A">
              <w:rPr>
                <w:color w:val="000000"/>
              </w:rPr>
              <w:t>LR</w:t>
            </w:r>
          </w:p>
        </w:tc>
      </w:tr>
      <w:tr w:rsidR="00256F9A" w:rsidRPr="00256F9A" w14:paraId="67C956B5"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32800BBD" w14:textId="77777777" w:rsidR="00256F9A" w:rsidRPr="00256F9A" w:rsidRDefault="00256F9A" w:rsidP="00256F9A">
            <w:pPr>
              <w:rPr>
                <w:color w:val="000000"/>
              </w:rPr>
            </w:pPr>
            <w:r w:rsidRPr="00256F9A">
              <w:rPr>
                <w:color w:val="000000"/>
              </w:rPr>
              <w:t>NBA</w:t>
            </w:r>
          </w:p>
        </w:tc>
        <w:tc>
          <w:tcPr>
            <w:tcW w:w="1300" w:type="dxa"/>
            <w:tcBorders>
              <w:top w:val="nil"/>
              <w:left w:val="nil"/>
              <w:bottom w:val="single" w:sz="8" w:space="0" w:color="auto"/>
              <w:right w:val="nil"/>
            </w:tcBorders>
            <w:shd w:val="clear" w:color="000000" w:fill="FFFFFF"/>
            <w:vAlign w:val="center"/>
            <w:hideMark/>
          </w:tcPr>
          <w:p w14:paraId="754F2CD8" w14:textId="77777777" w:rsidR="00256F9A" w:rsidRPr="00256F9A" w:rsidRDefault="00256F9A" w:rsidP="00256F9A">
            <w:pPr>
              <w:jc w:val="center"/>
              <w:rPr>
                <w:color w:val="000000"/>
              </w:rPr>
            </w:pPr>
            <w:r w:rsidRPr="00256F9A">
              <w:rPr>
                <w:color w:val="000000"/>
              </w:rPr>
              <w:t>Yes</w:t>
            </w:r>
          </w:p>
        </w:tc>
        <w:tc>
          <w:tcPr>
            <w:tcW w:w="1300" w:type="dxa"/>
            <w:tcBorders>
              <w:top w:val="nil"/>
              <w:left w:val="nil"/>
              <w:bottom w:val="single" w:sz="8" w:space="0" w:color="auto"/>
              <w:right w:val="nil"/>
            </w:tcBorders>
            <w:shd w:val="clear" w:color="000000" w:fill="FFFFFF"/>
            <w:vAlign w:val="center"/>
            <w:hideMark/>
          </w:tcPr>
          <w:p w14:paraId="79785CD7" w14:textId="77777777" w:rsidR="00256F9A" w:rsidRPr="00256F9A" w:rsidRDefault="00256F9A" w:rsidP="00256F9A">
            <w:pPr>
              <w:jc w:val="center"/>
              <w:rPr>
                <w:color w:val="000000"/>
              </w:rPr>
            </w:pPr>
            <w:r w:rsidRPr="00256F9A">
              <w:rPr>
                <w:color w:val="000000"/>
              </w:rPr>
              <w:t>229</w:t>
            </w:r>
          </w:p>
        </w:tc>
        <w:tc>
          <w:tcPr>
            <w:tcW w:w="1300" w:type="dxa"/>
            <w:tcBorders>
              <w:top w:val="nil"/>
              <w:left w:val="nil"/>
              <w:bottom w:val="single" w:sz="8" w:space="0" w:color="auto"/>
              <w:right w:val="nil"/>
            </w:tcBorders>
            <w:shd w:val="clear" w:color="000000" w:fill="FFFFFF"/>
            <w:vAlign w:val="center"/>
            <w:hideMark/>
          </w:tcPr>
          <w:p w14:paraId="198EA669" w14:textId="77777777" w:rsidR="00256F9A" w:rsidRPr="00256F9A" w:rsidRDefault="00256F9A" w:rsidP="00256F9A">
            <w:pPr>
              <w:jc w:val="center"/>
              <w:rPr>
                <w:color w:val="000000"/>
              </w:rPr>
            </w:pPr>
            <w:r w:rsidRPr="00256F9A">
              <w:rPr>
                <w:color w:val="000000"/>
              </w:rPr>
              <w:t>129</w:t>
            </w:r>
          </w:p>
        </w:tc>
        <w:tc>
          <w:tcPr>
            <w:tcW w:w="1300" w:type="dxa"/>
            <w:tcBorders>
              <w:top w:val="nil"/>
              <w:left w:val="nil"/>
              <w:bottom w:val="single" w:sz="8" w:space="0" w:color="auto"/>
              <w:right w:val="nil"/>
            </w:tcBorders>
            <w:shd w:val="clear" w:color="000000" w:fill="FFFFFF"/>
            <w:vAlign w:val="center"/>
            <w:hideMark/>
          </w:tcPr>
          <w:p w14:paraId="1092B8D4" w14:textId="77777777" w:rsidR="00256F9A" w:rsidRPr="00256F9A" w:rsidRDefault="00256F9A" w:rsidP="00256F9A">
            <w:pPr>
              <w:jc w:val="center"/>
              <w:rPr>
                <w:color w:val="000000"/>
              </w:rPr>
            </w:pPr>
            <w:r w:rsidRPr="00256F9A">
              <w:rPr>
                <w:color w:val="000000"/>
              </w:rPr>
              <w:t>27.8</w:t>
            </w:r>
          </w:p>
        </w:tc>
      </w:tr>
      <w:tr w:rsidR="00256F9A" w:rsidRPr="00256F9A" w14:paraId="0118511E"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321058B6" w14:textId="77777777" w:rsidR="00256F9A" w:rsidRPr="00256F9A" w:rsidRDefault="00256F9A" w:rsidP="00256F9A">
            <w:pPr>
              <w:rPr>
                <w:color w:val="000000"/>
              </w:rPr>
            </w:pPr>
            <w:r w:rsidRPr="00256F9A">
              <w:rPr>
                <w:color w:val="000000"/>
              </w:rPr>
              <w:t> </w:t>
            </w:r>
          </w:p>
        </w:tc>
        <w:tc>
          <w:tcPr>
            <w:tcW w:w="1300" w:type="dxa"/>
            <w:tcBorders>
              <w:top w:val="nil"/>
              <w:left w:val="nil"/>
              <w:bottom w:val="single" w:sz="8" w:space="0" w:color="auto"/>
              <w:right w:val="nil"/>
            </w:tcBorders>
            <w:shd w:val="clear" w:color="000000" w:fill="FFFFFF"/>
            <w:vAlign w:val="center"/>
            <w:hideMark/>
          </w:tcPr>
          <w:p w14:paraId="38281ABB" w14:textId="77777777" w:rsidR="00256F9A" w:rsidRPr="00256F9A" w:rsidRDefault="00256F9A" w:rsidP="00256F9A">
            <w:pPr>
              <w:jc w:val="center"/>
              <w:rPr>
                <w:color w:val="000000"/>
              </w:rPr>
            </w:pPr>
            <w:r w:rsidRPr="00256F9A">
              <w:rPr>
                <w:color w:val="000000"/>
              </w:rPr>
              <w:t>No</w:t>
            </w:r>
          </w:p>
        </w:tc>
        <w:tc>
          <w:tcPr>
            <w:tcW w:w="1300" w:type="dxa"/>
            <w:tcBorders>
              <w:top w:val="nil"/>
              <w:left w:val="nil"/>
              <w:bottom w:val="single" w:sz="8" w:space="0" w:color="auto"/>
              <w:right w:val="nil"/>
            </w:tcBorders>
            <w:shd w:val="clear" w:color="000000" w:fill="FFFFFF"/>
            <w:vAlign w:val="center"/>
            <w:hideMark/>
          </w:tcPr>
          <w:p w14:paraId="75963EE3" w14:textId="77777777" w:rsidR="00256F9A" w:rsidRPr="00256F9A" w:rsidRDefault="00256F9A" w:rsidP="00256F9A">
            <w:pPr>
              <w:jc w:val="center"/>
              <w:rPr>
                <w:color w:val="000000"/>
              </w:rPr>
            </w:pPr>
            <w:r w:rsidRPr="00256F9A">
              <w:rPr>
                <w:color w:val="000000"/>
              </w:rPr>
              <w:t>104</w:t>
            </w:r>
          </w:p>
        </w:tc>
        <w:tc>
          <w:tcPr>
            <w:tcW w:w="1300" w:type="dxa"/>
            <w:tcBorders>
              <w:top w:val="nil"/>
              <w:left w:val="nil"/>
              <w:bottom w:val="single" w:sz="8" w:space="0" w:color="auto"/>
              <w:right w:val="nil"/>
            </w:tcBorders>
            <w:shd w:val="clear" w:color="000000" w:fill="FFFFFF"/>
            <w:vAlign w:val="center"/>
            <w:hideMark/>
          </w:tcPr>
          <w:p w14:paraId="1FF78B32" w14:textId="77777777" w:rsidR="00256F9A" w:rsidRPr="00256F9A" w:rsidRDefault="00256F9A" w:rsidP="00256F9A">
            <w:pPr>
              <w:jc w:val="center"/>
              <w:rPr>
                <w:color w:val="000000"/>
              </w:rPr>
            </w:pPr>
            <w:r w:rsidRPr="00256F9A">
              <w:rPr>
                <w:color w:val="000000"/>
              </w:rPr>
              <w:t>5094</w:t>
            </w:r>
          </w:p>
        </w:tc>
        <w:tc>
          <w:tcPr>
            <w:tcW w:w="1300" w:type="dxa"/>
            <w:tcBorders>
              <w:top w:val="nil"/>
              <w:left w:val="nil"/>
              <w:bottom w:val="single" w:sz="8" w:space="0" w:color="auto"/>
              <w:right w:val="nil"/>
            </w:tcBorders>
            <w:shd w:val="clear" w:color="000000" w:fill="FFFFFF"/>
            <w:vAlign w:val="center"/>
            <w:hideMark/>
          </w:tcPr>
          <w:p w14:paraId="76A3B309" w14:textId="77777777" w:rsidR="00256F9A" w:rsidRPr="00256F9A" w:rsidRDefault="00256F9A" w:rsidP="00256F9A">
            <w:pPr>
              <w:jc w:val="center"/>
              <w:rPr>
                <w:color w:val="000000"/>
              </w:rPr>
            </w:pPr>
            <w:r w:rsidRPr="00256F9A">
              <w:rPr>
                <w:color w:val="000000"/>
              </w:rPr>
              <w:t>0.3</w:t>
            </w:r>
          </w:p>
        </w:tc>
      </w:tr>
      <w:tr w:rsidR="00256F9A" w:rsidRPr="00256F9A" w14:paraId="1307B649" w14:textId="77777777" w:rsidTr="00256F9A">
        <w:trPr>
          <w:trHeight w:hRule="exact" w:val="360"/>
        </w:trPr>
        <w:tc>
          <w:tcPr>
            <w:tcW w:w="1820" w:type="dxa"/>
            <w:tcBorders>
              <w:top w:val="nil"/>
              <w:left w:val="nil"/>
              <w:bottom w:val="single" w:sz="8" w:space="0" w:color="auto"/>
              <w:right w:val="nil"/>
            </w:tcBorders>
            <w:shd w:val="clear" w:color="000000" w:fill="FFFFFF"/>
            <w:vAlign w:val="center"/>
            <w:hideMark/>
          </w:tcPr>
          <w:p w14:paraId="1CEC8E4B" w14:textId="77777777" w:rsidR="00256F9A" w:rsidRPr="00256F9A" w:rsidRDefault="00256F9A" w:rsidP="00256F9A">
            <w:pPr>
              <w:rPr>
                <w:b/>
                <w:bCs/>
                <w:color w:val="000000"/>
              </w:rPr>
            </w:pPr>
            <w:r w:rsidRPr="00256F9A">
              <w:rPr>
                <w:b/>
                <w:bCs/>
                <w:color w:val="000000"/>
              </w:rPr>
              <w:t>Total</w:t>
            </w:r>
          </w:p>
        </w:tc>
        <w:tc>
          <w:tcPr>
            <w:tcW w:w="1300" w:type="dxa"/>
            <w:tcBorders>
              <w:top w:val="nil"/>
              <w:left w:val="nil"/>
              <w:bottom w:val="single" w:sz="8" w:space="0" w:color="auto"/>
              <w:right w:val="nil"/>
            </w:tcBorders>
            <w:shd w:val="clear" w:color="000000" w:fill="FFFFFF"/>
            <w:vAlign w:val="center"/>
            <w:hideMark/>
          </w:tcPr>
          <w:p w14:paraId="3A1B9509" w14:textId="77777777" w:rsidR="00256F9A" w:rsidRPr="00256F9A" w:rsidRDefault="00256F9A" w:rsidP="00256F9A">
            <w:pPr>
              <w:jc w:val="center"/>
              <w:rPr>
                <w:b/>
                <w:bCs/>
                <w:color w:val="000000"/>
              </w:rPr>
            </w:pPr>
            <w:r w:rsidRPr="00256F9A">
              <w:rPr>
                <w:b/>
                <w:bCs/>
                <w:color w:val="000000"/>
              </w:rPr>
              <w:t> </w:t>
            </w:r>
          </w:p>
        </w:tc>
        <w:tc>
          <w:tcPr>
            <w:tcW w:w="1300" w:type="dxa"/>
            <w:tcBorders>
              <w:top w:val="nil"/>
              <w:left w:val="nil"/>
              <w:bottom w:val="single" w:sz="8" w:space="0" w:color="auto"/>
              <w:right w:val="nil"/>
            </w:tcBorders>
            <w:shd w:val="clear" w:color="000000" w:fill="FFFFFF"/>
            <w:vAlign w:val="center"/>
            <w:hideMark/>
          </w:tcPr>
          <w:p w14:paraId="4F314BAE" w14:textId="77777777" w:rsidR="00256F9A" w:rsidRPr="00256F9A" w:rsidRDefault="00256F9A" w:rsidP="00256F9A">
            <w:pPr>
              <w:jc w:val="center"/>
              <w:rPr>
                <w:b/>
                <w:bCs/>
                <w:color w:val="000000"/>
              </w:rPr>
            </w:pPr>
            <w:r w:rsidRPr="00256F9A">
              <w:rPr>
                <w:b/>
                <w:bCs/>
                <w:color w:val="000000"/>
              </w:rPr>
              <w:t>333</w:t>
            </w:r>
          </w:p>
        </w:tc>
        <w:tc>
          <w:tcPr>
            <w:tcW w:w="1300" w:type="dxa"/>
            <w:tcBorders>
              <w:top w:val="nil"/>
              <w:left w:val="nil"/>
              <w:bottom w:val="single" w:sz="8" w:space="0" w:color="auto"/>
              <w:right w:val="nil"/>
            </w:tcBorders>
            <w:shd w:val="clear" w:color="000000" w:fill="FFFFFF"/>
            <w:vAlign w:val="center"/>
            <w:hideMark/>
          </w:tcPr>
          <w:p w14:paraId="3131266E" w14:textId="77777777" w:rsidR="00256F9A" w:rsidRPr="00256F9A" w:rsidRDefault="00256F9A" w:rsidP="00256F9A">
            <w:pPr>
              <w:jc w:val="center"/>
              <w:rPr>
                <w:b/>
                <w:bCs/>
                <w:color w:val="000000"/>
              </w:rPr>
            </w:pPr>
            <w:r w:rsidRPr="00256F9A">
              <w:rPr>
                <w:b/>
                <w:bCs/>
                <w:color w:val="000000"/>
              </w:rPr>
              <w:t>5223</w:t>
            </w:r>
          </w:p>
        </w:tc>
        <w:tc>
          <w:tcPr>
            <w:tcW w:w="1300" w:type="dxa"/>
            <w:tcBorders>
              <w:top w:val="nil"/>
              <w:left w:val="nil"/>
              <w:bottom w:val="single" w:sz="8" w:space="0" w:color="auto"/>
              <w:right w:val="nil"/>
            </w:tcBorders>
            <w:shd w:val="clear" w:color="000000" w:fill="FFFFFF"/>
            <w:vAlign w:val="center"/>
            <w:hideMark/>
          </w:tcPr>
          <w:p w14:paraId="459C2A18" w14:textId="77777777" w:rsidR="00256F9A" w:rsidRPr="00256F9A" w:rsidRDefault="00256F9A" w:rsidP="00256F9A">
            <w:pPr>
              <w:jc w:val="center"/>
              <w:rPr>
                <w:color w:val="000000"/>
              </w:rPr>
            </w:pPr>
            <w:r w:rsidRPr="00256F9A">
              <w:rPr>
                <w:color w:val="000000"/>
              </w:rPr>
              <w:t> </w:t>
            </w:r>
          </w:p>
        </w:tc>
      </w:tr>
      <w:tr w:rsidR="00256F9A" w:rsidRPr="00256F9A" w14:paraId="613367A2" w14:textId="77777777" w:rsidTr="00256F9A">
        <w:trPr>
          <w:trHeight w:hRule="exact" w:val="380"/>
        </w:trPr>
        <w:tc>
          <w:tcPr>
            <w:tcW w:w="7020" w:type="dxa"/>
            <w:gridSpan w:val="5"/>
            <w:tcBorders>
              <w:top w:val="single" w:sz="8" w:space="0" w:color="auto"/>
              <w:left w:val="nil"/>
              <w:bottom w:val="single" w:sz="8" w:space="0" w:color="auto"/>
              <w:right w:val="nil"/>
            </w:tcBorders>
            <w:shd w:val="clear" w:color="000000" w:fill="FFFFFF"/>
            <w:vAlign w:val="center"/>
            <w:hideMark/>
          </w:tcPr>
          <w:p w14:paraId="29E8C0A6" w14:textId="042767E4" w:rsidR="00256F9A" w:rsidRPr="00256F9A" w:rsidRDefault="00256F9A" w:rsidP="00256F9A">
            <w:pPr>
              <w:rPr>
                <w:i/>
                <w:iCs/>
                <w:color w:val="000000"/>
              </w:rPr>
            </w:pPr>
            <w:r w:rsidRPr="00256F9A">
              <w:rPr>
                <w:i/>
                <w:iCs/>
                <w:color w:val="000000"/>
                <w:vertAlign w:val="superscript"/>
              </w:rPr>
              <w:t>a</w:t>
            </w:r>
            <w:r w:rsidRPr="00256F9A">
              <w:rPr>
                <w:color w:val="000000"/>
              </w:rPr>
              <w:t xml:space="preserve"> From Cicero et al. (2004).</w:t>
            </w:r>
            <w:r w:rsidR="00DA779C">
              <w:rPr>
                <w:iCs/>
                <w:color w:val="000000"/>
              </w:rPr>
              <w:fldChar w:fldCharType="begin"/>
            </w:r>
            <w:r w:rsidR="00DA779C">
              <w:rPr>
                <w:iCs/>
                <w:color w:val="000000"/>
              </w:rPr>
              <w:instrText xml:space="preserve"> ADDIN EN.CITE &lt;EndNote&gt;&lt;Cite&gt;&lt;Author&gt;Cicero&lt;/Author&gt;&lt;Year&gt;2004&lt;/Year&gt;&lt;RecNum&gt;875&lt;/RecNum&gt;&lt;DisplayText&gt;[2]&lt;/DisplayText&gt;&lt;record&gt;&lt;rec-number&gt;875&lt;/rec-number&gt;&lt;foreign-keys&gt;&lt;key app="EN" db-id="0ftvff9p80fp5few5s05f5fw9rd9fefrdzer" timestamp="0"&gt;875&lt;/key&gt;&lt;/foreign-keys&gt;&lt;ref-type name="Journal Article"&gt;17&lt;/ref-type&gt;&lt;contributors&gt;&lt;authors&gt;&lt;author&gt;Cicero, S.&lt;/author&gt;&lt;author&gt;Rembouskos, G.&lt;/author&gt;&lt;author&gt;Vandecruys, H.&lt;/author&gt;&lt;author&gt;Hogg, M.&lt;/author&gt;&lt;author&gt;Nicolaides, K. H.&lt;/author&gt;&lt;/authors&gt;&lt;/contributors&gt;&lt;auth-address&gt;Harris Birthright Research Centre for Fetal Medicine, King&amp;apos;s College Hospital Medical School, London, UK.&lt;/auth-address&gt;&lt;titles&gt;&lt;title&gt;Likelihood ratio for trisomy 21 in fetuses with absent nasal bone at the 11-14-week scan&lt;/title&gt;&lt;secondary-title&gt;Ultrasound Obstet Gynecol&lt;/secondary-title&gt;&lt;/titles&gt;&lt;pages&gt;218-23&lt;/pages&gt;&lt;volume&gt;23&lt;/volume&gt;&lt;number&gt;3&lt;/number&gt;&lt;keywords&gt;&lt;keyword&gt;Adolescent&lt;/keyword&gt;&lt;keyword&gt;Adult&lt;/keyword&gt;&lt;keyword&gt;Chromosome Aberrations&lt;/keyword&gt;&lt;keyword&gt;Crown-Rump Length&lt;/keyword&gt;&lt;keyword&gt;Down Syndrome/ethnology/*ultrasonography&lt;/keyword&gt;&lt;keyword&gt;Female&lt;/keyword&gt;&lt;keyword&gt;Humans&lt;/keyword&gt;&lt;keyword&gt;Incidence&lt;/keyword&gt;&lt;keyword&gt;Karyotyping&lt;/keyword&gt;&lt;keyword&gt;Logistic Models&lt;/keyword&gt;&lt;keyword&gt;London/epidemiology&lt;/keyword&gt;&lt;keyword&gt;Mass Screening/methods&lt;/keyword&gt;&lt;keyword&gt;Middle Aged&lt;/keyword&gt;&lt;keyword&gt;Nasal Bone/abnormalities/*ultrasonography&lt;/keyword&gt;&lt;keyword&gt;Neck/ultrasonography&lt;/keyword&gt;&lt;keyword&gt;Pregnancy&lt;/keyword&gt;&lt;keyword&gt;Prospective Studies&lt;/keyword&gt;&lt;keyword&gt;Research Support, Non-U.S. Gov&amp;apos;t&lt;/keyword&gt;&lt;keyword&gt;Ultrasonography, Prenatal/*methods&lt;/keyword&gt;&lt;/keywords&gt;&lt;dates&gt;&lt;year&gt;2004&lt;/year&gt;&lt;pub-dates&gt;&lt;date&gt;Mar&lt;/date&gt;&lt;/pub-dates&gt;&lt;/dates&gt;&lt;accession-num&gt;15027007&lt;/accession-num&gt;&lt;urls&gt;&lt;related-urls&gt;&lt;url&gt;http://www.ncbi.nlm.nih.gov/entrez/query.fcgi?cmd=Retrieve&amp;amp;db=PubMed&amp;amp;dopt=Citation&amp;amp;list_uids=15027007 &lt;/url&gt;&lt;/related-urls&gt;&lt;/urls&gt;&lt;/record&gt;&lt;/Cite&gt;&lt;/EndNote&gt;</w:instrText>
            </w:r>
            <w:r w:rsidR="00DA779C">
              <w:rPr>
                <w:iCs/>
                <w:color w:val="000000"/>
              </w:rPr>
              <w:fldChar w:fldCharType="separate"/>
            </w:r>
            <w:r w:rsidR="00DA779C">
              <w:rPr>
                <w:iCs/>
                <w:noProof/>
                <w:color w:val="000000"/>
              </w:rPr>
              <w:t>[2]</w:t>
            </w:r>
            <w:r w:rsidR="00DA779C">
              <w:rPr>
                <w:iCs/>
                <w:color w:val="000000"/>
              </w:rPr>
              <w:fldChar w:fldCharType="end"/>
            </w:r>
          </w:p>
        </w:tc>
      </w:tr>
    </w:tbl>
    <w:p w14:paraId="09763259" w14:textId="11ABC665" w:rsidR="00923868" w:rsidRPr="00711B22" w:rsidRDefault="007E4D31" w:rsidP="003755B9">
      <w:pPr>
        <w:pStyle w:val="NormalWeb"/>
      </w:pPr>
      <w:r w:rsidRPr="00711B22">
        <w:t xml:space="preserve">The calculations in </w:t>
      </w:r>
      <w:r w:rsidR="002664C8">
        <w:rPr>
          <w:highlight w:val="yellow"/>
        </w:rPr>
        <w:t>Figure 7.1</w:t>
      </w:r>
      <w:r w:rsidRPr="00711B22">
        <w:t xml:space="preserve"> apply if we consider either the NT ≥3.5 mm </w:t>
      </w:r>
      <w:r w:rsidRPr="00711B22">
        <w:rPr>
          <w:i/>
        </w:rPr>
        <w:t>or</w:t>
      </w:r>
      <w:r w:rsidRPr="00711B22">
        <w:t xml:space="preserve"> NBA. What if we consider both? First, let us assume the two tests are independent. If the two tests are independent,</w:t>
      </w:r>
      <w:r w:rsidR="00923868" w:rsidRPr="00711B22">
        <w:t xml:space="preserve"> we can multiply their LRs, so the LR for a combined positive result, NT ≥3.5 mm </w:t>
      </w:r>
      <w:r w:rsidR="00923868" w:rsidRPr="00711B22">
        <w:rPr>
          <w:i/>
        </w:rPr>
        <w:t>and</w:t>
      </w:r>
      <w:r w:rsidR="00923868" w:rsidRPr="00711B22">
        <w:t xml:space="preserve"> NBA, would be 7.0 × 27.8 = 194. Using this LR and a pre-test probability of 6% results in a post-test probability of 92.5%. </w:t>
      </w:r>
      <w:r w:rsidR="002664C8">
        <w:rPr>
          <w:highlight w:val="yellow"/>
        </w:rPr>
        <w:t>Figure 7.2</w:t>
      </w:r>
      <w:r w:rsidR="00923868" w:rsidRPr="00711B22">
        <w:t xml:space="preserve"> displays this calculation.</w:t>
      </w:r>
    </w:p>
    <w:p w14:paraId="16763A1B" w14:textId="77777777" w:rsidR="003951CB" w:rsidRPr="00711B22" w:rsidRDefault="007E4D31" w:rsidP="00923868">
      <w:pPr>
        <w:pStyle w:val="NormalWeb"/>
      </w:pPr>
      <w:r w:rsidRPr="00711B22">
        <w:t xml:space="preserve">Now, rather than assuming independence, let us look at the actual data from the sample. If we consider both NT and the examination for the nasal bone together, there are four possible results. Table </w:t>
      </w:r>
      <w:r w:rsidR="00EC67B9" w:rsidRPr="00EC67B9">
        <w:rPr>
          <w:highlight w:val="yellow"/>
        </w:rPr>
        <w:t>7</w:t>
      </w:r>
      <w:r w:rsidRPr="00EC67B9">
        <w:rPr>
          <w:highlight w:val="yellow"/>
        </w:rPr>
        <w:t>.2</w:t>
      </w:r>
      <w:r w:rsidRPr="00711B22">
        <w:t xml:space="preserve"> shows the data and LRs associated with those four results.</w:t>
      </w:r>
    </w:p>
    <w:p w14:paraId="509FD302" w14:textId="4974D309" w:rsidR="003951CB" w:rsidRDefault="007E4D31" w:rsidP="00923868">
      <w:pPr>
        <w:pStyle w:val="NormalWeb"/>
      </w:pPr>
      <w:r w:rsidRPr="00711B22">
        <w:t xml:space="preserve">Look at the top row of the table, where both tests are positive for trisomy 21. If both tests are positive, the LR is 68.8, not 7.0 × 28.8 = 194. Therefore, if the pre-test probability of </w:t>
      </w:r>
      <w:r w:rsidRPr="00711B22">
        <w:lastRenderedPageBreak/>
        <w:t>trisomy 21 is 6% and both tests are positive, the post-test probability is 81%, not 92.5% (</w:t>
      </w:r>
      <w:r w:rsidR="002664C8">
        <w:t>Figure 7.3</w:t>
      </w:r>
      <w:r w:rsidRPr="00711B22">
        <w:t>).</w:t>
      </w:r>
    </w:p>
    <w:p w14:paraId="1E6ECC38" w14:textId="77777777" w:rsidR="002F5778" w:rsidRPr="00711B22" w:rsidRDefault="002F5778" w:rsidP="00923868">
      <w:pPr>
        <w:pStyle w:val="NormalWeb"/>
      </w:pPr>
      <w:r>
        <w:rPr>
          <w:noProof/>
        </w:rPr>
        <w:drawing>
          <wp:inline distT="0" distB="0" distL="0" distR="0" wp14:anchorId="04F6675A" wp14:editId="7BE79254">
            <wp:extent cx="5276687" cy="160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7.2.png"/>
                    <pic:cNvPicPr/>
                  </pic:nvPicPr>
                  <pic:blipFill rotWithShape="1">
                    <a:blip r:embed="rId8"/>
                    <a:srcRect l="4746" r="7060"/>
                    <a:stretch/>
                  </pic:blipFill>
                  <pic:spPr bwMode="auto">
                    <a:xfrm>
                      <a:off x="0" y="0"/>
                      <a:ext cx="5293154" cy="1611564"/>
                    </a:xfrm>
                    <a:prstGeom prst="rect">
                      <a:avLst/>
                    </a:prstGeom>
                    <a:ln>
                      <a:noFill/>
                    </a:ln>
                    <a:extLst>
                      <a:ext uri="{53640926-AAD7-44D8-BBD7-CCE9431645EC}">
                        <a14:shadowObscured xmlns:a14="http://schemas.microsoft.com/office/drawing/2010/main"/>
                      </a:ext>
                    </a:extLst>
                  </pic:spPr>
                </pic:pic>
              </a:graphicData>
            </a:graphic>
          </wp:inline>
        </w:drawing>
      </w:r>
    </w:p>
    <w:p w14:paraId="1B9D47AE" w14:textId="23497B26" w:rsidR="003951CB" w:rsidRPr="00711B22" w:rsidRDefault="002664C8" w:rsidP="00923868">
      <w:pPr>
        <w:pStyle w:val="NormalWeb"/>
      </w:pPr>
      <w:r>
        <w:rPr>
          <w:highlight w:val="yellow"/>
        </w:rPr>
        <w:t>Figure 7.1</w:t>
      </w:r>
      <w:r w:rsidR="007E4D31" w:rsidRPr="00711B22">
        <w:t xml:space="preserve"> Starting with a 6% pre-test probability of trisomy 21, an NT ≥3.5 mm (NT+) increases the probability to 31%; ignoring the NT result, NBA increases the probability to 64%.</w:t>
      </w:r>
    </w:p>
    <w:p w14:paraId="7BD38EB0" w14:textId="453493A9" w:rsidR="003951CB" w:rsidRPr="00711B22" w:rsidRDefault="007E4D31" w:rsidP="00921C52">
      <w:pPr>
        <w:pStyle w:val="NormalWeb"/>
      </w:pPr>
      <w:r w:rsidRPr="00EC67B9">
        <w:rPr>
          <w:b/>
          <w:highlight w:val="yellow"/>
        </w:rPr>
        <w:t xml:space="preserve">Table </w:t>
      </w:r>
      <w:r w:rsidR="00EC67B9" w:rsidRPr="00EC67B9">
        <w:rPr>
          <w:b/>
          <w:highlight w:val="yellow"/>
        </w:rPr>
        <w:t>7</w:t>
      </w:r>
      <w:r w:rsidRPr="00EC67B9">
        <w:rPr>
          <w:b/>
          <w:highlight w:val="yellow"/>
        </w:rPr>
        <w:t>.</w:t>
      </w:r>
      <w:r w:rsidR="003C015C">
        <w:rPr>
          <w:b/>
          <w:highlight w:val="yellow"/>
        </w:rPr>
        <w:t>3</w:t>
      </w:r>
      <w:r w:rsidRPr="00711B22">
        <w:rPr>
          <w:b/>
        </w:rPr>
        <w:t>.</w:t>
      </w:r>
      <w:r w:rsidRPr="00711B22">
        <w:t xml:space="preserve"> The combination of NT and nasal bone examination results in fetuses with trisomy 21 and chromosomally normal fetuses</w:t>
      </w:r>
      <w:r w:rsidR="00F44F1C">
        <w:t xml:space="preserve"> among those selected for chorionic villus </w:t>
      </w:r>
      <w:proofErr w:type="spellStart"/>
      <w:r w:rsidR="00F44F1C">
        <w:t>sampling</w:t>
      </w:r>
      <w:r w:rsidR="003C015C" w:rsidRPr="00B33B11">
        <w:rPr>
          <w:vertAlign w:val="superscript"/>
        </w:rPr>
        <w:t>a</w:t>
      </w:r>
      <w:proofErr w:type="spellEnd"/>
    </w:p>
    <w:tbl>
      <w:tblPr>
        <w:tblW w:w="0" w:type="auto"/>
        <w:tblInd w:w="40" w:type="dxa"/>
        <w:tblLayout w:type="fixed"/>
        <w:tblCellMar>
          <w:left w:w="40" w:type="dxa"/>
          <w:right w:w="40" w:type="dxa"/>
        </w:tblCellMar>
        <w:tblLook w:val="0000" w:firstRow="0" w:lastRow="0" w:firstColumn="0" w:lastColumn="0" w:noHBand="0" w:noVBand="0"/>
      </w:tblPr>
      <w:tblGrid>
        <w:gridCol w:w="1260"/>
        <w:gridCol w:w="770"/>
        <w:gridCol w:w="754"/>
        <w:gridCol w:w="1459"/>
        <w:gridCol w:w="1053"/>
        <w:gridCol w:w="1080"/>
        <w:gridCol w:w="1080"/>
        <w:gridCol w:w="14"/>
      </w:tblGrid>
      <w:tr w:rsidR="00C810B3" w:rsidRPr="00711B22" w14:paraId="3741BF7D" w14:textId="77777777" w:rsidTr="0097238C">
        <w:trPr>
          <w:gridAfter w:val="1"/>
          <w:wAfter w:w="14" w:type="dxa"/>
          <w:trHeight w:hRule="exact" w:val="389"/>
        </w:trPr>
        <w:tc>
          <w:tcPr>
            <w:tcW w:w="1260" w:type="dxa"/>
            <w:tcBorders>
              <w:top w:val="single" w:sz="6" w:space="0" w:color="auto"/>
              <w:left w:val="nil"/>
              <w:bottom w:val="nil"/>
              <w:right w:val="nil"/>
            </w:tcBorders>
            <w:shd w:val="clear" w:color="auto" w:fill="FFFFFF"/>
          </w:tcPr>
          <w:p w14:paraId="7E15E3C7" w14:textId="77777777" w:rsidR="00C810B3" w:rsidRPr="00711B22" w:rsidRDefault="00C810B3" w:rsidP="007B4EA3">
            <w:pPr>
              <w:pStyle w:val="Table"/>
            </w:pPr>
          </w:p>
        </w:tc>
        <w:tc>
          <w:tcPr>
            <w:tcW w:w="770" w:type="dxa"/>
            <w:tcBorders>
              <w:top w:val="single" w:sz="6" w:space="0" w:color="auto"/>
              <w:left w:val="nil"/>
              <w:bottom w:val="nil"/>
              <w:right w:val="nil"/>
            </w:tcBorders>
            <w:shd w:val="clear" w:color="auto" w:fill="FFFFFF"/>
          </w:tcPr>
          <w:p w14:paraId="28D05496" w14:textId="7953284A" w:rsidR="00C810B3" w:rsidRPr="00711B22" w:rsidRDefault="00C810B3" w:rsidP="007B4EA3">
            <w:pPr>
              <w:pStyle w:val="Table"/>
            </w:pPr>
          </w:p>
        </w:tc>
        <w:tc>
          <w:tcPr>
            <w:tcW w:w="754" w:type="dxa"/>
            <w:tcBorders>
              <w:top w:val="single" w:sz="6" w:space="0" w:color="auto"/>
              <w:left w:val="nil"/>
              <w:bottom w:val="single" w:sz="6" w:space="0" w:color="auto"/>
              <w:right w:val="nil"/>
            </w:tcBorders>
            <w:shd w:val="clear" w:color="auto" w:fill="FFFFFF"/>
          </w:tcPr>
          <w:p w14:paraId="5B49CBBE" w14:textId="77777777" w:rsidR="00C810B3" w:rsidRPr="00711B22" w:rsidRDefault="00C810B3" w:rsidP="007B4EA3">
            <w:pPr>
              <w:pStyle w:val="Table"/>
            </w:pPr>
          </w:p>
        </w:tc>
        <w:tc>
          <w:tcPr>
            <w:tcW w:w="1459" w:type="dxa"/>
            <w:tcBorders>
              <w:top w:val="single" w:sz="6" w:space="0" w:color="auto"/>
              <w:left w:val="nil"/>
              <w:bottom w:val="single" w:sz="6" w:space="0" w:color="auto"/>
              <w:right w:val="nil"/>
            </w:tcBorders>
            <w:shd w:val="clear" w:color="auto" w:fill="FFFFFF"/>
          </w:tcPr>
          <w:p w14:paraId="391A1C47" w14:textId="77777777" w:rsidR="00C810B3" w:rsidRPr="00711B22" w:rsidRDefault="00C810B3" w:rsidP="007B4EA3">
            <w:pPr>
              <w:pStyle w:val="Table"/>
            </w:pPr>
            <w:r w:rsidRPr="00711B22">
              <w:t>Trisomy</w:t>
            </w:r>
          </w:p>
        </w:tc>
        <w:tc>
          <w:tcPr>
            <w:tcW w:w="1053" w:type="dxa"/>
            <w:tcBorders>
              <w:top w:val="single" w:sz="6" w:space="0" w:color="auto"/>
              <w:left w:val="nil"/>
              <w:bottom w:val="single" w:sz="6" w:space="0" w:color="auto"/>
              <w:right w:val="nil"/>
            </w:tcBorders>
            <w:shd w:val="clear" w:color="auto" w:fill="FFFFFF"/>
          </w:tcPr>
          <w:p w14:paraId="39BBAAFB" w14:textId="77777777" w:rsidR="00C810B3" w:rsidRPr="00711B22" w:rsidRDefault="00C810B3" w:rsidP="007B4EA3">
            <w:pPr>
              <w:pStyle w:val="Table"/>
            </w:pPr>
            <w:r w:rsidRPr="00711B22">
              <w:t>21</w:t>
            </w:r>
          </w:p>
        </w:tc>
        <w:tc>
          <w:tcPr>
            <w:tcW w:w="1080" w:type="dxa"/>
            <w:tcBorders>
              <w:top w:val="single" w:sz="6" w:space="0" w:color="auto"/>
              <w:left w:val="nil"/>
              <w:bottom w:val="single" w:sz="6" w:space="0" w:color="auto"/>
              <w:right w:val="nil"/>
            </w:tcBorders>
            <w:shd w:val="clear" w:color="auto" w:fill="FFFFFF"/>
          </w:tcPr>
          <w:p w14:paraId="6F9B3B31" w14:textId="77777777" w:rsidR="00C810B3" w:rsidRPr="00711B22" w:rsidRDefault="00C810B3" w:rsidP="007B4EA3">
            <w:pPr>
              <w:pStyle w:val="Table"/>
            </w:pPr>
          </w:p>
        </w:tc>
        <w:tc>
          <w:tcPr>
            <w:tcW w:w="1080" w:type="dxa"/>
            <w:tcBorders>
              <w:top w:val="single" w:sz="6" w:space="0" w:color="auto"/>
              <w:left w:val="nil"/>
              <w:bottom w:val="nil"/>
              <w:right w:val="nil"/>
            </w:tcBorders>
            <w:shd w:val="clear" w:color="auto" w:fill="FFFFFF"/>
          </w:tcPr>
          <w:p w14:paraId="313AC91A" w14:textId="77777777" w:rsidR="00C810B3" w:rsidRPr="00711B22" w:rsidRDefault="00C810B3" w:rsidP="007B4EA3">
            <w:pPr>
              <w:pStyle w:val="Table"/>
            </w:pPr>
          </w:p>
        </w:tc>
      </w:tr>
      <w:tr w:rsidR="00C810B3" w:rsidRPr="00711B22" w14:paraId="71929E2D" w14:textId="77777777" w:rsidTr="0097238C">
        <w:trPr>
          <w:gridAfter w:val="1"/>
          <w:wAfter w:w="14" w:type="dxa"/>
          <w:trHeight w:hRule="exact" w:val="389"/>
        </w:trPr>
        <w:tc>
          <w:tcPr>
            <w:tcW w:w="1260" w:type="dxa"/>
            <w:tcBorders>
              <w:top w:val="nil"/>
              <w:left w:val="nil"/>
              <w:bottom w:val="single" w:sz="6" w:space="0" w:color="auto"/>
              <w:right w:val="nil"/>
            </w:tcBorders>
            <w:shd w:val="clear" w:color="auto" w:fill="FFFFFF"/>
          </w:tcPr>
          <w:p w14:paraId="705BFE77" w14:textId="77777777" w:rsidR="00C810B3" w:rsidRPr="00711B22" w:rsidRDefault="00C810B3" w:rsidP="007B4EA3">
            <w:pPr>
              <w:pStyle w:val="Table"/>
            </w:pPr>
            <w:r w:rsidRPr="00711B22">
              <w:t>NT ≥ 3.5 mm</w:t>
            </w:r>
          </w:p>
        </w:tc>
        <w:tc>
          <w:tcPr>
            <w:tcW w:w="770" w:type="dxa"/>
            <w:tcBorders>
              <w:top w:val="nil"/>
              <w:left w:val="nil"/>
              <w:bottom w:val="single" w:sz="6" w:space="0" w:color="auto"/>
              <w:right w:val="nil"/>
            </w:tcBorders>
            <w:shd w:val="clear" w:color="auto" w:fill="FFFFFF"/>
          </w:tcPr>
          <w:p w14:paraId="143E1631" w14:textId="63C9D868" w:rsidR="00C810B3" w:rsidRPr="00711B22" w:rsidRDefault="009567CF" w:rsidP="00D4172F">
            <w:pPr>
              <w:pStyle w:val="Table"/>
              <w:jc w:val="center"/>
            </w:pPr>
            <w:r>
              <w:t>NBA</w:t>
            </w:r>
          </w:p>
        </w:tc>
        <w:tc>
          <w:tcPr>
            <w:tcW w:w="754" w:type="dxa"/>
            <w:tcBorders>
              <w:top w:val="single" w:sz="6" w:space="0" w:color="auto"/>
              <w:left w:val="nil"/>
              <w:bottom w:val="single" w:sz="6" w:space="0" w:color="auto"/>
              <w:right w:val="nil"/>
            </w:tcBorders>
            <w:shd w:val="clear" w:color="auto" w:fill="FFFFFF"/>
          </w:tcPr>
          <w:p w14:paraId="2CE60C20" w14:textId="77777777" w:rsidR="00C810B3" w:rsidRPr="00711B22" w:rsidRDefault="00C810B3" w:rsidP="00D4172F">
            <w:pPr>
              <w:pStyle w:val="Table"/>
              <w:jc w:val="center"/>
            </w:pPr>
            <w:r w:rsidRPr="00711B22">
              <w:t>Yes</w:t>
            </w:r>
          </w:p>
        </w:tc>
        <w:tc>
          <w:tcPr>
            <w:tcW w:w="1459" w:type="dxa"/>
            <w:tcBorders>
              <w:top w:val="single" w:sz="6" w:space="0" w:color="auto"/>
              <w:left w:val="nil"/>
              <w:bottom w:val="single" w:sz="6" w:space="0" w:color="auto"/>
              <w:right w:val="nil"/>
            </w:tcBorders>
            <w:shd w:val="clear" w:color="auto" w:fill="FFFFFF"/>
          </w:tcPr>
          <w:p w14:paraId="106BF58E" w14:textId="77777777" w:rsidR="00C810B3" w:rsidRPr="00711B22" w:rsidRDefault="00C810B3" w:rsidP="00263A8B">
            <w:pPr>
              <w:pStyle w:val="Table"/>
              <w:jc w:val="center"/>
            </w:pPr>
            <w:r w:rsidRPr="00711B22">
              <w:t>%</w:t>
            </w:r>
          </w:p>
        </w:tc>
        <w:tc>
          <w:tcPr>
            <w:tcW w:w="1053" w:type="dxa"/>
            <w:tcBorders>
              <w:top w:val="single" w:sz="6" w:space="0" w:color="auto"/>
              <w:left w:val="nil"/>
              <w:bottom w:val="single" w:sz="6" w:space="0" w:color="auto"/>
              <w:right w:val="nil"/>
            </w:tcBorders>
            <w:shd w:val="clear" w:color="auto" w:fill="FFFFFF"/>
          </w:tcPr>
          <w:p w14:paraId="18B7F878" w14:textId="77777777" w:rsidR="00C810B3" w:rsidRPr="00711B22" w:rsidRDefault="00C810B3" w:rsidP="00D4172F">
            <w:pPr>
              <w:pStyle w:val="Table"/>
              <w:jc w:val="center"/>
            </w:pPr>
            <w:r w:rsidRPr="00711B22">
              <w:t>No</w:t>
            </w:r>
          </w:p>
        </w:tc>
        <w:tc>
          <w:tcPr>
            <w:tcW w:w="1080" w:type="dxa"/>
            <w:tcBorders>
              <w:top w:val="single" w:sz="6" w:space="0" w:color="auto"/>
              <w:left w:val="nil"/>
              <w:bottom w:val="single" w:sz="6" w:space="0" w:color="auto"/>
              <w:right w:val="nil"/>
            </w:tcBorders>
            <w:shd w:val="clear" w:color="auto" w:fill="FFFFFF"/>
          </w:tcPr>
          <w:p w14:paraId="64C3C9B1" w14:textId="77777777" w:rsidR="00C810B3" w:rsidRPr="00711B22" w:rsidRDefault="00C810B3" w:rsidP="00263A8B">
            <w:pPr>
              <w:pStyle w:val="Table"/>
              <w:jc w:val="center"/>
            </w:pPr>
            <w:r w:rsidRPr="00711B22">
              <w:t>%</w:t>
            </w:r>
          </w:p>
        </w:tc>
        <w:tc>
          <w:tcPr>
            <w:tcW w:w="1080" w:type="dxa"/>
            <w:tcBorders>
              <w:top w:val="nil"/>
              <w:left w:val="nil"/>
              <w:bottom w:val="single" w:sz="6" w:space="0" w:color="auto"/>
              <w:right w:val="nil"/>
            </w:tcBorders>
            <w:shd w:val="clear" w:color="auto" w:fill="FFFFFF"/>
          </w:tcPr>
          <w:p w14:paraId="461D6AAF" w14:textId="77777777" w:rsidR="00C810B3" w:rsidRPr="00711B22" w:rsidRDefault="00C810B3" w:rsidP="00263A8B">
            <w:pPr>
              <w:pStyle w:val="Table"/>
              <w:jc w:val="center"/>
            </w:pPr>
            <w:r w:rsidRPr="00711B22">
              <w:t>LR</w:t>
            </w:r>
          </w:p>
        </w:tc>
      </w:tr>
      <w:tr w:rsidR="00C810B3" w:rsidRPr="00711B22" w14:paraId="6EAFF296" w14:textId="77777777" w:rsidTr="0097238C">
        <w:trPr>
          <w:gridAfter w:val="1"/>
          <w:wAfter w:w="14" w:type="dxa"/>
          <w:trHeight w:hRule="exact" w:val="326"/>
        </w:trPr>
        <w:tc>
          <w:tcPr>
            <w:tcW w:w="1260" w:type="dxa"/>
            <w:tcBorders>
              <w:top w:val="single" w:sz="6" w:space="0" w:color="auto"/>
              <w:left w:val="nil"/>
              <w:bottom w:val="nil"/>
              <w:right w:val="nil"/>
            </w:tcBorders>
            <w:shd w:val="clear" w:color="auto" w:fill="FFFFFF"/>
          </w:tcPr>
          <w:p w14:paraId="20CB260D" w14:textId="77777777" w:rsidR="00C810B3" w:rsidRPr="00711B22" w:rsidRDefault="00C810B3" w:rsidP="007B4EA3">
            <w:pPr>
              <w:pStyle w:val="Table"/>
            </w:pPr>
            <w:r w:rsidRPr="00711B22">
              <w:t>Yes</w:t>
            </w:r>
          </w:p>
        </w:tc>
        <w:tc>
          <w:tcPr>
            <w:tcW w:w="770" w:type="dxa"/>
            <w:tcBorders>
              <w:top w:val="single" w:sz="6" w:space="0" w:color="auto"/>
              <w:left w:val="nil"/>
              <w:bottom w:val="nil"/>
              <w:right w:val="nil"/>
            </w:tcBorders>
            <w:shd w:val="clear" w:color="auto" w:fill="FFFFFF"/>
          </w:tcPr>
          <w:p w14:paraId="2C7F8462" w14:textId="77777777" w:rsidR="00C810B3" w:rsidRPr="00711B22" w:rsidRDefault="00C810B3" w:rsidP="007B4EA3">
            <w:pPr>
              <w:pStyle w:val="Table"/>
            </w:pPr>
            <w:r w:rsidRPr="00711B22">
              <w:t>Yes</w:t>
            </w:r>
          </w:p>
        </w:tc>
        <w:tc>
          <w:tcPr>
            <w:tcW w:w="754" w:type="dxa"/>
            <w:tcBorders>
              <w:top w:val="single" w:sz="6" w:space="0" w:color="auto"/>
              <w:left w:val="nil"/>
              <w:bottom w:val="nil"/>
              <w:right w:val="nil"/>
            </w:tcBorders>
            <w:shd w:val="clear" w:color="auto" w:fill="FFFFFF"/>
          </w:tcPr>
          <w:p w14:paraId="33067E44" w14:textId="77777777" w:rsidR="00C810B3" w:rsidRPr="00711B22" w:rsidRDefault="00C810B3" w:rsidP="007B4EA3">
            <w:pPr>
              <w:pStyle w:val="Table"/>
            </w:pPr>
            <w:r w:rsidRPr="00711B22">
              <w:t>158</w:t>
            </w:r>
          </w:p>
        </w:tc>
        <w:tc>
          <w:tcPr>
            <w:tcW w:w="1459" w:type="dxa"/>
            <w:tcBorders>
              <w:top w:val="single" w:sz="6" w:space="0" w:color="auto"/>
              <w:left w:val="nil"/>
              <w:bottom w:val="nil"/>
              <w:right w:val="nil"/>
            </w:tcBorders>
            <w:shd w:val="clear" w:color="auto" w:fill="FFFFFF"/>
          </w:tcPr>
          <w:p w14:paraId="1B26C84D" w14:textId="77777777" w:rsidR="00C810B3" w:rsidRPr="00711B22" w:rsidRDefault="00C810B3" w:rsidP="0097238C">
            <w:pPr>
              <w:pStyle w:val="Table"/>
              <w:jc w:val="center"/>
            </w:pPr>
            <w:r w:rsidRPr="00711B22">
              <w:t>47.4%</w:t>
            </w:r>
          </w:p>
        </w:tc>
        <w:tc>
          <w:tcPr>
            <w:tcW w:w="1053" w:type="dxa"/>
            <w:tcBorders>
              <w:top w:val="single" w:sz="6" w:space="0" w:color="auto"/>
              <w:left w:val="nil"/>
              <w:bottom w:val="nil"/>
              <w:right w:val="nil"/>
            </w:tcBorders>
            <w:shd w:val="clear" w:color="auto" w:fill="FFFFFF"/>
          </w:tcPr>
          <w:p w14:paraId="39DF0465" w14:textId="77777777" w:rsidR="00C810B3" w:rsidRPr="00711B22" w:rsidRDefault="00C810B3" w:rsidP="00D4172F">
            <w:pPr>
              <w:pStyle w:val="Table"/>
              <w:ind w:right="347"/>
              <w:jc w:val="right"/>
            </w:pPr>
            <w:r w:rsidRPr="00711B22">
              <w:t>36</w:t>
            </w:r>
          </w:p>
        </w:tc>
        <w:tc>
          <w:tcPr>
            <w:tcW w:w="1080" w:type="dxa"/>
            <w:tcBorders>
              <w:top w:val="single" w:sz="6" w:space="0" w:color="auto"/>
              <w:left w:val="nil"/>
              <w:bottom w:val="nil"/>
              <w:right w:val="nil"/>
            </w:tcBorders>
            <w:shd w:val="clear" w:color="auto" w:fill="FFFFFF"/>
          </w:tcPr>
          <w:p w14:paraId="3BB8690A" w14:textId="77777777" w:rsidR="00C810B3" w:rsidRPr="00711B22" w:rsidRDefault="00C810B3" w:rsidP="0097238C">
            <w:pPr>
              <w:pStyle w:val="Table"/>
              <w:jc w:val="center"/>
            </w:pPr>
            <w:r w:rsidRPr="00711B22">
              <w:t>0.7%</w:t>
            </w:r>
          </w:p>
        </w:tc>
        <w:tc>
          <w:tcPr>
            <w:tcW w:w="1080" w:type="dxa"/>
            <w:tcBorders>
              <w:top w:val="single" w:sz="6" w:space="0" w:color="auto"/>
              <w:left w:val="nil"/>
              <w:bottom w:val="nil"/>
              <w:right w:val="nil"/>
            </w:tcBorders>
            <w:shd w:val="clear" w:color="auto" w:fill="FFFFFF"/>
          </w:tcPr>
          <w:p w14:paraId="2CA27003" w14:textId="77777777" w:rsidR="00C810B3" w:rsidRPr="00711B22" w:rsidRDefault="00C810B3" w:rsidP="0097238C">
            <w:pPr>
              <w:pStyle w:val="Table"/>
              <w:jc w:val="center"/>
            </w:pPr>
            <w:r w:rsidRPr="00711B22">
              <w:t>68.8</w:t>
            </w:r>
          </w:p>
        </w:tc>
      </w:tr>
      <w:tr w:rsidR="00C810B3" w:rsidRPr="00711B22" w14:paraId="6F3208E8" w14:textId="77777777" w:rsidTr="0097238C">
        <w:trPr>
          <w:gridAfter w:val="1"/>
          <w:wAfter w:w="14" w:type="dxa"/>
          <w:trHeight w:hRule="exact" w:val="540"/>
        </w:trPr>
        <w:tc>
          <w:tcPr>
            <w:tcW w:w="1260" w:type="dxa"/>
            <w:tcBorders>
              <w:top w:val="nil"/>
              <w:left w:val="nil"/>
              <w:bottom w:val="nil"/>
              <w:right w:val="nil"/>
            </w:tcBorders>
            <w:shd w:val="clear" w:color="auto" w:fill="FFFFFF"/>
          </w:tcPr>
          <w:p w14:paraId="6EFA59FA" w14:textId="77777777" w:rsidR="00C810B3" w:rsidRPr="00711B22" w:rsidRDefault="00C810B3" w:rsidP="007B4EA3">
            <w:pPr>
              <w:pStyle w:val="Table"/>
            </w:pPr>
            <w:r w:rsidRPr="00711B22">
              <w:t>Yes</w:t>
            </w:r>
          </w:p>
        </w:tc>
        <w:tc>
          <w:tcPr>
            <w:tcW w:w="770" w:type="dxa"/>
            <w:tcBorders>
              <w:top w:val="nil"/>
              <w:left w:val="nil"/>
              <w:bottom w:val="nil"/>
              <w:right w:val="nil"/>
            </w:tcBorders>
            <w:shd w:val="clear" w:color="auto" w:fill="FFFFFF"/>
          </w:tcPr>
          <w:p w14:paraId="155AC4D5" w14:textId="77777777" w:rsidR="00C810B3" w:rsidRPr="00711B22" w:rsidRDefault="00C810B3" w:rsidP="007B4EA3">
            <w:pPr>
              <w:pStyle w:val="Table"/>
            </w:pPr>
            <w:r w:rsidRPr="00711B22">
              <w:t>No</w:t>
            </w:r>
          </w:p>
        </w:tc>
        <w:tc>
          <w:tcPr>
            <w:tcW w:w="754" w:type="dxa"/>
            <w:tcBorders>
              <w:top w:val="nil"/>
              <w:left w:val="nil"/>
              <w:bottom w:val="nil"/>
              <w:right w:val="nil"/>
            </w:tcBorders>
            <w:shd w:val="clear" w:color="auto" w:fill="FFFFFF"/>
          </w:tcPr>
          <w:p w14:paraId="563DE057" w14:textId="77777777" w:rsidR="00C810B3" w:rsidRPr="00711B22" w:rsidRDefault="00C810B3" w:rsidP="007B4EA3">
            <w:pPr>
              <w:pStyle w:val="Table"/>
            </w:pPr>
            <w:r w:rsidRPr="00711B22">
              <w:t>54</w:t>
            </w:r>
          </w:p>
        </w:tc>
        <w:tc>
          <w:tcPr>
            <w:tcW w:w="1459" w:type="dxa"/>
            <w:tcBorders>
              <w:top w:val="nil"/>
              <w:left w:val="nil"/>
              <w:bottom w:val="nil"/>
              <w:right w:val="nil"/>
            </w:tcBorders>
            <w:shd w:val="clear" w:color="auto" w:fill="FFFFFF"/>
          </w:tcPr>
          <w:p w14:paraId="1ED455F4" w14:textId="77777777" w:rsidR="00C810B3" w:rsidRPr="00711B22" w:rsidRDefault="00C810B3" w:rsidP="0097238C">
            <w:pPr>
              <w:pStyle w:val="Table"/>
              <w:jc w:val="center"/>
            </w:pPr>
            <w:r w:rsidRPr="00711B22">
              <w:t>16.2%</w:t>
            </w:r>
          </w:p>
        </w:tc>
        <w:tc>
          <w:tcPr>
            <w:tcW w:w="1053" w:type="dxa"/>
            <w:tcBorders>
              <w:top w:val="nil"/>
              <w:left w:val="nil"/>
              <w:bottom w:val="nil"/>
              <w:right w:val="nil"/>
            </w:tcBorders>
            <w:shd w:val="clear" w:color="auto" w:fill="FFFFFF"/>
          </w:tcPr>
          <w:p w14:paraId="52F23E24" w14:textId="77777777" w:rsidR="00C810B3" w:rsidRPr="00711B22" w:rsidRDefault="00C810B3" w:rsidP="00D4172F">
            <w:pPr>
              <w:pStyle w:val="Table"/>
              <w:ind w:right="347"/>
              <w:jc w:val="right"/>
            </w:pPr>
            <w:r w:rsidRPr="00711B22">
              <w:t>442</w:t>
            </w:r>
          </w:p>
        </w:tc>
        <w:tc>
          <w:tcPr>
            <w:tcW w:w="1080" w:type="dxa"/>
            <w:tcBorders>
              <w:top w:val="nil"/>
              <w:left w:val="nil"/>
              <w:bottom w:val="nil"/>
              <w:right w:val="nil"/>
            </w:tcBorders>
            <w:shd w:val="clear" w:color="auto" w:fill="FFFFFF"/>
          </w:tcPr>
          <w:p w14:paraId="3246D660" w14:textId="77777777" w:rsidR="00C810B3" w:rsidRPr="00711B22" w:rsidRDefault="00C810B3" w:rsidP="0097238C">
            <w:pPr>
              <w:pStyle w:val="Table"/>
              <w:jc w:val="center"/>
            </w:pPr>
            <w:r w:rsidRPr="00711B22">
              <w:t>8.5%</w:t>
            </w:r>
          </w:p>
        </w:tc>
        <w:tc>
          <w:tcPr>
            <w:tcW w:w="1080" w:type="dxa"/>
            <w:tcBorders>
              <w:top w:val="nil"/>
              <w:left w:val="nil"/>
              <w:bottom w:val="nil"/>
              <w:right w:val="nil"/>
            </w:tcBorders>
            <w:shd w:val="clear" w:color="auto" w:fill="FFFFFF"/>
          </w:tcPr>
          <w:p w14:paraId="629AFEE9" w14:textId="77777777" w:rsidR="00C810B3" w:rsidRPr="00711B22" w:rsidRDefault="00C810B3" w:rsidP="0097238C">
            <w:pPr>
              <w:pStyle w:val="Table"/>
              <w:jc w:val="center"/>
            </w:pPr>
            <w:r w:rsidRPr="00711B22">
              <w:t>1.9</w:t>
            </w:r>
          </w:p>
        </w:tc>
      </w:tr>
      <w:tr w:rsidR="00C810B3" w:rsidRPr="00711B22" w14:paraId="025425B8" w14:textId="77777777" w:rsidTr="0097238C">
        <w:trPr>
          <w:gridAfter w:val="1"/>
          <w:wAfter w:w="14" w:type="dxa"/>
          <w:trHeight w:hRule="exact" w:val="360"/>
        </w:trPr>
        <w:tc>
          <w:tcPr>
            <w:tcW w:w="1260" w:type="dxa"/>
            <w:tcBorders>
              <w:top w:val="nil"/>
              <w:left w:val="nil"/>
              <w:bottom w:val="nil"/>
              <w:right w:val="nil"/>
            </w:tcBorders>
            <w:shd w:val="clear" w:color="auto" w:fill="FFFFFF"/>
          </w:tcPr>
          <w:p w14:paraId="6D8CAB6F" w14:textId="77777777" w:rsidR="00C810B3" w:rsidRPr="00711B22" w:rsidRDefault="00C810B3" w:rsidP="007B4EA3">
            <w:pPr>
              <w:pStyle w:val="Table"/>
            </w:pPr>
            <w:r w:rsidRPr="00711B22">
              <w:t>No</w:t>
            </w:r>
          </w:p>
        </w:tc>
        <w:tc>
          <w:tcPr>
            <w:tcW w:w="770" w:type="dxa"/>
            <w:tcBorders>
              <w:top w:val="nil"/>
              <w:left w:val="nil"/>
              <w:bottom w:val="nil"/>
              <w:right w:val="nil"/>
            </w:tcBorders>
            <w:shd w:val="clear" w:color="auto" w:fill="FFFFFF"/>
          </w:tcPr>
          <w:p w14:paraId="4899A49B" w14:textId="77777777" w:rsidR="00C810B3" w:rsidRPr="00711B22" w:rsidRDefault="00C810B3" w:rsidP="007B4EA3">
            <w:pPr>
              <w:pStyle w:val="Table"/>
            </w:pPr>
            <w:r w:rsidRPr="00711B22">
              <w:t>Yes</w:t>
            </w:r>
          </w:p>
        </w:tc>
        <w:tc>
          <w:tcPr>
            <w:tcW w:w="754" w:type="dxa"/>
            <w:tcBorders>
              <w:top w:val="nil"/>
              <w:left w:val="nil"/>
              <w:bottom w:val="nil"/>
              <w:right w:val="nil"/>
            </w:tcBorders>
            <w:shd w:val="clear" w:color="auto" w:fill="FFFFFF"/>
          </w:tcPr>
          <w:p w14:paraId="494C9BB6" w14:textId="77777777" w:rsidR="00C810B3" w:rsidRPr="00711B22" w:rsidRDefault="00C810B3" w:rsidP="007B4EA3">
            <w:pPr>
              <w:pStyle w:val="Table"/>
            </w:pPr>
            <w:r w:rsidRPr="00711B22">
              <w:t>71</w:t>
            </w:r>
          </w:p>
        </w:tc>
        <w:tc>
          <w:tcPr>
            <w:tcW w:w="1459" w:type="dxa"/>
            <w:tcBorders>
              <w:top w:val="nil"/>
              <w:left w:val="nil"/>
              <w:bottom w:val="nil"/>
              <w:right w:val="nil"/>
            </w:tcBorders>
            <w:shd w:val="clear" w:color="auto" w:fill="FFFFFF"/>
          </w:tcPr>
          <w:p w14:paraId="1AFE60F2" w14:textId="77777777" w:rsidR="00C810B3" w:rsidRPr="00711B22" w:rsidRDefault="00C810B3" w:rsidP="0097238C">
            <w:pPr>
              <w:pStyle w:val="Table"/>
              <w:jc w:val="center"/>
            </w:pPr>
            <w:r w:rsidRPr="00711B22">
              <w:t>21.3%</w:t>
            </w:r>
          </w:p>
        </w:tc>
        <w:tc>
          <w:tcPr>
            <w:tcW w:w="1053" w:type="dxa"/>
            <w:tcBorders>
              <w:top w:val="nil"/>
              <w:left w:val="nil"/>
              <w:bottom w:val="nil"/>
              <w:right w:val="nil"/>
            </w:tcBorders>
            <w:shd w:val="clear" w:color="auto" w:fill="FFFFFF"/>
          </w:tcPr>
          <w:p w14:paraId="2BD9F6DC" w14:textId="77777777" w:rsidR="00C810B3" w:rsidRPr="00711B22" w:rsidRDefault="00C810B3" w:rsidP="00D4172F">
            <w:pPr>
              <w:pStyle w:val="Table"/>
              <w:ind w:right="347"/>
              <w:jc w:val="right"/>
            </w:pPr>
            <w:r w:rsidRPr="00711B22">
              <w:t>93</w:t>
            </w:r>
          </w:p>
        </w:tc>
        <w:tc>
          <w:tcPr>
            <w:tcW w:w="1080" w:type="dxa"/>
            <w:tcBorders>
              <w:top w:val="nil"/>
              <w:left w:val="nil"/>
              <w:bottom w:val="nil"/>
              <w:right w:val="nil"/>
            </w:tcBorders>
            <w:shd w:val="clear" w:color="auto" w:fill="FFFFFF"/>
          </w:tcPr>
          <w:p w14:paraId="63E032AE" w14:textId="77777777" w:rsidR="00C810B3" w:rsidRPr="00711B22" w:rsidRDefault="00C810B3" w:rsidP="0097238C">
            <w:pPr>
              <w:pStyle w:val="Table"/>
              <w:jc w:val="center"/>
            </w:pPr>
            <w:r w:rsidRPr="00711B22">
              <w:t>1.8%</w:t>
            </w:r>
          </w:p>
        </w:tc>
        <w:tc>
          <w:tcPr>
            <w:tcW w:w="1080" w:type="dxa"/>
            <w:tcBorders>
              <w:top w:val="nil"/>
              <w:left w:val="nil"/>
              <w:bottom w:val="nil"/>
              <w:right w:val="nil"/>
            </w:tcBorders>
            <w:shd w:val="clear" w:color="auto" w:fill="FFFFFF"/>
          </w:tcPr>
          <w:p w14:paraId="2B053878" w14:textId="77777777" w:rsidR="00C810B3" w:rsidRPr="00711B22" w:rsidRDefault="00C810B3" w:rsidP="0097238C">
            <w:pPr>
              <w:pStyle w:val="Table"/>
              <w:jc w:val="center"/>
            </w:pPr>
            <w:r w:rsidRPr="00711B22">
              <w:t>12</w:t>
            </w:r>
          </w:p>
        </w:tc>
      </w:tr>
      <w:tr w:rsidR="00C810B3" w:rsidRPr="00711B22" w14:paraId="6D66476E" w14:textId="77777777" w:rsidTr="0097238C">
        <w:trPr>
          <w:gridAfter w:val="1"/>
          <w:wAfter w:w="14" w:type="dxa"/>
          <w:trHeight w:hRule="exact" w:val="720"/>
        </w:trPr>
        <w:tc>
          <w:tcPr>
            <w:tcW w:w="1260" w:type="dxa"/>
            <w:tcBorders>
              <w:top w:val="nil"/>
              <w:left w:val="nil"/>
              <w:bottom w:val="nil"/>
              <w:right w:val="nil"/>
            </w:tcBorders>
            <w:shd w:val="clear" w:color="auto" w:fill="FFFFFF"/>
          </w:tcPr>
          <w:p w14:paraId="7137BA50" w14:textId="77777777" w:rsidR="00C810B3" w:rsidRPr="00711B22" w:rsidRDefault="00C810B3" w:rsidP="007B4EA3">
            <w:pPr>
              <w:pStyle w:val="Table"/>
            </w:pPr>
            <w:r w:rsidRPr="00711B22">
              <w:t>No</w:t>
            </w:r>
          </w:p>
        </w:tc>
        <w:tc>
          <w:tcPr>
            <w:tcW w:w="770" w:type="dxa"/>
            <w:tcBorders>
              <w:top w:val="nil"/>
              <w:left w:val="nil"/>
              <w:bottom w:val="nil"/>
              <w:right w:val="nil"/>
            </w:tcBorders>
            <w:shd w:val="clear" w:color="auto" w:fill="FFFFFF"/>
          </w:tcPr>
          <w:p w14:paraId="01F3914B" w14:textId="77777777" w:rsidR="00C810B3" w:rsidRPr="00711B22" w:rsidRDefault="00C810B3" w:rsidP="007B4EA3">
            <w:pPr>
              <w:pStyle w:val="Table"/>
            </w:pPr>
            <w:r w:rsidRPr="00711B22">
              <w:t>No</w:t>
            </w:r>
          </w:p>
        </w:tc>
        <w:tc>
          <w:tcPr>
            <w:tcW w:w="754" w:type="dxa"/>
            <w:tcBorders>
              <w:top w:val="nil"/>
              <w:left w:val="nil"/>
              <w:bottom w:val="nil"/>
              <w:right w:val="nil"/>
            </w:tcBorders>
            <w:shd w:val="clear" w:color="auto" w:fill="FFFFFF"/>
          </w:tcPr>
          <w:p w14:paraId="7819A8F5" w14:textId="77777777" w:rsidR="00C810B3" w:rsidRPr="00711B22" w:rsidRDefault="00C810B3" w:rsidP="007B4EA3">
            <w:pPr>
              <w:pStyle w:val="Table"/>
            </w:pPr>
            <w:r w:rsidRPr="00711B22">
              <w:t>50</w:t>
            </w:r>
          </w:p>
        </w:tc>
        <w:tc>
          <w:tcPr>
            <w:tcW w:w="1459" w:type="dxa"/>
            <w:tcBorders>
              <w:top w:val="nil"/>
              <w:left w:val="nil"/>
              <w:bottom w:val="nil"/>
              <w:right w:val="nil"/>
            </w:tcBorders>
            <w:shd w:val="clear" w:color="auto" w:fill="FFFFFF"/>
          </w:tcPr>
          <w:p w14:paraId="0B73C07C" w14:textId="77777777" w:rsidR="00C810B3" w:rsidRPr="00711B22" w:rsidRDefault="00C810B3" w:rsidP="0097238C">
            <w:pPr>
              <w:pStyle w:val="Table"/>
              <w:jc w:val="center"/>
            </w:pPr>
            <w:r w:rsidRPr="00711B22">
              <w:t>15.0%</w:t>
            </w:r>
          </w:p>
        </w:tc>
        <w:tc>
          <w:tcPr>
            <w:tcW w:w="1053" w:type="dxa"/>
            <w:tcBorders>
              <w:top w:val="nil"/>
              <w:left w:val="nil"/>
              <w:bottom w:val="nil"/>
              <w:right w:val="nil"/>
            </w:tcBorders>
            <w:shd w:val="clear" w:color="auto" w:fill="FFFFFF"/>
          </w:tcPr>
          <w:p w14:paraId="72AC1ACD" w14:textId="77777777" w:rsidR="00C810B3" w:rsidRPr="00711B22" w:rsidRDefault="00C810B3" w:rsidP="00D4172F">
            <w:pPr>
              <w:pStyle w:val="Table"/>
              <w:ind w:right="347"/>
              <w:jc w:val="right"/>
            </w:pPr>
            <w:r w:rsidRPr="00711B22">
              <w:t>4652</w:t>
            </w:r>
          </w:p>
        </w:tc>
        <w:tc>
          <w:tcPr>
            <w:tcW w:w="1080" w:type="dxa"/>
            <w:tcBorders>
              <w:top w:val="nil"/>
              <w:left w:val="nil"/>
              <w:bottom w:val="nil"/>
              <w:right w:val="nil"/>
            </w:tcBorders>
            <w:shd w:val="clear" w:color="auto" w:fill="FFFFFF"/>
          </w:tcPr>
          <w:p w14:paraId="4F8D2ECC" w14:textId="77777777" w:rsidR="00C810B3" w:rsidRPr="00711B22" w:rsidRDefault="00C810B3" w:rsidP="0097238C">
            <w:pPr>
              <w:pStyle w:val="Table"/>
              <w:jc w:val="center"/>
            </w:pPr>
            <w:r w:rsidRPr="00711B22">
              <w:t>89.1%</w:t>
            </w:r>
          </w:p>
        </w:tc>
        <w:tc>
          <w:tcPr>
            <w:tcW w:w="1080" w:type="dxa"/>
            <w:tcBorders>
              <w:top w:val="nil"/>
              <w:left w:val="nil"/>
              <w:bottom w:val="nil"/>
              <w:right w:val="nil"/>
            </w:tcBorders>
            <w:shd w:val="clear" w:color="auto" w:fill="FFFFFF"/>
          </w:tcPr>
          <w:p w14:paraId="7649198E" w14:textId="77777777" w:rsidR="00C810B3" w:rsidRPr="00711B22" w:rsidRDefault="00C810B3" w:rsidP="0097238C">
            <w:pPr>
              <w:pStyle w:val="Table"/>
              <w:jc w:val="center"/>
            </w:pPr>
            <w:r w:rsidRPr="00711B22">
              <w:t>0.2</w:t>
            </w:r>
          </w:p>
        </w:tc>
      </w:tr>
      <w:tr w:rsidR="00C810B3" w:rsidRPr="00711B22" w14:paraId="43B7D515" w14:textId="77777777" w:rsidTr="0097238C">
        <w:trPr>
          <w:gridAfter w:val="1"/>
          <w:wAfter w:w="14" w:type="dxa"/>
          <w:trHeight w:hRule="exact" w:val="360"/>
        </w:trPr>
        <w:tc>
          <w:tcPr>
            <w:tcW w:w="1260" w:type="dxa"/>
            <w:tcBorders>
              <w:top w:val="nil"/>
              <w:left w:val="nil"/>
              <w:bottom w:val="single" w:sz="4" w:space="0" w:color="auto"/>
              <w:right w:val="nil"/>
            </w:tcBorders>
            <w:shd w:val="clear" w:color="auto" w:fill="FFFFFF"/>
          </w:tcPr>
          <w:p w14:paraId="07CF4811" w14:textId="77777777" w:rsidR="00C810B3" w:rsidRPr="00711B22" w:rsidRDefault="00C810B3" w:rsidP="007B4EA3">
            <w:pPr>
              <w:pStyle w:val="Table"/>
            </w:pPr>
            <w:r w:rsidRPr="00711B22">
              <w:rPr>
                <w:b/>
                <w:bCs/>
                <w:color w:val="000000"/>
              </w:rPr>
              <w:t>Total</w:t>
            </w:r>
          </w:p>
        </w:tc>
        <w:tc>
          <w:tcPr>
            <w:tcW w:w="770" w:type="dxa"/>
            <w:tcBorders>
              <w:top w:val="nil"/>
              <w:left w:val="nil"/>
              <w:bottom w:val="single" w:sz="4" w:space="0" w:color="auto"/>
              <w:right w:val="nil"/>
            </w:tcBorders>
            <w:shd w:val="clear" w:color="auto" w:fill="FFFFFF"/>
          </w:tcPr>
          <w:p w14:paraId="360C6674" w14:textId="77777777" w:rsidR="00C810B3" w:rsidRPr="00711B22" w:rsidRDefault="00C810B3" w:rsidP="007B4EA3">
            <w:pPr>
              <w:pStyle w:val="Table"/>
            </w:pPr>
          </w:p>
        </w:tc>
        <w:tc>
          <w:tcPr>
            <w:tcW w:w="754" w:type="dxa"/>
            <w:tcBorders>
              <w:top w:val="nil"/>
              <w:left w:val="nil"/>
              <w:bottom w:val="single" w:sz="4" w:space="0" w:color="auto"/>
              <w:right w:val="nil"/>
            </w:tcBorders>
            <w:shd w:val="clear" w:color="auto" w:fill="FFFFFF"/>
          </w:tcPr>
          <w:p w14:paraId="14C34569" w14:textId="77777777" w:rsidR="00C810B3" w:rsidRPr="00711B22" w:rsidRDefault="00C810B3" w:rsidP="007B4EA3">
            <w:pPr>
              <w:pStyle w:val="Table"/>
            </w:pPr>
            <w:r w:rsidRPr="00711B22">
              <w:rPr>
                <w:b/>
                <w:bCs/>
                <w:color w:val="000000"/>
              </w:rPr>
              <w:t>333</w:t>
            </w:r>
          </w:p>
        </w:tc>
        <w:tc>
          <w:tcPr>
            <w:tcW w:w="1459" w:type="dxa"/>
            <w:tcBorders>
              <w:top w:val="nil"/>
              <w:left w:val="nil"/>
              <w:bottom w:val="single" w:sz="4" w:space="0" w:color="auto"/>
              <w:right w:val="nil"/>
            </w:tcBorders>
            <w:shd w:val="clear" w:color="auto" w:fill="FFFFFF"/>
          </w:tcPr>
          <w:p w14:paraId="224A9BBF" w14:textId="77777777" w:rsidR="00C810B3" w:rsidRPr="00711B22" w:rsidRDefault="00C810B3" w:rsidP="007B4EA3">
            <w:pPr>
              <w:pStyle w:val="Table"/>
            </w:pPr>
            <w:r w:rsidRPr="00711B22">
              <w:rPr>
                <w:b/>
                <w:bCs/>
                <w:color w:val="000000"/>
              </w:rPr>
              <w:t>100%</w:t>
            </w:r>
          </w:p>
        </w:tc>
        <w:tc>
          <w:tcPr>
            <w:tcW w:w="1053" w:type="dxa"/>
            <w:tcBorders>
              <w:top w:val="nil"/>
              <w:left w:val="nil"/>
              <w:bottom w:val="single" w:sz="4" w:space="0" w:color="auto"/>
              <w:right w:val="nil"/>
            </w:tcBorders>
            <w:shd w:val="clear" w:color="auto" w:fill="FFFFFF"/>
          </w:tcPr>
          <w:p w14:paraId="2345B69F" w14:textId="77777777" w:rsidR="00C810B3" w:rsidRPr="00711B22" w:rsidRDefault="00C810B3" w:rsidP="00D4172F">
            <w:pPr>
              <w:pStyle w:val="Table"/>
              <w:ind w:right="347"/>
              <w:jc w:val="right"/>
            </w:pPr>
            <w:r w:rsidRPr="00711B22">
              <w:rPr>
                <w:b/>
                <w:bCs/>
                <w:color w:val="000000"/>
              </w:rPr>
              <w:t>5223</w:t>
            </w:r>
          </w:p>
        </w:tc>
        <w:tc>
          <w:tcPr>
            <w:tcW w:w="1080" w:type="dxa"/>
            <w:tcBorders>
              <w:top w:val="nil"/>
              <w:left w:val="nil"/>
              <w:bottom w:val="single" w:sz="4" w:space="0" w:color="auto"/>
              <w:right w:val="nil"/>
            </w:tcBorders>
            <w:shd w:val="clear" w:color="auto" w:fill="FFFFFF"/>
          </w:tcPr>
          <w:p w14:paraId="447BA922" w14:textId="77777777" w:rsidR="00C810B3" w:rsidRPr="00711B22" w:rsidRDefault="00C810B3" w:rsidP="007B4EA3">
            <w:pPr>
              <w:pStyle w:val="Table"/>
            </w:pPr>
            <w:r w:rsidRPr="00711B22">
              <w:rPr>
                <w:b/>
                <w:bCs/>
                <w:color w:val="000000"/>
              </w:rPr>
              <w:t>100%</w:t>
            </w:r>
          </w:p>
        </w:tc>
        <w:tc>
          <w:tcPr>
            <w:tcW w:w="1080" w:type="dxa"/>
            <w:tcBorders>
              <w:top w:val="nil"/>
              <w:left w:val="nil"/>
              <w:bottom w:val="single" w:sz="4" w:space="0" w:color="auto"/>
              <w:right w:val="nil"/>
            </w:tcBorders>
            <w:shd w:val="clear" w:color="auto" w:fill="FFFFFF"/>
          </w:tcPr>
          <w:p w14:paraId="5714601B" w14:textId="77777777" w:rsidR="00C810B3" w:rsidRPr="00711B22" w:rsidRDefault="00C810B3" w:rsidP="007B4EA3">
            <w:pPr>
              <w:pStyle w:val="Table"/>
            </w:pPr>
          </w:p>
        </w:tc>
      </w:tr>
      <w:tr w:rsidR="00F0749C" w:rsidRPr="00711B22" w14:paraId="1F8D7FB0" w14:textId="77777777" w:rsidTr="0097238C">
        <w:trPr>
          <w:trHeight w:hRule="exact" w:val="350"/>
        </w:trPr>
        <w:tc>
          <w:tcPr>
            <w:tcW w:w="7470" w:type="dxa"/>
            <w:gridSpan w:val="8"/>
            <w:tcBorders>
              <w:top w:val="single" w:sz="4" w:space="0" w:color="auto"/>
              <w:left w:val="nil"/>
              <w:bottom w:val="nil"/>
              <w:right w:val="nil"/>
            </w:tcBorders>
            <w:shd w:val="clear" w:color="auto" w:fill="FFFFFF"/>
          </w:tcPr>
          <w:p w14:paraId="7E766855" w14:textId="3348D366" w:rsidR="00F0749C" w:rsidRPr="00711B22" w:rsidRDefault="00F0749C" w:rsidP="007B4EA3">
            <w:pPr>
              <w:pStyle w:val="Table"/>
            </w:pPr>
            <w:r w:rsidRPr="00B33B11">
              <w:rPr>
                <w:vertAlign w:val="superscript"/>
              </w:rPr>
              <w:t xml:space="preserve">a </w:t>
            </w:r>
            <w:r w:rsidRPr="00711B22">
              <w:t>Data from Cicero et al. (2004)</w:t>
            </w:r>
            <w:r w:rsidR="00DA779C">
              <w:fldChar w:fldCharType="begin"/>
            </w:r>
            <w:r w:rsidR="00DA779C">
              <w:instrText xml:space="preserve"> ADDIN EN.CITE &lt;EndNote&gt;&lt;Cite&gt;&lt;Author&gt;Cicero&lt;/Author&gt;&lt;Year&gt;2004&lt;/Year&gt;&lt;RecNum&gt;875&lt;/RecNum&gt;&lt;DisplayText&gt;[2]&lt;/DisplayText&gt;&lt;record&gt;&lt;rec-number&gt;875&lt;/rec-number&gt;&lt;foreign-keys&gt;&lt;key app="EN" db-id="0ftvff9p80fp5few5s05f5fw9rd9fefrdzer" timestamp="0"&gt;875&lt;/key&gt;&lt;/foreign-keys&gt;&lt;ref-type name="Journal Article"&gt;17&lt;/ref-type&gt;&lt;contributors&gt;&lt;authors&gt;&lt;author&gt;Cicero, S.&lt;/author&gt;&lt;author&gt;Rembouskos, G.&lt;/author&gt;&lt;author&gt;Vandecruys, H.&lt;/author&gt;&lt;author&gt;Hogg, M.&lt;/author&gt;&lt;author&gt;Nicolaides, K. H.&lt;/author&gt;&lt;/authors&gt;&lt;/contributors&gt;&lt;auth-address&gt;Harris Birthright Research Centre for Fetal Medicine, King&amp;apos;s College Hospital Medical School, London, UK.&lt;/auth-address&gt;&lt;titles&gt;&lt;title&gt;Likelihood ratio for trisomy 21 in fetuses with absent nasal bone at the 11-14-week scan&lt;/title&gt;&lt;secondary-title&gt;Ultrasound Obstet Gynecol&lt;/secondary-title&gt;&lt;/titles&gt;&lt;pages&gt;218-23&lt;/pages&gt;&lt;volume&gt;23&lt;/volume&gt;&lt;number&gt;3&lt;/number&gt;&lt;keywords&gt;&lt;keyword&gt;Adolescent&lt;/keyword&gt;&lt;keyword&gt;Adult&lt;/keyword&gt;&lt;keyword&gt;Chromosome Aberrations&lt;/keyword&gt;&lt;keyword&gt;Crown-Rump Length&lt;/keyword&gt;&lt;keyword&gt;Down Syndrome/ethnology/*ultrasonography&lt;/keyword&gt;&lt;keyword&gt;Female&lt;/keyword&gt;&lt;keyword&gt;Humans&lt;/keyword&gt;&lt;keyword&gt;Incidence&lt;/keyword&gt;&lt;keyword&gt;Karyotyping&lt;/keyword&gt;&lt;keyword&gt;Logistic Models&lt;/keyword&gt;&lt;keyword&gt;London/epidemiology&lt;/keyword&gt;&lt;keyword&gt;Mass Screening/methods&lt;/keyword&gt;&lt;keyword&gt;Middle Aged&lt;/keyword&gt;&lt;keyword&gt;Nasal Bone/abnormalities/*ultrasonography&lt;/keyword&gt;&lt;keyword&gt;Neck/ultrasonography&lt;/keyword&gt;&lt;keyword&gt;Pregnancy&lt;/keyword&gt;&lt;keyword&gt;Prospective Studies&lt;/keyword&gt;&lt;keyword&gt;Research Support, Non-U.S. Gov&amp;apos;t&lt;/keyword&gt;&lt;keyword&gt;Ultrasonography, Prenatal/*methods&lt;/keyword&gt;&lt;/keywords&gt;&lt;dates&gt;&lt;year&gt;2004&lt;/year&gt;&lt;pub-dates&gt;&lt;date&gt;Mar&lt;/date&gt;&lt;/pub-dates&gt;&lt;/dates&gt;&lt;accession-num&gt;15027007&lt;/accession-num&gt;&lt;urls&gt;&lt;related-urls&gt;&lt;url&gt;http://www.ncbi.nlm.nih.gov/entrez/query.fcgi?cmd=Retrieve&amp;amp;db=PubMed&amp;amp;dopt=Citation&amp;amp;list_uids=15027007 &lt;/url&gt;&lt;/related-urls&gt;&lt;/urls&gt;&lt;/record&gt;&lt;/Cite&gt;&lt;/EndNote&gt;</w:instrText>
            </w:r>
            <w:r w:rsidR="00DA779C">
              <w:fldChar w:fldCharType="separate"/>
            </w:r>
            <w:r w:rsidR="00DA779C">
              <w:rPr>
                <w:noProof/>
              </w:rPr>
              <w:t>[2]</w:t>
            </w:r>
            <w:r w:rsidR="00DA779C">
              <w:fldChar w:fldCharType="end"/>
            </w:r>
          </w:p>
        </w:tc>
      </w:tr>
    </w:tbl>
    <w:p w14:paraId="126851B1" w14:textId="55061EFF" w:rsidR="00E659EC" w:rsidRDefault="007E4D31" w:rsidP="00E659EC">
      <w:pPr>
        <w:pStyle w:val="NormalWeb"/>
      </w:pPr>
      <w:r w:rsidRPr="00711B22">
        <w:t>NBA</w:t>
      </w:r>
      <w:r w:rsidR="00181DF6" w:rsidRPr="00711B22">
        <w:t xml:space="preserve"> </w:t>
      </w:r>
      <w:r w:rsidRPr="00711B22">
        <w:t>does</w:t>
      </w:r>
      <w:r w:rsidR="00181DF6" w:rsidRPr="00711B22">
        <w:t xml:space="preserve"> </w:t>
      </w:r>
      <w:r w:rsidRPr="00711B22">
        <w:t>not</w:t>
      </w:r>
      <w:r w:rsidR="00181DF6" w:rsidRPr="00711B22">
        <w:t xml:space="preserve"> </w:t>
      </w:r>
      <w:r w:rsidRPr="00711B22">
        <w:t>tell</w:t>
      </w:r>
      <w:r w:rsidR="00181DF6" w:rsidRPr="00711B22">
        <w:t xml:space="preserve"> </w:t>
      </w:r>
      <w:r w:rsidRPr="00711B22">
        <w:t>you</w:t>
      </w:r>
      <w:r w:rsidR="00181DF6" w:rsidRPr="00711B22">
        <w:t xml:space="preserve"> </w:t>
      </w:r>
      <w:r w:rsidRPr="00711B22">
        <w:t>as</w:t>
      </w:r>
      <w:r w:rsidR="00181DF6" w:rsidRPr="00711B22">
        <w:t xml:space="preserve"> </w:t>
      </w:r>
      <w:r w:rsidRPr="00711B22">
        <w:t>much</w:t>
      </w:r>
      <w:r w:rsidR="00181DF6" w:rsidRPr="00711B22">
        <w:t xml:space="preserve"> </w:t>
      </w:r>
      <w:r w:rsidRPr="00711B22">
        <w:t>if</w:t>
      </w:r>
      <w:r w:rsidR="00181DF6" w:rsidRPr="00711B22">
        <w:t xml:space="preserve"> </w:t>
      </w:r>
      <w:r w:rsidRPr="00711B22">
        <w:t>you</w:t>
      </w:r>
      <w:r w:rsidR="00181DF6" w:rsidRPr="00711B22">
        <w:t xml:space="preserve"> </w:t>
      </w:r>
      <w:r w:rsidRPr="00711B22">
        <w:t>already</w:t>
      </w:r>
      <w:r w:rsidR="00181DF6" w:rsidRPr="00711B22">
        <w:t xml:space="preserve"> </w:t>
      </w:r>
      <w:r w:rsidRPr="00711B22">
        <w:t>know</w:t>
      </w:r>
      <w:r w:rsidR="00181DF6" w:rsidRPr="00711B22">
        <w:t xml:space="preserve"> </w:t>
      </w:r>
      <w:r w:rsidRPr="00711B22">
        <w:t>that</w:t>
      </w:r>
      <w:r w:rsidR="00181DF6" w:rsidRPr="00711B22">
        <w:t xml:space="preserve"> </w:t>
      </w:r>
      <w:r w:rsidRPr="00711B22">
        <w:t>the</w:t>
      </w:r>
      <w:r w:rsidR="00181DF6" w:rsidRPr="00711B22">
        <w:t xml:space="preserve"> </w:t>
      </w:r>
      <w:r w:rsidRPr="00711B22">
        <w:t>NT</w:t>
      </w:r>
      <w:r w:rsidR="00CC699F" w:rsidRPr="00711B22">
        <w:t xml:space="preserve"> </w:t>
      </w:r>
      <w:r w:rsidRPr="00711B22">
        <w:t xml:space="preserve">is ≥3.5 mm. Even in chromosomally normal fetuses, </w:t>
      </w:r>
      <w:r w:rsidR="003C015C">
        <w:t>greater</w:t>
      </w:r>
      <w:r w:rsidR="003C015C" w:rsidRPr="00711B22">
        <w:t xml:space="preserve"> </w:t>
      </w:r>
      <w:r w:rsidRPr="00711B22">
        <w:t>NT is associated with NBA. Of normal (D−) fetuses with a negative NT (</w:t>
      </w:r>
      <w:r w:rsidRPr="00711B22">
        <w:rPr>
          <w:i/>
        </w:rPr>
        <w:t>&lt;</w:t>
      </w:r>
      <w:r w:rsidRPr="00711B22">
        <w:t xml:space="preserve">3.5 mm), only 2.0% had NBA. Of normal (D−) fetuses with a positive NT (≥3.5 mm), 7.5% had NBA. A false-positive NT makes a false positive </w:t>
      </w:r>
      <w:r w:rsidR="003C015C">
        <w:t>NBA</w:t>
      </w:r>
      <w:r w:rsidRPr="00711B22">
        <w:t xml:space="preserve"> more likely. Ontologically, narrowing of the nuchal stripe and ossi</w:t>
      </w:r>
      <w:r w:rsidR="00191BDE" w:rsidRPr="00711B22">
        <w:t>fi</w:t>
      </w:r>
      <w:r w:rsidRPr="00711B22">
        <w:t>cation of the nasal bone both occur as the fetus develops.</w:t>
      </w:r>
      <w:r w:rsidR="008A2D62" w:rsidRPr="00711B22">
        <w:t xml:space="preserve"> Some chromosomally normal fetuses </w:t>
      </w:r>
      <w:r w:rsidR="00263A8B">
        <w:t>may</w:t>
      </w:r>
      <w:r w:rsidR="00263A8B" w:rsidRPr="00711B22">
        <w:t xml:space="preserve"> </w:t>
      </w:r>
      <w:r w:rsidR="008A2D62" w:rsidRPr="00711B22">
        <w:t>develop more slowly than usual,</w:t>
      </w:r>
      <w:r w:rsidR="00263A8B">
        <w:t xml:space="preserve"> or the</w:t>
      </w:r>
      <w:r w:rsidR="0037209E">
        <w:t>ir</w:t>
      </w:r>
      <w:r w:rsidR="00263A8B">
        <w:t xml:space="preserve"> </w:t>
      </w:r>
      <w:r w:rsidR="00B92D8E">
        <w:t>estimated gestational age may be too high</w:t>
      </w:r>
      <w:r w:rsidR="008A2D62" w:rsidRPr="00711B22">
        <w:t xml:space="preserve"> resulting in both a </w:t>
      </w:r>
      <w:r w:rsidR="00B92D8E">
        <w:t>false-</w:t>
      </w:r>
      <w:r w:rsidR="008A2D62" w:rsidRPr="00711B22">
        <w:t>positive NT and</w:t>
      </w:r>
      <w:r w:rsidR="00B92D8E">
        <w:t xml:space="preserve"> a false-positive</w:t>
      </w:r>
      <w:r w:rsidR="008A2D62" w:rsidRPr="00711B22">
        <w:t xml:space="preserve"> NBA.</w:t>
      </w:r>
    </w:p>
    <w:p w14:paraId="4712A31B" w14:textId="77777777" w:rsidR="002F5778" w:rsidRPr="00711B22" w:rsidRDefault="00EC4FCA" w:rsidP="00E659EC">
      <w:pPr>
        <w:pStyle w:val="NormalWeb"/>
      </w:pPr>
      <w:r>
        <w:rPr>
          <w:noProof/>
        </w:rPr>
        <w:lastRenderedPageBreak/>
        <w:drawing>
          <wp:inline distT="0" distB="0" distL="0" distR="0" wp14:anchorId="7DE587EA" wp14:editId="699C0F52">
            <wp:extent cx="5486400" cy="1936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3.png"/>
                    <pic:cNvPicPr/>
                  </pic:nvPicPr>
                  <pic:blipFill>
                    <a:blip r:embed="rId9"/>
                    <a:stretch>
                      <a:fillRect/>
                    </a:stretch>
                  </pic:blipFill>
                  <pic:spPr>
                    <a:xfrm>
                      <a:off x="0" y="0"/>
                      <a:ext cx="5486400" cy="1936750"/>
                    </a:xfrm>
                    <a:prstGeom prst="rect">
                      <a:avLst/>
                    </a:prstGeom>
                  </pic:spPr>
                </pic:pic>
              </a:graphicData>
            </a:graphic>
          </wp:inline>
        </w:drawing>
      </w:r>
    </w:p>
    <w:p w14:paraId="3108184E" w14:textId="2E1CAE01" w:rsidR="000150AA" w:rsidRDefault="002664C8" w:rsidP="000150AA">
      <w:pPr>
        <w:pStyle w:val="NormalWeb"/>
      </w:pPr>
      <w:r>
        <w:rPr>
          <w:highlight w:val="yellow"/>
        </w:rPr>
        <w:t>Figure 7.2</w:t>
      </w:r>
      <w:r w:rsidR="007E4D31" w:rsidRPr="00711B22">
        <w:t xml:space="preserve"> If the NT and nasal bone exams are independent, the LR of a combined positive result is the product of the LRs for a positive result on each test. On the log scale, multiplying LRs is the same as laying their arrows end-to-end.</w:t>
      </w:r>
    </w:p>
    <w:p w14:paraId="1E99257B" w14:textId="77777777" w:rsidR="000D575B" w:rsidRPr="00711B22" w:rsidRDefault="000D575B" w:rsidP="000150AA">
      <w:pPr>
        <w:pStyle w:val="NormalWeb"/>
      </w:pPr>
      <w:r>
        <w:rPr>
          <w:noProof/>
        </w:rPr>
        <w:drawing>
          <wp:inline distT="0" distB="0" distL="0" distR="0" wp14:anchorId="2304AB9C" wp14:editId="05384BF4">
            <wp:extent cx="5486400" cy="2186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7.4.png"/>
                    <pic:cNvPicPr/>
                  </pic:nvPicPr>
                  <pic:blipFill>
                    <a:blip r:embed="rId10"/>
                    <a:stretch>
                      <a:fillRect/>
                    </a:stretch>
                  </pic:blipFill>
                  <pic:spPr>
                    <a:xfrm>
                      <a:off x="0" y="0"/>
                      <a:ext cx="5486400" cy="2186940"/>
                    </a:xfrm>
                    <a:prstGeom prst="rect">
                      <a:avLst/>
                    </a:prstGeom>
                  </pic:spPr>
                </pic:pic>
              </a:graphicData>
            </a:graphic>
          </wp:inline>
        </w:drawing>
      </w:r>
    </w:p>
    <w:p w14:paraId="743F9B8C" w14:textId="13E4D95E" w:rsidR="00374DC2" w:rsidRDefault="002664C8" w:rsidP="001C39CC">
      <w:pPr>
        <w:pStyle w:val="NormalWeb"/>
      </w:pPr>
      <w:r>
        <w:rPr>
          <w:highlight w:val="yellow"/>
        </w:rPr>
        <w:t>Figure 7.3</w:t>
      </w:r>
      <w:r w:rsidR="007E4D31" w:rsidRPr="00711B22">
        <w:t xml:space="preserve"> The LR associated with the combination of NT ≥3.5 mm (NT+) and NBA is less </w:t>
      </w:r>
      <w:r w:rsidR="00374DC2" w:rsidRPr="00711B22">
        <w:t>than the product of the LR for each result individually.</w:t>
      </w:r>
      <w:r w:rsidR="000C48DA">
        <w:t xml:space="preserve"> </w:t>
      </w:r>
    </w:p>
    <w:p w14:paraId="473F4F15" w14:textId="77777777" w:rsidR="00374DC2" w:rsidRDefault="00374DC2" w:rsidP="001C39CC">
      <w:pPr>
        <w:pStyle w:val="NormalWeb"/>
      </w:pPr>
    </w:p>
    <w:p w14:paraId="62C9B0F8" w14:textId="77777777" w:rsidR="003951CB" w:rsidRPr="00711B22" w:rsidRDefault="007E4D31" w:rsidP="00DC4B23">
      <w:pPr>
        <w:pStyle w:val="Heading2"/>
      </w:pPr>
      <w:r w:rsidRPr="00711B22">
        <w:t>Combining the result</w:t>
      </w:r>
      <w:r w:rsidR="00A603DC" w:rsidRPr="00711B22">
        <w:t>s of multiple dichotomous tests</w:t>
      </w:r>
    </w:p>
    <w:p w14:paraId="6E96F9D9" w14:textId="419D94E2" w:rsidR="003951CB" w:rsidRPr="00711B22" w:rsidRDefault="007E4D31" w:rsidP="00A603DC">
      <w:pPr>
        <w:pStyle w:val="NormalWeb"/>
      </w:pPr>
      <w:r w:rsidRPr="00711B22">
        <w:t xml:space="preserve">We have demonstrated one way to handle the results of multiple tests: gather data </w:t>
      </w:r>
      <w:r w:rsidR="003C015C">
        <w:t>to estimate</w:t>
      </w:r>
      <w:r w:rsidR="003C015C" w:rsidRPr="00711B22">
        <w:t xml:space="preserve"> </w:t>
      </w:r>
      <w:r w:rsidRPr="00711B22">
        <w:t>the LR for each possible combination of test results. For two dichotomous tests,</w:t>
      </w:r>
      <w:r w:rsidR="00A603DC" w:rsidRPr="00711B22">
        <w:t xml:space="preserve"> </w:t>
      </w:r>
      <w:r w:rsidRPr="00711B22">
        <w:t>as in our example above, there are four possible results (+/+, +/−, −/+,</w:t>
      </w:r>
      <w:r w:rsidR="00830BA4" w:rsidRPr="00711B22">
        <w:t xml:space="preserve"> </w:t>
      </w:r>
      <w:r w:rsidRPr="00711B22">
        <w:t>and −/−). For three such tests, there are eight</w:t>
      </w:r>
      <w:r w:rsidR="00A603DC" w:rsidRPr="00711B22">
        <w:t xml:space="preserve"> </w:t>
      </w:r>
      <w:r w:rsidRPr="00711B22">
        <w:t>possible results; for four tests, sixteen results; and so on. Even with large samples, you might not have enough data to calculate LRs for the uncommon result combinations.</w:t>
      </w:r>
    </w:p>
    <w:p w14:paraId="30FBFF48" w14:textId="73F08B9B" w:rsidR="003951CB" w:rsidRPr="00711B22" w:rsidRDefault="007E4D31" w:rsidP="00A603DC">
      <w:pPr>
        <w:pStyle w:val="NormalWeb"/>
      </w:pPr>
      <w:r w:rsidRPr="00711B22">
        <w:lastRenderedPageBreak/>
        <w:t xml:space="preserve">Another approach is to lump together all discordant results, calculating one LR for this category, while calculating separate LRs for the concordant results (all positive or all negative). In the case of two dichotomous tests, there would be an LR for </w:t>
      </w:r>
      <w:r w:rsidR="003E0F94" w:rsidRPr="00711B22">
        <w:t>“</w:t>
      </w:r>
      <w:r w:rsidRPr="00711B22">
        <w:t>positive–positive (+/+),</w:t>
      </w:r>
      <w:r w:rsidR="003E0F94" w:rsidRPr="00711B22">
        <w:t>”</w:t>
      </w:r>
      <w:r w:rsidRPr="00711B22">
        <w:t xml:space="preserve"> </w:t>
      </w:r>
      <w:r w:rsidR="003E0F94" w:rsidRPr="00711B22">
        <w:t>“</w:t>
      </w:r>
      <w:r w:rsidRPr="00711B22">
        <w:t>negative–negative (−/−),</w:t>
      </w:r>
      <w:r w:rsidR="003E0F94" w:rsidRPr="00711B22">
        <w:t>”</w:t>
      </w:r>
      <w:r w:rsidRPr="00711B22">
        <w:t xml:space="preserve"> and </w:t>
      </w:r>
      <w:r w:rsidR="003E0F94" w:rsidRPr="00711B22">
        <w:t>“</w:t>
      </w:r>
      <w:r w:rsidRPr="00711B22">
        <w:t>discordant (+/− or −/+).</w:t>
      </w:r>
      <w:r w:rsidR="003E0F94" w:rsidRPr="00711B22">
        <w:t>”</w:t>
      </w:r>
      <w:r w:rsidRPr="00711B22">
        <w:t xml:space="preserve"> However, we saw in Chapter </w:t>
      </w:r>
      <w:r w:rsidR="006363C8">
        <w:t>2</w:t>
      </w:r>
      <w:r w:rsidRPr="00711B22">
        <w:t xml:space="preserve"> that some tests are much more </w:t>
      </w:r>
      <w:r w:rsidR="001F6793">
        <w:t>informative</w:t>
      </w:r>
      <w:r w:rsidRPr="00711B22">
        <w:t xml:space="preserve"> when they are positive than when negative, or vice versa. A pathognomonic </w:t>
      </w:r>
      <w:r w:rsidR="00191BDE" w:rsidRPr="00711B22">
        <w:t>fi</w:t>
      </w:r>
      <w:r w:rsidRPr="00711B22">
        <w:t>nding (speci</w:t>
      </w:r>
      <w:r w:rsidR="00191BDE" w:rsidRPr="00711B22">
        <w:t>fi</w:t>
      </w:r>
      <w:r w:rsidRPr="00711B22">
        <w:t xml:space="preserve">city = 100%) should rule in disease when positive, regardless of other test results. Thus, if the pathognomonic </w:t>
      </w:r>
      <w:r w:rsidR="00191BDE" w:rsidRPr="00711B22">
        <w:t>fi</w:t>
      </w:r>
      <w:r w:rsidRPr="00711B22">
        <w:t xml:space="preserve">nding is present and all the other tests are negative, it does not make sense to lump this together with other discordant results. Also, a single category for </w:t>
      </w:r>
      <w:r w:rsidR="003E0F94" w:rsidRPr="00711B22">
        <w:t>“</w:t>
      </w:r>
      <w:r w:rsidRPr="00711B22">
        <w:t>discordant results</w:t>
      </w:r>
      <w:r w:rsidR="003E0F94" w:rsidRPr="00711B22">
        <w:t>”</w:t>
      </w:r>
      <w:r w:rsidRPr="00711B22">
        <w:t xml:space="preserve"> cannot accommodate multilevel or continuous tests.</w:t>
      </w:r>
    </w:p>
    <w:p w14:paraId="4E7D33F7" w14:textId="76E4A16F" w:rsidR="003951CB" w:rsidRPr="00711B22" w:rsidRDefault="007E4D31" w:rsidP="00A603DC">
      <w:pPr>
        <w:pStyle w:val="NormalWeb"/>
      </w:pPr>
      <w:r w:rsidRPr="00711B22">
        <w:t xml:space="preserve">A variant of the </w:t>
      </w:r>
      <w:r w:rsidR="003E0F94" w:rsidRPr="00711B22">
        <w:t>“</w:t>
      </w:r>
      <w:r w:rsidRPr="00711B22">
        <w:t>lumping together</w:t>
      </w:r>
      <w:r w:rsidR="003E0F94" w:rsidRPr="00711B22">
        <w:t>”</w:t>
      </w:r>
      <w:r w:rsidRPr="00711B22">
        <w:t xml:space="preserve"> approach is to combine multiple tests into a </w:t>
      </w:r>
      <w:r w:rsidRPr="006861EF">
        <w:rPr>
          <w:color w:val="00B050"/>
        </w:rPr>
        <w:t>decision rule</w:t>
      </w:r>
      <w:r w:rsidRPr="00711B22">
        <w:t xml:space="preserve"> that is considered positive if any one of the tests is positive. This approach has been used in the Ottawa Ankle Rule </w:t>
      </w:r>
      <w:r w:rsidR="00DA779C">
        <w:fldChar w:fldCharType="begin"/>
      </w:r>
      <w:r w:rsidR="00DA779C">
        <w:instrText xml:space="preserve"> ADDIN EN.CITE &lt;EndNote&gt;&lt;Cite&gt;&lt;Author&gt;Stiell&lt;/Author&gt;&lt;Year&gt;1994&lt;/Year&gt;&lt;RecNum&gt;47&lt;/RecNum&gt;&lt;DisplayText&gt;[3]&lt;/DisplayText&gt;&lt;record&gt;&lt;rec-number&gt;47&lt;/rec-number&gt;&lt;foreign-keys&gt;&lt;key app="EN" db-id="0ftvff9p80fp5few5s05f5fw9rd9fefrdzer" timestamp="0"&gt;47&lt;/key&gt;&lt;/foreign-keys&gt;&lt;ref-type name="Journal Article"&gt;17&lt;/ref-type&gt;&lt;contributors&gt;&lt;authors&gt;&lt;author&gt;Stiell, I. G.&lt;/author&gt;&lt;author&gt;McKnight, R. D.&lt;/author&gt;&lt;author&gt;Greenberg, G. H.&lt;/author&gt;&lt;author&gt;McDowell, I.&lt;/author&gt;&lt;author&gt;Nair, R. C.&lt;/author&gt;&lt;author&gt;Wells, G. A.&lt;/author&gt;&lt;author&gt;Johns, C.&lt;/author&gt;&lt;author&gt;Worthington, J. R.&lt;/author&gt;&lt;/authors&gt;&lt;/contributors&gt;&lt;titles&gt;&lt;title&gt;Implementation of the Ottawa ankle rules&lt;/title&gt;&lt;secondary-title&gt;JAMA&lt;/secondary-title&gt;&lt;/titles&gt;&lt;periodical&gt;&lt;full-title&gt;JAMA&lt;/full-title&gt;&lt;/periodical&gt;&lt;pages&gt;827-32&lt;/pages&gt;&lt;volume&gt;271&lt;/volume&gt;&lt;number&gt;11&lt;/number&gt;&lt;keywords&gt;&lt;keyword&gt;Adult&lt;/keyword&gt;&lt;keyword&gt;Aged&lt;/keyword&gt;&lt;keyword&gt;Aged, 80 and over&lt;/keyword&gt;&lt;keyword&gt;Ankle Injuries/economics/*radiography&lt;/keyword&gt;&lt;keyword&gt;Emergency Service, Hospital/economics/standards/*utilization&lt;/keyword&gt;&lt;keyword&gt;Female&lt;/keyword&gt;&lt;keyword&gt;Guidelines&lt;/keyword&gt;&lt;keyword&gt;Human&lt;/keyword&gt;&lt;keyword&gt;Intervention Studies&lt;/keyword&gt;&lt;keyword&gt;Male&lt;/keyword&gt;&lt;keyword&gt;Middle Age&lt;/keyword&gt;&lt;keyword&gt;Ontario&lt;/keyword&gt;&lt;keyword&gt;Patient Satisfaction&lt;/keyword&gt;&lt;keyword&gt;Physician&amp;apos;s Practice Patterns/economics/*statistics &amp;amp;amp&lt;/keyword&gt;&lt;keyword&gt;numerical data/standards&lt;/keyword&gt;&lt;keyword&gt;Radiography/economics/utilization&lt;/keyword&gt;&lt;keyword&gt;Support, Non-U.S. Gov&amp;apos;t&lt;/keyword&gt;&lt;/keywords&gt;&lt;dates&gt;&lt;year&gt;1994&lt;/year&gt;&lt;/dates&gt;&lt;label&gt;94158068&lt;/label&gt;&lt;urls&gt;&lt;/urls&gt;&lt;/record&gt;&lt;/Cite&gt;&lt;/EndNote&gt;</w:instrText>
      </w:r>
      <w:r w:rsidR="00DA779C">
        <w:fldChar w:fldCharType="separate"/>
      </w:r>
      <w:r w:rsidR="00DA779C">
        <w:rPr>
          <w:noProof/>
        </w:rPr>
        <w:t>[3]</w:t>
      </w:r>
      <w:r w:rsidR="00DA779C">
        <w:fldChar w:fldCharType="end"/>
      </w:r>
      <w:r w:rsidRPr="00711B22">
        <w:t>to determine which ankle-injury patients should get radiographs</w:t>
      </w:r>
      <w:r w:rsidR="004018E0" w:rsidRPr="00711B22">
        <w:rPr>
          <w:rStyle w:val="FootnoteReference"/>
        </w:rPr>
        <w:footnoteReference w:id="4"/>
      </w:r>
      <w:r w:rsidRPr="00711B22">
        <w:t xml:space="preserve"> </w:t>
      </w:r>
      <w:r w:rsidR="006861EF">
        <w:t xml:space="preserve">and </w:t>
      </w:r>
      <w:r w:rsidRPr="00711B22">
        <w:t xml:space="preserve">the NEXUS (National Emergency X-Ray Utilization Study) Rule </w:t>
      </w:r>
      <w:r w:rsidR="00DA779C">
        <w:fldChar w:fldCharType="begin">
          <w:fldData xml:space="preserve">PEVuZE5vdGU+PENpdGU+PEF1dGhvcj5Ib2ZmbWFuPC9BdXRob3I+PFllYXI+MjAwMDwvWWVhcj48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</w:fldData>
        </w:fldChar>
      </w:r>
      <w:r w:rsidR="00DA779C">
        <w:instrText xml:space="preserve"> ADDIN EN.CITE </w:instrText>
      </w:r>
      <w:r w:rsidR="00DA779C">
        <w:fldChar w:fldCharType="begin">
          <w:fldData xml:space="preserve">PEVuZE5vdGU+PENpdGU+PEF1dGhvcj5Ib2ZmbWFuPC9BdXRob3I+PFllYXI+MjAwMDwvWWVhcj48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</w:fldData>
        </w:fldChar>
      </w:r>
      <w:r w:rsidR="00DA779C">
        <w:instrText xml:space="preserve"> ADDIN EN.CITE.DATA </w:instrText>
      </w:r>
      <w:r w:rsidR="00DA779C">
        <w:fldChar w:fldCharType="end"/>
      </w:r>
      <w:r w:rsidR="00DA779C">
        <w:fldChar w:fldCharType="separate"/>
      </w:r>
      <w:r w:rsidR="00DA779C">
        <w:rPr>
          <w:noProof/>
        </w:rPr>
        <w:t>[4, 5]</w:t>
      </w:r>
      <w:r w:rsidR="00DA779C">
        <w:fldChar w:fldCharType="end"/>
      </w:r>
      <w:r w:rsidRPr="00711B22">
        <w:t xml:space="preserve">to determine which neck-injury patients should get cervical spine </w:t>
      </w:r>
      <w:r w:rsidR="00191BDE" w:rsidRPr="00711B22">
        <w:t>fi</w:t>
      </w:r>
      <w:r w:rsidRPr="00711B22">
        <w:t>lms</w:t>
      </w:r>
      <w:r w:rsidR="00726DF3">
        <w:t>.</w:t>
      </w:r>
      <w:r w:rsidR="00CE4341" w:rsidRPr="00711B22">
        <w:rPr>
          <w:rStyle w:val="FootnoteReference"/>
        </w:rPr>
        <w:footnoteReference w:id="5"/>
      </w:r>
      <w:r w:rsidRPr="00711B22">
        <w:t xml:space="preserve"> This strategy clearly maximizes sensitivity, though at the expense of speci</w:t>
      </w:r>
      <w:r w:rsidR="00191BDE" w:rsidRPr="00711B22">
        <w:t>fi</w:t>
      </w:r>
      <w:r w:rsidRPr="00711B22">
        <w:t xml:space="preserve">city. </w:t>
      </w:r>
      <w:r w:rsidR="00E85A85">
        <w:t>Two issues that arise in the creation of such rules are the selection of</w:t>
      </w:r>
      <w:r w:rsidRPr="00711B22">
        <w:t xml:space="preserve"> which of many candidate tests to include in the rule</w:t>
      </w:r>
      <w:r w:rsidR="00E85A85">
        <w:t xml:space="preserve"> and the assumption that the decision threshold is the same for all patients</w:t>
      </w:r>
      <w:r w:rsidRPr="00711B22">
        <w:t xml:space="preserve"> – topic</w:t>
      </w:r>
      <w:r w:rsidR="00E85A85">
        <w:t>s</w:t>
      </w:r>
      <w:r w:rsidRPr="00711B22">
        <w:t xml:space="preserve"> to which we will return.</w:t>
      </w:r>
    </w:p>
    <w:p w14:paraId="343F5729" w14:textId="38FF1EEF" w:rsidR="00A603DC" w:rsidRPr="00711B22" w:rsidRDefault="001F6793" w:rsidP="006D40DF">
      <w:pPr>
        <w:pStyle w:val="Heading2"/>
      </w:pPr>
      <w:r>
        <w:t>Classification Trees</w:t>
      </w:r>
    </w:p>
    <w:p w14:paraId="7CFF7DDB" w14:textId="0E190798" w:rsidR="003951CB" w:rsidRPr="00711B22" w:rsidRDefault="007E4D31" w:rsidP="004018E0">
      <w:pPr>
        <w:pStyle w:val="NormalWeb"/>
      </w:pPr>
      <w:r w:rsidRPr="00711B22">
        <w:t xml:space="preserve">Another approach is to use </w:t>
      </w:r>
      <w:r w:rsidR="001F6793" w:rsidRPr="007D12F4">
        <w:rPr>
          <w:color w:val="00B050"/>
        </w:rPr>
        <w:t>classification trees</w:t>
      </w:r>
      <w:r w:rsidRPr="007D12F4">
        <w:rPr>
          <w:color w:val="00B050"/>
        </w:rPr>
        <w:t xml:space="preserve"> </w:t>
      </w:r>
      <w:r w:rsidRPr="00711B22">
        <w:t xml:space="preserve">to develop a </w:t>
      </w:r>
      <w:r w:rsidR="00191BDE" w:rsidRPr="00711B22">
        <w:t>fi</w:t>
      </w:r>
      <w:r w:rsidRPr="00711B22">
        <w:t xml:space="preserve">xed sequence in which to do the multiple tests. </w:t>
      </w:r>
      <w:r w:rsidR="001F6793">
        <w:t xml:space="preserve"> </w:t>
      </w:r>
      <w:r w:rsidR="00D74353">
        <w:t>The c</w:t>
      </w:r>
      <w:r w:rsidR="001F6793">
        <w:t>lassification tree</w:t>
      </w:r>
      <w:r w:rsidR="00D74353">
        <w:t xml:space="preserve"> approach</w:t>
      </w:r>
      <w:r w:rsidR="001F6793">
        <w:t xml:space="preserve"> is also called r</w:t>
      </w:r>
      <w:r w:rsidRPr="00711B22">
        <w:t>ecursive partitioning</w:t>
      </w:r>
      <w:r w:rsidR="00C338FC">
        <w:t>, which</w:t>
      </w:r>
      <w:r w:rsidRPr="00711B22">
        <w:t xml:space="preserve"> is just what it sounds like – recursive meaning you do it over and over again, and partitioning meaning you divide up the data in different ways.</w:t>
      </w:r>
      <w:r w:rsidR="00B37AA5">
        <w:t xml:space="preserve">  First, you </w:t>
      </w:r>
      <w:r w:rsidR="00E31D43">
        <w:t xml:space="preserve">(or the software) </w:t>
      </w:r>
      <w:r w:rsidR="00B37AA5">
        <w:t xml:space="preserve">find the single variable </w:t>
      </w:r>
      <w:r w:rsidR="00E31D43">
        <w:t xml:space="preserve">and cutoff </w:t>
      </w:r>
      <w:r w:rsidR="00B37AA5">
        <w:t>that best</w:t>
      </w:r>
      <w:r w:rsidR="00B77EF1">
        <w:rPr>
          <w:rStyle w:val="FootnoteReference"/>
        </w:rPr>
        <w:footnoteReference w:id="6"/>
      </w:r>
      <w:r w:rsidR="00B37AA5">
        <w:t xml:space="preserve"> splits the data into two </w:t>
      </w:r>
      <w:r w:rsidR="00B77EF1">
        <w:t>groups</w:t>
      </w:r>
      <w:r w:rsidR="00E31D43">
        <w:t xml:space="preserve">.  </w:t>
      </w:r>
      <w:r w:rsidR="00B37AA5">
        <w:t xml:space="preserve">Then for each of the sub-groups, you repeat this process separately, until the subgroups are homogeneous (e.g. all D+ or all D-), </w:t>
      </w:r>
      <w:r w:rsidR="00A35B4A">
        <w:t xml:space="preserve">further splitting does not result in improvement, or the </w:t>
      </w:r>
      <w:proofErr w:type="spellStart"/>
      <w:r w:rsidR="00A35B4A">
        <w:t>subgoups</w:t>
      </w:r>
      <w:proofErr w:type="spellEnd"/>
      <w:r w:rsidR="00A35B4A">
        <w:t xml:space="preserve"> </w:t>
      </w:r>
      <w:r w:rsidR="00B37AA5">
        <w:t>reach a specified minimum size (e.g. 5).</w:t>
      </w:r>
      <w:r w:rsidR="00DA779C">
        <w:fldChar w:fldCharType="begin"/>
      </w:r>
      <w:r w:rsidR="00DA779C">
        <w:instrText xml:space="preserve"> ADDIN EN.CITE &lt;EndNote&gt;&lt;Cite&gt;&lt;Author&gt;Therneau&lt;/Author&gt;&lt;Year&gt;2018&lt;/Year&gt;&lt;RecNum&gt;1620&lt;/RecNum&gt;&lt;DisplayText&gt;[7]&lt;/DisplayText&gt;&lt;record&gt;&lt;rec-number&gt;1620&lt;/rec-number&gt;&lt;foreign-keys&gt;&lt;key app="EN" db-id="0ftvff9p80fp5few5s05f5fw9rd9fefrdzer" timestamp="1546281954"&gt;1620&lt;/key&gt;&lt;/foreign-keys&gt;&lt;ref-type name="Web Page"&gt;12&lt;/ref-type&gt;&lt;contributors&gt;&lt;authors&gt;&lt;author&gt;Therneau, Terry&lt;/author&gt;&lt;author&gt;Atkinson, Elizabeth&lt;/author&gt;&lt;/authors&gt;&lt;/contributors&gt;&lt;titles&gt;&lt;title&gt;An Introduction to Recursive Partitioning Using the RPART Routines&lt;/title&gt;&lt;/titles&gt;&lt;number&gt;12/31/2018&lt;/number&gt;&lt;dates&gt;&lt;year&gt;2018&lt;/year&gt;&lt;/dates&gt;&lt;publisher&gt;cran.r-project.org&lt;/publisher&gt;&lt;work-type&gt;web page/pdf&lt;/work-type&gt;&lt;urls&gt;&lt;related-urls&gt;&lt;url&gt;https://cran.r-project.org/web/packages/rpart/vignettes/longintro.pdf&lt;/url&gt;&lt;/related-urls&gt;&lt;/urls&gt;&lt;/record&gt;&lt;/Cite&gt;&lt;/EndNote&gt;</w:instrText>
      </w:r>
      <w:r w:rsidR="00DA779C">
        <w:fldChar w:fldCharType="separate"/>
      </w:r>
      <w:r w:rsidR="00DA779C">
        <w:rPr>
          <w:noProof/>
        </w:rPr>
        <w:t>[7]</w:t>
      </w:r>
      <w:r w:rsidR="00DA779C">
        <w:fldChar w:fldCharType="end"/>
      </w:r>
      <w:r w:rsidR="00E40C06">
        <w:t xml:space="preserve"> </w:t>
      </w:r>
    </w:p>
    <w:p w14:paraId="44A948B5" w14:textId="3A3BACDB" w:rsidR="00CB282B" w:rsidRPr="006E1EA8" w:rsidRDefault="007E4D31" w:rsidP="00646B1F">
      <w:pPr>
        <w:pStyle w:val="NormalWeb"/>
      </w:pPr>
      <w:r w:rsidRPr="00711B22">
        <w:lastRenderedPageBreak/>
        <w:t xml:space="preserve">In our example of NT and </w:t>
      </w:r>
      <w:r w:rsidR="004455A4">
        <w:t>NBA</w:t>
      </w:r>
      <w:r w:rsidRPr="00711B22">
        <w:t xml:space="preserve"> for trisomy 21, which test should we do </w:t>
      </w:r>
      <w:r w:rsidR="00191BDE" w:rsidRPr="00711B22">
        <w:t>fi</w:t>
      </w:r>
      <w:r w:rsidRPr="00711B22">
        <w:t xml:space="preserve">rst? </w:t>
      </w:r>
      <w:r w:rsidR="002664C8">
        <w:rPr>
          <w:highlight w:val="yellow"/>
        </w:rPr>
        <w:t>Figure 7.4</w:t>
      </w:r>
      <w:r w:rsidRPr="00711B22">
        <w:t xml:space="preserve"> shows a tree of probabilities of trisomy 21 after each possible test result:</w:t>
      </w:r>
      <w:r w:rsidRPr="00711B22">
        <w:rPr>
          <w:b/>
        </w:rPr>
        <w:t xml:space="preserve"> (A)</w:t>
      </w:r>
      <w:r w:rsidRPr="00711B22">
        <w:t xml:space="preserve"> performing the </w:t>
      </w:r>
      <w:r w:rsidR="004455A4">
        <w:t>NT</w:t>
      </w:r>
      <w:r w:rsidRPr="00711B22">
        <w:t xml:space="preserve"> test </w:t>
      </w:r>
      <w:r w:rsidR="00191BDE" w:rsidRPr="00711B22">
        <w:t>fi</w:t>
      </w:r>
      <w:r w:rsidRPr="00711B22">
        <w:t>rst and</w:t>
      </w:r>
      <w:r w:rsidRPr="00711B22">
        <w:rPr>
          <w:b/>
        </w:rPr>
        <w:t xml:space="preserve"> (B) </w:t>
      </w:r>
      <w:r w:rsidRPr="00711B22">
        <w:t xml:space="preserve">performing the </w:t>
      </w:r>
      <w:r w:rsidR="004455A4">
        <w:t>NBA test</w:t>
      </w:r>
      <w:r w:rsidRPr="00711B22">
        <w:t xml:space="preserve"> </w:t>
      </w:r>
      <w:r w:rsidR="00191BDE" w:rsidRPr="00711B22">
        <w:t>fi</w:t>
      </w:r>
      <w:r w:rsidR="00646B1F" w:rsidRPr="00711B22">
        <w:t xml:space="preserve">rst. </w:t>
      </w:r>
      <w:r w:rsidR="004455A4">
        <w:t>The NBA test</w:t>
      </w:r>
      <w:r w:rsidR="00646B1F" w:rsidRPr="00711B22">
        <w:t xml:space="preserve"> is </w:t>
      </w:r>
      <w:r w:rsidR="008D5F6E">
        <w:t xml:space="preserve">unequivocally </w:t>
      </w:r>
      <w:r w:rsidR="00646B1F" w:rsidRPr="00711B22">
        <w:t xml:space="preserve">better </w:t>
      </w:r>
      <w:r w:rsidR="005E19A4">
        <w:t xml:space="preserve">than the (dichotomized) NT </w:t>
      </w:r>
      <w:r w:rsidR="00646B1F" w:rsidRPr="00711B22">
        <w:t xml:space="preserve">at discriminating between trisomy 21 and chromosomally normal </w:t>
      </w:r>
      <w:proofErr w:type="gramStart"/>
      <w:r w:rsidR="00646B1F" w:rsidRPr="00711B22">
        <w:t>fetuses</w:t>
      </w:r>
      <w:r w:rsidR="00DA4276">
        <w:t xml:space="preserve">; </w:t>
      </w:r>
      <w:r w:rsidR="008D5F6E">
        <w:t xml:space="preserve"> both</w:t>
      </w:r>
      <w:proofErr w:type="gramEnd"/>
      <w:r w:rsidR="008D5F6E">
        <w:t xml:space="preserve"> its positive predictive value (</w:t>
      </w:r>
      <w:r w:rsidR="00646B1F" w:rsidRPr="00711B22">
        <w:t>64%</w:t>
      </w:r>
      <w:r w:rsidR="008D5F6E">
        <w:t xml:space="preserve"> vs 31%) and negative predictive value </w:t>
      </w:r>
      <w:r w:rsidR="005E19A4">
        <w:t>(98% vs 97.5%)</w:t>
      </w:r>
      <w:r w:rsidR="00DA4276">
        <w:rPr>
          <w:rStyle w:val="FootnoteReference"/>
        </w:rPr>
        <w:footnoteReference w:id="7"/>
      </w:r>
      <w:r w:rsidR="005E19A4">
        <w:t xml:space="preserve"> ar</w:t>
      </w:r>
      <w:r w:rsidR="0066567B">
        <w:t>e higher.</w:t>
      </w:r>
      <w:r w:rsidR="00AE40F2">
        <w:t xml:space="preserve">  </w:t>
      </w:r>
      <w:r w:rsidR="00DA4276">
        <w:t xml:space="preserve">When neither split is unequivocally better, we must consider </w:t>
      </w:r>
      <w:r w:rsidR="0066567B">
        <w:t xml:space="preserve">the relative importance </w:t>
      </w:r>
      <w:r w:rsidR="005D3AF9">
        <w:t xml:space="preserve">of </w:t>
      </w:r>
      <w:r w:rsidR="00DA4276">
        <w:t xml:space="preserve">false positives and false negatives.  </w:t>
      </w:r>
      <w:r w:rsidR="0091596B">
        <w:t xml:space="preserve">The software programs that create classification trees, such as </w:t>
      </w:r>
      <w:r w:rsidR="004B37F2">
        <w:t>the</w:t>
      </w:r>
      <w:r w:rsidR="00C47860">
        <w:t xml:space="preserve"> </w:t>
      </w:r>
      <w:proofErr w:type="spellStart"/>
      <w:r w:rsidR="0091596B">
        <w:t>rpart</w:t>
      </w:r>
      <w:proofErr w:type="spellEnd"/>
      <w:r w:rsidR="0091596B">
        <w:t xml:space="preserve"> routine</w:t>
      </w:r>
      <w:r w:rsidR="004B37F2">
        <w:t xml:space="preserve"> in the R statistical package</w:t>
      </w:r>
      <w:r w:rsidR="0091596B">
        <w:t>, allow you to specify a loss matrix</w:t>
      </w:r>
      <w:r w:rsidR="00E229B8">
        <w:t xml:space="preserve"> </w:t>
      </w:r>
      <w:r w:rsidR="003A702B">
        <w:t>that assigns</w:t>
      </w:r>
      <w:r w:rsidR="00E229B8">
        <w:t xml:space="preserve"> costs to different types of errors.  When the purpose of the classification tree is to distinguish between two groups</w:t>
      </w:r>
      <w:r w:rsidR="00D12E8F">
        <w:t xml:space="preserve"> (e.g., trisomy 21 and chromosomally normal)</w:t>
      </w:r>
      <w:r w:rsidR="00E229B8">
        <w:t>, specifying a loss matrix is equivalent to specifying our old friends B (the cost of a false negative) and C (the cost of false positive).</w:t>
      </w:r>
      <w:r w:rsidR="006E1EA8">
        <w:t xml:space="preserve">  As we learned in Chapter 2, B and C determine the treatment threshold probability P</w:t>
      </w:r>
      <w:r w:rsidR="006E1EA8">
        <w:rPr>
          <w:vertAlign w:val="subscript"/>
        </w:rPr>
        <w:t>TT</w:t>
      </w:r>
      <w:r w:rsidR="006E1EA8">
        <w:t xml:space="preserve">.  Just as a dichotomous test is only worth doing if it can move the probability of disease across the treatment threshold, the value of a split depends on how many </w:t>
      </w:r>
      <w:r w:rsidR="00A735AD">
        <w:t>individuals</w:t>
      </w:r>
      <w:r w:rsidR="006E1EA8">
        <w:t xml:space="preserve"> it moves across the treatment threshold.</w:t>
      </w:r>
    </w:p>
    <w:p w14:paraId="708C4313" w14:textId="257EF8D6" w:rsidR="003951CB" w:rsidRDefault="00AB3B62" w:rsidP="00646B1F">
      <w:pPr>
        <w:pStyle w:val="NormalWeb"/>
      </w:pPr>
      <w:r>
        <w:t xml:space="preserve">Relative to real trees, classification trees are upside down.  The top node is the </w:t>
      </w:r>
      <w:r w:rsidRPr="00C154FE">
        <w:rPr>
          <w:color w:val="00B050"/>
        </w:rPr>
        <w:t>root</w:t>
      </w:r>
      <w:r>
        <w:t>, a dividing point (e.g.</w:t>
      </w:r>
      <w:r w:rsidR="00C83648">
        <w:t>,</w:t>
      </w:r>
      <w:r>
        <w:t xml:space="preserve"> NBA yes vs. no) is a </w:t>
      </w:r>
      <w:r w:rsidRPr="00C154FE">
        <w:rPr>
          <w:color w:val="00B050"/>
        </w:rPr>
        <w:t>branch</w:t>
      </w:r>
      <w:r>
        <w:t xml:space="preserve">, and a terminal node is a </w:t>
      </w:r>
      <w:r w:rsidRPr="00C154FE">
        <w:rPr>
          <w:color w:val="00B050"/>
        </w:rPr>
        <w:t>leaf</w:t>
      </w:r>
      <w:r>
        <w:t xml:space="preserve">.  The tree </w:t>
      </w:r>
      <w:r w:rsidR="00B533A4">
        <w:t>need not</w:t>
      </w:r>
      <w:r w:rsidR="009B38C8">
        <w:t xml:space="preserve"> </w:t>
      </w:r>
      <w:r>
        <w:t xml:space="preserve">display </w:t>
      </w:r>
      <w:r w:rsidR="009B38C8">
        <w:t>every possible leaf.  With two dichotomous t</w:t>
      </w:r>
      <w:r w:rsidR="00974655">
        <w:t>ests, there are four possible lea</w:t>
      </w:r>
      <w:r w:rsidR="00C154FE">
        <w:t>ves</w:t>
      </w:r>
      <w:r w:rsidR="00974655">
        <w:t xml:space="preserve">, but </w:t>
      </w:r>
      <w:r w:rsidR="00CB282B">
        <w:t xml:space="preserve">suppose that </w:t>
      </w:r>
      <w:r w:rsidR="00646B1F" w:rsidRPr="00711B22">
        <w:t>your threshold probability (P</w:t>
      </w:r>
      <w:r w:rsidR="00646B1F" w:rsidRPr="00B33B11">
        <w:rPr>
          <w:vertAlign w:val="subscript"/>
        </w:rPr>
        <w:t>TT</w:t>
      </w:r>
      <w:r w:rsidR="00646B1F" w:rsidRPr="00711B22">
        <w:t>) for going on to chorionic villus sampling is 15%</w:t>
      </w:r>
      <w:r w:rsidR="00CB282B">
        <w:t xml:space="preserve">. </w:t>
      </w:r>
      <w:r w:rsidR="00646B1F" w:rsidRPr="00711B22">
        <w:t xml:space="preserve"> After a positive </w:t>
      </w:r>
      <w:r w:rsidR="00974655">
        <w:t>NBA</w:t>
      </w:r>
      <w:r w:rsidR="00646B1F" w:rsidRPr="00711B22">
        <w:t xml:space="preserve">, a negative NT does not lower the probability of trisomy 21 below 15%, and after a </w:t>
      </w:r>
      <w:r w:rsidR="004B37F2">
        <w:t xml:space="preserve">negative </w:t>
      </w:r>
      <w:r w:rsidR="00974655">
        <w:t>NBA</w:t>
      </w:r>
      <w:r w:rsidR="00646B1F" w:rsidRPr="00711B22">
        <w:t xml:space="preserve">, a positive NT does not raise the probability of trisomy 21 above 15%. This suggests that you </w:t>
      </w:r>
      <w:r w:rsidR="004228E4">
        <w:t>could</w:t>
      </w:r>
      <w:r w:rsidR="00CB282B" w:rsidRPr="00711B22">
        <w:t xml:space="preserve"> stop after the nasal bone exam</w:t>
      </w:r>
      <w:r w:rsidR="00CB282B">
        <w:t xml:space="preserve">, because with </w:t>
      </w:r>
      <w:r w:rsidR="00CB282B" w:rsidRPr="00711B22">
        <w:t>P</w:t>
      </w:r>
      <w:r w:rsidR="00CB282B" w:rsidRPr="00697E12">
        <w:rPr>
          <w:vertAlign w:val="subscript"/>
        </w:rPr>
        <w:t>TT</w:t>
      </w:r>
      <w:r w:rsidR="00CB282B">
        <w:rPr>
          <w:vertAlign w:val="subscript"/>
        </w:rPr>
        <w:t xml:space="preserve"> </w:t>
      </w:r>
      <w:r w:rsidR="00CB282B">
        <w:t xml:space="preserve">= 15% the (dichotomized) NT would not affect your management. </w:t>
      </w:r>
      <w:r w:rsidR="00974655">
        <w:t xml:space="preserve"> The classification tree only has two leaves. </w:t>
      </w:r>
      <w:r w:rsidR="00CB282B">
        <w:t>(</w:t>
      </w:r>
      <w:r w:rsidR="00C154FE">
        <w:t>Note this example is not perfect because the probabilities of Trisomy 21 from a study of fetuses already selected to receive chorionic villus sampling probably do not generalize to fetuses in whom that decision has not yet been made and because in real life there is little additional risk or expense in measuring the NT after the NBA.  In addition, if we did not dichotomize the NT, some very high values of NT might have high enough LRs to be able to move past the 15% threshold.</w:t>
      </w:r>
      <w:r w:rsidR="00CB282B">
        <w:t>)</w:t>
      </w:r>
    </w:p>
    <w:p w14:paraId="2010FDC4" w14:textId="6BE13AE5" w:rsidR="00804F2F" w:rsidRDefault="003758A7" w:rsidP="00E916F8">
      <w:pPr>
        <w:pStyle w:val="NormalWeb"/>
      </w:pPr>
      <w:r>
        <w:t xml:space="preserve">If your threshold for chorionic villus sampling is </w:t>
      </w:r>
      <w:r w:rsidRPr="00711B22">
        <w:t xml:space="preserve">5% rather than 15% and the initial </w:t>
      </w:r>
      <w:r>
        <w:t>NBA test</w:t>
      </w:r>
      <w:r w:rsidRPr="00711B22">
        <w:t xml:space="preserve"> is negative, you should continue with the NT test; a positive test will move the probability above the 5% threshold (</w:t>
      </w:r>
      <w:r w:rsidR="002664C8">
        <w:rPr>
          <w:highlight w:val="yellow"/>
        </w:rPr>
        <w:t>Figure 7.5</w:t>
      </w:r>
      <w:r w:rsidRPr="00711B22">
        <w:t xml:space="preserve">). If the initial </w:t>
      </w:r>
      <w:r>
        <w:t>NBA test</w:t>
      </w:r>
      <w:r w:rsidRPr="00711B22">
        <w:t xml:space="preserve"> is positive, it </w:t>
      </w:r>
      <w:r>
        <w:t>is not necessary</w:t>
      </w:r>
      <w:r w:rsidRPr="00711B22">
        <w:t xml:space="preserve"> to do the NT test, because (at least as dichotomized here) the result cannot change your decision to proceed with chorionic villus sampling.</w:t>
      </w:r>
      <w:r>
        <w:t xml:space="preserve">  </w:t>
      </w:r>
      <w:r w:rsidR="0006391D">
        <w:t xml:space="preserve">The tree has three leaves.  Note that with this decision threshold, the </w:t>
      </w:r>
      <w:r w:rsidRPr="00711B22">
        <w:t xml:space="preserve">combination of </w:t>
      </w:r>
      <w:r w:rsidR="0006391D">
        <w:t>NBA</w:t>
      </w:r>
      <w:r w:rsidRPr="00711B22">
        <w:t xml:space="preserve"> and NT becomes a two-test rule that is considered positive if either of the tests is positive</w:t>
      </w:r>
      <w:r>
        <w:t>.</w:t>
      </w:r>
      <w:r w:rsidR="00C154FE">
        <w:t xml:space="preserve"> </w:t>
      </w:r>
    </w:p>
    <w:p w14:paraId="5C1166CA" w14:textId="7791665D" w:rsidR="003758A7" w:rsidRDefault="00E40C06" w:rsidP="00E916F8">
      <w:pPr>
        <w:pStyle w:val="NormalWeb"/>
        <w:sectPr w:rsidR="003758A7" w:rsidSect="00F4162F">
          <w:headerReference w:type="default" r:id="rId11"/>
          <w:footerReference w:type="even" r:id="rId12"/>
          <w:footerReference w:type="default" r:id="rId13"/>
          <w:pgSz w:w="12240" w:h="15840" w:code="1"/>
          <w:pgMar w:top="1440" w:right="1800" w:bottom="1440" w:left="1800" w:header="720" w:footer="720" w:gutter="0"/>
          <w:cols w:space="720"/>
          <w:noEndnote/>
        </w:sectPr>
      </w:pPr>
      <w:r>
        <w:t xml:space="preserve">Specifying a decision threshold probability (or equivalently C/B) allows omission of some of the possible </w:t>
      </w:r>
      <w:r w:rsidR="004E444C">
        <w:t xml:space="preserve">branches and </w:t>
      </w:r>
      <w:r>
        <w:t xml:space="preserve">leaves of the tree.  However, the initially developed tree </w:t>
      </w:r>
      <w:r w:rsidR="004E444C">
        <w:t xml:space="preserve">is </w:t>
      </w:r>
      <w:r>
        <w:t>often still too</w:t>
      </w:r>
      <w:r w:rsidR="004E444C">
        <w:t xml:space="preserve"> complex or “bushy</w:t>
      </w:r>
      <w:r w:rsidR="00F926B1">
        <w:t>.</w:t>
      </w:r>
      <w:r w:rsidR="004E444C">
        <w:t xml:space="preserve">” This makes the tree impractical to use clinically </w:t>
      </w:r>
      <w:r w:rsidR="004E444C">
        <w:lastRenderedPageBreak/>
        <w:t>and raises the problem of over-fitting to which we will return.  The tree software allows us to limit the complexity of the tree.</w:t>
      </w:r>
    </w:p>
    <w:p w14:paraId="479CD517" w14:textId="77777777" w:rsidR="00DA7548" w:rsidRDefault="00DA7548" w:rsidP="00E916F8">
      <w:pPr>
        <w:pStyle w:val="NormalWeb"/>
      </w:pPr>
    </w:p>
    <w:p w14:paraId="55C99584" w14:textId="3A0B577F" w:rsidR="00A66A2A" w:rsidRDefault="00112CE5" w:rsidP="00E916F8">
      <w:pPr>
        <w:pStyle w:val="NormalWeb"/>
      </w:pPr>
      <w:r>
        <w:rPr>
          <w:noProof/>
        </w:rPr>
        <w:drawing>
          <wp:inline distT="0" distB="0" distL="0" distR="0" wp14:anchorId="60287A20" wp14:editId="32ACAAB9">
            <wp:extent cx="8229600" cy="31032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3103245"/>
                    </a:xfrm>
                    <a:prstGeom prst="rect">
                      <a:avLst/>
                    </a:prstGeom>
                  </pic:spPr>
                </pic:pic>
              </a:graphicData>
            </a:graphic>
          </wp:inline>
        </w:drawing>
      </w:r>
    </w:p>
    <w:p w14:paraId="352A2D1D" w14:textId="0516AD1C" w:rsidR="0072653B" w:rsidRDefault="0072653B" w:rsidP="00E916F8">
      <w:pPr>
        <w:pStyle w:val="NormalWeb"/>
      </w:pPr>
      <w:r>
        <w:t>(A)</w:t>
      </w:r>
    </w:p>
    <w:p w14:paraId="00D30773" w14:textId="64267C1A" w:rsidR="00462F09" w:rsidRDefault="00DA7548" w:rsidP="00E916F8">
      <w:pPr>
        <w:pStyle w:val="NormalWeb"/>
      </w:pPr>
      <w:r w:rsidRPr="00DA7548">
        <w:rPr>
          <w:noProof/>
        </w:rPr>
        <w:lastRenderedPageBreak/>
        <w:drawing>
          <wp:inline distT="0" distB="0" distL="0" distR="0" wp14:anchorId="3373CC56" wp14:editId="2946E74E">
            <wp:extent cx="8045450" cy="2665676"/>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64158" cy="2671874"/>
                    </a:xfrm>
                    <a:prstGeom prst="rect">
                      <a:avLst/>
                    </a:prstGeom>
                  </pic:spPr>
                </pic:pic>
              </a:graphicData>
            </a:graphic>
          </wp:inline>
        </w:drawing>
      </w:r>
    </w:p>
    <w:p w14:paraId="08C52728" w14:textId="2FEF63FE" w:rsidR="003E2B5A" w:rsidRPr="003E2B5A" w:rsidRDefault="009D31EF" w:rsidP="00E916F8">
      <w:pPr>
        <w:pStyle w:val="NormalWeb"/>
        <w:rPr>
          <w:b/>
        </w:rPr>
      </w:pPr>
      <w:r w:rsidRPr="004405DA">
        <w:t>(B)</w:t>
      </w:r>
    </w:p>
    <w:p w14:paraId="325B50A9" w14:textId="71BFBCA1" w:rsidR="00462F09" w:rsidRDefault="002664C8" w:rsidP="00E916F8">
      <w:pPr>
        <w:pStyle w:val="NormalWeb"/>
      </w:pPr>
      <w:r>
        <w:rPr>
          <w:highlight w:val="yellow"/>
        </w:rPr>
        <w:t>Figure 7.4</w:t>
      </w:r>
      <w:r w:rsidR="007E4D31" w:rsidRPr="00711B22">
        <w:t xml:space="preserve"> (</w:t>
      </w:r>
      <w:r w:rsidR="007E4D31" w:rsidRPr="00711B22">
        <w:rPr>
          <w:b/>
        </w:rPr>
        <w:t>A</w:t>
      </w:r>
      <w:r w:rsidR="007E4D31" w:rsidRPr="00711B22">
        <w:t>) Tree with branch-point probabilities of trisomy 21, assuming the NT test is performed first. (</w:t>
      </w:r>
      <w:r w:rsidR="007E4D31" w:rsidRPr="00711B22">
        <w:rPr>
          <w:b/>
        </w:rPr>
        <w:t>B</w:t>
      </w:r>
      <w:r w:rsidR="007E4D31" w:rsidRPr="00711B22">
        <w:t>) Tree with branch-point probabilities of trisomy 21 assuming the nasal bone exam is performed first.</w:t>
      </w:r>
      <w:r w:rsidR="0072653B">
        <w:t xml:space="preserve"> D+ = trisomy 21; NT = nuchal translucency; NBA = nasal bone absent.</w:t>
      </w:r>
    </w:p>
    <w:p w14:paraId="686F68EA" w14:textId="173DBCF3" w:rsidR="003758A7" w:rsidRDefault="003758A7">
      <w:r>
        <w:br w:type="page"/>
      </w:r>
    </w:p>
    <w:p w14:paraId="36867598" w14:textId="4CDC1731" w:rsidR="003758A7" w:rsidRDefault="003758A7"/>
    <w:p w14:paraId="4FF62EF8" w14:textId="50CB06AF" w:rsidR="0072653B" w:rsidRDefault="00044795">
      <w:r w:rsidRPr="00044795">
        <w:rPr>
          <w:noProof/>
        </w:rPr>
        <w:drawing>
          <wp:inline distT="0" distB="0" distL="0" distR="0" wp14:anchorId="17CC4CBB" wp14:editId="18C3E7C1">
            <wp:extent cx="6858000" cy="3054879"/>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81001" cy="3065125"/>
                    </a:xfrm>
                    <a:prstGeom prst="rect">
                      <a:avLst/>
                    </a:prstGeom>
                  </pic:spPr>
                </pic:pic>
              </a:graphicData>
            </a:graphic>
          </wp:inline>
        </w:drawing>
      </w:r>
    </w:p>
    <w:p w14:paraId="0133D0B3" w14:textId="35CABC6A" w:rsidR="003758A7" w:rsidRDefault="003758A7"/>
    <w:p w14:paraId="00011355" w14:textId="4684844B" w:rsidR="003758A7" w:rsidRDefault="002664C8" w:rsidP="003758A7">
      <w:pPr>
        <w:pStyle w:val="NormalWeb"/>
      </w:pPr>
      <w:r>
        <w:t>Figure 7.5</w:t>
      </w:r>
      <w:r w:rsidR="003758A7" w:rsidRPr="00711B22">
        <w:t xml:space="preserve"> If the threshold probability for proceeding to chorionic villus sampling is 5%, the combination of nasal bone exam and NT becomes a two-test rule that is considered positive if either of the tests is positive.</w:t>
      </w:r>
      <w:r w:rsidR="003758A7">
        <w:t xml:space="preserve">  D+ = trisomy 21; NT = nuchal translucency; NBA = nasal bone absent.</w:t>
      </w:r>
    </w:p>
    <w:p w14:paraId="3DAAECB3" w14:textId="77777777" w:rsidR="003758A7" w:rsidRDefault="003758A7">
      <w:pPr>
        <w:sectPr w:rsidR="003758A7" w:rsidSect="00462F09">
          <w:pgSz w:w="15840" w:h="12240" w:orient="landscape" w:code="1"/>
          <w:pgMar w:top="1800" w:right="1440" w:bottom="1800" w:left="1440" w:header="720" w:footer="720" w:gutter="0"/>
          <w:cols w:space="720"/>
          <w:noEndnote/>
          <w:docGrid w:linePitch="326"/>
        </w:sectPr>
      </w:pPr>
    </w:p>
    <w:p w14:paraId="7A01C37C" w14:textId="7E5C19E4" w:rsidR="003951CB" w:rsidRPr="00711B22" w:rsidRDefault="007E4D31" w:rsidP="00057CE9">
      <w:pPr>
        <w:pStyle w:val="NormalWeb"/>
      </w:pPr>
      <w:r w:rsidRPr="00711B22">
        <w:lastRenderedPageBreak/>
        <w:t xml:space="preserve">A </w:t>
      </w:r>
      <w:r w:rsidR="002A39A4">
        <w:t>famous</w:t>
      </w:r>
      <w:r w:rsidRPr="00711B22">
        <w:t xml:space="preserve"> example </w:t>
      </w:r>
      <w:r w:rsidR="002A39A4">
        <w:t xml:space="preserve">of </w:t>
      </w:r>
      <w:r w:rsidRPr="00711B22">
        <w:t xml:space="preserve">using </w:t>
      </w:r>
      <w:r w:rsidR="00C338FC">
        <w:t>classification trees</w:t>
      </w:r>
      <w:r w:rsidRPr="00711B22">
        <w:t xml:space="preserve"> to develop a testing algorithm was developed by Goldman et al. to identify myocardial infarction in emergency department patients with chest pain </w:t>
      </w:r>
      <w:r w:rsidR="00DA779C">
        <w:fldChar w:fldCharType="begin"/>
      </w:r>
      <w:r w:rsidR="00DA779C">
        <w:instrText xml:space="preserve"> ADDIN EN.CITE &lt;EndNote&gt;&lt;Cite&gt;&lt;Author&gt;Goldman&lt;/Author&gt;&lt;Year&gt;1988&lt;/Year&gt;&lt;RecNum&gt;28&lt;/RecNum&gt;&lt;DisplayText&gt;[8]&lt;/DisplayText&gt;&lt;record&gt;&lt;rec-number&gt;28&lt;/rec-number&gt;&lt;foreign-keys&gt;&lt;key app="EN" db-id="0ftvff9p80fp5few5s05f5fw9rd9fefrdzer" timestamp="0"&gt;28&lt;/key&gt;&lt;/foreign-keys&gt;&lt;ref-type name="Journal Article"&gt;17&lt;/ref-type&gt;&lt;contributors&gt;&lt;authors&gt;&lt;author&gt;Goldman, L.&lt;/author&gt;&lt;author&gt;Cook, E. F.&lt;/author&gt;&lt;author&gt;Brand, D. A.&lt;/author&gt;&lt;author&gt;Lee, T. H.&lt;/author&gt;&lt;author&gt;Rouan, G. W.&lt;/author&gt;&lt;author&gt;Weisberg, M. C.&lt;/author&gt;&lt;author&gt;Acampora, D.&lt;/author&gt;&lt;author&gt;Stasiulewicz, C.&lt;/author&gt;&lt;author&gt;Walshon, J.&lt;/author&gt;&lt;author&gt;Terranova, G.&lt;/author&gt;&lt;author&gt;et al.,&lt;/author&gt;&lt;/authors&gt;&lt;/contributors&gt;&lt;titles&gt;&lt;title&gt;A computer protocol to predict myocardial infarction in emergency department patients with chest pain&lt;/title&gt;&lt;secondary-title&gt;N Engl J Med&lt;/secondary-title&gt;&lt;/titles&gt;&lt;periodical&gt;&lt;full-title&gt;N Engl J Med&lt;/full-title&gt;&lt;/periodical&gt;&lt;pages&gt;797-803&lt;/pages&gt;&lt;volume&gt;318&lt;/volume&gt;&lt;number&gt;13&lt;/number&gt;&lt;keywords&gt;&lt;keyword&gt;Angina Pectoris/complications/*diagnosis&lt;/keyword&gt;&lt;keyword&gt;Coronary Disease/diagnosis&lt;/keyword&gt;&lt;keyword&gt;Decision Making, Computer-Assisted&lt;/keyword&gt;&lt;keyword&gt;*Diagnosis, Computer-Assisted&lt;/keyword&gt;&lt;keyword&gt;Emergencies&lt;/keyword&gt;&lt;keyword&gt;Evaluation Studies&lt;/keyword&gt;&lt;keyword&gt;Female&lt;/keyword&gt;&lt;keyword&gt;Human&lt;/keyword&gt;&lt;keyword&gt;Male&lt;/keyword&gt;&lt;keyword&gt;Middle Age&lt;/keyword&gt;&lt;keyword&gt;Myocardial Infarction/*diagnosis/etiology&lt;/keyword&gt;&lt;keyword&gt;Prospective Studies&lt;/keyword&gt;&lt;keyword&gt;Support, Non-U.S. Gov&amp;apos;t&lt;/keyword&gt;&lt;keyword&gt;Support, U.S. Gov&amp;apos;t, P.H.S.&lt;/keyword&gt;&lt;keyword&gt;Triage&lt;/keyword&gt;&lt;/keywords&gt;&lt;dates&gt;&lt;year&gt;1988&lt;/year&gt;&lt;/dates&gt;&lt;label&gt;88174885&lt;/label&gt;&lt;urls&gt;&lt;/urls&gt;&lt;/record&gt;&lt;/Cite&gt;&lt;/EndNote&gt;</w:instrText>
      </w:r>
      <w:r w:rsidR="00DA779C">
        <w:fldChar w:fldCharType="separate"/>
      </w:r>
      <w:r w:rsidR="00DA779C">
        <w:rPr>
          <w:noProof/>
        </w:rPr>
        <w:t>[8]</w:t>
      </w:r>
      <w:r w:rsidR="00DA779C">
        <w:fldChar w:fldCharType="end"/>
      </w:r>
      <w:r w:rsidRPr="00711B22">
        <w:t>(</w:t>
      </w:r>
      <w:r w:rsidR="002664C8">
        <w:t>Figure 7.6</w:t>
      </w:r>
      <w:r w:rsidRPr="00711B22">
        <w:t>).</w:t>
      </w:r>
      <w:r w:rsidR="00560FB4">
        <w:t xml:space="preserve"> The percentages at each branch</w:t>
      </w:r>
      <w:r w:rsidRPr="00711B22">
        <w:t xml:space="preserve"> </w:t>
      </w:r>
      <w:r w:rsidR="00560FB4">
        <w:t xml:space="preserve">and leaf </w:t>
      </w:r>
      <w:r w:rsidRPr="00711B22">
        <w:t xml:space="preserve">in </w:t>
      </w:r>
      <w:r w:rsidR="002664C8">
        <w:t>Figure 7.6</w:t>
      </w:r>
      <w:r w:rsidRPr="00711B22">
        <w:t xml:space="preserve"> represent the proportion of patients with acute myocardial infarction.</w:t>
      </w:r>
      <w:r w:rsidR="00120CED">
        <w:t xml:space="preserve">  </w:t>
      </w:r>
      <w:r w:rsidRPr="00711B22">
        <w:t>A much simpler example from the Pediatric Research in Of</w:t>
      </w:r>
      <w:r w:rsidR="00191BDE" w:rsidRPr="00711B22">
        <w:t>fi</w:t>
      </w:r>
      <w:r w:rsidRPr="00711B22">
        <w:t xml:space="preserve">ce Settings Febrile Infant Study </w:t>
      </w:r>
      <w:r w:rsidR="00DA779C">
        <w:fldChar w:fldCharType="begin"/>
      </w:r>
      <w:r w:rsidR="00DA779C">
        <w:instrText xml:space="preserve"> ADDIN EN.CITE &lt;EndNote&gt;&lt;Cite&gt;&lt;Author&gt;Pantell&lt;/Author&gt;&lt;Year&gt;2004&lt;/Year&gt;&lt;RecNum&gt;132&lt;/RecNum&gt;&lt;DisplayText&gt;[9]&lt;/DisplayText&gt;&lt;record&gt;&lt;rec-number&gt;132&lt;/rec-number&gt;&lt;foreign-keys&gt;&lt;key app="EN" db-id="0ftvff9p80fp5few5s05f5fw9rd9fefrdzer" timestamp="0"&gt;132&lt;/key&gt;&lt;/foreign-keys&gt;&lt;ref-type name="Journal Article"&gt;17&lt;/ref-type&gt;&lt;contributors&gt;&lt;authors&gt;&lt;author&gt;Pantell, R. H.&lt;/author&gt;&lt;author&gt;Newman, T. B.&lt;/author&gt;&lt;author&gt;Bernzweig, J.&lt;/author&gt;&lt;author&gt;Bergman, D. A.&lt;/author&gt;&lt;author&gt;Takayama, J. I.&lt;/author&gt;&lt;author&gt;Segal, M.&lt;/author&gt;&lt;author&gt;Finch, S. A.&lt;/author&gt;&lt;author&gt;Wasserman, R. C.&lt;/author&gt;&lt;/authors&gt;&lt;/contributors&gt;&lt;auth-address&gt;Division of General Pediatrics, Department of Pediatrics, School of Medicine, University of California, San Francisco 94143-0503, USA. pantell@itsa.ucsf.edu&lt;/auth-address&gt;&lt;titles&gt;&lt;title&gt;Management and outcomes of care of fever in early infancy&lt;/title&gt;&lt;secondary-title&gt;JAMA&lt;/secondary-title&gt;&lt;/titles&gt;&lt;periodical&gt;&lt;full-title&gt;JAMA&lt;/full-title&gt;&lt;/periodical&gt;&lt;pages&gt;1203-12&lt;/pages&gt;&lt;volume&gt;291&lt;/volume&gt;&lt;number&gt;10&lt;/number&gt;&lt;keywords&gt;&lt;keyword&gt;Bacteremia/*diagnosis&lt;/keyword&gt;&lt;keyword&gt;Critical Pathways&lt;/keyword&gt;&lt;keyword&gt;*Decision Support Techniques&lt;/keyword&gt;&lt;keyword&gt;Disease Management&lt;/keyword&gt;&lt;keyword&gt;Female&lt;/keyword&gt;&lt;keyword&gt;Fever/*etiology/physiopathology/*therapy&lt;/keyword&gt;&lt;keyword&gt;Human&lt;/keyword&gt;&lt;keyword&gt;Infant&lt;/keyword&gt;&lt;keyword&gt;Infant, Newborn&lt;/keyword&gt;&lt;keyword&gt;Male&lt;/keyword&gt;&lt;keyword&gt;Meningitis, Bacterial/*diagnosis&lt;/keyword&gt;&lt;keyword&gt;Pediatrics&lt;/keyword&gt;&lt;keyword&gt;*Physician&amp;apos;s Practice Patterns&lt;/keyword&gt;&lt;keyword&gt;Prospective Studies&lt;/keyword&gt;&lt;keyword&gt;Support, U.S. Gov&amp;apos;t, P.H.S.&lt;/keyword&gt;&lt;keyword&gt;Treatment Outcome&lt;/keyword&gt;&lt;keyword&gt;United States&lt;/keyword&gt;&lt;/keywords&gt;&lt;dates&gt;&lt;year&gt;2004&lt;/year&gt;&lt;pub-dates&gt;&lt;date&gt;Mar 10&lt;/date&gt;&lt;/pub-dates&gt;&lt;/dates&gt;&lt;accession-num&gt;15010441&lt;/accession-num&gt;&lt;urls&gt;&lt;related-urls&gt;&lt;url&gt;http://www.ncbi.nlm.nih.gov/entrez/query.fcgi?cmd=Retrieve&amp;amp;db=PubMed&amp;amp;dopt=Citation&amp;amp;list_uids=15010441&lt;/url&gt;&lt;/related-urls&gt;&lt;/urls&gt;&lt;/record&gt;&lt;/Cite&gt;&lt;/EndNote&gt;</w:instrText>
      </w:r>
      <w:r w:rsidR="00DA779C">
        <w:fldChar w:fldCharType="separate"/>
      </w:r>
      <w:r w:rsidR="00DA779C">
        <w:rPr>
          <w:noProof/>
        </w:rPr>
        <w:t>[9]</w:t>
      </w:r>
      <w:r w:rsidR="00DA779C">
        <w:fldChar w:fldCharType="end"/>
      </w:r>
      <w:r w:rsidR="00BD6122">
        <w:t xml:space="preserve"> </w:t>
      </w:r>
      <w:r w:rsidRPr="00711B22">
        <w:t xml:space="preserve">is shown in </w:t>
      </w:r>
      <w:r w:rsidR="002664C8">
        <w:t>Figure 7.7</w:t>
      </w:r>
      <w:r w:rsidRPr="00711B22">
        <w:t xml:space="preserve">. The percentages next to each branch </w:t>
      </w:r>
      <w:r w:rsidR="002D752B">
        <w:t xml:space="preserve">and in each leaf </w:t>
      </w:r>
      <w:r w:rsidRPr="00711B22">
        <w:t>are the proportions of infants with bacteremia or meningitis.</w:t>
      </w:r>
    </w:p>
    <w:p w14:paraId="0A32B749" w14:textId="3D4E5FB4" w:rsidR="002A4951" w:rsidRDefault="007E4D31" w:rsidP="002A4951">
      <w:pPr>
        <w:pStyle w:val="NormalWeb"/>
      </w:pPr>
      <w:r w:rsidRPr="00711B22">
        <w:t xml:space="preserve">Figures </w:t>
      </w:r>
      <w:r w:rsidR="00EC67B9">
        <w:t>7</w:t>
      </w:r>
      <w:r w:rsidRPr="00711B22">
        <w:t xml:space="preserve">.5 through </w:t>
      </w:r>
      <w:r w:rsidR="00EC67B9">
        <w:t>7</w:t>
      </w:r>
      <w:r w:rsidRPr="00711B22">
        <w:t xml:space="preserve">.8 display probabilities rather than LRs. </w:t>
      </w:r>
      <w:r w:rsidR="0055385B">
        <w:t xml:space="preserve">This is common for multivariable models, including classification trees.  Instead of providing an LR with which to update a pre-test probability estimate, the models tend to provide </w:t>
      </w:r>
      <w:r w:rsidR="004E6467">
        <w:t>the post-test probability estimate di</w:t>
      </w:r>
      <w:r w:rsidR="00120CED">
        <w:t xml:space="preserve">rectly.  </w:t>
      </w:r>
      <w:r w:rsidR="002A4951">
        <w:t>As mentioned above, t</w:t>
      </w:r>
      <w:r w:rsidR="002A4951" w:rsidRPr="00711B22">
        <w:t xml:space="preserve">he user is allowed to specify </w:t>
      </w:r>
      <w:r w:rsidR="002A4951">
        <w:t xml:space="preserve">a loss matrix, which in the two-category case is equivalent to specifying the ratio B:C </w:t>
      </w:r>
      <w:r w:rsidR="002A4951" w:rsidRPr="00711B22">
        <w:t>– that is, how much worse it is to have a false-negative than a false-positive result. For the febrile in</w:t>
      </w:r>
      <w:r w:rsidR="002A4951">
        <w:t>fant study example (</w:t>
      </w:r>
      <w:r w:rsidR="002664C8">
        <w:t>Figure 7.7</w:t>
      </w:r>
      <w:r w:rsidR="002A4951" w:rsidRPr="00711B22">
        <w:t>), the tree resulted from an analysis with the ratio of false-negative to false-positive misclassification costs set at 50:1.</w:t>
      </w:r>
    </w:p>
    <w:p w14:paraId="4E083940" w14:textId="131CFA25" w:rsidR="00AA20A6" w:rsidRDefault="00061804" w:rsidP="00AA20A6">
      <w:pPr>
        <w:pStyle w:val="NormalWeb"/>
      </w:pPr>
      <w:r>
        <w:t>Classification trees</w:t>
      </w:r>
      <w:r w:rsidR="007E4D31" w:rsidRPr="00711B22">
        <w:t xml:space="preserve"> handle continuous test results by selecting cut-offs to dichotomize the results. </w:t>
      </w:r>
      <w:r w:rsidR="00E155F2">
        <w:t xml:space="preserve"> Because the software will try every possible cutoff to find the one that performs best, the cutoffs for continuous variables are unlikely to be round numbers. If you see a clinical prediction rule or decision tree with odd-looking cutoffs for continuous variables, it is likely the result of a classification tree analysis and likely to be subject to some degree of overfitting, as will be discussed below.</w:t>
      </w:r>
      <w:r w:rsidR="002A39A4">
        <w:t xml:space="preserve">  </w:t>
      </w:r>
      <w:r w:rsidR="00AA20A6">
        <w:t>As we often did in Chapter 3, we can convert a continuous variable into an ordinal variable by choosing our own dividing points to break up the range of possible values into a small number of results.  Then, the dividing points can be round numbers.  Classification-tree algorithms deal well with ordinal variables.</w:t>
      </w:r>
    </w:p>
    <w:p w14:paraId="37634EE6" w14:textId="02BA58B5" w:rsidR="003951CB" w:rsidRDefault="007E4D31" w:rsidP="00057CE9">
      <w:pPr>
        <w:pStyle w:val="NormalWeb"/>
      </w:pPr>
      <w:r w:rsidRPr="00711B22">
        <w:t xml:space="preserve">As we discussed in Chapter </w:t>
      </w:r>
      <w:r w:rsidR="00E155F2">
        <w:t>3</w:t>
      </w:r>
      <w:r w:rsidRPr="00711B22">
        <w:t xml:space="preserve">, selecting a </w:t>
      </w:r>
      <w:r w:rsidR="00191BDE" w:rsidRPr="00711B22">
        <w:t>fi</w:t>
      </w:r>
      <w:r w:rsidRPr="00711B22">
        <w:t xml:space="preserve">xed cut-off to dichotomize a test reduces the information to be gained from it because a result just on the abnormal side of the cut-off is equated with a result that is maximally abnormal. However, with </w:t>
      </w:r>
      <w:r w:rsidR="00061804">
        <w:t>classification trees</w:t>
      </w:r>
      <w:r w:rsidRPr="00711B22">
        <w:t xml:space="preserve">, you are not necessarily </w:t>
      </w:r>
      <w:r w:rsidR="00A17603">
        <w:t>finished</w:t>
      </w:r>
      <w:r w:rsidR="00A17603" w:rsidRPr="00711B22">
        <w:t xml:space="preserve"> </w:t>
      </w:r>
      <w:r w:rsidRPr="00711B22">
        <w:t xml:space="preserve">with a variable once you have dichotomized it. For example, an algorithm for predicting </w:t>
      </w:r>
      <w:r w:rsidR="00651418">
        <w:t xml:space="preserve">bacterial </w:t>
      </w:r>
      <w:r w:rsidRPr="00711B22">
        <w:t xml:space="preserve">meningitis from CSF </w:t>
      </w:r>
      <w:r w:rsidR="00191BDE" w:rsidRPr="00711B22">
        <w:t>fi</w:t>
      </w:r>
      <w:r w:rsidRPr="00711B22">
        <w:t xml:space="preserve">ndings might </w:t>
      </w:r>
      <w:r w:rsidR="00191BDE" w:rsidRPr="00711B22">
        <w:t>fi</w:t>
      </w:r>
      <w:r w:rsidRPr="00711B22">
        <w:t>rst dichotomize the CSF WBC count</w:t>
      </w:r>
      <w:r w:rsidR="004B484C" w:rsidRPr="00711B22">
        <w:t xml:space="preserve"> (per mm</w:t>
      </w:r>
      <w:r w:rsidR="004B484C" w:rsidRPr="00711B22">
        <w:rPr>
          <w:vertAlign w:val="superscript"/>
        </w:rPr>
        <w:t>3</w:t>
      </w:r>
      <w:r w:rsidR="004B484C" w:rsidRPr="00711B22">
        <w:t>) at 1,000; and then, if it was &lt;1,000, dichotomize again at 100, where patients with CSF WBC count between 100 and 1,000 would be classi</w:t>
      </w:r>
      <w:r w:rsidR="00191BDE" w:rsidRPr="00711B22">
        <w:t>fi</w:t>
      </w:r>
      <w:r w:rsidR="004B484C" w:rsidRPr="00711B22">
        <w:t xml:space="preserve">ed as high risk for bacterial meningitis if they had some other </w:t>
      </w:r>
      <w:r w:rsidR="00191BDE" w:rsidRPr="00711B22">
        <w:t>fi</w:t>
      </w:r>
      <w:r w:rsidR="004B484C" w:rsidRPr="00711B22">
        <w:t>nding (e.g., low CSF glucose) as well.</w:t>
      </w:r>
    </w:p>
    <w:p w14:paraId="70AA7BE5" w14:textId="181616DD" w:rsidR="00CF14CD" w:rsidRDefault="00607565" w:rsidP="004B484C">
      <w:pPr>
        <w:pStyle w:val="NormalWeb"/>
      </w:pPr>
      <w:r>
        <w:t xml:space="preserve">Obviously, using classification trees to combine tests </w:t>
      </w:r>
      <w:r w:rsidR="0076022D">
        <w:t>produces</w:t>
      </w:r>
      <w:r w:rsidR="00E40C06">
        <w:t xml:space="preserve"> trees, </w:t>
      </w:r>
      <w:r>
        <w:t>not scores, formulas, or nomograms</w:t>
      </w:r>
      <w:r w:rsidR="00E40C06">
        <w:t>.  O</w:t>
      </w:r>
      <w:r>
        <w:t>ur next method for combining tests, logistic regression, does</w:t>
      </w:r>
      <w:r w:rsidR="00E40C06">
        <w:t xml:space="preserve"> </w:t>
      </w:r>
      <w:r w:rsidR="0076022D">
        <w:t>produce</w:t>
      </w:r>
      <w:r w:rsidR="00E40C06">
        <w:t xml:space="preserve"> scores, formulas, or nomograms</w:t>
      </w:r>
      <w:r>
        <w:t xml:space="preserve">.  </w:t>
      </w:r>
      <w:r w:rsidR="00514CCF">
        <w:t xml:space="preserve">We can still evaluate the predictions from a classification tree using the methods covered in the </w:t>
      </w:r>
      <w:r w:rsidR="00C83648">
        <w:t>last</w:t>
      </w:r>
      <w:r w:rsidR="00514CCF">
        <w:t xml:space="preserve"> chapter</w:t>
      </w:r>
      <w:r w:rsidR="008C2FBE">
        <w:t>,</w:t>
      </w:r>
      <w:r w:rsidR="00514CCF">
        <w:t xml:space="preserve"> such as calibration plots, ROC curves, net benefit calculations, and decision curves.  However, since a classification tree breaks the population into groups with discrete </w:t>
      </w:r>
      <w:r w:rsidR="00AA732E">
        <w:t xml:space="preserve">or </w:t>
      </w:r>
      <w:r w:rsidR="00514CCF">
        <w:t xml:space="preserve">“lumpy” risk </w:t>
      </w:r>
      <w:r w:rsidR="00514CCF">
        <w:lastRenderedPageBreak/>
        <w:t xml:space="preserve">estimates, </w:t>
      </w:r>
      <w:r w:rsidR="002F3FFC">
        <w:t>it is difficult to divide the population into quantiles of risk</w:t>
      </w:r>
      <w:r w:rsidR="0076022D">
        <w:t xml:space="preserve"> for the calibration plot</w:t>
      </w:r>
      <w:r w:rsidR="002F3FFC">
        <w:t xml:space="preserve">, and the </w:t>
      </w:r>
      <w:r w:rsidR="00514CCF">
        <w:t>decision curves</w:t>
      </w:r>
      <w:r w:rsidR="002F3FFC">
        <w:t xml:space="preserve"> will not be smooth (as in </w:t>
      </w:r>
      <w:r w:rsidR="00580EC7">
        <w:t xml:space="preserve">Box 6.3) but </w:t>
      </w:r>
      <w:r w:rsidR="002F3FFC">
        <w:t xml:space="preserve">piecewise linear </w:t>
      </w:r>
      <w:r w:rsidR="00580EC7">
        <w:t xml:space="preserve">as in Figure 6.7.  </w:t>
      </w:r>
      <w:r>
        <w:t>C</w:t>
      </w:r>
      <w:r w:rsidR="00514CCF">
        <w:t>l</w:t>
      </w:r>
      <w:r>
        <w:t>assification trees do</w:t>
      </w:r>
      <w:r w:rsidRPr="00711B22">
        <w:t xml:space="preserve"> not assume that the risk of disease changes monotonically with a continuous test result. </w:t>
      </w:r>
      <w:r>
        <w:t xml:space="preserve"> </w:t>
      </w:r>
      <w:r w:rsidRPr="00711B22">
        <w:t xml:space="preserve">However, if risk does change monotonically with a continuous test result, logistic regression </w:t>
      </w:r>
      <w:r w:rsidR="00864C60">
        <w:t xml:space="preserve">generally </w:t>
      </w:r>
      <w:r w:rsidRPr="00711B22">
        <w:t>provides a more efficient use of the data in predicting the risk of disease.</w:t>
      </w:r>
    </w:p>
    <w:p w14:paraId="698735CE" w14:textId="77777777" w:rsidR="00AF70C0" w:rsidRPr="00711B22" w:rsidRDefault="00AF70C0" w:rsidP="004B484C">
      <w:pPr>
        <w:pStyle w:val="NormalWeb"/>
      </w:pPr>
      <w:r>
        <w:rPr>
          <w:noProof/>
        </w:rPr>
        <w:drawing>
          <wp:inline distT="0" distB="0" distL="0" distR="0" wp14:anchorId="7DFFB936" wp14:editId="56715A15">
            <wp:extent cx="5486400" cy="622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7.7.png"/>
                    <pic:cNvPicPr/>
                  </pic:nvPicPr>
                  <pic:blipFill>
                    <a:blip r:embed="rId17"/>
                    <a:stretch>
                      <a:fillRect/>
                    </a:stretch>
                  </pic:blipFill>
                  <pic:spPr>
                    <a:xfrm>
                      <a:off x="0" y="0"/>
                      <a:ext cx="5486400" cy="6223000"/>
                    </a:xfrm>
                    <a:prstGeom prst="rect">
                      <a:avLst/>
                    </a:prstGeom>
                  </pic:spPr>
                </pic:pic>
              </a:graphicData>
            </a:graphic>
          </wp:inline>
        </w:drawing>
      </w:r>
    </w:p>
    <w:p w14:paraId="032820C1" w14:textId="48EE704F" w:rsidR="003951CB" w:rsidRPr="00711B22" w:rsidRDefault="002664C8" w:rsidP="00BD31DC">
      <w:pPr>
        <w:pStyle w:val="NormalWeb"/>
      </w:pPr>
      <w:r>
        <w:rPr>
          <w:highlight w:val="yellow"/>
        </w:rPr>
        <w:t>Figure 7.6</w:t>
      </w:r>
      <w:r w:rsidR="004B484C" w:rsidRPr="00711B22">
        <w:t xml:space="preserve"> </w:t>
      </w:r>
      <w:r w:rsidR="002C07B9">
        <w:t>Classification tree</w:t>
      </w:r>
      <w:r w:rsidR="007E4D31" w:rsidRPr="00711B22">
        <w:t xml:space="preserve"> to predict the likelihood that a chest pain patient has myocardial infarction (Goldman et al. 1988; Lee et al. 1991)</w:t>
      </w:r>
      <w:r w:rsidR="00DA779C">
        <w:fldChar w:fldCharType="begin">
          <w:fldData xml:space="preserve">PEVuZE5vdGU+PENpdGU+PEF1dGhvcj5Hb2xkbWFuPC9BdXRob3I+PFllYXI+MTk4ODwvWWVhcj48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</w:fldData>
        </w:fldChar>
      </w:r>
      <w:r w:rsidR="00DA779C">
        <w:instrText xml:space="preserve"> ADDIN EN.CITE </w:instrText>
      </w:r>
      <w:r w:rsidR="00DA779C">
        <w:fldChar w:fldCharType="begin">
          <w:fldData xml:space="preserve">PEVuZE5vdGU+PENpdGU+PEF1dGhvcj5Hb2xkbWFuPC9BdXRob3I+PFllYXI+MTk4ODwvWWVhcj48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</w:fldData>
        </w:fldChar>
      </w:r>
      <w:r w:rsidR="00DA779C">
        <w:instrText xml:space="preserve"> ADDIN EN.CITE.DATA </w:instrText>
      </w:r>
      <w:r w:rsidR="00DA779C">
        <w:fldChar w:fldCharType="end"/>
      </w:r>
      <w:r w:rsidR="00DA779C">
        <w:fldChar w:fldCharType="separate"/>
      </w:r>
      <w:r w:rsidR="00DA779C">
        <w:rPr>
          <w:noProof/>
        </w:rPr>
        <w:t>[8, 10]</w:t>
      </w:r>
      <w:r w:rsidR="00DA779C">
        <w:fldChar w:fldCharType="end"/>
      </w:r>
      <w:r w:rsidR="007E4D31" w:rsidRPr="00711B22">
        <w:t>.</w:t>
      </w:r>
      <w:r w:rsidR="00583214">
        <w:t xml:space="preserve">  </w:t>
      </w:r>
      <w:r w:rsidR="00583214" w:rsidRPr="00711B22">
        <w:t>The percentages</w:t>
      </w:r>
      <w:r w:rsidR="00583214">
        <w:t xml:space="preserve"> at </w:t>
      </w:r>
      <w:r w:rsidR="00583214">
        <w:lastRenderedPageBreak/>
        <w:t>each branch-point or terminal node (leaf)</w:t>
      </w:r>
      <w:r w:rsidR="00583214" w:rsidRPr="00711B22">
        <w:t xml:space="preserve"> represent the proportion of patients with acute myocardial infarction.</w:t>
      </w:r>
    </w:p>
    <w:p w14:paraId="211174A0" w14:textId="77777777" w:rsidR="00AF70C0" w:rsidRPr="00711B22" w:rsidRDefault="00AF70C0" w:rsidP="006E18EF">
      <w:pPr>
        <w:pStyle w:val="NormalWeb"/>
      </w:pPr>
      <w:r>
        <w:rPr>
          <w:noProof/>
        </w:rPr>
        <w:drawing>
          <wp:inline distT="0" distB="0" distL="0" distR="0" wp14:anchorId="5599AF12" wp14:editId="03DE1E68">
            <wp:extent cx="5486400" cy="38582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7.8.png"/>
                    <pic:cNvPicPr/>
                  </pic:nvPicPr>
                  <pic:blipFill>
                    <a:blip r:embed="rId18"/>
                    <a:stretch>
                      <a:fillRect/>
                    </a:stretch>
                  </pic:blipFill>
                  <pic:spPr>
                    <a:xfrm>
                      <a:off x="0" y="0"/>
                      <a:ext cx="5486400" cy="3858260"/>
                    </a:xfrm>
                    <a:prstGeom prst="rect">
                      <a:avLst/>
                    </a:prstGeom>
                  </pic:spPr>
                </pic:pic>
              </a:graphicData>
            </a:graphic>
          </wp:inline>
        </w:drawing>
      </w:r>
    </w:p>
    <w:p w14:paraId="35B3F1AC" w14:textId="3C417638" w:rsidR="002619F9" w:rsidRPr="00711B22" w:rsidRDefault="002664C8" w:rsidP="006E18EF">
      <w:pPr>
        <w:pStyle w:val="NormalWeb"/>
      </w:pPr>
      <w:r>
        <w:rPr>
          <w:highlight w:val="yellow"/>
        </w:rPr>
        <w:t>Figure 7.7</w:t>
      </w:r>
      <w:r w:rsidR="007E4D31" w:rsidRPr="00711B22">
        <w:t xml:space="preserve"> </w:t>
      </w:r>
      <w:r w:rsidR="002C07B9">
        <w:t>Classification tree</w:t>
      </w:r>
      <w:r w:rsidR="007E4D31" w:rsidRPr="00711B22">
        <w:t xml:space="preserve"> combining general appearance, age in </w:t>
      </w:r>
      <w:r w:rsidR="00C91AF0">
        <w:t>days</w:t>
      </w:r>
      <w:r w:rsidR="007E4D31" w:rsidRPr="00711B22">
        <w:t xml:space="preserve">, and temperature to determine likelihood of bacteremia or bacterial meningitis in febrile infants </w:t>
      </w:r>
      <w:r w:rsidR="00C91AF0">
        <w:t xml:space="preserve">≤ </w:t>
      </w:r>
      <w:r w:rsidR="007E4D31" w:rsidRPr="00711B22">
        <w:t>3 months old</w:t>
      </w:r>
      <w:r w:rsidR="00960AB7">
        <w:t xml:space="preserve">. </w:t>
      </w:r>
      <w:r w:rsidR="00DA779C">
        <w:fldChar w:fldCharType="begin"/>
      </w:r>
      <w:r w:rsidR="00DA779C">
        <w:instrText xml:space="preserve"> ADDIN EN.CITE &lt;EndNote&gt;&lt;Cite&gt;&lt;Author&gt;Pantell&lt;/Author&gt;&lt;Year&gt;2004&lt;/Year&gt;&lt;RecNum&gt;132&lt;/RecNum&gt;&lt;DisplayText&gt;[9]&lt;/DisplayText&gt;&lt;record&gt;&lt;rec-number&gt;132&lt;/rec-number&gt;&lt;foreign-keys&gt;&lt;key app="EN" db-id="0ftvff9p80fp5few5s05f5fw9rd9fefrdzer" timestamp="0"&gt;132&lt;/key&gt;&lt;/foreign-keys&gt;&lt;ref-type name="Journal Article"&gt;17&lt;/ref-type&gt;&lt;contributors&gt;&lt;authors&gt;&lt;author&gt;Pantell, R. H.&lt;/author&gt;&lt;author&gt;Newman, T. B.&lt;/author&gt;&lt;author&gt;Bernzweig, J.&lt;/author&gt;&lt;author&gt;Bergman, D. A.&lt;/author&gt;&lt;author&gt;Takayama, J. I.&lt;/author&gt;&lt;author&gt;Segal, M.&lt;/author&gt;&lt;author&gt;Finch, S. A.&lt;/author&gt;&lt;author&gt;Wasserman, R. C.&lt;/author&gt;&lt;/authors&gt;&lt;/contributors&gt;&lt;auth-address&gt;Division of General Pediatrics, Department of Pediatrics, School of Medicine, University of California, San Francisco 94143-0503, USA. pantell@itsa.ucsf.edu&lt;/auth-address&gt;&lt;titles&gt;&lt;title&gt;Management and outcomes of care of fever in early infancy&lt;/title&gt;&lt;secondary-title&gt;JAMA&lt;/secondary-title&gt;&lt;/titles&gt;&lt;periodical&gt;&lt;full-title&gt;JAMA&lt;/full-title&gt;&lt;/periodical&gt;&lt;pages&gt;1203-12&lt;/pages&gt;&lt;volume&gt;291&lt;/volume&gt;&lt;number&gt;10&lt;/number&gt;&lt;keywords&gt;&lt;keyword&gt;Bacteremia/*diagnosis&lt;/keyword&gt;&lt;keyword&gt;Critical Pathways&lt;/keyword&gt;&lt;keyword&gt;*Decision Support Techniques&lt;/keyword&gt;&lt;keyword&gt;Disease Management&lt;/keyword&gt;&lt;keyword&gt;Female&lt;/keyword&gt;&lt;keyword&gt;Fever/*etiology/physiopathology/*therapy&lt;/keyword&gt;&lt;keyword&gt;Human&lt;/keyword&gt;&lt;keyword&gt;Infant&lt;/keyword&gt;&lt;keyword&gt;Infant, Newborn&lt;/keyword&gt;&lt;keyword&gt;Male&lt;/keyword&gt;&lt;keyword&gt;Meningitis, Bacterial/*diagnosis&lt;/keyword&gt;&lt;keyword&gt;Pediatrics&lt;/keyword&gt;&lt;keyword&gt;*Physician&amp;apos;s Practice Patterns&lt;/keyword&gt;&lt;keyword&gt;Prospective Studies&lt;/keyword&gt;&lt;keyword&gt;Support, U.S. Gov&amp;apos;t, P.H.S.&lt;/keyword&gt;&lt;keyword&gt;Treatment Outcome&lt;/keyword&gt;&lt;keyword&gt;United States&lt;/keyword&gt;&lt;/keywords&gt;&lt;dates&gt;&lt;year&gt;2004&lt;/year&gt;&lt;pub-dates&gt;&lt;date&gt;Mar 10&lt;/date&gt;&lt;/pub-dates&gt;&lt;/dates&gt;&lt;accession-num&gt;15010441&lt;/accession-num&gt;&lt;urls&gt;&lt;related-urls&gt;&lt;url&gt;http://www.ncbi.nlm.nih.gov/entrez/query.fcgi?cmd=Retrieve&amp;amp;db=PubMed&amp;amp;dopt=Citation&amp;amp;list_uids=15010441&lt;/url&gt;&lt;/related-urls&gt;&lt;/urls&gt;&lt;/record&gt;&lt;/Cite&gt;&lt;/EndNote&gt;</w:instrText>
      </w:r>
      <w:r w:rsidR="00DA779C">
        <w:fldChar w:fldCharType="separate"/>
      </w:r>
      <w:r w:rsidR="00DA779C">
        <w:rPr>
          <w:noProof/>
        </w:rPr>
        <w:t>[9]</w:t>
      </w:r>
      <w:r w:rsidR="00DA779C">
        <w:fldChar w:fldCharType="end"/>
      </w:r>
      <w:r w:rsidR="007E4D31" w:rsidRPr="00711B22">
        <w:t>. Used with permission.</w:t>
      </w:r>
    </w:p>
    <w:p w14:paraId="534B1B44" w14:textId="77777777" w:rsidR="002619F9" w:rsidRPr="00711B22" w:rsidRDefault="007E4D31" w:rsidP="00FD2316">
      <w:pPr>
        <w:pStyle w:val="Heading2"/>
      </w:pPr>
      <w:r w:rsidRPr="00711B22">
        <w:t>Logistic regression</w:t>
      </w:r>
    </w:p>
    <w:p w14:paraId="0361D9FF" w14:textId="222C53F8" w:rsidR="003951CB" w:rsidRPr="00711B22" w:rsidRDefault="007E4D31" w:rsidP="005C0E8A">
      <w:pPr>
        <w:pStyle w:val="NormalWeb"/>
      </w:pPr>
      <w:r w:rsidRPr="00711B22">
        <w:t xml:space="preserve">Partially because </w:t>
      </w:r>
      <w:r w:rsidR="001F75C1">
        <w:t xml:space="preserve">classification trees </w:t>
      </w:r>
      <w:r w:rsidRPr="00711B22">
        <w:t>deal less ef</w:t>
      </w:r>
      <w:r w:rsidR="00191BDE" w:rsidRPr="00711B22">
        <w:t>fi</w:t>
      </w:r>
      <w:r w:rsidRPr="00711B22">
        <w:t xml:space="preserve">ciently with continuous variables than with discrete variables, </w:t>
      </w:r>
      <w:r w:rsidR="00172B2D">
        <w:t>a</w:t>
      </w:r>
      <w:r w:rsidRPr="00711B22">
        <w:t xml:space="preserve"> popular way to accommodate the results of multiple tests where at least some results are continuous is multiple logistic regression modeling</w:t>
      </w:r>
      <w:r w:rsidR="009F146C" w:rsidRPr="009F146C">
        <w:t xml:space="preserve"> </w:t>
      </w:r>
      <w:r w:rsidR="00DA779C">
        <w:fldChar w:fldCharType="begin">
          <w:fldData xml:space="preserve">PEVuZE5vdGU+PENpdGU+PEF1dGhvcj5TdG9sdHpmdXM8L0F1dGhvcj48WWVhcj4yMDExPC9ZZWFy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</w:fldData>
        </w:fldChar>
      </w:r>
      <w:r w:rsidR="00DA779C">
        <w:instrText xml:space="preserve"> ADDIN EN.CITE </w:instrText>
      </w:r>
      <w:r w:rsidR="00DA779C">
        <w:fldChar w:fldCharType="begin">
          <w:fldData xml:space="preserve">PEVuZE5vdGU+PENpdGU+PEF1dGhvcj5TdG9sdHpmdXM8L0F1dGhvcj48WWVhcj4yMDExPC9ZZWFy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</w:fldData>
        </w:fldChar>
      </w:r>
      <w:r w:rsidR="00DA779C">
        <w:instrText xml:space="preserve"> ADDIN EN.CITE.DATA </w:instrText>
      </w:r>
      <w:r w:rsidR="00DA779C">
        <w:fldChar w:fldCharType="end"/>
      </w:r>
      <w:r w:rsidR="00DA779C">
        <w:fldChar w:fldCharType="separate"/>
      </w:r>
      <w:r w:rsidR="00DA779C">
        <w:rPr>
          <w:noProof/>
        </w:rPr>
        <w:t>[11, 12]</w:t>
      </w:r>
      <w:r w:rsidR="00DA779C">
        <w:fldChar w:fldCharType="end"/>
      </w:r>
      <w:r w:rsidRPr="00711B22">
        <w:t xml:space="preserve">. </w:t>
      </w:r>
      <w:r w:rsidR="001F75C1">
        <w:t xml:space="preserve"> </w:t>
      </w:r>
      <w:r w:rsidRPr="00711B22">
        <w:t xml:space="preserve">In Chapter </w:t>
      </w:r>
      <w:r w:rsidR="001F75C1">
        <w:t>2</w:t>
      </w:r>
      <w:r w:rsidRPr="00711B22">
        <w:t xml:space="preserve">, we used odds instead of probabilities in </w:t>
      </w:r>
      <w:proofErr w:type="spellStart"/>
      <w:r w:rsidRPr="00711B22">
        <w:t>Bayes</w:t>
      </w:r>
      <w:r w:rsidR="003951CB" w:rsidRPr="00711B22">
        <w:t>’</w:t>
      </w:r>
      <w:r w:rsidRPr="00711B22">
        <w:t>s</w:t>
      </w:r>
      <w:proofErr w:type="spellEnd"/>
      <w:r w:rsidRPr="00711B22">
        <w:t xml:space="preserve"> Theorem. Unlike probabilities, odds do not have an upper bound of 1, and pre-test odds can be multiplied by the LR of a test result to get post-test odds. </w:t>
      </w:r>
      <w:proofErr w:type="gramStart"/>
      <w:r w:rsidRPr="00711B22">
        <w:t>Also</w:t>
      </w:r>
      <w:proofErr w:type="gramEnd"/>
      <w:r w:rsidRPr="00711B22">
        <w:t xml:space="preserve"> in Chapter </w:t>
      </w:r>
      <w:r w:rsidR="001F75C1">
        <w:t>2</w:t>
      </w:r>
      <w:r w:rsidRPr="00711B22">
        <w:t xml:space="preserve">, we converted this multiplication into addition by replacing odds with their logarithms on the LR slide rule. </w:t>
      </w:r>
      <w:r w:rsidR="00B70272">
        <w:t xml:space="preserve">Unlike both odds and probabilities, logarithms do not have a lower bound of 0.  </w:t>
      </w:r>
      <w:r w:rsidRPr="00711B22">
        <w:t xml:space="preserve">Logistic regression takes advantage of these desirable properties of odds </w:t>
      </w:r>
      <w:r w:rsidR="00B70272">
        <w:t xml:space="preserve">and logarithms </w:t>
      </w:r>
      <w:r w:rsidRPr="00711B22">
        <w:t>(compared with probabilities) and models the natural logarithm of the odds of disease [ln(odds)] as a linear function of the test results.</w:t>
      </w:r>
    </w:p>
    <w:tbl>
      <w:tblPr>
        <w:tblW w:w="0" w:type="auto"/>
        <w:tblInd w:w="3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238"/>
      </w:tblGrid>
      <w:tr w:rsidR="005C0E8A" w:rsidRPr="00711B22" w14:paraId="647C2775" w14:textId="77777777" w:rsidTr="00E155F2">
        <w:trPr>
          <w:trHeight w:val="3134"/>
        </w:trPr>
        <w:tc>
          <w:tcPr>
            <w:tcW w:w="8972" w:type="dxa"/>
            <w:shd w:val="clear" w:color="auto" w:fill="auto"/>
          </w:tcPr>
          <w:p w14:paraId="36F7B240" w14:textId="23AEE6F5" w:rsidR="00927FA1" w:rsidRDefault="00222273" w:rsidP="00222273">
            <w:pPr>
              <w:pStyle w:val="NormalWeb"/>
              <w:rPr>
                <w:b/>
              </w:rPr>
            </w:pPr>
            <w:r w:rsidRPr="00711B22">
              <w:rPr>
                <w:b/>
              </w:rPr>
              <w:lastRenderedPageBreak/>
              <w:t xml:space="preserve">Box </w:t>
            </w:r>
            <w:r w:rsidR="00EC67B9">
              <w:rPr>
                <w:b/>
              </w:rPr>
              <w:t>7</w:t>
            </w:r>
            <w:r w:rsidRPr="00711B22">
              <w:rPr>
                <w:b/>
              </w:rPr>
              <w:t xml:space="preserve">.2: How to calculate the </w:t>
            </w:r>
            <w:r w:rsidR="00927FA1">
              <w:rPr>
                <w:b/>
              </w:rPr>
              <w:t xml:space="preserve">odds ratio (OR) </w:t>
            </w:r>
            <w:r w:rsidRPr="00711B22">
              <w:rPr>
                <w:b/>
              </w:rPr>
              <w:t xml:space="preserve">for </w:t>
            </w:r>
            <w:r w:rsidR="00927FA1">
              <w:rPr>
                <w:b/>
              </w:rPr>
              <w:t>nasal bone absence (</w:t>
            </w:r>
            <w:r w:rsidRPr="00711B22">
              <w:rPr>
                <w:b/>
              </w:rPr>
              <w:t>NBA</w:t>
            </w:r>
            <w:r w:rsidR="00927FA1">
              <w:rPr>
                <w:b/>
              </w:rPr>
              <w:t>)</w:t>
            </w:r>
            <w:r w:rsidRPr="00711B22">
              <w:rPr>
                <w:b/>
              </w:rPr>
              <w:t xml:space="preserve"> in the diagnosis of trisomy 21</w:t>
            </w:r>
            <w:r w:rsidR="00927FA1">
              <w:rPr>
                <w:b/>
              </w:rPr>
              <w:t>.</w:t>
            </w:r>
          </w:p>
          <w:p w14:paraId="5BF4BA64" w14:textId="09BD1C6A" w:rsidR="005C0E8A" w:rsidRPr="00711B22" w:rsidRDefault="00222273" w:rsidP="00222273">
            <w:pPr>
              <w:pStyle w:val="NormalWeb"/>
            </w:pPr>
            <w:r w:rsidRPr="00711B22">
              <w:t xml:space="preserve"> Here are the data on the nasal bone exam in fetuses with and without trisomy 21:</w:t>
            </w:r>
          </w:p>
          <w:tbl>
            <w:tblPr>
              <w:tblW w:w="0" w:type="auto"/>
              <w:tblInd w:w="42" w:type="dxa"/>
              <w:tblCellMar>
                <w:left w:w="40" w:type="dxa"/>
                <w:right w:w="40" w:type="dxa"/>
              </w:tblCellMar>
              <w:tblLook w:val="0000" w:firstRow="0" w:lastRow="0" w:firstColumn="0" w:lastColumn="0" w:noHBand="0" w:noVBand="0"/>
            </w:tblPr>
            <w:tblGrid>
              <w:gridCol w:w="731"/>
              <w:gridCol w:w="772"/>
              <w:gridCol w:w="1092"/>
              <w:gridCol w:w="1475"/>
              <w:gridCol w:w="2340"/>
            </w:tblGrid>
            <w:tr w:rsidR="00222273" w:rsidRPr="00711B22" w14:paraId="3E65F488" w14:textId="77777777">
              <w:trPr>
                <w:trHeight w:hRule="exact" w:val="446"/>
              </w:trPr>
              <w:tc>
                <w:tcPr>
                  <w:tcW w:w="6406" w:type="dxa"/>
                  <w:gridSpan w:val="5"/>
                  <w:tcBorders>
                    <w:top w:val="single" w:sz="6" w:space="0" w:color="auto"/>
                    <w:left w:val="nil"/>
                    <w:bottom w:val="single" w:sz="6" w:space="0" w:color="auto"/>
                    <w:right w:val="nil"/>
                  </w:tcBorders>
                  <w:shd w:val="clear" w:color="auto" w:fill="FFFFFF"/>
                </w:tcPr>
                <w:p w14:paraId="569F755A" w14:textId="77777777" w:rsidR="00222273" w:rsidRPr="00711B22" w:rsidRDefault="00222273" w:rsidP="00F07386">
                  <w:pPr>
                    <w:pStyle w:val="NITable"/>
                    <w:jc w:val="center"/>
                  </w:pPr>
                  <w:r w:rsidRPr="00711B22">
                    <w:t>Trisomy 21</w:t>
                  </w:r>
                </w:p>
              </w:tc>
            </w:tr>
            <w:tr w:rsidR="00222273" w:rsidRPr="00711B22" w14:paraId="396FE066" w14:textId="77777777">
              <w:trPr>
                <w:trHeight w:hRule="exact" w:val="373"/>
              </w:trPr>
              <w:tc>
                <w:tcPr>
                  <w:tcW w:w="731" w:type="dxa"/>
                  <w:tcBorders>
                    <w:top w:val="single" w:sz="6" w:space="0" w:color="auto"/>
                    <w:left w:val="nil"/>
                    <w:bottom w:val="nil"/>
                    <w:right w:val="nil"/>
                  </w:tcBorders>
                  <w:shd w:val="clear" w:color="auto" w:fill="FFFFFF"/>
                </w:tcPr>
                <w:p w14:paraId="6862E264" w14:textId="77777777" w:rsidR="00222273" w:rsidRPr="00711B22" w:rsidRDefault="00222273" w:rsidP="00F07386">
                  <w:pPr>
                    <w:pStyle w:val="NITable"/>
                  </w:pPr>
                </w:p>
              </w:tc>
              <w:tc>
                <w:tcPr>
                  <w:tcW w:w="768" w:type="dxa"/>
                  <w:tcBorders>
                    <w:top w:val="single" w:sz="6" w:space="0" w:color="auto"/>
                    <w:left w:val="nil"/>
                    <w:bottom w:val="nil"/>
                    <w:right w:val="nil"/>
                  </w:tcBorders>
                  <w:shd w:val="clear" w:color="auto" w:fill="FFFFFF"/>
                </w:tcPr>
                <w:p w14:paraId="34940021" w14:textId="77777777" w:rsidR="00222273" w:rsidRPr="00711B22" w:rsidRDefault="00222273" w:rsidP="00F07386">
                  <w:pPr>
                    <w:pStyle w:val="NITable"/>
                  </w:pPr>
                </w:p>
              </w:tc>
              <w:tc>
                <w:tcPr>
                  <w:tcW w:w="1092" w:type="dxa"/>
                  <w:tcBorders>
                    <w:top w:val="single" w:sz="6" w:space="0" w:color="auto"/>
                    <w:left w:val="nil"/>
                    <w:bottom w:val="nil"/>
                    <w:right w:val="nil"/>
                  </w:tcBorders>
                  <w:shd w:val="clear" w:color="auto" w:fill="FFFFFF"/>
                </w:tcPr>
                <w:p w14:paraId="2CD5B7BF" w14:textId="77777777" w:rsidR="00222273" w:rsidRPr="00091775" w:rsidRDefault="00222273" w:rsidP="00091775">
                  <w:pPr>
                    <w:pStyle w:val="NlTable"/>
                    <w:rPr>
                      <w:b/>
                    </w:rPr>
                  </w:pPr>
                  <w:r w:rsidRPr="00091775">
                    <w:rPr>
                      <w:b/>
                    </w:rPr>
                    <w:t>Yes</w:t>
                  </w:r>
                </w:p>
              </w:tc>
              <w:tc>
                <w:tcPr>
                  <w:tcW w:w="1475" w:type="dxa"/>
                  <w:tcBorders>
                    <w:top w:val="single" w:sz="6" w:space="0" w:color="auto"/>
                    <w:left w:val="nil"/>
                    <w:bottom w:val="nil"/>
                    <w:right w:val="nil"/>
                  </w:tcBorders>
                  <w:shd w:val="clear" w:color="auto" w:fill="FFFFFF"/>
                </w:tcPr>
                <w:p w14:paraId="1DF6F859" w14:textId="77777777" w:rsidR="00222273" w:rsidRPr="00091775" w:rsidRDefault="00222273" w:rsidP="00091775">
                  <w:pPr>
                    <w:pStyle w:val="NlTable"/>
                    <w:rPr>
                      <w:b/>
                    </w:rPr>
                  </w:pPr>
                  <w:r w:rsidRPr="00091775">
                    <w:rPr>
                      <w:b/>
                    </w:rPr>
                    <w:t>No</w:t>
                  </w:r>
                </w:p>
              </w:tc>
              <w:tc>
                <w:tcPr>
                  <w:tcW w:w="2340" w:type="dxa"/>
                  <w:tcBorders>
                    <w:top w:val="single" w:sz="6" w:space="0" w:color="auto"/>
                    <w:left w:val="nil"/>
                    <w:bottom w:val="nil"/>
                    <w:right w:val="nil"/>
                  </w:tcBorders>
                  <w:shd w:val="clear" w:color="auto" w:fill="FFFFFF"/>
                </w:tcPr>
                <w:p w14:paraId="26A23FA2" w14:textId="77777777" w:rsidR="00222273" w:rsidRPr="00091775" w:rsidRDefault="00222273" w:rsidP="00091775">
                  <w:pPr>
                    <w:pStyle w:val="NlTable"/>
                    <w:rPr>
                      <w:b/>
                    </w:rPr>
                  </w:pPr>
                  <w:r w:rsidRPr="00091775">
                    <w:rPr>
                      <w:b/>
                    </w:rPr>
                    <w:t>Odds</w:t>
                  </w:r>
                </w:p>
              </w:tc>
            </w:tr>
            <w:tr w:rsidR="00222273" w:rsidRPr="00711B22" w14:paraId="3CD115AC" w14:textId="77777777">
              <w:trPr>
                <w:trHeight w:hRule="exact" w:val="513"/>
              </w:trPr>
              <w:tc>
                <w:tcPr>
                  <w:tcW w:w="731" w:type="dxa"/>
                  <w:tcBorders>
                    <w:top w:val="nil"/>
                    <w:left w:val="nil"/>
                    <w:bottom w:val="nil"/>
                    <w:right w:val="nil"/>
                  </w:tcBorders>
                  <w:shd w:val="clear" w:color="auto" w:fill="FFFFFF"/>
                </w:tcPr>
                <w:p w14:paraId="14008BE3" w14:textId="77777777" w:rsidR="00222273" w:rsidRPr="00091775" w:rsidRDefault="00222273" w:rsidP="00091775">
                  <w:pPr>
                    <w:pStyle w:val="NlTable"/>
                    <w:rPr>
                      <w:b/>
                    </w:rPr>
                  </w:pPr>
                  <w:r w:rsidRPr="00091775">
                    <w:rPr>
                      <w:b/>
                    </w:rPr>
                    <w:t>NBA</w:t>
                  </w:r>
                </w:p>
              </w:tc>
              <w:tc>
                <w:tcPr>
                  <w:tcW w:w="768" w:type="dxa"/>
                  <w:tcBorders>
                    <w:top w:val="nil"/>
                    <w:left w:val="nil"/>
                    <w:bottom w:val="nil"/>
                    <w:right w:val="nil"/>
                  </w:tcBorders>
                  <w:shd w:val="clear" w:color="auto" w:fill="FFFFFF"/>
                </w:tcPr>
                <w:p w14:paraId="74034D57" w14:textId="77777777" w:rsidR="00222273" w:rsidRPr="00091775" w:rsidRDefault="00222273" w:rsidP="00091775">
                  <w:pPr>
                    <w:pStyle w:val="NlTable"/>
                    <w:rPr>
                      <w:b/>
                    </w:rPr>
                  </w:pPr>
                  <w:r w:rsidRPr="00091775">
                    <w:rPr>
                      <w:b/>
                    </w:rPr>
                    <w:t>Yes</w:t>
                  </w:r>
                </w:p>
              </w:tc>
              <w:tc>
                <w:tcPr>
                  <w:tcW w:w="1092" w:type="dxa"/>
                  <w:tcBorders>
                    <w:top w:val="nil"/>
                    <w:left w:val="nil"/>
                    <w:bottom w:val="nil"/>
                    <w:right w:val="nil"/>
                  </w:tcBorders>
                  <w:shd w:val="clear" w:color="auto" w:fill="FFFFFF"/>
                </w:tcPr>
                <w:p w14:paraId="3DBB068E" w14:textId="77777777" w:rsidR="00222273" w:rsidRPr="00711B22" w:rsidRDefault="00222273" w:rsidP="00F07386">
                  <w:pPr>
                    <w:pStyle w:val="NITable"/>
                  </w:pPr>
                  <w:r w:rsidRPr="00711B22">
                    <w:t>229</w:t>
                  </w:r>
                </w:p>
              </w:tc>
              <w:tc>
                <w:tcPr>
                  <w:tcW w:w="1475" w:type="dxa"/>
                  <w:tcBorders>
                    <w:top w:val="nil"/>
                    <w:left w:val="nil"/>
                    <w:bottom w:val="nil"/>
                    <w:right w:val="nil"/>
                  </w:tcBorders>
                  <w:shd w:val="clear" w:color="auto" w:fill="FFFFFF"/>
                </w:tcPr>
                <w:p w14:paraId="4AF74A7B" w14:textId="77777777" w:rsidR="00222273" w:rsidRPr="00711B22" w:rsidRDefault="00222273" w:rsidP="00202BC5">
                  <w:pPr>
                    <w:pStyle w:val="NITable"/>
                    <w:jc w:val="center"/>
                  </w:pPr>
                  <w:r w:rsidRPr="00711B22">
                    <w:t>129</w:t>
                  </w:r>
                </w:p>
              </w:tc>
              <w:tc>
                <w:tcPr>
                  <w:tcW w:w="2340" w:type="dxa"/>
                  <w:tcBorders>
                    <w:top w:val="nil"/>
                    <w:left w:val="nil"/>
                    <w:bottom w:val="nil"/>
                    <w:right w:val="nil"/>
                  </w:tcBorders>
                  <w:shd w:val="clear" w:color="auto" w:fill="FFFFFF"/>
                </w:tcPr>
                <w:p w14:paraId="0BF122CF" w14:textId="77777777" w:rsidR="00222273" w:rsidRPr="00711B22" w:rsidRDefault="00222273" w:rsidP="00F07386">
                  <w:pPr>
                    <w:pStyle w:val="NITable"/>
                  </w:pPr>
                  <w:r w:rsidRPr="00711B22">
                    <w:t xml:space="preserve">229/129 </w:t>
                  </w:r>
                  <w:r w:rsidRPr="006230D9">
                    <w:t xml:space="preserve">= </w:t>
                  </w:r>
                  <w:r w:rsidRPr="00711B22">
                    <w:t>1.775</w:t>
                  </w:r>
                </w:p>
              </w:tc>
            </w:tr>
            <w:tr w:rsidR="00222273" w:rsidRPr="00711B22" w14:paraId="46897151" w14:textId="77777777">
              <w:trPr>
                <w:trHeight w:hRule="exact" w:val="540"/>
              </w:trPr>
              <w:tc>
                <w:tcPr>
                  <w:tcW w:w="731" w:type="dxa"/>
                  <w:tcBorders>
                    <w:top w:val="nil"/>
                    <w:left w:val="nil"/>
                    <w:bottom w:val="nil"/>
                    <w:right w:val="nil"/>
                  </w:tcBorders>
                  <w:shd w:val="clear" w:color="auto" w:fill="FFFFFF"/>
                </w:tcPr>
                <w:p w14:paraId="3C394359" w14:textId="77777777" w:rsidR="00222273" w:rsidRPr="00711B22" w:rsidRDefault="00222273" w:rsidP="00F07386">
                  <w:pPr>
                    <w:pStyle w:val="NITable"/>
                  </w:pPr>
                </w:p>
              </w:tc>
              <w:tc>
                <w:tcPr>
                  <w:tcW w:w="768" w:type="dxa"/>
                  <w:tcBorders>
                    <w:top w:val="nil"/>
                    <w:left w:val="nil"/>
                    <w:bottom w:val="nil"/>
                    <w:right w:val="nil"/>
                  </w:tcBorders>
                  <w:shd w:val="clear" w:color="auto" w:fill="FFFFFF"/>
                </w:tcPr>
                <w:p w14:paraId="7BD97B54" w14:textId="77777777" w:rsidR="00222273" w:rsidRPr="00091775" w:rsidRDefault="00222273" w:rsidP="00091775">
                  <w:pPr>
                    <w:pStyle w:val="NlTable"/>
                    <w:rPr>
                      <w:b/>
                    </w:rPr>
                  </w:pPr>
                  <w:r w:rsidRPr="00091775">
                    <w:rPr>
                      <w:b/>
                    </w:rPr>
                    <w:t>No</w:t>
                  </w:r>
                </w:p>
              </w:tc>
              <w:tc>
                <w:tcPr>
                  <w:tcW w:w="1092" w:type="dxa"/>
                  <w:tcBorders>
                    <w:top w:val="nil"/>
                    <w:left w:val="nil"/>
                    <w:bottom w:val="nil"/>
                    <w:right w:val="nil"/>
                  </w:tcBorders>
                  <w:shd w:val="clear" w:color="auto" w:fill="FFFFFF"/>
                </w:tcPr>
                <w:p w14:paraId="615D4917" w14:textId="77777777" w:rsidR="00222273" w:rsidRPr="00711B22" w:rsidRDefault="00222273" w:rsidP="00F07386">
                  <w:pPr>
                    <w:pStyle w:val="NITable"/>
                  </w:pPr>
                  <w:r w:rsidRPr="00711B22">
                    <w:t>104</w:t>
                  </w:r>
                </w:p>
              </w:tc>
              <w:tc>
                <w:tcPr>
                  <w:tcW w:w="1475" w:type="dxa"/>
                  <w:tcBorders>
                    <w:top w:val="nil"/>
                    <w:left w:val="nil"/>
                    <w:bottom w:val="nil"/>
                    <w:right w:val="nil"/>
                  </w:tcBorders>
                  <w:shd w:val="clear" w:color="auto" w:fill="FFFFFF"/>
                </w:tcPr>
                <w:p w14:paraId="52C9CFB2" w14:textId="77777777" w:rsidR="00222273" w:rsidRPr="00711B22" w:rsidRDefault="00222273" w:rsidP="00202BC5">
                  <w:pPr>
                    <w:pStyle w:val="NITable"/>
                    <w:jc w:val="center"/>
                  </w:pPr>
                  <w:r w:rsidRPr="00711B22">
                    <w:t>5,094</w:t>
                  </w:r>
                </w:p>
              </w:tc>
              <w:tc>
                <w:tcPr>
                  <w:tcW w:w="2340" w:type="dxa"/>
                  <w:tcBorders>
                    <w:top w:val="nil"/>
                    <w:left w:val="nil"/>
                    <w:bottom w:val="nil"/>
                    <w:right w:val="nil"/>
                  </w:tcBorders>
                  <w:shd w:val="clear" w:color="auto" w:fill="FFFFFF"/>
                </w:tcPr>
                <w:p w14:paraId="2331BF6D" w14:textId="77777777" w:rsidR="00222273" w:rsidRPr="00711B22" w:rsidRDefault="00222273" w:rsidP="00F07386">
                  <w:pPr>
                    <w:pStyle w:val="NITable"/>
                  </w:pPr>
                  <w:r w:rsidRPr="00711B22">
                    <w:t xml:space="preserve">104/5,094 </w:t>
                  </w:r>
                  <w:r w:rsidRPr="006230D9">
                    <w:rPr>
                      <w:rStyle w:val="NormalWebChar"/>
                    </w:rPr>
                    <w:t xml:space="preserve">= </w:t>
                  </w:r>
                  <w:r w:rsidRPr="00711B22">
                    <w:t>0.020</w:t>
                  </w:r>
                </w:p>
              </w:tc>
            </w:tr>
            <w:tr w:rsidR="00222273" w:rsidRPr="00711B22" w14:paraId="289C70C9" w14:textId="77777777">
              <w:trPr>
                <w:trHeight w:hRule="exact" w:val="684"/>
              </w:trPr>
              <w:tc>
                <w:tcPr>
                  <w:tcW w:w="731" w:type="dxa"/>
                  <w:tcBorders>
                    <w:top w:val="nil"/>
                    <w:left w:val="nil"/>
                    <w:bottom w:val="single" w:sz="6" w:space="0" w:color="auto"/>
                    <w:right w:val="nil"/>
                  </w:tcBorders>
                  <w:shd w:val="clear" w:color="auto" w:fill="FFFFFF"/>
                </w:tcPr>
                <w:p w14:paraId="21CD1D86" w14:textId="77777777" w:rsidR="00222273" w:rsidRPr="00711B22" w:rsidRDefault="00222273" w:rsidP="00F07386">
                  <w:pPr>
                    <w:pStyle w:val="NITable"/>
                  </w:pPr>
                </w:p>
              </w:tc>
              <w:tc>
                <w:tcPr>
                  <w:tcW w:w="768" w:type="dxa"/>
                  <w:tcBorders>
                    <w:top w:val="nil"/>
                    <w:left w:val="nil"/>
                    <w:bottom w:val="single" w:sz="6" w:space="0" w:color="auto"/>
                    <w:right w:val="nil"/>
                  </w:tcBorders>
                  <w:shd w:val="clear" w:color="auto" w:fill="FFFFFF"/>
                </w:tcPr>
                <w:p w14:paraId="54F26323" w14:textId="77777777" w:rsidR="00222273" w:rsidRPr="00C96D87" w:rsidRDefault="00222273" w:rsidP="00C96D87">
                  <w:pPr>
                    <w:pStyle w:val="NlTable"/>
                    <w:rPr>
                      <w:b/>
                    </w:rPr>
                  </w:pPr>
                  <w:r w:rsidRPr="00C96D87">
                    <w:rPr>
                      <w:b/>
                    </w:rPr>
                    <w:t>Odds</w:t>
                  </w:r>
                </w:p>
              </w:tc>
              <w:tc>
                <w:tcPr>
                  <w:tcW w:w="1092" w:type="dxa"/>
                  <w:tcBorders>
                    <w:top w:val="nil"/>
                    <w:left w:val="nil"/>
                    <w:bottom w:val="single" w:sz="6" w:space="0" w:color="auto"/>
                    <w:right w:val="nil"/>
                  </w:tcBorders>
                  <w:shd w:val="clear" w:color="auto" w:fill="FFFFFF"/>
                </w:tcPr>
                <w:p w14:paraId="71D21E2A" w14:textId="77777777" w:rsidR="00222273" w:rsidRPr="00711B22" w:rsidRDefault="00222273" w:rsidP="00F07386">
                  <w:pPr>
                    <w:pStyle w:val="NITable"/>
                  </w:pPr>
                  <w:r w:rsidRPr="00711B22">
                    <w:t>229/104 2.202</w:t>
                  </w:r>
                </w:p>
              </w:tc>
              <w:tc>
                <w:tcPr>
                  <w:tcW w:w="1475" w:type="dxa"/>
                  <w:tcBorders>
                    <w:top w:val="nil"/>
                    <w:left w:val="nil"/>
                    <w:bottom w:val="single" w:sz="6" w:space="0" w:color="auto"/>
                    <w:right w:val="nil"/>
                  </w:tcBorders>
                  <w:shd w:val="clear" w:color="auto" w:fill="FFFFFF"/>
                </w:tcPr>
                <w:p w14:paraId="24DC130B" w14:textId="77777777" w:rsidR="00222273" w:rsidRPr="00711B22" w:rsidRDefault="00222273" w:rsidP="00202BC5">
                  <w:pPr>
                    <w:pStyle w:val="NITable"/>
                    <w:jc w:val="center"/>
                  </w:pPr>
                  <w:r w:rsidRPr="00711B22">
                    <w:t>129/5,094 0.025</w:t>
                  </w:r>
                </w:p>
              </w:tc>
              <w:tc>
                <w:tcPr>
                  <w:tcW w:w="2340" w:type="dxa"/>
                  <w:tcBorders>
                    <w:top w:val="nil"/>
                    <w:left w:val="nil"/>
                    <w:bottom w:val="single" w:sz="6" w:space="0" w:color="auto"/>
                    <w:right w:val="nil"/>
                  </w:tcBorders>
                  <w:shd w:val="clear" w:color="auto" w:fill="FFFFFF"/>
                </w:tcPr>
                <w:p w14:paraId="29D3421F" w14:textId="77777777" w:rsidR="00222273" w:rsidRPr="00711B22" w:rsidRDefault="00222273" w:rsidP="00F07386">
                  <w:pPr>
                    <w:pStyle w:val="NITable"/>
                  </w:pPr>
                </w:p>
              </w:tc>
            </w:tr>
          </w:tbl>
          <w:p w14:paraId="149F9A7A" w14:textId="77777777" w:rsidR="00244DD6" w:rsidRPr="00711B22" w:rsidRDefault="00244DD6" w:rsidP="00244DD6">
            <w:pPr>
              <w:pStyle w:val="NormalWeb"/>
            </w:pPr>
            <w:r w:rsidRPr="00711B22">
              <w:t>The OR is</w:t>
            </w:r>
          </w:p>
          <w:p w14:paraId="49F5EA6D" w14:textId="77777777" w:rsidR="00222273" w:rsidRPr="00711B22" w:rsidRDefault="00590031" w:rsidP="00FB1341">
            <w:pPr>
              <w:pStyle w:val="NormalWeb"/>
              <w:jc w:val="center"/>
            </w:pPr>
            <w:r w:rsidRPr="00711B22">
              <w:rPr>
                <w:noProof/>
                <w:position w:val="-28"/>
              </w:rPr>
              <w:object w:dxaOrig="7380" w:dyaOrig="660" w14:anchorId="129B1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69.45pt;height:33.65pt;mso-width-percent:0;mso-height-percent:0;mso-width-percent:0;mso-height-percent:0" o:ole="">
                  <v:imagedata r:id="rId19" o:title=""/>
                </v:shape>
                <o:OLEObject Type="Embed" ProgID="Equation.DSMT4" ShapeID="_x0000_i1026" DrawAspect="Content" ObjectID="_1627137391" r:id="rId20"/>
              </w:object>
            </w:r>
          </w:p>
          <w:p w14:paraId="7A2F2299" w14:textId="77777777" w:rsidR="00043415" w:rsidRPr="00711B22" w:rsidRDefault="00FB1341" w:rsidP="006E22DE">
            <w:pPr>
              <w:pStyle w:val="NormalWeb"/>
              <w:tabs>
                <w:tab w:val="center" w:pos="4120"/>
                <w:tab w:val="right" w:pos="8240"/>
              </w:tabs>
            </w:pPr>
            <w:r w:rsidRPr="00711B22">
              <w:t>Because of the symmetry of the odds ratio, this is the same as</w:t>
            </w:r>
          </w:p>
          <w:p w14:paraId="7D4F40F6" w14:textId="77777777" w:rsidR="00FB1341" w:rsidRPr="00711B22" w:rsidRDefault="00590031" w:rsidP="001A6C7E">
            <w:pPr>
              <w:pStyle w:val="NormalWeb"/>
            </w:pPr>
            <w:r w:rsidRPr="00711B22">
              <w:rPr>
                <w:noProof/>
                <w:position w:val="-28"/>
              </w:rPr>
              <w:object w:dxaOrig="7500" w:dyaOrig="660" w14:anchorId="6066913B">
                <v:shape id="_x0000_i1025" type="#_x0000_t75" alt="" style="width:374.15pt;height:33.65pt;mso-width-percent:0;mso-height-percent:0;mso-width-percent:0;mso-height-percent:0" o:ole="">
                  <v:imagedata r:id="rId21" o:title=""/>
                </v:shape>
                <o:OLEObject Type="Embed" ProgID="Equation.DSMT4" ShapeID="_x0000_i1025" DrawAspect="Content" ObjectID="_1627137392" r:id="rId22"/>
              </w:object>
            </w:r>
          </w:p>
        </w:tc>
      </w:tr>
    </w:tbl>
    <w:p w14:paraId="0A02AAB8" w14:textId="77777777" w:rsidR="003951CB" w:rsidRPr="00C40A88" w:rsidRDefault="007E4D31" w:rsidP="00F60AB5">
      <w:pPr>
        <w:pStyle w:val="Heading3"/>
      </w:pPr>
      <w:r w:rsidRPr="00C40A88">
        <w:t>Odds ratios</w:t>
      </w:r>
    </w:p>
    <w:p w14:paraId="1091E431" w14:textId="1F4223F9" w:rsidR="008C6DB1" w:rsidRPr="00775FFF" w:rsidRDefault="007E4D31" w:rsidP="00B33B11">
      <w:pPr>
        <w:pStyle w:val="NormalWeb"/>
      </w:pPr>
      <w:r w:rsidRPr="00775FFF">
        <w:t>The logistic regression coef</w:t>
      </w:r>
      <w:r w:rsidR="00191BDE" w:rsidRPr="00775FFF">
        <w:t>fi</w:t>
      </w:r>
      <w:r w:rsidRPr="00775FFF">
        <w:t xml:space="preserve">cient for each test result is the natural logarithm of its multivariate odds ratio (OR). In Chapter </w:t>
      </w:r>
      <w:r w:rsidR="00CE354B" w:rsidRPr="00775FFF">
        <w:t>8</w:t>
      </w:r>
      <w:r w:rsidRPr="00775FFF">
        <w:t>, we will return to the OR in the context of quantifying the bene</w:t>
      </w:r>
      <w:r w:rsidR="00191BDE" w:rsidRPr="00775FFF">
        <w:t>fi</w:t>
      </w:r>
      <w:r w:rsidRPr="00775FFF">
        <w:t>ts of a treatment. (The OR is often used inappropriately to quantify treatment effects in randomized trials.) Here, we discuss how ORs are used to quantify the information provided by a positive test result or presence of a risk factor. ORs are easiest to understand when the test is dichotomous; in this case, the OR is the quotient of the odds of disease in those with a positive test divided by the odds of disease in those with a negative test</w:t>
      </w:r>
      <w:r w:rsidR="00E155F2" w:rsidRPr="00775FFF">
        <w:t xml:space="preserve"> (Box 7.2).</w:t>
      </w:r>
    </w:p>
    <w:p w14:paraId="47EBE2CC" w14:textId="77777777" w:rsidR="003951CB" w:rsidRPr="00775FFF" w:rsidRDefault="007E4D31" w:rsidP="002B2252">
      <w:pPr>
        <w:pStyle w:val="NormalWeb"/>
      </w:pPr>
      <w:r w:rsidRPr="00775FFF">
        <w:t xml:space="preserve">Box </w:t>
      </w:r>
      <w:r w:rsidR="00CE354B" w:rsidRPr="00775FFF">
        <w:t>7</w:t>
      </w:r>
      <w:r w:rsidRPr="00775FFF">
        <w:t xml:space="preserve">.2 shows the calculation of the OR for NBA in the diagnosis of trisomy 21. The OR for a dichotomous test is also the LR of a positive result divided by the LR of a negative result. ORs and LRs are frequently confused. For test results, LRs are generally more appropriate to use than ORs, but when assessing risk factors with widely varying </w:t>
      </w:r>
      <w:proofErr w:type="spellStart"/>
      <w:r w:rsidRPr="00775FFF">
        <w:t>prevalences</w:t>
      </w:r>
      <w:proofErr w:type="spellEnd"/>
      <w:r w:rsidRPr="00775FFF">
        <w:t xml:space="preserve"> from population to population, the OR may be more useful, as shown in Box </w:t>
      </w:r>
      <w:r w:rsidR="00CE354B" w:rsidRPr="00775FFF">
        <w:t>7</w:t>
      </w:r>
      <w:r w:rsidRPr="00775FFF">
        <w:t>.3.</w:t>
      </w:r>
    </w:p>
    <w:p w14:paraId="3F689263" w14:textId="4381560B" w:rsidR="003951CB" w:rsidRPr="00775FFF" w:rsidRDefault="007E4D31" w:rsidP="002B2252">
      <w:pPr>
        <w:pStyle w:val="NormalWeb"/>
      </w:pPr>
      <w:r w:rsidRPr="00775FFF">
        <w:lastRenderedPageBreak/>
        <w:t>When the test is dichotomous, the farther the OR is from 1, the stronger the association between the test result and the disease.</w:t>
      </w:r>
      <w:r w:rsidR="00F44FAD">
        <w:rPr>
          <w:rStyle w:val="FootnoteReference"/>
        </w:rPr>
        <w:footnoteReference w:id="8"/>
      </w:r>
      <w:r w:rsidRPr="00775FFF">
        <w:t xml:space="preserve"> For continuous tests, the OR from logistic regression is the amount the odds of disease </w:t>
      </w:r>
      <w:r w:rsidRPr="00775FFF">
        <w:rPr>
          <w:color w:val="00B050"/>
        </w:rPr>
        <w:t>change per unit increase</w:t>
      </w:r>
      <w:r w:rsidR="00D82074" w:rsidRPr="00775FFF">
        <w:rPr>
          <w:color w:val="00B050"/>
        </w:rPr>
        <w:t xml:space="preserve"> in the test result</w:t>
      </w:r>
      <w:r w:rsidR="00D82074" w:rsidRPr="00775FFF">
        <w:t xml:space="preserve">. </w:t>
      </w:r>
      <w:r w:rsidR="00E91516" w:rsidRPr="00775FFF">
        <w:t>If the units of measurement</w:t>
      </w:r>
      <w:r w:rsidR="00E91516">
        <w:t xml:space="preserve"> </w:t>
      </w:r>
      <w:r w:rsidR="00E91516" w:rsidRPr="00BB747A">
        <w:rPr>
          <w:color w:val="000000" w:themeColor="text1"/>
        </w:rPr>
        <w:t>vary, ORs farther from 1 may not mean a stronger association with disease.</w:t>
      </w:r>
      <w:r w:rsidR="00E91516">
        <w:t xml:space="preserve">  T</w:t>
      </w:r>
      <w:r w:rsidR="00D82074" w:rsidRPr="00775FFF">
        <w:t xml:space="preserve">he OR for fever per degree will differ depending on whether the temperature is measured in Centigrade or Fahrenheit. (It will be farther from 1 for temperature measured in Centigrade.)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tblGrid>
      <w:tr w:rsidR="00316306" w:rsidRPr="00775FFF" w14:paraId="0E384AE3" w14:textId="77777777">
        <w:tc>
          <w:tcPr>
            <w:tcW w:w="8647" w:type="dxa"/>
            <w:shd w:val="clear" w:color="auto" w:fill="auto"/>
          </w:tcPr>
          <w:p w14:paraId="29C4B77C" w14:textId="77777777" w:rsidR="00740E42" w:rsidRPr="00C40A88" w:rsidRDefault="00316306" w:rsidP="00316306">
            <w:pPr>
              <w:pStyle w:val="NormalWeb"/>
              <w:rPr>
                <w:b/>
              </w:rPr>
            </w:pPr>
            <w:r w:rsidRPr="00C40A88">
              <w:rPr>
                <w:b/>
              </w:rPr>
              <w:t xml:space="preserve">Box </w:t>
            </w:r>
            <w:r w:rsidR="00EC67B9" w:rsidRPr="00C40A88">
              <w:rPr>
                <w:b/>
              </w:rPr>
              <w:t>7</w:t>
            </w:r>
            <w:r w:rsidRPr="00C40A88">
              <w:rPr>
                <w:b/>
              </w:rPr>
              <w:t>.3: Understanding the difference between ORs and LRs</w:t>
            </w:r>
          </w:p>
          <w:p w14:paraId="7ABFC983" w14:textId="77777777" w:rsidR="00740E42" w:rsidRPr="00775FFF" w:rsidRDefault="00316306" w:rsidP="00316306">
            <w:pPr>
              <w:pStyle w:val="NormalWeb"/>
            </w:pPr>
            <w:r w:rsidRPr="00775FFF">
              <w:t xml:space="preserve">If we start with the prior probability of disease, P(D+), we can convert to prior odds, Odds(D+), and then multiply by the </w:t>
            </w:r>
            <w:proofErr w:type="gramStart"/>
            <w:r w:rsidRPr="00775FFF">
              <w:t>LR(</w:t>
            </w:r>
            <w:proofErr w:type="gramEnd"/>
            <w:r w:rsidRPr="00775FFF">
              <w:t>+) or LR(−) to get the posterior odds:</w:t>
            </w:r>
          </w:p>
          <w:p w14:paraId="2AA2B302" w14:textId="77777777" w:rsidR="0023610E" w:rsidRPr="00775FFF" w:rsidRDefault="00316306" w:rsidP="00316306">
            <w:pPr>
              <w:pStyle w:val="NormalWeb"/>
            </w:pPr>
            <w:r w:rsidRPr="00775FFF">
              <w:t xml:space="preserve">Odds of disease given a positive test or exposure = Odds(D+|+) = Odds(D+) × </w:t>
            </w:r>
            <w:proofErr w:type="gramStart"/>
            <w:r w:rsidRPr="00775FFF">
              <w:t>LR(</w:t>
            </w:r>
            <w:proofErr w:type="gramEnd"/>
            <w:r w:rsidR="0023610E" w:rsidRPr="00775FFF">
              <w:t>+)</w:t>
            </w:r>
          </w:p>
          <w:p w14:paraId="3EBA167D" w14:textId="77777777" w:rsidR="00000447" w:rsidRPr="00775FFF" w:rsidRDefault="00316306" w:rsidP="00316306">
            <w:pPr>
              <w:pStyle w:val="NormalWeb"/>
            </w:pPr>
            <w:r w:rsidRPr="00775FFF">
              <w:t>Odds of disease given a negative t</w:t>
            </w:r>
            <w:r w:rsidR="00000447" w:rsidRPr="00775FFF">
              <w:t>est or no exposure = Odds(D+|−)</w:t>
            </w:r>
          </w:p>
          <w:p w14:paraId="03FD8D2F" w14:textId="77777777" w:rsidR="00316306" w:rsidRPr="00775FFF" w:rsidRDefault="00316306" w:rsidP="005F00F2">
            <w:pPr>
              <w:pStyle w:val="NormalWeb"/>
              <w:ind w:left="5071"/>
            </w:pPr>
            <w:r w:rsidRPr="00775FFF">
              <w:t xml:space="preserve">= Odds(D+) × </w:t>
            </w:r>
            <w:proofErr w:type="gramStart"/>
            <w:r w:rsidRPr="00775FFF">
              <w:t>LR(</w:t>
            </w:r>
            <w:proofErr w:type="gramEnd"/>
            <w:r w:rsidRPr="00775FFF">
              <w:t>−)</w:t>
            </w:r>
          </w:p>
          <w:p w14:paraId="311DFA66" w14:textId="77777777" w:rsidR="000C4593" w:rsidRPr="00775FFF" w:rsidRDefault="00316306" w:rsidP="00295CF7">
            <w:pPr>
              <w:pStyle w:val="NormalWeb"/>
              <w:ind w:firstLine="328"/>
            </w:pPr>
            <w:r w:rsidRPr="00775FFF">
              <w:t>The OR is the ratio of the posterior odds in those who test positive (or are exposed to a risk factor) to those who test negative (or are unexposed). Because the prior odds cancel out of that rat</w:t>
            </w:r>
            <w:r w:rsidR="000C4593" w:rsidRPr="00775FFF">
              <w:t>io, the OR is just LR(+)/</w:t>
            </w:r>
            <w:proofErr w:type="gramStart"/>
            <w:r w:rsidR="000C4593" w:rsidRPr="00775FFF">
              <w:t>LR(</w:t>
            </w:r>
            <w:proofErr w:type="gramEnd"/>
            <w:r w:rsidR="000C4593" w:rsidRPr="00775FFF">
              <w:t>−).</w:t>
            </w:r>
          </w:p>
          <w:p w14:paraId="661BE8FA" w14:textId="77777777" w:rsidR="009C2DA9" w:rsidRPr="00775FFF" w:rsidRDefault="00316306" w:rsidP="00606736">
            <w:pPr>
              <w:pStyle w:val="NormalWeb"/>
            </w:pPr>
            <w:r w:rsidRPr="00775FFF">
              <w:t xml:space="preserve">OR = </w:t>
            </w:r>
            <w:proofErr w:type="gramStart"/>
            <w:r w:rsidRPr="00775FFF">
              <w:t>Odds(</w:t>
            </w:r>
            <w:proofErr w:type="gramEnd"/>
            <w:r w:rsidRPr="00775FFF">
              <w:t>D +|+)</w:t>
            </w:r>
            <w:r w:rsidRPr="00775FFF">
              <w:rPr>
                <w:i/>
              </w:rPr>
              <w:t>/</w:t>
            </w:r>
            <w:r w:rsidRPr="00775FFF">
              <w:t>Odds(D +|−) = [Odds(D+) × LR(+)]</w:t>
            </w:r>
            <w:r w:rsidRPr="00775FFF">
              <w:rPr>
                <w:i/>
              </w:rPr>
              <w:t>/</w:t>
            </w:r>
            <w:r w:rsidR="009C2DA9" w:rsidRPr="00775FFF">
              <w:t>[Odds(D+) × LR(−)]</w:t>
            </w:r>
          </w:p>
          <w:p w14:paraId="57C5BB6D" w14:textId="77777777" w:rsidR="00316306" w:rsidRPr="00775FFF" w:rsidRDefault="00316306" w:rsidP="0046270F">
            <w:pPr>
              <w:pStyle w:val="NormalWeb"/>
              <w:ind w:left="391"/>
            </w:pPr>
            <w:r w:rsidRPr="00775FFF">
              <w:t>= LR(+)</w:t>
            </w:r>
            <w:r w:rsidRPr="00775FFF">
              <w:rPr>
                <w:i/>
              </w:rPr>
              <w:t>/</w:t>
            </w:r>
            <w:proofErr w:type="gramStart"/>
            <w:r w:rsidRPr="00775FFF">
              <w:t>LR(</w:t>
            </w:r>
            <w:proofErr w:type="gramEnd"/>
            <w:r w:rsidRPr="00775FFF">
              <w:t>−)</w:t>
            </w:r>
          </w:p>
          <w:p w14:paraId="57B4210F" w14:textId="42F99F97" w:rsidR="00316306" w:rsidRPr="00775FFF" w:rsidRDefault="00316306" w:rsidP="00A121B2">
            <w:pPr>
              <w:pStyle w:val="NormalWeb"/>
              <w:ind w:firstLine="328"/>
            </w:pPr>
            <w:r w:rsidRPr="00775FFF">
              <w:t xml:space="preserve">If you want the odds of disease in a patient with a positive test result or exposure to a risk factor, you can either multiply the odds of disease </w:t>
            </w:r>
            <w:r w:rsidRPr="00775FFF">
              <w:rPr>
                <w:i/>
              </w:rPr>
              <w:t>in the overall population</w:t>
            </w:r>
            <w:r w:rsidRPr="00775FFF">
              <w:t xml:space="preserve"> by the LR(+), or multiply the odds of disease </w:t>
            </w:r>
            <w:r w:rsidRPr="00775FFF">
              <w:rPr>
                <w:i/>
              </w:rPr>
              <w:t>in the test-negative or unexposed population</w:t>
            </w:r>
            <w:r w:rsidRPr="00775FFF">
              <w:t xml:space="preserve"> by the OR. In other words, if you start with the overall odds of disease, you use the </w:t>
            </w:r>
            <w:proofErr w:type="gramStart"/>
            <w:r w:rsidRPr="00775FFF">
              <w:t>LR(</w:t>
            </w:r>
            <w:proofErr w:type="gramEnd"/>
            <w:r w:rsidRPr="00775FFF">
              <w:t xml:space="preserve">+); if you start with the odds of disease in the test-negative or unexposed group, you use the OR. </w:t>
            </w:r>
          </w:p>
          <w:p w14:paraId="0CA15623" w14:textId="7D6C3F1D" w:rsidR="00C35326" w:rsidRPr="00775FFF" w:rsidRDefault="00C35326" w:rsidP="00A121B2">
            <w:pPr>
              <w:pStyle w:val="NormalWeb"/>
              <w:ind w:firstLine="328"/>
            </w:pPr>
            <w:r w:rsidRPr="00775FFF">
              <w:t xml:space="preserve">It makes more sense to use odds ratios (or risk ratios) for risk factors that </w:t>
            </w:r>
            <w:r w:rsidRPr="00775FFF">
              <w:rPr>
                <w:i/>
              </w:rPr>
              <w:t>cause</w:t>
            </w:r>
            <w:r w:rsidRPr="00775FFF">
              <w:t xml:space="preserve"> the disease and likelihood ratios for test results that are </w:t>
            </w:r>
            <w:r w:rsidRPr="00775FFF">
              <w:rPr>
                <w:i/>
              </w:rPr>
              <w:t>caused by</w:t>
            </w:r>
            <w:r w:rsidRPr="00775FFF">
              <w:t xml:space="preserve"> the disease.  A good reason to avoid LRs for causal risk factors is that they will vary with the prevalence of the risk factor.</w:t>
            </w:r>
          </w:p>
          <w:p w14:paraId="34651BD5" w14:textId="069F1CBB" w:rsidR="00316306" w:rsidRPr="00775FFF" w:rsidRDefault="00BC1DD0" w:rsidP="00A121B2">
            <w:pPr>
              <w:pStyle w:val="NormalWeb"/>
              <w:ind w:firstLine="328"/>
            </w:pPr>
            <w:r w:rsidRPr="00775FFF">
              <w:lastRenderedPageBreak/>
              <w:t>This</w:t>
            </w:r>
            <w:r w:rsidR="00316306" w:rsidRPr="00775FFF">
              <w:t xml:space="preserve"> is illustrated in </w:t>
            </w:r>
            <w:r w:rsidR="002664C8">
              <w:t>Figure 7.8</w:t>
            </w:r>
            <w:r w:rsidR="00316306" w:rsidRPr="00775FFF">
              <w:t xml:space="preserve">. Consider a disease that has a strong risk factor, the prevalence of which varies widely in different populations. An example one of us has studied is </w:t>
            </w:r>
            <w:r w:rsidRPr="00775FFF">
              <w:t>urinary tract infections (</w:t>
            </w:r>
            <w:r w:rsidR="00316306" w:rsidRPr="00775FFF">
              <w:t>UTIs</w:t>
            </w:r>
            <w:r w:rsidRPr="00775FFF">
              <w:t>)</w:t>
            </w:r>
            <w:r w:rsidR="00316306" w:rsidRPr="00775FFF">
              <w:t xml:space="preserve"> in young infant boys</w:t>
            </w:r>
            <w:r w:rsidRPr="00775FFF">
              <w:t xml:space="preserve"> with fevers</w:t>
            </w:r>
            <w:r w:rsidR="00316306" w:rsidRPr="00775FFF">
              <w:t>.</w:t>
            </w:r>
            <w:r w:rsidRPr="00775FFF">
              <w:t xml:space="preserve"> </w:t>
            </w:r>
            <w:r w:rsidR="00DA779C">
              <w:fldChar w:fldCharType="begin">
                <w:fldData xml:space="preserve">PEVuZE5vdGU+PENpdGU+PEF1dGhvcj5OZXdtYW48L0F1dGhvcj48WWVhcj4yMDAyPC9ZZWFyPjxS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</w:fldData>
              </w:fldChar>
            </w:r>
            <w:r w:rsidR="00DA779C">
              <w:instrText xml:space="preserve"> ADDIN EN.CITE </w:instrText>
            </w:r>
            <w:r w:rsidR="00DA779C">
              <w:fldChar w:fldCharType="begin">
                <w:fldData xml:space="preserve">PEVuZE5vdGU+PENpdGU+PEF1dGhvcj5OZXdtYW48L0F1dGhvcj48WWVhcj4yMDAyPC9ZZWFyPjxS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</w:fldData>
              </w:fldChar>
            </w:r>
            <w:r w:rsidR="00DA779C">
              <w:instrText xml:space="preserve"> ADDIN EN.CITE.DATA </w:instrText>
            </w:r>
            <w:r w:rsidR="00DA779C">
              <w:fldChar w:fldCharType="end"/>
            </w:r>
            <w:r w:rsidR="00DA779C">
              <w:fldChar w:fldCharType="separate"/>
            </w:r>
            <w:r w:rsidR="00DA779C">
              <w:rPr>
                <w:noProof/>
              </w:rPr>
              <w:t>[13]</w:t>
            </w:r>
            <w:r w:rsidR="00DA779C">
              <w:fldChar w:fldCharType="end"/>
            </w:r>
            <w:r w:rsidR="00316306" w:rsidRPr="00775FFF">
              <w:t xml:space="preserve"> The OR for UTI in uncircumcised boys, compared with circumcised boys, is about 10. What would be the LRs? The answer is that the LRs will depend on the proportion of the </w:t>
            </w:r>
            <w:r w:rsidRPr="00775FFF">
              <w:t>boys in the population</w:t>
            </w:r>
            <w:r w:rsidR="00586496" w:rsidRPr="00775FFF">
              <w:t xml:space="preserve"> who</w:t>
            </w:r>
            <w:r w:rsidRPr="00775FFF">
              <w:t xml:space="preserve"> are</w:t>
            </w:r>
            <w:r w:rsidR="00316306" w:rsidRPr="00775FFF">
              <w:t xml:space="preserve"> circumcised. In </w:t>
            </w:r>
            <w:r w:rsidR="002664C8">
              <w:t>Figure 7.8</w:t>
            </w:r>
            <w:r w:rsidR="00316306" w:rsidRPr="00775FFF">
              <w:t>A, most of the boys in the population are circumcised. Therefore, the prior odds of UTI in a febrile boy will be low, and if he is circumcised (which we are calling being unexposed to the risk factor), the odds will not decline very much because they already start out low. On the other hand, if he is one of the few who is uncircumcised, the LR+ will be high and significantly increase his posterior odds.</w:t>
            </w:r>
          </w:p>
          <w:p w14:paraId="4378B686" w14:textId="10E016E0" w:rsidR="00BC1DD0" w:rsidRPr="00775FFF" w:rsidRDefault="00316306" w:rsidP="00A121B2">
            <w:pPr>
              <w:pStyle w:val="NormalWeb"/>
              <w:ind w:firstLine="328"/>
            </w:pPr>
            <w:r w:rsidRPr="00775FFF">
              <w:t>Now consider the situation in a population where hardly any boys are circumcised (Fig</w:t>
            </w:r>
            <w:r w:rsidR="00CA186A">
              <w:t>ure</w:t>
            </w:r>
            <w:r w:rsidRPr="00775FFF">
              <w:t xml:space="preserve"> </w:t>
            </w:r>
            <w:r w:rsidR="00EC67B9" w:rsidRPr="00775FFF">
              <w:t>7</w:t>
            </w:r>
            <w:r w:rsidRPr="00775FFF">
              <w:t>.</w:t>
            </w:r>
            <w:r w:rsidR="00CA186A">
              <w:t>8</w:t>
            </w:r>
            <w:r w:rsidRPr="00775FFF">
              <w:t xml:space="preserve">B). The prior odds start out much higher, reflecting this high prevalence of a strong risk factor for UTI. However, in this case, the odds change much more if the boy is circumcised than if he is not. </w:t>
            </w:r>
            <w:r w:rsidR="00BC1DD0" w:rsidRPr="00775FFF">
              <w:t xml:space="preserve"> For causal risk factors like circumcision</w:t>
            </w:r>
            <w:r w:rsidRPr="00775FFF">
              <w:t xml:space="preserve">, LRs have the disadvantage that they are unlikely to be generalizable from one population to another. </w:t>
            </w:r>
            <w:r w:rsidR="00AC0C86" w:rsidRPr="00775FFF">
              <w:t>No wonder a systematic review of predictors of UTI in febrile infants reported a wide range of LR</w:t>
            </w:r>
            <w:r w:rsidR="00586496" w:rsidRPr="00775FFF">
              <w:t>s</w:t>
            </w:r>
            <w:r w:rsidR="00AC0C86" w:rsidRPr="00775FFF">
              <w:t xml:space="preserve"> for circumcision in different studies.</w:t>
            </w:r>
            <w:r w:rsidR="00DA779C">
              <w:fldChar w:fldCharType="begin"/>
            </w:r>
            <w:r w:rsidR="00DA779C">
              <w:instrText xml:space="preserve"> ADDIN EN.CITE &lt;EndNote&gt;&lt;Cite&gt;&lt;Author&gt;Shaikh&lt;/Author&gt;&lt;Year&gt;2007&lt;/Year&gt;&lt;RecNum&gt;1040&lt;/RecNum&gt;&lt;DisplayText&gt;[14]&lt;/DisplayText&gt;&lt;record&gt;&lt;rec-number&gt;1040&lt;/rec-number&gt;&lt;foreign-keys&gt;&lt;key app="EN" db-id="0ftvff9p80fp5few5s05f5fw9rd9fefrdzer" timestamp="0"&gt;1040&lt;/key&gt;&lt;/foreign-keys&gt;&lt;ref-type name="Journal Article"&gt;17&lt;/ref-type&gt;&lt;contributors&gt;&lt;authors&gt;&lt;author&gt;Shaikh, N.&lt;/author&gt;&lt;author&gt;Morone, N. E.&lt;/author&gt;&lt;author&gt;Lopez, J.&lt;/author&gt;&lt;author&gt;Chianese, J.&lt;/author&gt;&lt;author&gt;Sangvai, S.&lt;/author&gt;&lt;author&gt;D&amp;apos;Amico, F.&lt;/author&gt;&lt;author&gt;Hoberman, A.&lt;/author&gt;&lt;author&gt;Wald, E. R.&lt;/author&gt;&lt;/authors&gt;&lt;/contributors&gt;&lt;auth-address&gt;Department of Pediatrics, University of Pittsburgh School of Medicine, Pittsburgh, Pennsylvania, USA. nader.shaikh@chp.edu&lt;/auth-address&gt;&lt;titles&gt;&lt;title&gt;Does this child have a urinary tract infection?&lt;/title&gt;&lt;secondary-title&gt;JAMA&lt;/secondary-title&gt;&lt;/titles&gt;&lt;periodical&gt;&lt;full-title&gt;JAMA&lt;/full-title&gt;&lt;/periodical&gt;&lt;pages&gt;2895-904&lt;/pages&gt;&lt;volume&gt;298&lt;/volume&gt;&lt;number&gt;24&lt;/number&gt;&lt;keywords&gt;&lt;keyword&gt;Adolescent&lt;/keyword&gt;&lt;keyword&gt;Algorithms&lt;/keyword&gt;&lt;keyword&gt;Child&lt;/keyword&gt;&lt;keyword&gt;Child, Preschool&lt;/keyword&gt;&lt;keyword&gt;Diagnosis, Differential&lt;/keyword&gt;&lt;keyword&gt;Female&lt;/keyword&gt;&lt;keyword&gt;Fever&lt;/keyword&gt;&lt;keyword&gt;Humans&lt;/keyword&gt;&lt;keyword&gt;Infant&lt;/keyword&gt;&lt;keyword&gt;Male&lt;/keyword&gt;&lt;keyword&gt;Urinalysis&lt;/keyword&gt;&lt;keyword&gt;Urinary Tract Infections/*diagnosis/epidemiology&lt;/keyword&gt;&lt;/keywords&gt;&lt;dates&gt;&lt;year&gt;2007&lt;/year&gt;&lt;pub-dates&gt;&lt;date&gt;Dec 26&lt;/date&gt;&lt;/pub-dates&gt;&lt;/dates&gt;&lt;accession-num&gt;18159059&lt;/accession-num&gt;&lt;urls&gt;&lt;related-urls&gt;&lt;url&gt;http://www.ncbi.nlm.nih.gov/entrez/query.fcgi?cmd=Retrieve&amp;amp;db=PubMed&amp;amp;dopt=Citation&amp;amp;list_uids=18159059 &lt;/url&gt;&lt;/related-urls&gt;&lt;/urls&gt;&lt;/record&gt;&lt;/Cite&gt;&lt;/EndNote&gt;</w:instrText>
            </w:r>
            <w:r w:rsidR="00DA779C">
              <w:fldChar w:fldCharType="separate"/>
            </w:r>
            <w:r w:rsidR="00DA779C">
              <w:rPr>
                <w:noProof/>
              </w:rPr>
              <w:t>[14]</w:t>
            </w:r>
            <w:r w:rsidR="00DA779C">
              <w:fldChar w:fldCharType="end"/>
            </w:r>
          </w:p>
          <w:p w14:paraId="25E99CFD" w14:textId="10E860A9" w:rsidR="00316306" w:rsidRPr="00775FFF" w:rsidRDefault="00316306" w:rsidP="00A121B2">
            <w:pPr>
              <w:pStyle w:val="NormalWeb"/>
              <w:ind w:firstLine="328"/>
            </w:pPr>
            <w:r w:rsidRPr="00775FFF">
              <w:t>This is not the case for the sort of predictive factors that LRs were designed for: clinical tests, such as laboratory and imaging tests</w:t>
            </w:r>
            <w:r w:rsidR="00AC0C86" w:rsidRPr="00775FFF">
              <w:t xml:space="preserve"> that are caused by the disease rather than causes of it</w:t>
            </w:r>
            <w:r w:rsidRPr="00775FFF">
              <w:t xml:space="preserve">. </w:t>
            </w:r>
          </w:p>
        </w:tc>
      </w:tr>
    </w:tbl>
    <w:p w14:paraId="209DAA0D" w14:textId="77777777" w:rsidR="00CE354B" w:rsidRPr="00775FFF" w:rsidRDefault="00CE354B" w:rsidP="00AB3F69">
      <w:pPr>
        <w:pStyle w:val="NormalWeb"/>
        <w:rPr>
          <w:highlight w:val="yellow"/>
        </w:rPr>
      </w:pPr>
      <w:r w:rsidRPr="00775FFF">
        <w:rPr>
          <w:noProof/>
        </w:rPr>
        <w:lastRenderedPageBreak/>
        <w:drawing>
          <wp:inline distT="0" distB="0" distL="0" distR="0" wp14:anchorId="1CF6DCDC" wp14:editId="4583B78B">
            <wp:extent cx="5486400" cy="5578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7.9.png"/>
                    <pic:cNvPicPr/>
                  </pic:nvPicPr>
                  <pic:blipFill>
                    <a:blip r:embed="rId23"/>
                    <a:stretch>
                      <a:fillRect/>
                    </a:stretch>
                  </pic:blipFill>
                  <pic:spPr>
                    <a:xfrm>
                      <a:off x="0" y="0"/>
                      <a:ext cx="5486400" cy="5578475"/>
                    </a:xfrm>
                    <a:prstGeom prst="rect">
                      <a:avLst/>
                    </a:prstGeom>
                  </pic:spPr>
                </pic:pic>
              </a:graphicData>
            </a:graphic>
          </wp:inline>
        </w:drawing>
      </w:r>
    </w:p>
    <w:p w14:paraId="5B91886B" w14:textId="19CD5DF1" w:rsidR="00D82074" w:rsidRPr="00775FFF" w:rsidRDefault="002664C8" w:rsidP="00AB3F69">
      <w:pPr>
        <w:pStyle w:val="NormalWeb"/>
      </w:pPr>
      <w:r>
        <w:rPr>
          <w:highlight w:val="yellow"/>
        </w:rPr>
        <w:t>Figure 7.8</w:t>
      </w:r>
      <w:r w:rsidR="007E4D31" w:rsidRPr="00775FFF">
        <w:t xml:space="preserve"> Relationship between prior odds, LRs (LR+ and LR−), posterior odds, and the OR. (</w:t>
      </w:r>
      <w:r w:rsidR="007E4D31" w:rsidRPr="00C40A88">
        <w:rPr>
          <w:b/>
        </w:rPr>
        <w:t>A</w:t>
      </w:r>
      <w:r w:rsidR="007E4D31" w:rsidRPr="00775FFF">
        <w:t>) Low prevalence of strong risk factor. (</w:t>
      </w:r>
      <w:r w:rsidR="007E4D31" w:rsidRPr="00C40A88">
        <w:rPr>
          <w:b/>
        </w:rPr>
        <w:t>B</w:t>
      </w:r>
      <w:r w:rsidR="007E4D31" w:rsidRPr="00775FFF">
        <w:t>) High prevalence of strong risk factor. The length</w:t>
      </w:r>
      <w:r w:rsidR="00344A25" w:rsidRPr="00775FFF">
        <w:t xml:space="preserve"> and direction</w:t>
      </w:r>
      <w:r w:rsidR="007E4D31" w:rsidRPr="00775FFF">
        <w:t xml:space="preserve"> of an LR arrow correspond to the </w:t>
      </w:r>
      <w:r w:rsidR="00344A25" w:rsidRPr="00775FFF">
        <w:t>logarithm</w:t>
      </w:r>
      <w:r w:rsidR="007E4D31" w:rsidRPr="00775FFF">
        <w:t xml:space="preserve"> of the LR</w:t>
      </w:r>
      <w:r w:rsidR="00344A25" w:rsidRPr="00775FFF">
        <w:t>; the LR</w:t>
      </w:r>
      <w:r w:rsidR="00344A25" w:rsidRPr="00775FFF">
        <w:sym w:font="Symbol" w:char="F02D"/>
      </w:r>
      <w:r w:rsidR="00344A25" w:rsidRPr="00775FFF">
        <w:t xml:space="preserve"> points downward because its logarithm is negative</w:t>
      </w:r>
      <w:r w:rsidR="007E4D31" w:rsidRPr="00775FFF">
        <w:t>. The LR magnitudes change depending on the prevalence of the risk factor, whereas their ratio, the OR, remains the same.</w:t>
      </w:r>
      <w:r w:rsidR="00344A25" w:rsidRPr="00775FFF">
        <w:t xml:space="preserve">  </w:t>
      </w:r>
    </w:p>
    <w:p w14:paraId="792B4696" w14:textId="77777777" w:rsidR="003951CB" w:rsidRPr="00711B22" w:rsidRDefault="007E4D31" w:rsidP="000944D8">
      <w:pPr>
        <w:pStyle w:val="Heading3"/>
      </w:pPr>
      <w:r w:rsidRPr="00711B22">
        <w:t>Logistic regression modeling</w:t>
      </w:r>
    </w:p>
    <w:p w14:paraId="0C3FE0E8" w14:textId="4ECEAB50" w:rsidR="003951CB" w:rsidRPr="00711B22" w:rsidRDefault="007E4D31" w:rsidP="00D82074">
      <w:pPr>
        <w:pStyle w:val="NormalWeb"/>
      </w:pPr>
      <w:r w:rsidRPr="00711B22">
        <w:t xml:space="preserve">We applied a logistic regression approach to the NT and nasal bone exam data, using NT ≥3.5 mm and NBA as dichotomous predictors of trisomy 21. The dataset included 5,556 records, one for each fetus evaluated. The variable for NT was valued </w:t>
      </w:r>
      <w:r w:rsidR="003E0F94" w:rsidRPr="00711B22">
        <w:t>“</w:t>
      </w:r>
      <w:r w:rsidRPr="00711B22">
        <w:t>1</w:t>
      </w:r>
      <w:r w:rsidR="003E0F94" w:rsidRPr="00711B22">
        <w:t>”</w:t>
      </w:r>
      <w:r w:rsidRPr="00711B22">
        <w:t xml:space="preserve"> for NT ≥3.5 </w:t>
      </w:r>
      <w:r w:rsidRPr="00711B22">
        <w:lastRenderedPageBreak/>
        <w:t xml:space="preserve">mm and </w:t>
      </w:r>
      <w:r w:rsidR="003E0F94" w:rsidRPr="00711B22">
        <w:t>“</w:t>
      </w:r>
      <w:r w:rsidRPr="00711B22">
        <w:t>0</w:t>
      </w:r>
      <w:r w:rsidR="003E0F94" w:rsidRPr="00711B22">
        <w:t>”</w:t>
      </w:r>
      <w:r w:rsidRPr="00711B22">
        <w:t xml:space="preserve"> for &lt;3.5 mm; the variable for NBA was similarly valued </w:t>
      </w:r>
      <w:r w:rsidR="003E0F94" w:rsidRPr="00711B22">
        <w:t>“</w:t>
      </w:r>
      <w:r w:rsidRPr="00711B22">
        <w:t>1</w:t>
      </w:r>
      <w:r w:rsidR="003E0F94" w:rsidRPr="00711B22">
        <w:t>”</w:t>
      </w:r>
      <w:r w:rsidRPr="00711B22">
        <w:t xml:space="preserve"> if </w:t>
      </w:r>
      <w:r w:rsidR="00EA60C5">
        <w:t xml:space="preserve">the </w:t>
      </w:r>
      <w:r w:rsidRPr="00711B22">
        <w:t xml:space="preserve">nasal bone </w:t>
      </w:r>
      <w:r w:rsidR="00EA60C5">
        <w:t xml:space="preserve">was </w:t>
      </w:r>
      <w:r w:rsidRPr="00711B22">
        <w:t xml:space="preserve">absent or </w:t>
      </w:r>
      <w:r w:rsidR="003E0F94" w:rsidRPr="00711B22">
        <w:t>“</w:t>
      </w:r>
      <w:r w:rsidRPr="00711B22">
        <w:t>0</w:t>
      </w:r>
      <w:r w:rsidR="003E0F94" w:rsidRPr="00711B22">
        <w:t>”</w:t>
      </w:r>
      <w:r w:rsidRPr="00711B22">
        <w:t xml:space="preserve"> if </w:t>
      </w:r>
      <w:r w:rsidR="00EA60C5">
        <w:t xml:space="preserve">the </w:t>
      </w:r>
      <w:r w:rsidRPr="00711B22">
        <w:t xml:space="preserve">nasal bone </w:t>
      </w:r>
      <w:r w:rsidR="00EA60C5">
        <w:t xml:space="preserve">was </w:t>
      </w:r>
      <w:r w:rsidRPr="00711B22">
        <w:t xml:space="preserve">present. The binary outcome variable for trisomy 21 was also coded in standard fashion. The results, as they might appear in a journal article, are shown in </w:t>
      </w:r>
      <w:r w:rsidRPr="00CE354B">
        <w:rPr>
          <w:highlight w:val="yellow"/>
        </w:rPr>
        <w:t xml:space="preserve">Table </w:t>
      </w:r>
      <w:r w:rsidR="00EC67B9" w:rsidRPr="00CE354B">
        <w:rPr>
          <w:highlight w:val="yellow"/>
        </w:rPr>
        <w:t>7</w:t>
      </w:r>
      <w:r w:rsidRPr="00CE354B">
        <w:rPr>
          <w:highlight w:val="yellow"/>
        </w:rPr>
        <w:t>.</w:t>
      </w:r>
      <w:r w:rsidR="00E155F2">
        <w:rPr>
          <w:highlight w:val="yellow"/>
        </w:rPr>
        <w:t>4</w:t>
      </w:r>
      <w:r w:rsidRPr="00711B22">
        <w:t>.</w:t>
      </w:r>
    </w:p>
    <w:p w14:paraId="09A3D3DD" w14:textId="63274DCA" w:rsidR="00D82074" w:rsidRPr="00711B22" w:rsidRDefault="007E4D31" w:rsidP="00D82074">
      <w:pPr>
        <w:pStyle w:val="NormalWeb"/>
      </w:pPr>
      <w:r w:rsidRPr="00CE354B">
        <w:rPr>
          <w:b/>
          <w:highlight w:val="yellow"/>
        </w:rPr>
        <w:t xml:space="preserve">Table </w:t>
      </w:r>
      <w:r w:rsidR="00EC67B9" w:rsidRPr="00CE354B">
        <w:rPr>
          <w:b/>
          <w:highlight w:val="yellow"/>
        </w:rPr>
        <w:t>7</w:t>
      </w:r>
      <w:r w:rsidRPr="00CE354B">
        <w:rPr>
          <w:b/>
          <w:highlight w:val="yellow"/>
        </w:rPr>
        <w:t>.</w:t>
      </w:r>
      <w:r w:rsidR="00E155F2">
        <w:rPr>
          <w:b/>
          <w:highlight w:val="yellow"/>
        </w:rPr>
        <w:t>4</w:t>
      </w:r>
      <w:r w:rsidRPr="00711B22">
        <w:rPr>
          <w:b/>
        </w:rPr>
        <w:t>.</w:t>
      </w:r>
      <w:r w:rsidRPr="00711B22">
        <w:t xml:space="preserve"> Multivariate ORs resulting from a logistic regression model using fetal NT and NBA as dichotomous predictors of trisomy 21</w:t>
      </w:r>
    </w:p>
    <w:tbl>
      <w:tblPr>
        <w:tblW w:w="0" w:type="auto"/>
        <w:tblInd w:w="40" w:type="dxa"/>
        <w:tblLayout w:type="fixed"/>
        <w:tblCellMar>
          <w:left w:w="40" w:type="dxa"/>
          <w:right w:w="40" w:type="dxa"/>
        </w:tblCellMar>
        <w:tblLook w:val="0000" w:firstRow="0" w:lastRow="0" w:firstColumn="0" w:lastColumn="0" w:noHBand="0" w:noVBand="0"/>
      </w:tblPr>
      <w:tblGrid>
        <w:gridCol w:w="2160"/>
        <w:gridCol w:w="2340"/>
        <w:gridCol w:w="2700"/>
      </w:tblGrid>
      <w:tr w:rsidR="00D82074" w:rsidRPr="00711B22" w14:paraId="3DD9FE5D" w14:textId="77777777">
        <w:trPr>
          <w:trHeight w:hRule="exact" w:val="341"/>
        </w:trPr>
        <w:tc>
          <w:tcPr>
            <w:tcW w:w="2160" w:type="dxa"/>
            <w:tcBorders>
              <w:top w:val="single" w:sz="6" w:space="0" w:color="auto"/>
              <w:left w:val="nil"/>
              <w:bottom w:val="nil"/>
              <w:right w:val="nil"/>
            </w:tcBorders>
            <w:shd w:val="clear" w:color="auto" w:fill="FFFFFF"/>
          </w:tcPr>
          <w:p w14:paraId="6D0385DF" w14:textId="77777777" w:rsidR="00D82074" w:rsidRPr="00711B22" w:rsidRDefault="00D82074" w:rsidP="008F6B84">
            <w:pPr>
              <w:pStyle w:val="Table"/>
            </w:pPr>
          </w:p>
        </w:tc>
        <w:tc>
          <w:tcPr>
            <w:tcW w:w="2340" w:type="dxa"/>
            <w:tcBorders>
              <w:top w:val="single" w:sz="6" w:space="0" w:color="auto"/>
              <w:left w:val="nil"/>
              <w:bottom w:val="nil"/>
              <w:right w:val="nil"/>
            </w:tcBorders>
            <w:shd w:val="clear" w:color="auto" w:fill="FFFFFF"/>
          </w:tcPr>
          <w:p w14:paraId="3B33ABE1" w14:textId="75E0301F" w:rsidR="00E149A4" w:rsidRPr="00711B22" w:rsidRDefault="00D82074" w:rsidP="00E149A4">
            <w:pPr>
              <w:pStyle w:val="Table"/>
            </w:pPr>
            <w:r w:rsidRPr="00711B22">
              <w:t>Multivariate OR</w:t>
            </w:r>
            <w:r w:rsidR="00E149A4" w:rsidRPr="00711B22">
              <w:t xml:space="preserve"> trisomy 21</w:t>
            </w:r>
          </w:p>
          <w:p w14:paraId="4855B7EC" w14:textId="77777777" w:rsidR="00D82074" w:rsidRPr="00711B22" w:rsidRDefault="00D82074" w:rsidP="008F6B84">
            <w:pPr>
              <w:pStyle w:val="Table"/>
            </w:pPr>
          </w:p>
        </w:tc>
        <w:tc>
          <w:tcPr>
            <w:tcW w:w="2700" w:type="dxa"/>
            <w:tcBorders>
              <w:top w:val="single" w:sz="6" w:space="0" w:color="auto"/>
              <w:left w:val="nil"/>
              <w:bottom w:val="nil"/>
              <w:right w:val="nil"/>
            </w:tcBorders>
            <w:shd w:val="clear" w:color="auto" w:fill="FFFFFF"/>
          </w:tcPr>
          <w:p w14:paraId="1B7DA2C4" w14:textId="34A30B20" w:rsidR="00D82074" w:rsidRPr="00711B22" w:rsidRDefault="00E149A4" w:rsidP="00E155F2">
            <w:pPr>
              <w:pStyle w:val="Table"/>
            </w:pPr>
            <w:r w:rsidRPr="00711B22">
              <w:t xml:space="preserve">95% CI </w:t>
            </w:r>
          </w:p>
        </w:tc>
      </w:tr>
      <w:tr w:rsidR="00D82074" w:rsidRPr="00711B22" w14:paraId="2681F5C8" w14:textId="77777777">
        <w:trPr>
          <w:trHeight w:hRule="exact" w:val="317"/>
        </w:trPr>
        <w:tc>
          <w:tcPr>
            <w:tcW w:w="2160" w:type="dxa"/>
            <w:tcBorders>
              <w:top w:val="single" w:sz="6" w:space="0" w:color="auto"/>
              <w:left w:val="nil"/>
              <w:bottom w:val="nil"/>
              <w:right w:val="nil"/>
            </w:tcBorders>
            <w:shd w:val="clear" w:color="auto" w:fill="FFFFFF"/>
          </w:tcPr>
          <w:p w14:paraId="6F00025C" w14:textId="77777777" w:rsidR="00D82074" w:rsidRPr="00711B22" w:rsidRDefault="00D82074" w:rsidP="008F6B84">
            <w:pPr>
              <w:pStyle w:val="Table"/>
            </w:pPr>
            <w:r w:rsidRPr="00711B22">
              <w:t>NT ≥ 3.5 mm</w:t>
            </w:r>
          </w:p>
        </w:tc>
        <w:tc>
          <w:tcPr>
            <w:tcW w:w="2340" w:type="dxa"/>
            <w:tcBorders>
              <w:top w:val="single" w:sz="6" w:space="0" w:color="auto"/>
              <w:left w:val="nil"/>
              <w:bottom w:val="nil"/>
              <w:right w:val="nil"/>
            </w:tcBorders>
            <w:shd w:val="clear" w:color="auto" w:fill="FFFFFF"/>
          </w:tcPr>
          <w:p w14:paraId="6E6775AF" w14:textId="77777777" w:rsidR="00D82074" w:rsidRPr="00711B22" w:rsidRDefault="00D82074" w:rsidP="00C9735B">
            <w:pPr>
              <w:pStyle w:val="Table"/>
              <w:ind w:right="1067"/>
              <w:jc w:val="right"/>
            </w:pPr>
            <w:r w:rsidRPr="00711B22">
              <w:t>8.7</w:t>
            </w:r>
          </w:p>
        </w:tc>
        <w:tc>
          <w:tcPr>
            <w:tcW w:w="2700" w:type="dxa"/>
            <w:tcBorders>
              <w:top w:val="single" w:sz="6" w:space="0" w:color="auto"/>
              <w:left w:val="nil"/>
              <w:bottom w:val="nil"/>
              <w:right w:val="nil"/>
            </w:tcBorders>
            <w:shd w:val="clear" w:color="auto" w:fill="FFFFFF"/>
          </w:tcPr>
          <w:p w14:paraId="121ABAEE" w14:textId="77777777" w:rsidR="00D82074" w:rsidRPr="00711B22" w:rsidRDefault="00D82074" w:rsidP="00B33B11">
            <w:pPr>
              <w:pStyle w:val="Table"/>
              <w:ind w:right="1058"/>
            </w:pPr>
            <w:r w:rsidRPr="00711B22">
              <w:t>6.3</w:t>
            </w:r>
            <w:r w:rsidR="00C9735B" w:rsidRPr="00711B22">
              <w:t>–</w:t>
            </w:r>
            <w:r w:rsidRPr="00711B22">
              <w:t>11.8</w:t>
            </w:r>
          </w:p>
        </w:tc>
      </w:tr>
      <w:tr w:rsidR="00D82074" w:rsidRPr="00711B22" w14:paraId="52F4606B" w14:textId="77777777">
        <w:trPr>
          <w:trHeight w:hRule="exact" w:val="322"/>
        </w:trPr>
        <w:tc>
          <w:tcPr>
            <w:tcW w:w="2160" w:type="dxa"/>
            <w:tcBorders>
              <w:top w:val="nil"/>
              <w:left w:val="nil"/>
              <w:bottom w:val="single" w:sz="6" w:space="0" w:color="auto"/>
              <w:right w:val="nil"/>
            </w:tcBorders>
            <w:shd w:val="clear" w:color="auto" w:fill="FFFFFF"/>
          </w:tcPr>
          <w:p w14:paraId="62BED1C5" w14:textId="77777777" w:rsidR="00D82074" w:rsidRPr="00711B22" w:rsidRDefault="00D82074" w:rsidP="008F6B84">
            <w:pPr>
              <w:pStyle w:val="Table"/>
            </w:pPr>
            <w:r w:rsidRPr="00711B22">
              <w:t>NBA</w:t>
            </w:r>
          </w:p>
        </w:tc>
        <w:tc>
          <w:tcPr>
            <w:tcW w:w="2340" w:type="dxa"/>
            <w:tcBorders>
              <w:top w:val="nil"/>
              <w:left w:val="nil"/>
              <w:bottom w:val="single" w:sz="6" w:space="0" w:color="auto"/>
              <w:right w:val="nil"/>
            </w:tcBorders>
            <w:shd w:val="clear" w:color="auto" w:fill="FFFFFF"/>
          </w:tcPr>
          <w:p w14:paraId="4D8263C8" w14:textId="77777777" w:rsidR="00D82074" w:rsidRPr="00711B22" w:rsidRDefault="00D82074" w:rsidP="00C9735B">
            <w:pPr>
              <w:pStyle w:val="Table"/>
              <w:ind w:right="1067"/>
              <w:jc w:val="right"/>
            </w:pPr>
            <w:r w:rsidRPr="00711B22">
              <w:t>53.0</w:t>
            </w:r>
          </w:p>
        </w:tc>
        <w:tc>
          <w:tcPr>
            <w:tcW w:w="2700" w:type="dxa"/>
            <w:tcBorders>
              <w:top w:val="nil"/>
              <w:left w:val="nil"/>
              <w:bottom w:val="single" w:sz="6" w:space="0" w:color="auto"/>
              <w:right w:val="nil"/>
            </w:tcBorders>
            <w:shd w:val="clear" w:color="auto" w:fill="FFFFFF"/>
          </w:tcPr>
          <w:p w14:paraId="1E3ADB1B" w14:textId="77777777" w:rsidR="00D82074" w:rsidRPr="00711B22" w:rsidRDefault="00C9735B" w:rsidP="00B33B11">
            <w:pPr>
              <w:pStyle w:val="Table"/>
              <w:ind w:right="1058"/>
            </w:pPr>
            <w:r w:rsidRPr="00711B22">
              <w:t>38.7–</w:t>
            </w:r>
            <w:r w:rsidR="00D82074" w:rsidRPr="00711B22">
              <w:t>72.7</w:t>
            </w:r>
          </w:p>
        </w:tc>
      </w:tr>
    </w:tbl>
    <w:p w14:paraId="2D9903CA" w14:textId="77777777" w:rsidR="00EA60C5" w:rsidRDefault="00EA60C5" w:rsidP="005F2712">
      <w:pPr>
        <w:pStyle w:val="NormalWeb"/>
      </w:pPr>
    </w:p>
    <w:p w14:paraId="0423B8E6" w14:textId="698EFD51" w:rsidR="003951CB" w:rsidRPr="00711B22" w:rsidRDefault="007E4D31" w:rsidP="005F2712">
      <w:pPr>
        <w:pStyle w:val="NormalWeb"/>
      </w:pPr>
      <w:r w:rsidRPr="00711B22">
        <w:t>The multivariate OR for NBA is much greater than the multivariate OR for NT. This allows us to say that, when both are available, NBA is a more important predictor of trisomy 21 than NT.</w:t>
      </w:r>
    </w:p>
    <w:p w14:paraId="19FF7B62" w14:textId="77777777" w:rsidR="00222D6E" w:rsidRDefault="007E4D31" w:rsidP="00732FB7">
      <w:pPr>
        <w:pStyle w:val="NormalWeb"/>
      </w:pPr>
      <w:r w:rsidRPr="00711B22">
        <w:t xml:space="preserve">A multiple logistic regression model adjusts the OR associated with one dichotomous test for the fact that one or more additional tests are performed. Based on the data in Table </w:t>
      </w:r>
      <w:r w:rsidR="00EC67B9">
        <w:t>7</w:t>
      </w:r>
      <w:r w:rsidRPr="00711B22">
        <w:t>.</w:t>
      </w:r>
      <w:r w:rsidR="00293B9C">
        <w:t>2</w:t>
      </w:r>
      <w:r w:rsidRPr="00711B22">
        <w:t xml:space="preserve">, the </w:t>
      </w:r>
      <w:r w:rsidR="00245072">
        <w:t>bi</w:t>
      </w:r>
      <w:r w:rsidR="00E67CC9">
        <w:t>variate</w:t>
      </w:r>
      <w:r w:rsidRPr="00711B22">
        <w:t xml:space="preserve"> OR for NBA is 87.0 (calculated in Box </w:t>
      </w:r>
      <w:r w:rsidR="00EC67B9">
        <w:t>7</w:t>
      </w:r>
      <w:r w:rsidRPr="00711B22">
        <w:t xml:space="preserve">.2) and the </w:t>
      </w:r>
      <w:r w:rsidR="00245072">
        <w:t>bivariate</w:t>
      </w:r>
      <w:r w:rsidRPr="00711B22">
        <w:t xml:space="preserve"> OR for NT is 17.4. Because the two tests are not independent, the multivariate ORs are lower when both variables are included together than they are for each variable separately.</w:t>
      </w:r>
      <w:r w:rsidR="00732FB7" w:rsidRPr="00711B22" w:rsidDel="00732FB7">
        <w:t xml:space="preserve"> </w:t>
      </w:r>
    </w:p>
    <w:p w14:paraId="51941581" w14:textId="77777777" w:rsidR="00222D6E" w:rsidRDefault="00222D6E">
      <w:r>
        <w:br w:type="page"/>
      </w:r>
    </w:p>
    <w:p w14:paraId="7D5A423D" w14:textId="792D1539" w:rsidR="008E4688" w:rsidRDefault="004A795D" w:rsidP="00732FB7">
      <w:pPr>
        <w:pStyle w:val="NormalWeb"/>
      </w:pPr>
      <w:r>
        <w:rPr>
          <w:noProof/>
        </w:rPr>
        <w:lastRenderedPageBreak/>
        <w:drawing>
          <wp:inline distT="0" distB="0" distL="0" distR="0" wp14:anchorId="69251E3E" wp14:editId="50062D0E">
            <wp:extent cx="5486400" cy="71088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7.10.png"/>
                    <pic:cNvPicPr/>
                  </pic:nvPicPr>
                  <pic:blipFill>
                    <a:blip r:embed="rId24"/>
                    <a:stretch>
                      <a:fillRect/>
                    </a:stretch>
                  </pic:blipFill>
                  <pic:spPr>
                    <a:xfrm>
                      <a:off x="0" y="0"/>
                      <a:ext cx="5486400" cy="7108825"/>
                    </a:xfrm>
                    <a:prstGeom prst="rect">
                      <a:avLst/>
                    </a:prstGeom>
                  </pic:spPr>
                </pic:pic>
              </a:graphicData>
            </a:graphic>
          </wp:inline>
        </w:drawing>
      </w:r>
    </w:p>
    <w:p w14:paraId="0AAC15D3" w14:textId="77777777" w:rsidR="008E4688" w:rsidRDefault="008E4688" w:rsidP="000B19EA">
      <w:pPr>
        <w:pStyle w:val="NormalWeb"/>
      </w:pPr>
    </w:p>
    <w:p w14:paraId="06CDF647" w14:textId="399C68C2" w:rsidR="000B19EA" w:rsidRPr="00711B22" w:rsidRDefault="00CA186A" w:rsidP="000B19EA">
      <w:pPr>
        <w:pStyle w:val="NormalWeb"/>
      </w:pPr>
      <w:r>
        <w:lastRenderedPageBreak/>
        <w:t>Figure 7.9</w:t>
      </w:r>
      <w:r w:rsidR="007E4D31" w:rsidRPr="00711B22">
        <w:t xml:space="preserve"> Probability of trisomy 21 as a function of maternal age (data from </w:t>
      </w:r>
      <w:proofErr w:type="spellStart"/>
      <w:r w:rsidR="007E4D31" w:rsidRPr="00711B22">
        <w:t>Snijders</w:t>
      </w:r>
      <w:proofErr w:type="spellEnd"/>
      <w:r w:rsidR="007E4D31" w:rsidRPr="00711B22">
        <w:t xml:space="preserve"> et al. 1999,</w:t>
      </w:r>
      <w:r w:rsidR="000B19EA" w:rsidRPr="00711B22">
        <w:t xml:space="preserve"> </w:t>
      </w:r>
      <w:r w:rsidR="007E4D31" w:rsidRPr="00711B22">
        <w:t>Table 1)</w:t>
      </w:r>
      <w:r w:rsidR="00DA779C">
        <w:fldChar w:fldCharType="begin"/>
      </w:r>
      <w:r w:rsidR="00DA779C">
        <w:instrText xml:space="preserve"> ADDIN EN.CITE &lt;EndNote&gt;&lt;Cite&gt;&lt;Author&gt;Snijders&lt;/Author&gt;&lt;Year&gt;1999&lt;/Year&gt;&lt;RecNum&gt;1032&lt;/RecNum&gt;&lt;DisplayText&gt;[15]&lt;/DisplayText&gt;&lt;record&gt;&lt;rec-number&gt;1032&lt;/rec-number&gt;&lt;foreign-keys&gt;&lt;key app="EN" db-id="0ftvff9p80fp5few5s05f5fw9rd9fefrdzer" timestamp="0"&gt;1032&lt;/key&gt;&lt;/foreign-keys&gt;&lt;ref-type name="Journal Article"&gt;17&lt;/ref-type&gt;&lt;contributors&gt;&lt;authors&gt;&lt;author&gt;Snijders, R. J.&lt;/author&gt;&lt;author&gt;Sundberg, K.&lt;/author&gt;&lt;author&gt;Holzgreve, W.&lt;/author&gt;&lt;author&gt;Henry, G.&lt;/author&gt;&lt;author&gt;Nicolaides, K. H.&lt;/author&gt;&lt;/authors&gt;&lt;/contributors&gt;&lt;auth-address&gt;Harris Birthright Research Centre for Fetal Medicine, King&amp;apos;s College Hospital Medical School, London, UK.&lt;/auth-address&gt;&lt;titles&gt;&lt;title&gt;Maternal age- and gestation-specific risk for trisomy 21&lt;/title&gt;&lt;secondary-title&gt;Ultrasound Obstet Gynecol&lt;/secondary-title&gt;&lt;/titles&gt;&lt;pages&gt;167-70&lt;/pages&gt;&lt;volume&gt;13&lt;/volume&gt;&lt;number&gt;3&lt;/number&gt;&lt;keywords&gt;&lt;keyword&gt;Adult&lt;/keyword&gt;&lt;keyword&gt;Age Distribution&lt;/keyword&gt;&lt;keyword&gt;Chi-Square Distribution&lt;/keyword&gt;&lt;keyword&gt;Confidence Intervals&lt;/keyword&gt;&lt;keyword&gt;Down Syndrome/*epidemiology&lt;/keyword&gt;&lt;keyword&gt;Female&lt;/keyword&gt;&lt;keyword&gt;*Gestational Age&lt;/keyword&gt;&lt;keyword&gt;Great Britain/epidemiology&lt;/keyword&gt;&lt;keyword&gt;Humans&lt;/keyword&gt;&lt;keyword&gt;Karyotyping&lt;/keyword&gt;&lt;keyword&gt;Linear Models&lt;/keyword&gt;&lt;keyword&gt;*Maternal Age&lt;/keyword&gt;&lt;keyword&gt;Middle Aged&lt;/keyword&gt;&lt;keyword&gt;Pregnancy&lt;/keyword&gt;&lt;keyword&gt;*Pregnancy, High-Risk&lt;/keyword&gt;&lt;keyword&gt;Prevalence&lt;/keyword&gt;&lt;keyword&gt;Regression Analysis&lt;/keyword&gt;&lt;keyword&gt;Reproducibility of Results&lt;/keyword&gt;&lt;keyword&gt;Risk Factors&lt;/keyword&gt;&lt;/keywords&gt;&lt;dates&gt;&lt;year&gt;1999&lt;/year&gt;&lt;pub-dates&gt;&lt;date&gt;Mar&lt;/date&gt;&lt;/pub-dates&gt;&lt;/dates&gt;&lt;accession-num&gt;10204206&lt;/accession-num&gt;&lt;urls&gt;&lt;related-urls&gt;&lt;url&gt;http://www.ncbi.nlm.nih.gov/entrez/query.fcgi?cmd=Retrieve&amp;amp;db=PubMed&amp;amp;dopt=Citation&amp;amp;list_uids=10204206 &lt;/url&gt;&lt;/related-urls&gt;&lt;/urls&gt;&lt;/record&gt;&lt;/Cite&gt;&lt;/EndNote&gt;</w:instrText>
      </w:r>
      <w:r w:rsidR="00DA779C">
        <w:fldChar w:fldCharType="separate"/>
      </w:r>
      <w:r w:rsidR="00DA779C">
        <w:rPr>
          <w:noProof/>
        </w:rPr>
        <w:t>[15]</w:t>
      </w:r>
      <w:r w:rsidR="00DA779C">
        <w:fldChar w:fldCharType="end"/>
      </w:r>
      <w:r w:rsidR="007E4D31" w:rsidRPr="00711B22">
        <w:t>. (</w:t>
      </w:r>
      <w:r w:rsidR="007E4D31" w:rsidRPr="00711B22">
        <w:rPr>
          <w:b/>
        </w:rPr>
        <w:t>A</w:t>
      </w:r>
      <w:r w:rsidR="007E4D31" w:rsidRPr="00711B22">
        <w:t>) Plot of probability versus maternal age. (</w:t>
      </w:r>
      <w:r w:rsidR="007E4D31" w:rsidRPr="00711B22">
        <w:rPr>
          <w:b/>
        </w:rPr>
        <w:t>B</w:t>
      </w:r>
      <w:r w:rsidR="007E4D31" w:rsidRPr="00711B22">
        <w:t>) Plot of ln(odds) versus maternal age.</w:t>
      </w:r>
    </w:p>
    <w:p w14:paraId="266DC53B" w14:textId="77777777" w:rsidR="003951CB" w:rsidRPr="00711B22" w:rsidRDefault="007E4D31" w:rsidP="00D851E0">
      <w:pPr>
        <w:pStyle w:val="Heading3"/>
      </w:pPr>
      <w:r w:rsidRPr="00711B22">
        <w:t>Logistic regression using the results of a single continuous test</w:t>
      </w:r>
    </w:p>
    <w:p w14:paraId="69EBE944" w14:textId="7CAF9317" w:rsidR="00E155F2" w:rsidRDefault="007E4D31" w:rsidP="000B19EA">
      <w:pPr>
        <w:pStyle w:val="NormalWeb"/>
      </w:pPr>
      <w:r w:rsidRPr="00711B22">
        <w:t xml:space="preserve">So far in this chapter, we have </w:t>
      </w:r>
      <w:r w:rsidR="00993DEB">
        <w:t>ignored</w:t>
      </w:r>
      <w:r w:rsidR="00993DEB" w:rsidRPr="00711B22">
        <w:t xml:space="preserve"> </w:t>
      </w:r>
      <w:r w:rsidRPr="00711B22">
        <w:t xml:space="preserve">the </w:t>
      </w:r>
      <w:r w:rsidR="00993DEB">
        <w:t xml:space="preserve">advice </w:t>
      </w:r>
      <w:r w:rsidRPr="00711B22">
        <w:t xml:space="preserve">of Chapter </w:t>
      </w:r>
      <w:r w:rsidR="00E155F2">
        <w:t>3</w:t>
      </w:r>
      <w:r w:rsidR="00E155F2" w:rsidRPr="00711B22">
        <w:t xml:space="preserve"> </w:t>
      </w:r>
      <w:r w:rsidRPr="00711B22">
        <w:t xml:space="preserve">and discarded information by dichotomizing NT at 3.5 mm, calling an NT &lt;3.5 mm </w:t>
      </w:r>
      <w:r w:rsidR="003E0F94" w:rsidRPr="00711B22">
        <w:t>“</w:t>
      </w:r>
      <w:r w:rsidRPr="00711B22">
        <w:t>negative</w:t>
      </w:r>
      <w:r w:rsidR="003E0F94" w:rsidRPr="00711B22">
        <w:t>”</w:t>
      </w:r>
      <w:r w:rsidRPr="00711B22">
        <w:t xml:space="preserve"> and ≥3.5 mm </w:t>
      </w:r>
      <w:r w:rsidR="003E0F94" w:rsidRPr="00711B22">
        <w:t>“</w:t>
      </w:r>
      <w:r w:rsidRPr="00711B22">
        <w:t>positive</w:t>
      </w:r>
      <w:r w:rsidR="003E0F94" w:rsidRPr="00711B22">
        <w:t>”</w:t>
      </w:r>
      <w:r w:rsidRPr="00711B22">
        <w:t xml:space="preserve"> for trisomy 21. In fact, an NT of 6 mm is much more suggestive of trisomy 21 than an NT of 3.5 mm. One of the main reasons to use logistic regression is to accommodate one or more continuous test results. </w:t>
      </w:r>
    </w:p>
    <w:p w14:paraId="5C342E31" w14:textId="14E881B6" w:rsidR="003951CB" w:rsidRPr="00711B22" w:rsidRDefault="007E4D31" w:rsidP="000B19EA">
      <w:pPr>
        <w:pStyle w:val="NormalWeb"/>
      </w:pPr>
      <w:r w:rsidRPr="00711B22">
        <w:t xml:space="preserve">To see </w:t>
      </w:r>
      <w:r w:rsidR="00E155F2">
        <w:t xml:space="preserve">one reason </w:t>
      </w:r>
      <w:r w:rsidRPr="00711B22">
        <w:t xml:space="preserve">why logistic regression models ln(odds) instead of probability, consider another predictor of trisomy 21: maternal age. </w:t>
      </w:r>
      <w:r w:rsidR="00CA186A">
        <w:t>Figure 7.9</w:t>
      </w:r>
      <w:r w:rsidRPr="00711B22">
        <w:t xml:space="preserve">A shows the probability of trisomy 21 (at 16 </w:t>
      </w:r>
      <w:proofErr w:type="spellStart"/>
      <w:r w:rsidRPr="00711B22">
        <w:t>weeks</w:t>
      </w:r>
      <w:proofErr w:type="spellEnd"/>
      <w:r w:rsidRPr="00711B22">
        <w:t xml:space="preserve"> gestation) by maternal age.</w:t>
      </w:r>
      <w:r w:rsidR="00DA779C">
        <w:fldChar w:fldCharType="begin"/>
      </w:r>
      <w:r w:rsidR="00DA779C">
        <w:instrText xml:space="preserve"> ADDIN EN.CITE &lt;EndNote&gt;&lt;Cite&gt;&lt;Author&gt;Snijders&lt;/Author&gt;&lt;Year&gt;1999&lt;/Year&gt;&lt;RecNum&gt;1032&lt;/RecNum&gt;&lt;DisplayText&gt;[15]&lt;/DisplayText&gt;&lt;record&gt;&lt;rec-number&gt;1032&lt;/rec-number&gt;&lt;foreign-keys&gt;&lt;key app="EN" db-id="0ftvff9p80fp5few5s05f5fw9rd9fefrdzer" timestamp="0"&gt;1032&lt;/key&gt;&lt;/foreign-keys&gt;&lt;ref-type name="Journal Article"&gt;17&lt;/ref-type&gt;&lt;contributors&gt;&lt;authors&gt;&lt;author&gt;Snijders, R. J.&lt;/author&gt;&lt;author&gt;Sundberg, K.&lt;/author&gt;&lt;author&gt;Holzgreve, W.&lt;/author&gt;&lt;author&gt;Henry, G.&lt;/author&gt;&lt;author&gt;Nicolaides, K. H.&lt;/author&gt;&lt;/authors&gt;&lt;/contributors&gt;&lt;auth-address&gt;Harris Birthright Research Centre for Fetal Medicine, King&amp;apos;s College Hospital Medical School, London, UK.&lt;/auth-address&gt;&lt;titles&gt;&lt;title&gt;Maternal age- and gestation-specific risk for trisomy 21&lt;/title&gt;&lt;secondary-title&gt;Ultrasound Obstet Gynecol&lt;/secondary-title&gt;&lt;/titles&gt;&lt;pages&gt;167-70&lt;/pages&gt;&lt;volume&gt;13&lt;/volume&gt;&lt;number&gt;3&lt;/number&gt;&lt;keywords&gt;&lt;keyword&gt;Adult&lt;/keyword&gt;&lt;keyword&gt;Age Distribution&lt;/keyword&gt;&lt;keyword&gt;Chi-Square Distribution&lt;/keyword&gt;&lt;keyword&gt;Confidence Intervals&lt;/keyword&gt;&lt;keyword&gt;Down Syndrome/*epidemiology&lt;/keyword&gt;&lt;keyword&gt;Female&lt;/keyword&gt;&lt;keyword&gt;*Gestational Age&lt;/keyword&gt;&lt;keyword&gt;Great Britain/epidemiology&lt;/keyword&gt;&lt;keyword&gt;Humans&lt;/keyword&gt;&lt;keyword&gt;Karyotyping&lt;/keyword&gt;&lt;keyword&gt;Linear Models&lt;/keyword&gt;&lt;keyword&gt;*Maternal Age&lt;/keyword&gt;&lt;keyword&gt;Middle Aged&lt;/keyword&gt;&lt;keyword&gt;Pregnancy&lt;/keyword&gt;&lt;keyword&gt;*Pregnancy, High-Risk&lt;/keyword&gt;&lt;keyword&gt;Prevalence&lt;/keyword&gt;&lt;keyword&gt;Regression Analysis&lt;/keyword&gt;&lt;keyword&gt;Reproducibility of Results&lt;/keyword&gt;&lt;keyword&gt;Risk Factors&lt;/keyword&gt;&lt;/keywords&gt;&lt;dates&gt;&lt;year&gt;1999&lt;/year&gt;&lt;pub-dates&gt;&lt;date&gt;Mar&lt;/date&gt;&lt;/pub-dates&gt;&lt;/dates&gt;&lt;accession-num&gt;10204206&lt;/accession-num&gt;&lt;urls&gt;&lt;related-urls&gt;&lt;url&gt;http://www.ncbi.nlm.nih.gov/entrez/query.fcgi?cmd=Retrieve&amp;amp;db=PubMed&amp;amp;dopt=Citation&amp;amp;list_uids=10204206 &lt;/url&gt;&lt;/related-urls&gt;&lt;/urls&gt;&lt;/record&gt;&lt;/Cite&gt;&lt;/EndNote&gt;</w:instrText>
      </w:r>
      <w:r w:rsidR="00DA779C">
        <w:fldChar w:fldCharType="separate"/>
      </w:r>
      <w:r w:rsidR="00DA779C">
        <w:rPr>
          <w:noProof/>
        </w:rPr>
        <w:t>[15]</w:t>
      </w:r>
      <w:r w:rsidR="00DA779C">
        <w:fldChar w:fldCharType="end"/>
      </w:r>
      <w:r w:rsidR="005A454C">
        <w:t xml:space="preserve">  </w:t>
      </w:r>
      <w:r w:rsidR="00E155F2">
        <w:t>T</w:t>
      </w:r>
      <w:r w:rsidRPr="00711B22">
        <w:t>he relationship between probability</w:t>
      </w:r>
      <w:r w:rsidR="00E155F2">
        <w:t xml:space="preserve"> of trisomy 21</w:t>
      </w:r>
      <w:r w:rsidRPr="00711B22">
        <w:t xml:space="preserve"> and maternal age is distinctly </w:t>
      </w:r>
      <w:r w:rsidR="00E155F2" w:rsidRPr="00711B22">
        <w:t>nonlinear</w:t>
      </w:r>
      <w:r w:rsidR="00E155F2">
        <w:t xml:space="preserve">.  In fact, like many biological relationships, the relationship is approximately exponential: each additional year of age </w:t>
      </w:r>
      <w:r w:rsidR="00E155F2" w:rsidRPr="00B33B11">
        <w:rPr>
          <w:i/>
        </w:rPr>
        <w:t>multiplies</w:t>
      </w:r>
      <w:r w:rsidR="00E155F2">
        <w:t xml:space="preserve"> the risk by a certain amount rather than </w:t>
      </w:r>
      <w:r w:rsidR="00E155F2" w:rsidRPr="00B33B11">
        <w:rPr>
          <w:i/>
        </w:rPr>
        <w:t>adding</w:t>
      </w:r>
      <w:r w:rsidR="00E155F2">
        <w:t xml:space="preserve"> an amount. </w:t>
      </w:r>
      <w:r w:rsidRPr="00711B22">
        <w:t xml:space="preserve">If, instead of probability, we graph the ln(odds) as a function of maternal age, as in </w:t>
      </w:r>
      <w:r w:rsidR="00CA186A">
        <w:t>Figure 7.9</w:t>
      </w:r>
      <w:r w:rsidRPr="00711B22">
        <w:t>B, we get a relationship</w:t>
      </w:r>
      <w:r w:rsidR="00E155F2">
        <w:t xml:space="preserve"> that is much closer to linear</w:t>
      </w:r>
      <w:r w:rsidRPr="00711B22">
        <w:t>.</w:t>
      </w:r>
      <w:r w:rsidR="00F607E5">
        <w:rPr>
          <w:rStyle w:val="FootnoteReference"/>
        </w:rPr>
        <w:footnoteReference w:id="9"/>
      </w:r>
      <w:r w:rsidRPr="00711B22">
        <w:t xml:space="preserve"> This is </w:t>
      </w:r>
      <w:r w:rsidR="00E155F2">
        <w:t xml:space="preserve">one reason </w:t>
      </w:r>
      <w:r w:rsidRPr="00711B22">
        <w:t>why logistic regression models ln(odds) instead of probability as a linear function of test results.</w:t>
      </w:r>
    </w:p>
    <w:p w14:paraId="58DCEBC2" w14:textId="19936A36" w:rsidR="003951CB" w:rsidRPr="00711B22" w:rsidRDefault="007E4D31" w:rsidP="000B19EA">
      <w:pPr>
        <w:pStyle w:val="NormalWeb"/>
      </w:pPr>
      <w:r w:rsidRPr="00711B22">
        <w:t xml:space="preserve">As discussed in Chapter </w:t>
      </w:r>
      <w:r w:rsidR="00E155F2">
        <w:t>3</w:t>
      </w:r>
      <w:r w:rsidRPr="00711B22">
        <w:t xml:space="preserve">, we sometimes choose a cut-off value for a continuous test to trigger some action. In maternal–fetal medicine, the cut-off for obtaining a fetal karyotype by chorionic villus sampling or amniocentesis has been </w:t>
      </w:r>
      <w:r w:rsidR="00E155F2">
        <w:t xml:space="preserve">traditionally </w:t>
      </w:r>
      <w:r w:rsidRPr="00711B22">
        <w:t xml:space="preserve">arbitrarily set at a 1 in 300 (0.33%) risk of trisomy 21. Based on logistic regression models used to </w:t>
      </w:r>
      <w:r w:rsidR="00191BDE" w:rsidRPr="00711B22">
        <w:t>fi</w:t>
      </w:r>
      <w:r w:rsidRPr="00711B22">
        <w:t xml:space="preserve">t data like those displayed in </w:t>
      </w:r>
      <w:r w:rsidR="00CA186A">
        <w:t>Figure 7.9</w:t>
      </w:r>
      <w:r w:rsidRPr="00711B22">
        <w:t xml:space="preserve">, the maternal age cut-off </w:t>
      </w:r>
      <w:r w:rsidR="00FA4F35">
        <w:t>w</w:t>
      </w:r>
      <w:r w:rsidR="00FA4F35" w:rsidRPr="00711B22">
        <w:t xml:space="preserve">ould </w:t>
      </w:r>
      <w:r w:rsidRPr="00711B22">
        <w:t>therefore be 35 years.</w:t>
      </w:r>
    </w:p>
    <w:p w14:paraId="2E4D6923" w14:textId="77777777" w:rsidR="003951CB" w:rsidRPr="00711B22" w:rsidRDefault="007E4D31" w:rsidP="00CB14A0">
      <w:pPr>
        <w:pStyle w:val="Heading3"/>
      </w:pPr>
      <w:r w:rsidRPr="00711B22">
        <w:t>Logistic regression using the results of two continuous tests</w:t>
      </w:r>
    </w:p>
    <w:p w14:paraId="6AC740A0" w14:textId="3903AC0C" w:rsidR="003951CB" w:rsidRPr="00711B22" w:rsidRDefault="007E4D31" w:rsidP="00CB14A0">
      <w:pPr>
        <w:pStyle w:val="NormalWeb"/>
      </w:pPr>
      <w:r w:rsidRPr="00711B22">
        <w:t>The situation becomes more complex when logistic regression models use more than one continuous test to determine the patient</w:t>
      </w:r>
      <w:r w:rsidR="003951CB" w:rsidRPr="00711B22">
        <w:t>’</w:t>
      </w:r>
      <w:r w:rsidRPr="00711B22">
        <w:t>s probability of disease. For example, a decision rule about proceeding to chorionic villus sampling might consider NT as well as maternal age. Now, we move from a single-variable logistic regression model to a multivariable model. The single cut-off value (35 years old) is replaced by a cut-off line or curve (Fig</w:t>
      </w:r>
      <w:r w:rsidR="00CA186A">
        <w:t>ure</w:t>
      </w:r>
      <w:r w:rsidRPr="00711B22">
        <w:t xml:space="preserve"> </w:t>
      </w:r>
      <w:r w:rsidR="00EC67B9">
        <w:t>7</w:t>
      </w:r>
      <w:r w:rsidRPr="00711B22">
        <w:t>.1</w:t>
      </w:r>
      <w:r w:rsidR="00CA186A">
        <w:t>0</w:t>
      </w:r>
      <w:r w:rsidRPr="00711B22">
        <w:t xml:space="preserve">). The line represents the NT cut-off at each maternal age. We expect this </w:t>
      </w:r>
      <w:r w:rsidRPr="00711B22">
        <w:lastRenderedPageBreak/>
        <w:t>line to have a negative slope</w:t>
      </w:r>
      <w:r w:rsidR="00FA4F35">
        <w:t xml:space="preserve"> because</w:t>
      </w:r>
      <w:r w:rsidR="00FA4F35" w:rsidRPr="00711B22">
        <w:t xml:space="preserve"> </w:t>
      </w:r>
      <w:r w:rsidRPr="00711B22">
        <w:t>the NT threshold should decrease as the maternal age increases.</w:t>
      </w:r>
    </w:p>
    <w:p w14:paraId="79071CF4" w14:textId="63302D6B" w:rsidR="003951CB" w:rsidRPr="00711B22" w:rsidRDefault="007E4D31" w:rsidP="00CB14A0">
      <w:pPr>
        <w:pStyle w:val="NormalWeb"/>
      </w:pPr>
      <w:r w:rsidRPr="00711B22">
        <w:t xml:space="preserve">For </w:t>
      </w:r>
      <w:r w:rsidR="00CA186A">
        <w:rPr>
          <w:highlight w:val="yellow"/>
        </w:rPr>
        <w:t>Figure 7.10</w:t>
      </w:r>
      <w:r w:rsidRPr="00711B22">
        <w:t>, we de</w:t>
      </w:r>
      <w:r w:rsidR="00191BDE" w:rsidRPr="00711B22">
        <w:t>fi</w:t>
      </w:r>
      <w:r w:rsidRPr="00711B22">
        <w:t>ned high risk of trisomy 21 as probability greater than 1%. In a 21-year-old woman, a fetus with NT of 3 mm is considered low risk (&lt;1%</w:t>
      </w:r>
      <w:r w:rsidR="000B19EA" w:rsidRPr="00711B22">
        <w:t xml:space="preserve"> probability of trisomy 21), but in a </w:t>
      </w:r>
      <w:r w:rsidR="00E155F2" w:rsidRPr="00711B22">
        <w:t>3</w:t>
      </w:r>
      <w:r w:rsidR="00E155F2">
        <w:t>5</w:t>
      </w:r>
      <w:r w:rsidR="000B19EA" w:rsidRPr="00711B22">
        <w:t>-year-old woman, a lower NT of 2.5 mm is considered high risk (&gt;1% probability).</w:t>
      </w:r>
    </w:p>
    <w:p w14:paraId="20EEACF6" w14:textId="77777777" w:rsidR="004A795D" w:rsidRDefault="004A795D" w:rsidP="00CB14A0">
      <w:pPr>
        <w:pStyle w:val="NormalWeb"/>
      </w:pPr>
    </w:p>
    <w:p w14:paraId="7F6E17A1" w14:textId="77777777" w:rsidR="004A795D" w:rsidRDefault="004A795D" w:rsidP="00CB14A0">
      <w:pPr>
        <w:pStyle w:val="NormalWeb"/>
      </w:pPr>
      <w:r>
        <w:rPr>
          <w:noProof/>
        </w:rPr>
        <w:drawing>
          <wp:inline distT="0" distB="0" distL="0" distR="0" wp14:anchorId="17FB4795" wp14:editId="1DF5DC46">
            <wp:extent cx="5486400" cy="3424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7.11.png"/>
                    <pic:cNvPicPr/>
                  </pic:nvPicPr>
                  <pic:blipFill>
                    <a:blip r:embed="rId25"/>
                    <a:stretch>
                      <a:fillRect/>
                    </a:stretch>
                  </pic:blipFill>
                  <pic:spPr>
                    <a:xfrm>
                      <a:off x="0" y="0"/>
                      <a:ext cx="5486400" cy="3424555"/>
                    </a:xfrm>
                    <a:prstGeom prst="rect">
                      <a:avLst/>
                    </a:prstGeom>
                  </pic:spPr>
                </pic:pic>
              </a:graphicData>
            </a:graphic>
          </wp:inline>
        </w:drawing>
      </w:r>
    </w:p>
    <w:p w14:paraId="08E891FF" w14:textId="7DBB6D4F" w:rsidR="0039638D" w:rsidRPr="00711B22" w:rsidRDefault="00CA186A" w:rsidP="0039638D">
      <w:pPr>
        <w:pStyle w:val="NormalWeb"/>
      </w:pPr>
      <w:r>
        <w:t>Figure 7.10</w:t>
      </w:r>
      <w:r w:rsidR="007E4D31" w:rsidRPr="00711B22">
        <w:t xml:space="preserve"> A hypothetical nomogram showing the combinations of maternal age and NT that identify fetuses at high risk for trisomy 21. In this nomogram, </w:t>
      </w:r>
      <w:r w:rsidR="003E0F94" w:rsidRPr="00711B22">
        <w:t>“</w:t>
      </w:r>
      <w:r w:rsidR="007E4D31" w:rsidRPr="00711B22">
        <w:t>high risk</w:t>
      </w:r>
      <w:r w:rsidR="003E0F94" w:rsidRPr="00711B22">
        <w:t>”</w:t>
      </w:r>
      <w:r w:rsidR="007E4D31" w:rsidRPr="00711B22">
        <w:t xml:space="preserve"> is greater than 1% probability of trisomy 21 (Data abstracted from Nicolaides 2004, Figure 6, page 20)</w:t>
      </w:r>
      <w:r w:rsidR="00DA779C">
        <w:fldChar w:fldCharType="begin"/>
      </w:r>
      <w:r w:rsidR="00DA779C">
        <w:instrText xml:space="preserve"> ADDIN EN.CITE &lt;EndNote&gt;&lt;Cite&gt;&lt;Author&gt;Nicolaides&lt;/Author&gt;&lt;Year&gt;2004&lt;/Year&gt;&lt;RecNum&gt;1033&lt;/RecNum&gt;&lt;DisplayText&gt;[16]&lt;/DisplayText&gt;&lt;record&gt;&lt;rec-number&gt;1033&lt;/rec-number&gt;&lt;foreign-keys&gt;&lt;key app="EN" db-id="0ftvff9p80fp5few5s05f5fw9rd9fefrdzer" timestamp="0"&gt;1033&lt;/key&gt;&lt;/foreign-keys&gt;&lt;ref-type name="Book"&gt;6&lt;/ref-type&gt;&lt;contributors&gt;&lt;authors&gt;&lt;author&gt;Nicolaides, K. H.&lt;/author&gt;&lt;/authors&gt;&lt;/contributors&gt;&lt;titles&gt;&lt;title&gt;The 11-13+6 Weeks Scan&lt;/title&gt;&lt;/titles&gt;&lt;pages&gt;112&lt;/pages&gt;&lt;dates&gt;&lt;year&gt;2004&lt;/year&gt;&lt;/dates&gt;&lt;pub-location&gt;London&lt;/pub-location&gt;&lt;publisher&gt;Fetal Medicine Foundation&lt;/publisher&gt;&lt;urls&gt;&lt;related-urls&gt;&lt;url&gt;http://www.fetalmedicine.com/f-downs.htm&lt;/url&gt;&lt;/related-urls&gt;&lt;pdf-urls&gt;&lt;url&gt;http://www.fetalmedicine.com/pdf/11-14/english/FMF-English.pdf&lt;/url&gt;&lt;/pdf-urls&gt;&lt;/urls&gt;&lt;/record&gt;&lt;/Cite&gt;&lt;/EndNote&gt;</w:instrText>
      </w:r>
      <w:r w:rsidR="00DA779C">
        <w:fldChar w:fldCharType="separate"/>
      </w:r>
      <w:r w:rsidR="00DA779C">
        <w:rPr>
          <w:noProof/>
        </w:rPr>
        <w:t>[16]</w:t>
      </w:r>
      <w:r w:rsidR="00DA779C">
        <w:fldChar w:fldCharType="end"/>
      </w:r>
      <w:r w:rsidR="007E4D31" w:rsidRPr="00711B22">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6"/>
      </w:tblGrid>
      <w:tr w:rsidR="0039638D" w:rsidRPr="00711B22" w14:paraId="24595364" w14:textId="77777777" w:rsidTr="00A579F2">
        <w:tc>
          <w:tcPr>
            <w:tcW w:w="8505" w:type="dxa"/>
            <w:shd w:val="clear" w:color="auto" w:fill="auto"/>
          </w:tcPr>
          <w:p w14:paraId="5D35ABDE" w14:textId="77777777" w:rsidR="0039638D" w:rsidRPr="00711B22" w:rsidRDefault="0039638D" w:rsidP="00A579F2">
            <w:pPr>
              <w:pStyle w:val="NormalWeb"/>
              <w:rPr>
                <w:b/>
              </w:rPr>
            </w:pPr>
            <w:r w:rsidRPr="00CE354B">
              <w:rPr>
                <w:b/>
                <w:highlight w:val="yellow"/>
              </w:rPr>
              <w:t>Box 7.4</w:t>
            </w:r>
            <w:r w:rsidRPr="00711B22">
              <w:rPr>
                <w:b/>
              </w:rPr>
              <w:t>: Advanced material on logistic regression: interaction terms and goodness of fit</w:t>
            </w:r>
          </w:p>
          <w:p w14:paraId="6F0F4162" w14:textId="269DFD45" w:rsidR="0039638D" w:rsidRDefault="0039638D" w:rsidP="00A579F2">
            <w:pPr>
              <w:pStyle w:val="NormalWeb"/>
            </w:pPr>
            <w:r w:rsidRPr="00711B22">
              <w:t xml:space="preserve">The logistic model presented in Table </w:t>
            </w:r>
            <w:r>
              <w:t>7</w:t>
            </w:r>
            <w:r w:rsidRPr="00711B22">
              <w:t>.</w:t>
            </w:r>
            <w:r>
              <w:t>4</w:t>
            </w:r>
            <w:r w:rsidRPr="00711B22">
              <w:t xml:space="preserve"> does not include an interaction term. </w:t>
            </w:r>
            <w:r>
              <w:t>In a model with two dichotomous tests, a</w:t>
            </w:r>
            <w:r w:rsidRPr="00711B22">
              <w:t xml:space="preserve">n interaction term is an additional term that distinguishes when both tests are positive from when only one or the other is positive. In the above model, the interaction term would be NT × NBA, which would equal 1 only if both tests were positive. </w:t>
            </w:r>
            <w:r>
              <w:t xml:space="preserve">Since this model now includes 3 </w:t>
            </w:r>
            <w:r>
              <w:lastRenderedPageBreak/>
              <w:t>variables, we are modelling all 4 possible test result combinations (+/+, +/</w:t>
            </w:r>
            <w:r w:rsidRPr="00C23D8C">
              <w:sym w:font="Symbol" w:char="F02D"/>
            </w:r>
            <w:r>
              <w:t xml:space="preserve">, </w:t>
            </w:r>
            <w:r w:rsidRPr="00C23D8C">
              <w:sym w:font="Symbol" w:char="F02D"/>
            </w:r>
            <w:r>
              <w:t xml:space="preserve">/+, </w:t>
            </w:r>
            <w:r w:rsidRPr="00C23D8C">
              <w:sym w:font="Symbol" w:char="F02D"/>
            </w:r>
            <w:r>
              <w:t>/</w:t>
            </w:r>
            <w:r w:rsidRPr="00C23D8C">
              <w:sym w:font="Symbol" w:char="F02D"/>
            </w:r>
            <w:r>
              <w:t xml:space="preserve">). </w:t>
            </w:r>
          </w:p>
          <w:p w14:paraId="00C19F7D" w14:textId="608AD886" w:rsidR="0039638D" w:rsidRDefault="0039638D" w:rsidP="00A579F2">
            <w:pPr>
              <w:pStyle w:val="NormalWeb"/>
            </w:pPr>
            <w:r w:rsidRPr="00711B22">
              <w:t xml:space="preserve">Unless a logistic regression model includes interaction terms, </w:t>
            </w:r>
            <w:r>
              <w:t>a one-unit change in the</w:t>
            </w:r>
            <w:r w:rsidRPr="00711B22">
              <w:t xml:space="preserve"> result of any given test changes the ln(odds) of disease by the same amount, regardless of how the other tests came out.</w:t>
            </w:r>
            <w:r>
              <w:rPr>
                <w:rStyle w:val="FootnoteReference"/>
              </w:rPr>
              <w:footnoteReference w:id="10"/>
            </w:r>
            <w:r w:rsidRPr="00711B22">
              <w:t xml:space="preserve"> For this reason, it is important to assess how well the logistic model fits the data – the so-called goodness of fit. </w:t>
            </w:r>
          </w:p>
          <w:p w14:paraId="49A180E5" w14:textId="574F1027" w:rsidR="003E7DB0" w:rsidRDefault="003E7DB0" w:rsidP="00A579F2">
            <w:pPr>
              <w:pStyle w:val="NormalWeb"/>
            </w:pPr>
            <w:r>
              <w:t>Table 7.5 shows the multivariate odds ratios when an interaction term is included in the logistic model.  The OR of 0.5</w:t>
            </w:r>
            <w:r w:rsidR="00983F30">
              <w:t>1</w:t>
            </w:r>
            <w:r>
              <w:t xml:space="preserve"> for the interaction term means that</w:t>
            </w:r>
            <w:r w:rsidR="002F1E58">
              <w:t xml:space="preserve"> the OR for having both NT+ and NBA+ (compared with neither) is only 0.5</w:t>
            </w:r>
            <w:r w:rsidR="00983F30">
              <w:t>1</w:t>
            </w:r>
            <w:r w:rsidR="002F1E58">
              <w:t xml:space="preserve"> times as high as the product of the NT</w:t>
            </w:r>
            <w:r w:rsidR="00D96409">
              <w:t>+</w:t>
            </w:r>
            <w:r w:rsidR="002F1E58">
              <w:t xml:space="preserve"> and NBA</w:t>
            </w:r>
            <w:r w:rsidR="00D96409">
              <w:t xml:space="preserve">+ odds ratios obtained when only one of them is positive. </w:t>
            </w:r>
            <w:r w:rsidR="002F1E58">
              <w:t xml:space="preserve"> </w:t>
            </w:r>
          </w:p>
          <w:p w14:paraId="6F3EE1F6" w14:textId="49657516" w:rsidR="00251F32" w:rsidRPr="00711B22" w:rsidRDefault="000A2519" w:rsidP="00251F32">
            <w:pPr>
              <w:pStyle w:val="NormalWeb"/>
            </w:pPr>
            <w:r>
              <w:t xml:space="preserve">Table 7.5. </w:t>
            </w:r>
            <w:r w:rsidR="00251F32" w:rsidRPr="00711B22">
              <w:t>Multivariate ORs resulting from a logistic regression model using fetal NT and NBA as dichotomous predictors of trisomy 21</w:t>
            </w:r>
            <w:r w:rsidR="003E7DB0">
              <w:t>, including an interaction term</w:t>
            </w:r>
          </w:p>
          <w:tbl>
            <w:tblPr>
              <w:tblW w:w="0" w:type="auto"/>
              <w:tblInd w:w="40" w:type="dxa"/>
              <w:tblCellMar>
                <w:left w:w="40" w:type="dxa"/>
                <w:right w:w="40" w:type="dxa"/>
              </w:tblCellMar>
              <w:tblLook w:val="0000" w:firstRow="0" w:lastRow="0" w:firstColumn="0" w:lastColumn="0" w:noHBand="0" w:noVBand="0"/>
            </w:tblPr>
            <w:tblGrid>
              <w:gridCol w:w="2643"/>
              <w:gridCol w:w="2340"/>
              <w:gridCol w:w="2700"/>
            </w:tblGrid>
            <w:tr w:rsidR="00D96409" w:rsidRPr="00711B22" w14:paraId="3FCEB5FD" w14:textId="77777777" w:rsidTr="005D3AF9">
              <w:trPr>
                <w:trHeight w:hRule="exact" w:val="341"/>
              </w:trPr>
              <w:tc>
                <w:tcPr>
                  <w:tcW w:w="2643" w:type="dxa"/>
                  <w:tcBorders>
                    <w:top w:val="single" w:sz="6" w:space="0" w:color="auto"/>
                    <w:left w:val="nil"/>
                    <w:bottom w:val="nil"/>
                    <w:right w:val="nil"/>
                  </w:tcBorders>
                  <w:shd w:val="clear" w:color="auto" w:fill="FFFFFF"/>
                </w:tcPr>
                <w:p w14:paraId="5A6F8C55" w14:textId="77777777" w:rsidR="00251F32" w:rsidRPr="00711B22" w:rsidRDefault="00251F32" w:rsidP="00251F32">
                  <w:pPr>
                    <w:pStyle w:val="Table"/>
                  </w:pPr>
                </w:p>
              </w:tc>
              <w:tc>
                <w:tcPr>
                  <w:tcW w:w="2340" w:type="dxa"/>
                  <w:tcBorders>
                    <w:top w:val="single" w:sz="6" w:space="0" w:color="auto"/>
                    <w:left w:val="nil"/>
                    <w:bottom w:val="nil"/>
                    <w:right w:val="nil"/>
                  </w:tcBorders>
                  <w:shd w:val="clear" w:color="auto" w:fill="FFFFFF"/>
                </w:tcPr>
                <w:p w14:paraId="04677D5D" w14:textId="77777777" w:rsidR="00251F32" w:rsidRPr="00711B22" w:rsidRDefault="00251F32" w:rsidP="00251F32">
                  <w:pPr>
                    <w:pStyle w:val="Table"/>
                  </w:pPr>
                  <w:r w:rsidRPr="00711B22">
                    <w:t>Multivariate OR trisomy 21</w:t>
                  </w:r>
                </w:p>
                <w:p w14:paraId="1140FC28" w14:textId="77777777" w:rsidR="00251F32" w:rsidRPr="00711B22" w:rsidRDefault="00251F32" w:rsidP="00251F32">
                  <w:pPr>
                    <w:pStyle w:val="Table"/>
                  </w:pPr>
                </w:p>
              </w:tc>
              <w:tc>
                <w:tcPr>
                  <w:tcW w:w="2700" w:type="dxa"/>
                  <w:tcBorders>
                    <w:top w:val="single" w:sz="6" w:space="0" w:color="auto"/>
                    <w:left w:val="nil"/>
                    <w:bottom w:val="nil"/>
                    <w:right w:val="nil"/>
                  </w:tcBorders>
                  <w:shd w:val="clear" w:color="auto" w:fill="FFFFFF"/>
                </w:tcPr>
                <w:p w14:paraId="051633D2" w14:textId="77777777" w:rsidR="00251F32" w:rsidRPr="00711B22" w:rsidRDefault="00251F32" w:rsidP="00251F32">
                  <w:pPr>
                    <w:pStyle w:val="Table"/>
                  </w:pPr>
                  <w:r w:rsidRPr="00711B22">
                    <w:t xml:space="preserve">95% CI </w:t>
                  </w:r>
                </w:p>
              </w:tc>
            </w:tr>
            <w:tr w:rsidR="00D96409" w:rsidRPr="00711B22" w14:paraId="19854995" w14:textId="77777777" w:rsidTr="005D3AF9">
              <w:trPr>
                <w:trHeight w:hRule="exact" w:val="317"/>
              </w:trPr>
              <w:tc>
                <w:tcPr>
                  <w:tcW w:w="2643" w:type="dxa"/>
                  <w:tcBorders>
                    <w:top w:val="single" w:sz="6" w:space="0" w:color="auto"/>
                    <w:left w:val="nil"/>
                    <w:bottom w:val="nil"/>
                    <w:right w:val="nil"/>
                  </w:tcBorders>
                  <w:shd w:val="clear" w:color="auto" w:fill="FFFFFF"/>
                </w:tcPr>
                <w:p w14:paraId="78287550" w14:textId="40096071" w:rsidR="00251F32" w:rsidRPr="00711B22" w:rsidRDefault="00251F32" w:rsidP="00251F32">
                  <w:pPr>
                    <w:pStyle w:val="Table"/>
                  </w:pPr>
                  <w:r w:rsidRPr="00711B22">
                    <w:t>NT</w:t>
                  </w:r>
                  <w:r w:rsidR="00D96409">
                    <w:t>+</w:t>
                  </w:r>
                  <w:r w:rsidRPr="00711B22">
                    <w:t xml:space="preserve"> </w:t>
                  </w:r>
                  <w:r w:rsidR="00D96409">
                    <w:t>(</w:t>
                  </w:r>
                  <w:r w:rsidRPr="00711B22">
                    <w:t>≥ 3.5 mm</w:t>
                  </w:r>
                  <w:r w:rsidR="00D96409">
                    <w:t>) only</w:t>
                  </w:r>
                </w:p>
              </w:tc>
              <w:tc>
                <w:tcPr>
                  <w:tcW w:w="2340" w:type="dxa"/>
                  <w:tcBorders>
                    <w:top w:val="single" w:sz="6" w:space="0" w:color="auto"/>
                    <w:left w:val="nil"/>
                    <w:bottom w:val="nil"/>
                    <w:right w:val="nil"/>
                  </w:tcBorders>
                  <w:shd w:val="clear" w:color="auto" w:fill="FFFFFF"/>
                </w:tcPr>
                <w:p w14:paraId="43296610" w14:textId="44F45652" w:rsidR="00251F32" w:rsidRPr="00711B22" w:rsidRDefault="000A2519" w:rsidP="00251F32">
                  <w:pPr>
                    <w:pStyle w:val="Table"/>
                    <w:ind w:right="1067"/>
                    <w:jc w:val="right"/>
                  </w:pPr>
                  <w:r>
                    <w:t>11.4</w:t>
                  </w:r>
                </w:p>
              </w:tc>
              <w:tc>
                <w:tcPr>
                  <w:tcW w:w="2700" w:type="dxa"/>
                  <w:tcBorders>
                    <w:top w:val="single" w:sz="6" w:space="0" w:color="auto"/>
                    <w:left w:val="nil"/>
                    <w:bottom w:val="nil"/>
                    <w:right w:val="nil"/>
                  </w:tcBorders>
                  <w:shd w:val="clear" w:color="auto" w:fill="FFFFFF"/>
                </w:tcPr>
                <w:p w14:paraId="263D5226" w14:textId="03BE5881" w:rsidR="00251F32" w:rsidRPr="00711B22" w:rsidRDefault="000A2519" w:rsidP="00251F32">
                  <w:pPr>
                    <w:pStyle w:val="Table"/>
                    <w:ind w:right="1058"/>
                  </w:pPr>
                  <w:r>
                    <w:t>7.6 – 16.9</w:t>
                  </w:r>
                </w:p>
              </w:tc>
            </w:tr>
            <w:tr w:rsidR="00D96409" w:rsidRPr="00711B22" w14:paraId="6F9D2AFE" w14:textId="77777777" w:rsidTr="005D3AF9">
              <w:trPr>
                <w:trHeight w:hRule="exact" w:val="322"/>
              </w:trPr>
              <w:tc>
                <w:tcPr>
                  <w:tcW w:w="2643" w:type="dxa"/>
                  <w:tcBorders>
                    <w:top w:val="nil"/>
                    <w:left w:val="nil"/>
                    <w:bottom w:val="nil"/>
                    <w:right w:val="nil"/>
                  </w:tcBorders>
                  <w:shd w:val="clear" w:color="auto" w:fill="FFFFFF"/>
                </w:tcPr>
                <w:p w14:paraId="2964A170" w14:textId="457CCC6F" w:rsidR="00251F32" w:rsidRPr="00711B22" w:rsidRDefault="00251F32" w:rsidP="00251F32">
                  <w:pPr>
                    <w:pStyle w:val="Table"/>
                  </w:pPr>
                  <w:r w:rsidRPr="00711B22">
                    <w:t>NBA</w:t>
                  </w:r>
                  <w:r w:rsidR="00D96409">
                    <w:t>+ only</w:t>
                  </w:r>
                </w:p>
              </w:tc>
              <w:tc>
                <w:tcPr>
                  <w:tcW w:w="2340" w:type="dxa"/>
                  <w:tcBorders>
                    <w:top w:val="nil"/>
                    <w:left w:val="nil"/>
                    <w:bottom w:val="nil"/>
                    <w:right w:val="nil"/>
                  </w:tcBorders>
                  <w:shd w:val="clear" w:color="auto" w:fill="FFFFFF"/>
                </w:tcPr>
                <w:p w14:paraId="14920408" w14:textId="49E74D0D" w:rsidR="00251F32" w:rsidRPr="00711B22" w:rsidRDefault="000A2519" w:rsidP="00251F32">
                  <w:pPr>
                    <w:pStyle w:val="Table"/>
                    <w:ind w:right="1067"/>
                    <w:jc w:val="right"/>
                  </w:pPr>
                  <w:r>
                    <w:t>71</w:t>
                  </w:r>
                  <w:r w:rsidR="00251F32" w:rsidRPr="00711B22">
                    <w:t>.0</w:t>
                  </w:r>
                </w:p>
              </w:tc>
              <w:tc>
                <w:tcPr>
                  <w:tcW w:w="2700" w:type="dxa"/>
                  <w:tcBorders>
                    <w:top w:val="nil"/>
                    <w:left w:val="nil"/>
                    <w:bottom w:val="nil"/>
                    <w:right w:val="nil"/>
                  </w:tcBorders>
                  <w:shd w:val="clear" w:color="auto" w:fill="FFFFFF"/>
                </w:tcPr>
                <w:p w14:paraId="40B15F2D" w14:textId="6EBDC534" w:rsidR="00251F32" w:rsidRPr="00711B22" w:rsidRDefault="000A2519" w:rsidP="00251F32">
                  <w:pPr>
                    <w:pStyle w:val="Table"/>
                    <w:ind w:right="1058"/>
                  </w:pPr>
                  <w:r>
                    <w:t xml:space="preserve">46.9 </w:t>
                  </w:r>
                  <w:r w:rsidR="00251F32" w:rsidRPr="00711B22">
                    <w:t>–</w:t>
                  </w:r>
                  <w:r>
                    <w:t xml:space="preserve"> 107.7</w:t>
                  </w:r>
                </w:p>
              </w:tc>
            </w:tr>
            <w:tr w:rsidR="00D96409" w:rsidRPr="00711B22" w14:paraId="35DF7F96" w14:textId="77777777" w:rsidTr="005D3AF9">
              <w:trPr>
                <w:trHeight w:hRule="exact" w:val="322"/>
              </w:trPr>
              <w:tc>
                <w:tcPr>
                  <w:tcW w:w="2643" w:type="dxa"/>
                  <w:tcBorders>
                    <w:top w:val="nil"/>
                    <w:left w:val="nil"/>
                    <w:bottom w:val="single" w:sz="6" w:space="0" w:color="auto"/>
                    <w:right w:val="nil"/>
                  </w:tcBorders>
                  <w:shd w:val="clear" w:color="auto" w:fill="FFFFFF"/>
                </w:tcPr>
                <w:p w14:paraId="25303D07" w14:textId="0C2A44E1" w:rsidR="00D96409" w:rsidRPr="00711B22" w:rsidRDefault="00D96409" w:rsidP="00251F32">
                  <w:pPr>
                    <w:pStyle w:val="Table"/>
                  </w:pPr>
                  <w:r>
                    <w:t>NBA+ and NT+ (both)</w:t>
                  </w:r>
                </w:p>
              </w:tc>
              <w:tc>
                <w:tcPr>
                  <w:tcW w:w="2340" w:type="dxa"/>
                  <w:tcBorders>
                    <w:top w:val="nil"/>
                    <w:left w:val="nil"/>
                    <w:bottom w:val="single" w:sz="6" w:space="0" w:color="auto"/>
                    <w:right w:val="nil"/>
                  </w:tcBorders>
                  <w:shd w:val="clear" w:color="auto" w:fill="FFFFFF"/>
                </w:tcPr>
                <w:p w14:paraId="46A1EDF7" w14:textId="7C18C8E0" w:rsidR="00D96409" w:rsidRPr="00711B22" w:rsidRDefault="000A2519" w:rsidP="00251F32">
                  <w:pPr>
                    <w:pStyle w:val="Table"/>
                    <w:ind w:right="1067"/>
                    <w:jc w:val="right"/>
                  </w:pPr>
                  <w:r>
                    <w:t>0.51</w:t>
                  </w:r>
                </w:p>
              </w:tc>
              <w:tc>
                <w:tcPr>
                  <w:tcW w:w="2700" w:type="dxa"/>
                  <w:tcBorders>
                    <w:top w:val="nil"/>
                    <w:left w:val="nil"/>
                    <w:bottom w:val="single" w:sz="6" w:space="0" w:color="auto"/>
                    <w:right w:val="nil"/>
                  </w:tcBorders>
                  <w:shd w:val="clear" w:color="auto" w:fill="FFFFFF"/>
                </w:tcPr>
                <w:p w14:paraId="4D32EDF4" w14:textId="072EF317" w:rsidR="00D96409" w:rsidRPr="00711B22" w:rsidRDefault="000A2519" w:rsidP="00251F32">
                  <w:pPr>
                    <w:pStyle w:val="Table"/>
                    <w:ind w:right="1058"/>
                  </w:pPr>
                  <w:r>
                    <w:t xml:space="preserve">0.27 </w:t>
                  </w:r>
                  <w:r w:rsidRPr="00C23D8C">
                    <w:sym w:font="Symbol" w:char="F02D"/>
                  </w:r>
                  <w:r>
                    <w:t xml:space="preserve"> 0.94</w:t>
                  </w:r>
                </w:p>
              </w:tc>
            </w:tr>
          </w:tbl>
          <w:p w14:paraId="5B353C5B" w14:textId="44422AB4" w:rsidR="0039638D" w:rsidRPr="00711B22" w:rsidRDefault="0039638D" w:rsidP="00A579F2">
            <w:pPr>
              <w:pStyle w:val="Note"/>
            </w:pPr>
          </w:p>
        </w:tc>
      </w:tr>
    </w:tbl>
    <w:p w14:paraId="777BAADF" w14:textId="77777777" w:rsidR="003951CB" w:rsidRPr="00711B22" w:rsidRDefault="007E4D31" w:rsidP="006F71D8">
      <w:pPr>
        <w:pStyle w:val="Heading3"/>
      </w:pPr>
      <w:r w:rsidRPr="00711B22">
        <w:lastRenderedPageBreak/>
        <w:t>Clinical decision rules developed using logistic regression</w:t>
      </w:r>
    </w:p>
    <w:p w14:paraId="5E5718C2" w14:textId="4204C1A5" w:rsidR="003951CB" w:rsidRPr="00711B22" w:rsidRDefault="007E4D31" w:rsidP="00411BA3">
      <w:pPr>
        <w:pStyle w:val="NormalWeb"/>
      </w:pPr>
      <w:r w:rsidRPr="00711B22">
        <w:t xml:space="preserve">Like the rule of Goldman et al. for predicting myocardial infarction, developed using </w:t>
      </w:r>
      <w:r w:rsidR="00021882">
        <w:t>classification trees</w:t>
      </w:r>
      <w:r w:rsidRPr="00711B22">
        <w:t>, a famous example of a clinical decision rule developed using logistic regression is also for predicting myocardial infarction, as well as unstable angina. This is the Acute Coronary Ischemia–Time Insensitive Predictive Instrument (ACI-TIPI)</w:t>
      </w:r>
      <w:r w:rsidR="005A454C">
        <w:t xml:space="preserve">. </w:t>
      </w:r>
      <w:r w:rsidR="00DA779C">
        <w:fldChar w:fldCharType="begin">
          <w:fldData xml:space="preserve">PEVuZE5vdGU+PENpdGU+PEF1dGhvcj5TZWxrZXI8L0F1dGhvcj48WWVhcj4xOTk4PC9ZZWFyPjxS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</w:fldData>
        </w:fldChar>
      </w:r>
      <w:r w:rsidR="00DA779C">
        <w:instrText xml:space="preserve"> ADDIN EN.CITE </w:instrText>
      </w:r>
      <w:r w:rsidR="00DA779C">
        <w:fldChar w:fldCharType="begin">
          <w:fldData xml:space="preserve">PEVuZE5vdGU+PENpdGU+PEF1dGhvcj5TZWxrZXI8L0F1dGhvcj48WWVhcj4xOTk4PC9ZZWFyPjxS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</w:fldData>
        </w:fldChar>
      </w:r>
      <w:r w:rsidR="00DA779C">
        <w:instrText xml:space="preserve"> ADDIN EN.CITE.DATA </w:instrText>
      </w:r>
      <w:r w:rsidR="00DA779C">
        <w:fldChar w:fldCharType="end"/>
      </w:r>
      <w:r w:rsidR="00DA779C">
        <w:fldChar w:fldCharType="separate"/>
      </w:r>
      <w:r w:rsidR="00DA779C">
        <w:rPr>
          <w:noProof/>
        </w:rPr>
        <w:t>[17, 18]</w:t>
      </w:r>
      <w:r w:rsidR="00DA779C">
        <w:fldChar w:fldCharType="end"/>
      </w:r>
      <w:r w:rsidRPr="00711B22">
        <w:t xml:space="preserve"> The predictors in this logistic model include sex, age, existence/importance of chest pain as a presenting symptom and multiple ECG </w:t>
      </w:r>
      <w:r w:rsidR="00191BDE" w:rsidRPr="00711B22">
        <w:t>fi</w:t>
      </w:r>
      <w:r w:rsidRPr="00711B22">
        <w:t>ndings (</w:t>
      </w:r>
      <w:r w:rsidR="000A7374">
        <w:t>Table 7.6</w:t>
      </w:r>
      <w:r w:rsidRPr="00711B22">
        <w:t>).</w:t>
      </w:r>
    </w:p>
    <w:p w14:paraId="4E5DAC1C" w14:textId="77777777" w:rsidR="003951CB" w:rsidRPr="00711B22" w:rsidRDefault="007E4D31" w:rsidP="00411BA3">
      <w:pPr>
        <w:pStyle w:val="NormalWeb"/>
      </w:pPr>
      <w:r w:rsidRPr="00711B22">
        <w:t>As an example, a 55-year-old man with chest pain as his major symptom and new Q waves on his ECG but no ST or T wave changes would have ln(odds) of acute coronary ischemia of −3.93 + 1.23 + 0.88 + 0.71 + 0.67 − 0.43 + 0.62 =−0.25, so the odds would be e</w:t>
      </w:r>
      <w:r w:rsidRPr="00711B22">
        <w:rPr>
          <w:vertAlign w:val="superscript"/>
        </w:rPr>
        <w:t>−0.25</w:t>
      </w:r>
      <w:r w:rsidR="007643B7" w:rsidRPr="00711B22">
        <w:t xml:space="preserve"> </w:t>
      </w:r>
      <w:r w:rsidR="000B19EA" w:rsidRPr="00711B22">
        <w:t>=</w:t>
      </w:r>
      <w:r w:rsidR="007643B7" w:rsidRPr="00711B22">
        <w:t xml:space="preserve"> </w:t>
      </w:r>
      <w:r w:rsidRPr="00711B22">
        <w:t>0.78 and the probability would be 0.78/1.78 = 44%.</w:t>
      </w:r>
    </w:p>
    <w:p w14:paraId="54E8FA9C" w14:textId="3C1B627C" w:rsidR="00C473AD" w:rsidRPr="00711B22" w:rsidRDefault="000A7374" w:rsidP="00C473AD">
      <w:pPr>
        <w:pStyle w:val="NormalWeb"/>
        <w:rPr>
          <w:i/>
        </w:rPr>
      </w:pPr>
      <w:r>
        <w:rPr>
          <w:b/>
        </w:rPr>
        <w:lastRenderedPageBreak/>
        <w:t>Table 7.6</w:t>
      </w:r>
      <w:r w:rsidR="00C473AD" w:rsidRPr="00711B22">
        <w:rPr>
          <w:b/>
        </w:rPr>
        <w:t>.</w:t>
      </w:r>
      <w:r w:rsidR="00C473AD" w:rsidRPr="00711B22">
        <w:t xml:space="preserve"> Logistic regression coefficients from the ACI-TIPI </w:t>
      </w:r>
      <w:proofErr w:type="spellStart"/>
      <w:r w:rsidR="00C473AD" w:rsidRPr="00711B22">
        <w:t>model</w:t>
      </w:r>
      <w:r w:rsidR="00C473AD" w:rsidRPr="00711B22">
        <w:rPr>
          <w:i/>
          <w:vertAlign w:val="superscript"/>
        </w:rPr>
        <w:t>a</w:t>
      </w:r>
      <w:proofErr w:type="spellEnd"/>
    </w:p>
    <w:tbl>
      <w:tblPr>
        <w:tblW w:w="0" w:type="auto"/>
        <w:tblInd w:w="40" w:type="dxa"/>
        <w:tblLayout w:type="fixed"/>
        <w:tblCellMar>
          <w:left w:w="40" w:type="dxa"/>
          <w:right w:w="40" w:type="dxa"/>
        </w:tblCellMar>
        <w:tblLook w:val="0000" w:firstRow="0" w:lastRow="0" w:firstColumn="0" w:lastColumn="0" w:noHBand="0" w:noVBand="0"/>
      </w:tblPr>
      <w:tblGrid>
        <w:gridCol w:w="2880"/>
        <w:gridCol w:w="2160"/>
        <w:gridCol w:w="2520"/>
      </w:tblGrid>
      <w:tr w:rsidR="00C473AD" w:rsidRPr="00711B22" w14:paraId="4FB7515E" w14:textId="77777777" w:rsidTr="00A579F2">
        <w:trPr>
          <w:trHeight w:hRule="exact" w:val="384"/>
        </w:trPr>
        <w:tc>
          <w:tcPr>
            <w:tcW w:w="2880" w:type="dxa"/>
            <w:tcBorders>
              <w:top w:val="single" w:sz="6" w:space="0" w:color="auto"/>
              <w:left w:val="nil"/>
              <w:bottom w:val="single" w:sz="6" w:space="0" w:color="auto"/>
              <w:right w:val="nil"/>
            </w:tcBorders>
            <w:shd w:val="clear" w:color="auto" w:fill="FFFFFF"/>
          </w:tcPr>
          <w:p w14:paraId="08E31222" w14:textId="77777777" w:rsidR="00C473AD" w:rsidRPr="00711B22" w:rsidRDefault="00C473AD" w:rsidP="00A579F2">
            <w:pPr>
              <w:pStyle w:val="Table"/>
            </w:pPr>
            <w:r>
              <w:t xml:space="preserve">Variable  </w:t>
            </w:r>
          </w:p>
        </w:tc>
        <w:tc>
          <w:tcPr>
            <w:tcW w:w="2160" w:type="dxa"/>
            <w:tcBorders>
              <w:top w:val="single" w:sz="6" w:space="0" w:color="auto"/>
              <w:left w:val="nil"/>
              <w:bottom w:val="single" w:sz="6" w:space="0" w:color="auto"/>
              <w:right w:val="nil"/>
            </w:tcBorders>
            <w:shd w:val="clear" w:color="auto" w:fill="FFFFFF"/>
          </w:tcPr>
          <w:p w14:paraId="0A3B6591" w14:textId="77777777" w:rsidR="00C473AD" w:rsidRPr="00711B22" w:rsidRDefault="00C473AD" w:rsidP="00A579F2">
            <w:pPr>
              <w:pStyle w:val="Table"/>
              <w:jc w:val="center"/>
            </w:pPr>
            <w:r w:rsidRPr="00711B22">
              <w:t>Coefficient</w:t>
            </w:r>
          </w:p>
        </w:tc>
        <w:tc>
          <w:tcPr>
            <w:tcW w:w="2520" w:type="dxa"/>
            <w:tcBorders>
              <w:top w:val="single" w:sz="6" w:space="0" w:color="auto"/>
              <w:left w:val="nil"/>
              <w:bottom w:val="single" w:sz="6" w:space="0" w:color="auto"/>
              <w:right w:val="nil"/>
            </w:tcBorders>
            <w:shd w:val="clear" w:color="auto" w:fill="FFFFFF"/>
          </w:tcPr>
          <w:p w14:paraId="23B41C88" w14:textId="77777777" w:rsidR="00C473AD" w:rsidRPr="00711B22" w:rsidRDefault="00C473AD" w:rsidP="00A579F2">
            <w:pPr>
              <w:pStyle w:val="Table"/>
              <w:jc w:val="center"/>
            </w:pPr>
            <w:r w:rsidRPr="00711B22">
              <w:t>Multivariate OR</w:t>
            </w:r>
            <w:r w:rsidRPr="00711B22">
              <w:rPr>
                <w:i/>
                <w:vertAlign w:val="superscript"/>
              </w:rPr>
              <w:t xml:space="preserve"> b</w:t>
            </w:r>
          </w:p>
        </w:tc>
      </w:tr>
      <w:tr w:rsidR="00C473AD" w:rsidRPr="00711B22" w14:paraId="5F844A62" w14:textId="77777777" w:rsidTr="00A579F2">
        <w:trPr>
          <w:trHeight w:hRule="exact" w:val="317"/>
        </w:trPr>
        <w:tc>
          <w:tcPr>
            <w:tcW w:w="2880" w:type="dxa"/>
            <w:tcBorders>
              <w:top w:val="single" w:sz="6" w:space="0" w:color="auto"/>
              <w:left w:val="nil"/>
              <w:bottom w:val="nil"/>
              <w:right w:val="nil"/>
            </w:tcBorders>
            <w:shd w:val="clear" w:color="auto" w:fill="FFFFFF"/>
          </w:tcPr>
          <w:p w14:paraId="46B95352" w14:textId="77777777" w:rsidR="00C473AD" w:rsidRPr="00711B22" w:rsidRDefault="00C473AD" w:rsidP="00A579F2">
            <w:pPr>
              <w:pStyle w:val="Table"/>
              <w:ind w:left="473"/>
            </w:pPr>
            <w:proofErr w:type="spellStart"/>
            <w:r w:rsidRPr="00711B22">
              <w:t>Intercept</w:t>
            </w:r>
            <w:r w:rsidRPr="009801BE">
              <w:rPr>
                <w:vertAlign w:val="superscript"/>
              </w:rPr>
              <w:t>c</w:t>
            </w:r>
            <w:proofErr w:type="spellEnd"/>
          </w:p>
        </w:tc>
        <w:tc>
          <w:tcPr>
            <w:tcW w:w="2160" w:type="dxa"/>
            <w:tcBorders>
              <w:top w:val="single" w:sz="6" w:space="0" w:color="auto"/>
              <w:left w:val="nil"/>
              <w:bottom w:val="nil"/>
              <w:right w:val="nil"/>
            </w:tcBorders>
            <w:shd w:val="clear" w:color="auto" w:fill="FFFFFF"/>
          </w:tcPr>
          <w:p w14:paraId="4EBE5844" w14:textId="77777777" w:rsidR="00C473AD" w:rsidRPr="00711B22" w:rsidRDefault="00C473AD" w:rsidP="00A579F2">
            <w:pPr>
              <w:pStyle w:val="Table"/>
              <w:ind w:right="1112"/>
              <w:jc w:val="right"/>
            </w:pPr>
            <w:r w:rsidRPr="00711B22">
              <w:t>−3.93</w:t>
            </w:r>
          </w:p>
        </w:tc>
        <w:tc>
          <w:tcPr>
            <w:tcW w:w="2520" w:type="dxa"/>
            <w:tcBorders>
              <w:top w:val="single" w:sz="6" w:space="0" w:color="auto"/>
              <w:left w:val="nil"/>
              <w:bottom w:val="nil"/>
              <w:right w:val="nil"/>
            </w:tcBorders>
            <w:shd w:val="clear" w:color="auto" w:fill="FFFFFF"/>
          </w:tcPr>
          <w:p w14:paraId="774CFC9F" w14:textId="77777777" w:rsidR="00C473AD" w:rsidRPr="00711B22" w:rsidRDefault="00C473AD" w:rsidP="00A579F2">
            <w:pPr>
              <w:pStyle w:val="Table"/>
              <w:jc w:val="center"/>
            </w:pPr>
          </w:p>
        </w:tc>
      </w:tr>
      <w:tr w:rsidR="00C473AD" w:rsidRPr="00711B22" w14:paraId="0EC2CE1A" w14:textId="77777777" w:rsidTr="00A579F2">
        <w:trPr>
          <w:trHeight w:hRule="exact" w:val="409"/>
        </w:trPr>
        <w:tc>
          <w:tcPr>
            <w:tcW w:w="2880" w:type="dxa"/>
            <w:tcBorders>
              <w:top w:val="nil"/>
              <w:left w:val="nil"/>
              <w:bottom w:val="nil"/>
              <w:right w:val="nil"/>
            </w:tcBorders>
            <w:shd w:val="clear" w:color="auto" w:fill="FFFFFF"/>
          </w:tcPr>
          <w:p w14:paraId="71267DB8" w14:textId="77777777" w:rsidR="00C473AD" w:rsidRPr="00711B22" w:rsidRDefault="00C473AD" w:rsidP="00A579F2">
            <w:pPr>
              <w:pStyle w:val="Table"/>
              <w:ind w:left="473"/>
            </w:pPr>
            <w:r w:rsidRPr="004D7FD5">
              <w:t xml:space="preserve">Presence </w:t>
            </w:r>
            <w:r w:rsidRPr="00711B22">
              <w:t>of chest</w:t>
            </w:r>
            <w:r w:rsidRPr="004D7FD5">
              <w:t xml:space="preserve"> pain</w:t>
            </w:r>
          </w:p>
        </w:tc>
        <w:tc>
          <w:tcPr>
            <w:tcW w:w="2160" w:type="dxa"/>
            <w:tcBorders>
              <w:top w:val="nil"/>
              <w:left w:val="nil"/>
              <w:bottom w:val="nil"/>
              <w:right w:val="nil"/>
            </w:tcBorders>
            <w:shd w:val="clear" w:color="auto" w:fill="FFFFFF"/>
          </w:tcPr>
          <w:p w14:paraId="6CB2002A" w14:textId="77777777" w:rsidR="00C473AD" w:rsidRPr="00711B22" w:rsidRDefault="00C473AD" w:rsidP="00A579F2">
            <w:pPr>
              <w:pStyle w:val="Table"/>
              <w:ind w:right="1112"/>
              <w:jc w:val="right"/>
            </w:pPr>
            <w:r w:rsidRPr="00711B22">
              <w:t>1.23</w:t>
            </w:r>
          </w:p>
        </w:tc>
        <w:tc>
          <w:tcPr>
            <w:tcW w:w="2520" w:type="dxa"/>
            <w:tcBorders>
              <w:top w:val="nil"/>
              <w:left w:val="nil"/>
              <w:bottom w:val="nil"/>
              <w:right w:val="nil"/>
            </w:tcBorders>
            <w:shd w:val="clear" w:color="auto" w:fill="FFFFFF"/>
          </w:tcPr>
          <w:p w14:paraId="03BD4312" w14:textId="77777777" w:rsidR="00C473AD" w:rsidRPr="00711B22" w:rsidRDefault="00C473AD" w:rsidP="00A579F2">
            <w:pPr>
              <w:pStyle w:val="Table"/>
              <w:jc w:val="center"/>
            </w:pPr>
            <w:r w:rsidRPr="00711B22">
              <w:t>3.42</w:t>
            </w:r>
          </w:p>
        </w:tc>
      </w:tr>
      <w:tr w:rsidR="00C473AD" w:rsidRPr="00711B22" w14:paraId="711D0B18" w14:textId="77777777" w:rsidTr="00A579F2">
        <w:trPr>
          <w:trHeight w:hRule="exact" w:val="414"/>
        </w:trPr>
        <w:tc>
          <w:tcPr>
            <w:tcW w:w="2880" w:type="dxa"/>
            <w:tcBorders>
              <w:top w:val="nil"/>
              <w:left w:val="nil"/>
              <w:bottom w:val="nil"/>
              <w:right w:val="nil"/>
            </w:tcBorders>
            <w:shd w:val="clear" w:color="auto" w:fill="FFFFFF"/>
          </w:tcPr>
          <w:p w14:paraId="626976A3" w14:textId="77777777" w:rsidR="00C473AD" w:rsidRPr="00711B22" w:rsidRDefault="00C473AD" w:rsidP="00A579F2">
            <w:pPr>
              <w:pStyle w:val="Table"/>
              <w:ind w:left="473"/>
            </w:pPr>
            <w:r w:rsidRPr="00711B22">
              <w:t>Pain major symptom</w:t>
            </w:r>
          </w:p>
        </w:tc>
        <w:tc>
          <w:tcPr>
            <w:tcW w:w="2160" w:type="dxa"/>
            <w:tcBorders>
              <w:top w:val="nil"/>
              <w:left w:val="nil"/>
              <w:bottom w:val="nil"/>
              <w:right w:val="nil"/>
            </w:tcBorders>
            <w:shd w:val="clear" w:color="auto" w:fill="FFFFFF"/>
          </w:tcPr>
          <w:p w14:paraId="02F93817" w14:textId="77777777" w:rsidR="00C473AD" w:rsidRPr="00711B22" w:rsidRDefault="00C473AD" w:rsidP="00A579F2">
            <w:pPr>
              <w:pStyle w:val="Table"/>
              <w:ind w:right="1112"/>
              <w:jc w:val="right"/>
            </w:pPr>
            <w:r w:rsidRPr="00711B22">
              <w:t>0.88</w:t>
            </w:r>
          </w:p>
        </w:tc>
        <w:tc>
          <w:tcPr>
            <w:tcW w:w="2520" w:type="dxa"/>
            <w:tcBorders>
              <w:top w:val="nil"/>
              <w:left w:val="nil"/>
              <w:bottom w:val="nil"/>
              <w:right w:val="nil"/>
            </w:tcBorders>
            <w:shd w:val="clear" w:color="auto" w:fill="FFFFFF"/>
          </w:tcPr>
          <w:p w14:paraId="2DE97AE9" w14:textId="77777777" w:rsidR="00C473AD" w:rsidRPr="00711B22" w:rsidRDefault="00C473AD" w:rsidP="00A579F2">
            <w:pPr>
              <w:pStyle w:val="Table"/>
              <w:jc w:val="center"/>
            </w:pPr>
            <w:r w:rsidRPr="00711B22">
              <w:t>2.41</w:t>
            </w:r>
          </w:p>
        </w:tc>
      </w:tr>
      <w:tr w:rsidR="00C473AD" w:rsidRPr="00711B22" w14:paraId="4DEA5CFD" w14:textId="77777777" w:rsidTr="00A579F2">
        <w:trPr>
          <w:trHeight w:hRule="exact" w:val="423"/>
        </w:trPr>
        <w:tc>
          <w:tcPr>
            <w:tcW w:w="2880" w:type="dxa"/>
            <w:tcBorders>
              <w:top w:val="nil"/>
              <w:left w:val="nil"/>
              <w:bottom w:val="nil"/>
              <w:right w:val="nil"/>
            </w:tcBorders>
            <w:shd w:val="clear" w:color="auto" w:fill="FFFFFF"/>
          </w:tcPr>
          <w:p w14:paraId="023F8F62" w14:textId="77777777" w:rsidR="00C473AD" w:rsidRPr="00711B22" w:rsidRDefault="00C473AD" w:rsidP="00A579F2">
            <w:pPr>
              <w:pStyle w:val="Table"/>
              <w:ind w:left="473"/>
            </w:pPr>
            <w:r w:rsidRPr="00711B22">
              <w:t>Male sex</w:t>
            </w:r>
          </w:p>
        </w:tc>
        <w:tc>
          <w:tcPr>
            <w:tcW w:w="2160" w:type="dxa"/>
            <w:tcBorders>
              <w:top w:val="nil"/>
              <w:left w:val="nil"/>
              <w:bottom w:val="nil"/>
              <w:right w:val="nil"/>
            </w:tcBorders>
            <w:shd w:val="clear" w:color="auto" w:fill="FFFFFF"/>
          </w:tcPr>
          <w:p w14:paraId="5B6C5939" w14:textId="77777777" w:rsidR="00C473AD" w:rsidRPr="00711B22" w:rsidRDefault="00C473AD" w:rsidP="00A579F2">
            <w:pPr>
              <w:pStyle w:val="Table"/>
              <w:ind w:right="1112"/>
              <w:jc w:val="right"/>
            </w:pPr>
            <w:r w:rsidRPr="00711B22">
              <w:t>0.71</w:t>
            </w:r>
          </w:p>
        </w:tc>
        <w:tc>
          <w:tcPr>
            <w:tcW w:w="2520" w:type="dxa"/>
            <w:tcBorders>
              <w:top w:val="nil"/>
              <w:left w:val="nil"/>
              <w:bottom w:val="nil"/>
              <w:right w:val="nil"/>
            </w:tcBorders>
            <w:shd w:val="clear" w:color="auto" w:fill="FFFFFF"/>
          </w:tcPr>
          <w:p w14:paraId="66A7C982" w14:textId="77777777" w:rsidR="00C473AD" w:rsidRPr="00711B22" w:rsidRDefault="00C473AD" w:rsidP="00A579F2">
            <w:pPr>
              <w:pStyle w:val="Table"/>
              <w:jc w:val="center"/>
            </w:pPr>
            <w:r w:rsidRPr="00711B22">
              <w:t>2.03</w:t>
            </w:r>
          </w:p>
        </w:tc>
      </w:tr>
      <w:tr w:rsidR="00C473AD" w:rsidRPr="00711B22" w14:paraId="6C057CF7" w14:textId="77777777" w:rsidTr="00A579F2">
        <w:trPr>
          <w:trHeight w:hRule="exact" w:val="426"/>
        </w:trPr>
        <w:tc>
          <w:tcPr>
            <w:tcW w:w="2880" w:type="dxa"/>
            <w:tcBorders>
              <w:top w:val="nil"/>
              <w:left w:val="nil"/>
              <w:bottom w:val="nil"/>
              <w:right w:val="nil"/>
            </w:tcBorders>
            <w:shd w:val="clear" w:color="auto" w:fill="FFFFFF"/>
          </w:tcPr>
          <w:p w14:paraId="32FE2ACE" w14:textId="77777777" w:rsidR="00C473AD" w:rsidRPr="00711B22" w:rsidRDefault="00C473AD" w:rsidP="00A579F2">
            <w:pPr>
              <w:pStyle w:val="Table"/>
              <w:ind w:left="473"/>
            </w:pPr>
            <w:r w:rsidRPr="00711B22">
              <w:t>Age ≤40</w:t>
            </w:r>
          </w:p>
        </w:tc>
        <w:tc>
          <w:tcPr>
            <w:tcW w:w="2160" w:type="dxa"/>
            <w:tcBorders>
              <w:top w:val="nil"/>
              <w:left w:val="nil"/>
              <w:bottom w:val="nil"/>
              <w:right w:val="nil"/>
            </w:tcBorders>
            <w:shd w:val="clear" w:color="auto" w:fill="FFFFFF"/>
          </w:tcPr>
          <w:p w14:paraId="5BBCF2F5" w14:textId="77777777" w:rsidR="00C473AD" w:rsidRPr="00711B22" w:rsidRDefault="00C473AD" w:rsidP="00A579F2">
            <w:pPr>
              <w:pStyle w:val="Table"/>
              <w:ind w:right="1112"/>
              <w:jc w:val="right"/>
            </w:pPr>
            <w:r w:rsidRPr="00711B22">
              <w:t>−1.44</w:t>
            </w:r>
          </w:p>
        </w:tc>
        <w:tc>
          <w:tcPr>
            <w:tcW w:w="2520" w:type="dxa"/>
            <w:tcBorders>
              <w:top w:val="nil"/>
              <w:left w:val="nil"/>
              <w:bottom w:val="nil"/>
              <w:right w:val="nil"/>
            </w:tcBorders>
            <w:shd w:val="clear" w:color="auto" w:fill="FFFFFF"/>
          </w:tcPr>
          <w:p w14:paraId="7AC17DD6" w14:textId="77777777" w:rsidR="00C473AD" w:rsidRPr="00711B22" w:rsidRDefault="00C473AD" w:rsidP="00A579F2">
            <w:pPr>
              <w:pStyle w:val="Table"/>
              <w:jc w:val="center"/>
            </w:pPr>
            <w:r w:rsidRPr="00711B22">
              <w:t>0.24</w:t>
            </w:r>
          </w:p>
        </w:tc>
      </w:tr>
      <w:tr w:rsidR="00C473AD" w:rsidRPr="00711B22" w14:paraId="345ACD87" w14:textId="77777777" w:rsidTr="00A579F2">
        <w:trPr>
          <w:trHeight w:hRule="exact" w:val="443"/>
        </w:trPr>
        <w:tc>
          <w:tcPr>
            <w:tcW w:w="2880" w:type="dxa"/>
            <w:tcBorders>
              <w:top w:val="nil"/>
              <w:left w:val="nil"/>
              <w:bottom w:val="nil"/>
              <w:right w:val="nil"/>
            </w:tcBorders>
            <w:shd w:val="clear" w:color="auto" w:fill="FFFFFF"/>
          </w:tcPr>
          <w:p w14:paraId="2998043F" w14:textId="77777777" w:rsidR="00C473AD" w:rsidRPr="00711B22" w:rsidRDefault="00C473AD" w:rsidP="00A579F2">
            <w:pPr>
              <w:pStyle w:val="Table"/>
              <w:ind w:left="473"/>
            </w:pPr>
            <w:r w:rsidRPr="00711B22">
              <w:t xml:space="preserve">Age </w:t>
            </w:r>
            <w:r w:rsidRPr="00703A9E">
              <w:t>&gt;</w:t>
            </w:r>
            <w:r w:rsidRPr="00711B22">
              <w:t>50</w:t>
            </w:r>
          </w:p>
        </w:tc>
        <w:tc>
          <w:tcPr>
            <w:tcW w:w="2160" w:type="dxa"/>
            <w:tcBorders>
              <w:top w:val="nil"/>
              <w:left w:val="nil"/>
              <w:bottom w:val="nil"/>
              <w:right w:val="nil"/>
            </w:tcBorders>
            <w:shd w:val="clear" w:color="auto" w:fill="FFFFFF"/>
          </w:tcPr>
          <w:p w14:paraId="47E7A9BF" w14:textId="77777777" w:rsidR="00C473AD" w:rsidRPr="00711B22" w:rsidRDefault="00C473AD" w:rsidP="00A579F2">
            <w:pPr>
              <w:pStyle w:val="Table"/>
              <w:ind w:right="1112"/>
              <w:jc w:val="right"/>
            </w:pPr>
            <w:r w:rsidRPr="00711B22">
              <w:t>0.67</w:t>
            </w:r>
          </w:p>
        </w:tc>
        <w:tc>
          <w:tcPr>
            <w:tcW w:w="2520" w:type="dxa"/>
            <w:tcBorders>
              <w:top w:val="nil"/>
              <w:left w:val="nil"/>
              <w:bottom w:val="nil"/>
              <w:right w:val="nil"/>
            </w:tcBorders>
            <w:shd w:val="clear" w:color="auto" w:fill="FFFFFF"/>
          </w:tcPr>
          <w:p w14:paraId="1D67DB75" w14:textId="77777777" w:rsidR="00C473AD" w:rsidRPr="00711B22" w:rsidRDefault="00C473AD" w:rsidP="00A579F2">
            <w:pPr>
              <w:pStyle w:val="Table"/>
              <w:jc w:val="center"/>
            </w:pPr>
            <w:r w:rsidRPr="00711B22">
              <w:t>1.95</w:t>
            </w:r>
          </w:p>
        </w:tc>
      </w:tr>
      <w:tr w:rsidR="00C473AD" w:rsidRPr="00711B22" w14:paraId="2C5B9D50" w14:textId="77777777" w:rsidTr="00A579F2">
        <w:trPr>
          <w:trHeight w:hRule="exact" w:val="435"/>
        </w:trPr>
        <w:tc>
          <w:tcPr>
            <w:tcW w:w="2880" w:type="dxa"/>
            <w:tcBorders>
              <w:top w:val="nil"/>
              <w:left w:val="nil"/>
              <w:bottom w:val="nil"/>
              <w:right w:val="nil"/>
            </w:tcBorders>
            <w:shd w:val="clear" w:color="auto" w:fill="FFFFFF"/>
          </w:tcPr>
          <w:p w14:paraId="1A8B8C76" w14:textId="77777777" w:rsidR="00C473AD" w:rsidRPr="00711B22" w:rsidRDefault="00C473AD" w:rsidP="00A579F2">
            <w:pPr>
              <w:pStyle w:val="Table"/>
              <w:ind w:left="473"/>
            </w:pPr>
            <w:r w:rsidRPr="00711B22">
              <w:t>Male</w:t>
            </w:r>
            <w:r w:rsidRPr="00711B22">
              <w:rPr>
                <w:rStyle w:val="NormalWebChar"/>
              </w:rPr>
              <w:t xml:space="preserve"> </w:t>
            </w:r>
            <w:r w:rsidRPr="00703A9E">
              <w:t>&gt;</w:t>
            </w:r>
            <w:r w:rsidRPr="00711B22">
              <w:t>50</w:t>
            </w:r>
            <w:r w:rsidRPr="00711B22">
              <w:rPr>
                <w:rStyle w:val="NormalWebChar"/>
              </w:rPr>
              <w:t xml:space="preserve"> </w:t>
            </w:r>
            <w:proofErr w:type="spellStart"/>
            <w:r w:rsidRPr="00711B22">
              <w:t>years</w:t>
            </w:r>
            <w:r>
              <w:rPr>
                <w:rStyle w:val="NormalWebChar"/>
                <w:i/>
                <w:vertAlign w:val="superscript"/>
              </w:rPr>
              <w:t>d</w:t>
            </w:r>
            <w:proofErr w:type="spellEnd"/>
          </w:p>
        </w:tc>
        <w:tc>
          <w:tcPr>
            <w:tcW w:w="2160" w:type="dxa"/>
            <w:tcBorders>
              <w:top w:val="nil"/>
              <w:left w:val="nil"/>
              <w:bottom w:val="nil"/>
              <w:right w:val="nil"/>
            </w:tcBorders>
            <w:shd w:val="clear" w:color="auto" w:fill="FFFFFF"/>
          </w:tcPr>
          <w:p w14:paraId="76984B3A" w14:textId="77777777" w:rsidR="00C473AD" w:rsidRPr="00711B22" w:rsidRDefault="00C473AD" w:rsidP="00A579F2">
            <w:pPr>
              <w:pStyle w:val="Table"/>
              <w:ind w:right="1112"/>
              <w:jc w:val="right"/>
            </w:pPr>
            <w:r w:rsidRPr="00711B22">
              <w:t>−0.43</w:t>
            </w:r>
          </w:p>
        </w:tc>
        <w:tc>
          <w:tcPr>
            <w:tcW w:w="2520" w:type="dxa"/>
            <w:tcBorders>
              <w:top w:val="nil"/>
              <w:left w:val="nil"/>
              <w:bottom w:val="nil"/>
              <w:right w:val="nil"/>
            </w:tcBorders>
            <w:shd w:val="clear" w:color="auto" w:fill="FFFFFF"/>
          </w:tcPr>
          <w:p w14:paraId="4B8AF165" w14:textId="77777777" w:rsidR="00C473AD" w:rsidRPr="00711B22" w:rsidRDefault="00C473AD" w:rsidP="00A579F2">
            <w:pPr>
              <w:pStyle w:val="Table"/>
              <w:jc w:val="center"/>
            </w:pPr>
            <w:r w:rsidRPr="00711B22">
              <w:t>0.65</w:t>
            </w:r>
          </w:p>
        </w:tc>
      </w:tr>
      <w:tr w:rsidR="00C473AD" w:rsidRPr="00711B22" w14:paraId="36436825" w14:textId="77777777" w:rsidTr="00A579F2">
        <w:trPr>
          <w:trHeight w:hRule="exact" w:val="401"/>
        </w:trPr>
        <w:tc>
          <w:tcPr>
            <w:tcW w:w="2880" w:type="dxa"/>
            <w:tcBorders>
              <w:top w:val="nil"/>
              <w:left w:val="nil"/>
              <w:bottom w:val="nil"/>
              <w:right w:val="nil"/>
            </w:tcBorders>
            <w:shd w:val="clear" w:color="auto" w:fill="FFFFFF"/>
          </w:tcPr>
          <w:p w14:paraId="51AED5EF" w14:textId="77777777" w:rsidR="00C473AD" w:rsidRPr="00711B22" w:rsidRDefault="00C473AD" w:rsidP="00A579F2">
            <w:pPr>
              <w:pStyle w:val="Table"/>
              <w:ind w:left="473"/>
            </w:pPr>
            <w:r w:rsidRPr="00711B22">
              <w:t>ST elevation</w:t>
            </w:r>
          </w:p>
        </w:tc>
        <w:tc>
          <w:tcPr>
            <w:tcW w:w="2160" w:type="dxa"/>
            <w:tcBorders>
              <w:top w:val="nil"/>
              <w:left w:val="nil"/>
              <w:bottom w:val="nil"/>
              <w:right w:val="nil"/>
            </w:tcBorders>
            <w:shd w:val="clear" w:color="auto" w:fill="FFFFFF"/>
          </w:tcPr>
          <w:p w14:paraId="3B5223CA" w14:textId="77777777" w:rsidR="00C473AD" w:rsidRPr="00711B22" w:rsidRDefault="00C473AD" w:rsidP="00A579F2">
            <w:pPr>
              <w:pStyle w:val="Table"/>
              <w:ind w:right="1112"/>
              <w:jc w:val="right"/>
            </w:pPr>
            <w:r w:rsidRPr="00711B22">
              <w:t>1.314</w:t>
            </w:r>
          </w:p>
        </w:tc>
        <w:tc>
          <w:tcPr>
            <w:tcW w:w="2520" w:type="dxa"/>
            <w:tcBorders>
              <w:top w:val="nil"/>
              <w:left w:val="nil"/>
              <w:bottom w:val="nil"/>
              <w:right w:val="nil"/>
            </w:tcBorders>
            <w:shd w:val="clear" w:color="auto" w:fill="FFFFFF"/>
          </w:tcPr>
          <w:p w14:paraId="5933E0C9" w14:textId="77777777" w:rsidR="00C473AD" w:rsidRPr="00711B22" w:rsidRDefault="00C473AD" w:rsidP="00A579F2">
            <w:pPr>
              <w:pStyle w:val="Table"/>
              <w:jc w:val="center"/>
            </w:pPr>
            <w:r w:rsidRPr="00711B22">
              <w:t>3.72</w:t>
            </w:r>
          </w:p>
        </w:tc>
      </w:tr>
      <w:tr w:rsidR="00C473AD" w:rsidRPr="00711B22" w14:paraId="77BBFD94" w14:textId="77777777" w:rsidTr="00A579F2">
        <w:trPr>
          <w:trHeight w:hRule="exact" w:val="445"/>
        </w:trPr>
        <w:tc>
          <w:tcPr>
            <w:tcW w:w="2880" w:type="dxa"/>
            <w:tcBorders>
              <w:top w:val="nil"/>
              <w:left w:val="nil"/>
              <w:bottom w:val="nil"/>
              <w:right w:val="nil"/>
            </w:tcBorders>
            <w:shd w:val="clear" w:color="auto" w:fill="FFFFFF"/>
          </w:tcPr>
          <w:p w14:paraId="52FF2736" w14:textId="77777777" w:rsidR="00C473AD" w:rsidRPr="00711B22" w:rsidRDefault="00C473AD" w:rsidP="00A579F2">
            <w:pPr>
              <w:pStyle w:val="Table"/>
              <w:ind w:left="473"/>
            </w:pPr>
            <w:r w:rsidRPr="00711B22">
              <w:t>New Q waves</w:t>
            </w:r>
          </w:p>
        </w:tc>
        <w:tc>
          <w:tcPr>
            <w:tcW w:w="2160" w:type="dxa"/>
            <w:tcBorders>
              <w:top w:val="nil"/>
              <w:left w:val="nil"/>
              <w:bottom w:val="nil"/>
              <w:right w:val="nil"/>
            </w:tcBorders>
            <w:shd w:val="clear" w:color="auto" w:fill="FFFFFF"/>
          </w:tcPr>
          <w:p w14:paraId="21901F4E" w14:textId="77777777" w:rsidR="00C473AD" w:rsidRPr="00711B22" w:rsidRDefault="00C473AD" w:rsidP="00A579F2">
            <w:pPr>
              <w:pStyle w:val="Table"/>
              <w:ind w:right="1112"/>
              <w:jc w:val="right"/>
            </w:pPr>
            <w:r w:rsidRPr="00711B22">
              <w:t>0.62</w:t>
            </w:r>
          </w:p>
        </w:tc>
        <w:tc>
          <w:tcPr>
            <w:tcW w:w="2520" w:type="dxa"/>
            <w:tcBorders>
              <w:top w:val="nil"/>
              <w:left w:val="nil"/>
              <w:bottom w:val="nil"/>
              <w:right w:val="nil"/>
            </w:tcBorders>
            <w:shd w:val="clear" w:color="auto" w:fill="FFFFFF"/>
          </w:tcPr>
          <w:p w14:paraId="310DC143" w14:textId="77777777" w:rsidR="00C473AD" w:rsidRPr="00711B22" w:rsidRDefault="00C473AD" w:rsidP="00A579F2">
            <w:pPr>
              <w:pStyle w:val="Table"/>
              <w:jc w:val="center"/>
            </w:pPr>
            <w:r w:rsidRPr="00711B22">
              <w:t>1.86</w:t>
            </w:r>
          </w:p>
        </w:tc>
      </w:tr>
      <w:tr w:rsidR="00C473AD" w:rsidRPr="00711B22" w14:paraId="306F5054" w14:textId="77777777" w:rsidTr="00A579F2">
        <w:trPr>
          <w:trHeight w:hRule="exact" w:val="408"/>
        </w:trPr>
        <w:tc>
          <w:tcPr>
            <w:tcW w:w="2880" w:type="dxa"/>
            <w:tcBorders>
              <w:top w:val="nil"/>
              <w:left w:val="nil"/>
              <w:bottom w:val="nil"/>
              <w:right w:val="nil"/>
            </w:tcBorders>
            <w:shd w:val="clear" w:color="auto" w:fill="FFFFFF"/>
          </w:tcPr>
          <w:p w14:paraId="01FC1998" w14:textId="77777777" w:rsidR="00C473AD" w:rsidRPr="00711B22" w:rsidRDefault="00C473AD" w:rsidP="00A579F2">
            <w:pPr>
              <w:pStyle w:val="Table"/>
              <w:ind w:left="473"/>
            </w:pPr>
            <w:r w:rsidRPr="00711B22">
              <w:t>ST depression</w:t>
            </w:r>
          </w:p>
        </w:tc>
        <w:tc>
          <w:tcPr>
            <w:tcW w:w="2160" w:type="dxa"/>
            <w:tcBorders>
              <w:top w:val="nil"/>
              <w:left w:val="nil"/>
              <w:bottom w:val="nil"/>
              <w:right w:val="nil"/>
            </w:tcBorders>
            <w:shd w:val="clear" w:color="auto" w:fill="FFFFFF"/>
          </w:tcPr>
          <w:p w14:paraId="3F6E9564" w14:textId="77777777" w:rsidR="00C473AD" w:rsidRPr="00711B22" w:rsidRDefault="00C473AD" w:rsidP="00A579F2">
            <w:pPr>
              <w:pStyle w:val="Table"/>
              <w:ind w:right="1112"/>
              <w:jc w:val="right"/>
            </w:pPr>
            <w:r w:rsidRPr="00711B22">
              <w:t>0.99</w:t>
            </w:r>
          </w:p>
        </w:tc>
        <w:tc>
          <w:tcPr>
            <w:tcW w:w="2520" w:type="dxa"/>
            <w:tcBorders>
              <w:top w:val="nil"/>
              <w:left w:val="nil"/>
              <w:bottom w:val="nil"/>
              <w:right w:val="nil"/>
            </w:tcBorders>
            <w:shd w:val="clear" w:color="auto" w:fill="FFFFFF"/>
          </w:tcPr>
          <w:p w14:paraId="1065E783" w14:textId="77777777" w:rsidR="00C473AD" w:rsidRPr="00711B22" w:rsidRDefault="00C473AD" w:rsidP="00A579F2">
            <w:pPr>
              <w:pStyle w:val="Table"/>
              <w:jc w:val="center"/>
            </w:pPr>
            <w:r w:rsidRPr="00711B22">
              <w:t>2.69</w:t>
            </w:r>
          </w:p>
        </w:tc>
      </w:tr>
      <w:tr w:rsidR="00C473AD" w:rsidRPr="00711B22" w14:paraId="2EE502A6" w14:textId="77777777" w:rsidTr="00A579F2">
        <w:trPr>
          <w:trHeight w:hRule="exact" w:val="429"/>
        </w:trPr>
        <w:tc>
          <w:tcPr>
            <w:tcW w:w="2880" w:type="dxa"/>
            <w:tcBorders>
              <w:top w:val="nil"/>
              <w:left w:val="nil"/>
              <w:bottom w:val="nil"/>
              <w:right w:val="nil"/>
            </w:tcBorders>
            <w:shd w:val="clear" w:color="auto" w:fill="FFFFFF"/>
          </w:tcPr>
          <w:p w14:paraId="396961C9" w14:textId="77777777" w:rsidR="00C473AD" w:rsidRPr="00711B22" w:rsidRDefault="00C473AD" w:rsidP="00A579F2">
            <w:pPr>
              <w:pStyle w:val="Table"/>
              <w:ind w:left="473"/>
            </w:pPr>
            <w:r w:rsidRPr="00711B22">
              <w:t>T waves elevated</w:t>
            </w:r>
          </w:p>
        </w:tc>
        <w:tc>
          <w:tcPr>
            <w:tcW w:w="2160" w:type="dxa"/>
            <w:tcBorders>
              <w:top w:val="nil"/>
              <w:left w:val="nil"/>
              <w:bottom w:val="nil"/>
              <w:right w:val="nil"/>
            </w:tcBorders>
            <w:shd w:val="clear" w:color="auto" w:fill="FFFFFF"/>
          </w:tcPr>
          <w:p w14:paraId="1AD9297F" w14:textId="77777777" w:rsidR="00C473AD" w:rsidRPr="00711B22" w:rsidRDefault="00C473AD" w:rsidP="00A579F2">
            <w:pPr>
              <w:pStyle w:val="Table"/>
              <w:ind w:right="1112"/>
              <w:jc w:val="right"/>
            </w:pPr>
            <w:r w:rsidRPr="00711B22">
              <w:t>1.095</w:t>
            </w:r>
          </w:p>
        </w:tc>
        <w:tc>
          <w:tcPr>
            <w:tcW w:w="2520" w:type="dxa"/>
            <w:tcBorders>
              <w:top w:val="nil"/>
              <w:left w:val="nil"/>
              <w:bottom w:val="nil"/>
              <w:right w:val="nil"/>
            </w:tcBorders>
            <w:shd w:val="clear" w:color="auto" w:fill="FFFFFF"/>
          </w:tcPr>
          <w:p w14:paraId="1819BFEF" w14:textId="77777777" w:rsidR="00C473AD" w:rsidRPr="00711B22" w:rsidRDefault="00C473AD" w:rsidP="00A579F2">
            <w:pPr>
              <w:pStyle w:val="Table"/>
              <w:jc w:val="center"/>
            </w:pPr>
            <w:r w:rsidRPr="00711B22">
              <w:t>2.99</w:t>
            </w:r>
          </w:p>
        </w:tc>
      </w:tr>
      <w:tr w:rsidR="00C473AD" w:rsidRPr="00711B22" w14:paraId="3DB83152" w14:textId="77777777" w:rsidTr="00A579F2">
        <w:trPr>
          <w:trHeight w:hRule="exact" w:val="435"/>
        </w:trPr>
        <w:tc>
          <w:tcPr>
            <w:tcW w:w="2880" w:type="dxa"/>
            <w:tcBorders>
              <w:top w:val="nil"/>
              <w:left w:val="nil"/>
              <w:bottom w:val="nil"/>
              <w:right w:val="nil"/>
            </w:tcBorders>
            <w:shd w:val="clear" w:color="auto" w:fill="FFFFFF"/>
          </w:tcPr>
          <w:p w14:paraId="22A37771" w14:textId="77777777" w:rsidR="00C473AD" w:rsidRPr="00711B22" w:rsidRDefault="00C473AD" w:rsidP="00A579F2">
            <w:pPr>
              <w:pStyle w:val="Table"/>
              <w:ind w:left="473"/>
            </w:pPr>
            <w:r w:rsidRPr="00711B22">
              <w:t>T waves inverted</w:t>
            </w:r>
          </w:p>
        </w:tc>
        <w:tc>
          <w:tcPr>
            <w:tcW w:w="2160" w:type="dxa"/>
            <w:tcBorders>
              <w:top w:val="nil"/>
              <w:left w:val="nil"/>
              <w:bottom w:val="nil"/>
              <w:right w:val="nil"/>
            </w:tcBorders>
            <w:shd w:val="clear" w:color="auto" w:fill="FFFFFF"/>
          </w:tcPr>
          <w:p w14:paraId="7429FB6C" w14:textId="77777777" w:rsidR="00C473AD" w:rsidRPr="00711B22" w:rsidRDefault="00C473AD" w:rsidP="00A579F2">
            <w:pPr>
              <w:pStyle w:val="Table"/>
              <w:ind w:right="1112"/>
              <w:jc w:val="right"/>
            </w:pPr>
            <w:r w:rsidRPr="00711B22">
              <w:t>1.13</w:t>
            </w:r>
          </w:p>
        </w:tc>
        <w:tc>
          <w:tcPr>
            <w:tcW w:w="2520" w:type="dxa"/>
            <w:tcBorders>
              <w:top w:val="nil"/>
              <w:left w:val="nil"/>
              <w:bottom w:val="nil"/>
              <w:right w:val="nil"/>
            </w:tcBorders>
            <w:shd w:val="clear" w:color="auto" w:fill="FFFFFF"/>
          </w:tcPr>
          <w:p w14:paraId="099F421E" w14:textId="77777777" w:rsidR="00C473AD" w:rsidRPr="00711B22" w:rsidRDefault="00C473AD" w:rsidP="00A579F2">
            <w:pPr>
              <w:pStyle w:val="Table"/>
              <w:jc w:val="center"/>
            </w:pPr>
            <w:r w:rsidRPr="00711B22">
              <w:t>3.10</w:t>
            </w:r>
          </w:p>
        </w:tc>
      </w:tr>
      <w:tr w:rsidR="00C473AD" w:rsidRPr="00711B22" w14:paraId="0F02AF6E" w14:textId="77777777" w:rsidTr="00A579F2">
        <w:trPr>
          <w:trHeight w:hRule="exact" w:val="828"/>
        </w:trPr>
        <w:tc>
          <w:tcPr>
            <w:tcW w:w="2880" w:type="dxa"/>
            <w:tcBorders>
              <w:top w:val="nil"/>
              <w:left w:val="nil"/>
              <w:bottom w:val="single" w:sz="6" w:space="0" w:color="auto"/>
              <w:right w:val="nil"/>
            </w:tcBorders>
            <w:shd w:val="clear" w:color="auto" w:fill="FFFFFF"/>
          </w:tcPr>
          <w:p w14:paraId="5E48E803" w14:textId="77777777" w:rsidR="00C473AD" w:rsidRPr="00711B22" w:rsidRDefault="00C473AD" w:rsidP="00A579F2">
            <w:pPr>
              <w:pStyle w:val="Table"/>
              <w:ind w:left="473"/>
            </w:pPr>
            <w:r w:rsidRPr="00711B22">
              <w:t>T</w:t>
            </w:r>
            <w:r w:rsidRPr="00711B22">
              <w:rPr>
                <w:rStyle w:val="NormalWebChar"/>
              </w:rPr>
              <w:t xml:space="preserve"> </w:t>
            </w:r>
            <w:r w:rsidRPr="00711B22">
              <w:t>wave</w:t>
            </w:r>
            <w:r w:rsidRPr="00711B22">
              <w:rPr>
                <w:rStyle w:val="NormalWebChar"/>
              </w:rPr>
              <w:t xml:space="preserve"> </w:t>
            </w:r>
            <w:r w:rsidRPr="00711B22">
              <w:t>+</w:t>
            </w:r>
            <w:r w:rsidRPr="00711B22">
              <w:rPr>
                <w:rStyle w:val="NormalWebChar"/>
              </w:rPr>
              <w:t xml:space="preserve"> </w:t>
            </w:r>
            <w:r w:rsidRPr="00711B22">
              <w:t>ST</w:t>
            </w:r>
            <w:r w:rsidRPr="00711B22">
              <w:rPr>
                <w:rStyle w:val="NormalWebChar"/>
              </w:rPr>
              <w:t xml:space="preserve"> </w:t>
            </w:r>
            <w:r w:rsidRPr="00711B22">
              <w:t>changes</w:t>
            </w:r>
          </w:p>
        </w:tc>
        <w:tc>
          <w:tcPr>
            <w:tcW w:w="2160" w:type="dxa"/>
            <w:tcBorders>
              <w:top w:val="nil"/>
              <w:left w:val="nil"/>
              <w:bottom w:val="single" w:sz="6" w:space="0" w:color="auto"/>
              <w:right w:val="nil"/>
            </w:tcBorders>
            <w:shd w:val="clear" w:color="auto" w:fill="FFFFFF"/>
          </w:tcPr>
          <w:p w14:paraId="2DF99109" w14:textId="77777777" w:rsidR="00C473AD" w:rsidRPr="00711B22" w:rsidRDefault="00C473AD" w:rsidP="00A579F2">
            <w:pPr>
              <w:pStyle w:val="Table"/>
              <w:ind w:right="1112"/>
              <w:jc w:val="right"/>
            </w:pPr>
            <w:r w:rsidRPr="00711B22">
              <w:t>−0.314</w:t>
            </w:r>
          </w:p>
        </w:tc>
        <w:tc>
          <w:tcPr>
            <w:tcW w:w="2520" w:type="dxa"/>
            <w:tcBorders>
              <w:top w:val="nil"/>
              <w:left w:val="nil"/>
              <w:bottom w:val="single" w:sz="6" w:space="0" w:color="auto"/>
              <w:right w:val="nil"/>
            </w:tcBorders>
            <w:shd w:val="clear" w:color="auto" w:fill="FFFFFF"/>
          </w:tcPr>
          <w:p w14:paraId="5A3DC6DB" w14:textId="77777777" w:rsidR="00C473AD" w:rsidRPr="00711B22" w:rsidRDefault="00C473AD" w:rsidP="00A579F2">
            <w:pPr>
              <w:pStyle w:val="Table"/>
              <w:jc w:val="center"/>
            </w:pPr>
            <w:r w:rsidRPr="00711B22">
              <w:t>0.73</w:t>
            </w:r>
          </w:p>
        </w:tc>
      </w:tr>
    </w:tbl>
    <w:p w14:paraId="7510C9B4" w14:textId="087C5FAA" w:rsidR="00C473AD" w:rsidRPr="00C473AD" w:rsidRDefault="00C473AD" w:rsidP="00C473AD">
      <w:pPr>
        <w:pStyle w:val="NormalWeb"/>
        <w:spacing w:before="0" w:beforeAutospacing="0" w:after="0" w:afterAutospacing="0"/>
        <w:rPr>
          <w:sz w:val="20"/>
          <w:szCs w:val="20"/>
        </w:rPr>
      </w:pPr>
      <w:r w:rsidRPr="00C473AD">
        <w:rPr>
          <w:i/>
          <w:sz w:val="20"/>
          <w:szCs w:val="20"/>
          <w:vertAlign w:val="superscript"/>
        </w:rPr>
        <w:t>a</w:t>
      </w:r>
      <w:r w:rsidRPr="00C473AD">
        <w:rPr>
          <w:sz w:val="20"/>
          <w:szCs w:val="20"/>
        </w:rPr>
        <w:t xml:space="preserve"> From </w:t>
      </w:r>
      <w:proofErr w:type="spellStart"/>
      <w:r w:rsidRPr="00C473AD">
        <w:rPr>
          <w:sz w:val="20"/>
          <w:szCs w:val="20"/>
        </w:rPr>
        <w:t>Selker</w:t>
      </w:r>
      <w:proofErr w:type="spellEnd"/>
      <w:r w:rsidRPr="00C473AD">
        <w:rPr>
          <w:sz w:val="20"/>
          <w:szCs w:val="20"/>
        </w:rPr>
        <w:t xml:space="preserve"> et al. (1991)</w:t>
      </w:r>
      <w:r w:rsidR="00DA779C">
        <w:rPr>
          <w:sz w:val="20"/>
          <w:szCs w:val="20"/>
        </w:rPr>
        <w:fldChar w:fldCharType="begin"/>
      </w:r>
      <w:r w:rsidR="00DA779C">
        <w:rPr>
          <w:sz w:val="20"/>
          <w:szCs w:val="20"/>
        </w:rPr>
        <w:instrText xml:space="preserve"> ADDIN EN.CITE &lt;EndNote&gt;&lt;Cite&gt;&lt;Author&gt;Selker&lt;/Author&gt;&lt;Year&gt;1991&lt;/Year&gt;&lt;RecNum&gt;134&lt;/RecNum&gt;&lt;DisplayText&gt;[18]&lt;/DisplayText&gt;&lt;record&gt;&lt;rec-number&gt;134&lt;/rec-number&gt;&lt;foreign-keys&gt;&lt;key app="EN" db-id="0ftvff9p80fp5few5s05f5fw9rd9fefrdzer" timestamp="0"&gt;134&lt;/key&gt;&lt;/foreign-keys&gt;&lt;ref-type name="Journal Article"&gt;17&lt;/ref-type&gt;&lt;contributors&gt;&lt;authors&gt;&lt;author&gt;Selker, H. P.&lt;/author&gt;&lt;author&gt;Griffith, J. L.&lt;/author&gt;&lt;author&gt;D&amp;apos;Agostino, R. B.&lt;/author&gt;&lt;/authors&gt;&lt;/contributors&gt;&lt;auth-address&gt;Center for Cardiovascular Health Services Research, New England Medical Center, Boston, MA 02111.&lt;/auth-address&gt;&lt;titles&gt;&lt;title&gt;A tool for judging coronary care unit admission appropriateness, valid for both real-time and retrospective use. A time-insensitive predictive instrument (TIPI) for acute cardiac ischemia: a multicenter study&lt;/title&gt;&lt;secondary-title&gt;Med Care&lt;/secondary-title&gt;&lt;/titles&gt;&lt;pages&gt;610-27&lt;/pages&gt;&lt;volume&gt;29&lt;/volume&gt;&lt;number&gt;7&lt;/number&gt;&lt;keywords&gt;&lt;keyword&gt;Adult&lt;/keyword&gt;&lt;keyword&gt;Coronary Care Units/*utilization&lt;/keyword&gt;&lt;keyword&gt;Coronary Disease/*diagnosis&lt;/keyword&gt;&lt;keyword&gt;Emergencies&lt;/keyword&gt;&lt;keyword&gt;Female&lt;/keyword&gt;&lt;keyword&gt;Health Services Research/methods&lt;/keyword&gt;&lt;keyword&gt;Human&lt;/keyword&gt;&lt;keyword&gt;Male&lt;/keyword&gt;&lt;keyword&gt;Middle Aged&lt;/keyword&gt;&lt;keyword&gt;Models, Statistical&lt;/keyword&gt;&lt;keyword&gt;New England&lt;/keyword&gt;&lt;keyword&gt;Patient Admission/*statistics &amp;amp; numerical data&lt;/keyword&gt;&lt;keyword&gt;Predictive Value of Tests&lt;/keyword&gt;&lt;keyword&gt;Probability&lt;/keyword&gt;&lt;keyword&gt;Regression Analysis&lt;/keyword&gt;&lt;keyword&gt;Retrospective Studies&lt;/keyword&gt;&lt;keyword&gt;Support, Non-U.S. Gov&amp;apos;t&lt;/keyword&gt;&lt;keyword&gt;Support, U.S. Gov&amp;apos;t, P.H.S.&lt;/keyword&gt;&lt;keyword&gt;Time Factors&lt;/keyword&gt;&lt;/keywords&gt;&lt;dates&gt;&lt;year&gt;1991&lt;/year&gt;&lt;pub-dates&gt;&lt;date&gt;Jul&lt;/date&gt;&lt;/pub-dates&gt;&lt;/dates&gt;&lt;accession-num&gt;2072767&lt;/accession-num&gt;&lt;urls&gt;&lt;related-urls&gt;&lt;url&gt;http://www.ncbi.nlm.nih.gov/entrez/query.fcgi?cmd=Retrieve&amp;amp;db=PubMed&amp;amp;dopt=Citation&amp;amp;list_uids=2072767&lt;/url&gt;&lt;/related-urls&gt;&lt;/urls&gt;&lt;/record&gt;&lt;/Cite&gt;&lt;/EndNote&gt;</w:instrText>
      </w:r>
      <w:r w:rsidR="00DA779C">
        <w:rPr>
          <w:sz w:val="20"/>
          <w:szCs w:val="20"/>
        </w:rPr>
        <w:fldChar w:fldCharType="separate"/>
      </w:r>
      <w:r w:rsidR="00DA779C">
        <w:rPr>
          <w:noProof/>
          <w:sz w:val="20"/>
          <w:szCs w:val="20"/>
        </w:rPr>
        <w:t>[18]</w:t>
      </w:r>
      <w:r w:rsidR="00DA779C">
        <w:rPr>
          <w:sz w:val="20"/>
          <w:szCs w:val="20"/>
        </w:rPr>
        <w:fldChar w:fldCharType="end"/>
      </w:r>
      <w:r w:rsidRPr="00C473AD">
        <w:rPr>
          <w:sz w:val="20"/>
          <w:szCs w:val="20"/>
        </w:rPr>
        <w:t>.</w:t>
      </w:r>
    </w:p>
    <w:p w14:paraId="2016E7D1" w14:textId="77777777" w:rsidR="00C473AD" w:rsidRPr="00C473AD" w:rsidRDefault="00C473AD" w:rsidP="00C473AD">
      <w:pPr>
        <w:pStyle w:val="NormalWeb"/>
        <w:spacing w:before="0" w:beforeAutospacing="0" w:after="0" w:afterAutospacing="0"/>
        <w:rPr>
          <w:sz w:val="20"/>
          <w:szCs w:val="20"/>
        </w:rPr>
      </w:pPr>
      <w:r w:rsidRPr="00C473AD">
        <w:rPr>
          <w:i/>
          <w:sz w:val="20"/>
          <w:szCs w:val="20"/>
          <w:vertAlign w:val="superscript"/>
        </w:rPr>
        <w:t>b</w:t>
      </w:r>
      <w:r w:rsidRPr="00C473AD">
        <w:rPr>
          <w:sz w:val="20"/>
          <w:szCs w:val="20"/>
        </w:rPr>
        <w:t xml:space="preserve"> </w:t>
      </w:r>
      <w:proofErr w:type="gramStart"/>
      <w:r w:rsidRPr="00C473AD">
        <w:rPr>
          <w:sz w:val="20"/>
          <w:szCs w:val="20"/>
        </w:rPr>
        <w:t>The</w:t>
      </w:r>
      <w:proofErr w:type="gramEnd"/>
      <w:r w:rsidRPr="00C473AD">
        <w:rPr>
          <w:sz w:val="20"/>
          <w:szCs w:val="20"/>
        </w:rPr>
        <w:t xml:space="preserve"> multivariate OR is obtained by exponentiating the coefficients.</w:t>
      </w:r>
    </w:p>
    <w:p w14:paraId="26218B68" w14:textId="77777777" w:rsidR="00C473AD" w:rsidRPr="00C473AD" w:rsidRDefault="00C473AD" w:rsidP="00C473AD">
      <w:pPr>
        <w:pStyle w:val="NormalWeb"/>
        <w:spacing w:before="0" w:beforeAutospacing="0" w:after="0" w:afterAutospacing="0"/>
        <w:rPr>
          <w:sz w:val="20"/>
          <w:szCs w:val="20"/>
        </w:rPr>
      </w:pPr>
      <w:r w:rsidRPr="00C473AD">
        <w:rPr>
          <w:i/>
          <w:sz w:val="20"/>
          <w:szCs w:val="20"/>
          <w:vertAlign w:val="superscript"/>
        </w:rPr>
        <w:t>c</w:t>
      </w:r>
      <w:r w:rsidRPr="00C473AD">
        <w:rPr>
          <w:sz w:val="20"/>
          <w:szCs w:val="20"/>
        </w:rPr>
        <w:t xml:space="preserve"> </w:t>
      </w:r>
      <w:proofErr w:type="gramStart"/>
      <w:r w:rsidRPr="00C473AD">
        <w:rPr>
          <w:sz w:val="20"/>
          <w:szCs w:val="20"/>
        </w:rPr>
        <w:t>The</w:t>
      </w:r>
      <w:proofErr w:type="gramEnd"/>
      <w:r w:rsidRPr="00C473AD">
        <w:rPr>
          <w:sz w:val="20"/>
          <w:szCs w:val="20"/>
        </w:rPr>
        <w:t xml:space="preserve"> intercept is added to the total for all subjects; it is equal to the log of the pretest odds in subjects who have a value of 0 for all variables in the model. For the model above this makes sense because all variables are dichotomous.  For models with continuous variables the intercept is what the model would predict if all continuous variables were set to zero, even though in many cases (weight, systolic blood pressure, temperature, etc.), this would make no biological sense. </w:t>
      </w:r>
    </w:p>
    <w:p w14:paraId="5A3F994D" w14:textId="16D5E0E6" w:rsidR="00C473AD" w:rsidRPr="00C473AD" w:rsidRDefault="00C473AD" w:rsidP="00C473AD">
      <w:pPr>
        <w:pStyle w:val="NormalWeb"/>
        <w:spacing w:before="0" w:beforeAutospacing="0" w:after="0" w:afterAutospacing="0"/>
        <w:rPr>
          <w:sz w:val="20"/>
          <w:szCs w:val="20"/>
        </w:rPr>
      </w:pPr>
      <w:r w:rsidRPr="00C473AD">
        <w:rPr>
          <w:sz w:val="20"/>
          <w:szCs w:val="20"/>
          <w:vertAlign w:val="superscript"/>
        </w:rPr>
        <w:t>d</w:t>
      </w:r>
      <w:r w:rsidRPr="00C473AD">
        <w:rPr>
          <w:sz w:val="20"/>
          <w:szCs w:val="20"/>
        </w:rPr>
        <w:t xml:space="preserve"> This score includes two interaction terms. Male sex has an OR of 2.03 and age &gt;50 years has an OR of 1.95. Without an interaction term, the OR for being both male and over 50 would be 2.03 × 1.95 = 3.96. The OR of 0.65 for being both male and over 50 indicates that 3.96 is too high and that 0.65 × 3.96 = 2.57 is a better estimate.</w:t>
      </w:r>
    </w:p>
    <w:p w14:paraId="7AA07BA5" w14:textId="75305526" w:rsidR="003951CB" w:rsidRPr="00711B22" w:rsidRDefault="007E4D31" w:rsidP="000B19EA">
      <w:pPr>
        <w:pStyle w:val="NormalWeb"/>
      </w:pPr>
      <w:r w:rsidRPr="00711B22">
        <w:t>Although this is not practical for a clinician to calculate, the rule can be programmed into an ECG machine so that, if the technician enters a few items from the history, the estimated probability of acute coronary ischemia can be printed with the automated ECG analysis.</w:t>
      </w:r>
    </w:p>
    <w:p w14:paraId="79B46219" w14:textId="1640A430" w:rsidR="003951CB" w:rsidRDefault="007E4D31" w:rsidP="000B19EA">
      <w:pPr>
        <w:pStyle w:val="NormalWeb"/>
      </w:pPr>
      <w:r w:rsidRPr="00711B22">
        <w:t xml:space="preserve">Another famous use of multiple logistic regression was the development of the PORT Pneumonia Score </w:t>
      </w:r>
      <w:r w:rsidR="00DA779C">
        <w:fldChar w:fldCharType="begin"/>
      </w:r>
      <w:r w:rsidR="00DA779C">
        <w:instrText xml:space="preserve"> ADDIN EN.CITE &lt;EndNote&gt;&lt;Cite&gt;&lt;Author&gt;Fine&lt;/Author&gt;&lt;Year&gt;1997&lt;/Year&gt;&lt;RecNum&gt;48&lt;/RecNum&gt;&lt;DisplayText&gt;[19]&lt;/DisplayText&gt;&lt;record&gt;&lt;rec-number&gt;48&lt;/rec-number&gt;&lt;foreign-keys&gt;&lt;key app="EN" db-id="0ftvff9p80fp5few5s05f5fw9rd9fefrdzer" timestamp="0"&gt;48&lt;/key&gt;&lt;/foreign-keys&gt;&lt;ref-type name="Journal Article"&gt;17&lt;/ref-type&gt;&lt;contributors&gt;&lt;authors&gt;&lt;author&gt;Fine, M. J.&lt;/author&gt;&lt;author&gt;Auble, T. E.&lt;/author&gt;&lt;author&gt;Yealy, D. M.&lt;/author&gt;&lt;author&gt;Hanusa, B. H.&lt;/author&gt;&lt;author&gt;Weissfeld, L. A.&lt;/author&gt;&lt;author&gt;Singer, D. E.&lt;/author&gt;&lt;author&gt;Coley, C. M.&lt;/author&gt;&lt;author&gt;Marrie, T. J.&lt;/author&gt;&lt;author&gt;Kapoor, W. N.&lt;/author&gt;&lt;/authors&gt;&lt;/contributors&gt;&lt;titles&gt;&lt;title&gt;A prediction rule to identify low-risk patients with community-acquired pneumonia [see comments]&lt;/title&gt;&lt;secondary-title&gt;N Engl J Med&lt;/secondary-title&gt;&lt;/titles&gt;&lt;periodical&gt;&lt;full-title&gt;N Engl J Med&lt;/full-title&gt;&lt;/periodical&gt;&lt;pages&gt;243-50&lt;/pages&gt;&lt;volume&gt;336&lt;/volume&gt;&lt;number&gt;4&lt;/number&gt;&lt;keywords&gt;&lt;keyword&gt;Adult&lt;/keyword&gt;&lt;keyword&gt;Age Factors&lt;/keyword&gt;&lt;keyword&gt;Aged&lt;/keyword&gt;&lt;keyword&gt;Cohort Studies&lt;/keyword&gt;&lt;keyword&gt;Community-Acquired Infections/classification/diagnosis/mortality&lt;/keyword&gt;&lt;keyword&gt;*Decision Support Techniques&lt;/keyword&gt;&lt;keyword&gt;Female&lt;/keyword&gt;&lt;keyword&gt;Hospitalization&lt;/keyword&gt;&lt;keyword&gt;Human&lt;/keyword&gt;&lt;keyword&gt;Male&lt;/keyword&gt;&lt;keyword&gt;Middle Age&lt;/keyword&gt;&lt;keyword&gt;Pneumonia/*classification/diagnosis/mortality&lt;/keyword&gt;&lt;keyword&gt;Prognosis&lt;/keyword&gt;&lt;keyword&gt;Risk Factors&lt;/keyword&gt;&lt;keyword&gt;ROC Curve&lt;/keyword&gt;&lt;keyword&gt;Severity of Illness Index&lt;/keyword&gt;&lt;keyword&gt;Support, U.S. Gov&amp;apos;t, P.H.S.&lt;/keyword&gt;&lt;/keywords&gt;&lt;dates&gt;&lt;year&gt;1997&lt;/year&gt;&lt;/dates&gt;&lt;label&gt;97136539&lt;/label&gt;&lt;urls&gt;&lt;/urls&gt;&lt;/record&gt;&lt;/Cite&gt;&lt;/EndNote&gt;</w:instrText>
      </w:r>
      <w:r w:rsidR="00DA779C">
        <w:fldChar w:fldCharType="separate"/>
      </w:r>
      <w:r w:rsidR="00DA779C">
        <w:rPr>
          <w:noProof/>
        </w:rPr>
        <w:t>[19]</w:t>
      </w:r>
      <w:r w:rsidR="00DA779C">
        <w:fldChar w:fldCharType="end"/>
      </w:r>
      <w:r w:rsidRPr="00711B22">
        <w:t xml:space="preserve"> to predict death in patients with</w:t>
      </w:r>
      <w:r w:rsidR="00943596" w:rsidRPr="00711B22">
        <w:t xml:space="preserve"> pneumonia. The authors used the coef</w:t>
      </w:r>
      <w:r w:rsidR="00191BDE" w:rsidRPr="00711B22">
        <w:t>fi</w:t>
      </w:r>
      <w:r w:rsidR="00943596" w:rsidRPr="00711B22">
        <w:t xml:space="preserve">cients from their logistic regression model to create the point scoring system shown in </w:t>
      </w:r>
      <w:r w:rsidR="00A471B6">
        <w:t>Tables 7.7</w:t>
      </w:r>
      <w:r w:rsidR="00943596" w:rsidRPr="00711B22">
        <w:t xml:space="preserve"> and </w:t>
      </w:r>
      <w:r w:rsidR="00A471B6">
        <w:t>7.8</w:t>
      </w:r>
      <w:r w:rsidR="00943596" w:rsidRPr="00711B22">
        <w:t>.</w:t>
      </w:r>
    </w:p>
    <w:p w14:paraId="491903C3" w14:textId="35EE7B4E" w:rsidR="00AA732E" w:rsidRPr="00711B22" w:rsidRDefault="00AA732E" w:rsidP="000B19EA">
      <w:pPr>
        <w:pStyle w:val="NormalWeb"/>
      </w:pPr>
      <w:r>
        <w:lastRenderedPageBreak/>
        <w:t xml:space="preserve">Unlike classification trees, logistic regression models </w:t>
      </w:r>
      <w:r w:rsidR="00827A2C">
        <w:t>produce</w:t>
      </w:r>
      <w:r>
        <w:t xml:space="preserve"> formulas, scores, and nomograms.  It is generally easy to divide a sample population into quantiles of risk for a calibration plot</w:t>
      </w:r>
      <w:r w:rsidR="00062EF7">
        <w:t>, and the ROC cu</w:t>
      </w:r>
      <w:r w:rsidR="004C504F">
        <w:t xml:space="preserve">rves and decision curves can </w:t>
      </w:r>
      <w:r w:rsidR="00062EF7">
        <w:t>often be smooth</w:t>
      </w:r>
      <w:r w:rsidR="00024343">
        <w:t>,</w:t>
      </w:r>
      <w:r w:rsidR="00062EF7">
        <w:t xml:space="preserve"> as in Box 6.3.  </w:t>
      </w:r>
    </w:p>
    <w:p w14:paraId="788B2D09" w14:textId="77777777" w:rsidR="00D97EF6" w:rsidRPr="00711B22" w:rsidRDefault="00D97EF6" w:rsidP="00D97EF6">
      <w:pPr>
        <w:pStyle w:val="NormalWeb"/>
      </w:pPr>
      <w:r w:rsidRPr="00711B22">
        <w:rPr>
          <w:b/>
        </w:rPr>
        <w:t xml:space="preserve">Table </w:t>
      </w:r>
      <w:r>
        <w:rPr>
          <w:b/>
        </w:rPr>
        <w:t>7</w:t>
      </w:r>
      <w:r w:rsidRPr="00711B22">
        <w:rPr>
          <w:b/>
        </w:rPr>
        <w:t>.5.</w:t>
      </w:r>
      <w:r w:rsidRPr="00711B22">
        <w:t xml:space="preserve"> Calculation of the PORT score to predict likelihood of death among patients with pneumonia</w:t>
      </w:r>
    </w:p>
    <w:tbl>
      <w:tblPr>
        <w:tblW w:w="0" w:type="auto"/>
        <w:tblInd w:w="40" w:type="dxa"/>
        <w:tblLayout w:type="fixed"/>
        <w:tblCellMar>
          <w:left w:w="40" w:type="dxa"/>
          <w:right w:w="40" w:type="dxa"/>
        </w:tblCellMar>
        <w:tblLook w:val="0000" w:firstRow="0" w:lastRow="0" w:firstColumn="0" w:lastColumn="0" w:noHBand="0" w:noVBand="0"/>
      </w:tblPr>
      <w:tblGrid>
        <w:gridCol w:w="4095"/>
        <w:gridCol w:w="18"/>
        <w:gridCol w:w="3375"/>
      </w:tblGrid>
      <w:tr w:rsidR="00D97EF6" w:rsidRPr="00711B22" w14:paraId="5DC0620A" w14:textId="77777777" w:rsidTr="00B952BD">
        <w:trPr>
          <w:trHeight w:val="20"/>
        </w:trPr>
        <w:tc>
          <w:tcPr>
            <w:tcW w:w="4113" w:type="dxa"/>
            <w:gridSpan w:val="2"/>
            <w:tcBorders>
              <w:top w:val="single" w:sz="6" w:space="0" w:color="auto"/>
              <w:left w:val="nil"/>
              <w:bottom w:val="single" w:sz="6" w:space="0" w:color="auto"/>
              <w:right w:val="nil"/>
            </w:tcBorders>
            <w:shd w:val="clear" w:color="auto" w:fill="FFFFFF"/>
          </w:tcPr>
          <w:p w14:paraId="0E4BB180" w14:textId="77777777" w:rsidR="00D97EF6" w:rsidRPr="00711B22" w:rsidRDefault="00D97EF6" w:rsidP="00B952BD">
            <w:pPr>
              <w:pStyle w:val="Table"/>
            </w:pPr>
            <w:r w:rsidRPr="00711B22">
              <w:t>Characteristic</w:t>
            </w:r>
          </w:p>
        </w:tc>
        <w:tc>
          <w:tcPr>
            <w:tcW w:w="3375" w:type="dxa"/>
            <w:tcBorders>
              <w:top w:val="single" w:sz="6" w:space="0" w:color="auto"/>
              <w:left w:val="nil"/>
              <w:bottom w:val="single" w:sz="6" w:space="0" w:color="auto"/>
              <w:right w:val="nil"/>
            </w:tcBorders>
            <w:shd w:val="clear" w:color="auto" w:fill="FFFFFF"/>
          </w:tcPr>
          <w:p w14:paraId="08E53F77" w14:textId="77777777" w:rsidR="00D97EF6" w:rsidRPr="00711B22" w:rsidRDefault="00D97EF6" w:rsidP="00B952BD">
            <w:pPr>
              <w:pStyle w:val="Table"/>
            </w:pPr>
            <w:r w:rsidRPr="008A6B79">
              <w:t>Points</w:t>
            </w:r>
            <w:r w:rsidRPr="00711B22">
              <w:rPr>
                <w:rStyle w:val="NormalWebChar"/>
              </w:rPr>
              <w:t xml:space="preserve"> </w:t>
            </w:r>
            <w:proofErr w:type="spellStart"/>
            <w:r w:rsidRPr="008A6B79">
              <w:t>assigned</w:t>
            </w:r>
            <w:r w:rsidRPr="00711B22">
              <w:rPr>
                <w:rStyle w:val="NormalWebChar"/>
                <w:i/>
                <w:vertAlign w:val="superscript"/>
              </w:rPr>
              <w:t>a</w:t>
            </w:r>
            <w:proofErr w:type="spellEnd"/>
          </w:p>
        </w:tc>
      </w:tr>
      <w:tr w:rsidR="00D97EF6" w:rsidRPr="00711B22" w14:paraId="17CF53FB" w14:textId="77777777" w:rsidTr="00B952BD">
        <w:trPr>
          <w:trHeight w:val="20"/>
        </w:trPr>
        <w:tc>
          <w:tcPr>
            <w:tcW w:w="4113" w:type="dxa"/>
            <w:gridSpan w:val="2"/>
            <w:tcBorders>
              <w:top w:val="single" w:sz="6" w:space="0" w:color="auto"/>
              <w:left w:val="nil"/>
              <w:bottom w:val="nil"/>
              <w:right w:val="nil"/>
            </w:tcBorders>
            <w:shd w:val="clear" w:color="auto" w:fill="FFFFFF"/>
          </w:tcPr>
          <w:p w14:paraId="387E011C" w14:textId="77777777" w:rsidR="00D97EF6" w:rsidRPr="00711B22" w:rsidRDefault="00D97EF6" w:rsidP="00B952BD">
            <w:pPr>
              <w:pStyle w:val="Table"/>
            </w:pPr>
            <w:r w:rsidRPr="00711B22">
              <w:t>Demographic factor</w:t>
            </w:r>
          </w:p>
        </w:tc>
        <w:tc>
          <w:tcPr>
            <w:tcW w:w="3375" w:type="dxa"/>
            <w:tcBorders>
              <w:top w:val="single" w:sz="6" w:space="0" w:color="auto"/>
              <w:left w:val="nil"/>
              <w:bottom w:val="nil"/>
              <w:right w:val="nil"/>
            </w:tcBorders>
            <w:shd w:val="clear" w:color="auto" w:fill="FFFFFF"/>
          </w:tcPr>
          <w:p w14:paraId="54FD6317" w14:textId="77777777" w:rsidR="00D97EF6" w:rsidRPr="00711B22" w:rsidRDefault="00D97EF6" w:rsidP="00B952BD">
            <w:pPr>
              <w:pStyle w:val="Table"/>
            </w:pPr>
          </w:p>
        </w:tc>
      </w:tr>
      <w:tr w:rsidR="00D97EF6" w:rsidRPr="00711B22" w14:paraId="56B4C8FF" w14:textId="77777777" w:rsidTr="00B952BD">
        <w:trPr>
          <w:trHeight w:val="20"/>
        </w:trPr>
        <w:tc>
          <w:tcPr>
            <w:tcW w:w="4113" w:type="dxa"/>
            <w:gridSpan w:val="2"/>
            <w:tcBorders>
              <w:top w:val="nil"/>
              <w:left w:val="nil"/>
              <w:bottom w:val="nil"/>
              <w:right w:val="nil"/>
            </w:tcBorders>
            <w:shd w:val="clear" w:color="auto" w:fill="FFFFFF"/>
          </w:tcPr>
          <w:p w14:paraId="07D589DF" w14:textId="77777777" w:rsidR="00D97EF6" w:rsidRPr="00711B22" w:rsidRDefault="00D97EF6" w:rsidP="00B952BD">
            <w:pPr>
              <w:pStyle w:val="Table"/>
              <w:ind w:left="0"/>
            </w:pPr>
            <w:r>
              <w:t xml:space="preserve">       </w:t>
            </w:r>
            <w:r w:rsidRPr="00711B22">
              <w:t>Age</w:t>
            </w:r>
          </w:p>
        </w:tc>
        <w:tc>
          <w:tcPr>
            <w:tcW w:w="3375" w:type="dxa"/>
            <w:tcBorders>
              <w:top w:val="nil"/>
              <w:left w:val="nil"/>
              <w:bottom w:val="nil"/>
              <w:right w:val="nil"/>
            </w:tcBorders>
            <w:shd w:val="clear" w:color="auto" w:fill="FFFFFF"/>
          </w:tcPr>
          <w:p w14:paraId="2616E0A4" w14:textId="77777777" w:rsidR="00D97EF6" w:rsidRPr="00711B22" w:rsidRDefault="00D97EF6" w:rsidP="00B952BD">
            <w:pPr>
              <w:pStyle w:val="Table"/>
            </w:pPr>
            <w:r w:rsidRPr="00711B22">
              <w:t>+Age (years)</w:t>
            </w:r>
          </w:p>
        </w:tc>
      </w:tr>
      <w:tr w:rsidR="00D97EF6" w:rsidRPr="00711B22" w14:paraId="58CB5AE0" w14:textId="77777777" w:rsidTr="00B952BD">
        <w:trPr>
          <w:trHeight w:val="20"/>
        </w:trPr>
        <w:tc>
          <w:tcPr>
            <w:tcW w:w="4113" w:type="dxa"/>
            <w:gridSpan w:val="2"/>
            <w:tcBorders>
              <w:top w:val="nil"/>
              <w:left w:val="nil"/>
              <w:bottom w:val="nil"/>
              <w:right w:val="nil"/>
            </w:tcBorders>
            <w:shd w:val="clear" w:color="auto" w:fill="FFFFFF"/>
          </w:tcPr>
          <w:p w14:paraId="708FBB2C" w14:textId="77777777" w:rsidR="00D97EF6" w:rsidRPr="00711B22" w:rsidRDefault="00D97EF6" w:rsidP="00B952BD">
            <w:pPr>
              <w:pStyle w:val="Table"/>
            </w:pPr>
            <w:r>
              <w:t xml:space="preserve">    Wo</w:t>
            </w:r>
            <w:r>
              <w:rPr>
                <w:lang w:val="sq-AL"/>
              </w:rPr>
              <w:t>m</w:t>
            </w:r>
            <w:proofErr w:type="spellStart"/>
            <w:r w:rsidRPr="00711B22">
              <w:t>en</w:t>
            </w:r>
            <w:proofErr w:type="spellEnd"/>
          </w:p>
        </w:tc>
        <w:tc>
          <w:tcPr>
            <w:tcW w:w="3375" w:type="dxa"/>
            <w:tcBorders>
              <w:top w:val="nil"/>
              <w:left w:val="nil"/>
              <w:bottom w:val="nil"/>
              <w:right w:val="nil"/>
            </w:tcBorders>
            <w:shd w:val="clear" w:color="auto" w:fill="FFFFFF"/>
          </w:tcPr>
          <w:p w14:paraId="550C6D56" w14:textId="77777777" w:rsidR="00D97EF6" w:rsidRPr="00711B22" w:rsidRDefault="00D97EF6" w:rsidP="00B952BD">
            <w:pPr>
              <w:pStyle w:val="Table"/>
            </w:pPr>
            <w:r w:rsidRPr="00C23D8C">
              <w:sym w:font="Symbol" w:char="F02D"/>
            </w:r>
            <w:r>
              <w:t xml:space="preserve"> </w:t>
            </w:r>
            <w:r w:rsidRPr="00711B22">
              <w:t>10</w:t>
            </w:r>
          </w:p>
        </w:tc>
      </w:tr>
      <w:tr w:rsidR="00D97EF6" w:rsidRPr="00711B22" w14:paraId="2FC95EFD" w14:textId="77777777" w:rsidTr="00B952BD">
        <w:trPr>
          <w:trHeight w:val="20"/>
        </w:trPr>
        <w:tc>
          <w:tcPr>
            <w:tcW w:w="4113" w:type="dxa"/>
            <w:gridSpan w:val="2"/>
            <w:tcBorders>
              <w:top w:val="nil"/>
              <w:left w:val="nil"/>
              <w:bottom w:val="nil"/>
              <w:right w:val="nil"/>
            </w:tcBorders>
            <w:shd w:val="clear" w:color="auto" w:fill="FFFFFF"/>
          </w:tcPr>
          <w:p w14:paraId="0C6A2D07" w14:textId="77777777" w:rsidR="00D97EF6" w:rsidRPr="00711B22" w:rsidRDefault="00D97EF6" w:rsidP="00B952BD">
            <w:pPr>
              <w:pStyle w:val="Table"/>
            </w:pPr>
            <w:r>
              <w:t xml:space="preserve">    </w:t>
            </w:r>
            <w:r w:rsidRPr="00711B22">
              <w:t>Nursing home resident</w:t>
            </w:r>
          </w:p>
        </w:tc>
        <w:tc>
          <w:tcPr>
            <w:tcW w:w="3375" w:type="dxa"/>
            <w:tcBorders>
              <w:top w:val="nil"/>
              <w:left w:val="nil"/>
              <w:bottom w:val="nil"/>
              <w:right w:val="nil"/>
            </w:tcBorders>
            <w:shd w:val="clear" w:color="auto" w:fill="FFFFFF"/>
          </w:tcPr>
          <w:p w14:paraId="604E1D5D" w14:textId="77777777" w:rsidR="00D97EF6" w:rsidRPr="00711B22" w:rsidRDefault="00D97EF6" w:rsidP="00B952BD">
            <w:pPr>
              <w:pStyle w:val="Table"/>
            </w:pPr>
            <w:r w:rsidRPr="00711B22">
              <w:rPr>
                <w:b/>
                <w:bCs/>
              </w:rPr>
              <w:t xml:space="preserve">+ </w:t>
            </w:r>
            <w:r w:rsidRPr="00711B22">
              <w:t>10</w:t>
            </w:r>
          </w:p>
        </w:tc>
      </w:tr>
      <w:tr w:rsidR="00D97EF6" w:rsidRPr="00711B22" w14:paraId="47B88A2E" w14:textId="77777777" w:rsidTr="00B952BD">
        <w:trPr>
          <w:trHeight w:val="20"/>
        </w:trPr>
        <w:tc>
          <w:tcPr>
            <w:tcW w:w="4113" w:type="dxa"/>
            <w:gridSpan w:val="2"/>
            <w:tcBorders>
              <w:top w:val="nil"/>
              <w:left w:val="nil"/>
              <w:bottom w:val="nil"/>
              <w:right w:val="nil"/>
            </w:tcBorders>
            <w:shd w:val="clear" w:color="auto" w:fill="FFFFFF"/>
          </w:tcPr>
          <w:p w14:paraId="5B4DE075" w14:textId="77777777" w:rsidR="00D97EF6" w:rsidRPr="00711B22" w:rsidRDefault="00D97EF6" w:rsidP="00B952BD">
            <w:pPr>
              <w:pStyle w:val="Table"/>
            </w:pPr>
            <w:r w:rsidRPr="00711B22">
              <w:t>Coexisting illness</w:t>
            </w:r>
          </w:p>
        </w:tc>
        <w:tc>
          <w:tcPr>
            <w:tcW w:w="3375" w:type="dxa"/>
            <w:tcBorders>
              <w:top w:val="nil"/>
              <w:left w:val="nil"/>
              <w:bottom w:val="nil"/>
              <w:right w:val="nil"/>
            </w:tcBorders>
            <w:shd w:val="clear" w:color="auto" w:fill="FFFFFF"/>
          </w:tcPr>
          <w:p w14:paraId="55A8CC75" w14:textId="77777777" w:rsidR="00D97EF6" w:rsidRPr="00711B22" w:rsidRDefault="00D97EF6" w:rsidP="00B952BD">
            <w:pPr>
              <w:pStyle w:val="Table"/>
            </w:pPr>
          </w:p>
        </w:tc>
      </w:tr>
      <w:tr w:rsidR="00D97EF6" w:rsidRPr="00711B22" w14:paraId="2B1DF35C" w14:textId="77777777" w:rsidTr="00B952BD">
        <w:trPr>
          <w:trHeight w:val="20"/>
        </w:trPr>
        <w:tc>
          <w:tcPr>
            <w:tcW w:w="4113" w:type="dxa"/>
            <w:gridSpan w:val="2"/>
            <w:tcBorders>
              <w:top w:val="nil"/>
              <w:left w:val="nil"/>
              <w:bottom w:val="nil"/>
              <w:right w:val="nil"/>
            </w:tcBorders>
            <w:shd w:val="clear" w:color="auto" w:fill="FFFFFF"/>
          </w:tcPr>
          <w:p w14:paraId="0D99F336" w14:textId="77777777" w:rsidR="00D97EF6" w:rsidRPr="00711B22" w:rsidRDefault="00D97EF6" w:rsidP="00B952BD">
            <w:pPr>
              <w:pStyle w:val="Table"/>
            </w:pPr>
            <w:r>
              <w:t xml:space="preserve">    </w:t>
            </w:r>
            <w:r w:rsidRPr="00711B22">
              <w:t>Neoplastic disease</w:t>
            </w:r>
          </w:p>
        </w:tc>
        <w:tc>
          <w:tcPr>
            <w:tcW w:w="3375" w:type="dxa"/>
            <w:tcBorders>
              <w:top w:val="nil"/>
              <w:left w:val="nil"/>
              <w:bottom w:val="nil"/>
              <w:right w:val="nil"/>
            </w:tcBorders>
            <w:shd w:val="clear" w:color="auto" w:fill="FFFFFF"/>
          </w:tcPr>
          <w:p w14:paraId="661412B1" w14:textId="77777777" w:rsidR="00D97EF6" w:rsidRPr="00711B22" w:rsidRDefault="00D97EF6" w:rsidP="00B952BD">
            <w:pPr>
              <w:pStyle w:val="Table"/>
            </w:pPr>
            <w:r w:rsidRPr="00711B22">
              <w:t>+</w:t>
            </w:r>
            <w:r>
              <w:t xml:space="preserve"> </w:t>
            </w:r>
            <w:r w:rsidRPr="00711B22">
              <w:t>30</w:t>
            </w:r>
          </w:p>
        </w:tc>
      </w:tr>
      <w:tr w:rsidR="00D97EF6" w:rsidRPr="00711B22" w14:paraId="4E05773E" w14:textId="77777777" w:rsidTr="00B952BD">
        <w:trPr>
          <w:trHeight w:val="20"/>
        </w:trPr>
        <w:tc>
          <w:tcPr>
            <w:tcW w:w="4113" w:type="dxa"/>
            <w:gridSpan w:val="2"/>
            <w:tcBorders>
              <w:top w:val="nil"/>
              <w:left w:val="nil"/>
              <w:bottom w:val="nil"/>
              <w:right w:val="nil"/>
            </w:tcBorders>
            <w:shd w:val="clear" w:color="auto" w:fill="FFFFFF"/>
          </w:tcPr>
          <w:p w14:paraId="370DC8D8" w14:textId="77777777" w:rsidR="00D97EF6" w:rsidRPr="00711B22" w:rsidRDefault="00D97EF6" w:rsidP="00B952BD">
            <w:pPr>
              <w:pStyle w:val="Table"/>
            </w:pPr>
            <w:r>
              <w:t xml:space="preserve">    </w:t>
            </w:r>
            <w:r w:rsidRPr="00711B22">
              <w:t>Liver disease</w:t>
            </w:r>
          </w:p>
        </w:tc>
        <w:tc>
          <w:tcPr>
            <w:tcW w:w="3375" w:type="dxa"/>
            <w:tcBorders>
              <w:top w:val="nil"/>
              <w:left w:val="nil"/>
              <w:bottom w:val="nil"/>
              <w:right w:val="nil"/>
            </w:tcBorders>
            <w:shd w:val="clear" w:color="auto" w:fill="FFFFFF"/>
          </w:tcPr>
          <w:p w14:paraId="26DED7B1" w14:textId="77777777" w:rsidR="00D97EF6" w:rsidRPr="00711B22" w:rsidRDefault="00D97EF6" w:rsidP="00B952BD">
            <w:pPr>
              <w:pStyle w:val="Table"/>
            </w:pPr>
            <w:r w:rsidRPr="00711B22">
              <w:t>+</w:t>
            </w:r>
            <w:r>
              <w:t xml:space="preserve"> </w:t>
            </w:r>
            <w:r w:rsidRPr="00711B22">
              <w:t>20</w:t>
            </w:r>
          </w:p>
        </w:tc>
      </w:tr>
      <w:tr w:rsidR="00D97EF6" w:rsidRPr="00711B22" w14:paraId="27A878C3" w14:textId="77777777" w:rsidTr="00B952BD">
        <w:trPr>
          <w:trHeight w:val="20"/>
        </w:trPr>
        <w:tc>
          <w:tcPr>
            <w:tcW w:w="4113" w:type="dxa"/>
            <w:gridSpan w:val="2"/>
            <w:tcBorders>
              <w:top w:val="nil"/>
              <w:left w:val="nil"/>
              <w:bottom w:val="nil"/>
              <w:right w:val="nil"/>
            </w:tcBorders>
            <w:shd w:val="clear" w:color="auto" w:fill="FFFFFF"/>
          </w:tcPr>
          <w:p w14:paraId="42BC6C7A" w14:textId="77777777" w:rsidR="00D97EF6" w:rsidRPr="00711B22" w:rsidRDefault="00D97EF6" w:rsidP="00B952BD">
            <w:pPr>
              <w:pStyle w:val="Table"/>
            </w:pPr>
            <w:r>
              <w:t xml:space="preserve">    </w:t>
            </w:r>
            <w:r w:rsidRPr="00711B22">
              <w:t>Congestive heart failure</w:t>
            </w:r>
          </w:p>
        </w:tc>
        <w:tc>
          <w:tcPr>
            <w:tcW w:w="3375" w:type="dxa"/>
            <w:tcBorders>
              <w:top w:val="nil"/>
              <w:left w:val="nil"/>
              <w:bottom w:val="nil"/>
              <w:right w:val="nil"/>
            </w:tcBorders>
            <w:shd w:val="clear" w:color="auto" w:fill="FFFFFF"/>
          </w:tcPr>
          <w:p w14:paraId="519A4DD3" w14:textId="77777777" w:rsidR="00D97EF6" w:rsidRPr="00711B22" w:rsidRDefault="00D97EF6" w:rsidP="00B952BD">
            <w:pPr>
              <w:pStyle w:val="Table"/>
            </w:pPr>
            <w:r w:rsidRPr="00711B22">
              <w:rPr>
                <w:b/>
                <w:bCs/>
              </w:rPr>
              <w:t xml:space="preserve">+ </w:t>
            </w:r>
            <w:r w:rsidRPr="00711B22">
              <w:t>10</w:t>
            </w:r>
          </w:p>
        </w:tc>
      </w:tr>
      <w:tr w:rsidR="00D97EF6" w:rsidRPr="00711B22" w14:paraId="67E646BA" w14:textId="77777777" w:rsidTr="00B952BD">
        <w:trPr>
          <w:trHeight w:val="20"/>
        </w:trPr>
        <w:tc>
          <w:tcPr>
            <w:tcW w:w="4113" w:type="dxa"/>
            <w:gridSpan w:val="2"/>
            <w:tcBorders>
              <w:top w:val="nil"/>
              <w:left w:val="nil"/>
              <w:bottom w:val="nil"/>
              <w:right w:val="nil"/>
            </w:tcBorders>
            <w:shd w:val="clear" w:color="auto" w:fill="FFFFFF"/>
          </w:tcPr>
          <w:p w14:paraId="052D93E8" w14:textId="77777777" w:rsidR="00D97EF6" w:rsidRPr="00711B22" w:rsidRDefault="00D97EF6" w:rsidP="00B952BD">
            <w:pPr>
              <w:pStyle w:val="Table"/>
            </w:pPr>
            <w:r>
              <w:t xml:space="preserve">    </w:t>
            </w:r>
            <w:r w:rsidRPr="00711B22">
              <w:t>Cerebrovascular disease</w:t>
            </w:r>
          </w:p>
        </w:tc>
        <w:tc>
          <w:tcPr>
            <w:tcW w:w="3375" w:type="dxa"/>
            <w:tcBorders>
              <w:top w:val="nil"/>
              <w:left w:val="nil"/>
              <w:bottom w:val="nil"/>
              <w:right w:val="nil"/>
            </w:tcBorders>
            <w:shd w:val="clear" w:color="auto" w:fill="FFFFFF"/>
          </w:tcPr>
          <w:p w14:paraId="408FCE33" w14:textId="77777777" w:rsidR="00D97EF6" w:rsidRPr="00711B22" w:rsidRDefault="00D97EF6" w:rsidP="00B952BD">
            <w:pPr>
              <w:pStyle w:val="Table"/>
            </w:pPr>
            <w:r w:rsidRPr="00711B22">
              <w:rPr>
                <w:b/>
                <w:bCs/>
              </w:rPr>
              <w:t xml:space="preserve">+ </w:t>
            </w:r>
            <w:r w:rsidRPr="00711B22">
              <w:t>10</w:t>
            </w:r>
          </w:p>
        </w:tc>
      </w:tr>
      <w:tr w:rsidR="00D97EF6" w:rsidRPr="00711B22" w14:paraId="68CF4C88" w14:textId="77777777" w:rsidTr="00B952BD">
        <w:trPr>
          <w:trHeight w:val="20"/>
        </w:trPr>
        <w:tc>
          <w:tcPr>
            <w:tcW w:w="4113" w:type="dxa"/>
            <w:gridSpan w:val="2"/>
            <w:tcBorders>
              <w:top w:val="nil"/>
              <w:left w:val="nil"/>
              <w:bottom w:val="nil"/>
              <w:right w:val="nil"/>
            </w:tcBorders>
            <w:shd w:val="clear" w:color="auto" w:fill="FFFFFF"/>
          </w:tcPr>
          <w:p w14:paraId="0834435C" w14:textId="77777777" w:rsidR="00D97EF6" w:rsidRPr="00711B22" w:rsidRDefault="00D97EF6" w:rsidP="00B952BD">
            <w:pPr>
              <w:pStyle w:val="Table"/>
            </w:pPr>
            <w:r>
              <w:t xml:space="preserve">    </w:t>
            </w:r>
            <w:r w:rsidRPr="00711B22">
              <w:t>Renal disease</w:t>
            </w:r>
          </w:p>
        </w:tc>
        <w:tc>
          <w:tcPr>
            <w:tcW w:w="3375" w:type="dxa"/>
            <w:tcBorders>
              <w:top w:val="nil"/>
              <w:left w:val="nil"/>
              <w:bottom w:val="nil"/>
              <w:right w:val="nil"/>
            </w:tcBorders>
            <w:shd w:val="clear" w:color="auto" w:fill="FFFFFF"/>
          </w:tcPr>
          <w:p w14:paraId="5808E894" w14:textId="77777777" w:rsidR="00D97EF6" w:rsidRPr="00711B22" w:rsidRDefault="00D97EF6" w:rsidP="00B952BD">
            <w:pPr>
              <w:pStyle w:val="Table"/>
            </w:pPr>
            <w:r w:rsidRPr="00711B22">
              <w:rPr>
                <w:b/>
                <w:bCs/>
              </w:rPr>
              <w:t xml:space="preserve">+ </w:t>
            </w:r>
            <w:r w:rsidRPr="00711B22">
              <w:t>10</w:t>
            </w:r>
          </w:p>
        </w:tc>
      </w:tr>
      <w:tr w:rsidR="00D97EF6" w:rsidRPr="00711B22" w14:paraId="31F30951" w14:textId="77777777" w:rsidTr="00B952BD">
        <w:trPr>
          <w:trHeight w:val="20"/>
        </w:trPr>
        <w:tc>
          <w:tcPr>
            <w:tcW w:w="4113" w:type="dxa"/>
            <w:gridSpan w:val="2"/>
            <w:tcBorders>
              <w:top w:val="nil"/>
              <w:left w:val="nil"/>
              <w:bottom w:val="nil"/>
              <w:right w:val="nil"/>
            </w:tcBorders>
            <w:shd w:val="clear" w:color="auto" w:fill="FFFFFF"/>
          </w:tcPr>
          <w:p w14:paraId="73B7E448" w14:textId="77777777" w:rsidR="00D97EF6" w:rsidRPr="00DA0078" w:rsidRDefault="00D97EF6" w:rsidP="00B952BD">
            <w:pPr>
              <w:pStyle w:val="Table"/>
            </w:pPr>
            <w:r w:rsidRPr="00DA0078">
              <w:t>Physical-examination findings</w:t>
            </w:r>
          </w:p>
        </w:tc>
        <w:tc>
          <w:tcPr>
            <w:tcW w:w="3375" w:type="dxa"/>
            <w:tcBorders>
              <w:top w:val="nil"/>
              <w:left w:val="nil"/>
              <w:bottom w:val="nil"/>
              <w:right w:val="nil"/>
            </w:tcBorders>
            <w:shd w:val="clear" w:color="auto" w:fill="FFFFFF"/>
          </w:tcPr>
          <w:p w14:paraId="70BD870E" w14:textId="77777777" w:rsidR="00D97EF6" w:rsidRPr="00711B22" w:rsidRDefault="00D97EF6" w:rsidP="00B952BD">
            <w:pPr>
              <w:pStyle w:val="Table"/>
            </w:pPr>
          </w:p>
        </w:tc>
      </w:tr>
      <w:tr w:rsidR="00D97EF6" w:rsidRPr="00711B22" w14:paraId="703A61F0" w14:textId="77777777" w:rsidTr="00B952BD">
        <w:trPr>
          <w:trHeight w:val="20"/>
        </w:trPr>
        <w:tc>
          <w:tcPr>
            <w:tcW w:w="4113" w:type="dxa"/>
            <w:gridSpan w:val="2"/>
            <w:tcBorders>
              <w:top w:val="nil"/>
              <w:left w:val="nil"/>
              <w:bottom w:val="nil"/>
              <w:right w:val="nil"/>
            </w:tcBorders>
            <w:shd w:val="clear" w:color="auto" w:fill="FFFFFF"/>
          </w:tcPr>
          <w:p w14:paraId="53B92B30" w14:textId="77777777" w:rsidR="00D97EF6" w:rsidRPr="00711B22" w:rsidRDefault="00D97EF6" w:rsidP="00B952BD">
            <w:pPr>
              <w:pStyle w:val="Table"/>
            </w:pPr>
            <w:r>
              <w:t xml:space="preserve">     </w:t>
            </w:r>
            <w:r w:rsidRPr="00711B22">
              <w:t>Altered mental status</w:t>
            </w:r>
          </w:p>
        </w:tc>
        <w:tc>
          <w:tcPr>
            <w:tcW w:w="3375" w:type="dxa"/>
            <w:tcBorders>
              <w:top w:val="nil"/>
              <w:left w:val="nil"/>
              <w:bottom w:val="nil"/>
              <w:right w:val="nil"/>
            </w:tcBorders>
            <w:shd w:val="clear" w:color="auto" w:fill="FFFFFF"/>
          </w:tcPr>
          <w:p w14:paraId="01BAA436" w14:textId="77777777" w:rsidR="00D97EF6" w:rsidRPr="00711B22" w:rsidRDefault="00D97EF6" w:rsidP="00B952BD">
            <w:pPr>
              <w:pStyle w:val="Table"/>
            </w:pPr>
            <w:r w:rsidRPr="00711B22">
              <w:t>+</w:t>
            </w:r>
            <w:r>
              <w:t xml:space="preserve"> </w:t>
            </w:r>
            <w:r w:rsidRPr="00711B22">
              <w:t>20</w:t>
            </w:r>
          </w:p>
        </w:tc>
      </w:tr>
      <w:tr w:rsidR="00D97EF6" w:rsidRPr="00711B22" w14:paraId="232D16F2" w14:textId="77777777" w:rsidTr="00B952BD">
        <w:trPr>
          <w:trHeight w:val="20"/>
        </w:trPr>
        <w:tc>
          <w:tcPr>
            <w:tcW w:w="4113" w:type="dxa"/>
            <w:gridSpan w:val="2"/>
            <w:tcBorders>
              <w:top w:val="nil"/>
              <w:left w:val="nil"/>
              <w:bottom w:val="nil"/>
              <w:right w:val="nil"/>
            </w:tcBorders>
            <w:shd w:val="clear" w:color="auto" w:fill="FFFFFF"/>
          </w:tcPr>
          <w:p w14:paraId="0ACC287B" w14:textId="77777777" w:rsidR="00D97EF6" w:rsidRPr="00711B22" w:rsidRDefault="00D97EF6" w:rsidP="00B952BD">
            <w:pPr>
              <w:pStyle w:val="Table"/>
            </w:pPr>
            <w:r>
              <w:t xml:space="preserve">     </w:t>
            </w:r>
            <w:r w:rsidRPr="00711B22">
              <w:t>Respiratory rate ≥30/min</w:t>
            </w:r>
          </w:p>
        </w:tc>
        <w:tc>
          <w:tcPr>
            <w:tcW w:w="3375" w:type="dxa"/>
            <w:tcBorders>
              <w:top w:val="nil"/>
              <w:left w:val="nil"/>
              <w:bottom w:val="nil"/>
              <w:right w:val="nil"/>
            </w:tcBorders>
            <w:shd w:val="clear" w:color="auto" w:fill="FFFFFF"/>
          </w:tcPr>
          <w:p w14:paraId="5539BDA4" w14:textId="77777777" w:rsidR="00D97EF6" w:rsidRPr="00711B22" w:rsidRDefault="00D97EF6" w:rsidP="00B952BD">
            <w:pPr>
              <w:pStyle w:val="Table"/>
            </w:pPr>
            <w:r w:rsidRPr="00711B22">
              <w:t>+</w:t>
            </w:r>
            <w:r>
              <w:t xml:space="preserve"> </w:t>
            </w:r>
            <w:r w:rsidRPr="00711B22">
              <w:t>20</w:t>
            </w:r>
          </w:p>
        </w:tc>
      </w:tr>
      <w:tr w:rsidR="00D97EF6" w:rsidRPr="00711B22" w14:paraId="54D9751C" w14:textId="77777777" w:rsidTr="00B952BD">
        <w:trPr>
          <w:trHeight w:val="20"/>
        </w:trPr>
        <w:tc>
          <w:tcPr>
            <w:tcW w:w="4113" w:type="dxa"/>
            <w:gridSpan w:val="2"/>
            <w:tcBorders>
              <w:top w:val="nil"/>
              <w:left w:val="nil"/>
              <w:bottom w:val="nil"/>
              <w:right w:val="nil"/>
            </w:tcBorders>
            <w:shd w:val="clear" w:color="auto" w:fill="FFFFFF"/>
          </w:tcPr>
          <w:p w14:paraId="13D5F7A4" w14:textId="77777777" w:rsidR="00D97EF6" w:rsidRPr="00711B22" w:rsidRDefault="00D97EF6" w:rsidP="00B952BD">
            <w:pPr>
              <w:pStyle w:val="Table"/>
            </w:pPr>
            <w:r>
              <w:t xml:space="preserve">     </w:t>
            </w:r>
            <w:r w:rsidRPr="00DA0078">
              <w:t xml:space="preserve">Systolic blood pressure </w:t>
            </w:r>
            <w:r w:rsidRPr="00711B22">
              <w:rPr>
                <w:i/>
                <w:iCs/>
                <w:spacing w:val="-2"/>
              </w:rPr>
              <w:t>&lt;</w:t>
            </w:r>
            <w:r w:rsidRPr="00DA0078">
              <w:t xml:space="preserve">90 mm </w:t>
            </w:r>
            <w:r w:rsidRPr="00711B22">
              <w:rPr>
                <w:lang w:val="sq-AL"/>
              </w:rPr>
              <w:t>Hg</w:t>
            </w:r>
          </w:p>
        </w:tc>
        <w:tc>
          <w:tcPr>
            <w:tcW w:w="3375" w:type="dxa"/>
            <w:tcBorders>
              <w:top w:val="nil"/>
              <w:left w:val="nil"/>
              <w:bottom w:val="nil"/>
              <w:right w:val="nil"/>
            </w:tcBorders>
            <w:shd w:val="clear" w:color="auto" w:fill="FFFFFF"/>
          </w:tcPr>
          <w:p w14:paraId="128A0B20" w14:textId="77777777" w:rsidR="00D97EF6" w:rsidRPr="00711B22" w:rsidRDefault="00D97EF6" w:rsidP="00B952BD">
            <w:pPr>
              <w:pStyle w:val="Table"/>
            </w:pPr>
            <w:r w:rsidRPr="00711B22">
              <w:t>+</w:t>
            </w:r>
            <w:r>
              <w:t xml:space="preserve"> </w:t>
            </w:r>
            <w:r w:rsidRPr="00711B22">
              <w:t>20</w:t>
            </w:r>
          </w:p>
        </w:tc>
      </w:tr>
      <w:tr w:rsidR="00D97EF6" w:rsidRPr="00711B22" w14:paraId="049969C8" w14:textId="77777777" w:rsidTr="00B952BD">
        <w:trPr>
          <w:trHeight w:val="20"/>
        </w:trPr>
        <w:tc>
          <w:tcPr>
            <w:tcW w:w="4113" w:type="dxa"/>
            <w:gridSpan w:val="2"/>
            <w:tcBorders>
              <w:top w:val="nil"/>
              <w:left w:val="nil"/>
              <w:bottom w:val="nil"/>
              <w:right w:val="nil"/>
            </w:tcBorders>
            <w:shd w:val="clear" w:color="auto" w:fill="FFFFFF"/>
          </w:tcPr>
          <w:p w14:paraId="356E8CA3" w14:textId="7FF43889" w:rsidR="00D97EF6" w:rsidRPr="00711B22" w:rsidRDefault="00D97EF6" w:rsidP="00B952BD">
            <w:pPr>
              <w:pStyle w:val="Table"/>
            </w:pPr>
            <w:r>
              <w:t xml:space="preserve">     </w:t>
            </w:r>
            <w:r w:rsidRPr="00711B22">
              <w:t xml:space="preserve">Temperature </w:t>
            </w:r>
            <w:r w:rsidRPr="00271664">
              <w:rPr>
                <w:rStyle w:val="NormalWebChar"/>
              </w:rPr>
              <w:t>&lt;</w:t>
            </w:r>
            <w:r w:rsidRPr="00711B22">
              <w:t>35</w:t>
            </w:r>
            <w:r w:rsidR="00C55151">
              <w:t>°</w:t>
            </w:r>
            <w:r w:rsidRPr="00711B22">
              <w:t>C or ≥40</w:t>
            </w:r>
            <w:r w:rsidR="00C55151">
              <w:t>°</w:t>
            </w:r>
            <w:r w:rsidRPr="00711B22">
              <w:t>C</w:t>
            </w:r>
          </w:p>
        </w:tc>
        <w:tc>
          <w:tcPr>
            <w:tcW w:w="3375" w:type="dxa"/>
            <w:tcBorders>
              <w:top w:val="nil"/>
              <w:left w:val="nil"/>
              <w:bottom w:val="nil"/>
              <w:right w:val="nil"/>
            </w:tcBorders>
            <w:shd w:val="clear" w:color="auto" w:fill="FFFFFF"/>
          </w:tcPr>
          <w:p w14:paraId="6D161E68" w14:textId="77777777" w:rsidR="00D97EF6" w:rsidRPr="00711B22" w:rsidRDefault="00D97EF6" w:rsidP="00B952BD">
            <w:pPr>
              <w:pStyle w:val="Table"/>
            </w:pPr>
            <w:r w:rsidRPr="00711B22">
              <w:rPr>
                <w:b/>
                <w:bCs/>
              </w:rPr>
              <w:t xml:space="preserve">+ </w:t>
            </w:r>
            <w:r w:rsidRPr="00711B22">
              <w:t>15</w:t>
            </w:r>
          </w:p>
        </w:tc>
      </w:tr>
      <w:tr w:rsidR="00D97EF6" w:rsidRPr="00711B22" w14:paraId="354D6640" w14:textId="77777777" w:rsidTr="00B952BD">
        <w:trPr>
          <w:trHeight w:val="20"/>
        </w:trPr>
        <w:tc>
          <w:tcPr>
            <w:tcW w:w="4113" w:type="dxa"/>
            <w:gridSpan w:val="2"/>
            <w:tcBorders>
              <w:top w:val="nil"/>
              <w:left w:val="nil"/>
              <w:bottom w:val="nil"/>
              <w:right w:val="nil"/>
            </w:tcBorders>
            <w:shd w:val="clear" w:color="auto" w:fill="FFFFFF"/>
          </w:tcPr>
          <w:p w14:paraId="0C7BC3A6" w14:textId="77777777" w:rsidR="00D97EF6" w:rsidRPr="00711B22" w:rsidRDefault="00D97EF6" w:rsidP="00B952BD">
            <w:pPr>
              <w:pStyle w:val="Table"/>
            </w:pPr>
            <w:r>
              <w:t xml:space="preserve">     </w:t>
            </w:r>
            <w:r w:rsidRPr="00711B22">
              <w:t>Pulse ≥125/min</w:t>
            </w:r>
          </w:p>
        </w:tc>
        <w:tc>
          <w:tcPr>
            <w:tcW w:w="3375" w:type="dxa"/>
            <w:tcBorders>
              <w:top w:val="nil"/>
              <w:left w:val="nil"/>
              <w:bottom w:val="nil"/>
              <w:right w:val="nil"/>
            </w:tcBorders>
            <w:shd w:val="clear" w:color="auto" w:fill="FFFFFF"/>
          </w:tcPr>
          <w:p w14:paraId="030D6E4E" w14:textId="77777777" w:rsidR="00D97EF6" w:rsidRPr="00711B22" w:rsidRDefault="00D97EF6" w:rsidP="00B952BD">
            <w:pPr>
              <w:pStyle w:val="Table"/>
            </w:pPr>
            <w:r w:rsidRPr="00711B22">
              <w:rPr>
                <w:b/>
                <w:bCs/>
              </w:rPr>
              <w:t xml:space="preserve">+ </w:t>
            </w:r>
            <w:r w:rsidRPr="00711B22">
              <w:t>10</w:t>
            </w:r>
          </w:p>
        </w:tc>
      </w:tr>
      <w:tr w:rsidR="00D97EF6" w:rsidRPr="00711B22" w14:paraId="3C38F6C5" w14:textId="77777777" w:rsidTr="00B952BD">
        <w:trPr>
          <w:trHeight w:val="20"/>
        </w:trPr>
        <w:tc>
          <w:tcPr>
            <w:tcW w:w="4113" w:type="dxa"/>
            <w:gridSpan w:val="2"/>
            <w:tcBorders>
              <w:top w:val="nil"/>
              <w:left w:val="nil"/>
              <w:bottom w:val="nil"/>
              <w:right w:val="nil"/>
            </w:tcBorders>
            <w:shd w:val="clear" w:color="auto" w:fill="FFFFFF"/>
          </w:tcPr>
          <w:p w14:paraId="75587CC4" w14:textId="77777777" w:rsidR="00D97EF6" w:rsidRPr="00711B22" w:rsidRDefault="00D97EF6" w:rsidP="00B952BD">
            <w:pPr>
              <w:pStyle w:val="Table"/>
            </w:pPr>
            <w:r w:rsidRPr="00711B22">
              <w:t>Laboratory and radiographic findings</w:t>
            </w:r>
          </w:p>
        </w:tc>
        <w:tc>
          <w:tcPr>
            <w:tcW w:w="3375" w:type="dxa"/>
            <w:tcBorders>
              <w:top w:val="nil"/>
              <w:left w:val="nil"/>
              <w:bottom w:val="nil"/>
              <w:right w:val="nil"/>
            </w:tcBorders>
            <w:shd w:val="clear" w:color="auto" w:fill="FFFFFF"/>
          </w:tcPr>
          <w:p w14:paraId="5EB7620A" w14:textId="77777777" w:rsidR="00D97EF6" w:rsidRPr="00711B22" w:rsidRDefault="00D97EF6" w:rsidP="00B952BD">
            <w:pPr>
              <w:pStyle w:val="Table"/>
            </w:pPr>
          </w:p>
        </w:tc>
      </w:tr>
      <w:tr w:rsidR="00D97EF6" w:rsidRPr="00711B22" w14:paraId="6B594DF5" w14:textId="77777777" w:rsidTr="00B952BD">
        <w:trPr>
          <w:trHeight w:val="20"/>
        </w:trPr>
        <w:tc>
          <w:tcPr>
            <w:tcW w:w="4095" w:type="dxa"/>
            <w:tcBorders>
              <w:top w:val="nil"/>
              <w:left w:val="nil"/>
              <w:bottom w:val="nil"/>
              <w:right w:val="nil"/>
            </w:tcBorders>
            <w:shd w:val="clear" w:color="auto" w:fill="FFFFFF"/>
          </w:tcPr>
          <w:p w14:paraId="705FB4F0" w14:textId="77777777" w:rsidR="00D97EF6" w:rsidRPr="00711B22" w:rsidRDefault="00D97EF6" w:rsidP="00B952BD">
            <w:pPr>
              <w:pStyle w:val="Table"/>
            </w:pPr>
            <w:r>
              <w:t xml:space="preserve">     </w:t>
            </w:r>
            <w:r w:rsidRPr="00711B22">
              <w:t xml:space="preserve">Arterial pH </w:t>
            </w:r>
            <w:r w:rsidRPr="00703A9E">
              <w:t>&lt;</w:t>
            </w:r>
            <w:r w:rsidRPr="00711B22">
              <w:t>7.35</w:t>
            </w:r>
          </w:p>
        </w:tc>
        <w:tc>
          <w:tcPr>
            <w:tcW w:w="3393" w:type="dxa"/>
            <w:gridSpan w:val="2"/>
            <w:tcBorders>
              <w:top w:val="nil"/>
              <w:left w:val="nil"/>
              <w:bottom w:val="nil"/>
              <w:right w:val="nil"/>
            </w:tcBorders>
            <w:shd w:val="clear" w:color="auto" w:fill="FFFFFF"/>
          </w:tcPr>
          <w:p w14:paraId="22AD3F12" w14:textId="77777777" w:rsidR="00D97EF6" w:rsidRPr="00711B22" w:rsidRDefault="00D97EF6" w:rsidP="00B952BD">
            <w:pPr>
              <w:pStyle w:val="Table"/>
            </w:pPr>
            <w:r w:rsidRPr="00711B22">
              <w:t>+</w:t>
            </w:r>
            <w:r>
              <w:t xml:space="preserve"> </w:t>
            </w:r>
            <w:r w:rsidRPr="00711B22">
              <w:t>30</w:t>
            </w:r>
          </w:p>
        </w:tc>
      </w:tr>
      <w:tr w:rsidR="00D97EF6" w:rsidRPr="00711B22" w14:paraId="67EF760F" w14:textId="77777777" w:rsidTr="00B952BD">
        <w:trPr>
          <w:trHeight w:val="20"/>
        </w:trPr>
        <w:tc>
          <w:tcPr>
            <w:tcW w:w="4095" w:type="dxa"/>
            <w:tcBorders>
              <w:top w:val="nil"/>
              <w:left w:val="nil"/>
              <w:bottom w:val="nil"/>
              <w:right w:val="nil"/>
            </w:tcBorders>
            <w:shd w:val="clear" w:color="auto" w:fill="FFFFFF"/>
          </w:tcPr>
          <w:p w14:paraId="5C10A797" w14:textId="77777777" w:rsidR="00D97EF6" w:rsidRPr="00DA0078" w:rsidRDefault="00D97EF6" w:rsidP="00B952BD">
            <w:pPr>
              <w:pStyle w:val="Table"/>
            </w:pPr>
            <w:r>
              <w:t xml:space="preserve">     </w:t>
            </w:r>
            <w:r w:rsidRPr="00DA0078">
              <w:t>Blood urea nitrogen ≥30 mg/dL</w:t>
            </w:r>
          </w:p>
        </w:tc>
        <w:tc>
          <w:tcPr>
            <w:tcW w:w="3393" w:type="dxa"/>
            <w:gridSpan w:val="2"/>
            <w:tcBorders>
              <w:top w:val="nil"/>
              <w:left w:val="nil"/>
              <w:bottom w:val="nil"/>
              <w:right w:val="nil"/>
            </w:tcBorders>
            <w:shd w:val="clear" w:color="auto" w:fill="FFFFFF"/>
          </w:tcPr>
          <w:p w14:paraId="05FA21CD" w14:textId="77777777" w:rsidR="00D97EF6" w:rsidRPr="00711B22" w:rsidRDefault="00D97EF6" w:rsidP="00B952BD">
            <w:pPr>
              <w:pStyle w:val="Table"/>
            </w:pPr>
            <w:r w:rsidRPr="00711B22">
              <w:t>+</w:t>
            </w:r>
            <w:r>
              <w:t xml:space="preserve"> </w:t>
            </w:r>
            <w:r w:rsidRPr="00711B22">
              <w:t>20</w:t>
            </w:r>
          </w:p>
        </w:tc>
      </w:tr>
      <w:tr w:rsidR="00D97EF6" w:rsidRPr="00711B22" w14:paraId="0D4BF3D5" w14:textId="77777777" w:rsidTr="00B952BD">
        <w:trPr>
          <w:trHeight w:val="20"/>
        </w:trPr>
        <w:tc>
          <w:tcPr>
            <w:tcW w:w="4095" w:type="dxa"/>
            <w:tcBorders>
              <w:top w:val="nil"/>
              <w:left w:val="nil"/>
              <w:bottom w:val="nil"/>
              <w:right w:val="nil"/>
            </w:tcBorders>
            <w:shd w:val="clear" w:color="auto" w:fill="FFFFFF"/>
          </w:tcPr>
          <w:p w14:paraId="68910D51" w14:textId="77777777" w:rsidR="00D97EF6" w:rsidRPr="00711B22" w:rsidRDefault="00D97EF6" w:rsidP="00B952BD">
            <w:pPr>
              <w:pStyle w:val="Table"/>
            </w:pPr>
            <w:r>
              <w:t xml:space="preserve">     </w:t>
            </w:r>
            <w:r w:rsidRPr="00711B22">
              <w:t xml:space="preserve">Sodium </w:t>
            </w:r>
            <w:r w:rsidRPr="00703A9E">
              <w:t>&lt;</w:t>
            </w:r>
            <w:r w:rsidRPr="00711B22">
              <w:t xml:space="preserve">130 </w:t>
            </w:r>
            <w:proofErr w:type="spellStart"/>
            <w:r w:rsidRPr="00711B22">
              <w:t>mEq</w:t>
            </w:r>
            <w:proofErr w:type="spellEnd"/>
            <w:r w:rsidRPr="00711B22">
              <w:t>/L</w:t>
            </w:r>
          </w:p>
        </w:tc>
        <w:tc>
          <w:tcPr>
            <w:tcW w:w="3393" w:type="dxa"/>
            <w:gridSpan w:val="2"/>
            <w:tcBorders>
              <w:top w:val="nil"/>
              <w:left w:val="nil"/>
              <w:bottom w:val="nil"/>
              <w:right w:val="nil"/>
            </w:tcBorders>
            <w:shd w:val="clear" w:color="auto" w:fill="FFFFFF"/>
          </w:tcPr>
          <w:p w14:paraId="1FB8BD89" w14:textId="77777777" w:rsidR="00D97EF6" w:rsidRPr="00711B22" w:rsidRDefault="00D97EF6" w:rsidP="00B952BD">
            <w:pPr>
              <w:pStyle w:val="Table"/>
            </w:pPr>
            <w:r w:rsidRPr="00711B22">
              <w:t>+</w:t>
            </w:r>
            <w:r>
              <w:t xml:space="preserve"> </w:t>
            </w:r>
            <w:r w:rsidRPr="00711B22">
              <w:t>20</w:t>
            </w:r>
          </w:p>
        </w:tc>
      </w:tr>
      <w:tr w:rsidR="00D97EF6" w:rsidRPr="00711B22" w14:paraId="24E81302" w14:textId="77777777" w:rsidTr="00B952BD">
        <w:trPr>
          <w:trHeight w:val="20"/>
        </w:trPr>
        <w:tc>
          <w:tcPr>
            <w:tcW w:w="4095" w:type="dxa"/>
            <w:tcBorders>
              <w:top w:val="nil"/>
              <w:left w:val="nil"/>
              <w:bottom w:val="nil"/>
              <w:right w:val="nil"/>
            </w:tcBorders>
            <w:shd w:val="clear" w:color="auto" w:fill="FFFFFF"/>
          </w:tcPr>
          <w:p w14:paraId="35D5FBA9" w14:textId="77777777" w:rsidR="00D97EF6" w:rsidRPr="00711B22" w:rsidRDefault="00D97EF6" w:rsidP="00B952BD">
            <w:pPr>
              <w:pStyle w:val="Table"/>
            </w:pPr>
            <w:r>
              <w:t xml:space="preserve">     </w:t>
            </w:r>
            <w:r w:rsidRPr="00711B22">
              <w:t>Glucose ≥250 mg/dL</w:t>
            </w:r>
          </w:p>
        </w:tc>
        <w:tc>
          <w:tcPr>
            <w:tcW w:w="3393" w:type="dxa"/>
            <w:gridSpan w:val="2"/>
            <w:tcBorders>
              <w:top w:val="nil"/>
              <w:left w:val="nil"/>
              <w:bottom w:val="nil"/>
              <w:right w:val="nil"/>
            </w:tcBorders>
            <w:shd w:val="clear" w:color="auto" w:fill="FFFFFF"/>
          </w:tcPr>
          <w:p w14:paraId="6D244E98" w14:textId="77777777" w:rsidR="00D97EF6" w:rsidRPr="00711B22" w:rsidRDefault="00D97EF6" w:rsidP="00B952BD">
            <w:pPr>
              <w:pStyle w:val="Table"/>
            </w:pPr>
            <w:r w:rsidRPr="00711B22">
              <w:rPr>
                <w:b/>
                <w:bCs/>
              </w:rPr>
              <w:t xml:space="preserve">+ </w:t>
            </w:r>
            <w:r w:rsidRPr="00711B22">
              <w:t>10</w:t>
            </w:r>
          </w:p>
        </w:tc>
      </w:tr>
      <w:tr w:rsidR="00D97EF6" w:rsidRPr="00711B22" w14:paraId="6B46A2AC" w14:textId="77777777" w:rsidTr="00B952BD">
        <w:trPr>
          <w:trHeight w:val="20"/>
        </w:trPr>
        <w:tc>
          <w:tcPr>
            <w:tcW w:w="4095" w:type="dxa"/>
            <w:tcBorders>
              <w:top w:val="nil"/>
              <w:left w:val="nil"/>
              <w:bottom w:val="nil"/>
              <w:right w:val="nil"/>
            </w:tcBorders>
            <w:shd w:val="clear" w:color="auto" w:fill="FFFFFF"/>
          </w:tcPr>
          <w:p w14:paraId="762DFBE1" w14:textId="77777777" w:rsidR="00D97EF6" w:rsidRPr="00711B22" w:rsidRDefault="00D97EF6" w:rsidP="00B952BD">
            <w:pPr>
              <w:pStyle w:val="Table"/>
            </w:pPr>
            <w:r>
              <w:rPr>
                <w:lang w:val="sq-AL"/>
              </w:rPr>
              <w:t xml:space="preserve">     </w:t>
            </w:r>
            <w:r w:rsidRPr="00711B22">
              <w:rPr>
                <w:lang w:val="sq-AL"/>
              </w:rPr>
              <w:t xml:space="preserve">Hematocrit </w:t>
            </w:r>
            <w:r w:rsidRPr="00703A9E">
              <w:t>&lt;</w:t>
            </w:r>
            <w:r w:rsidRPr="00711B22">
              <w:rPr>
                <w:lang w:val="sq-AL"/>
              </w:rPr>
              <w:t>30%</w:t>
            </w:r>
          </w:p>
        </w:tc>
        <w:tc>
          <w:tcPr>
            <w:tcW w:w="3393" w:type="dxa"/>
            <w:gridSpan w:val="2"/>
            <w:tcBorders>
              <w:top w:val="nil"/>
              <w:left w:val="nil"/>
              <w:bottom w:val="nil"/>
              <w:right w:val="nil"/>
            </w:tcBorders>
            <w:shd w:val="clear" w:color="auto" w:fill="FFFFFF"/>
          </w:tcPr>
          <w:p w14:paraId="5D24E3DE" w14:textId="77777777" w:rsidR="00D97EF6" w:rsidRPr="00711B22" w:rsidRDefault="00D97EF6" w:rsidP="00B952BD">
            <w:pPr>
              <w:pStyle w:val="Table"/>
            </w:pPr>
            <w:r w:rsidRPr="00711B22">
              <w:rPr>
                <w:b/>
                <w:bCs/>
              </w:rPr>
              <w:t xml:space="preserve">+ </w:t>
            </w:r>
            <w:r w:rsidRPr="00711B22">
              <w:t>10</w:t>
            </w:r>
          </w:p>
        </w:tc>
      </w:tr>
      <w:tr w:rsidR="00D97EF6" w:rsidRPr="00711B22" w14:paraId="69DBB278" w14:textId="77777777" w:rsidTr="00B952BD">
        <w:trPr>
          <w:trHeight w:val="20"/>
        </w:trPr>
        <w:tc>
          <w:tcPr>
            <w:tcW w:w="4095" w:type="dxa"/>
            <w:tcBorders>
              <w:top w:val="nil"/>
              <w:left w:val="nil"/>
              <w:bottom w:val="nil"/>
              <w:right w:val="nil"/>
            </w:tcBorders>
            <w:shd w:val="clear" w:color="auto" w:fill="FFFFFF"/>
          </w:tcPr>
          <w:p w14:paraId="0FDB9753" w14:textId="77777777" w:rsidR="00D97EF6" w:rsidRPr="00711B22" w:rsidRDefault="00D97EF6" w:rsidP="00B952BD">
            <w:pPr>
              <w:pStyle w:val="Table"/>
            </w:pPr>
            <w:r>
              <w:t xml:space="preserve">     </w:t>
            </w:r>
            <w:r w:rsidRPr="00DA0078">
              <w:t xml:space="preserve">Partial pressure of arterial oxygen </w:t>
            </w:r>
            <w:r w:rsidRPr="00703A9E">
              <w:t>&lt;</w:t>
            </w:r>
            <w:r w:rsidRPr="00711B22">
              <w:t>60 mm Hg</w:t>
            </w:r>
          </w:p>
        </w:tc>
        <w:tc>
          <w:tcPr>
            <w:tcW w:w="3393" w:type="dxa"/>
            <w:gridSpan w:val="2"/>
            <w:tcBorders>
              <w:top w:val="nil"/>
              <w:left w:val="nil"/>
              <w:bottom w:val="nil"/>
              <w:right w:val="nil"/>
            </w:tcBorders>
            <w:shd w:val="clear" w:color="auto" w:fill="FFFFFF"/>
          </w:tcPr>
          <w:p w14:paraId="764901EC" w14:textId="77777777" w:rsidR="00D97EF6" w:rsidRPr="00711B22" w:rsidRDefault="00D97EF6" w:rsidP="00B952BD">
            <w:pPr>
              <w:pStyle w:val="Table"/>
            </w:pPr>
            <w:r w:rsidRPr="00711B22">
              <w:rPr>
                <w:b/>
                <w:bCs/>
              </w:rPr>
              <w:t xml:space="preserve">+ </w:t>
            </w:r>
            <w:r w:rsidRPr="00711B22">
              <w:t>10</w:t>
            </w:r>
          </w:p>
        </w:tc>
      </w:tr>
      <w:tr w:rsidR="00D97EF6" w:rsidRPr="00711B22" w14:paraId="4D30CF28" w14:textId="77777777" w:rsidTr="00B952BD">
        <w:trPr>
          <w:trHeight w:val="20"/>
        </w:trPr>
        <w:tc>
          <w:tcPr>
            <w:tcW w:w="4095" w:type="dxa"/>
            <w:tcBorders>
              <w:top w:val="nil"/>
              <w:left w:val="nil"/>
              <w:bottom w:val="single" w:sz="6" w:space="0" w:color="auto"/>
              <w:right w:val="nil"/>
            </w:tcBorders>
            <w:shd w:val="clear" w:color="auto" w:fill="FFFFFF"/>
          </w:tcPr>
          <w:p w14:paraId="2C5A89A0" w14:textId="77777777" w:rsidR="00D97EF6" w:rsidRPr="00711B22" w:rsidRDefault="00D97EF6" w:rsidP="00B952BD">
            <w:pPr>
              <w:pStyle w:val="Table"/>
            </w:pPr>
            <w:r>
              <w:t xml:space="preserve">     </w:t>
            </w:r>
            <w:r w:rsidRPr="00711B22">
              <w:t>Pleural effusion</w:t>
            </w:r>
          </w:p>
        </w:tc>
        <w:tc>
          <w:tcPr>
            <w:tcW w:w="3393" w:type="dxa"/>
            <w:gridSpan w:val="2"/>
            <w:tcBorders>
              <w:top w:val="nil"/>
              <w:left w:val="nil"/>
              <w:bottom w:val="single" w:sz="6" w:space="0" w:color="auto"/>
              <w:right w:val="nil"/>
            </w:tcBorders>
            <w:shd w:val="clear" w:color="auto" w:fill="FFFFFF"/>
          </w:tcPr>
          <w:p w14:paraId="285E8569" w14:textId="77777777" w:rsidR="00D97EF6" w:rsidRPr="00711B22" w:rsidRDefault="00D97EF6" w:rsidP="00B952BD">
            <w:pPr>
              <w:pStyle w:val="Table"/>
            </w:pPr>
            <w:r>
              <w:t xml:space="preserve">+ </w:t>
            </w:r>
            <w:r w:rsidRPr="00711B22">
              <w:t>10</w:t>
            </w:r>
          </w:p>
        </w:tc>
      </w:tr>
    </w:tbl>
    <w:p w14:paraId="64880C58" w14:textId="77777777" w:rsidR="00D97EF6" w:rsidRDefault="00D97EF6" w:rsidP="00D97EF6">
      <w:pPr>
        <w:pStyle w:val="NormalWeb"/>
        <w:ind w:left="207" w:hanging="207"/>
      </w:pPr>
      <w:r w:rsidRPr="006D0488">
        <w:rPr>
          <w:i/>
          <w:vertAlign w:val="superscript"/>
        </w:rPr>
        <w:lastRenderedPageBreak/>
        <w:t>a</w:t>
      </w:r>
      <w:r w:rsidRPr="00711B22">
        <w:t xml:space="preserve"> </w:t>
      </w:r>
      <w:proofErr w:type="spellStart"/>
      <w:r w:rsidRPr="00711B22">
        <w:t>A</w:t>
      </w:r>
      <w:proofErr w:type="spellEnd"/>
      <w:r w:rsidRPr="00711B22">
        <w:t xml:space="preserve"> total point score for a given patient is obtained by summing the patient’s age in years</w:t>
      </w:r>
      <w:r>
        <w:t>, subtracting</w:t>
      </w:r>
      <w:r w:rsidRPr="00711B22">
        <w:t xml:space="preserve"> 10 for women</w:t>
      </w:r>
      <w:r>
        <w:t>, and adding</w:t>
      </w:r>
      <w:r w:rsidRPr="00711B22">
        <w:t xml:space="preserve"> the points for each applicable characteristic. The points assigned to each predictor variable were based on coefficients obtained from </w:t>
      </w:r>
      <w:r>
        <w:t>a</w:t>
      </w:r>
      <w:r w:rsidRPr="00711B22">
        <w:t xml:space="preserve"> logistic-regression model.</w:t>
      </w:r>
    </w:p>
    <w:p w14:paraId="23800BFD" w14:textId="5ED01A36" w:rsidR="003951CB" w:rsidRPr="00711B22" w:rsidRDefault="00B75DF3" w:rsidP="009801BE">
      <w:pPr>
        <w:pStyle w:val="NormalWeb"/>
        <w:spacing w:before="0" w:beforeAutospacing="0" w:after="0" w:afterAutospacing="0"/>
      </w:pPr>
      <w:r w:rsidRPr="009801BE">
        <w:rPr>
          <w:vertAlign w:val="superscript"/>
        </w:rPr>
        <w:t>d</w:t>
      </w:r>
      <w:r>
        <w:t xml:space="preserve"> </w:t>
      </w:r>
      <w:r w:rsidR="007E4D31" w:rsidRPr="00711B22">
        <w:t>This score includes two interaction terms. Male sex has an OR of 2.03 and age &gt;50 years has an OR of 1.95. Without an interaction term, the OR for being both male and over 50 would be 2.03 × 1.95 = 3.96. The OR of</w:t>
      </w:r>
      <w:r w:rsidR="00514649" w:rsidRPr="00711B22">
        <w:t xml:space="preserve"> </w:t>
      </w:r>
      <w:r w:rsidR="007E4D31" w:rsidRPr="00711B22">
        <w:t>0.65 for being both male and over 50 indicates that 3.96 is too high and that 0.65 × 3.96 = 2.57 is a better estimate.</w:t>
      </w:r>
    </w:p>
    <w:p w14:paraId="066775D8" w14:textId="6E34E61C" w:rsidR="00B75DF3" w:rsidRPr="00711B22" w:rsidRDefault="00A471B6" w:rsidP="00B75DF3">
      <w:pPr>
        <w:pStyle w:val="NormalWeb"/>
        <w:rPr>
          <w:i/>
        </w:rPr>
      </w:pPr>
      <w:r>
        <w:rPr>
          <w:b/>
        </w:rPr>
        <w:t>Table 7.8</w:t>
      </w:r>
      <w:r w:rsidR="00B75DF3" w:rsidRPr="00711B22">
        <w:rPr>
          <w:b/>
        </w:rPr>
        <w:t>.</w:t>
      </w:r>
      <w:r w:rsidR="00B75DF3" w:rsidRPr="00711B22">
        <w:t xml:space="preserve"> Mortality according to the PORT </w:t>
      </w:r>
      <w:proofErr w:type="spellStart"/>
      <w:r w:rsidR="00B75DF3" w:rsidRPr="00711B22">
        <w:t>score</w:t>
      </w:r>
      <w:r w:rsidR="00B75DF3" w:rsidRPr="0095148A">
        <w:rPr>
          <w:i/>
          <w:vertAlign w:val="superscript"/>
        </w:rPr>
        <w:t>a</w:t>
      </w:r>
      <w:proofErr w:type="spellEnd"/>
    </w:p>
    <w:tbl>
      <w:tblPr>
        <w:tblW w:w="0" w:type="auto"/>
        <w:tblInd w:w="40" w:type="dxa"/>
        <w:tblLayout w:type="fixed"/>
        <w:tblCellMar>
          <w:left w:w="40" w:type="dxa"/>
          <w:right w:w="40" w:type="dxa"/>
        </w:tblCellMar>
        <w:tblLook w:val="0000" w:firstRow="0" w:lastRow="0" w:firstColumn="0" w:lastColumn="0" w:noHBand="0" w:noVBand="0"/>
      </w:tblPr>
      <w:tblGrid>
        <w:gridCol w:w="1488"/>
        <w:gridCol w:w="3062"/>
      </w:tblGrid>
      <w:tr w:rsidR="00B75DF3" w:rsidRPr="00711B22" w14:paraId="5AE53779" w14:textId="77777777" w:rsidTr="00B75DF3">
        <w:trPr>
          <w:trHeight w:val="20"/>
        </w:trPr>
        <w:tc>
          <w:tcPr>
            <w:tcW w:w="1488" w:type="dxa"/>
            <w:tcBorders>
              <w:top w:val="single" w:sz="6" w:space="0" w:color="auto"/>
              <w:left w:val="nil"/>
              <w:bottom w:val="single" w:sz="6" w:space="0" w:color="auto"/>
              <w:right w:val="nil"/>
            </w:tcBorders>
            <w:shd w:val="clear" w:color="auto" w:fill="FFFFFF"/>
          </w:tcPr>
          <w:p w14:paraId="4A208FCC" w14:textId="77777777" w:rsidR="00B75DF3" w:rsidRPr="00711B22" w:rsidRDefault="00B75DF3" w:rsidP="002B03E3">
            <w:pPr>
              <w:pStyle w:val="Table"/>
            </w:pPr>
            <w:r w:rsidRPr="00711B22">
              <w:t>Score</w:t>
            </w:r>
          </w:p>
        </w:tc>
        <w:tc>
          <w:tcPr>
            <w:tcW w:w="3062" w:type="dxa"/>
            <w:tcBorders>
              <w:top w:val="single" w:sz="6" w:space="0" w:color="auto"/>
              <w:left w:val="nil"/>
              <w:bottom w:val="single" w:sz="6" w:space="0" w:color="auto"/>
              <w:right w:val="nil"/>
            </w:tcBorders>
            <w:shd w:val="clear" w:color="auto" w:fill="FFFFFF"/>
          </w:tcPr>
          <w:p w14:paraId="5E396504" w14:textId="77777777" w:rsidR="00B75DF3" w:rsidRPr="00711B22" w:rsidRDefault="00B75DF3" w:rsidP="00B75DF3">
            <w:pPr>
              <w:pStyle w:val="Table"/>
              <w:jc w:val="right"/>
            </w:pPr>
            <w:r w:rsidRPr="00711B22">
              <w:t>30-Day mortality</w:t>
            </w:r>
          </w:p>
        </w:tc>
      </w:tr>
      <w:tr w:rsidR="00B75DF3" w:rsidRPr="00711B22" w14:paraId="5B22BCF9" w14:textId="77777777" w:rsidTr="00B75DF3">
        <w:trPr>
          <w:trHeight w:val="20"/>
        </w:trPr>
        <w:tc>
          <w:tcPr>
            <w:tcW w:w="1488" w:type="dxa"/>
            <w:tcBorders>
              <w:top w:val="single" w:sz="6" w:space="0" w:color="auto"/>
              <w:left w:val="nil"/>
              <w:bottom w:val="nil"/>
              <w:right w:val="nil"/>
            </w:tcBorders>
            <w:shd w:val="clear" w:color="auto" w:fill="FFFFFF"/>
          </w:tcPr>
          <w:p w14:paraId="268E01D0" w14:textId="77777777" w:rsidR="00B75DF3" w:rsidRPr="00711B22" w:rsidRDefault="00B75DF3" w:rsidP="002B03E3">
            <w:pPr>
              <w:pStyle w:val="Table"/>
            </w:pPr>
            <w:r w:rsidRPr="00703A9E">
              <w:t>&lt;</w:t>
            </w:r>
            <w:r w:rsidRPr="00711B22">
              <w:rPr>
                <w:lang w:val="sq-AL"/>
              </w:rPr>
              <w:t>71</w:t>
            </w:r>
          </w:p>
        </w:tc>
        <w:tc>
          <w:tcPr>
            <w:tcW w:w="3062" w:type="dxa"/>
            <w:tcBorders>
              <w:top w:val="single" w:sz="6" w:space="0" w:color="auto"/>
              <w:left w:val="nil"/>
              <w:bottom w:val="nil"/>
              <w:right w:val="nil"/>
            </w:tcBorders>
            <w:shd w:val="clear" w:color="auto" w:fill="FFFFFF"/>
          </w:tcPr>
          <w:p w14:paraId="30E84EC6" w14:textId="77777777" w:rsidR="00B75DF3" w:rsidRPr="00711B22" w:rsidRDefault="00B75DF3" w:rsidP="002B03E3">
            <w:pPr>
              <w:pStyle w:val="Table"/>
              <w:ind w:right="800"/>
              <w:jc w:val="right"/>
            </w:pPr>
            <w:r w:rsidRPr="00711B22">
              <w:t>0.6%</w:t>
            </w:r>
          </w:p>
        </w:tc>
      </w:tr>
      <w:tr w:rsidR="00B75DF3" w:rsidRPr="00711B22" w14:paraId="6D67AB1C" w14:textId="77777777" w:rsidTr="00B75DF3">
        <w:trPr>
          <w:trHeight w:val="20"/>
        </w:trPr>
        <w:tc>
          <w:tcPr>
            <w:tcW w:w="1488" w:type="dxa"/>
            <w:tcBorders>
              <w:top w:val="nil"/>
              <w:left w:val="nil"/>
              <w:bottom w:val="nil"/>
              <w:right w:val="nil"/>
            </w:tcBorders>
            <w:shd w:val="clear" w:color="auto" w:fill="FFFFFF"/>
          </w:tcPr>
          <w:p w14:paraId="5EB87B64" w14:textId="77777777" w:rsidR="00B75DF3" w:rsidRPr="00711B22" w:rsidRDefault="00B75DF3" w:rsidP="002B03E3">
            <w:pPr>
              <w:pStyle w:val="Table"/>
            </w:pPr>
            <w:r w:rsidRPr="00711B22">
              <w:t>71−90</w:t>
            </w:r>
          </w:p>
        </w:tc>
        <w:tc>
          <w:tcPr>
            <w:tcW w:w="3062" w:type="dxa"/>
            <w:tcBorders>
              <w:top w:val="nil"/>
              <w:left w:val="nil"/>
              <w:bottom w:val="nil"/>
              <w:right w:val="nil"/>
            </w:tcBorders>
            <w:shd w:val="clear" w:color="auto" w:fill="FFFFFF"/>
          </w:tcPr>
          <w:p w14:paraId="66628A7C" w14:textId="77777777" w:rsidR="00B75DF3" w:rsidRPr="00711B22" w:rsidRDefault="00B75DF3" w:rsidP="002B03E3">
            <w:pPr>
              <w:pStyle w:val="Table"/>
              <w:ind w:right="800"/>
              <w:jc w:val="right"/>
            </w:pPr>
            <w:r w:rsidRPr="00711B22">
              <w:t>2.8%</w:t>
            </w:r>
          </w:p>
        </w:tc>
      </w:tr>
      <w:tr w:rsidR="00B75DF3" w:rsidRPr="00711B22" w14:paraId="73D30F00" w14:textId="77777777" w:rsidTr="00B75DF3">
        <w:trPr>
          <w:trHeight w:val="20"/>
        </w:trPr>
        <w:tc>
          <w:tcPr>
            <w:tcW w:w="1488" w:type="dxa"/>
            <w:tcBorders>
              <w:top w:val="nil"/>
              <w:left w:val="nil"/>
              <w:bottom w:val="nil"/>
              <w:right w:val="nil"/>
            </w:tcBorders>
            <w:shd w:val="clear" w:color="auto" w:fill="FFFFFF"/>
          </w:tcPr>
          <w:p w14:paraId="3D1C38E0" w14:textId="77777777" w:rsidR="00B75DF3" w:rsidRPr="00711B22" w:rsidRDefault="00B75DF3" w:rsidP="002B03E3">
            <w:pPr>
              <w:pStyle w:val="Table"/>
            </w:pPr>
            <w:r w:rsidRPr="00711B22">
              <w:t>91−130</w:t>
            </w:r>
          </w:p>
        </w:tc>
        <w:tc>
          <w:tcPr>
            <w:tcW w:w="3062" w:type="dxa"/>
            <w:tcBorders>
              <w:top w:val="nil"/>
              <w:left w:val="nil"/>
              <w:bottom w:val="nil"/>
              <w:right w:val="nil"/>
            </w:tcBorders>
            <w:shd w:val="clear" w:color="auto" w:fill="FFFFFF"/>
          </w:tcPr>
          <w:p w14:paraId="7EBEABD5" w14:textId="77777777" w:rsidR="00B75DF3" w:rsidRPr="00711B22" w:rsidRDefault="00B75DF3" w:rsidP="002B03E3">
            <w:pPr>
              <w:pStyle w:val="Table"/>
              <w:ind w:right="800"/>
              <w:jc w:val="right"/>
            </w:pPr>
            <w:r w:rsidRPr="00711B22">
              <w:t>8.2%</w:t>
            </w:r>
          </w:p>
        </w:tc>
      </w:tr>
      <w:tr w:rsidR="00B75DF3" w:rsidRPr="00711B22" w14:paraId="4D860821" w14:textId="77777777" w:rsidTr="00B75DF3">
        <w:trPr>
          <w:trHeight w:val="20"/>
        </w:trPr>
        <w:tc>
          <w:tcPr>
            <w:tcW w:w="1488" w:type="dxa"/>
            <w:tcBorders>
              <w:top w:val="nil"/>
              <w:left w:val="nil"/>
              <w:bottom w:val="nil"/>
              <w:right w:val="nil"/>
            </w:tcBorders>
            <w:shd w:val="clear" w:color="auto" w:fill="FFFFFF"/>
          </w:tcPr>
          <w:p w14:paraId="02F36053" w14:textId="77777777" w:rsidR="00B75DF3" w:rsidRPr="00711B22" w:rsidRDefault="00B75DF3" w:rsidP="002B03E3">
            <w:pPr>
              <w:pStyle w:val="Table"/>
            </w:pPr>
            <w:r w:rsidRPr="00703A9E">
              <w:t>&gt;</w:t>
            </w:r>
            <w:r w:rsidRPr="00711B22">
              <w:rPr>
                <w:lang w:val="sq-AL"/>
              </w:rPr>
              <w:t>130</w:t>
            </w:r>
          </w:p>
        </w:tc>
        <w:tc>
          <w:tcPr>
            <w:tcW w:w="3062" w:type="dxa"/>
            <w:tcBorders>
              <w:top w:val="nil"/>
              <w:left w:val="nil"/>
              <w:bottom w:val="nil"/>
              <w:right w:val="nil"/>
            </w:tcBorders>
            <w:shd w:val="clear" w:color="auto" w:fill="FFFFFF"/>
          </w:tcPr>
          <w:p w14:paraId="4DC3043A" w14:textId="54B1AD74" w:rsidR="00B75DF3" w:rsidRPr="00711B22" w:rsidRDefault="00B75DF3" w:rsidP="00B75DF3">
            <w:pPr>
              <w:pStyle w:val="Table"/>
              <w:ind w:right="800"/>
              <w:jc w:val="right"/>
            </w:pPr>
            <w:r w:rsidRPr="00711B22">
              <w:t>29.2%</w:t>
            </w:r>
          </w:p>
        </w:tc>
      </w:tr>
      <w:tr w:rsidR="00B75DF3" w:rsidRPr="00711B22" w14:paraId="1321109D" w14:textId="77777777" w:rsidTr="00B75DF3">
        <w:trPr>
          <w:trHeight w:val="20"/>
        </w:trPr>
        <w:tc>
          <w:tcPr>
            <w:tcW w:w="4550" w:type="dxa"/>
            <w:gridSpan w:val="2"/>
            <w:tcBorders>
              <w:top w:val="nil"/>
              <w:left w:val="nil"/>
              <w:bottom w:val="single" w:sz="6" w:space="0" w:color="auto"/>
              <w:right w:val="nil"/>
            </w:tcBorders>
            <w:shd w:val="clear" w:color="auto" w:fill="FFFFFF"/>
          </w:tcPr>
          <w:p w14:paraId="5B2AC6FF" w14:textId="7F337A09" w:rsidR="00B75DF3" w:rsidRPr="00711B22" w:rsidRDefault="00B75DF3" w:rsidP="00A839B2">
            <w:pPr>
              <w:pStyle w:val="Table"/>
              <w:ind w:right="800"/>
            </w:pPr>
            <w:proofErr w:type="spellStart"/>
            <w:r w:rsidRPr="009801BE">
              <w:rPr>
                <w:vertAlign w:val="superscript"/>
              </w:rPr>
              <w:t>a</w:t>
            </w:r>
            <w:r>
              <w:t>From</w:t>
            </w:r>
            <w:proofErr w:type="spellEnd"/>
            <w:r>
              <w:t xml:space="preserve"> Fine et al </w:t>
            </w:r>
            <w:r w:rsidR="00DA779C">
              <w:fldChar w:fldCharType="begin"/>
            </w:r>
            <w:r w:rsidR="00DA779C">
              <w:instrText xml:space="preserve"> ADDIN EN.CITE &lt;EndNote&gt;&lt;Cite&gt;&lt;Author&gt;Fine&lt;/Author&gt;&lt;Year&gt;1997&lt;/Year&gt;&lt;RecNum&gt;48&lt;/RecNum&gt;&lt;DisplayText&gt;[19]&lt;/DisplayText&gt;&lt;record&gt;&lt;rec-number&gt;48&lt;/rec-number&gt;&lt;foreign-keys&gt;&lt;key app="EN" db-id="0ftvff9p80fp5few5s05f5fw9rd9fefrdzer" timestamp="0"&gt;48&lt;/key&gt;&lt;/foreign-keys&gt;&lt;ref-type name="Journal Article"&gt;17&lt;/ref-type&gt;&lt;contributors&gt;&lt;authors&gt;&lt;author&gt;Fine, M. J.&lt;/author&gt;&lt;author&gt;Auble, T. E.&lt;/author&gt;&lt;author&gt;Yealy, D. M.&lt;/author&gt;&lt;author&gt;Hanusa, B. H.&lt;/author&gt;&lt;author&gt;Weissfeld, L. A.&lt;/author&gt;&lt;author&gt;Singer, D. E.&lt;/author&gt;&lt;author&gt;Coley, C. M.&lt;/author&gt;&lt;author&gt;Marrie, T. J.&lt;/author&gt;&lt;author&gt;Kapoor, W. N.&lt;/author&gt;&lt;/authors&gt;&lt;/contributors&gt;&lt;titles&gt;&lt;title&gt;A prediction rule to identify low-risk patients with community-acquired pneumonia [see comments]&lt;/title&gt;&lt;secondary-title&gt;N Engl J Med&lt;/secondary-title&gt;&lt;/titles&gt;&lt;periodical&gt;&lt;full-title&gt;N Engl J Med&lt;/full-title&gt;&lt;/periodical&gt;&lt;pages&gt;243-50&lt;/pages&gt;&lt;volume&gt;336&lt;/volume&gt;&lt;number&gt;4&lt;/number&gt;&lt;keywords&gt;&lt;keyword&gt;Adult&lt;/keyword&gt;&lt;keyword&gt;Age Factors&lt;/keyword&gt;&lt;keyword&gt;Aged&lt;/keyword&gt;&lt;keyword&gt;Cohort Studies&lt;/keyword&gt;&lt;keyword&gt;Community-Acquired Infections/classification/diagnosis/mortality&lt;/keyword&gt;&lt;keyword&gt;*Decision Support Techniques&lt;/keyword&gt;&lt;keyword&gt;Female&lt;/keyword&gt;&lt;keyword&gt;Hospitalization&lt;/keyword&gt;&lt;keyword&gt;Human&lt;/keyword&gt;&lt;keyword&gt;Male&lt;/keyword&gt;&lt;keyword&gt;Middle Age&lt;/keyword&gt;&lt;keyword&gt;Pneumonia/*classification/diagnosis/mortality&lt;/keyword&gt;&lt;keyword&gt;Prognosis&lt;/keyword&gt;&lt;keyword&gt;Risk Factors&lt;/keyword&gt;&lt;keyword&gt;ROC Curve&lt;/keyword&gt;&lt;keyword&gt;Severity of Illness Index&lt;/keyword&gt;&lt;keyword&gt;Support, U.S. Gov&amp;apos;t, P.H.S.&lt;/keyword&gt;&lt;/keywords&gt;&lt;dates&gt;&lt;year&gt;1997&lt;/year&gt;&lt;/dates&gt;&lt;label&gt;97136539&lt;/label&gt;&lt;urls&gt;&lt;/urls&gt;&lt;/record&gt;&lt;/Cite&gt;&lt;/EndNote&gt;</w:instrText>
            </w:r>
            <w:r w:rsidR="00DA779C">
              <w:fldChar w:fldCharType="separate"/>
            </w:r>
            <w:r w:rsidR="00DA779C">
              <w:rPr>
                <w:noProof/>
              </w:rPr>
              <w:t>[19]</w:t>
            </w:r>
            <w:r w:rsidR="00DA779C">
              <w:fldChar w:fldCharType="end"/>
            </w:r>
          </w:p>
        </w:tc>
      </w:tr>
    </w:tbl>
    <w:p w14:paraId="2CB15D9B" w14:textId="77777777" w:rsidR="00EF3776" w:rsidRPr="00711B22" w:rsidRDefault="007E4D31" w:rsidP="002A1305">
      <w:pPr>
        <w:pStyle w:val="Heading2"/>
      </w:pPr>
      <w:r w:rsidRPr="00711B22">
        <w:t>Selecting tests to include in a decision rule</w:t>
      </w:r>
    </w:p>
    <w:p w14:paraId="62F7EC68" w14:textId="53CEAD33" w:rsidR="008C2FBE" w:rsidRDefault="007E4D31" w:rsidP="00EF3776">
      <w:pPr>
        <w:pStyle w:val="NormalWeb"/>
      </w:pPr>
      <w:r w:rsidRPr="00711B22">
        <w:t xml:space="preserve">Thus far, we have focused on how to combine the results of several tests, not on which tests to include in a clinical </w:t>
      </w:r>
      <w:r w:rsidR="005E39F8">
        <w:t>prediction</w:t>
      </w:r>
      <w:r w:rsidR="005E39F8" w:rsidRPr="00711B22">
        <w:t xml:space="preserve"> </w:t>
      </w:r>
      <w:r w:rsidRPr="00711B22">
        <w:t xml:space="preserve">rule. We want to include those tests with the greatest ability to discriminate between D+ and D− individuals (at reasonable cost and risk). These are also the tests that we want to do </w:t>
      </w:r>
      <w:r w:rsidR="00191BDE" w:rsidRPr="00711B22">
        <w:t>fi</w:t>
      </w:r>
      <w:r w:rsidRPr="00711B22">
        <w:t xml:space="preserve">rst in a </w:t>
      </w:r>
      <w:r w:rsidR="00D74353">
        <w:t>classification tree</w:t>
      </w:r>
      <w:r w:rsidRPr="00711B22">
        <w:t xml:space="preserve">. </w:t>
      </w:r>
      <w:r w:rsidR="008C2FBE">
        <w:t xml:space="preserve"> </w:t>
      </w:r>
    </w:p>
    <w:p w14:paraId="75D2B30A" w14:textId="1DFDA3A3" w:rsidR="00B434F6" w:rsidRDefault="005E39F8" w:rsidP="00EF3776">
      <w:pPr>
        <w:pStyle w:val="NormalWeb"/>
      </w:pPr>
      <w:r>
        <w:t>M</w:t>
      </w:r>
      <w:r w:rsidR="000D0A1A">
        <w:t>any</w:t>
      </w:r>
      <w:r w:rsidR="007E4D31" w:rsidRPr="00711B22">
        <w:t xml:space="preserve"> candidate variables may be important in determining the probability of disease. In developing a clinical decision rule, we </w:t>
      </w:r>
      <w:r w:rsidR="004C504F">
        <w:t xml:space="preserve">often </w:t>
      </w:r>
      <w:r w:rsidR="007E4D31" w:rsidRPr="00711B22">
        <w:t>have to choose just a few of these variables. This variable selection is best done based on biological understanding and the results of past studies.</w:t>
      </w:r>
      <w:r w:rsidR="00DA779C">
        <w:fldChar w:fldCharType="begin"/>
      </w:r>
      <w:r w:rsidR="00DA779C">
        <w:instrText xml:space="preserve"> ADDIN EN.CITE &lt;EndNote&gt;&lt;Cite&gt;&lt;Author&gt;Stoltzfus&lt;/Author&gt;&lt;Year&gt;2011&lt;/Year&gt;&lt;RecNum&gt;1456&lt;/RecNum&gt;&lt;DisplayText&gt;[11]&lt;/DisplayText&gt;&lt;record&gt;&lt;rec-number&gt;1456&lt;/rec-number&gt;&lt;foreign-keys&gt;&lt;key app="EN" db-id="0ftvff9p80fp5few5s05f5fw9rd9fefrdzer" timestamp="1508270843"&gt;1456&lt;/key&gt;&lt;/foreign-keys&gt;&lt;ref-type name="Journal Article"&gt;17&lt;/ref-type&gt;&lt;contributors&gt;&lt;authors&gt;&lt;author&gt;Stoltzfus, J. C.&lt;/author&gt;&lt;/authors&gt;&lt;/contributors&gt;&lt;auth-address&gt;Research Institute, St. Luke&amp;apos;s Hospital and Health Network, Bethlehem, PA, USA. StoltzJ@slhn.org&lt;/auth-address&gt;&lt;titles&gt;&lt;title&gt;Logistic regression: a brief primer&lt;/title&gt;&lt;secondary-title&gt;Acad Emerg Med&lt;/secondary-title&gt;&lt;/titles&gt;&lt;periodical&gt;&lt;full-title&gt;Acad Emerg Med&lt;/full-title&gt;&lt;/periodical&gt;&lt;pages&gt;1099-104&lt;/pages&gt;&lt;volume&gt;18&lt;/volume&gt;&lt;number&gt;10&lt;/number&gt;&lt;keywords&gt;&lt;keyword&gt;*Biomedical Research&lt;/keyword&gt;&lt;keyword&gt;*Emergency Medicine&lt;/keyword&gt;&lt;keyword&gt;Humans&lt;/keyword&gt;&lt;keyword&gt;*Logistic Models&lt;/keyword&gt;&lt;keyword&gt;Models, Statistical&lt;/keyword&gt;&lt;keyword&gt;Research Design&lt;/keyword&gt;&lt;/keywords&gt;&lt;dates&gt;&lt;year&gt;2011&lt;/year&gt;&lt;pub-dates&gt;&lt;date&gt;Oct&lt;/date&gt;&lt;/pub-dates&gt;&lt;/dates&gt;&lt;isbn&gt;1553-2712 (Electronic)&amp;#xD;1069-6563 (Linking)&lt;/isbn&gt;&lt;accession-num&gt;21996075&lt;/accession-num&gt;&lt;urls&gt;&lt;related-urls&gt;&lt;url&gt;https://www.ncbi.nlm.nih.gov/pubmed/21996075&lt;/url&gt;&lt;/related-urls&gt;&lt;/urls&gt;&lt;electronic-resource-num&gt;10.1111/j.1553-2712.2011.01185.x&lt;/electronic-resource-num&gt;&lt;/record&gt;&lt;/Cite&gt;&lt;/EndNote&gt;</w:instrText>
      </w:r>
      <w:r w:rsidR="00DA779C">
        <w:fldChar w:fldCharType="separate"/>
      </w:r>
      <w:r w:rsidR="00DA779C">
        <w:rPr>
          <w:noProof/>
        </w:rPr>
        <w:t>[11]</w:t>
      </w:r>
      <w:r w:rsidR="00DA779C">
        <w:fldChar w:fldCharType="end"/>
      </w:r>
      <w:r w:rsidR="007E4D31" w:rsidRPr="00711B22">
        <w:t xml:space="preserve"> Often, however, research studies measure many predictor variables, and there is no strong basis for narrowing down the large number of candidate variables to the handful that provide the most predictive power. </w:t>
      </w:r>
      <w:r w:rsidR="00FB17EC">
        <w:t>Classification trees can help with this.  In the simplified case of using NBA and (dichotomized) NT to identify trisomy 21 fetuses, we saw that a decision threshold of 15% allowed us to drop NT from consideration.  After a positive NBA test, a negative NT could not move the probability below 15%, and after a negative NBA test, a positive NT could not move t</w:t>
      </w:r>
      <w:r w:rsidR="00B434F6">
        <w:t>he probability above 15%.</w:t>
      </w:r>
    </w:p>
    <w:p w14:paraId="2E603B92" w14:textId="7B5F4E34" w:rsidR="00B434F6" w:rsidRDefault="00B434F6" w:rsidP="00EF3776">
      <w:pPr>
        <w:pStyle w:val="NormalWeb"/>
      </w:pPr>
      <w:r>
        <w:t xml:space="preserve">When trying to </w:t>
      </w:r>
      <w:r w:rsidR="000D0A1A">
        <w:t>select</w:t>
      </w:r>
      <w:r>
        <w:t xml:space="preserve"> variables to include in a logistic regression model, some authors use </w:t>
      </w:r>
      <w:r w:rsidR="009B36F6">
        <w:t xml:space="preserve">a </w:t>
      </w:r>
      <w:r>
        <w:t>stepwise process.   T</w:t>
      </w:r>
      <w:r w:rsidR="007E4D31" w:rsidRPr="00711B22">
        <w:t>hey either start with a large number of variables in the model and remove the least statistically signi</w:t>
      </w:r>
      <w:r w:rsidR="00191BDE" w:rsidRPr="00711B22">
        <w:t>fi</w:t>
      </w:r>
      <w:r w:rsidR="007E4D31" w:rsidRPr="00711B22">
        <w:t>cant variables one at a time (backward) or start with no predictor variables and add variables one at a time, each time adding the one that is most signi</w:t>
      </w:r>
      <w:r w:rsidR="00191BDE" w:rsidRPr="00711B22">
        <w:t>fi</w:t>
      </w:r>
      <w:r w:rsidR="007E4D31" w:rsidRPr="00711B22">
        <w:t xml:space="preserve">cant (forward). </w:t>
      </w:r>
      <w:r>
        <w:t xml:space="preserve"> More recently</w:t>
      </w:r>
      <w:r w:rsidR="004018F3">
        <w:t>,</w:t>
      </w:r>
      <w:r>
        <w:t xml:space="preserve"> </w:t>
      </w:r>
      <w:r w:rsidR="00186CC5">
        <w:t xml:space="preserve">LASSO (Least Absolute Shrinkage and </w:t>
      </w:r>
      <w:r w:rsidR="00186CC5">
        <w:lastRenderedPageBreak/>
        <w:t>Selection Operator) regression has been used for variable s</w:t>
      </w:r>
      <w:r w:rsidR="006B2B1C">
        <w:t>election</w:t>
      </w:r>
      <w:r w:rsidR="00AE307A">
        <w:t>;</w:t>
      </w:r>
      <w:r w:rsidR="00DA779C">
        <w:fldChar w:fldCharType="begin"/>
      </w:r>
      <w:r w:rsidR="00DA779C">
        <w:instrText xml:space="preserve"> ADDIN EN.CITE &lt;EndNote&gt;&lt;Cite&gt;&lt;Author&gt;James&lt;/Author&gt;&lt;Year&gt;2013&lt;/Year&gt;&lt;RecNum&gt;1619&lt;/RecNum&gt;&lt;DisplayText&gt;[20]&lt;/DisplayText&gt;&lt;record&gt;&lt;rec-number&gt;1619&lt;/rec-number&gt;&lt;foreign-keys&gt;&lt;key app="EN" db-id="0ftvff9p80fp5few5s05f5fw9rd9fefrdzer" timestamp="1546236393"&gt;1619&lt;/key&gt;&lt;/foreign-keys&gt;&lt;ref-type name="Book Section"&gt;5&lt;/ref-type&gt;&lt;contributors&gt;&lt;authors&gt;&lt;author&gt;James, Gareth&lt;/author&gt;&lt;author&gt;Witten, Daniela&lt;/author&gt;&lt;author&gt;Hastie, Trevor&lt;/author&gt;&lt;author&gt;Tibshirani, Robert&lt;/author&gt;&lt;/authors&gt;&lt;/contributors&gt;&lt;titles&gt;&lt;title&gt;Chapter 6 Linear Model Selection and Regularization&lt;/title&gt;&lt;secondary-title&gt;An introduction to statistical learning : with applications in R&lt;/secondary-title&gt;&lt;/titles&gt;&lt;volume&gt;103&lt;/volume&gt;&lt;dates&gt;&lt;year&gt;2013&lt;/year&gt;&lt;/dates&gt;&lt;pub-location&gt;New York&lt;/pub-location&gt;&lt;publisher&gt;Springer&lt;/publisher&gt;&lt;urls&gt;&lt;/urls&gt;&lt;/record&gt;&lt;/Cite&gt;&lt;/EndNote&gt;</w:instrText>
      </w:r>
      <w:r w:rsidR="00DA779C">
        <w:fldChar w:fldCharType="separate"/>
      </w:r>
      <w:r w:rsidR="00DA779C">
        <w:rPr>
          <w:noProof/>
        </w:rPr>
        <w:t>[20]</w:t>
      </w:r>
      <w:r w:rsidR="00DA779C">
        <w:fldChar w:fldCharType="end"/>
      </w:r>
      <w:r w:rsidR="006B2B1C">
        <w:t xml:space="preserve"> details are beyond the scope of this book</w:t>
      </w:r>
      <w:r w:rsidR="008A46C5">
        <w:t>.</w:t>
      </w:r>
    </w:p>
    <w:p w14:paraId="2B60CFF6" w14:textId="45E74D8E" w:rsidR="003951CB" w:rsidRPr="00711B22" w:rsidRDefault="006B2B1C" w:rsidP="00EF3776">
      <w:pPr>
        <w:pStyle w:val="NormalWeb"/>
      </w:pPr>
      <w:r>
        <w:t>Whatever technique</w:t>
      </w:r>
      <w:r w:rsidR="00AE2388">
        <w:t xml:space="preserve"> is</w:t>
      </w:r>
      <w:r>
        <w:t xml:space="preserve"> used for variable selection, t</w:t>
      </w:r>
      <w:r w:rsidR="007E4D31" w:rsidRPr="00711B22">
        <w:t xml:space="preserve">he resulting model may best predict outcome in the particular dataset from which </w:t>
      </w:r>
      <w:r w:rsidR="00AE2388">
        <w:t>it was</w:t>
      </w:r>
      <w:r w:rsidR="007E4D31" w:rsidRPr="00711B22">
        <w:t xml:space="preserve"> derived but generally will do less well in other datasets, as discussed below.</w:t>
      </w:r>
    </w:p>
    <w:p w14:paraId="3C16E33D" w14:textId="4DFB622B" w:rsidR="00FE7F62" w:rsidRDefault="00C96EC1" w:rsidP="00F60AB5">
      <w:pPr>
        <w:pStyle w:val="Heading3"/>
      </w:pPr>
      <w:r>
        <w:t>Overfitting and the i</w:t>
      </w:r>
      <w:r w:rsidRPr="00711B22">
        <w:t>mportance of validation</w:t>
      </w:r>
    </w:p>
    <w:p w14:paraId="551870F4" w14:textId="77777777" w:rsidR="00FE7F62" w:rsidRPr="00997A7B" w:rsidRDefault="00BD097C">
      <w:pPr>
        <w:pStyle w:val="Extract"/>
      </w:pPr>
      <w:r w:rsidRPr="00997A7B">
        <w:t xml:space="preserve"> </w:t>
      </w:r>
      <w:proofErr w:type="gramStart"/>
      <w:r w:rsidR="00FE7F62" w:rsidRPr="00997A7B">
        <w:t>“ If</w:t>
      </w:r>
      <w:proofErr w:type="gramEnd"/>
      <w:r w:rsidR="00FE7F62" w:rsidRPr="00997A7B">
        <w:t xml:space="preserve"> you torture data sufficiently, it will confess to almost anything.”</w:t>
      </w:r>
    </w:p>
    <w:p w14:paraId="25B219A8" w14:textId="77777777" w:rsidR="00FE7F62" w:rsidRPr="00997A7B" w:rsidRDefault="00FE7F62">
      <w:pPr>
        <w:pStyle w:val="Author"/>
        <w:jc w:val="right"/>
        <w:rPr>
          <w:rStyle w:val="NormalWebChar"/>
        </w:rPr>
      </w:pPr>
      <w:r w:rsidRPr="00997A7B">
        <w:t xml:space="preserve">– </w:t>
      </w:r>
      <w:r w:rsidRPr="00997A7B">
        <w:rPr>
          <w:rStyle w:val="NormalWebChar"/>
        </w:rPr>
        <w:t xml:space="preserve">Fred </w:t>
      </w:r>
      <w:proofErr w:type="spellStart"/>
      <w:r w:rsidRPr="00997A7B">
        <w:rPr>
          <w:rStyle w:val="NormalWebChar"/>
        </w:rPr>
        <w:t>Menger</w:t>
      </w:r>
      <w:proofErr w:type="spellEnd"/>
    </w:p>
    <w:p w14:paraId="3C8F13C7" w14:textId="16689B85" w:rsidR="00FE7F62" w:rsidRPr="00997A7B" w:rsidRDefault="00FE7F62">
      <w:pPr>
        <w:pStyle w:val="NormalWeb"/>
      </w:pPr>
      <w:r w:rsidRPr="00997A7B">
        <w:t>“Overfitting” refers to use of models that are made overly complicated in order to fit the data that ha</w:t>
      </w:r>
      <w:r w:rsidR="00B9152F">
        <w:t>s</w:t>
      </w:r>
      <w:r w:rsidRPr="00997A7B">
        <w:t xml:space="preserve"> been collected. It is analogous to gerrymandering of congressional districts, </w:t>
      </w:r>
      <w:r w:rsidR="001B2786" w:rsidRPr="00997A7B">
        <w:t xml:space="preserve">in which legislators choose their voters, rather than vice </w:t>
      </w:r>
      <w:proofErr w:type="spellStart"/>
      <w:r w:rsidR="001B2786" w:rsidRPr="00997A7B">
        <w:t>versa</w:t>
      </w:r>
      <w:r w:rsidR="001B2786">
        <w:t>,</w:t>
      </w:r>
      <w:r w:rsidRPr="00997A7B">
        <w:t>which</w:t>
      </w:r>
      <w:proofErr w:type="spellEnd"/>
      <w:r w:rsidRPr="00997A7B">
        <w:t xml:space="preserve"> provides perhaps the best way to visualize the problem</w:t>
      </w:r>
      <w:r w:rsidR="001B2786">
        <w:t>.</w:t>
      </w:r>
      <w:r w:rsidR="001B2786">
        <w:rPr>
          <w:rStyle w:val="FootnoteReference"/>
        </w:rPr>
        <w:footnoteReference w:id="11"/>
      </w:r>
      <w:r w:rsidRPr="00997A7B">
        <w:t xml:space="preserve"> </w:t>
      </w:r>
      <w:r w:rsidR="00FB7707">
        <w:t xml:space="preserve"> Just as y</w:t>
      </w:r>
      <w:r w:rsidR="00E40C60">
        <w:t>ou can choose boundaries on a map to maximize your party’s congressional seats, you can choose</w:t>
      </w:r>
      <w:r w:rsidR="00FB7707">
        <w:t xml:space="preserve"> boundaries for dividing your dataset that maximize the degree to which D+ and D- subjects are separated, but</w:t>
      </w:r>
      <w:r w:rsidR="00E40C60">
        <w:t xml:space="preserve"> </w:t>
      </w:r>
      <w:r w:rsidR="00FB7707">
        <w:t xml:space="preserve">since they take advantage of the idiosyncrasies of your current dataset, these boundaries won’t work in a new dataset. </w:t>
      </w:r>
      <w:r w:rsidR="00E40C60">
        <w:t xml:space="preserve"> </w:t>
      </w:r>
    </w:p>
    <w:p w14:paraId="73716FF5" w14:textId="77777777" w:rsidR="00B75DF3" w:rsidRDefault="007E4D31">
      <w:pPr>
        <w:pStyle w:val="NormalWeb"/>
      </w:pPr>
      <w:r w:rsidRPr="00711B22">
        <w:t xml:space="preserve">If you are allowed to choose combinations of tests and </w:t>
      </w:r>
      <w:r w:rsidR="00191BDE" w:rsidRPr="00711B22">
        <w:t>fi</w:t>
      </w:r>
      <w:r w:rsidRPr="00711B22">
        <w:t>ndings from a large number investigated, and then choose the cut-off that optimizes discrimination, you can often develop a prediction rule that works well in a speci</w:t>
      </w:r>
      <w:r w:rsidR="00191BDE" w:rsidRPr="00711B22">
        <w:t>fi</w:t>
      </w:r>
      <w:r w:rsidRPr="00711B22">
        <w:t xml:space="preserve">c sample (especially if the sample size is small). But this variable selection takes advantage of chance variations in the data that will no longer work to your advantage if you try to validate the prediction rule on a new dataset. </w:t>
      </w:r>
    </w:p>
    <w:p w14:paraId="2CE5ECE8" w14:textId="7E8B725F" w:rsidR="003951CB" w:rsidRPr="00711B22" w:rsidRDefault="007E4D31">
      <w:pPr>
        <w:pStyle w:val="NormalWeb"/>
      </w:pPr>
      <w:r w:rsidRPr="00711B22">
        <w:t xml:space="preserve">For example, </w:t>
      </w:r>
      <w:proofErr w:type="spellStart"/>
      <w:r w:rsidRPr="00711B22">
        <w:t>Oostenbrink</w:t>
      </w:r>
      <w:proofErr w:type="spellEnd"/>
      <w:r w:rsidRPr="00711B22">
        <w:t xml:space="preserve"> et al.</w:t>
      </w:r>
      <w:r w:rsidR="00DA779C">
        <w:fldChar w:fldCharType="begin"/>
      </w:r>
      <w:r w:rsidR="00DA779C">
        <w:instrText xml:space="preserve"> ADDIN EN.CITE &lt;EndNote&gt;&lt;Cite&gt;&lt;Author&gt;Oostenbrink&lt;/Author&gt;&lt;Year&gt;2000&lt;/Year&gt;&lt;RecNum&gt;254&lt;/RecNum&gt;&lt;DisplayText&gt;[21]&lt;/DisplayText&gt;&lt;record&gt;&lt;rec-number&gt;254&lt;/rec-number&gt;&lt;foreign-keys&gt;&lt;key app="EN" db-id="0ftvff9p80fp5few5s05f5fw9rd9fefrdzer" timestamp="0"&gt;254&lt;/key&gt;&lt;/foreign-keys&gt;&lt;ref-type name="Journal Article"&gt;17&lt;/ref-type&gt;&lt;contributors&gt;&lt;authors&gt;&lt;author&gt;Oostenbrink, R.&lt;/author&gt;&lt;author&gt;van der Heijden, A. J.&lt;/author&gt;&lt;author&gt;Moons, K. G.&lt;/author&gt;&lt;author&gt;Moll, H. A.&lt;/author&gt;&lt;/authors&gt;&lt;/contributors&gt;&lt;auth-address&gt;Department of Paediatrics, Sophia Children&amp;apos;s Hospital, Rotterdam, The Netherlands. oostenbrink@alkg.azr.nl&lt;/auth-address&gt;&lt;titles&gt;&lt;title&gt;Prediction of vesico-ureteric reflux in childhood urinary tract infection: a multivariate approach&lt;/title&gt;&lt;secondary-title&gt;Acta Paediatr&lt;/secondary-title&gt;&lt;/titles&gt;&lt;periodical&gt;&lt;full-title&gt;Acta Paediatr&lt;/full-title&gt;&lt;/periodical&gt;&lt;pages&gt;806-10&lt;/pages&gt;&lt;volume&gt;89&lt;/volume&gt;&lt;number&gt;7&lt;/number&gt;&lt;keywords&gt;&lt;keyword&gt;Age Factors&lt;/keyword&gt;&lt;keyword&gt;Child, Preschool&lt;/keyword&gt;&lt;keyword&gt;Female&lt;/keyword&gt;&lt;keyword&gt;Humans&lt;/keyword&gt;&lt;keyword&gt;Infant&lt;/keyword&gt;&lt;keyword&gt;Logistic Models&lt;/keyword&gt;&lt;keyword&gt;Male&lt;/keyword&gt;&lt;keyword&gt;Multivariate Analysis&lt;/keyword&gt;&lt;keyword&gt;Predictive Value of Tests&lt;/keyword&gt;&lt;keyword&gt;Prognosis&lt;/keyword&gt;&lt;keyword&gt;ROC Curve&lt;/keyword&gt;&lt;keyword&gt;Risk Factors&lt;/keyword&gt;&lt;keyword&gt;Sex Factors&lt;/keyword&gt;&lt;keyword&gt;Urinary Tract Infections/*etiology&lt;/keyword&gt;&lt;keyword&gt;Vesico-Ureteral Reflux/complications/*diagnosis/ultrasonography&lt;/keyword&gt;&lt;/keywords&gt;&lt;dates&gt;&lt;year&gt;2000&lt;/year&gt;&lt;pub-dates&gt;&lt;date&gt;Jul&lt;/date&gt;&lt;/pub-dates&gt;&lt;/dates&gt;&lt;accession-num&gt;10943962&lt;/accession-num&gt;&lt;urls&gt;&lt;related-urls&gt;&lt;url&gt;http://www.ncbi.nlm.nih.gov/entrez/query.fcgi?cmd=Retrieve&amp;amp;db=PubMed&amp;amp;dopt=Citation&amp;amp;list_uids=10943962 &lt;/url&gt;&lt;/related-urls&gt;&lt;/urls&gt;&lt;/record&gt;&lt;/Cite&gt;&lt;/EndNote&gt;</w:instrText>
      </w:r>
      <w:r w:rsidR="00DA779C">
        <w:fldChar w:fldCharType="separate"/>
      </w:r>
      <w:r w:rsidR="00DA779C">
        <w:rPr>
          <w:noProof/>
        </w:rPr>
        <w:t>[21]</w:t>
      </w:r>
      <w:r w:rsidR="00DA779C">
        <w:fldChar w:fldCharType="end"/>
      </w:r>
      <w:r w:rsidR="002D73A4">
        <w:t xml:space="preserve"> </w:t>
      </w:r>
      <w:r w:rsidRPr="00711B22">
        <w:t>used four history variables, four laboratory variables, and ultrasound results to predict vesicoureteral re</w:t>
      </w:r>
      <w:r w:rsidR="003413CF" w:rsidRPr="00711B22">
        <w:t>fl</w:t>
      </w:r>
      <w:r w:rsidRPr="00711B22">
        <w:t xml:space="preserve">ux among 140 children (5 years and younger) who had their </w:t>
      </w:r>
      <w:r w:rsidR="00191BDE" w:rsidRPr="00711B22">
        <w:t>fi</w:t>
      </w:r>
      <w:r w:rsidRPr="00711B22">
        <w:t xml:space="preserve">rst UTI. Their </w:t>
      </w:r>
      <w:r w:rsidR="00191BDE" w:rsidRPr="00711B22">
        <w:t>fi</w:t>
      </w:r>
      <w:r w:rsidRPr="00711B22">
        <w:t>nal prediction rule had an AUROC of 0.78; at the cut-off they chose, it had 100% sensitivity and 38% speci</w:t>
      </w:r>
      <w:r w:rsidR="00191BDE" w:rsidRPr="00711B22">
        <w:t>fi</w:t>
      </w:r>
      <w:r w:rsidRPr="00711B22">
        <w:t>city for Grade III or higher re</w:t>
      </w:r>
      <w:r w:rsidR="003413CF" w:rsidRPr="00711B22">
        <w:t>fl</w:t>
      </w:r>
      <w:r w:rsidRPr="00711B22">
        <w:t>ux, which was found in 28 subjects in their sample. When another group attempted to validate the rule on a similar group of 143 children, sensitivity and speci</w:t>
      </w:r>
      <w:r w:rsidR="00191BDE" w:rsidRPr="00711B22">
        <w:t>fi</w:t>
      </w:r>
      <w:r w:rsidRPr="00711B22">
        <w:t xml:space="preserve">city at the same </w:t>
      </w:r>
      <w:r w:rsidRPr="00711B22">
        <w:lastRenderedPageBreak/>
        <w:t>cut-off were only 93% and 13% respectively, neither clinically nor statistically signi</w:t>
      </w:r>
      <w:r w:rsidR="00191BDE" w:rsidRPr="00711B22">
        <w:t>fi</w:t>
      </w:r>
      <w:r w:rsidRPr="00711B22">
        <w:t xml:space="preserve">cant </w:t>
      </w:r>
      <w:r w:rsidR="00DA779C">
        <w:fldChar w:fldCharType="begin"/>
      </w:r>
      <w:r w:rsidR="00DA779C">
        <w:instrText xml:space="preserve"> ADDIN EN.CITE &lt;EndNote&gt;&lt;Cite&gt;&lt;Author&gt;Leroy&lt;/Author&gt;&lt;Year&gt;2006&lt;/Year&gt;&lt;RecNum&gt;255&lt;/RecNum&gt;&lt;DisplayText&gt;[22]&lt;/DisplayText&gt;&lt;record&gt;&lt;rec-number&gt;255&lt;/rec-number&gt;&lt;foreign-keys&gt;&lt;key app="EN" db-id="0ftvff9p80fp5few5s05f5fw9rd9fefrdzer" timestamp="0"&gt;255&lt;/key&gt;&lt;/foreign-keys&gt;&lt;ref-type name="Journal Article"&gt;17&lt;/ref-type&gt;&lt;contributors&gt;&lt;authors&gt;&lt;author&gt;Leroy, S.&lt;/author&gt;&lt;author&gt;Marc, E.&lt;/author&gt;&lt;author&gt;Adamsbaum, C.&lt;/author&gt;&lt;author&gt;Gendrel, D.&lt;/author&gt;&lt;author&gt;Breart, G.&lt;/author&gt;&lt;author&gt;Chalumeau, M.&lt;/author&gt;&lt;/authors&gt;&lt;/contributors&gt;&lt;auth-address&gt;Clinical Epidemiology Unit, Department of Paediatrics, Saint-Vincent-de-Paul Hospital, AP-HP, Universite Paris V, Paris, France.&lt;/auth-address&gt;&lt;titles&gt;&lt;title&gt;Prediction of vesicoureteral reflux after a first febrile urinary tract infection in children: validation of a clinical decision rule&lt;/title&gt;&lt;secondary-title&gt;Arch Dis Child&lt;/secondary-title&gt;&lt;/titles&gt;&lt;pages&gt;241-4&lt;/pages&gt;&lt;volume&gt;91&lt;/volume&gt;&lt;number&gt;3&lt;/number&gt;&lt;keywords&gt;&lt;keyword&gt;Child, Preschool&lt;/keyword&gt;&lt;keyword&gt;*Decision Support Techniques&lt;/keyword&gt;&lt;keyword&gt;Epidemiologic Methods&lt;/keyword&gt;&lt;keyword&gt;Female&lt;/keyword&gt;&lt;keyword&gt;Fever/etiology&lt;/keyword&gt;&lt;keyword&gt;Humans&lt;/keyword&gt;&lt;keyword&gt;Infant&lt;/keyword&gt;&lt;keyword&gt;Male&lt;/keyword&gt;&lt;keyword&gt;Research Support, Non-U.S. Gov&amp;apos;t&lt;/keyword&gt;&lt;keyword&gt;Urinary Tract Infections/*etiology&lt;/keyword&gt;&lt;keyword&gt;Vesico-Ureteral Reflux/complications/*diagnosis&lt;/keyword&gt;&lt;/keywords&gt;&lt;dates&gt;&lt;year&gt;2006&lt;/year&gt;&lt;pub-dates&gt;&lt;date&gt;Mar&lt;/date&gt;&lt;/pub-dates&gt;&lt;/dates&gt;&lt;accession-num&gt;15890693&lt;/accession-num&gt;&lt;urls&gt;&lt;related-urls&gt;&lt;url&gt;http://www.ncbi.nlm.nih.gov/entrez/query.fcgi?cmd=Retrieve&amp;amp;db=PubMed&amp;amp;dopt=Citation&amp;amp;list_uids=15890693 &lt;/url&gt;&lt;/related-urls&gt;&lt;/urls&gt;&lt;/record&gt;&lt;/Cite&gt;&lt;/EndNote&gt;</w:instrText>
      </w:r>
      <w:r w:rsidR="00DA779C">
        <w:fldChar w:fldCharType="separate"/>
      </w:r>
      <w:r w:rsidR="00DA779C">
        <w:rPr>
          <w:noProof/>
        </w:rPr>
        <w:t>[22]</w:t>
      </w:r>
      <w:r w:rsidR="00DA779C">
        <w:fldChar w:fldCharType="end"/>
      </w:r>
      <w:r w:rsidRPr="00711B22">
        <w:t>.</w:t>
      </w:r>
      <w:r w:rsidR="00EF3776" w:rsidRPr="00711B22">
        <w:rPr>
          <w:rStyle w:val="FootnoteReference"/>
        </w:rPr>
        <w:footnoteReference w:id="12"/>
      </w:r>
    </w:p>
    <w:p w14:paraId="0E377701" w14:textId="5A2E7866" w:rsidR="00D74B6B" w:rsidRDefault="00B75DF3">
      <w:pPr>
        <w:pStyle w:val="NormalWeb"/>
      </w:pPr>
      <w:r>
        <w:t>One</w:t>
      </w:r>
      <w:r w:rsidRPr="00711B22">
        <w:t xml:space="preserve"> </w:t>
      </w:r>
      <w:r w:rsidR="007E4D31" w:rsidRPr="00711B22">
        <w:t>way to quantify over</w:t>
      </w:r>
      <w:r w:rsidR="00191BDE" w:rsidRPr="00711B22">
        <w:t>fi</w:t>
      </w:r>
      <w:r w:rsidR="007E4D31" w:rsidRPr="00711B22">
        <w:t xml:space="preserve">tting is to develop a clinical prediction rule on one (generally randomly selected) group of patients, called the </w:t>
      </w:r>
      <w:r w:rsidR="003E0F94" w:rsidRPr="00711B22">
        <w:t>“</w:t>
      </w:r>
      <w:r w:rsidR="007E4D31" w:rsidRPr="00711B22">
        <w:t>derivation set</w:t>
      </w:r>
      <w:r w:rsidR="003E0F94" w:rsidRPr="00711B22">
        <w:t>”</w:t>
      </w:r>
      <w:r w:rsidR="007E4D31" w:rsidRPr="00711B22">
        <w:t xml:space="preserve"> and then test it on a second group, called the </w:t>
      </w:r>
      <w:r w:rsidR="003E0F94" w:rsidRPr="00711B22">
        <w:t>“</w:t>
      </w:r>
      <w:r w:rsidR="007E4D31" w:rsidRPr="00711B22">
        <w:t>validation set.</w:t>
      </w:r>
      <w:r w:rsidR="003E0F94" w:rsidRPr="00711B22">
        <w:t>”</w:t>
      </w:r>
      <w:r w:rsidR="007E4D31" w:rsidRPr="00711B22">
        <w:t xml:space="preserve"> If over</w:t>
      </w:r>
      <w:r w:rsidR="00191BDE" w:rsidRPr="00711B22">
        <w:t>fi</w:t>
      </w:r>
      <w:r w:rsidR="007E4D31" w:rsidRPr="00711B22">
        <w:t>tting occurred, the performance on the validation set will be substantially worse. If derivation and validation sets came from the same study, the investigator might be tempted to try again, tweaking the prediction rule so it performs better in the validation set. But, of course, this defeats the purpose of the validation set, and, in effect, makes the</w:t>
      </w:r>
      <w:r w:rsidR="003F6D6B" w:rsidRPr="00711B22">
        <w:t xml:space="preserve"> </w:t>
      </w:r>
      <w:r w:rsidR="007E4D31" w:rsidRPr="00711B22">
        <w:t>whole study a derivation set. (There is a subtle example in this chapter</w:t>
      </w:r>
      <w:r w:rsidR="003951CB" w:rsidRPr="00711B22">
        <w:t>’</w:t>
      </w:r>
      <w:r w:rsidR="007E4D31" w:rsidRPr="00711B22">
        <w:t xml:space="preserve">s Problem </w:t>
      </w:r>
      <w:r w:rsidR="000F583E">
        <w:t>1</w:t>
      </w:r>
      <w:r w:rsidR="007E4D31" w:rsidRPr="00711B22">
        <w:t xml:space="preserve">.) </w:t>
      </w:r>
      <w:r w:rsidR="00A713F3">
        <w:t xml:space="preserve"> </w:t>
      </w:r>
      <w:r w:rsidR="00D74B6B">
        <w:t>Finally</w:t>
      </w:r>
      <w:r w:rsidR="00D74B6B" w:rsidRPr="00711B22">
        <w:t>, even if a prediction rule performs well in a validation set randomly selected from the study population, additional validation is helpful to determine how well it performs in different populations and different clinical settings.</w:t>
      </w:r>
    </w:p>
    <w:p w14:paraId="33DDB827" w14:textId="43CDB965" w:rsidR="00D74B6B" w:rsidRPr="00F60AB5" w:rsidRDefault="00D35669" w:rsidP="00D74B6B">
      <w:pPr>
        <w:pStyle w:val="Heading3"/>
        <w:rPr>
          <w:szCs w:val="34"/>
        </w:rPr>
      </w:pPr>
      <w:r>
        <w:rPr>
          <w:szCs w:val="34"/>
        </w:rPr>
        <w:t>K</w:t>
      </w:r>
      <w:r w:rsidR="00D74B6B" w:rsidRPr="00F60AB5">
        <w:rPr>
          <w:szCs w:val="34"/>
        </w:rPr>
        <w:t>-Fold Cross Validation</w:t>
      </w:r>
    </w:p>
    <w:p w14:paraId="03832299" w14:textId="0A9CE083" w:rsidR="00D91704" w:rsidRDefault="00965B97" w:rsidP="00433227">
      <w:pPr>
        <w:pStyle w:val="NormalWeb"/>
      </w:pPr>
      <w:r>
        <w:t xml:space="preserve">We can make a multivariable model more complex and flexible by </w:t>
      </w:r>
      <w:r w:rsidR="00A713F3">
        <w:t>including more predictors</w:t>
      </w:r>
      <w:r w:rsidR="0019305C">
        <w:t xml:space="preserve">, allowing </w:t>
      </w:r>
      <w:r w:rsidR="005936DF">
        <w:t>a more complex or “bushier” tree,</w:t>
      </w:r>
      <w:r>
        <w:t xml:space="preserve"> or for a continuous </w:t>
      </w:r>
      <w:r w:rsidR="00710661">
        <w:t>predictor</w:t>
      </w:r>
      <w:r>
        <w:t xml:space="preserve"> (x), including a quadratic term (x</w:t>
      </w:r>
      <w:r>
        <w:rPr>
          <w:vertAlign w:val="superscript"/>
        </w:rPr>
        <w:t>2</w:t>
      </w:r>
      <w:r>
        <w:t>) or cubic term (x</w:t>
      </w:r>
      <w:r>
        <w:rPr>
          <w:vertAlign w:val="superscript"/>
        </w:rPr>
        <w:t>3</w:t>
      </w:r>
      <w:r>
        <w:t xml:space="preserve">).   </w:t>
      </w:r>
      <w:r w:rsidR="00A57234">
        <w:t xml:space="preserve">Making a model </w:t>
      </w:r>
      <w:r w:rsidR="001677E5">
        <w:t>m</w:t>
      </w:r>
      <w:r>
        <w:t xml:space="preserve">ore complex and flexible </w:t>
      </w:r>
      <w:r w:rsidR="00A57234">
        <w:t xml:space="preserve">always improves its fit in the </w:t>
      </w:r>
      <w:r>
        <w:t>derivation dataset</w:t>
      </w:r>
      <w:r w:rsidR="00A57234">
        <w:t>, but at a certain point</w:t>
      </w:r>
      <w:r w:rsidR="00AD5A31">
        <w:t>,</w:t>
      </w:r>
      <w:r w:rsidR="00A57234">
        <w:t xml:space="preserve"> makes performance in the validation set significantly worse</w:t>
      </w:r>
      <w:r w:rsidR="009C020F">
        <w:t xml:space="preserve"> due to overfitting</w:t>
      </w:r>
      <w:r w:rsidR="00A57234">
        <w:t xml:space="preserve">.  </w:t>
      </w:r>
      <w:r w:rsidR="00A57234" w:rsidRPr="00F60AB5">
        <w:rPr>
          <w:color w:val="00B050"/>
        </w:rPr>
        <w:t>K-fold cross-validation</w:t>
      </w:r>
      <w:r w:rsidR="00A57234">
        <w:t xml:space="preserve"> </w:t>
      </w:r>
      <w:r w:rsidR="00622417">
        <w:t>can help identify the appropriate level of complexity.</w:t>
      </w:r>
      <w:r w:rsidR="00DA779C">
        <w:fldChar w:fldCharType="begin"/>
      </w:r>
      <w:r w:rsidR="00DA779C">
        <w:instrText xml:space="preserve"> ADDIN EN.CITE &lt;EndNote&gt;&lt;Cite&gt;&lt;Author&gt;James&lt;/Author&gt;&lt;Year&gt;2013&lt;/Year&gt;&lt;RecNum&gt;1618&lt;/RecNum&gt;&lt;DisplayText&gt;[23]&lt;/DisplayText&gt;&lt;record&gt;&lt;rec-number&gt;1618&lt;/rec-number&gt;&lt;foreign-keys&gt;&lt;key app="EN" db-id="0ftvff9p80fp5few5s05f5fw9rd9fefrdzer" timestamp="1546235326"&gt;1618&lt;/key&gt;&lt;/foreign-keys&gt;&lt;ref-type name="Book Section"&gt;5&lt;/ref-type&gt;&lt;contributors&gt;&lt;authors&gt;&lt;author&gt;James, Gareth&lt;/author&gt;&lt;author&gt;Witten, Daniela&lt;/author&gt;&lt;author&gt;Hastie, Trevor&lt;/author&gt;&lt;author&gt;Tibshirani, Robert&lt;/author&gt;&lt;/authors&gt;&lt;/contributors&gt;&lt;titles&gt;&lt;title&gt;Chapter 5 Resampling Methods&lt;/title&gt;&lt;secondary-title&gt;An introduction to statistical learning : with applications in R&lt;/secondary-title&gt;&lt;/titles&gt;&lt;volume&gt;103&lt;/volume&gt;&lt;keywords&gt;&lt;keyword&gt;Mathematical statistics.&lt;/keyword&gt;&lt;keyword&gt;Mathematical models.&lt;/keyword&gt;&lt;keyword&gt;Mathematical statistics Problems, exercises, etc.&lt;/keyword&gt;&lt;keyword&gt;Mathematical models Problems, exercises, etc.&lt;/keyword&gt;&lt;keyword&gt;R (Computer program language)&lt;/keyword&gt;&lt;keyword&gt;Statistics.&lt;/keyword&gt;&lt;/keywords&gt;&lt;dates&gt;&lt;year&gt;2013&lt;/year&gt;&lt;/dates&gt;&lt;pub-location&gt;New York&lt;/pub-location&gt;&lt;publisher&gt;Springer&lt;/publisher&gt;&lt;urls&gt;&lt;/urls&gt;&lt;/record&gt;&lt;/Cite&gt;&lt;/EndNote&gt;</w:instrText>
      </w:r>
      <w:r w:rsidR="00DA779C">
        <w:fldChar w:fldCharType="separate"/>
      </w:r>
      <w:r w:rsidR="00DA779C">
        <w:rPr>
          <w:noProof/>
        </w:rPr>
        <w:t>[23]</w:t>
      </w:r>
      <w:r w:rsidR="00DA779C">
        <w:fldChar w:fldCharType="end"/>
      </w:r>
      <w:r w:rsidR="00622417">
        <w:t xml:space="preserve">  The software randomly divides the dataset into k </w:t>
      </w:r>
      <w:r w:rsidR="00AD5A31">
        <w:t xml:space="preserve">(typically 5 or 10) </w:t>
      </w:r>
      <w:r w:rsidR="00622417">
        <w:t>equal-sized groups or “folds</w:t>
      </w:r>
      <w:r w:rsidR="00C75593">
        <w:t>.</w:t>
      </w:r>
      <w:r w:rsidR="00622417">
        <w:t>”</w:t>
      </w:r>
      <w:r w:rsidR="00D74B6B">
        <w:t xml:space="preserve">  </w:t>
      </w:r>
      <w:r w:rsidR="00622417">
        <w:t xml:space="preserve">The first fold is used as the validation dataset and the multivariable method (e.g., classification trees or logistic regression) is fit on the remaining k - 1 folds.  </w:t>
      </w:r>
      <w:r w:rsidR="00EA60C0">
        <w:t>This is repeated k times holding out a different group each time</w:t>
      </w:r>
      <w:r w:rsidR="00827A2C">
        <w:t>,</w:t>
      </w:r>
      <w:r w:rsidR="00431FA8">
        <w:t xml:space="preserve"> resulting</w:t>
      </w:r>
      <w:r w:rsidR="00EA60C0">
        <w:t xml:space="preserve"> in k estimates of the model error</w:t>
      </w:r>
      <w:r w:rsidR="00431FA8">
        <w:t>.  These k estimates a</w:t>
      </w:r>
      <w:r w:rsidR="00EA60C0">
        <w:t xml:space="preserve">re averaged together for a summary estimate of the model error.  We can vary the complexity of the model, e.g. </w:t>
      </w:r>
      <w:r w:rsidR="0019305C">
        <w:t xml:space="preserve">the number of included variables, </w:t>
      </w:r>
      <w:r w:rsidR="00EA60C0">
        <w:t xml:space="preserve">the number </w:t>
      </w:r>
      <w:r w:rsidR="0019305C">
        <w:t xml:space="preserve">of terminal nodes (leaves) in a tree, </w:t>
      </w:r>
      <w:r w:rsidR="00BF76B9">
        <w:t>or the number of quadratic terms</w:t>
      </w:r>
      <w:r w:rsidR="00AA65AC">
        <w:t>,</w:t>
      </w:r>
      <w:r w:rsidR="00AD5A31">
        <w:t xml:space="preserve"> </w:t>
      </w:r>
      <w:r w:rsidR="00BF76B9">
        <w:t>and see how the summary estimate of model error changes.  Generally, the estimated model error will decrease when moving from a very simple model</w:t>
      </w:r>
      <w:r w:rsidR="00606F55">
        <w:t xml:space="preserve"> (</w:t>
      </w:r>
      <w:r w:rsidR="00BF76B9">
        <w:t xml:space="preserve">such as assigning the mean </w:t>
      </w:r>
      <w:r w:rsidR="00606F55">
        <w:t>probability from the derivation dataset to every point in the validation set) to a more complex model</w:t>
      </w:r>
      <w:r w:rsidR="00431FA8">
        <w:t>.  However, at a certain poi</w:t>
      </w:r>
      <w:r w:rsidR="00D537D5">
        <w:t xml:space="preserve">nt, </w:t>
      </w:r>
      <w:r w:rsidR="00431FA8">
        <w:t>increasing</w:t>
      </w:r>
      <w:r w:rsidR="00606F55">
        <w:t xml:space="preserve"> </w:t>
      </w:r>
      <w:r w:rsidR="00D537D5">
        <w:t xml:space="preserve">the </w:t>
      </w:r>
      <w:r w:rsidR="00431FA8">
        <w:t>model complexity increases the error</w:t>
      </w:r>
      <w:r w:rsidR="00AA65AC">
        <w:t xml:space="preserve"> due to overfitting</w:t>
      </w:r>
      <w:r w:rsidR="00D91704">
        <w:t xml:space="preserve">.  The purpose of k-fold cross validation </w:t>
      </w:r>
      <w:r w:rsidR="00D537D5">
        <w:t>is to identify the level of complexity that minimizes model error.</w:t>
      </w:r>
      <w:r w:rsidR="00BD7C9A">
        <w:rPr>
          <w:rStyle w:val="FootnoteReference"/>
        </w:rPr>
        <w:footnoteReference w:id="13"/>
      </w:r>
    </w:p>
    <w:p w14:paraId="4E8D9000" w14:textId="5D91D54E" w:rsidR="00C8698E" w:rsidRDefault="00BC6C9A" w:rsidP="00C8698E">
      <w:pPr>
        <w:pStyle w:val="Heading2"/>
      </w:pPr>
      <w:r>
        <w:lastRenderedPageBreak/>
        <w:t>M</w:t>
      </w:r>
      <w:r w:rsidR="00C8698E">
        <w:t>achine learning</w:t>
      </w:r>
    </w:p>
    <w:p w14:paraId="34556C34" w14:textId="545EAF1E" w:rsidR="00453AA0" w:rsidRDefault="009D43CF" w:rsidP="00433227">
      <w:pPr>
        <w:pStyle w:val="NormalWeb"/>
      </w:pPr>
      <w:r>
        <w:t>We have discussed</w:t>
      </w:r>
      <w:r w:rsidR="00F74DA3">
        <w:t xml:space="preserve"> classification trees and logistic regression as ways to combine multiple variables to </w:t>
      </w:r>
      <w:r w:rsidR="00235069">
        <w:t>diagnose</w:t>
      </w:r>
      <w:r w:rsidR="00F74DA3">
        <w:t xml:space="preserve"> a disease or predict an outcome.  The</w:t>
      </w:r>
      <w:r w:rsidR="00271364">
        <w:t>se</w:t>
      </w:r>
      <w:r w:rsidR="00F74DA3">
        <w:t xml:space="preserve"> are two of the most basic algor</w:t>
      </w:r>
      <w:r w:rsidR="00BC6C9A">
        <w:t>ithms falling under the rubric of machine learning</w:t>
      </w:r>
      <w:r w:rsidR="004018F3">
        <w:t>.  Machine learning</w:t>
      </w:r>
      <w:r w:rsidR="00704F9C">
        <w:t>, also known as statistical learning,</w:t>
      </w:r>
      <w:r w:rsidR="00235069">
        <w:t xml:space="preserve"> </w:t>
      </w:r>
      <w:r w:rsidR="004018F3">
        <w:t xml:space="preserve">encompasses a large number of </w:t>
      </w:r>
      <w:r w:rsidR="00747912">
        <w:t xml:space="preserve">predictive analytic </w:t>
      </w:r>
      <w:r w:rsidR="00915BD9">
        <w:t xml:space="preserve">techniques </w:t>
      </w:r>
      <w:r w:rsidR="00747912">
        <w:t xml:space="preserve">and comes with </w:t>
      </w:r>
      <w:r w:rsidR="00235069">
        <w:t>its own</w:t>
      </w:r>
      <w:r w:rsidR="00271364">
        <w:t xml:space="preserve"> terminology.  For example, in machine learning</w:t>
      </w:r>
      <w:r w:rsidR="00235069">
        <w:t>,</w:t>
      </w:r>
      <w:r w:rsidR="00271364">
        <w:t xml:space="preserve"> the derivation dataset is usually referred to as the </w:t>
      </w:r>
      <w:r w:rsidR="00451392">
        <w:t>“</w:t>
      </w:r>
      <w:r w:rsidR="00271364">
        <w:t>training set</w:t>
      </w:r>
      <w:r w:rsidR="00451392">
        <w:t>”</w:t>
      </w:r>
      <w:r w:rsidR="00271364">
        <w:t xml:space="preserve"> and the validation dataset is referred to as the </w:t>
      </w:r>
      <w:r w:rsidR="00451392">
        <w:t>“</w:t>
      </w:r>
      <w:r w:rsidR="00271364">
        <w:t>test set</w:t>
      </w:r>
      <w:r w:rsidR="00451392">
        <w:t>”</w:t>
      </w:r>
      <w:r w:rsidR="00522E1B">
        <w:t xml:space="preserve">; predictors are often referred to as </w:t>
      </w:r>
      <w:r w:rsidR="00451392">
        <w:t>“</w:t>
      </w:r>
      <w:r w:rsidR="00522E1B">
        <w:t>features</w:t>
      </w:r>
      <w:r w:rsidR="00451392">
        <w:t>”</w:t>
      </w:r>
      <w:r w:rsidR="00271364">
        <w:t xml:space="preserve">. </w:t>
      </w:r>
      <w:r w:rsidR="00213FF7">
        <w:t xml:space="preserve"> </w:t>
      </w:r>
      <w:r w:rsidR="00E326F1">
        <w:t>Machine learning is increasingly applied in medical diagnosis and risk prediction.</w:t>
      </w:r>
      <w:r w:rsidR="00DA779C">
        <w:fldChar w:fldCharType="begin">
          <w:fldData xml:space="preserve">PEVuZE5vdGU+PENpdGU+PEF1dGhvcj5PYmVybWV5ZXI8L0F1dGhvcj48WWVhcj4yMDE2PC9ZZWFy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=
</w:fldData>
        </w:fldChar>
      </w:r>
      <w:r w:rsidR="00DA779C">
        <w:instrText xml:space="preserve"> ADDIN EN.CITE </w:instrText>
      </w:r>
      <w:r w:rsidR="00DA779C">
        <w:fldChar w:fldCharType="begin">
          <w:fldData xml:space="preserve">PEVuZE5vdGU+PENpdGU+PEF1dGhvcj5PYmVybWV5ZXI8L0F1dGhvcj48WWVhcj4yMDE2PC9ZZWFy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=
</w:fldData>
        </w:fldChar>
      </w:r>
      <w:r w:rsidR="00DA779C">
        <w:instrText xml:space="preserve"> ADDIN EN.CITE.DATA </w:instrText>
      </w:r>
      <w:r w:rsidR="00DA779C">
        <w:fldChar w:fldCharType="end"/>
      </w:r>
      <w:r w:rsidR="00DA779C">
        <w:fldChar w:fldCharType="separate"/>
      </w:r>
      <w:r w:rsidR="00DA779C">
        <w:rPr>
          <w:noProof/>
        </w:rPr>
        <w:t>[24, 25]</w:t>
      </w:r>
      <w:r w:rsidR="00DA779C">
        <w:fldChar w:fldCharType="end"/>
      </w:r>
      <w:r w:rsidR="00E326F1">
        <w:t xml:space="preserve">  </w:t>
      </w:r>
      <w:r w:rsidR="004F122D">
        <w:t>As with the predictions from genetic tests (Chapter 6), the predictions from machine learning</w:t>
      </w:r>
      <w:r w:rsidR="00884C73">
        <w:t xml:space="preserve"> are still </w:t>
      </w:r>
      <w:r w:rsidR="003C14CA">
        <w:t xml:space="preserve">just </w:t>
      </w:r>
      <w:r w:rsidR="00884C73">
        <w:t>risk predictions; we evaluate them using ROC curves, calibration plots, net benefit calculations, and decision curves, but you should know about t</w:t>
      </w:r>
      <w:r w:rsidR="00453AA0">
        <w:t>wo important techniques utilized in machine learning</w:t>
      </w:r>
      <w:r w:rsidR="00884C73">
        <w:t xml:space="preserve">: </w:t>
      </w:r>
      <w:r w:rsidR="00453AA0" w:rsidRPr="00183B10">
        <w:rPr>
          <w:color w:val="00B050"/>
        </w:rPr>
        <w:t>bootstrap aggregation</w:t>
      </w:r>
      <w:r w:rsidR="00467B5C">
        <w:t xml:space="preserve"> and </w:t>
      </w:r>
      <w:r w:rsidR="00467B5C" w:rsidRPr="00183B10">
        <w:rPr>
          <w:color w:val="00B050"/>
        </w:rPr>
        <w:t>random forests</w:t>
      </w:r>
      <w:r w:rsidR="00305976">
        <w:rPr>
          <w:color w:val="00B050"/>
        </w:rPr>
        <w:t>™</w:t>
      </w:r>
      <w:r w:rsidR="00305976">
        <w:rPr>
          <w:rStyle w:val="FootnoteReference"/>
          <w:color w:val="00B050"/>
        </w:rPr>
        <w:footnoteReference w:id="14"/>
      </w:r>
      <w:r w:rsidR="00884C73">
        <w:rPr>
          <w:color w:val="00B050"/>
        </w:rPr>
        <w:t xml:space="preserve">.  </w:t>
      </w:r>
      <w:r w:rsidR="00884C73" w:rsidRPr="00884C73">
        <w:t>W</w:t>
      </w:r>
      <w:r w:rsidR="00467B5C">
        <w:t>e will describe</w:t>
      </w:r>
      <w:r w:rsidR="00884C73">
        <w:t xml:space="preserve"> these</w:t>
      </w:r>
      <w:r w:rsidR="00467B5C">
        <w:t xml:space="preserve"> by starting with what we already know about classification trees.</w:t>
      </w:r>
    </w:p>
    <w:p w14:paraId="196D33D6" w14:textId="73A2A66B" w:rsidR="006C70A5" w:rsidRDefault="00453AA0" w:rsidP="00433227">
      <w:pPr>
        <w:pStyle w:val="NormalWeb"/>
      </w:pPr>
      <w:r>
        <w:t xml:space="preserve">A classification tree like the </w:t>
      </w:r>
      <w:r w:rsidR="00A01DD1">
        <w:t xml:space="preserve">chest pain rule in </w:t>
      </w:r>
      <w:r w:rsidR="002664C8">
        <w:t>Figure 7.6</w:t>
      </w:r>
      <w:r w:rsidR="00A01DD1">
        <w:t xml:space="preserve"> estimates the probability of disease (myocardial infarction in this case) for a subject with a given set of predictor</w:t>
      </w:r>
      <w:r w:rsidR="00522E1B">
        <w:t xml:space="preserve"> values (e.g., </w:t>
      </w:r>
      <w:r w:rsidR="00A01DD1">
        <w:t>test results</w:t>
      </w:r>
      <w:r w:rsidR="00522E1B">
        <w:t>)</w:t>
      </w:r>
      <w:r w:rsidR="00A01DD1">
        <w:t xml:space="preserve">.  Bootstrap aggregation or “bagging” </w:t>
      </w:r>
      <w:r w:rsidR="00467B5C">
        <w:t xml:space="preserve">consists of creating a large number </w:t>
      </w:r>
      <w:r w:rsidR="00C01E16">
        <w:t xml:space="preserve">(usually &gt; 1000) </w:t>
      </w:r>
      <w:r w:rsidR="00467B5C">
        <w:t xml:space="preserve">of training datasets by randomly sampling with replacement from the original training dataset.  The computer algorithm generates a different classification tree for each of these training datasets.  </w:t>
      </w:r>
      <w:r w:rsidR="00935F6C">
        <w:t xml:space="preserve">When given a new subject with a set of predictor values, each tree produces a probability of disease. </w:t>
      </w:r>
      <w:r w:rsidR="00451392">
        <w:t xml:space="preserve"> For example, i</w:t>
      </w:r>
      <w:r w:rsidR="005B72FD">
        <w:t>f we set the number of bootstrap samples at 1000, then there will be 1000 probability estimates</w:t>
      </w:r>
      <w:r w:rsidR="006C70A5">
        <w:t xml:space="preserve"> for each subject</w:t>
      </w:r>
      <w:r w:rsidR="005B72FD">
        <w:t>.</w:t>
      </w:r>
    </w:p>
    <w:p w14:paraId="3AE7DB5D" w14:textId="540F528A" w:rsidR="00453AA0" w:rsidRDefault="00935F6C" w:rsidP="00433227">
      <w:pPr>
        <w:pStyle w:val="NormalWeb"/>
      </w:pPr>
      <w:r>
        <w:t xml:space="preserve">The average of these </w:t>
      </w:r>
      <w:r w:rsidR="005B72FD">
        <w:t xml:space="preserve">1000 </w:t>
      </w:r>
      <w:r>
        <w:t xml:space="preserve">probabilities is the </w:t>
      </w:r>
      <w:r w:rsidR="005B72FD">
        <w:t xml:space="preserve">bootstrap </w:t>
      </w:r>
      <w:r>
        <w:t>estimate for the subject’s disease probability</w:t>
      </w:r>
      <w:r w:rsidR="005B72FD">
        <w:t xml:space="preserve"> and the variance is used to generate a confidence interval around the estimate.  We discuss confidence intervals in Chapter 11</w:t>
      </w:r>
      <w:r w:rsidR="00451392">
        <w:t>, but in</w:t>
      </w:r>
      <w:r w:rsidR="00BB4105">
        <w:t xml:space="preserve"> this context, a confidence interval is the range of disease probabilities for our subject that is consistent with the training data.   </w:t>
      </w:r>
      <w:r w:rsidR="005B72FD">
        <w:t xml:space="preserve">A bootstrap probability estimate </w:t>
      </w:r>
      <w:r w:rsidR="00BB4105">
        <w:t>has a narrower confidence interval (is more precise)</w:t>
      </w:r>
      <w:r w:rsidR="005B72FD">
        <w:t xml:space="preserve"> than</w:t>
      </w:r>
      <w:r w:rsidR="00BB4105">
        <w:t xml:space="preserve"> the probability </w:t>
      </w:r>
      <w:proofErr w:type="gramStart"/>
      <w:r w:rsidR="00BB4105">
        <w:t>estimate</w:t>
      </w:r>
      <w:proofErr w:type="gramEnd"/>
      <w:r w:rsidR="00BB4105">
        <w:t xml:space="preserve"> from a single classification tree </w:t>
      </w:r>
      <w:r w:rsidR="00451392">
        <w:t>created</w:t>
      </w:r>
      <w:r w:rsidR="00BB4105">
        <w:t xml:space="preserve"> without re-sampling.</w:t>
      </w:r>
      <w:r w:rsidR="006D7978">
        <w:t xml:space="preserve">  Once we have gone to bootstrap aggregation, we are no longer very concerned about the bushiness of the tree.  The algorithm becomes more of a “black box” that produces probability estimates (with confidence intervals</w:t>
      </w:r>
      <w:r w:rsidR="00D54868">
        <w:t xml:space="preserve">) based on the training dataset but does not </w:t>
      </w:r>
      <w:r w:rsidR="00960AB7">
        <w:t>indicate</w:t>
      </w:r>
      <w:r w:rsidR="00F60AB5">
        <w:t xml:space="preserve"> which </w:t>
      </w:r>
      <w:r w:rsidR="00C446B0">
        <w:t>variables are most important in determining risk.</w:t>
      </w:r>
    </w:p>
    <w:p w14:paraId="007C4305" w14:textId="3053640E" w:rsidR="00BB4105" w:rsidRDefault="00BB4105" w:rsidP="00433227">
      <w:pPr>
        <w:pStyle w:val="NormalWeb"/>
      </w:pPr>
      <w:r>
        <w:t xml:space="preserve">Bootstrap aggregation differs from k-fold cross-validation.  K-fold cross-validation divides the dataset into </w:t>
      </w:r>
      <w:r w:rsidR="00733DE0">
        <w:t>5 or 10</w:t>
      </w:r>
      <w:r>
        <w:t xml:space="preserve"> non-overlapping groups.  Its purpose is to estimate model error as a f</w:t>
      </w:r>
      <w:r w:rsidR="00733DE0">
        <w:t>u</w:t>
      </w:r>
      <w:r>
        <w:t xml:space="preserve">nction of model complexity </w:t>
      </w:r>
      <w:r w:rsidR="00733DE0">
        <w:t xml:space="preserve">and determine the appropriate balance between a model that is too simple and one that suffers from overfitting.  Bootstrap aggregation </w:t>
      </w:r>
      <w:r w:rsidR="00733DE0">
        <w:lastRenderedPageBreak/>
        <w:t>involves generating 1000 or more new datasets by sampling with replacement from the original dataset.  Its purpose is to generate a more precise estimate of disease probability (or outcome risk).</w:t>
      </w:r>
    </w:p>
    <w:p w14:paraId="0A323F10" w14:textId="0B18E64E" w:rsidR="00733DE0" w:rsidRDefault="00AC2DD7" w:rsidP="00433227">
      <w:pPr>
        <w:pStyle w:val="NormalWeb"/>
      </w:pPr>
      <w:r>
        <w:t xml:space="preserve">Bootstrap aggregation </w:t>
      </w:r>
      <w:r w:rsidR="00AA65AC">
        <w:t xml:space="preserve">entails random sampling of observations from the training dataset.  </w:t>
      </w:r>
      <w:r w:rsidR="00806AD3">
        <w:t xml:space="preserve">Random forests </w:t>
      </w:r>
      <w:proofErr w:type="gramStart"/>
      <w:r w:rsidR="00806AD3">
        <w:t>goes</w:t>
      </w:r>
      <w:proofErr w:type="gramEnd"/>
      <w:r w:rsidR="00806AD3">
        <w:t xml:space="preserve"> one step further </w:t>
      </w:r>
      <w:r w:rsidR="00615813">
        <w:t xml:space="preserve">and randomly selects the predictors </w:t>
      </w:r>
      <w:r w:rsidR="00C76FCD">
        <w:t xml:space="preserve">(or features) </w:t>
      </w:r>
      <w:r w:rsidR="00615813">
        <w:t xml:space="preserve">to be considered </w:t>
      </w:r>
      <w:r w:rsidR="00C76FCD">
        <w:t xml:space="preserve">at each branch in the tree.  </w:t>
      </w:r>
      <w:r w:rsidR="00691C9E">
        <w:t xml:space="preserve">Let’s say we </w:t>
      </w:r>
      <w:r w:rsidR="00183B10">
        <w:t xml:space="preserve">have data on 100 candidate variables on which to split and </w:t>
      </w:r>
      <w:r w:rsidR="00691C9E">
        <w:t xml:space="preserve">are going to obtain 1000 bootstrap samples.  </w:t>
      </w:r>
      <w:r w:rsidR="006D7978">
        <w:t>In each one of the</w:t>
      </w:r>
      <w:r w:rsidR="00691C9E">
        <w:t xml:space="preserve"> 1000 </w:t>
      </w:r>
      <w:r w:rsidR="006D7978">
        <w:t xml:space="preserve">bootstrap samples, a tree is created, but </w:t>
      </w:r>
      <w:r w:rsidR="00691C9E">
        <w:t>at each branch point</w:t>
      </w:r>
      <w:r w:rsidR="006D7978">
        <w:t xml:space="preserve">, the candidate </w:t>
      </w:r>
      <w:r w:rsidR="00340170">
        <w:t>split variables are limited to a random subset</w:t>
      </w:r>
      <w:r w:rsidR="00391432">
        <w:t xml:space="preserve"> (e.g., 1/3)</w:t>
      </w:r>
      <w:r w:rsidR="00340170">
        <w:t xml:space="preserve"> of the total number of potential split variables.</w:t>
      </w:r>
      <w:r w:rsidR="00DA779C">
        <w:fldChar w:fldCharType="begin"/>
      </w:r>
      <w:r w:rsidR="00DA779C">
        <w:instrText xml:space="preserve"> ADDIN EN.CITE &lt;EndNote&gt;&lt;Cite&gt;&lt;Author&gt;Efron&lt;/Author&gt;&lt;Year&gt;2016&lt;/Year&gt;&lt;RecNum&gt;1622&lt;/RecNum&gt;&lt;DisplayText&gt;[26]&lt;/DisplayText&gt;&lt;record&gt;&lt;rec-number&gt;1622&lt;/rec-number&gt;&lt;foreign-keys&gt;&lt;key app="EN" db-id="0ftvff9p80fp5few5s05f5fw9rd9fefrdzer" timestamp="1546287691"&gt;1622&lt;/key&gt;&lt;/foreign-keys&gt;&lt;ref-type name="Book Section"&gt;5&lt;/ref-type&gt;&lt;contributors&gt;&lt;authors&gt;&lt;author&gt;Efron, Bradley&lt;/author&gt;&lt;author&gt;Hastie, Trevor&lt;/author&gt;&lt;/authors&gt;&lt;/contributors&gt;&lt;titles&gt;&lt;title&gt;Chapter 17 Random Forests and Boosting&lt;/title&gt;&lt;secondary-title&gt;Computer age statistical inference : algorithms, evidence, and data science&lt;/secondary-title&gt;&lt;tertiary-title&gt;Institute of Mathematical Statistics monographs&lt;/tertiary-title&gt;&lt;/titles&gt;&lt;pages&gt;324-350&lt;/pages&gt;&lt;num-vols&gt;New York, NY&lt;/num-vols&gt;&lt;section&gt;17&lt;/section&gt;&lt;dates&gt;&lt;year&gt;2016&lt;/year&gt;&lt;/dates&gt;&lt;publisher&gt;Institute of Mathematical Statistics monographs&lt;/publisher&gt;&lt;urls&gt;&lt;/urls&gt;&lt;/record&gt;&lt;/Cite&gt;&lt;/EndNote&gt;</w:instrText>
      </w:r>
      <w:r w:rsidR="00DA779C">
        <w:fldChar w:fldCharType="separate"/>
      </w:r>
      <w:r w:rsidR="00DA779C">
        <w:rPr>
          <w:noProof/>
        </w:rPr>
        <w:t>[26]</w:t>
      </w:r>
      <w:r w:rsidR="00DA779C">
        <w:fldChar w:fldCharType="end"/>
      </w:r>
    </w:p>
    <w:p w14:paraId="078C6518" w14:textId="3F23F321" w:rsidR="002D0CCB" w:rsidRDefault="00183B10" w:rsidP="00433227">
      <w:pPr>
        <w:pStyle w:val="NormalWeb"/>
      </w:pPr>
      <w:r>
        <w:t>As an extension of bootstrap aggregation, r</w:t>
      </w:r>
      <w:r w:rsidR="00020629">
        <w:t>andom forests</w:t>
      </w:r>
      <w:r>
        <w:t xml:space="preserve"> also </w:t>
      </w:r>
      <w:proofErr w:type="gramStart"/>
      <w:r>
        <w:t>produce</w:t>
      </w:r>
      <w:r w:rsidR="00EC78E1">
        <w:t>s</w:t>
      </w:r>
      <w:proofErr w:type="gramEnd"/>
      <w:r w:rsidR="00EC78E1">
        <w:t xml:space="preserve"> black-box probability estimates or classifications rather than </w:t>
      </w:r>
      <w:r>
        <w:t xml:space="preserve">a simple comprehensible </w:t>
      </w:r>
      <w:r w:rsidR="00EC78E1">
        <w:t>rule for classifying an observation or estimating disease probability.  The advantage of random forests is surprisingly good per</w:t>
      </w:r>
      <w:r w:rsidR="00F410FC">
        <w:t>formance.</w:t>
      </w:r>
      <w:r w:rsidR="00BD137B">
        <w:t xml:space="preserve"> For example, </w:t>
      </w:r>
      <w:proofErr w:type="spellStart"/>
      <w:r w:rsidR="004661F6">
        <w:t>Guncar</w:t>
      </w:r>
      <w:proofErr w:type="spellEnd"/>
      <w:r w:rsidR="004661F6">
        <w:t xml:space="preserve"> et al </w:t>
      </w:r>
      <w:r w:rsidR="00A624E1">
        <w:t>found random forests to be clearly superior to other machine learning techniques in diagnosing hematologic disorders.</w:t>
      </w:r>
      <w:r w:rsidR="00DA779C">
        <w:fldChar w:fldCharType="begin"/>
      </w:r>
      <w:r w:rsidR="00DA779C">
        <w:instrText xml:space="preserve"> ADDIN EN.CITE &lt;EndNote&gt;&lt;Cite&gt;&lt;Author&gt;Gunčar&lt;/Author&gt;&lt;Year&gt;2018&lt;/Year&gt;&lt;RecNum&gt;1635&lt;/RecNum&gt;&lt;DisplayText&gt;[27]&lt;/DisplayText&gt;&lt;record&gt;&lt;rec-number&gt;1635&lt;/rec-number&gt;&lt;foreign-keys&gt;&lt;key app="EN" db-id="0ftvff9p80fp5few5s05f5fw9rd9fefrdzer" timestamp="1546563359"&gt;1635&lt;/key&gt;&lt;/foreign-keys&gt;&lt;ref-type name="Journal Article"&gt;17&lt;/ref-type&gt;&lt;contributors&gt;&lt;authors&gt;&lt;author&gt;Gunčar, Gregor&lt;/author&gt;&lt;author&gt;Kukar, Matjaž&lt;/author&gt;&lt;author&gt;Notar, Mateja&lt;/author&gt;&lt;author&gt;Brvar, Miran&lt;/author&gt;&lt;author&gt;Černelč, Peter&lt;/author&gt;&lt;author&gt;Notar, Manca&lt;/author&gt;&lt;author&gt;Notar, Marko&lt;/author&gt;&lt;/authors&gt;&lt;/contributors&gt;&lt;titles&gt;&lt;title&gt;An application of machine learning to haematological diagnosis&lt;/title&gt;&lt;secondary-title&gt;Scientific Reports&lt;/secondary-title&gt;&lt;/titles&gt;&lt;periodical&gt;&lt;full-title&gt;Scientific Reports&lt;/full-title&gt;&lt;/periodical&gt;&lt;pages&gt;411&lt;/pages&gt;&lt;volume&gt;8&lt;/volume&gt;&lt;number&gt;1&lt;/number&gt;&lt;dates&gt;&lt;year&gt;2018&lt;/year&gt;&lt;pub-dates&gt;&lt;date&gt;2018/01/11&lt;/date&gt;&lt;/pub-dates&gt;&lt;/dates&gt;&lt;isbn&gt;2045-2322&lt;/isbn&gt;&lt;urls&gt;&lt;related-urls&gt;&lt;url&gt;https://doi.org/10.1038/s41598-017-18564-8&lt;/url&gt;&lt;/related-urls&gt;&lt;/urls&gt;&lt;electronic-resource-num&gt;10.1038/s41598-017-18564-8&lt;/electronic-resource-num&gt;&lt;/record&gt;&lt;/Cite&gt;&lt;/EndNote&gt;</w:instrText>
      </w:r>
      <w:r w:rsidR="00DA779C">
        <w:fldChar w:fldCharType="separate"/>
      </w:r>
      <w:r w:rsidR="00DA779C">
        <w:rPr>
          <w:noProof/>
        </w:rPr>
        <w:t>[27]</w:t>
      </w:r>
      <w:r w:rsidR="00DA779C">
        <w:fldChar w:fldCharType="end"/>
      </w:r>
      <w:r w:rsidR="008E0A0D">
        <w:t xml:space="preserve"> </w:t>
      </w:r>
      <w:r w:rsidR="000D6B4E">
        <w:t xml:space="preserve"> Caruana </w:t>
      </w:r>
      <w:r w:rsidR="00DA779C">
        <w:fldChar w:fldCharType="begin"/>
      </w:r>
      <w:r w:rsidR="00DA779C">
        <w:instrText xml:space="preserve"> ADDIN EN.CITE &lt;EndNote&gt;&lt;Cite ExcludeYear="1"&gt;&lt;Author&gt;Caruana&lt;/Author&gt;&lt;Year&gt;2006&lt;/Year&gt;&lt;RecNum&gt;1636&lt;/RecNum&gt;&lt;DisplayText&gt;[28]&lt;/DisplayText&gt;&lt;record&gt;&lt;rec-number&gt;1636&lt;/rec-number&gt;&lt;foreign-keys&gt;&lt;key app="EN" db-id="0ftvff9p80fp5few5s05f5fw9rd9fefrdzer" timestamp="1546563359"&gt;1636&lt;/key&gt;&lt;/foreign-keys&gt;&lt;ref-type name="Journal Article"&gt;17&lt;/ref-type&gt;&lt;contributors&gt;&lt;authors&gt;&lt;author&gt;Caruana, Rich&lt;/author&gt;&lt;author&gt;Niculescu-Mizil, Alexandru&lt;/author&gt;&lt;/authors&gt;&lt;/contributors&gt;&lt;titles&gt;&lt;title&gt;An Empirical Comparison of Supervised Learning Algorithms&lt;/title&gt;&lt;secondary-title&gt;Proceedings of the 23rd International Conference on Machine Learning&lt;/secondary-title&gt;&lt;/titles&gt;&lt;periodical&gt;&lt;full-title&gt;Proceedings of the 23rd International Conference on Machine Learning&lt;/full-title&gt;&lt;/periodical&gt;&lt;dates&gt;&lt;year&gt;2006&lt;/year&gt;&lt;/dates&gt;&lt;urls&gt;&lt;related-urls&gt;&lt;url&gt;https://www.cs.cornell.edu/~caruana/ctp/ct.papers/caruana.icml06.pdf&lt;/url&gt;&lt;/related-urls&gt;&lt;/urls&gt;&lt;/record&gt;&lt;/Cite&gt;&lt;/EndNote&gt;</w:instrText>
      </w:r>
      <w:r w:rsidR="00DA779C">
        <w:fldChar w:fldCharType="separate"/>
      </w:r>
      <w:r w:rsidR="00DA779C">
        <w:rPr>
          <w:noProof/>
        </w:rPr>
        <w:t>[28]</w:t>
      </w:r>
      <w:r w:rsidR="00DA779C">
        <w:fldChar w:fldCharType="end"/>
      </w:r>
      <w:r w:rsidR="00BE11EC">
        <w:t xml:space="preserve"> </w:t>
      </w:r>
      <w:r w:rsidR="000D6B4E">
        <w:t>compared 8 different machine learning techniques for binary classification using a variety of performance metrics on 11 different datasets, including 2 medical datasets; random forests performed best in both medical datasets.</w:t>
      </w:r>
      <w:r w:rsidR="000D6B4E">
        <w:rPr>
          <w:rStyle w:val="FootnoteReference"/>
        </w:rPr>
        <w:footnoteReference w:id="15"/>
      </w:r>
      <w:r w:rsidR="000D6B4E">
        <w:t xml:space="preserve"> </w:t>
      </w:r>
      <w:r w:rsidR="008E0A0D">
        <w:t>You are sure to see more application</w:t>
      </w:r>
      <w:r w:rsidR="003A2B6C">
        <w:t>s</w:t>
      </w:r>
      <w:r w:rsidR="008E0A0D">
        <w:t xml:space="preserve"> of random forests to clinical diagnosis and prediction. </w:t>
      </w:r>
      <w:r w:rsidR="00DA779C">
        <w:fldChar w:fldCharType="begin">
          <w:fldData xml:space="preserve">PEVuZE5vdGU+PENpdGU+PEF1dGhvcj5DYXJ1YW5hPC9BdXRob3I+PFllYXI+MjAwNjwvWWVhcj48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</w:fldData>
        </w:fldChar>
      </w:r>
      <w:r w:rsidR="00DA779C">
        <w:instrText xml:space="preserve"> ADDIN EN.CITE </w:instrText>
      </w:r>
      <w:r w:rsidR="00DA779C">
        <w:fldChar w:fldCharType="begin">
          <w:fldData xml:space="preserve">PEVuZE5vdGU+PENpdGU+PEF1dGhvcj5DYXJ1YW5hPC9BdXRob3I+PFllYXI+MjAwNjwvWWVhcj48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</w:fldData>
        </w:fldChar>
      </w:r>
      <w:r w:rsidR="00DA779C">
        <w:instrText xml:space="preserve"> ADDIN EN.CITE.DATA </w:instrText>
      </w:r>
      <w:r w:rsidR="00DA779C">
        <w:fldChar w:fldCharType="end"/>
      </w:r>
      <w:r w:rsidR="00DA779C">
        <w:fldChar w:fldCharType="separate"/>
      </w:r>
      <w:r w:rsidR="00DA779C">
        <w:rPr>
          <w:noProof/>
        </w:rPr>
        <w:t>[28-30]</w:t>
      </w:r>
      <w:r w:rsidR="00DA779C">
        <w:fldChar w:fldCharType="end"/>
      </w:r>
    </w:p>
    <w:p w14:paraId="12677B4B" w14:textId="0297E22A" w:rsidR="000A3C95" w:rsidRPr="00711B22" w:rsidRDefault="000A3C95" w:rsidP="000A3C95">
      <w:pPr>
        <w:pStyle w:val="Heading2"/>
      </w:pPr>
      <w:r w:rsidRPr="00711B22">
        <w:t>The clinician versus the decision rule</w:t>
      </w:r>
      <w:r w:rsidR="00C353BB">
        <w:t xml:space="preserve"> </w:t>
      </w:r>
    </w:p>
    <w:p w14:paraId="5B58E49F" w14:textId="23134D21" w:rsidR="00B60E1F" w:rsidRDefault="005B4375" w:rsidP="00A958E1">
      <w:r>
        <w:t xml:space="preserve">Because clinical </w:t>
      </w:r>
      <w:r w:rsidR="004B65EB" w:rsidRPr="005D3AF9">
        <w:rPr>
          <w:b/>
        </w:rPr>
        <w:t>prediction</w:t>
      </w:r>
      <w:r w:rsidR="004B65EB">
        <w:t xml:space="preserve"> </w:t>
      </w:r>
      <w:r>
        <w:t xml:space="preserve">rules are based on large datasets and combine variables in </w:t>
      </w:r>
      <w:r w:rsidR="00623F57">
        <w:t xml:space="preserve">a consistent mathematical </w:t>
      </w:r>
      <w:r>
        <w:t>way</w:t>
      </w:r>
      <w:r w:rsidR="00623F57">
        <w:t xml:space="preserve">, </w:t>
      </w:r>
      <w:r w:rsidR="004B65EB">
        <w:t>they</w:t>
      </w:r>
      <w:r w:rsidR="00623F57">
        <w:t xml:space="preserve"> </w:t>
      </w:r>
      <w:r w:rsidR="002506CC">
        <w:t xml:space="preserve">generally do </w:t>
      </w:r>
      <w:r w:rsidR="00623F57">
        <w:t>better than even experienced clinicians</w:t>
      </w:r>
      <w:r w:rsidR="007714BD">
        <w:t xml:space="preserve"> at estimating disease probability</w:t>
      </w:r>
      <w:r w:rsidR="00623F57">
        <w:t>.</w:t>
      </w:r>
      <w:r w:rsidR="00290D65">
        <w:rPr>
          <w:rStyle w:val="FootnoteReference"/>
        </w:rPr>
        <w:footnoteReference w:id="16"/>
      </w:r>
      <w:r w:rsidR="00623F57">
        <w:t xml:space="preserve">  </w:t>
      </w:r>
      <w:r w:rsidR="00B545E1">
        <w:t xml:space="preserve">For example, </w:t>
      </w:r>
      <w:r w:rsidR="002475A5">
        <w:t xml:space="preserve">a </w:t>
      </w:r>
      <w:r w:rsidR="00277514">
        <w:t xml:space="preserve">simple </w:t>
      </w:r>
      <w:r w:rsidR="002475A5">
        <w:t xml:space="preserve">clinical prediction rule called PLAN </w:t>
      </w:r>
      <w:r w:rsidR="00277514">
        <w:t>for predicting death and severe disability on hospitalization for stroke</w:t>
      </w:r>
      <w:r w:rsidR="00DA779C">
        <w:fldChar w:fldCharType="begin">
          <w:fldData xml:space="preserve">PEVuZE5vdGU+PENpdGU+PEF1dGhvcj5PJmFwb3M7RG9ubmVsbDwvQXV0aG9yPjxZZWFyPjIwMTI8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</w:fldData>
        </w:fldChar>
      </w:r>
      <w:r w:rsidR="00DA779C">
        <w:instrText xml:space="preserve"> ADDIN EN.CITE </w:instrText>
      </w:r>
      <w:r w:rsidR="00DA779C">
        <w:fldChar w:fldCharType="begin">
          <w:fldData xml:space="preserve">PEVuZE5vdGU+PENpdGU+PEF1dGhvcj5PJmFwb3M7RG9ubmVsbDwvQXV0aG9yPjxZZWFyPjIwMTI8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</w:fldData>
        </w:fldChar>
      </w:r>
      <w:r w:rsidR="00DA779C">
        <w:instrText xml:space="preserve"> ADDIN EN.CITE.DATA </w:instrText>
      </w:r>
      <w:r w:rsidR="00DA779C">
        <w:fldChar w:fldCharType="end"/>
      </w:r>
      <w:r w:rsidR="00DA779C">
        <w:fldChar w:fldCharType="separate"/>
      </w:r>
      <w:r w:rsidR="00DA779C">
        <w:rPr>
          <w:noProof/>
        </w:rPr>
        <w:t>[31]</w:t>
      </w:r>
      <w:r w:rsidR="00DA779C">
        <w:fldChar w:fldCharType="end"/>
      </w:r>
      <w:r w:rsidR="00277514">
        <w:t xml:space="preserve"> appears to discriminate better than</w:t>
      </w:r>
      <w:r w:rsidR="002E667A">
        <w:t xml:space="preserve"> physicians.</w:t>
      </w:r>
      <w:r w:rsidR="00DA779C">
        <w:fldChar w:fldCharType="begin">
          <w:fldData xml:space="preserve">PEVuZE5vdGU+PENpdGU+PEF1dGhvcj5SZWlkPC9BdXRob3I+PFllYXI+MjAxNzwvWWVhcj48UmVj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</w:fldData>
        </w:fldChar>
      </w:r>
      <w:r w:rsidR="00DA779C">
        <w:instrText xml:space="preserve"> ADDIN EN.CITE </w:instrText>
      </w:r>
      <w:r w:rsidR="00DA779C">
        <w:fldChar w:fldCharType="begin">
          <w:fldData xml:space="preserve">PEVuZE5vdGU+PENpdGU+PEF1dGhvcj5SZWlkPC9BdXRob3I+PFllYXI+MjAxNzwvWWVhcj48UmVj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</w:fldData>
        </w:fldChar>
      </w:r>
      <w:r w:rsidR="00DA779C">
        <w:instrText xml:space="preserve"> ADDIN EN.CITE.DATA </w:instrText>
      </w:r>
      <w:r w:rsidR="00DA779C">
        <w:fldChar w:fldCharType="end"/>
      </w:r>
      <w:r w:rsidR="00DA779C">
        <w:fldChar w:fldCharType="separate"/>
      </w:r>
      <w:r w:rsidR="00DA779C">
        <w:rPr>
          <w:noProof/>
        </w:rPr>
        <w:t>[32]</w:t>
      </w:r>
      <w:r w:rsidR="00DA779C">
        <w:fldChar w:fldCharType="end"/>
      </w:r>
    </w:p>
    <w:p w14:paraId="5B63E290" w14:textId="0E120096" w:rsidR="000A3C95" w:rsidRPr="00711B22" w:rsidRDefault="007714BD" w:rsidP="000A3C95">
      <w:pPr>
        <w:pStyle w:val="NormalWeb"/>
      </w:pPr>
      <w:r>
        <w:t>But, as we have learned, more goes into decisions than just estimating probabilities.</w:t>
      </w:r>
      <w:r w:rsidR="002506CC">
        <w:t xml:space="preserve"> We have reservations about</w:t>
      </w:r>
      <w:r>
        <w:t xml:space="preserve"> </w:t>
      </w:r>
      <w:r w:rsidR="002506CC">
        <w:t>broad application of c</w:t>
      </w:r>
      <w:r w:rsidR="000A3C95" w:rsidRPr="00711B22">
        <w:t xml:space="preserve">linical </w:t>
      </w:r>
      <w:r w:rsidR="000A3C95" w:rsidRPr="005D3AF9">
        <w:rPr>
          <w:b/>
        </w:rPr>
        <w:t>decision</w:t>
      </w:r>
      <w:r w:rsidR="000A3C95" w:rsidRPr="00711B22">
        <w:t xml:space="preserve"> rules</w:t>
      </w:r>
      <w:r w:rsidR="002506CC">
        <w:t xml:space="preserve"> that </w:t>
      </w:r>
      <w:r w:rsidR="0081214B">
        <w:t xml:space="preserve">go beyond </w:t>
      </w:r>
      <w:r w:rsidR="002506CC">
        <w:t>help</w:t>
      </w:r>
      <w:r w:rsidR="0081214B">
        <w:t>ing us e</w:t>
      </w:r>
      <w:r w:rsidR="002506CC">
        <w:t>stimate probabilities</w:t>
      </w:r>
      <w:r w:rsidR="0081214B">
        <w:t xml:space="preserve"> and </w:t>
      </w:r>
      <w:r w:rsidR="002506CC">
        <w:t xml:space="preserve">tell us what to do. </w:t>
      </w:r>
      <w:r w:rsidR="00CD1A54">
        <w:t xml:space="preserve"> </w:t>
      </w:r>
      <w:r w:rsidR="002506CC">
        <w:t>These rules generally</w:t>
      </w:r>
      <w:r w:rsidR="000A3C95" w:rsidRPr="00711B22">
        <w:t xml:space="preserve"> assume that </w:t>
      </w:r>
      <w:r w:rsidR="0081214B">
        <w:t>the treatment threshold probability is</w:t>
      </w:r>
      <w:r w:rsidR="000A3C95" w:rsidRPr="00711B22">
        <w:t xml:space="preserve"> the same from patient to patient.</w:t>
      </w:r>
      <w:r w:rsidR="006942D3">
        <w:t xml:space="preserve">  T</w:t>
      </w:r>
      <w:r w:rsidR="000A3C95" w:rsidRPr="00711B22">
        <w:t xml:space="preserve">he clinician </w:t>
      </w:r>
      <w:r w:rsidR="002506CC">
        <w:t>can</w:t>
      </w:r>
      <w:r w:rsidR="000A3C95" w:rsidRPr="00711B22">
        <w:t xml:space="preserve"> adjust the decision threshold based on differing consequences of error</w:t>
      </w:r>
      <w:r w:rsidR="00C353BB">
        <w:t xml:space="preserve"> and the patient's values</w:t>
      </w:r>
      <w:r w:rsidR="000A3C95" w:rsidRPr="00711B22">
        <w:t xml:space="preserve">. </w:t>
      </w:r>
      <w:r w:rsidR="002506CC">
        <w:t xml:space="preserve"> </w:t>
      </w:r>
      <w:r w:rsidR="000A3C95" w:rsidRPr="00711B22">
        <w:t xml:space="preserve">For example, </w:t>
      </w:r>
      <w:r w:rsidR="00AC1DFF">
        <w:t xml:space="preserve">our threshold for initially treating an infant at risk for </w:t>
      </w:r>
      <w:r w:rsidR="000A3C95" w:rsidRPr="00711B22">
        <w:t>bacteremia m</w:t>
      </w:r>
      <w:r w:rsidR="00AC1DFF">
        <w:t>ight be lower</w:t>
      </w:r>
      <w:r w:rsidR="000A3C95" w:rsidRPr="00711B22">
        <w:t xml:space="preserve"> if the family lives far from the hospital or has no home telephone. The above-mentioned risk threshold for fetal diagnostic procedures of 1 in 300 does not allow that failing to diagnose trisomy 21</w:t>
      </w:r>
      <w:r w:rsidR="004E4973">
        <w:t xml:space="preserve"> and/or fetal loss due to the chorionic </w:t>
      </w:r>
      <w:r w:rsidR="004E4973">
        <w:lastRenderedPageBreak/>
        <w:t>villus sampling</w:t>
      </w:r>
      <w:r w:rsidR="000A3C95" w:rsidRPr="00711B22">
        <w:t xml:space="preserve"> may </w:t>
      </w:r>
      <w:r w:rsidR="00C353BB">
        <w:t>be valued differently by</w:t>
      </w:r>
      <w:r w:rsidR="000A3C95" w:rsidRPr="00711B22">
        <w:t xml:space="preserve"> different </w:t>
      </w:r>
      <w:r w:rsidR="004E4973">
        <w:t>parents</w:t>
      </w:r>
      <w:r w:rsidR="000A3C95" w:rsidRPr="00711B22">
        <w:t xml:space="preserve">. The ability to </w:t>
      </w:r>
      <w:r w:rsidR="000A3C95">
        <w:t>account</w:t>
      </w:r>
      <w:r w:rsidR="000A3C95" w:rsidRPr="00711B22">
        <w:t xml:space="preserve"> for these differences is </w:t>
      </w:r>
      <w:r w:rsidR="0081214B">
        <w:t xml:space="preserve">a </w:t>
      </w:r>
      <w:r w:rsidR="000A3C95" w:rsidRPr="00711B22">
        <w:t>potential advantage of the clinician over the decision rule.</w:t>
      </w:r>
    </w:p>
    <w:p w14:paraId="1E8BE058" w14:textId="77777777" w:rsidR="00433227" w:rsidRPr="00711B22" w:rsidRDefault="007E4D31" w:rsidP="009801BE">
      <w:pPr>
        <w:pStyle w:val="Heading2"/>
        <w:rPr>
          <w:rFonts w:cs="Times New Roman"/>
        </w:rPr>
      </w:pPr>
      <w:r w:rsidRPr="00711B22">
        <w:rPr>
          <w:rFonts w:cs="Times New Roman"/>
        </w:rPr>
        <w:t>Summary of key points</w:t>
      </w:r>
    </w:p>
    <w:p w14:paraId="772A5400" w14:textId="77777777" w:rsidR="000209AC" w:rsidRPr="00711B22" w:rsidRDefault="007E4D31" w:rsidP="00A9503A">
      <w:pPr>
        <w:pStyle w:val="NormalWeb"/>
        <w:ind w:left="270" w:hanging="270"/>
      </w:pPr>
      <w:r w:rsidRPr="00711B22">
        <w:t>1. When combining the results of multiple tests for a disease, it is only valid to multiply the LRs for the individual test results if the tests are independent.</w:t>
      </w:r>
    </w:p>
    <w:p w14:paraId="2DE58182" w14:textId="77777777" w:rsidR="000209AC" w:rsidRPr="00711B22" w:rsidRDefault="007E4D31" w:rsidP="00970216">
      <w:pPr>
        <w:pStyle w:val="NormalWeb"/>
        <w:spacing w:before="0" w:beforeAutospacing="0" w:after="0" w:afterAutospacing="0"/>
      </w:pPr>
      <w:r w:rsidRPr="00711B22">
        <w:t xml:space="preserve">2. Tests for the same disease are often </w:t>
      </w:r>
      <w:proofErr w:type="spellStart"/>
      <w:r w:rsidRPr="00711B22">
        <w:t>nonindependent</w:t>
      </w:r>
      <w:proofErr w:type="spellEnd"/>
      <w:r w:rsidRPr="00711B22">
        <w:t xml:space="preserve"> for three inter-related reasons:</w:t>
      </w:r>
    </w:p>
    <w:p w14:paraId="58A6154B" w14:textId="77777777" w:rsidR="000209AC" w:rsidRPr="00711B22" w:rsidRDefault="007E4D31" w:rsidP="00970216">
      <w:pPr>
        <w:pStyle w:val="NormalWeb"/>
        <w:spacing w:before="0" w:beforeAutospacing="0" w:after="0" w:afterAutospacing="0"/>
        <w:ind w:left="270"/>
      </w:pPr>
      <w:r w:rsidRPr="00711B22">
        <w:t>a) they measure the same pathophysiologic aspect of the disease;</w:t>
      </w:r>
    </w:p>
    <w:p w14:paraId="768BB981" w14:textId="7C245D67" w:rsidR="000209AC" w:rsidRPr="00711B22" w:rsidRDefault="007E4D31" w:rsidP="00970216">
      <w:pPr>
        <w:pStyle w:val="NormalWeb"/>
        <w:spacing w:before="0" w:beforeAutospacing="0" w:after="0" w:afterAutospacing="0"/>
        <w:ind w:left="270"/>
      </w:pPr>
      <w:r w:rsidRPr="00711B22">
        <w:t>b) the diseased group is heterogeneous; and</w:t>
      </w:r>
      <w:r w:rsidR="00BB2720">
        <w:t>/or</w:t>
      </w:r>
    </w:p>
    <w:p w14:paraId="69589334" w14:textId="77777777" w:rsidR="000209AC" w:rsidRPr="00711B22" w:rsidRDefault="007E4D31" w:rsidP="00970216">
      <w:pPr>
        <w:pStyle w:val="NormalWeb"/>
        <w:spacing w:before="0" w:beforeAutospacing="0" w:after="0" w:afterAutospacing="0"/>
        <w:ind w:left="270"/>
      </w:pPr>
      <w:r w:rsidRPr="00711B22">
        <w:t xml:space="preserve">c) the </w:t>
      </w:r>
      <w:proofErr w:type="spellStart"/>
      <w:r w:rsidRPr="00711B22">
        <w:t>nondiseased</w:t>
      </w:r>
      <w:proofErr w:type="spellEnd"/>
      <w:r w:rsidRPr="00711B22">
        <w:t xml:space="preserve"> group is heterogeneous.</w:t>
      </w:r>
    </w:p>
    <w:p w14:paraId="06143026" w14:textId="1D466852" w:rsidR="000209AC" w:rsidRPr="00711B22" w:rsidRDefault="007E4D31" w:rsidP="00A9503A">
      <w:pPr>
        <w:pStyle w:val="NormalWeb"/>
        <w:ind w:left="270" w:hanging="270"/>
      </w:pPr>
      <w:r w:rsidRPr="00711B22">
        <w:t>3. The ideal way to use results from multiple different tests would be to empirically de</w:t>
      </w:r>
      <w:r w:rsidR="00191BDE" w:rsidRPr="00711B22">
        <w:t>fi</w:t>
      </w:r>
      <w:r w:rsidRPr="00711B22">
        <w:t>ne an LR for each possible combination of results. However, the number of possible combinations</w:t>
      </w:r>
      <w:r w:rsidR="00644866">
        <w:t xml:space="preserve"> of test results compared with the number of outcomes</w:t>
      </w:r>
      <w:r w:rsidRPr="00711B22">
        <w:t xml:space="preserve"> often makes this</w:t>
      </w:r>
      <w:r w:rsidR="00644866">
        <w:t xml:space="preserve"> infeasible</w:t>
      </w:r>
      <w:r w:rsidRPr="00711B22">
        <w:t>.</w:t>
      </w:r>
    </w:p>
    <w:p w14:paraId="4F87D7C1" w14:textId="3C38004B" w:rsidR="000209AC" w:rsidRPr="00711B22" w:rsidRDefault="007E4D31" w:rsidP="00A9503A">
      <w:pPr>
        <w:pStyle w:val="NormalWeb"/>
        <w:ind w:left="270" w:hanging="270"/>
      </w:pPr>
      <w:r w:rsidRPr="00711B22">
        <w:t xml:space="preserve">4. </w:t>
      </w:r>
      <w:r w:rsidR="00644866">
        <w:t>Two</w:t>
      </w:r>
      <w:r w:rsidR="00644866" w:rsidRPr="00711B22">
        <w:t xml:space="preserve"> </w:t>
      </w:r>
      <w:r w:rsidRPr="00711B22">
        <w:t xml:space="preserve">main methods used to combine results of multiple tests are </w:t>
      </w:r>
      <w:r w:rsidR="00D74353">
        <w:t xml:space="preserve">classification trees </w:t>
      </w:r>
      <w:r w:rsidRPr="00711B22">
        <w:t>and multivariable logistic regression.</w:t>
      </w:r>
    </w:p>
    <w:p w14:paraId="296CD890" w14:textId="77777777" w:rsidR="000209AC" w:rsidRPr="00711B22" w:rsidRDefault="007E4D31" w:rsidP="00A9503A">
      <w:pPr>
        <w:pStyle w:val="NormalWeb"/>
        <w:ind w:left="270" w:hanging="270"/>
      </w:pPr>
      <w:r w:rsidRPr="00711B22">
        <w:t>5. Developing a decision rule for combining multiple tests often involves variable selection – that is, choosing which tests to include in the rule.</w:t>
      </w:r>
    </w:p>
    <w:p w14:paraId="4FBCD0CC" w14:textId="627DAF85" w:rsidR="00433227" w:rsidRDefault="007E4D31" w:rsidP="00A9503A">
      <w:pPr>
        <w:pStyle w:val="NormalWeb"/>
        <w:ind w:left="270" w:hanging="270"/>
      </w:pPr>
      <w:r w:rsidRPr="00711B22">
        <w:t>6. The choice of variables when deriving a decision rule is particularly subject to chance variations in the sample (derivation) dataset, and therefore, validation of the rule in a separate, independent population is important.</w:t>
      </w:r>
    </w:p>
    <w:p w14:paraId="0AC362F4" w14:textId="0ECF335B" w:rsidR="00F77265" w:rsidRDefault="00F77265" w:rsidP="00A9503A">
      <w:pPr>
        <w:pStyle w:val="NormalWeb"/>
        <w:ind w:left="270" w:hanging="270"/>
      </w:pPr>
      <w:r>
        <w:t xml:space="preserve">7. </w:t>
      </w:r>
      <w:r w:rsidR="00BF3A1D">
        <w:t xml:space="preserve">The machine-learning methods of bootstrap aggregation and random forests will be used increasingly to develop decision rules and multivariate risk models but </w:t>
      </w:r>
      <w:r w:rsidR="001F1665">
        <w:t>lack transparency regarding which</w:t>
      </w:r>
      <w:r w:rsidR="00BF3A1D">
        <w:t xml:space="preserve"> variables </w:t>
      </w:r>
      <w:r w:rsidR="001F1665">
        <w:t xml:space="preserve">are most influential </w:t>
      </w:r>
      <w:r w:rsidR="00BF3A1D">
        <w:t>in determining risk.</w:t>
      </w:r>
    </w:p>
    <w:p w14:paraId="3DF1D751" w14:textId="6CF5363C" w:rsidR="00CD1A54" w:rsidRDefault="00CD1A54" w:rsidP="00A9503A">
      <w:pPr>
        <w:pStyle w:val="NormalWeb"/>
        <w:ind w:left="270" w:hanging="270"/>
      </w:pPr>
      <w:r>
        <w:t xml:space="preserve">8. Clinical prediction rules are good for estimating the probability of disease or specific outcomes, but </w:t>
      </w:r>
      <w:r w:rsidR="00C57EFB">
        <w:t>clinicians can</w:t>
      </w:r>
      <w:r w:rsidR="00586D72">
        <w:t xml:space="preserve"> incorporate other information as well, including patients' values.</w:t>
      </w:r>
    </w:p>
    <w:p w14:paraId="162E9C01" w14:textId="4EBDF367" w:rsidR="00837551" w:rsidRDefault="00837551">
      <w:r>
        <w:br w:type="page"/>
      </w:r>
    </w:p>
    <w:p w14:paraId="034C1326" w14:textId="77777777" w:rsidR="00DA779C" w:rsidRPr="00DA779C" w:rsidRDefault="00DA779C" w:rsidP="00DA779C">
      <w:pPr>
        <w:pStyle w:val="EndNoteBibliographyTitle"/>
        <w:rPr>
          <w:noProof/>
        </w:rPr>
      </w:pPr>
      <w:r>
        <w:lastRenderedPageBreak/>
        <w:fldChar w:fldCharType="begin"/>
      </w:r>
      <w:r>
        <w:instrText xml:space="preserve"> ADDIN EN.REFLIST </w:instrText>
      </w:r>
      <w:r>
        <w:fldChar w:fldCharType="separate"/>
      </w:r>
      <w:r w:rsidRPr="00DA779C">
        <w:rPr>
          <w:noProof/>
        </w:rPr>
        <w:t>REFERENCES</w:t>
      </w:r>
    </w:p>
    <w:p w14:paraId="16D17700" w14:textId="77777777" w:rsidR="00DA779C" w:rsidRPr="00DA779C" w:rsidRDefault="00DA779C" w:rsidP="00DA779C">
      <w:pPr>
        <w:pStyle w:val="EndNoteBibliographyTitle"/>
        <w:rPr>
          <w:noProof/>
        </w:rPr>
      </w:pPr>
    </w:p>
    <w:p w14:paraId="553EBA8A" w14:textId="77777777" w:rsidR="00DA779C" w:rsidRPr="00DA779C" w:rsidRDefault="00DA779C" w:rsidP="00DA779C">
      <w:pPr>
        <w:pStyle w:val="EndNoteBibliography"/>
        <w:rPr>
          <w:noProof/>
          <w:sz w:val="20"/>
          <w:szCs w:val="20"/>
        </w:rPr>
      </w:pPr>
      <w:r w:rsidRPr="00DA779C">
        <w:rPr>
          <w:noProof/>
          <w:sz w:val="20"/>
          <w:szCs w:val="20"/>
        </w:rPr>
        <w:t>1.</w:t>
      </w:r>
      <w:r w:rsidRPr="00DA779C">
        <w:rPr>
          <w:noProof/>
          <w:sz w:val="20"/>
          <w:szCs w:val="20"/>
        </w:rPr>
        <w:tab/>
        <w:t>Lachs MS, Nachamkin I, Edelstein PH, Goldman J, Feinstein AR, Schwartz JS. Spectrum bias in the evaluation of diagnostic tests: lessons from the rapid dipstick test for urinary tract infection. Ann Intern Med. 1992;117(2):135-40.</w:t>
      </w:r>
    </w:p>
    <w:p w14:paraId="478E4410" w14:textId="77777777" w:rsidR="00DA779C" w:rsidRPr="00DA779C" w:rsidRDefault="00DA779C" w:rsidP="00DA779C">
      <w:pPr>
        <w:pStyle w:val="EndNoteBibliography"/>
        <w:rPr>
          <w:noProof/>
          <w:sz w:val="20"/>
          <w:szCs w:val="20"/>
        </w:rPr>
      </w:pPr>
      <w:r w:rsidRPr="00DA779C">
        <w:rPr>
          <w:noProof/>
          <w:sz w:val="20"/>
          <w:szCs w:val="20"/>
        </w:rPr>
        <w:t>2.</w:t>
      </w:r>
      <w:r w:rsidRPr="00DA779C">
        <w:rPr>
          <w:noProof/>
          <w:sz w:val="20"/>
          <w:szCs w:val="20"/>
        </w:rPr>
        <w:tab/>
        <w:t>Cicero S, Rembouskos G, Vandecruys H, Hogg M, Nicolaides KH. Likelihood ratio for trisomy 21 in fetuses with absent nasal bone at the 11-14-week scan. Ultrasound Obstet Gynecol. 2004;23(3):218-23.</w:t>
      </w:r>
    </w:p>
    <w:p w14:paraId="6540AF47" w14:textId="77777777" w:rsidR="00DA779C" w:rsidRPr="00DA779C" w:rsidRDefault="00DA779C" w:rsidP="00DA779C">
      <w:pPr>
        <w:pStyle w:val="EndNoteBibliography"/>
        <w:rPr>
          <w:noProof/>
          <w:sz w:val="20"/>
          <w:szCs w:val="20"/>
        </w:rPr>
      </w:pPr>
      <w:r w:rsidRPr="00DA779C">
        <w:rPr>
          <w:noProof/>
          <w:sz w:val="20"/>
          <w:szCs w:val="20"/>
        </w:rPr>
        <w:t>3.</w:t>
      </w:r>
      <w:r w:rsidRPr="00DA779C">
        <w:rPr>
          <w:noProof/>
          <w:sz w:val="20"/>
          <w:szCs w:val="20"/>
        </w:rPr>
        <w:tab/>
        <w:t>Stiell IG, McKnight RD, Greenberg GH, McDowell I, Nair RC, Wells GA, et al. Implementation of the Ottawa ankle rules. JAMA. 1994;271(11):827-32.</w:t>
      </w:r>
    </w:p>
    <w:p w14:paraId="6704C784" w14:textId="77777777" w:rsidR="00DA779C" w:rsidRPr="00DA779C" w:rsidRDefault="00DA779C" w:rsidP="00DA779C">
      <w:pPr>
        <w:pStyle w:val="EndNoteBibliography"/>
        <w:rPr>
          <w:noProof/>
          <w:sz w:val="20"/>
          <w:szCs w:val="20"/>
        </w:rPr>
      </w:pPr>
      <w:r w:rsidRPr="00DA779C">
        <w:rPr>
          <w:noProof/>
          <w:sz w:val="20"/>
          <w:szCs w:val="20"/>
        </w:rPr>
        <w:t>4.</w:t>
      </w:r>
      <w:r w:rsidRPr="00DA779C">
        <w:rPr>
          <w:noProof/>
          <w:sz w:val="20"/>
          <w:szCs w:val="20"/>
        </w:rPr>
        <w:tab/>
        <w:t>Hoffman JR, Mower WR, Wolfson AB, Todd KH, Zucker MI. Validity of a set of clinical criteria to rule out injury to the cervical spine in patients with blunt trauma. National Emergency X-Radiography Utilization Study Group. N Engl J Med. 2000;343(2):94-9.</w:t>
      </w:r>
    </w:p>
    <w:p w14:paraId="561930D7" w14:textId="77777777" w:rsidR="00DA779C" w:rsidRPr="00DA779C" w:rsidRDefault="00DA779C" w:rsidP="00DA779C">
      <w:pPr>
        <w:pStyle w:val="EndNoteBibliography"/>
        <w:rPr>
          <w:noProof/>
          <w:sz w:val="20"/>
          <w:szCs w:val="20"/>
        </w:rPr>
      </w:pPr>
      <w:r w:rsidRPr="00DA779C">
        <w:rPr>
          <w:noProof/>
          <w:sz w:val="20"/>
          <w:szCs w:val="20"/>
        </w:rPr>
        <w:t>5.</w:t>
      </w:r>
      <w:r w:rsidRPr="00DA779C">
        <w:rPr>
          <w:noProof/>
          <w:sz w:val="20"/>
          <w:szCs w:val="20"/>
        </w:rPr>
        <w:tab/>
        <w:t>Hoffman JR, Wolfson AB, Todd K, Mower WR. Selective cervical spine radiography in blunt trauma: methodology of the National Emergency X-Radiography Utilization Study (NEXUS) [see comments]. Ann Emerg Med. 1998;32(4):461-9.</w:t>
      </w:r>
    </w:p>
    <w:p w14:paraId="2FE214D8" w14:textId="77777777" w:rsidR="00DA779C" w:rsidRPr="00DA779C" w:rsidRDefault="00DA779C" w:rsidP="00DA779C">
      <w:pPr>
        <w:pStyle w:val="EndNoteBibliography"/>
        <w:rPr>
          <w:noProof/>
          <w:sz w:val="20"/>
          <w:szCs w:val="20"/>
        </w:rPr>
      </w:pPr>
      <w:r w:rsidRPr="00DA779C">
        <w:rPr>
          <w:noProof/>
          <w:sz w:val="20"/>
          <w:szCs w:val="20"/>
        </w:rPr>
        <w:t>6.</w:t>
      </w:r>
      <w:r w:rsidRPr="00DA779C">
        <w:rPr>
          <w:noProof/>
          <w:sz w:val="20"/>
          <w:szCs w:val="20"/>
        </w:rPr>
        <w:tab/>
        <w:t>Quinn JV, Stiell IG, McDermott DA, Sellers KL, Kohn MA, Wells GA. Derivation of the San Francisco Syncope Rule to predict patients with short-term serious outcomes. Ann Emerg Med. 2004;43(2):224-32.</w:t>
      </w:r>
    </w:p>
    <w:p w14:paraId="22AB4224" w14:textId="14BCD8A0" w:rsidR="00DA779C" w:rsidRPr="00DA779C" w:rsidRDefault="00DA779C" w:rsidP="00DA779C">
      <w:pPr>
        <w:pStyle w:val="EndNoteBibliography"/>
        <w:rPr>
          <w:noProof/>
          <w:sz w:val="20"/>
          <w:szCs w:val="20"/>
        </w:rPr>
      </w:pPr>
      <w:r w:rsidRPr="00DA779C">
        <w:rPr>
          <w:noProof/>
          <w:sz w:val="20"/>
          <w:szCs w:val="20"/>
        </w:rPr>
        <w:t>7.</w:t>
      </w:r>
      <w:r w:rsidRPr="00DA779C">
        <w:rPr>
          <w:noProof/>
          <w:sz w:val="20"/>
          <w:szCs w:val="20"/>
        </w:rPr>
        <w:tab/>
        <w:t xml:space="preserve">Therneau T, Atkinson E. An Introduction to Recursive Partitioning Using the RPART Routines [web page/pdf]. cran.r-project.org; 2018 [Available from: </w:t>
      </w:r>
      <w:hyperlink r:id="rId26" w:history="1">
        <w:r w:rsidRPr="00DA779C">
          <w:rPr>
            <w:rStyle w:val="Hyperlink"/>
            <w:noProof/>
            <w:sz w:val="20"/>
            <w:szCs w:val="20"/>
          </w:rPr>
          <w:t>https://cran.r-project.org/web/packages/rpart/vignettes/longintro.pdf</w:t>
        </w:r>
      </w:hyperlink>
      <w:r w:rsidRPr="00DA779C">
        <w:rPr>
          <w:noProof/>
          <w:sz w:val="20"/>
          <w:szCs w:val="20"/>
        </w:rPr>
        <w:t>.</w:t>
      </w:r>
    </w:p>
    <w:p w14:paraId="3E98E092" w14:textId="77777777" w:rsidR="00DA779C" w:rsidRPr="00DA779C" w:rsidRDefault="00DA779C" w:rsidP="00DA779C">
      <w:pPr>
        <w:pStyle w:val="EndNoteBibliography"/>
        <w:rPr>
          <w:noProof/>
          <w:sz w:val="20"/>
          <w:szCs w:val="20"/>
        </w:rPr>
      </w:pPr>
      <w:r w:rsidRPr="00DA779C">
        <w:rPr>
          <w:noProof/>
          <w:sz w:val="20"/>
          <w:szCs w:val="20"/>
        </w:rPr>
        <w:t>8.</w:t>
      </w:r>
      <w:r w:rsidRPr="00DA779C">
        <w:rPr>
          <w:noProof/>
          <w:sz w:val="20"/>
          <w:szCs w:val="20"/>
        </w:rPr>
        <w:tab/>
        <w:t>Goldman L, Cook EF, Brand DA, Lee TH, Rouan GW, Weisberg MC, et al. A computer protocol to predict myocardial infarction in emergency department patients with chest pain. N Engl J Med. 1988;318(13):797-803.</w:t>
      </w:r>
    </w:p>
    <w:p w14:paraId="452E4482" w14:textId="77777777" w:rsidR="00DA779C" w:rsidRPr="00DA779C" w:rsidRDefault="00DA779C" w:rsidP="00DA779C">
      <w:pPr>
        <w:pStyle w:val="EndNoteBibliography"/>
        <w:rPr>
          <w:noProof/>
          <w:sz w:val="20"/>
          <w:szCs w:val="20"/>
        </w:rPr>
      </w:pPr>
      <w:r w:rsidRPr="00DA779C">
        <w:rPr>
          <w:noProof/>
          <w:sz w:val="20"/>
          <w:szCs w:val="20"/>
        </w:rPr>
        <w:t>9.</w:t>
      </w:r>
      <w:r w:rsidRPr="00DA779C">
        <w:rPr>
          <w:noProof/>
          <w:sz w:val="20"/>
          <w:szCs w:val="20"/>
        </w:rPr>
        <w:tab/>
        <w:t>Pantell RH, Newman TB, Bernzweig J, Bergman DA, Takayama JI, Segal M, et al. Management and outcomes of care of fever in early infancy. JAMA. 2004;291(10):1203-12.</w:t>
      </w:r>
    </w:p>
    <w:p w14:paraId="728CD303" w14:textId="77777777" w:rsidR="00DA779C" w:rsidRPr="00DA779C" w:rsidRDefault="00DA779C" w:rsidP="00DA779C">
      <w:pPr>
        <w:pStyle w:val="EndNoteBibliography"/>
        <w:rPr>
          <w:noProof/>
          <w:sz w:val="20"/>
          <w:szCs w:val="20"/>
        </w:rPr>
      </w:pPr>
      <w:r w:rsidRPr="00DA779C">
        <w:rPr>
          <w:noProof/>
          <w:sz w:val="20"/>
          <w:szCs w:val="20"/>
        </w:rPr>
        <w:t>10.</w:t>
      </w:r>
      <w:r w:rsidRPr="00DA779C">
        <w:rPr>
          <w:noProof/>
          <w:sz w:val="20"/>
          <w:szCs w:val="20"/>
        </w:rPr>
        <w:tab/>
        <w:t>Lee TH, Juarez G, Cook EF, Weisberg MC, Rouan GW, Brand DA, et al. Ruling out acute myocardial infarction. A prospective multicenter validation of a 12-hour strategy for patients at low risk. N Engl J Med. 1991;324(18):1239-46.</w:t>
      </w:r>
    </w:p>
    <w:p w14:paraId="40D61E7B" w14:textId="77777777" w:rsidR="00DA779C" w:rsidRPr="00DA779C" w:rsidRDefault="00DA779C" w:rsidP="00DA779C">
      <w:pPr>
        <w:pStyle w:val="EndNoteBibliography"/>
        <w:rPr>
          <w:noProof/>
          <w:sz w:val="20"/>
          <w:szCs w:val="20"/>
        </w:rPr>
      </w:pPr>
      <w:r w:rsidRPr="00DA779C">
        <w:rPr>
          <w:noProof/>
          <w:sz w:val="20"/>
          <w:szCs w:val="20"/>
        </w:rPr>
        <w:t>11.</w:t>
      </w:r>
      <w:r w:rsidRPr="00DA779C">
        <w:rPr>
          <w:noProof/>
          <w:sz w:val="20"/>
          <w:szCs w:val="20"/>
        </w:rPr>
        <w:tab/>
        <w:t>Stoltzfus JC. Logistic regression: a brief primer. Acad Emerg Med. 2011;18(10):1099-104.</w:t>
      </w:r>
    </w:p>
    <w:p w14:paraId="33F27313" w14:textId="77777777" w:rsidR="00DA779C" w:rsidRPr="00DA779C" w:rsidRDefault="00DA779C" w:rsidP="00DA779C">
      <w:pPr>
        <w:pStyle w:val="EndNoteBibliography"/>
        <w:rPr>
          <w:noProof/>
          <w:sz w:val="20"/>
          <w:szCs w:val="20"/>
        </w:rPr>
      </w:pPr>
      <w:r w:rsidRPr="00DA779C">
        <w:rPr>
          <w:noProof/>
          <w:sz w:val="20"/>
          <w:szCs w:val="20"/>
        </w:rPr>
        <w:t>12.</w:t>
      </w:r>
      <w:r w:rsidRPr="00DA779C">
        <w:rPr>
          <w:noProof/>
          <w:sz w:val="20"/>
          <w:szCs w:val="20"/>
        </w:rPr>
        <w:tab/>
        <w:t>Laupacis A, Sekar N, Stiell IG. Clinical prediction rules. A review and suggested modifications of methodological standards. JAMA. 1997;277(6):488-94.</w:t>
      </w:r>
    </w:p>
    <w:p w14:paraId="2B68F257" w14:textId="77777777" w:rsidR="00DA779C" w:rsidRPr="00DA779C" w:rsidRDefault="00DA779C" w:rsidP="00DA779C">
      <w:pPr>
        <w:pStyle w:val="EndNoteBibliography"/>
        <w:rPr>
          <w:noProof/>
          <w:sz w:val="20"/>
          <w:szCs w:val="20"/>
        </w:rPr>
      </w:pPr>
      <w:r w:rsidRPr="00DA779C">
        <w:rPr>
          <w:noProof/>
          <w:sz w:val="20"/>
          <w:szCs w:val="20"/>
        </w:rPr>
        <w:t>13.</w:t>
      </w:r>
      <w:r w:rsidRPr="00DA779C">
        <w:rPr>
          <w:noProof/>
          <w:sz w:val="20"/>
          <w:szCs w:val="20"/>
        </w:rPr>
        <w:tab/>
        <w:t>Newman TB, Bernzweig JA, Takayama JI, Finch SA, Wasserman RC, Pantell RH. Urine testing and urinary tract infections in febrile infants seen in office settings: the Pediatric Research in Office Settings' Febrile Infant Study. Arch Pediatr Adolesc Med. 2002;156(1):44-54.</w:t>
      </w:r>
    </w:p>
    <w:p w14:paraId="674A96F9" w14:textId="77777777" w:rsidR="00DA779C" w:rsidRPr="00DA779C" w:rsidRDefault="00DA779C" w:rsidP="00DA779C">
      <w:pPr>
        <w:pStyle w:val="EndNoteBibliography"/>
        <w:rPr>
          <w:noProof/>
          <w:sz w:val="20"/>
          <w:szCs w:val="20"/>
        </w:rPr>
      </w:pPr>
      <w:r w:rsidRPr="00DA779C">
        <w:rPr>
          <w:noProof/>
          <w:sz w:val="20"/>
          <w:szCs w:val="20"/>
        </w:rPr>
        <w:t>14.</w:t>
      </w:r>
      <w:r w:rsidRPr="00DA779C">
        <w:rPr>
          <w:noProof/>
          <w:sz w:val="20"/>
          <w:szCs w:val="20"/>
        </w:rPr>
        <w:tab/>
        <w:t>Shaikh N, Morone NE, Lopez J, Chianese J, Sangvai S, D'Amico F, et al. Does this child have a urinary tract infection? JAMA. 2007;298(24):2895-904.</w:t>
      </w:r>
    </w:p>
    <w:p w14:paraId="192B6859" w14:textId="77777777" w:rsidR="00DA779C" w:rsidRPr="00DA779C" w:rsidRDefault="00DA779C" w:rsidP="00DA779C">
      <w:pPr>
        <w:pStyle w:val="EndNoteBibliography"/>
        <w:rPr>
          <w:noProof/>
          <w:sz w:val="20"/>
          <w:szCs w:val="20"/>
        </w:rPr>
      </w:pPr>
      <w:r w:rsidRPr="00DA779C">
        <w:rPr>
          <w:noProof/>
          <w:sz w:val="20"/>
          <w:szCs w:val="20"/>
        </w:rPr>
        <w:t>15.</w:t>
      </w:r>
      <w:r w:rsidRPr="00DA779C">
        <w:rPr>
          <w:noProof/>
          <w:sz w:val="20"/>
          <w:szCs w:val="20"/>
        </w:rPr>
        <w:tab/>
        <w:t>Snijders RJ, Sundberg K, Holzgreve W, Henry G, Nicolaides KH. Maternal age- and gestation-specific risk for trisomy 21. Ultrasound Obstet Gynecol. 1999;13(3):167-70.</w:t>
      </w:r>
    </w:p>
    <w:p w14:paraId="3BF2B469" w14:textId="77777777" w:rsidR="00DA779C" w:rsidRPr="00DA779C" w:rsidRDefault="00DA779C" w:rsidP="00DA779C">
      <w:pPr>
        <w:pStyle w:val="EndNoteBibliography"/>
        <w:rPr>
          <w:noProof/>
          <w:sz w:val="20"/>
          <w:szCs w:val="20"/>
        </w:rPr>
      </w:pPr>
      <w:r w:rsidRPr="00DA779C">
        <w:rPr>
          <w:noProof/>
          <w:sz w:val="20"/>
          <w:szCs w:val="20"/>
        </w:rPr>
        <w:t>16.</w:t>
      </w:r>
      <w:r w:rsidRPr="00DA779C">
        <w:rPr>
          <w:noProof/>
          <w:sz w:val="20"/>
          <w:szCs w:val="20"/>
        </w:rPr>
        <w:tab/>
        <w:t>Nicolaides KH. The 11-13+6 Weeks Scan. London: Fetal Medicine Foundation; 2004. 112 p.</w:t>
      </w:r>
    </w:p>
    <w:p w14:paraId="59B4204E" w14:textId="77777777" w:rsidR="00DA779C" w:rsidRPr="00DA779C" w:rsidRDefault="00DA779C" w:rsidP="00DA779C">
      <w:pPr>
        <w:pStyle w:val="EndNoteBibliography"/>
        <w:rPr>
          <w:noProof/>
          <w:sz w:val="20"/>
          <w:szCs w:val="20"/>
        </w:rPr>
      </w:pPr>
      <w:r w:rsidRPr="00DA779C">
        <w:rPr>
          <w:noProof/>
          <w:sz w:val="20"/>
          <w:szCs w:val="20"/>
        </w:rPr>
        <w:t>17.</w:t>
      </w:r>
      <w:r w:rsidRPr="00DA779C">
        <w:rPr>
          <w:noProof/>
          <w:sz w:val="20"/>
          <w:szCs w:val="20"/>
        </w:rPr>
        <w:tab/>
        <w:t>Selker HP, Beshansky JR, Griffith JL, Aufderheide TP, Ballin DS, Bernard SA, et al. Use of the acute cardiac ischemia time-insensitive predictive instrument (ACI-TIPI) to assist with triage of patients with chest pain or other symptoms suggestive of acute cardiac ischemia. A multicenter, controlled clinical trial. Ann Intern Med. 1998;129(11):845-55.</w:t>
      </w:r>
    </w:p>
    <w:p w14:paraId="60C7CF7C" w14:textId="77777777" w:rsidR="00DA779C" w:rsidRPr="00DA779C" w:rsidRDefault="00DA779C" w:rsidP="00DA779C">
      <w:pPr>
        <w:pStyle w:val="EndNoteBibliography"/>
        <w:rPr>
          <w:noProof/>
          <w:sz w:val="20"/>
          <w:szCs w:val="20"/>
        </w:rPr>
      </w:pPr>
      <w:r w:rsidRPr="00DA779C">
        <w:rPr>
          <w:noProof/>
          <w:sz w:val="20"/>
          <w:szCs w:val="20"/>
        </w:rPr>
        <w:t>18.</w:t>
      </w:r>
      <w:r w:rsidRPr="00DA779C">
        <w:rPr>
          <w:noProof/>
          <w:sz w:val="20"/>
          <w:szCs w:val="20"/>
        </w:rPr>
        <w:tab/>
        <w:t>Selker HP, Griffith JL, D'Agostino RB. A tool for judging coronary care unit admission appropriateness, valid for both real-time and retrospective use. A time-insensitive predictive instrument (TIPI) for acute cardiac ischemia: a multicenter study. Med Care. 1991;29(7):610-27.</w:t>
      </w:r>
    </w:p>
    <w:p w14:paraId="0D3236FD" w14:textId="77777777" w:rsidR="00DA779C" w:rsidRPr="00DA779C" w:rsidRDefault="00DA779C" w:rsidP="00DA779C">
      <w:pPr>
        <w:pStyle w:val="EndNoteBibliography"/>
        <w:rPr>
          <w:noProof/>
          <w:sz w:val="20"/>
          <w:szCs w:val="20"/>
        </w:rPr>
      </w:pPr>
      <w:r w:rsidRPr="00DA779C">
        <w:rPr>
          <w:noProof/>
          <w:sz w:val="20"/>
          <w:szCs w:val="20"/>
        </w:rPr>
        <w:t>19.</w:t>
      </w:r>
      <w:r w:rsidRPr="00DA779C">
        <w:rPr>
          <w:noProof/>
          <w:sz w:val="20"/>
          <w:szCs w:val="20"/>
        </w:rPr>
        <w:tab/>
        <w:t>Fine MJ, Auble TE, Yealy DM, Hanusa BH, Weissfeld LA, Singer DE, et al. A prediction rule to identify low-risk patients with community-acquired pneumonia [see comments]. N Engl J Med. 1997;336(4):243-50.</w:t>
      </w:r>
    </w:p>
    <w:p w14:paraId="374AFFD2" w14:textId="77777777" w:rsidR="00DA779C" w:rsidRPr="00DA779C" w:rsidRDefault="00DA779C" w:rsidP="00DA779C">
      <w:pPr>
        <w:pStyle w:val="EndNoteBibliography"/>
        <w:rPr>
          <w:noProof/>
          <w:sz w:val="20"/>
          <w:szCs w:val="20"/>
        </w:rPr>
      </w:pPr>
      <w:r w:rsidRPr="00DA779C">
        <w:rPr>
          <w:noProof/>
          <w:sz w:val="20"/>
          <w:szCs w:val="20"/>
        </w:rPr>
        <w:t>20.</w:t>
      </w:r>
      <w:r w:rsidRPr="00DA779C">
        <w:rPr>
          <w:noProof/>
          <w:sz w:val="20"/>
          <w:szCs w:val="20"/>
        </w:rPr>
        <w:tab/>
        <w:t>James G, Witten D, Hastie T, Tibshirani R. Chapter 6 Linear Model Selection and Regularization.  An introduction to statistical learning : with applications in R. 103. New York: Springer; 2013.</w:t>
      </w:r>
    </w:p>
    <w:p w14:paraId="15467E24" w14:textId="77777777" w:rsidR="00DA779C" w:rsidRPr="00DA779C" w:rsidRDefault="00DA779C" w:rsidP="00DA779C">
      <w:pPr>
        <w:pStyle w:val="EndNoteBibliography"/>
        <w:rPr>
          <w:noProof/>
          <w:sz w:val="20"/>
          <w:szCs w:val="20"/>
        </w:rPr>
      </w:pPr>
      <w:r w:rsidRPr="00DA779C">
        <w:rPr>
          <w:noProof/>
          <w:sz w:val="20"/>
          <w:szCs w:val="20"/>
        </w:rPr>
        <w:lastRenderedPageBreak/>
        <w:t>21.</w:t>
      </w:r>
      <w:r w:rsidRPr="00DA779C">
        <w:rPr>
          <w:noProof/>
          <w:sz w:val="20"/>
          <w:szCs w:val="20"/>
        </w:rPr>
        <w:tab/>
        <w:t>Oostenbrink R, van der Heijden AJ, Moons KG, Moll HA. Prediction of vesico-ureteric reflux in childhood urinary tract infection: a multivariate approach. Acta Paediatr. 2000;89(7):806-10.</w:t>
      </w:r>
    </w:p>
    <w:p w14:paraId="0D1AF9F3" w14:textId="77777777" w:rsidR="00DA779C" w:rsidRPr="00DA779C" w:rsidRDefault="00DA779C" w:rsidP="00DA779C">
      <w:pPr>
        <w:pStyle w:val="EndNoteBibliography"/>
        <w:rPr>
          <w:noProof/>
          <w:sz w:val="20"/>
          <w:szCs w:val="20"/>
        </w:rPr>
      </w:pPr>
      <w:r w:rsidRPr="00DA779C">
        <w:rPr>
          <w:noProof/>
          <w:sz w:val="20"/>
          <w:szCs w:val="20"/>
        </w:rPr>
        <w:t>22.</w:t>
      </w:r>
      <w:r w:rsidRPr="00DA779C">
        <w:rPr>
          <w:noProof/>
          <w:sz w:val="20"/>
          <w:szCs w:val="20"/>
        </w:rPr>
        <w:tab/>
        <w:t>Leroy S, Marc E, Adamsbaum C, Gendrel D, Breart G, Chalumeau M. Prediction of vesicoureteral reflux after a first febrile urinary tract infection in children: validation of a clinical decision rule. Arch Dis Child. 2006;91(3):241-4.</w:t>
      </w:r>
    </w:p>
    <w:p w14:paraId="0CAD6644" w14:textId="77777777" w:rsidR="00DA779C" w:rsidRPr="00DA779C" w:rsidRDefault="00DA779C" w:rsidP="00DA779C">
      <w:pPr>
        <w:pStyle w:val="EndNoteBibliography"/>
        <w:rPr>
          <w:noProof/>
          <w:sz w:val="20"/>
          <w:szCs w:val="20"/>
        </w:rPr>
      </w:pPr>
      <w:r w:rsidRPr="00DA779C">
        <w:rPr>
          <w:noProof/>
          <w:sz w:val="20"/>
          <w:szCs w:val="20"/>
        </w:rPr>
        <w:t>23.</w:t>
      </w:r>
      <w:r w:rsidRPr="00DA779C">
        <w:rPr>
          <w:noProof/>
          <w:sz w:val="20"/>
          <w:szCs w:val="20"/>
        </w:rPr>
        <w:tab/>
        <w:t>James G, Witten D, Hastie T, Tibshirani R. Chapter 5 Resampling Methods.  An introduction to statistical learning : with applications in R. 103. New York: Springer; 2013.</w:t>
      </w:r>
    </w:p>
    <w:p w14:paraId="6A5C4422" w14:textId="77777777" w:rsidR="00DA779C" w:rsidRPr="00DA779C" w:rsidRDefault="00DA779C" w:rsidP="00DA779C">
      <w:pPr>
        <w:pStyle w:val="EndNoteBibliography"/>
        <w:rPr>
          <w:noProof/>
          <w:sz w:val="20"/>
          <w:szCs w:val="20"/>
        </w:rPr>
      </w:pPr>
      <w:r w:rsidRPr="00DA779C">
        <w:rPr>
          <w:noProof/>
          <w:sz w:val="20"/>
          <w:szCs w:val="20"/>
        </w:rPr>
        <w:t>24.</w:t>
      </w:r>
      <w:r w:rsidRPr="00DA779C">
        <w:rPr>
          <w:noProof/>
          <w:sz w:val="20"/>
          <w:szCs w:val="20"/>
        </w:rPr>
        <w:tab/>
        <w:t>Obermeyer Z, Emanuel EJ. Predicting the Future - Big Data, Machine Learning, and Clinical Medicine. N Engl J Med. 2016;375(13):1216-9.</w:t>
      </w:r>
    </w:p>
    <w:p w14:paraId="76108C70" w14:textId="77777777" w:rsidR="00DA779C" w:rsidRPr="00DA779C" w:rsidRDefault="00DA779C" w:rsidP="00DA779C">
      <w:pPr>
        <w:pStyle w:val="EndNoteBibliography"/>
        <w:rPr>
          <w:noProof/>
          <w:sz w:val="20"/>
          <w:szCs w:val="20"/>
        </w:rPr>
      </w:pPr>
      <w:r w:rsidRPr="00DA779C">
        <w:rPr>
          <w:noProof/>
          <w:sz w:val="20"/>
          <w:szCs w:val="20"/>
        </w:rPr>
        <w:t>25.</w:t>
      </w:r>
      <w:r w:rsidRPr="00DA779C">
        <w:rPr>
          <w:noProof/>
          <w:sz w:val="20"/>
          <w:szCs w:val="20"/>
        </w:rPr>
        <w:tab/>
        <w:t>Jordan MI, Mitchell TM. Machine learning: Trends, perspectives, and prospects. Science. 2015;349(6245):255-60.</w:t>
      </w:r>
    </w:p>
    <w:p w14:paraId="0B413328" w14:textId="77777777" w:rsidR="00DA779C" w:rsidRPr="00DA779C" w:rsidRDefault="00DA779C" w:rsidP="00DA779C">
      <w:pPr>
        <w:pStyle w:val="EndNoteBibliography"/>
        <w:rPr>
          <w:noProof/>
          <w:sz w:val="20"/>
          <w:szCs w:val="20"/>
        </w:rPr>
      </w:pPr>
      <w:r w:rsidRPr="00DA779C">
        <w:rPr>
          <w:noProof/>
          <w:sz w:val="20"/>
          <w:szCs w:val="20"/>
        </w:rPr>
        <w:t>26.</w:t>
      </w:r>
      <w:r w:rsidRPr="00DA779C">
        <w:rPr>
          <w:noProof/>
          <w:sz w:val="20"/>
          <w:szCs w:val="20"/>
        </w:rPr>
        <w:tab/>
        <w:t>Efron B, Hastie T. Chapter 17 Random Forests and Boosting.  Computer age statistical inference : algorithms, evidence, and data science. Institute of Mathematical Statistics monographs: Institute of Mathematical Statistics monographs; 2016. p. 324-50.</w:t>
      </w:r>
    </w:p>
    <w:p w14:paraId="540F84CD" w14:textId="77777777" w:rsidR="00DA779C" w:rsidRPr="00DA779C" w:rsidRDefault="00DA779C" w:rsidP="00DA779C">
      <w:pPr>
        <w:pStyle w:val="EndNoteBibliography"/>
        <w:rPr>
          <w:noProof/>
          <w:sz w:val="20"/>
          <w:szCs w:val="20"/>
        </w:rPr>
      </w:pPr>
      <w:r w:rsidRPr="00DA779C">
        <w:rPr>
          <w:noProof/>
          <w:sz w:val="20"/>
          <w:szCs w:val="20"/>
        </w:rPr>
        <w:t>27.</w:t>
      </w:r>
      <w:r w:rsidRPr="00DA779C">
        <w:rPr>
          <w:noProof/>
          <w:sz w:val="20"/>
          <w:szCs w:val="20"/>
        </w:rPr>
        <w:tab/>
        <w:t>Gunčar G, Kukar M, Notar M, Brvar M, Černelč P, Notar M, et al. An application of machine learning to haematological diagnosis. Scientific Reports. 2018;8(1):411.</w:t>
      </w:r>
    </w:p>
    <w:p w14:paraId="637D6E3F" w14:textId="77777777" w:rsidR="00DA779C" w:rsidRPr="00DA779C" w:rsidRDefault="00DA779C" w:rsidP="00DA779C">
      <w:pPr>
        <w:pStyle w:val="EndNoteBibliography"/>
        <w:rPr>
          <w:noProof/>
          <w:sz w:val="20"/>
          <w:szCs w:val="20"/>
        </w:rPr>
      </w:pPr>
      <w:r w:rsidRPr="00DA779C">
        <w:rPr>
          <w:noProof/>
          <w:sz w:val="20"/>
          <w:szCs w:val="20"/>
        </w:rPr>
        <w:t>28.</w:t>
      </w:r>
      <w:r w:rsidRPr="00DA779C">
        <w:rPr>
          <w:noProof/>
          <w:sz w:val="20"/>
          <w:szCs w:val="20"/>
        </w:rPr>
        <w:tab/>
        <w:t>Caruana R, Niculescu-Mizil A. An Empirical Comparison of Supervised Learning Algorithms. Proceedings of the 23rd International Conference on Machine Learning. 2006.</w:t>
      </w:r>
    </w:p>
    <w:p w14:paraId="7AFD331E" w14:textId="77777777" w:rsidR="00DA779C" w:rsidRPr="00DA779C" w:rsidRDefault="00DA779C" w:rsidP="00DA779C">
      <w:pPr>
        <w:pStyle w:val="EndNoteBibliography"/>
        <w:rPr>
          <w:noProof/>
          <w:sz w:val="20"/>
          <w:szCs w:val="20"/>
        </w:rPr>
      </w:pPr>
      <w:r w:rsidRPr="00DA779C">
        <w:rPr>
          <w:noProof/>
          <w:sz w:val="20"/>
          <w:szCs w:val="20"/>
        </w:rPr>
        <w:t>29.</w:t>
      </w:r>
      <w:r w:rsidRPr="00DA779C">
        <w:rPr>
          <w:noProof/>
          <w:sz w:val="20"/>
          <w:szCs w:val="20"/>
        </w:rPr>
        <w:tab/>
        <w:t>Ozcift A. Random forests ensemble classifier trained with data resampling strategy to improve cardiac arrhythmia diagnosis. Comput Biol Med. 2011;41(5):265-71.</w:t>
      </w:r>
    </w:p>
    <w:p w14:paraId="3F740F2B" w14:textId="77777777" w:rsidR="00DA779C" w:rsidRPr="00DA779C" w:rsidRDefault="00DA779C" w:rsidP="00DA779C">
      <w:pPr>
        <w:pStyle w:val="EndNoteBibliography"/>
        <w:rPr>
          <w:noProof/>
          <w:sz w:val="20"/>
          <w:szCs w:val="20"/>
        </w:rPr>
      </w:pPr>
      <w:r w:rsidRPr="00DA779C">
        <w:rPr>
          <w:noProof/>
          <w:sz w:val="20"/>
          <w:szCs w:val="20"/>
        </w:rPr>
        <w:t>30.</w:t>
      </w:r>
      <w:r w:rsidRPr="00DA779C">
        <w:rPr>
          <w:noProof/>
          <w:sz w:val="20"/>
          <w:szCs w:val="20"/>
        </w:rPr>
        <w:tab/>
        <w:t>Yang F, Wang HZ, Mi H, Lin CD, Cai WW. Using random forest for reliable classification and cost-sensitive learning for medical diagnosis. BMC Bioinformatics. 2009;10 Suppl 1:S22.</w:t>
      </w:r>
    </w:p>
    <w:p w14:paraId="01A638D6" w14:textId="77777777" w:rsidR="00DA779C" w:rsidRPr="00DA779C" w:rsidRDefault="00DA779C" w:rsidP="00DA779C">
      <w:pPr>
        <w:pStyle w:val="EndNoteBibliography"/>
        <w:rPr>
          <w:noProof/>
          <w:sz w:val="20"/>
          <w:szCs w:val="20"/>
        </w:rPr>
      </w:pPr>
      <w:r w:rsidRPr="00DA779C">
        <w:rPr>
          <w:noProof/>
          <w:sz w:val="20"/>
          <w:szCs w:val="20"/>
        </w:rPr>
        <w:t>31.</w:t>
      </w:r>
      <w:r w:rsidRPr="00DA779C">
        <w:rPr>
          <w:noProof/>
          <w:sz w:val="20"/>
          <w:szCs w:val="20"/>
        </w:rPr>
        <w:tab/>
        <w:t>O'Donnell MJ, Fang J, D'Uva C, Saposnik G, Gould L, McGrath E, et al. The PLAN score: a bedside prediction rule for death and severe disability following acute ischemic stroke. Arch Intern Med. 2012;172(20):1548-56.</w:t>
      </w:r>
    </w:p>
    <w:p w14:paraId="22407F9D" w14:textId="77777777" w:rsidR="00DA779C" w:rsidRPr="00DA779C" w:rsidRDefault="00DA779C" w:rsidP="00DA779C">
      <w:pPr>
        <w:pStyle w:val="EndNoteBibliography"/>
        <w:rPr>
          <w:noProof/>
          <w:sz w:val="20"/>
          <w:szCs w:val="20"/>
        </w:rPr>
      </w:pPr>
      <w:r w:rsidRPr="00DA779C">
        <w:rPr>
          <w:noProof/>
          <w:sz w:val="20"/>
          <w:szCs w:val="20"/>
        </w:rPr>
        <w:t>32.</w:t>
      </w:r>
      <w:r w:rsidRPr="00DA779C">
        <w:rPr>
          <w:noProof/>
          <w:sz w:val="20"/>
          <w:szCs w:val="20"/>
        </w:rPr>
        <w:tab/>
        <w:t>Reid JM, Dai D, Delmonte S, Counsell C, Phillips SJ, MacLeod MJ. Simple prediction scores predict good and devastating outcomes after stroke more accurately than physicians. Age Ageing. 2017;46(3):421-6.</w:t>
      </w:r>
    </w:p>
    <w:p w14:paraId="4CE974D5" w14:textId="68265966" w:rsidR="009F146C" w:rsidRDefault="00DA779C" w:rsidP="00523A8F">
      <w:pPr>
        <w:pStyle w:val="Heading2"/>
        <w:rPr>
          <w:sz w:val="24"/>
          <w:szCs w:val="24"/>
        </w:rPr>
      </w:pPr>
      <w:r>
        <w:rPr>
          <w:sz w:val="24"/>
          <w:szCs w:val="24"/>
        </w:rPr>
        <w:fldChar w:fldCharType="end"/>
      </w:r>
    </w:p>
    <w:sectPr w:rsidR="009F146C" w:rsidSect="0075382F">
      <w:pgSz w:w="12240" w:h="15840" w:code="1"/>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CAE42" w14:textId="77777777" w:rsidR="00590031" w:rsidRDefault="00590031" w:rsidP="00921C52">
      <w:r>
        <w:separator/>
      </w:r>
    </w:p>
  </w:endnote>
  <w:endnote w:type="continuationSeparator" w:id="0">
    <w:p w14:paraId="5D3E5F29" w14:textId="77777777" w:rsidR="00590031" w:rsidRDefault="00590031" w:rsidP="00921C52">
      <w:r>
        <w:continuationSeparator/>
      </w:r>
    </w:p>
  </w:endnote>
  <w:endnote w:type="continuationNotice" w:id="1">
    <w:p w14:paraId="66437671" w14:textId="77777777" w:rsidR="00590031" w:rsidRDefault="00590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Regular">
    <w:altName w:val="Times New Roman"/>
    <w:panose1 w:val="020B0604020202020204"/>
    <w:charset w:val="00"/>
    <w:family w:val="roman"/>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Arial MT">
    <w:panose1 w:val="020B0604020202020204"/>
    <w:charset w:val="00"/>
    <w:family w:val="swiss"/>
    <w:pitch w:val="variable"/>
    <w:sig w:usb0="E0002AFF" w:usb1="C0007843" w:usb2="00000009" w:usb3="00000000" w:csb0="000001FF" w:csb1="00000000"/>
  </w:font>
  <w:font w:name="Arial-Bold MT">
    <w:panose1 w:val="020B0604020202020204"/>
    <w:charset w:val="00"/>
    <w:family w:val="swiss"/>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Formata BQ-Italic">
    <w:panose1 w:val="020B0604020202020204"/>
    <w:charset w:val="00"/>
    <w:family w:val="roman"/>
    <w:notTrueType/>
    <w:pitch w:val="default"/>
    <w:sig w:usb0="00000003" w:usb1="00000000" w:usb2="00000000" w:usb3="00000000" w:csb0="00000001" w:csb1="00000000"/>
  </w:font>
  <w:font w:name="RMTMI">
    <w:panose1 w:val="020B0604020202020204"/>
    <w:charset w:val="00"/>
    <w:family w:val="swiss"/>
    <w:notTrueType/>
    <w:pitch w:val="default"/>
    <w:sig w:usb0="00000003" w:usb1="00000000" w:usb2="00000000" w:usb3="00000000" w:csb0="00000001" w:csb1="00000000"/>
  </w:font>
  <w:font w:name="Times New Roman PS-Bold">
    <w:panose1 w:val="020B0604020202020204"/>
    <w:charset w:val="00"/>
    <w:family w:val="roman"/>
    <w:notTrueType/>
    <w:pitch w:val="default"/>
    <w:sig w:usb0="00000003" w:usb1="00000000" w:usb2="00000000" w:usb3="00000000" w:csb0="00000001" w:csb1="00000000"/>
  </w:font>
  <w:font w:name="Times New Roman PS-Bold Italic">
    <w:panose1 w:val="020B0604020202020204"/>
    <w:charset w:val="00"/>
    <w:family w:val="roman"/>
    <w:notTrueType/>
    <w:pitch w:val="default"/>
    <w:sig w:usb0="00000003" w:usb1="00000000" w:usb2="00000000" w:usb3="00000000" w:csb0="00000001" w:csb1="00000000"/>
  </w:font>
  <w:font w:name="Formata BQ-Bold">
    <w:altName w:val="Calibri"/>
    <w:panose1 w:val="020B0604020202020204"/>
    <w:charset w:val="00"/>
    <w:family w:val="roman"/>
    <w:notTrueType/>
    <w:pitch w:val="default"/>
    <w:sig w:usb0="00000003" w:usb1="00000000" w:usb2="00000000" w:usb3="00000000" w:csb0="00000001" w:csb1="00000000"/>
  </w:font>
  <w:font w:name="Times New Roman PS">
    <w:panose1 w:val="020B0604020202020204"/>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Symbol Proportional BT-Regular">
    <w:panose1 w:val="020B0604020202020204"/>
    <w:charset w:val="00"/>
    <w:family w:val="swiss"/>
    <w:notTrueType/>
    <w:pitch w:val="default"/>
    <w:sig w:usb0="00000003" w:usb1="00000000" w:usb2="00000000" w:usb3="00000000" w:csb0="00000001" w:csb1="00000000"/>
  </w:font>
  <w:font w:name="Helvetica-Bold Obliq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EURM10">
    <w:panose1 w:val="020B0604020202020204"/>
    <w:charset w:val="00"/>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AC7ED" w14:textId="77777777" w:rsidR="00202389" w:rsidRDefault="00202389" w:rsidP="001C39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84AD82" w14:textId="77777777" w:rsidR="00202389" w:rsidRDefault="00202389" w:rsidP="001C39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D9CA4" w14:textId="650F3D25" w:rsidR="00202389" w:rsidRDefault="00202389" w:rsidP="001C39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0FBF24A9" w14:textId="77777777" w:rsidR="00202389" w:rsidRDefault="00202389" w:rsidP="001C39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402C8" w14:textId="77777777" w:rsidR="00590031" w:rsidRDefault="00590031" w:rsidP="00921C52">
      <w:r>
        <w:separator/>
      </w:r>
    </w:p>
  </w:footnote>
  <w:footnote w:type="continuationSeparator" w:id="0">
    <w:p w14:paraId="5460B47E" w14:textId="77777777" w:rsidR="00590031" w:rsidRDefault="00590031" w:rsidP="00921C52">
      <w:r>
        <w:continuationSeparator/>
      </w:r>
    </w:p>
  </w:footnote>
  <w:footnote w:type="continuationNotice" w:id="1">
    <w:p w14:paraId="1DD3E979" w14:textId="77777777" w:rsidR="00590031" w:rsidRDefault="00590031"/>
  </w:footnote>
  <w:footnote w:id="2">
    <w:p w14:paraId="2EFC9DAF" w14:textId="77777777" w:rsidR="00202389" w:rsidRPr="00C74518" w:rsidRDefault="00202389" w:rsidP="0004551C">
      <w:pPr>
        <w:pStyle w:val="FootnoteText"/>
      </w:pPr>
      <w:r w:rsidRPr="00C74518">
        <w:rPr>
          <w:rStyle w:val="FootnoteReference"/>
        </w:rPr>
        <w:footnoteRef/>
      </w:r>
      <w:r w:rsidRPr="00C74518">
        <w:t xml:space="preserve"> The leukocyte esterase is a test for white blood cells in the urine; the nitrite test is for bacteria.</w:t>
      </w:r>
    </w:p>
  </w:footnote>
  <w:footnote w:id="3">
    <w:p w14:paraId="125CEE37" w14:textId="21A22F02" w:rsidR="00202389" w:rsidRDefault="00202389">
      <w:pPr>
        <w:pStyle w:val="FootnoteText"/>
      </w:pPr>
      <w:r>
        <w:rPr>
          <w:rStyle w:val="FootnoteReference"/>
        </w:rPr>
        <w:footnoteRef/>
      </w:r>
      <w:r>
        <w:t xml:space="preserve"> See the discussion of spectrum bias in Chapter 4 and Table 4.3.  These data exclude fetuses with other chromosomal abnormalities.</w:t>
      </w:r>
    </w:p>
  </w:footnote>
  <w:footnote w:id="4">
    <w:p w14:paraId="6F85AB01" w14:textId="42619709" w:rsidR="00202389" w:rsidRPr="000172DE" w:rsidRDefault="00202389" w:rsidP="0084013F">
      <w:pPr>
        <w:pStyle w:val="NormalWeb"/>
        <w:ind w:left="135" w:hanging="135"/>
        <w:rPr>
          <w:rFonts w:ascii="Minion-Regular" w:hAnsi="Minion-Regular" w:cs="Minion-Regular"/>
          <w:sz w:val="20"/>
          <w:szCs w:val="20"/>
        </w:rPr>
      </w:pPr>
      <w:r w:rsidRPr="000172DE">
        <w:rPr>
          <w:rStyle w:val="FootnoteReference"/>
          <w:sz w:val="20"/>
          <w:szCs w:val="20"/>
        </w:rPr>
        <w:footnoteRef/>
      </w:r>
      <w:r w:rsidRPr="000172DE">
        <w:rPr>
          <w:sz w:val="20"/>
          <w:szCs w:val="20"/>
        </w:rPr>
        <w:t xml:space="preserve"> Radiographs are recommended if the patient has tenderness of </w:t>
      </w:r>
      <w:r>
        <w:rPr>
          <w:sz w:val="20"/>
          <w:szCs w:val="20"/>
        </w:rPr>
        <w:t xml:space="preserve">the </w:t>
      </w:r>
      <w:r w:rsidRPr="000172DE">
        <w:rPr>
          <w:sz w:val="20"/>
          <w:szCs w:val="20"/>
        </w:rPr>
        <w:t>navicular</w:t>
      </w:r>
      <w:r>
        <w:rPr>
          <w:sz w:val="20"/>
          <w:szCs w:val="20"/>
        </w:rPr>
        <w:t xml:space="preserve"> bone</w:t>
      </w:r>
      <w:r w:rsidRPr="000172DE">
        <w:rPr>
          <w:sz w:val="20"/>
          <w:szCs w:val="20"/>
        </w:rPr>
        <w:t xml:space="preserve">, </w:t>
      </w:r>
      <w:r>
        <w:rPr>
          <w:sz w:val="20"/>
          <w:szCs w:val="20"/>
        </w:rPr>
        <w:t>the</w:t>
      </w:r>
      <w:r w:rsidRPr="000172DE">
        <w:rPr>
          <w:sz w:val="20"/>
          <w:szCs w:val="20"/>
        </w:rPr>
        <w:t xml:space="preserve"> base of the </w:t>
      </w:r>
      <w:r>
        <w:rPr>
          <w:sz w:val="20"/>
          <w:szCs w:val="20"/>
        </w:rPr>
        <w:t>fi</w:t>
      </w:r>
      <w:r w:rsidRPr="000172DE">
        <w:rPr>
          <w:sz w:val="20"/>
          <w:szCs w:val="20"/>
        </w:rPr>
        <w:t>fth metatarsal</w:t>
      </w:r>
      <w:r>
        <w:rPr>
          <w:sz w:val="20"/>
          <w:szCs w:val="20"/>
        </w:rPr>
        <w:t xml:space="preserve">, or </w:t>
      </w:r>
      <w:r w:rsidRPr="000172DE">
        <w:rPr>
          <w:sz w:val="20"/>
          <w:szCs w:val="20"/>
        </w:rPr>
        <w:t xml:space="preserve">either malleolus or </w:t>
      </w:r>
      <w:r>
        <w:rPr>
          <w:sz w:val="20"/>
          <w:szCs w:val="20"/>
        </w:rPr>
        <w:t xml:space="preserve">if </w:t>
      </w:r>
      <w:r w:rsidRPr="000172DE">
        <w:rPr>
          <w:sz w:val="20"/>
          <w:szCs w:val="20"/>
        </w:rPr>
        <w:t>the patient is unable to bear weight for four steps both at the time of injury and the time of evaluation</w:t>
      </w:r>
      <w:r w:rsidRPr="000172DE">
        <w:rPr>
          <w:rFonts w:ascii="Minion-Regular" w:hAnsi="Minion-Regular" w:cs="Minion-Regular"/>
          <w:sz w:val="20"/>
          <w:szCs w:val="20"/>
        </w:rPr>
        <w:t>.</w:t>
      </w:r>
    </w:p>
  </w:footnote>
  <w:footnote w:id="5">
    <w:p w14:paraId="75FE32AE" w14:textId="77777777" w:rsidR="00202389" w:rsidRPr="000172DE" w:rsidRDefault="00202389" w:rsidP="00F71953">
      <w:pPr>
        <w:pStyle w:val="NormalWeb"/>
        <w:ind w:left="135" w:hanging="135"/>
        <w:rPr>
          <w:sz w:val="20"/>
          <w:szCs w:val="20"/>
        </w:rPr>
      </w:pPr>
      <w:r w:rsidRPr="000172DE">
        <w:rPr>
          <w:rStyle w:val="FootnoteReference"/>
          <w:sz w:val="20"/>
          <w:szCs w:val="20"/>
        </w:rPr>
        <w:footnoteRef/>
      </w:r>
      <w:r w:rsidRPr="000172DE">
        <w:rPr>
          <w:sz w:val="20"/>
          <w:szCs w:val="20"/>
        </w:rPr>
        <w:t xml:space="preserve"> Cervical spine </w:t>
      </w:r>
      <w:r>
        <w:rPr>
          <w:sz w:val="20"/>
          <w:szCs w:val="20"/>
        </w:rPr>
        <w:t>fi</w:t>
      </w:r>
      <w:r w:rsidRPr="000172DE">
        <w:rPr>
          <w:sz w:val="20"/>
          <w:szCs w:val="20"/>
        </w:rPr>
        <w:t>lms are recommended if the patient has any of the following: midline posterior cervical spine tenderness, alcohol or drug intoxication, abnormal alertness, focal neurologic de</w:t>
      </w:r>
      <w:r>
        <w:rPr>
          <w:sz w:val="20"/>
          <w:szCs w:val="20"/>
        </w:rPr>
        <w:t>fi</w:t>
      </w:r>
      <w:r w:rsidRPr="000172DE">
        <w:rPr>
          <w:sz w:val="20"/>
          <w:szCs w:val="20"/>
        </w:rPr>
        <w:t>cit, or distracting painful injury.</w:t>
      </w:r>
    </w:p>
  </w:footnote>
  <w:footnote w:id="6">
    <w:p w14:paraId="200CC33B" w14:textId="7D13F32F" w:rsidR="00202389" w:rsidRDefault="00202389">
      <w:pPr>
        <w:pStyle w:val="FootnoteText"/>
      </w:pPr>
      <w:r>
        <w:rPr>
          <w:rStyle w:val="FootnoteReference"/>
        </w:rPr>
        <w:footnoteRef/>
      </w:r>
      <w:r>
        <w:t xml:space="preserve"> How "best" is determined depends on parameters selected by the user; e.g., the misclassification costs for false-positives compared with false negatives. </w:t>
      </w:r>
    </w:p>
  </w:footnote>
  <w:footnote w:id="7">
    <w:p w14:paraId="6CF2681E" w14:textId="57D0694A" w:rsidR="00202389" w:rsidRDefault="00202389">
      <w:pPr>
        <w:pStyle w:val="FootnoteText"/>
      </w:pPr>
      <w:r>
        <w:rPr>
          <w:rStyle w:val="FootnoteReference"/>
        </w:rPr>
        <w:footnoteRef/>
      </w:r>
      <w:r>
        <w:t xml:space="preserve"> Calculate the negative predictive value as 1 – </w:t>
      </w:r>
      <w:r>
        <w:t>P(trisomy 21) when the test is negative.</w:t>
      </w:r>
    </w:p>
  </w:footnote>
  <w:footnote w:id="8">
    <w:p w14:paraId="45674CC9" w14:textId="3CF006D6" w:rsidR="00202389" w:rsidRDefault="00202389">
      <w:pPr>
        <w:pStyle w:val="FootnoteText"/>
      </w:pPr>
      <w:r>
        <w:rPr>
          <w:rStyle w:val="FootnoteReference"/>
        </w:rPr>
        <w:footnoteRef/>
      </w:r>
      <w:r>
        <w:t xml:space="preserve"> Farther from 1 on a multiplicative scale, in which 0.1 and 10 are equally "far" from 1.  Put another way, it's the farther the </w:t>
      </w:r>
      <w:r>
        <w:t>log(OR) is from zero.</w:t>
      </w:r>
    </w:p>
  </w:footnote>
  <w:footnote w:id="9">
    <w:p w14:paraId="137C83C0" w14:textId="3561D255" w:rsidR="00202389" w:rsidRDefault="00202389">
      <w:pPr>
        <w:pStyle w:val="FootnoteText"/>
      </w:pPr>
      <w:r>
        <w:rPr>
          <w:rStyle w:val="FootnoteReference"/>
        </w:rPr>
        <w:footnoteRef/>
      </w:r>
      <w:r>
        <w:t xml:space="preserve"> The “ln” part of the ln(odds) transformation is what straightens out the curve at the low end because of the exponential relationship.  The “odds” part would straighten out the curve at the high end if probabilities approached 1 because, while probabilities have to be </w:t>
      </w:r>
      <w:r>
        <w:sym w:font="Symbol" w:char="F0A3"/>
      </w:r>
      <w:r>
        <w:t xml:space="preserve"> 1, odds go to infinity.  The probabilities in 7.10 are low so simply taking their logarithms would also have straightened out the curve.</w:t>
      </w:r>
    </w:p>
  </w:footnote>
  <w:footnote w:id="10">
    <w:p w14:paraId="782D347A" w14:textId="09953BC6" w:rsidR="00202389" w:rsidRDefault="00202389" w:rsidP="0039638D">
      <w:pPr>
        <w:pStyle w:val="FootnoteText"/>
      </w:pPr>
      <w:r>
        <w:rPr>
          <w:rStyle w:val="FootnoteReference"/>
        </w:rPr>
        <w:footnoteRef/>
      </w:r>
      <w:r>
        <w:t xml:space="preserve"> A one-unit change in the result of a dichotomous test is just going from negative to positive.  But examining the goodness of fit of the logistic model is especially important for tests with continuous or ordinal results, even if there are no interactions, because the model assumes that the effect of a one-unit change in the result is the same across the full range of the results. While the model fits well for maternal age and trisomy 21 in Figure 7.9B, one should not assume that will be the case.</w:t>
      </w:r>
    </w:p>
  </w:footnote>
  <w:footnote w:id="11">
    <w:p w14:paraId="46230339" w14:textId="53163FAE" w:rsidR="001B2786" w:rsidRDefault="001B2786">
      <w:pPr>
        <w:pStyle w:val="FootnoteText"/>
      </w:pPr>
      <w:r>
        <w:rPr>
          <w:rStyle w:val="FootnoteReference"/>
        </w:rPr>
        <w:footnoteRef/>
      </w:r>
      <w:r>
        <w:t xml:space="preserve"> We did not get a response to our request for permission to include a picture of the Illinois 4</w:t>
      </w:r>
      <w:r w:rsidRPr="006B47A3">
        <w:rPr>
          <w:vertAlign w:val="superscript"/>
        </w:rPr>
        <w:t>th</w:t>
      </w:r>
      <w:r>
        <w:t xml:space="preserve"> Congressional district</w:t>
      </w:r>
      <w:r w:rsidR="0030361C">
        <w:t xml:space="preserve"> in this book, but interested readers can find it </w:t>
      </w:r>
      <w:r w:rsidR="006B47A3">
        <w:t xml:space="preserve">with Google or </w:t>
      </w:r>
      <w:r w:rsidR="0030361C">
        <w:t xml:space="preserve">here: </w:t>
      </w:r>
      <w:hyperlink r:id="rId1" w:anchor="/media/File:Illinois_US_Congressional_District_4_(since_2013).tif" w:history="1">
        <w:r w:rsidR="0030361C" w:rsidRPr="00567272">
          <w:rPr>
            <w:rStyle w:val="Hyperlink"/>
          </w:rPr>
          <w:t>https://en.wikipedia.org/wiki/Illinois%27s_4th_congressional_district#/media/File:Illinois_US_Congressional_District_4_(since_2013).tif</w:t>
        </w:r>
      </w:hyperlink>
    </w:p>
  </w:footnote>
  <w:footnote w:id="12">
    <w:p w14:paraId="62B6DC38" w14:textId="77777777" w:rsidR="00202389" w:rsidRPr="000172DE" w:rsidRDefault="00202389" w:rsidP="00206CFE">
      <w:pPr>
        <w:pStyle w:val="NormalWeb"/>
        <w:ind w:left="135" w:hanging="135"/>
        <w:rPr>
          <w:sz w:val="20"/>
          <w:szCs w:val="20"/>
        </w:rPr>
      </w:pPr>
      <w:r w:rsidRPr="000172DE">
        <w:rPr>
          <w:rStyle w:val="FootnoteReference"/>
          <w:sz w:val="20"/>
          <w:szCs w:val="20"/>
        </w:rPr>
        <w:footnoteRef/>
      </w:r>
      <w:r w:rsidRPr="000172DE">
        <w:rPr>
          <w:sz w:val="20"/>
          <w:szCs w:val="20"/>
        </w:rPr>
        <w:t xml:space="preserve"> A quick shortcut: any time sensitivity and speci</w:t>
      </w:r>
      <w:r>
        <w:rPr>
          <w:sz w:val="20"/>
          <w:szCs w:val="20"/>
        </w:rPr>
        <w:t>fi</w:t>
      </w:r>
      <w:r w:rsidRPr="000172DE">
        <w:rPr>
          <w:sz w:val="20"/>
          <w:szCs w:val="20"/>
        </w:rPr>
        <w:t>city sum to 1, the test is useless. In this case the sum is 1.06.</w:t>
      </w:r>
    </w:p>
  </w:footnote>
  <w:footnote w:id="13">
    <w:p w14:paraId="00ABA948" w14:textId="429F504B" w:rsidR="00202389" w:rsidRDefault="00202389">
      <w:pPr>
        <w:pStyle w:val="FootnoteText"/>
      </w:pPr>
      <w:r>
        <w:rPr>
          <w:rStyle w:val="FootnoteReference"/>
        </w:rPr>
        <w:footnoteRef/>
      </w:r>
      <w:r>
        <w:t xml:space="preserve"> This discussion or k-fold cross-validation assumes that a single modelling approach, such as classification trees or logistic regression, has been chosen and the question is how complex to make the model.  K-fold cross-validation can also be used to compare different modelling approaches.</w:t>
      </w:r>
    </w:p>
  </w:footnote>
  <w:footnote w:id="14">
    <w:p w14:paraId="32A87928" w14:textId="7E8BA0DB" w:rsidR="00202389" w:rsidRPr="00576341" w:rsidRDefault="00202389" w:rsidP="00576341">
      <w:pPr>
        <w:rPr>
          <w:rFonts w:ascii="Times" w:hAnsi="Times"/>
        </w:rPr>
      </w:pPr>
      <w:r>
        <w:rPr>
          <w:rStyle w:val="FootnoteReference"/>
        </w:rPr>
        <w:footnoteRef/>
      </w:r>
      <w:r>
        <w:t xml:space="preserve"> </w:t>
      </w:r>
      <w:r w:rsidRPr="00576341">
        <w:rPr>
          <w:sz w:val="20"/>
          <w:szCs w:val="20"/>
        </w:rPr>
        <w:t xml:space="preserve">Random Forests is a registered trademark for the software developed </w:t>
      </w:r>
      <w:r w:rsidRPr="00576341">
        <w:rPr>
          <w:rFonts w:ascii="Times" w:hAnsi="Times"/>
          <w:sz w:val="20"/>
          <w:szCs w:val="20"/>
        </w:rPr>
        <w:t xml:space="preserve">by </w:t>
      </w:r>
      <w:r w:rsidRPr="00576341">
        <w:rPr>
          <w:rFonts w:ascii="Times" w:hAnsi="Times" w:cs="Arial"/>
          <w:color w:val="545454"/>
          <w:sz w:val="20"/>
          <w:szCs w:val="20"/>
          <w:shd w:val="clear" w:color="auto" w:fill="FFFFFF"/>
        </w:rPr>
        <w:t xml:space="preserve">Leo </w:t>
      </w:r>
      <w:r w:rsidRPr="00576341">
        <w:rPr>
          <w:rFonts w:ascii="Times" w:hAnsi="Times" w:cs="Arial"/>
          <w:color w:val="545454"/>
          <w:sz w:val="20"/>
          <w:szCs w:val="20"/>
          <w:shd w:val="clear" w:color="auto" w:fill="FFFFFF"/>
        </w:rPr>
        <w:t>Breiman and </w:t>
      </w:r>
      <w:r w:rsidRPr="00576341">
        <w:rPr>
          <w:rFonts w:ascii="Times" w:hAnsi="Times" w:cs="Arial"/>
          <w:bCs/>
          <w:color w:val="6A6A6A"/>
          <w:sz w:val="20"/>
          <w:szCs w:val="20"/>
          <w:shd w:val="clear" w:color="auto" w:fill="FFFFFF"/>
        </w:rPr>
        <w:t>Adele Cutler</w:t>
      </w:r>
      <w:r>
        <w:rPr>
          <w:rFonts w:ascii="Times" w:hAnsi="Times" w:cs="Arial"/>
          <w:bCs/>
          <w:color w:val="6A6A6A"/>
          <w:sz w:val="20"/>
          <w:szCs w:val="20"/>
          <w:shd w:val="clear" w:color="auto" w:fill="FFFFFF"/>
        </w:rPr>
        <w:t>, who use singular verbs with it, so we will, too.</w:t>
      </w:r>
    </w:p>
    <w:p w14:paraId="26DF41E1" w14:textId="0E110D06" w:rsidR="00202389" w:rsidRPr="00576341" w:rsidRDefault="00202389">
      <w:pPr>
        <w:pStyle w:val="FootnoteText"/>
        <w:rPr>
          <w:rFonts w:ascii="Times" w:hAnsi="Times"/>
        </w:rPr>
      </w:pPr>
    </w:p>
  </w:footnote>
  <w:footnote w:id="15">
    <w:p w14:paraId="7822D236" w14:textId="77777777" w:rsidR="00202389" w:rsidRDefault="00202389" w:rsidP="000D6B4E">
      <w:pPr>
        <w:pStyle w:val="FootnoteText"/>
      </w:pPr>
      <w:r>
        <w:rPr>
          <w:rStyle w:val="FootnoteReference"/>
        </w:rPr>
        <w:footnoteRef/>
      </w:r>
      <w:r>
        <w:t xml:space="preserve"> Random forests performed best in the MEDIS dataset and “bagged trees” (which is so similar to random forests that we will not distinguish between them) performed best in the MG dataset.</w:t>
      </w:r>
    </w:p>
  </w:footnote>
  <w:footnote w:id="16">
    <w:p w14:paraId="18C322DC" w14:textId="454A21F9" w:rsidR="00202389" w:rsidRDefault="00202389">
      <w:pPr>
        <w:pStyle w:val="FootnoteText"/>
      </w:pPr>
      <w:r>
        <w:rPr>
          <w:rStyle w:val="FootnoteReference"/>
        </w:rPr>
        <w:footnoteRef/>
      </w:r>
      <w:r>
        <w:t xml:space="preserve"> We'll revisit clinicians' difficulty estimating probabilities in Chapter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2635" w14:textId="7B9A7F8C" w:rsidR="00A61E02" w:rsidRPr="00A61E02" w:rsidRDefault="00A61E02" w:rsidP="00A61E02">
    <w:pPr>
      <w:pStyle w:val="Heading1"/>
      <w:rPr>
        <w:sz w:val="20"/>
        <w:szCs w:val="20"/>
      </w:rPr>
    </w:pPr>
    <w:r w:rsidRPr="00A61E02">
      <w:rPr>
        <w:b w:val="0"/>
        <w:sz w:val="20"/>
        <w:szCs w:val="20"/>
      </w:rPr>
      <w:t>From: Evidence-Based Diagnosis, 2</w:t>
    </w:r>
    <w:r w:rsidRPr="00A61E02">
      <w:rPr>
        <w:b w:val="0"/>
        <w:sz w:val="20"/>
        <w:szCs w:val="20"/>
        <w:vertAlign w:val="superscript"/>
      </w:rPr>
      <w:t>nd</w:t>
    </w:r>
    <w:r w:rsidRPr="00A61E02">
      <w:rPr>
        <w:b w:val="0"/>
        <w:sz w:val="20"/>
        <w:szCs w:val="20"/>
      </w:rPr>
      <w:t xml:space="preserve"> Edition. Cambridge University Press, Forthcoming, by T. Newman, M. Kohn, Illustrated by M Steurer © Thomas B. Newman and Michael A. Kohn, 2019</w:t>
    </w:r>
    <w:r>
      <w:rPr>
        <w:b w:val="0"/>
        <w:sz w:val="20"/>
        <w:szCs w:val="20"/>
      </w:rPr>
      <w:t>-0627</w:t>
    </w:r>
  </w:p>
  <w:p w14:paraId="35F6FA5B" w14:textId="52E11EBD" w:rsidR="00202389" w:rsidRPr="00A61E02" w:rsidRDefault="00202389" w:rsidP="00A61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DEF2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C3ECC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F88A9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AE30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624A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E05B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403AA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C848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A86A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DAFD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38807B5"/>
    <w:multiLevelType w:val="hybridMultilevel"/>
    <w:tmpl w:val="FB98B3A2"/>
    <w:lvl w:ilvl="0" w:tplc="EDAEBB74">
      <w:start w:val="7"/>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Square brackets&lt;/Style&gt;&lt;LeftDelim&gt;{&lt;/LeftDelim&gt;&lt;RightDelim&gt;}&lt;/RightDelim&gt;&lt;FontName&gt;Times New Roman&lt;/FontName&gt;&lt;FontSize&gt;19&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2019-0103 USE THIS&lt;record-ids&gt;&lt;item&gt;28&lt;/item&gt;&lt;item&gt;35&lt;/item&gt;&lt;item&gt;47&lt;/item&gt;&lt;item&gt;48&lt;/item&gt;&lt;item&gt;49&lt;/item&gt;&lt;item&gt;98&lt;/item&gt;&lt;item&gt;130&lt;/item&gt;&lt;item&gt;131&lt;/item&gt;&lt;item&gt;132&lt;/item&gt;&lt;item&gt;133&lt;/item&gt;&lt;item&gt;134&lt;/item&gt;&lt;item&gt;135&lt;/item&gt;&lt;item&gt;173&lt;/item&gt;&lt;item&gt;254&lt;/item&gt;&lt;item&gt;255&lt;/item&gt;&lt;item&gt;875&lt;/item&gt;&lt;item&gt;1032&lt;/item&gt;&lt;item&gt;1033&lt;/item&gt;&lt;item&gt;1040&lt;/item&gt;&lt;item&gt;1456&lt;/item&gt;&lt;item&gt;1618&lt;/item&gt;&lt;item&gt;1619&lt;/item&gt;&lt;item&gt;1620&lt;/item&gt;&lt;item&gt;1622&lt;/item&gt;&lt;item&gt;1627&lt;/item&gt;&lt;item&gt;1628&lt;/item&gt;&lt;item&gt;1629&lt;/item&gt;&lt;item&gt;1630&lt;/item&gt;&lt;item&gt;1633&lt;/item&gt;&lt;item&gt;1634&lt;/item&gt;&lt;item&gt;1635&lt;/item&gt;&lt;item&gt;1636&lt;/item&gt;&lt;/record-ids&gt;&lt;/item&gt;&lt;/Libraries&gt;"/>
  </w:docVars>
  <w:rsids>
    <w:rsidRoot w:val="007E4D31"/>
    <w:rsid w:val="00000447"/>
    <w:rsid w:val="00004C55"/>
    <w:rsid w:val="0000594A"/>
    <w:rsid w:val="000150AA"/>
    <w:rsid w:val="000172DE"/>
    <w:rsid w:val="00020629"/>
    <w:rsid w:val="000209AC"/>
    <w:rsid w:val="00021882"/>
    <w:rsid w:val="00024343"/>
    <w:rsid w:val="00024816"/>
    <w:rsid w:val="00034CF3"/>
    <w:rsid w:val="00035385"/>
    <w:rsid w:val="000357FB"/>
    <w:rsid w:val="00037B87"/>
    <w:rsid w:val="00040249"/>
    <w:rsid w:val="000417E4"/>
    <w:rsid w:val="00043415"/>
    <w:rsid w:val="00043B0B"/>
    <w:rsid w:val="000444B9"/>
    <w:rsid w:val="00044795"/>
    <w:rsid w:val="0004551C"/>
    <w:rsid w:val="00046E8D"/>
    <w:rsid w:val="00051956"/>
    <w:rsid w:val="00052155"/>
    <w:rsid w:val="00052DAA"/>
    <w:rsid w:val="00057CE9"/>
    <w:rsid w:val="00060355"/>
    <w:rsid w:val="00060E15"/>
    <w:rsid w:val="00061804"/>
    <w:rsid w:val="000624C0"/>
    <w:rsid w:val="0006288C"/>
    <w:rsid w:val="00062EF7"/>
    <w:rsid w:val="0006391D"/>
    <w:rsid w:val="000673B1"/>
    <w:rsid w:val="000710D3"/>
    <w:rsid w:val="00072766"/>
    <w:rsid w:val="00073218"/>
    <w:rsid w:val="00082FD4"/>
    <w:rsid w:val="00084706"/>
    <w:rsid w:val="000851F9"/>
    <w:rsid w:val="00087DAB"/>
    <w:rsid w:val="00091775"/>
    <w:rsid w:val="000944D8"/>
    <w:rsid w:val="00095BD0"/>
    <w:rsid w:val="00097405"/>
    <w:rsid w:val="000A2519"/>
    <w:rsid w:val="000A3C95"/>
    <w:rsid w:val="000A7374"/>
    <w:rsid w:val="000B19EA"/>
    <w:rsid w:val="000B3A1E"/>
    <w:rsid w:val="000B6C4C"/>
    <w:rsid w:val="000C3519"/>
    <w:rsid w:val="000C4593"/>
    <w:rsid w:val="000C48DA"/>
    <w:rsid w:val="000C7F6C"/>
    <w:rsid w:val="000D0327"/>
    <w:rsid w:val="000D0A1A"/>
    <w:rsid w:val="000D0CC2"/>
    <w:rsid w:val="000D1D27"/>
    <w:rsid w:val="000D1F48"/>
    <w:rsid w:val="000D22EB"/>
    <w:rsid w:val="000D33B1"/>
    <w:rsid w:val="000D3B7D"/>
    <w:rsid w:val="000D4FAB"/>
    <w:rsid w:val="000D575B"/>
    <w:rsid w:val="000D6499"/>
    <w:rsid w:val="000D6523"/>
    <w:rsid w:val="000D65A4"/>
    <w:rsid w:val="000D6B4E"/>
    <w:rsid w:val="000D7B9B"/>
    <w:rsid w:val="000E01A7"/>
    <w:rsid w:val="000E3DB2"/>
    <w:rsid w:val="000F1FC4"/>
    <w:rsid w:val="000F583E"/>
    <w:rsid w:val="000F5FB2"/>
    <w:rsid w:val="000F61FF"/>
    <w:rsid w:val="00102EDC"/>
    <w:rsid w:val="00103B7C"/>
    <w:rsid w:val="00104493"/>
    <w:rsid w:val="0010538F"/>
    <w:rsid w:val="0010629C"/>
    <w:rsid w:val="0010665C"/>
    <w:rsid w:val="0011000C"/>
    <w:rsid w:val="00112CE5"/>
    <w:rsid w:val="00115B28"/>
    <w:rsid w:val="0011665E"/>
    <w:rsid w:val="001204E4"/>
    <w:rsid w:val="00120CED"/>
    <w:rsid w:val="00121455"/>
    <w:rsid w:val="00121744"/>
    <w:rsid w:val="00122224"/>
    <w:rsid w:val="001268A8"/>
    <w:rsid w:val="00132D79"/>
    <w:rsid w:val="00133937"/>
    <w:rsid w:val="001339BD"/>
    <w:rsid w:val="00134672"/>
    <w:rsid w:val="00140862"/>
    <w:rsid w:val="00146551"/>
    <w:rsid w:val="00151A24"/>
    <w:rsid w:val="00156681"/>
    <w:rsid w:val="00163338"/>
    <w:rsid w:val="001650D4"/>
    <w:rsid w:val="001664DA"/>
    <w:rsid w:val="001677E5"/>
    <w:rsid w:val="00172B2D"/>
    <w:rsid w:val="00181DF6"/>
    <w:rsid w:val="00183B10"/>
    <w:rsid w:val="00185409"/>
    <w:rsid w:val="00186CC5"/>
    <w:rsid w:val="0019023B"/>
    <w:rsid w:val="00191BDE"/>
    <w:rsid w:val="00193006"/>
    <w:rsid w:val="0019305C"/>
    <w:rsid w:val="001A0DC3"/>
    <w:rsid w:val="001A2D0E"/>
    <w:rsid w:val="001A2E83"/>
    <w:rsid w:val="001A6C7E"/>
    <w:rsid w:val="001A77DC"/>
    <w:rsid w:val="001A7A46"/>
    <w:rsid w:val="001B2786"/>
    <w:rsid w:val="001B5AB3"/>
    <w:rsid w:val="001B7F1E"/>
    <w:rsid w:val="001C0198"/>
    <w:rsid w:val="001C32C2"/>
    <w:rsid w:val="001C39CC"/>
    <w:rsid w:val="001C3BB4"/>
    <w:rsid w:val="001C438A"/>
    <w:rsid w:val="001D0690"/>
    <w:rsid w:val="001D078B"/>
    <w:rsid w:val="001D2939"/>
    <w:rsid w:val="001E003D"/>
    <w:rsid w:val="001E211E"/>
    <w:rsid w:val="001E5CF9"/>
    <w:rsid w:val="001E6EC8"/>
    <w:rsid w:val="001E704F"/>
    <w:rsid w:val="001E7FF9"/>
    <w:rsid w:val="001F0896"/>
    <w:rsid w:val="001F1665"/>
    <w:rsid w:val="001F1F85"/>
    <w:rsid w:val="001F277E"/>
    <w:rsid w:val="001F6793"/>
    <w:rsid w:val="001F682C"/>
    <w:rsid w:val="001F75C1"/>
    <w:rsid w:val="0020171C"/>
    <w:rsid w:val="00202389"/>
    <w:rsid w:val="00202BC5"/>
    <w:rsid w:val="002030E3"/>
    <w:rsid w:val="00203E8D"/>
    <w:rsid w:val="00206CFE"/>
    <w:rsid w:val="00213FF7"/>
    <w:rsid w:val="00214D8F"/>
    <w:rsid w:val="002177E0"/>
    <w:rsid w:val="0022159A"/>
    <w:rsid w:val="00221714"/>
    <w:rsid w:val="00222273"/>
    <w:rsid w:val="00222D6E"/>
    <w:rsid w:val="0023070F"/>
    <w:rsid w:val="00235069"/>
    <w:rsid w:val="0023610E"/>
    <w:rsid w:val="002372B3"/>
    <w:rsid w:val="00240184"/>
    <w:rsid w:val="00242F36"/>
    <w:rsid w:val="00243BC2"/>
    <w:rsid w:val="00243CE8"/>
    <w:rsid w:val="00244DD6"/>
    <w:rsid w:val="00245072"/>
    <w:rsid w:val="002475A5"/>
    <w:rsid w:val="002476BD"/>
    <w:rsid w:val="00247EF0"/>
    <w:rsid w:val="002506CC"/>
    <w:rsid w:val="00251F32"/>
    <w:rsid w:val="00256A01"/>
    <w:rsid w:val="00256F9A"/>
    <w:rsid w:val="002578F2"/>
    <w:rsid w:val="002619F9"/>
    <w:rsid w:val="00263A8B"/>
    <w:rsid w:val="002664C8"/>
    <w:rsid w:val="00271364"/>
    <w:rsid w:val="00271664"/>
    <w:rsid w:val="00276ED1"/>
    <w:rsid w:val="00277514"/>
    <w:rsid w:val="002778EA"/>
    <w:rsid w:val="00281099"/>
    <w:rsid w:val="00284D00"/>
    <w:rsid w:val="0029053C"/>
    <w:rsid w:val="00290D65"/>
    <w:rsid w:val="00291E2C"/>
    <w:rsid w:val="00293B9C"/>
    <w:rsid w:val="00295CF1"/>
    <w:rsid w:val="00295CF7"/>
    <w:rsid w:val="00297587"/>
    <w:rsid w:val="002A07E5"/>
    <w:rsid w:val="002A1305"/>
    <w:rsid w:val="002A249E"/>
    <w:rsid w:val="002A317D"/>
    <w:rsid w:val="002A3363"/>
    <w:rsid w:val="002A39A4"/>
    <w:rsid w:val="002A4002"/>
    <w:rsid w:val="002A4227"/>
    <w:rsid w:val="002A4951"/>
    <w:rsid w:val="002B03E3"/>
    <w:rsid w:val="002B2252"/>
    <w:rsid w:val="002C07B9"/>
    <w:rsid w:val="002C113E"/>
    <w:rsid w:val="002C28AF"/>
    <w:rsid w:val="002C33AE"/>
    <w:rsid w:val="002C645D"/>
    <w:rsid w:val="002D037B"/>
    <w:rsid w:val="002D0CCB"/>
    <w:rsid w:val="002D2B07"/>
    <w:rsid w:val="002D2BF1"/>
    <w:rsid w:val="002D379A"/>
    <w:rsid w:val="002D6D9C"/>
    <w:rsid w:val="002D73A4"/>
    <w:rsid w:val="002D752B"/>
    <w:rsid w:val="002E2C17"/>
    <w:rsid w:val="002E484D"/>
    <w:rsid w:val="002E667A"/>
    <w:rsid w:val="002E6E10"/>
    <w:rsid w:val="002F1E58"/>
    <w:rsid w:val="002F3FFC"/>
    <w:rsid w:val="002F4BEF"/>
    <w:rsid w:val="002F5778"/>
    <w:rsid w:val="002F5787"/>
    <w:rsid w:val="002F6F52"/>
    <w:rsid w:val="0030361C"/>
    <w:rsid w:val="00305976"/>
    <w:rsid w:val="0030694D"/>
    <w:rsid w:val="003070DF"/>
    <w:rsid w:val="003122F8"/>
    <w:rsid w:val="00313444"/>
    <w:rsid w:val="00316306"/>
    <w:rsid w:val="00320B61"/>
    <w:rsid w:val="0032290F"/>
    <w:rsid w:val="00322EF7"/>
    <w:rsid w:val="0032575C"/>
    <w:rsid w:val="003279C5"/>
    <w:rsid w:val="00331570"/>
    <w:rsid w:val="003345F3"/>
    <w:rsid w:val="00335739"/>
    <w:rsid w:val="00336DD8"/>
    <w:rsid w:val="003378E8"/>
    <w:rsid w:val="00340170"/>
    <w:rsid w:val="0034063C"/>
    <w:rsid w:val="003413CF"/>
    <w:rsid w:val="00342A68"/>
    <w:rsid w:val="00344A25"/>
    <w:rsid w:val="00344BF8"/>
    <w:rsid w:val="00345D68"/>
    <w:rsid w:val="00346970"/>
    <w:rsid w:val="00354BAE"/>
    <w:rsid w:val="003565BF"/>
    <w:rsid w:val="003569EE"/>
    <w:rsid w:val="00360B68"/>
    <w:rsid w:val="00361449"/>
    <w:rsid w:val="003647C8"/>
    <w:rsid w:val="00364CDC"/>
    <w:rsid w:val="003651CF"/>
    <w:rsid w:val="003654EC"/>
    <w:rsid w:val="0037209E"/>
    <w:rsid w:val="0037226B"/>
    <w:rsid w:val="0037296B"/>
    <w:rsid w:val="00374DC2"/>
    <w:rsid w:val="003755B9"/>
    <w:rsid w:val="003758A7"/>
    <w:rsid w:val="00383660"/>
    <w:rsid w:val="0039088C"/>
    <w:rsid w:val="00391432"/>
    <w:rsid w:val="003926EA"/>
    <w:rsid w:val="003951CB"/>
    <w:rsid w:val="00395702"/>
    <w:rsid w:val="0039638D"/>
    <w:rsid w:val="0039689F"/>
    <w:rsid w:val="00396E68"/>
    <w:rsid w:val="00397F4E"/>
    <w:rsid w:val="003A24B9"/>
    <w:rsid w:val="003A2B6C"/>
    <w:rsid w:val="003A3271"/>
    <w:rsid w:val="003A38B9"/>
    <w:rsid w:val="003A702B"/>
    <w:rsid w:val="003A728A"/>
    <w:rsid w:val="003A764C"/>
    <w:rsid w:val="003B3DD9"/>
    <w:rsid w:val="003B4BC4"/>
    <w:rsid w:val="003B5B79"/>
    <w:rsid w:val="003C015C"/>
    <w:rsid w:val="003C03C8"/>
    <w:rsid w:val="003C14CA"/>
    <w:rsid w:val="003C6C9F"/>
    <w:rsid w:val="003C6CD8"/>
    <w:rsid w:val="003C7938"/>
    <w:rsid w:val="003D02D8"/>
    <w:rsid w:val="003D4C77"/>
    <w:rsid w:val="003E0F94"/>
    <w:rsid w:val="003E1B48"/>
    <w:rsid w:val="003E2B5A"/>
    <w:rsid w:val="003E6B7A"/>
    <w:rsid w:val="003E79E3"/>
    <w:rsid w:val="003E7DB0"/>
    <w:rsid w:val="003F1F16"/>
    <w:rsid w:val="003F2CDE"/>
    <w:rsid w:val="003F6D6B"/>
    <w:rsid w:val="0040117A"/>
    <w:rsid w:val="004018E0"/>
    <w:rsid w:val="004018F3"/>
    <w:rsid w:val="004073EC"/>
    <w:rsid w:val="00410D4E"/>
    <w:rsid w:val="00411527"/>
    <w:rsid w:val="00411BA3"/>
    <w:rsid w:val="004123C9"/>
    <w:rsid w:val="00413B35"/>
    <w:rsid w:val="00414568"/>
    <w:rsid w:val="00414AF1"/>
    <w:rsid w:val="00417640"/>
    <w:rsid w:val="00417C26"/>
    <w:rsid w:val="004228E4"/>
    <w:rsid w:val="00422C89"/>
    <w:rsid w:val="00424B7B"/>
    <w:rsid w:val="00424BDF"/>
    <w:rsid w:val="00431FA8"/>
    <w:rsid w:val="00433227"/>
    <w:rsid w:val="00435DCC"/>
    <w:rsid w:val="004405DA"/>
    <w:rsid w:val="004455A4"/>
    <w:rsid w:val="0044770E"/>
    <w:rsid w:val="00451392"/>
    <w:rsid w:val="00451F01"/>
    <w:rsid w:val="00453AA0"/>
    <w:rsid w:val="00453D92"/>
    <w:rsid w:val="0046208B"/>
    <w:rsid w:val="0046270F"/>
    <w:rsid w:val="00462F09"/>
    <w:rsid w:val="004636DD"/>
    <w:rsid w:val="004656CF"/>
    <w:rsid w:val="004657BE"/>
    <w:rsid w:val="004661F6"/>
    <w:rsid w:val="00467A56"/>
    <w:rsid w:val="00467B5C"/>
    <w:rsid w:val="004715CB"/>
    <w:rsid w:val="0047430E"/>
    <w:rsid w:val="00477198"/>
    <w:rsid w:val="00480F9C"/>
    <w:rsid w:val="00482831"/>
    <w:rsid w:val="00482AD7"/>
    <w:rsid w:val="00483F2F"/>
    <w:rsid w:val="0048448E"/>
    <w:rsid w:val="00485444"/>
    <w:rsid w:val="004900FB"/>
    <w:rsid w:val="00491189"/>
    <w:rsid w:val="00491A5F"/>
    <w:rsid w:val="004925EA"/>
    <w:rsid w:val="00494DC1"/>
    <w:rsid w:val="00497956"/>
    <w:rsid w:val="004A3FE5"/>
    <w:rsid w:val="004A4937"/>
    <w:rsid w:val="004A795D"/>
    <w:rsid w:val="004A7CBA"/>
    <w:rsid w:val="004B073C"/>
    <w:rsid w:val="004B37F2"/>
    <w:rsid w:val="004B46ED"/>
    <w:rsid w:val="004B484C"/>
    <w:rsid w:val="004B65EB"/>
    <w:rsid w:val="004B760C"/>
    <w:rsid w:val="004C1AFF"/>
    <w:rsid w:val="004C3B18"/>
    <w:rsid w:val="004C3EEF"/>
    <w:rsid w:val="004C3EF4"/>
    <w:rsid w:val="004C504F"/>
    <w:rsid w:val="004C50FC"/>
    <w:rsid w:val="004D11D0"/>
    <w:rsid w:val="004D2CA8"/>
    <w:rsid w:val="004D5F9F"/>
    <w:rsid w:val="004D7138"/>
    <w:rsid w:val="004D7FD5"/>
    <w:rsid w:val="004E1A45"/>
    <w:rsid w:val="004E444C"/>
    <w:rsid w:val="004E481A"/>
    <w:rsid w:val="004E4973"/>
    <w:rsid w:val="004E6467"/>
    <w:rsid w:val="004E6F28"/>
    <w:rsid w:val="004E7139"/>
    <w:rsid w:val="004F122D"/>
    <w:rsid w:val="004F1D3B"/>
    <w:rsid w:val="004F4B4E"/>
    <w:rsid w:val="004F6437"/>
    <w:rsid w:val="00503A24"/>
    <w:rsid w:val="00507765"/>
    <w:rsid w:val="00513B2E"/>
    <w:rsid w:val="00514649"/>
    <w:rsid w:val="00514CCF"/>
    <w:rsid w:val="00516CA5"/>
    <w:rsid w:val="00516CB5"/>
    <w:rsid w:val="0051714B"/>
    <w:rsid w:val="00522E1B"/>
    <w:rsid w:val="00522EBC"/>
    <w:rsid w:val="0052326C"/>
    <w:rsid w:val="00523A8F"/>
    <w:rsid w:val="005315B1"/>
    <w:rsid w:val="005323EF"/>
    <w:rsid w:val="00532E43"/>
    <w:rsid w:val="005330C0"/>
    <w:rsid w:val="00533CA1"/>
    <w:rsid w:val="0053484C"/>
    <w:rsid w:val="00541D4C"/>
    <w:rsid w:val="00551230"/>
    <w:rsid w:val="005514C0"/>
    <w:rsid w:val="00552720"/>
    <w:rsid w:val="0055385B"/>
    <w:rsid w:val="00554EE1"/>
    <w:rsid w:val="005553D0"/>
    <w:rsid w:val="00560FB4"/>
    <w:rsid w:val="0056625E"/>
    <w:rsid w:val="00571BF7"/>
    <w:rsid w:val="00573495"/>
    <w:rsid w:val="00574733"/>
    <w:rsid w:val="00576341"/>
    <w:rsid w:val="00577307"/>
    <w:rsid w:val="00580862"/>
    <w:rsid w:val="00580EC7"/>
    <w:rsid w:val="00580ED1"/>
    <w:rsid w:val="00581182"/>
    <w:rsid w:val="00582969"/>
    <w:rsid w:val="00583214"/>
    <w:rsid w:val="00585EFE"/>
    <w:rsid w:val="00586496"/>
    <w:rsid w:val="00586D72"/>
    <w:rsid w:val="00590031"/>
    <w:rsid w:val="005936DF"/>
    <w:rsid w:val="005A1995"/>
    <w:rsid w:val="005A3DE1"/>
    <w:rsid w:val="005A454C"/>
    <w:rsid w:val="005A4FBB"/>
    <w:rsid w:val="005A56AE"/>
    <w:rsid w:val="005A7023"/>
    <w:rsid w:val="005B08D5"/>
    <w:rsid w:val="005B4375"/>
    <w:rsid w:val="005B72FD"/>
    <w:rsid w:val="005C0527"/>
    <w:rsid w:val="005C0E8A"/>
    <w:rsid w:val="005C16B3"/>
    <w:rsid w:val="005C39C1"/>
    <w:rsid w:val="005C6E99"/>
    <w:rsid w:val="005D1BD2"/>
    <w:rsid w:val="005D2163"/>
    <w:rsid w:val="005D3AF9"/>
    <w:rsid w:val="005D5CF4"/>
    <w:rsid w:val="005D685F"/>
    <w:rsid w:val="005E19A4"/>
    <w:rsid w:val="005E21AC"/>
    <w:rsid w:val="005E27A0"/>
    <w:rsid w:val="005E2EC9"/>
    <w:rsid w:val="005E38A1"/>
    <w:rsid w:val="005E39F8"/>
    <w:rsid w:val="005E7B14"/>
    <w:rsid w:val="005E7CCB"/>
    <w:rsid w:val="005F00F2"/>
    <w:rsid w:val="005F2712"/>
    <w:rsid w:val="00603F1E"/>
    <w:rsid w:val="006050E2"/>
    <w:rsid w:val="00606736"/>
    <w:rsid w:val="00606EB8"/>
    <w:rsid w:val="00606F55"/>
    <w:rsid w:val="00607565"/>
    <w:rsid w:val="00607729"/>
    <w:rsid w:val="006131F1"/>
    <w:rsid w:val="00615813"/>
    <w:rsid w:val="0061608D"/>
    <w:rsid w:val="00616322"/>
    <w:rsid w:val="00620540"/>
    <w:rsid w:val="00620543"/>
    <w:rsid w:val="00622417"/>
    <w:rsid w:val="006230D9"/>
    <w:rsid w:val="006233BA"/>
    <w:rsid w:val="00623F57"/>
    <w:rsid w:val="00633213"/>
    <w:rsid w:val="00634D5B"/>
    <w:rsid w:val="006362E7"/>
    <w:rsid w:val="006363C8"/>
    <w:rsid w:val="006366CB"/>
    <w:rsid w:val="00637297"/>
    <w:rsid w:val="006406F9"/>
    <w:rsid w:val="00640827"/>
    <w:rsid w:val="006436CF"/>
    <w:rsid w:val="00644866"/>
    <w:rsid w:val="00644C75"/>
    <w:rsid w:val="00646B1F"/>
    <w:rsid w:val="00650F3E"/>
    <w:rsid w:val="00651418"/>
    <w:rsid w:val="00651522"/>
    <w:rsid w:val="00651751"/>
    <w:rsid w:val="00657DF2"/>
    <w:rsid w:val="00660AAE"/>
    <w:rsid w:val="00661EC8"/>
    <w:rsid w:val="00662DB1"/>
    <w:rsid w:val="00662FC5"/>
    <w:rsid w:val="00663247"/>
    <w:rsid w:val="00664156"/>
    <w:rsid w:val="0066567B"/>
    <w:rsid w:val="00666441"/>
    <w:rsid w:val="0066660D"/>
    <w:rsid w:val="006704D0"/>
    <w:rsid w:val="00674E8F"/>
    <w:rsid w:val="00676A31"/>
    <w:rsid w:val="00677451"/>
    <w:rsid w:val="00681E10"/>
    <w:rsid w:val="00682D7C"/>
    <w:rsid w:val="006861EF"/>
    <w:rsid w:val="00686DD5"/>
    <w:rsid w:val="006919A3"/>
    <w:rsid w:val="00691B43"/>
    <w:rsid w:val="00691C9E"/>
    <w:rsid w:val="006942D3"/>
    <w:rsid w:val="0069748F"/>
    <w:rsid w:val="00697A6C"/>
    <w:rsid w:val="00697C96"/>
    <w:rsid w:val="006A0939"/>
    <w:rsid w:val="006A225B"/>
    <w:rsid w:val="006A6F18"/>
    <w:rsid w:val="006A7812"/>
    <w:rsid w:val="006B2270"/>
    <w:rsid w:val="006B2B1C"/>
    <w:rsid w:val="006B3A34"/>
    <w:rsid w:val="006B3DDE"/>
    <w:rsid w:val="006B433B"/>
    <w:rsid w:val="006B47A3"/>
    <w:rsid w:val="006B7B74"/>
    <w:rsid w:val="006C3495"/>
    <w:rsid w:val="006C55DF"/>
    <w:rsid w:val="006C5CB2"/>
    <w:rsid w:val="006C6195"/>
    <w:rsid w:val="006C70A5"/>
    <w:rsid w:val="006D0488"/>
    <w:rsid w:val="006D40DF"/>
    <w:rsid w:val="006D5190"/>
    <w:rsid w:val="006D71FE"/>
    <w:rsid w:val="006D77D7"/>
    <w:rsid w:val="006D7978"/>
    <w:rsid w:val="006E042E"/>
    <w:rsid w:val="006E18EF"/>
    <w:rsid w:val="006E1EA8"/>
    <w:rsid w:val="006E22DE"/>
    <w:rsid w:val="006E4E67"/>
    <w:rsid w:val="006F5E8B"/>
    <w:rsid w:val="006F625D"/>
    <w:rsid w:val="006F6642"/>
    <w:rsid w:val="006F6CBA"/>
    <w:rsid w:val="006F71D8"/>
    <w:rsid w:val="006F7670"/>
    <w:rsid w:val="006F7BCE"/>
    <w:rsid w:val="006F7F6C"/>
    <w:rsid w:val="00700790"/>
    <w:rsid w:val="007012AA"/>
    <w:rsid w:val="00703A9E"/>
    <w:rsid w:val="00703FCE"/>
    <w:rsid w:val="007040E6"/>
    <w:rsid w:val="00704EDC"/>
    <w:rsid w:val="00704F9C"/>
    <w:rsid w:val="00710661"/>
    <w:rsid w:val="007107ED"/>
    <w:rsid w:val="00710B89"/>
    <w:rsid w:val="00711B22"/>
    <w:rsid w:val="007134C4"/>
    <w:rsid w:val="0071573C"/>
    <w:rsid w:val="00716330"/>
    <w:rsid w:val="00716E2D"/>
    <w:rsid w:val="0072211E"/>
    <w:rsid w:val="0072653B"/>
    <w:rsid w:val="00726DF3"/>
    <w:rsid w:val="007304A6"/>
    <w:rsid w:val="00732632"/>
    <w:rsid w:val="00732FB7"/>
    <w:rsid w:val="00733DE0"/>
    <w:rsid w:val="00740E42"/>
    <w:rsid w:val="0074228F"/>
    <w:rsid w:val="00744419"/>
    <w:rsid w:val="00746C7A"/>
    <w:rsid w:val="00747912"/>
    <w:rsid w:val="00747EE0"/>
    <w:rsid w:val="00750353"/>
    <w:rsid w:val="007505F8"/>
    <w:rsid w:val="00751E6A"/>
    <w:rsid w:val="00752389"/>
    <w:rsid w:val="0075382F"/>
    <w:rsid w:val="00754ACC"/>
    <w:rsid w:val="0076022D"/>
    <w:rsid w:val="00760AC8"/>
    <w:rsid w:val="00762A71"/>
    <w:rsid w:val="00762C5A"/>
    <w:rsid w:val="007643B7"/>
    <w:rsid w:val="007714BD"/>
    <w:rsid w:val="00771F74"/>
    <w:rsid w:val="00772F17"/>
    <w:rsid w:val="00775FFF"/>
    <w:rsid w:val="00776B69"/>
    <w:rsid w:val="007833F2"/>
    <w:rsid w:val="00784F54"/>
    <w:rsid w:val="007905FC"/>
    <w:rsid w:val="00790DA5"/>
    <w:rsid w:val="00791E98"/>
    <w:rsid w:val="00792622"/>
    <w:rsid w:val="00793CD8"/>
    <w:rsid w:val="007A3661"/>
    <w:rsid w:val="007B0693"/>
    <w:rsid w:val="007B1460"/>
    <w:rsid w:val="007B1468"/>
    <w:rsid w:val="007B4072"/>
    <w:rsid w:val="007B4858"/>
    <w:rsid w:val="007B4EA3"/>
    <w:rsid w:val="007B60C1"/>
    <w:rsid w:val="007B6B03"/>
    <w:rsid w:val="007C2BD3"/>
    <w:rsid w:val="007C4AFE"/>
    <w:rsid w:val="007C4F9C"/>
    <w:rsid w:val="007D0A3B"/>
    <w:rsid w:val="007D12F4"/>
    <w:rsid w:val="007D3213"/>
    <w:rsid w:val="007D682D"/>
    <w:rsid w:val="007E277B"/>
    <w:rsid w:val="007E3297"/>
    <w:rsid w:val="007E4D31"/>
    <w:rsid w:val="007E4D4F"/>
    <w:rsid w:val="007E6D96"/>
    <w:rsid w:val="007E71A8"/>
    <w:rsid w:val="007E732B"/>
    <w:rsid w:val="007F1753"/>
    <w:rsid w:val="007F1916"/>
    <w:rsid w:val="007F361D"/>
    <w:rsid w:val="007F3966"/>
    <w:rsid w:val="007F3BF9"/>
    <w:rsid w:val="007F4E42"/>
    <w:rsid w:val="007F58EF"/>
    <w:rsid w:val="007F5E24"/>
    <w:rsid w:val="007F6AC6"/>
    <w:rsid w:val="008013A2"/>
    <w:rsid w:val="00804F2F"/>
    <w:rsid w:val="008055F1"/>
    <w:rsid w:val="0080650A"/>
    <w:rsid w:val="00806AD3"/>
    <w:rsid w:val="00806F73"/>
    <w:rsid w:val="00807A76"/>
    <w:rsid w:val="0081214B"/>
    <w:rsid w:val="0081225E"/>
    <w:rsid w:val="008152D2"/>
    <w:rsid w:val="008207F7"/>
    <w:rsid w:val="008233D7"/>
    <w:rsid w:val="00823A86"/>
    <w:rsid w:val="0082424C"/>
    <w:rsid w:val="00827A2C"/>
    <w:rsid w:val="00830A13"/>
    <w:rsid w:val="00830BA4"/>
    <w:rsid w:val="00831BFD"/>
    <w:rsid w:val="008320E4"/>
    <w:rsid w:val="008332DE"/>
    <w:rsid w:val="00834F42"/>
    <w:rsid w:val="00837551"/>
    <w:rsid w:val="00837B5E"/>
    <w:rsid w:val="008400C6"/>
    <w:rsid w:val="0084013F"/>
    <w:rsid w:val="0084456A"/>
    <w:rsid w:val="00846F0C"/>
    <w:rsid w:val="00850688"/>
    <w:rsid w:val="00850AED"/>
    <w:rsid w:val="00850EDB"/>
    <w:rsid w:val="008555CB"/>
    <w:rsid w:val="008617AB"/>
    <w:rsid w:val="00864804"/>
    <w:rsid w:val="00864C60"/>
    <w:rsid w:val="00865581"/>
    <w:rsid w:val="00866B6C"/>
    <w:rsid w:val="00870C84"/>
    <w:rsid w:val="008714B0"/>
    <w:rsid w:val="0087407C"/>
    <w:rsid w:val="008750F1"/>
    <w:rsid w:val="00883C39"/>
    <w:rsid w:val="00884556"/>
    <w:rsid w:val="008847C5"/>
    <w:rsid w:val="00884C73"/>
    <w:rsid w:val="00894BE1"/>
    <w:rsid w:val="008969EE"/>
    <w:rsid w:val="00896DEA"/>
    <w:rsid w:val="008A2D62"/>
    <w:rsid w:val="008A46C5"/>
    <w:rsid w:val="008A49EF"/>
    <w:rsid w:val="008A58D0"/>
    <w:rsid w:val="008A66F0"/>
    <w:rsid w:val="008A68D8"/>
    <w:rsid w:val="008A6B79"/>
    <w:rsid w:val="008B464C"/>
    <w:rsid w:val="008B69DA"/>
    <w:rsid w:val="008B6BA4"/>
    <w:rsid w:val="008C2FBE"/>
    <w:rsid w:val="008C3C01"/>
    <w:rsid w:val="008C4258"/>
    <w:rsid w:val="008C4E10"/>
    <w:rsid w:val="008C5A2F"/>
    <w:rsid w:val="008C5A8E"/>
    <w:rsid w:val="008C6DB1"/>
    <w:rsid w:val="008D06B5"/>
    <w:rsid w:val="008D3570"/>
    <w:rsid w:val="008D49E0"/>
    <w:rsid w:val="008D5592"/>
    <w:rsid w:val="008D5F00"/>
    <w:rsid w:val="008D5F6E"/>
    <w:rsid w:val="008D65DD"/>
    <w:rsid w:val="008D6FC3"/>
    <w:rsid w:val="008D7A78"/>
    <w:rsid w:val="008E0A0D"/>
    <w:rsid w:val="008E0B63"/>
    <w:rsid w:val="008E41DD"/>
    <w:rsid w:val="008E44BF"/>
    <w:rsid w:val="008E4688"/>
    <w:rsid w:val="008F6B84"/>
    <w:rsid w:val="008F7CB4"/>
    <w:rsid w:val="009050B7"/>
    <w:rsid w:val="00906FC8"/>
    <w:rsid w:val="00912AE8"/>
    <w:rsid w:val="00912B85"/>
    <w:rsid w:val="00914DEC"/>
    <w:rsid w:val="0091596B"/>
    <w:rsid w:val="00915BD9"/>
    <w:rsid w:val="009219C3"/>
    <w:rsid w:val="00921C52"/>
    <w:rsid w:val="0092243E"/>
    <w:rsid w:val="00923868"/>
    <w:rsid w:val="009259A1"/>
    <w:rsid w:val="00927FA1"/>
    <w:rsid w:val="0093131F"/>
    <w:rsid w:val="00934319"/>
    <w:rsid w:val="009349F5"/>
    <w:rsid w:val="00935F6C"/>
    <w:rsid w:val="00936AF1"/>
    <w:rsid w:val="00940060"/>
    <w:rsid w:val="00943596"/>
    <w:rsid w:val="00946875"/>
    <w:rsid w:val="0095135A"/>
    <w:rsid w:val="0095148A"/>
    <w:rsid w:val="009567CF"/>
    <w:rsid w:val="009573C0"/>
    <w:rsid w:val="00960AB7"/>
    <w:rsid w:val="00961A2B"/>
    <w:rsid w:val="00963F6F"/>
    <w:rsid w:val="00965B97"/>
    <w:rsid w:val="00965EA8"/>
    <w:rsid w:val="00970216"/>
    <w:rsid w:val="0097238C"/>
    <w:rsid w:val="00973260"/>
    <w:rsid w:val="0097344E"/>
    <w:rsid w:val="009742D3"/>
    <w:rsid w:val="00974655"/>
    <w:rsid w:val="00974A43"/>
    <w:rsid w:val="00975E0C"/>
    <w:rsid w:val="009761CD"/>
    <w:rsid w:val="009801BE"/>
    <w:rsid w:val="00983F30"/>
    <w:rsid w:val="00984E52"/>
    <w:rsid w:val="00985C57"/>
    <w:rsid w:val="00987FB8"/>
    <w:rsid w:val="0099069B"/>
    <w:rsid w:val="00990C7B"/>
    <w:rsid w:val="00993DEB"/>
    <w:rsid w:val="00994986"/>
    <w:rsid w:val="009A0EB4"/>
    <w:rsid w:val="009B36F6"/>
    <w:rsid w:val="009B38C8"/>
    <w:rsid w:val="009B5E5E"/>
    <w:rsid w:val="009C0155"/>
    <w:rsid w:val="009C020F"/>
    <w:rsid w:val="009C107B"/>
    <w:rsid w:val="009C185A"/>
    <w:rsid w:val="009C2DA9"/>
    <w:rsid w:val="009C73AF"/>
    <w:rsid w:val="009D217B"/>
    <w:rsid w:val="009D31EF"/>
    <w:rsid w:val="009D43CF"/>
    <w:rsid w:val="009E185F"/>
    <w:rsid w:val="009E19E0"/>
    <w:rsid w:val="009E4EA1"/>
    <w:rsid w:val="009F146C"/>
    <w:rsid w:val="009F6C87"/>
    <w:rsid w:val="009F7297"/>
    <w:rsid w:val="00A016B4"/>
    <w:rsid w:val="00A01DD1"/>
    <w:rsid w:val="00A10510"/>
    <w:rsid w:val="00A11001"/>
    <w:rsid w:val="00A11AE1"/>
    <w:rsid w:val="00A121B2"/>
    <w:rsid w:val="00A14657"/>
    <w:rsid w:val="00A17603"/>
    <w:rsid w:val="00A20A38"/>
    <w:rsid w:val="00A2401C"/>
    <w:rsid w:val="00A26E8C"/>
    <w:rsid w:val="00A33643"/>
    <w:rsid w:val="00A35B4A"/>
    <w:rsid w:val="00A368CC"/>
    <w:rsid w:val="00A40C4D"/>
    <w:rsid w:val="00A471B6"/>
    <w:rsid w:val="00A47AAF"/>
    <w:rsid w:val="00A50464"/>
    <w:rsid w:val="00A57234"/>
    <w:rsid w:val="00A579F2"/>
    <w:rsid w:val="00A603DC"/>
    <w:rsid w:val="00A61E02"/>
    <w:rsid w:val="00A624E1"/>
    <w:rsid w:val="00A65186"/>
    <w:rsid w:val="00A6557C"/>
    <w:rsid w:val="00A66A2A"/>
    <w:rsid w:val="00A713F3"/>
    <w:rsid w:val="00A735AD"/>
    <w:rsid w:val="00A73AC1"/>
    <w:rsid w:val="00A752BC"/>
    <w:rsid w:val="00A839B2"/>
    <w:rsid w:val="00A87648"/>
    <w:rsid w:val="00A90230"/>
    <w:rsid w:val="00A914F4"/>
    <w:rsid w:val="00A93D7F"/>
    <w:rsid w:val="00A93FE3"/>
    <w:rsid w:val="00A9503A"/>
    <w:rsid w:val="00A958E1"/>
    <w:rsid w:val="00AA20A6"/>
    <w:rsid w:val="00AA3B48"/>
    <w:rsid w:val="00AA65AC"/>
    <w:rsid w:val="00AA732E"/>
    <w:rsid w:val="00AA793D"/>
    <w:rsid w:val="00AA7C38"/>
    <w:rsid w:val="00AB2EC1"/>
    <w:rsid w:val="00AB3227"/>
    <w:rsid w:val="00AB3B62"/>
    <w:rsid w:val="00AB3F69"/>
    <w:rsid w:val="00AB5F73"/>
    <w:rsid w:val="00AC0AA1"/>
    <w:rsid w:val="00AC0C86"/>
    <w:rsid w:val="00AC1DFF"/>
    <w:rsid w:val="00AC2DD7"/>
    <w:rsid w:val="00AD31A4"/>
    <w:rsid w:val="00AD5A31"/>
    <w:rsid w:val="00AD5C22"/>
    <w:rsid w:val="00AE2388"/>
    <w:rsid w:val="00AE307A"/>
    <w:rsid w:val="00AE40F2"/>
    <w:rsid w:val="00AE6563"/>
    <w:rsid w:val="00AF12E9"/>
    <w:rsid w:val="00AF14F1"/>
    <w:rsid w:val="00AF2689"/>
    <w:rsid w:val="00AF2720"/>
    <w:rsid w:val="00AF3B78"/>
    <w:rsid w:val="00AF70C0"/>
    <w:rsid w:val="00B007F5"/>
    <w:rsid w:val="00B0242F"/>
    <w:rsid w:val="00B07A94"/>
    <w:rsid w:val="00B16BE3"/>
    <w:rsid w:val="00B22743"/>
    <w:rsid w:val="00B23068"/>
    <w:rsid w:val="00B233DA"/>
    <w:rsid w:val="00B2745C"/>
    <w:rsid w:val="00B33B11"/>
    <w:rsid w:val="00B3453B"/>
    <w:rsid w:val="00B3751B"/>
    <w:rsid w:val="00B37AA5"/>
    <w:rsid w:val="00B37FA2"/>
    <w:rsid w:val="00B40E62"/>
    <w:rsid w:val="00B4162C"/>
    <w:rsid w:val="00B434F6"/>
    <w:rsid w:val="00B4441B"/>
    <w:rsid w:val="00B47AA4"/>
    <w:rsid w:val="00B533A4"/>
    <w:rsid w:val="00B545E1"/>
    <w:rsid w:val="00B60680"/>
    <w:rsid w:val="00B607CB"/>
    <w:rsid w:val="00B60E1F"/>
    <w:rsid w:val="00B62EF2"/>
    <w:rsid w:val="00B675CC"/>
    <w:rsid w:val="00B70272"/>
    <w:rsid w:val="00B74501"/>
    <w:rsid w:val="00B75593"/>
    <w:rsid w:val="00B75DF3"/>
    <w:rsid w:val="00B76492"/>
    <w:rsid w:val="00B7650D"/>
    <w:rsid w:val="00B77EF1"/>
    <w:rsid w:val="00B90850"/>
    <w:rsid w:val="00B9152F"/>
    <w:rsid w:val="00B91D4F"/>
    <w:rsid w:val="00B92D8E"/>
    <w:rsid w:val="00B93138"/>
    <w:rsid w:val="00B94F16"/>
    <w:rsid w:val="00B952BD"/>
    <w:rsid w:val="00B96E88"/>
    <w:rsid w:val="00BB1255"/>
    <w:rsid w:val="00BB1D7C"/>
    <w:rsid w:val="00BB1DAE"/>
    <w:rsid w:val="00BB2169"/>
    <w:rsid w:val="00BB2720"/>
    <w:rsid w:val="00BB4105"/>
    <w:rsid w:val="00BB747A"/>
    <w:rsid w:val="00BC0191"/>
    <w:rsid w:val="00BC07D9"/>
    <w:rsid w:val="00BC1DD0"/>
    <w:rsid w:val="00BC281A"/>
    <w:rsid w:val="00BC2959"/>
    <w:rsid w:val="00BC4277"/>
    <w:rsid w:val="00BC6A66"/>
    <w:rsid w:val="00BC6C9A"/>
    <w:rsid w:val="00BD097C"/>
    <w:rsid w:val="00BD137B"/>
    <w:rsid w:val="00BD31DC"/>
    <w:rsid w:val="00BD3B95"/>
    <w:rsid w:val="00BD6122"/>
    <w:rsid w:val="00BD7C9A"/>
    <w:rsid w:val="00BD7F43"/>
    <w:rsid w:val="00BE0223"/>
    <w:rsid w:val="00BE0274"/>
    <w:rsid w:val="00BE11EC"/>
    <w:rsid w:val="00BE2D92"/>
    <w:rsid w:val="00BE516A"/>
    <w:rsid w:val="00BE5227"/>
    <w:rsid w:val="00BF19AE"/>
    <w:rsid w:val="00BF220C"/>
    <w:rsid w:val="00BF3A1D"/>
    <w:rsid w:val="00BF589C"/>
    <w:rsid w:val="00BF76B9"/>
    <w:rsid w:val="00BF781A"/>
    <w:rsid w:val="00C01E16"/>
    <w:rsid w:val="00C03652"/>
    <w:rsid w:val="00C146F6"/>
    <w:rsid w:val="00C154FE"/>
    <w:rsid w:val="00C20346"/>
    <w:rsid w:val="00C21DD5"/>
    <w:rsid w:val="00C22EEC"/>
    <w:rsid w:val="00C25421"/>
    <w:rsid w:val="00C26BC7"/>
    <w:rsid w:val="00C27F26"/>
    <w:rsid w:val="00C310D0"/>
    <w:rsid w:val="00C338FC"/>
    <w:rsid w:val="00C3490C"/>
    <w:rsid w:val="00C35326"/>
    <w:rsid w:val="00C353BB"/>
    <w:rsid w:val="00C360C0"/>
    <w:rsid w:val="00C40A88"/>
    <w:rsid w:val="00C43D5E"/>
    <w:rsid w:val="00C43EA7"/>
    <w:rsid w:val="00C446B0"/>
    <w:rsid w:val="00C453FB"/>
    <w:rsid w:val="00C473AD"/>
    <w:rsid w:val="00C47860"/>
    <w:rsid w:val="00C501DB"/>
    <w:rsid w:val="00C50DCD"/>
    <w:rsid w:val="00C537D1"/>
    <w:rsid w:val="00C55151"/>
    <w:rsid w:val="00C55298"/>
    <w:rsid w:val="00C55541"/>
    <w:rsid w:val="00C57D5A"/>
    <w:rsid w:val="00C57EFB"/>
    <w:rsid w:val="00C64C93"/>
    <w:rsid w:val="00C66113"/>
    <w:rsid w:val="00C73FBD"/>
    <w:rsid w:val="00C74419"/>
    <w:rsid w:val="00C75593"/>
    <w:rsid w:val="00C7616D"/>
    <w:rsid w:val="00C76FCD"/>
    <w:rsid w:val="00C80AD9"/>
    <w:rsid w:val="00C80E6D"/>
    <w:rsid w:val="00C810B3"/>
    <w:rsid w:val="00C83648"/>
    <w:rsid w:val="00C83BF4"/>
    <w:rsid w:val="00C84168"/>
    <w:rsid w:val="00C858AF"/>
    <w:rsid w:val="00C8672C"/>
    <w:rsid w:val="00C867FD"/>
    <w:rsid w:val="00C8698E"/>
    <w:rsid w:val="00C874E2"/>
    <w:rsid w:val="00C91AF0"/>
    <w:rsid w:val="00C91D4E"/>
    <w:rsid w:val="00C922FD"/>
    <w:rsid w:val="00C94D8C"/>
    <w:rsid w:val="00C96D87"/>
    <w:rsid w:val="00C96EC1"/>
    <w:rsid w:val="00C97092"/>
    <w:rsid w:val="00C9735B"/>
    <w:rsid w:val="00CA007B"/>
    <w:rsid w:val="00CA04EA"/>
    <w:rsid w:val="00CA082D"/>
    <w:rsid w:val="00CA10DC"/>
    <w:rsid w:val="00CA186A"/>
    <w:rsid w:val="00CA31AD"/>
    <w:rsid w:val="00CA56C7"/>
    <w:rsid w:val="00CA6768"/>
    <w:rsid w:val="00CB14A0"/>
    <w:rsid w:val="00CB282B"/>
    <w:rsid w:val="00CB398D"/>
    <w:rsid w:val="00CC1F44"/>
    <w:rsid w:val="00CC3263"/>
    <w:rsid w:val="00CC5827"/>
    <w:rsid w:val="00CC652C"/>
    <w:rsid w:val="00CC699F"/>
    <w:rsid w:val="00CD0886"/>
    <w:rsid w:val="00CD1A54"/>
    <w:rsid w:val="00CD3B1D"/>
    <w:rsid w:val="00CD6F4E"/>
    <w:rsid w:val="00CD71A1"/>
    <w:rsid w:val="00CE09BF"/>
    <w:rsid w:val="00CE354B"/>
    <w:rsid w:val="00CE4341"/>
    <w:rsid w:val="00CE44D8"/>
    <w:rsid w:val="00CE547E"/>
    <w:rsid w:val="00CF14CD"/>
    <w:rsid w:val="00D0284A"/>
    <w:rsid w:val="00D0513D"/>
    <w:rsid w:val="00D05F6F"/>
    <w:rsid w:val="00D07F65"/>
    <w:rsid w:val="00D12E8F"/>
    <w:rsid w:val="00D1365F"/>
    <w:rsid w:val="00D14C45"/>
    <w:rsid w:val="00D16F3A"/>
    <w:rsid w:val="00D217C7"/>
    <w:rsid w:val="00D2600A"/>
    <w:rsid w:val="00D26389"/>
    <w:rsid w:val="00D26881"/>
    <w:rsid w:val="00D327C4"/>
    <w:rsid w:val="00D35669"/>
    <w:rsid w:val="00D41588"/>
    <w:rsid w:val="00D4172F"/>
    <w:rsid w:val="00D41B54"/>
    <w:rsid w:val="00D471B5"/>
    <w:rsid w:val="00D506E5"/>
    <w:rsid w:val="00D52A19"/>
    <w:rsid w:val="00D537D5"/>
    <w:rsid w:val="00D539F2"/>
    <w:rsid w:val="00D54868"/>
    <w:rsid w:val="00D55C1A"/>
    <w:rsid w:val="00D624FB"/>
    <w:rsid w:val="00D6594A"/>
    <w:rsid w:val="00D65A45"/>
    <w:rsid w:val="00D65E77"/>
    <w:rsid w:val="00D6771E"/>
    <w:rsid w:val="00D67E0C"/>
    <w:rsid w:val="00D67F26"/>
    <w:rsid w:val="00D70911"/>
    <w:rsid w:val="00D717F5"/>
    <w:rsid w:val="00D74353"/>
    <w:rsid w:val="00D7460D"/>
    <w:rsid w:val="00D74B6B"/>
    <w:rsid w:val="00D7699D"/>
    <w:rsid w:val="00D77575"/>
    <w:rsid w:val="00D77A17"/>
    <w:rsid w:val="00D804E5"/>
    <w:rsid w:val="00D805C2"/>
    <w:rsid w:val="00D82074"/>
    <w:rsid w:val="00D843F6"/>
    <w:rsid w:val="00D851E0"/>
    <w:rsid w:val="00D87E95"/>
    <w:rsid w:val="00D91704"/>
    <w:rsid w:val="00D9197D"/>
    <w:rsid w:val="00D92C70"/>
    <w:rsid w:val="00D93238"/>
    <w:rsid w:val="00D94233"/>
    <w:rsid w:val="00D96409"/>
    <w:rsid w:val="00D97EF6"/>
    <w:rsid w:val="00DA0078"/>
    <w:rsid w:val="00DA1FFF"/>
    <w:rsid w:val="00DA40D7"/>
    <w:rsid w:val="00DA4276"/>
    <w:rsid w:val="00DA7548"/>
    <w:rsid w:val="00DA779C"/>
    <w:rsid w:val="00DB11C7"/>
    <w:rsid w:val="00DB35D9"/>
    <w:rsid w:val="00DB4C65"/>
    <w:rsid w:val="00DC0E56"/>
    <w:rsid w:val="00DC1185"/>
    <w:rsid w:val="00DC160F"/>
    <w:rsid w:val="00DC4B23"/>
    <w:rsid w:val="00DC5A93"/>
    <w:rsid w:val="00DC75AB"/>
    <w:rsid w:val="00DD2124"/>
    <w:rsid w:val="00DD2756"/>
    <w:rsid w:val="00DD6595"/>
    <w:rsid w:val="00DD676B"/>
    <w:rsid w:val="00DE1D64"/>
    <w:rsid w:val="00DE3AA1"/>
    <w:rsid w:val="00DE4A17"/>
    <w:rsid w:val="00DE4D62"/>
    <w:rsid w:val="00DF07B7"/>
    <w:rsid w:val="00E011D2"/>
    <w:rsid w:val="00E01431"/>
    <w:rsid w:val="00E03F10"/>
    <w:rsid w:val="00E054A7"/>
    <w:rsid w:val="00E05B43"/>
    <w:rsid w:val="00E07E45"/>
    <w:rsid w:val="00E1152D"/>
    <w:rsid w:val="00E11FAF"/>
    <w:rsid w:val="00E12B86"/>
    <w:rsid w:val="00E149A4"/>
    <w:rsid w:val="00E150A9"/>
    <w:rsid w:val="00E155F2"/>
    <w:rsid w:val="00E17D12"/>
    <w:rsid w:val="00E229B8"/>
    <w:rsid w:val="00E255E3"/>
    <w:rsid w:val="00E26FF9"/>
    <w:rsid w:val="00E30ADF"/>
    <w:rsid w:val="00E30BFF"/>
    <w:rsid w:val="00E31D43"/>
    <w:rsid w:val="00E326F1"/>
    <w:rsid w:val="00E407B3"/>
    <w:rsid w:val="00E40C06"/>
    <w:rsid w:val="00E40C60"/>
    <w:rsid w:val="00E455AB"/>
    <w:rsid w:val="00E46C0A"/>
    <w:rsid w:val="00E47B6B"/>
    <w:rsid w:val="00E5020D"/>
    <w:rsid w:val="00E53B99"/>
    <w:rsid w:val="00E5490A"/>
    <w:rsid w:val="00E57803"/>
    <w:rsid w:val="00E57808"/>
    <w:rsid w:val="00E57D95"/>
    <w:rsid w:val="00E61ED4"/>
    <w:rsid w:val="00E621F2"/>
    <w:rsid w:val="00E627EF"/>
    <w:rsid w:val="00E62ECC"/>
    <w:rsid w:val="00E659EC"/>
    <w:rsid w:val="00E67CC9"/>
    <w:rsid w:val="00E67DF5"/>
    <w:rsid w:val="00E72CDC"/>
    <w:rsid w:val="00E75E11"/>
    <w:rsid w:val="00E778E2"/>
    <w:rsid w:val="00E77AE1"/>
    <w:rsid w:val="00E80457"/>
    <w:rsid w:val="00E85A85"/>
    <w:rsid w:val="00E86653"/>
    <w:rsid w:val="00E8727E"/>
    <w:rsid w:val="00E87828"/>
    <w:rsid w:val="00E8797E"/>
    <w:rsid w:val="00E91516"/>
    <w:rsid w:val="00E916F8"/>
    <w:rsid w:val="00E951FC"/>
    <w:rsid w:val="00EA2E59"/>
    <w:rsid w:val="00EA60C0"/>
    <w:rsid w:val="00EA60C5"/>
    <w:rsid w:val="00EB2519"/>
    <w:rsid w:val="00EB68BF"/>
    <w:rsid w:val="00EC05E0"/>
    <w:rsid w:val="00EC32F2"/>
    <w:rsid w:val="00EC3F99"/>
    <w:rsid w:val="00EC4909"/>
    <w:rsid w:val="00EC4FCA"/>
    <w:rsid w:val="00EC67B9"/>
    <w:rsid w:val="00EC72EC"/>
    <w:rsid w:val="00EC78E1"/>
    <w:rsid w:val="00EC7CB1"/>
    <w:rsid w:val="00ED2BBF"/>
    <w:rsid w:val="00EE24F7"/>
    <w:rsid w:val="00EE25A1"/>
    <w:rsid w:val="00EE6842"/>
    <w:rsid w:val="00EE7FE4"/>
    <w:rsid w:val="00EF3776"/>
    <w:rsid w:val="00EF7731"/>
    <w:rsid w:val="00F009EB"/>
    <w:rsid w:val="00F00A38"/>
    <w:rsid w:val="00F03DEB"/>
    <w:rsid w:val="00F05B0C"/>
    <w:rsid w:val="00F05B4F"/>
    <w:rsid w:val="00F05F85"/>
    <w:rsid w:val="00F07224"/>
    <w:rsid w:val="00F07386"/>
    <w:rsid w:val="00F0749C"/>
    <w:rsid w:val="00F1196F"/>
    <w:rsid w:val="00F16A12"/>
    <w:rsid w:val="00F2195B"/>
    <w:rsid w:val="00F22B1D"/>
    <w:rsid w:val="00F23729"/>
    <w:rsid w:val="00F3051A"/>
    <w:rsid w:val="00F32349"/>
    <w:rsid w:val="00F32D18"/>
    <w:rsid w:val="00F33689"/>
    <w:rsid w:val="00F33C62"/>
    <w:rsid w:val="00F36615"/>
    <w:rsid w:val="00F37450"/>
    <w:rsid w:val="00F410FC"/>
    <w:rsid w:val="00F4162F"/>
    <w:rsid w:val="00F44F1C"/>
    <w:rsid w:val="00F44FAD"/>
    <w:rsid w:val="00F453BF"/>
    <w:rsid w:val="00F45C47"/>
    <w:rsid w:val="00F5350B"/>
    <w:rsid w:val="00F57987"/>
    <w:rsid w:val="00F579E7"/>
    <w:rsid w:val="00F60399"/>
    <w:rsid w:val="00F607E5"/>
    <w:rsid w:val="00F60AB5"/>
    <w:rsid w:val="00F633E7"/>
    <w:rsid w:val="00F67A2A"/>
    <w:rsid w:val="00F70202"/>
    <w:rsid w:val="00F71171"/>
    <w:rsid w:val="00F71953"/>
    <w:rsid w:val="00F72D01"/>
    <w:rsid w:val="00F74DA3"/>
    <w:rsid w:val="00F764CE"/>
    <w:rsid w:val="00F77265"/>
    <w:rsid w:val="00F82F44"/>
    <w:rsid w:val="00F8313A"/>
    <w:rsid w:val="00F848EE"/>
    <w:rsid w:val="00F85DB5"/>
    <w:rsid w:val="00F87429"/>
    <w:rsid w:val="00F90965"/>
    <w:rsid w:val="00F90F61"/>
    <w:rsid w:val="00F926B1"/>
    <w:rsid w:val="00F927C5"/>
    <w:rsid w:val="00F93DEE"/>
    <w:rsid w:val="00F9499E"/>
    <w:rsid w:val="00F9635B"/>
    <w:rsid w:val="00F96B1B"/>
    <w:rsid w:val="00F9722A"/>
    <w:rsid w:val="00FA2F46"/>
    <w:rsid w:val="00FA45A4"/>
    <w:rsid w:val="00FA4942"/>
    <w:rsid w:val="00FA4F35"/>
    <w:rsid w:val="00FA583E"/>
    <w:rsid w:val="00FB07FC"/>
    <w:rsid w:val="00FB09B8"/>
    <w:rsid w:val="00FB0B7A"/>
    <w:rsid w:val="00FB1341"/>
    <w:rsid w:val="00FB17EC"/>
    <w:rsid w:val="00FB4152"/>
    <w:rsid w:val="00FB57C7"/>
    <w:rsid w:val="00FB715C"/>
    <w:rsid w:val="00FB7707"/>
    <w:rsid w:val="00FC1F8F"/>
    <w:rsid w:val="00FC4064"/>
    <w:rsid w:val="00FC7AE8"/>
    <w:rsid w:val="00FD2316"/>
    <w:rsid w:val="00FD366D"/>
    <w:rsid w:val="00FD5A43"/>
    <w:rsid w:val="00FD79D5"/>
    <w:rsid w:val="00FE1404"/>
    <w:rsid w:val="00FE1993"/>
    <w:rsid w:val="00FE3505"/>
    <w:rsid w:val="00FE43DD"/>
    <w:rsid w:val="00FE7188"/>
    <w:rsid w:val="00FE7F62"/>
    <w:rsid w:val="00FF3B12"/>
    <w:rsid w:val="00FF5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A2365"/>
  <w14:defaultImageDpi w14:val="300"/>
  <w15:chartTrackingRefBased/>
  <w15:docId w15:val="{D92E78C8-D10A-D448-AAAE-7C429EF25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3B1"/>
    <w:rPr>
      <w:rFonts w:ascii="Times New Roman" w:eastAsia="Times New Roman" w:hAnsi="Times New Roman"/>
      <w:sz w:val="24"/>
      <w:szCs w:val="24"/>
    </w:rPr>
  </w:style>
  <w:style w:type="paragraph" w:styleId="Heading1">
    <w:name w:val="heading 1"/>
    <w:basedOn w:val="NormalWeb"/>
    <w:link w:val="Heading1Char"/>
    <w:qFormat/>
    <w:rsid w:val="000673B1"/>
    <w:pPr>
      <w:keepNext/>
      <w:outlineLvl w:val="0"/>
    </w:pPr>
    <w:rPr>
      <w:rFonts w:cs="Arial"/>
      <w:b/>
      <w:bCs/>
      <w:kern w:val="32"/>
      <w:sz w:val="43"/>
      <w:szCs w:val="32"/>
    </w:rPr>
  </w:style>
  <w:style w:type="paragraph" w:styleId="Heading2">
    <w:name w:val="heading 2"/>
    <w:basedOn w:val="NormalWeb"/>
    <w:link w:val="Heading2Char"/>
    <w:qFormat/>
    <w:rsid w:val="000673B1"/>
    <w:pPr>
      <w:keepNext/>
      <w:outlineLvl w:val="1"/>
    </w:pPr>
    <w:rPr>
      <w:rFonts w:cs="Arial"/>
      <w:b/>
      <w:bCs/>
      <w:iCs/>
      <w:sz w:val="38"/>
      <w:szCs w:val="28"/>
    </w:rPr>
  </w:style>
  <w:style w:type="paragraph" w:styleId="Heading3">
    <w:name w:val="heading 3"/>
    <w:basedOn w:val="NormalWeb"/>
    <w:link w:val="Heading3Char"/>
    <w:qFormat/>
    <w:rsid w:val="000673B1"/>
    <w:pPr>
      <w:keepNext/>
      <w:outlineLvl w:val="2"/>
    </w:pPr>
    <w:rPr>
      <w:rFonts w:cs="Arial"/>
      <w:b/>
      <w:bCs/>
      <w:sz w:val="34"/>
      <w:szCs w:val="26"/>
    </w:rPr>
  </w:style>
  <w:style w:type="paragraph" w:styleId="Heading4">
    <w:name w:val="heading 4"/>
    <w:basedOn w:val="NormalWeb"/>
    <w:link w:val="Heading4Char"/>
    <w:qFormat/>
    <w:rsid w:val="000673B1"/>
    <w:pPr>
      <w:keepNext/>
      <w:outlineLvl w:val="3"/>
    </w:pPr>
    <w:rPr>
      <w:b/>
      <w:bCs/>
      <w:sz w:val="31"/>
      <w:szCs w:val="28"/>
    </w:rPr>
  </w:style>
  <w:style w:type="paragraph" w:styleId="Heading5">
    <w:name w:val="heading 5"/>
    <w:basedOn w:val="NormalWeb"/>
    <w:link w:val="Heading5Char"/>
    <w:qFormat/>
    <w:rsid w:val="000673B1"/>
    <w:pPr>
      <w:outlineLvl w:val="4"/>
    </w:pPr>
    <w:rPr>
      <w:b/>
      <w:bCs/>
      <w:iCs/>
      <w:sz w:val="29"/>
      <w:szCs w:val="26"/>
    </w:rPr>
  </w:style>
  <w:style w:type="paragraph" w:styleId="Heading6">
    <w:name w:val="heading 6"/>
    <w:basedOn w:val="NormalWeb"/>
    <w:link w:val="Heading6Char"/>
    <w:qFormat/>
    <w:rsid w:val="000673B1"/>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E4D31"/>
    <w:rPr>
      <w:rFonts w:cs="Arial"/>
      <w:b/>
      <w:bCs/>
      <w:kern w:val="32"/>
      <w:sz w:val="43"/>
      <w:szCs w:val="32"/>
      <w:lang w:val="en-US" w:eastAsia="en-US" w:bidi="ar-SA"/>
    </w:rPr>
  </w:style>
  <w:style w:type="character" w:customStyle="1" w:styleId="Heading2Char">
    <w:name w:val="Heading 2 Char"/>
    <w:link w:val="Heading2"/>
    <w:rsid w:val="007E4D31"/>
    <w:rPr>
      <w:rFonts w:cs="Arial"/>
      <w:b/>
      <w:bCs/>
      <w:iCs/>
      <w:sz w:val="38"/>
      <w:szCs w:val="28"/>
      <w:lang w:val="en-US" w:eastAsia="en-US" w:bidi="ar-SA"/>
    </w:rPr>
  </w:style>
  <w:style w:type="character" w:customStyle="1" w:styleId="Heading3Char">
    <w:name w:val="Heading 3 Char"/>
    <w:link w:val="Heading3"/>
    <w:rsid w:val="007E4D31"/>
    <w:rPr>
      <w:rFonts w:cs="Arial"/>
      <w:b/>
      <w:bCs/>
      <w:sz w:val="34"/>
      <w:szCs w:val="26"/>
      <w:lang w:val="en-US" w:eastAsia="en-US" w:bidi="ar-SA"/>
    </w:rPr>
  </w:style>
  <w:style w:type="paragraph" w:customStyle="1" w:styleId="Style0">
    <w:name w:val="Style0"/>
    <w:basedOn w:val="Normal"/>
    <w:next w:val="Normal"/>
    <w:uiPriority w:val="99"/>
    <w:rsid w:val="007E4D31"/>
  </w:style>
  <w:style w:type="paragraph" w:customStyle="1" w:styleId="Style1">
    <w:name w:val="Style1"/>
    <w:basedOn w:val="Normal"/>
    <w:next w:val="Normal"/>
    <w:uiPriority w:val="99"/>
    <w:rsid w:val="007E4D31"/>
    <w:rPr>
      <w:rFonts w:ascii="Minion-Regular" w:hAnsi="Minion-Regular" w:cs="Minion-Regular"/>
      <w:sz w:val="32"/>
      <w:szCs w:val="32"/>
    </w:rPr>
  </w:style>
  <w:style w:type="paragraph" w:customStyle="1" w:styleId="Style2">
    <w:name w:val="Style2"/>
    <w:basedOn w:val="Normal"/>
    <w:next w:val="Normal"/>
    <w:uiPriority w:val="99"/>
    <w:rsid w:val="007E4D31"/>
    <w:rPr>
      <w:rFonts w:ascii="MTSY" w:hAnsi="MTSY" w:cs="MTSY"/>
    </w:rPr>
  </w:style>
  <w:style w:type="paragraph" w:customStyle="1" w:styleId="Style3">
    <w:name w:val="Style3"/>
    <w:basedOn w:val="Normal"/>
    <w:next w:val="Normal"/>
    <w:uiPriority w:val="99"/>
    <w:rsid w:val="007E4D31"/>
    <w:rPr>
      <w:rFonts w:ascii="Minion-Bold" w:hAnsi="Minion-Bold" w:cs="Minion-Bold"/>
    </w:rPr>
  </w:style>
  <w:style w:type="paragraph" w:customStyle="1" w:styleId="Style4">
    <w:name w:val="Style4"/>
    <w:basedOn w:val="Normal"/>
    <w:next w:val="Normal"/>
    <w:uiPriority w:val="99"/>
    <w:rsid w:val="007E4D31"/>
    <w:rPr>
      <w:rFonts w:ascii="Minion-Italic" w:hAnsi="Minion-Italic" w:cs="Minion-Italic"/>
    </w:rPr>
  </w:style>
  <w:style w:type="paragraph" w:customStyle="1" w:styleId="Style5">
    <w:name w:val="Style5"/>
    <w:basedOn w:val="Normal"/>
    <w:next w:val="Normal"/>
    <w:uiPriority w:val="99"/>
    <w:rsid w:val="007E4D31"/>
    <w:rPr>
      <w:rFonts w:ascii="Arial MT" w:hAnsi="Arial MT" w:cs="Arial MT"/>
    </w:rPr>
  </w:style>
  <w:style w:type="paragraph" w:customStyle="1" w:styleId="Style6">
    <w:name w:val="Style6"/>
    <w:basedOn w:val="Normal"/>
    <w:next w:val="Normal"/>
    <w:uiPriority w:val="99"/>
    <w:rsid w:val="007E4D31"/>
    <w:rPr>
      <w:rFonts w:ascii="Arial-Bold MT" w:hAnsi="Arial-Bold MT" w:cs="Arial-Bold MT"/>
    </w:rPr>
  </w:style>
  <w:style w:type="paragraph" w:customStyle="1" w:styleId="Style7">
    <w:name w:val="Style7"/>
    <w:basedOn w:val="Normal"/>
    <w:next w:val="Normal"/>
    <w:uiPriority w:val="99"/>
    <w:rsid w:val="007E4D31"/>
    <w:rPr>
      <w:rFonts w:ascii="Formata BQ-Regular" w:hAnsi="Formata BQ-Regular" w:cs="Formata BQ-Regular"/>
      <w:sz w:val="18"/>
      <w:szCs w:val="18"/>
    </w:rPr>
  </w:style>
  <w:style w:type="paragraph" w:customStyle="1" w:styleId="Style8">
    <w:name w:val="Style8"/>
    <w:basedOn w:val="Normal"/>
    <w:next w:val="Normal"/>
    <w:uiPriority w:val="99"/>
    <w:rsid w:val="007E4D31"/>
    <w:rPr>
      <w:rFonts w:ascii="Formata BQ-Italic" w:hAnsi="Formata BQ-Italic" w:cs="Formata BQ-Italic"/>
      <w:sz w:val="15"/>
      <w:szCs w:val="15"/>
    </w:rPr>
  </w:style>
  <w:style w:type="paragraph" w:customStyle="1" w:styleId="Style9">
    <w:name w:val="Style9"/>
    <w:basedOn w:val="Normal"/>
    <w:next w:val="Normal"/>
    <w:uiPriority w:val="99"/>
    <w:rsid w:val="007E4D31"/>
    <w:rPr>
      <w:rFonts w:ascii="RMTMI" w:hAnsi="RMTMI" w:cs="RMTMI"/>
      <w:sz w:val="12"/>
      <w:szCs w:val="12"/>
    </w:rPr>
  </w:style>
  <w:style w:type="paragraph" w:customStyle="1" w:styleId="Style10">
    <w:name w:val="Style10"/>
    <w:basedOn w:val="Normal"/>
    <w:next w:val="Normal"/>
    <w:uiPriority w:val="99"/>
    <w:rsid w:val="007E4D31"/>
    <w:rPr>
      <w:rFonts w:ascii="Times New Roman PS-Bold" w:hAnsi="Times New Roman PS-Bold" w:cs="Times New Roman PS-Bold"/>
      <w:sz w:val="16"/>
      <w:szCs w:val="16"/>
    </w:rPr>
  </w:style>
  <w:style w:type="paragraph" w:customStyle="1" w:styleId="Style11">
    <w:name w:val="Style11"/>
    <w:basedOn w:val="Normal"/>
    <w:next w:val="Normal"/>
    <w:uiPriority w:val="99"/>
    <w:rsid w:val="007E4D31"/>
    <w:rPr>
      <w:rFonts w:ascii="Times New Roman PS-Bold Italic" w:hAnsi="Times New Roman PS-Bold Italic" w:cs="Times New Roman PS-Bold Italic"/>
      <w:sz w:val="16"/>
      <w:szCs w:val="16"/>
    </w:rPr>
  </w:style>
  <w:style w:type="paragraph" w:customStyle="1" w:styleId="Style12">
    <w:name w:val="Style12"/>
    <w:basedOn w:val="Normal"/>
    <w:next w:val="Normal"/>
    <w:uiPriority w:val="99"/>
    <w:rsid w:val="007E4D31"/>
    <w:rPr>
      <w:rFonts w:ascii="Symbol" w:hAnsi="Symbol" w:cs="Symbol"/>
      <w:sz w:val="15"/>
      <w:szCs w:val="15"/>
    </w:rPr>
  </w:style>
  <w:style w:type="paragraph" w:customStyle="1" w:styleId="Style13">
    <w:name w:val="Style13"/>
    <w:basedOn w:val="Normal"/>
    <w:next w:val="Normal"/>
    <w:uiPriority w:val="99"/>
    <w:rsid w:val="007E4D31"/>
    <w:rPr>
      <w:rFonts w:ascii="Formata BQ-Bold" w:hAnsi="Formata BQ-Bold" w:cs="Formata BQ-Bold"/>
      <w:sz w:val="13"/>
      <w:szCs w:val="13"/>
    </w:rPr>
  </w:style>
  <w:style w:type="paragraph" w:customStyle="1" w:styleId="Style14">
    <w:name w:val="Style14"/>
    <w:basedOn w:val="Normal"/>
    <w:next w:val="Normal"/>
    <w:uiPriority w:val="99"/>
    <w:rsid w:val="007E4D31"/>
    <w:rPr>
      <w:rFonts w:ascii="Times New Roman PS" w:hAnsi="Times New Roman PS" w:cs="Times New Roman PS"/>
      <w:sz w:val="15"/>
      <w:szCs w:val="15"/>
    </w:rPr>
  </w:style>
  <w:style w:type="paragraph" w:customStyle="1" w:styleId="Style15">
    <w:name w:val="Style15"/>
    <w:basedOn w:val="Normal"/>
    <w:next w:val="Normal"/>
    <w:uiPriority w:val="99"/>
    <w:rsid w:val="007E4D31"/>
    <w:rPr>
      <w:rFonts w:ascii="Helvetica-Bold" w:hAnsi="Helvetica-Bold" w:cs="Helvetica-Bold"/>
      <w:sz w:val="16"/>
      <w:szCs w:val="16"/>
    </w:rPr>
  </w:style>
  <w:style w:type="paragraph" w:customStyle="1" w:styleId="Style16">
    <w:name w:val="Style16"/>
    <w:basedOn w:val="Normal"/>
    <w:next w:val="Normal"/>
    <w:uiPriority w:val="99"/>
    <w:rsid w:val="007E4D31"/>
    <w:rPr>
      <w:rFonts w:ascii="Symbol Proportional BT-Regular" w:hAnsi="Symbol Proportional BT-Regular" w:cs="Symbol Proportional BT-Regular"/>
      <w:sz w:val="17"/>
      <w:szCs w:val="17"/>
    </w:rPr>
  </w:style>
  <w:style w:type="paragraph" w:customStyle="1" w:styleId="Style17">
    <w:name w:val="Style17"/>
    <w:basedOn w:val="Normal"/>
    <w:next w:val="Normal"/>
    <w:uiPriority w:val="99"/>
    <w:rsid w:val="007E4D31"/>
    <w:rPr>
      <w:rFonts w:ascii="Helvetica-Bold Oblique" w:hAnsi="Helvetica-Bold Oblique" w:cs="Helvetica-Bold Oblique"/>
      <w:sz w:val="17"/>
      <w:szCs w:val="17"/>
    </w:rPr>
  </w:style>
  <w:style w:type="paragraph" w:customStyle="1" w:styleId="Style18">
    <w:name w:val="Style18"/>
    <w:basedOn w:val="Normal"/>
    <w:next w:val="Normal"/>
    <w:uiPriority w:val="99"/>
    <w:rsid w:val="007E4D31"/>
    <w:rPr>
      <w:rFonts w:ascii="Verdana" w:hAnsi="Verdana" w:cs="Verdana"/>
      <w:sz w:val="17"/>
      <w:szCs w:val="17"/>
    </w:rPr>
  </w:style>
  <w:style w:type="paragraph" w:customStyle="1" w:styleId="Style19">
    <w:name w:val="Style19"/>
    <w:basedOn w:val="Normal"/>
    <w:next w:val="Normal"/>
    <w:uiPriority w:val="99"/>
    <w:rsid w:val="007E4D31"/>
    <w:rPr>
      <w:rFonts w:ascii="Helvetica" w:hAnsi="Helvetica" w:cs="Helvetica"/>
      <w:sz w:val="12"/>
      <w:szCs w:val="12"/>
    </w:rPr>
  </w:style>
  <w:style w:type="paragraph" w:customStyle="1" w:styleId="Style20">
    <w:name w:val="Style20"/>
    <w:basedOn w:val="Normal"/>
    <w:next w:val="Normal"/>
    <w:uiPriority w:val="99"/>
    <w:rsid w:val="007E4D31"/>
    <w:rPr>
      <w:rFonts w:ascii="EURM10" w:hAnsi="EURM10" w:cs="EURM10"/>
      <w:sz w:val="17"/>
      <w:szCs w:val="17"/>
    </w:rPr>
  </w:style>
  <w:style w:type="paragraph" w:customStyle="1" w:styleId="Style21">
    <w:name w:val="Style21"/>
    <w:basedOn w:val="Normal"/>
    <w:next w:val="Normal"/>
    <w:uiPriority w:val="99"/>
    <w:rsid w:val="007E4D31"/>
    <w:rPr>
      <w:sz w:val="18"/>
      <w:szCs w:val="18"/>
    </w:rPr>
  </w:style>
  <w:style w:type="paragraph" w:customStyle="1" w:styleId="Style22">
    <w:name w:val="Style22"/>
    <w:basedOn w:val="Normal"/>
    <w:next w:val="Normal"/>
    <w:uiPriority w:val="99"/>
    <w:rsid w:val="007E4D31"/>
    <w:rPr>
      <w:sz w:val="18"/>
      <w:szCs w:val="18"/>
    </w:rPr>
  </w:style>
  <w:style w:type="paragraph" w:customStyle="1" w:styleId="Style23">
    <w:name w:val="Style23"/>
    <w:basedOn w:val="Normal"/>
    <w:next w:val="Normal"/>
    <w:uiPriority w:val="99"/>
    <w:rsid w:val="007E4D31"/>
    <w:rPr>
      <w:sz w:val="18"/>
      <w:szCs w:val="18"/>
    </w:rPr>
  </w:style>
  <w:style w:type="paragraph" w:customStyle="1" w:styleId="Style24">
    <w:name w:val="Style24"/>
    <w:basedOn w:val="Normal"/>
    <w:next w:val="Normal"/>
    <w:uiPriority w:val="99"/>
    <w:rsid w:val="007E4D31"/>
    <w:rPr>
      <w:sz w:val="12"/>
      <w:szCs w:val="12"/>
    </w:rPr>
  </w:style>
  <w:style w:type="paragraph" w:customStyle="1" w:styleId="Style25">
    <w:name w:val="Style25"/>
    <w:basedOn w:val="Normal"/>
    <w:next w:val="Normal"/>
    <w:uiPriority w:val="99"/>
    <w:rsid w:val="007E4D31"/>
    <w:rPr>
      <w:sz w:val="18"/>
      <w:szCs w:val="18"/>
    </w:rPr>
  </w:style>
  <w:style w:type="paragraph" w:customStyle="1" w:styleId="Style26">
    <w:name w:val="Style26"/>
    <w:basedOn w:val="Normal"/>
    <w:next w:val="Normal"/>
    <w:uiPriority w:val="99"/>
    <w:rsid w:val="007E4D31"/>
    <w:rPr>
      <w:sz w:val="16"/>
      <w:szCs w:val="16"/>
    </w:rPr>
  </w:style>
  <w:style w:type="paragraph" w:customStyle="1" w:styleId="Style27">
    <w:name w:val="Style27"/>
    <w:basedOn w:val="Normal"/>
    <w:next w:val="Normal"/>
    <w:uiPriority w:val="99"/>
    <w:rsid w:val="007E4D31"/>
    <w:rPr>
      <w:sz w:val="18"/>
      <w:szCs w:val="18"/>
    </w:rPr>
  </w:style>
  <w:style w:type="paragraph" w:customStyle="1" w:styleId="Style28">
    <w:name w:val="Style28"/>
    <w:basedOn w:val="Normal"/>
    <w:next w:val="Normal"/>
    <w:uiPriority w:val="99"/>
    <w:rsid w:val="007E4D31"/>
  </w:style>
  <w:style w:type="paragraph" w:customStyle="1" w:styleId="Style29">
    <w:name w:val="Style29"/>
    <w:basedOn w:val="Normal"/>
    <w:next w:val="Normal"/>
    <w:uiPriority w:val="99"/>
    <w:rsid w:val="007E4D31"/>
    <w:rPr>
      <w:sz w:val="13"/>
      <w:szCs w:val="13"/>
    </w:rPr>
  </w:style>
  <w:style w:type="paragraph" w:customStyle="1" w:styleId="Style30">
    <w:name w:val="Style30"/>
    <w:basedOn w:val="Normal"/>
    <w:next w:val="Normal"/>
    <w:uiPriority w:val="99"/>
    <w:rsid w:val="007E4D31"/>
    <w:rPr>
      <w:sz w:val="16"/>
      <w:szCs w:val="16"/>
    </w:rPr>
  </w:style>
  <w:style w:type="paragraph" w:customStyle="1" w:styleId="Style31">
    <w:name w:val="Style31"/>
    <w:basedOn w:val="Normal"/>
    <w:next w:val="Normal"/>
    <w:uiPriority w:val="99"/>
    <w:rsid w:val="007E4D31"/>
    <w:rPr>
      <w:sz w:val="16"/>
      <w:szCs w:val="16"/>
    </w:rPr>
  </w:style>
  <w:style w:type="paragraph" w:customStyle="1" w:styleId="Style32">
    <w:name w:val="Style32"/>
    <w:basedOn w:val="Normal"/>
    <w:next w:val="Normal"/>
    <w:uiPriority w:val="99"/>
    <w:rsid w:val="007E4D31"/>
    <w:rPr>
      <w:sz w:val="16"/>
      <w:szCs w:val="16"/>
    </w:rPr>
  </w:style>
  <w:style w:type="paragraph" w:customStyle="1" w:styleId="Style33">
    <w:name w:val="Style33"/>
    <w:basedOn w:val="Normal"/>
    <w:next w:val="Normal"/>
    <w:uiPriority w:val="99"/>
    <w:rsid w:val="007E4D31"/>
    <w:rPr>
      <w:sz w:val="18"/>
      <w:szCs w:val="18"/>
    </w:rPr>
  </w:style>
  <w:style w:type="paragraph" w:customStyle="1" w:styleId="Style34">
    <w:name w:val="Style34"/>
    <w:basedOn w:val="Normal"/>
    <w:next w:val="Normal"/>
    <w:uiPriority w:val="99"/>
    <w:rsid w:val="007E4D31"/>
    <w:rPr>
      <w:sz w:val="18"/>
      <w:szCs w:val="18"/>
    </w:rPr>
  </w:style>
  <w:style w:type="paragraph" w:customStyle="1" w:styleId="Style35">
    <w:name w:val="Style35"/>
    <w:basedOn w:val="Normal"/>
    <w:next w:val="Normal"/>
    <w:uiPriority w:val="99"/>
    <w:rsid w:val="007E4D31"/>
    <w:rPr>
      <w:sz w:val="17"/>
      <w:szCs w:val="17"/>
    </w:rPr>
  </w:style>
  <w:style w:type="paragraph" w:customStyle="1" w:styleId="Style36">
    <w:name w:val="Style36"/>
    <w:basedOn w:val="Normal"/>
    <w:next w:val="Normal"/>
    <w:uiPriority w:val="99"/>
    <w:rsid w:val="007E4D31"/>
    <w:rPr>
      <w:sz w:val="15"/>
      <w:szCs w:val="15"/>
    </w:rPr>
  </w:style>
  <w:style w:type="paragraph" w:customStyle="1" w:styleId="Style37">
    <w:name w:val="Style37"/>
    <w:basedOn w:val="Normal"/>
    <w:next w:val="Normal"/>
    <w:uiPriority w:val="99"/>
    <w:rsid w:val="007E4D31"/>
    <w:rPr>
      <w:sz w:val="15"/>
      <w:szCs w:val="15"/>
    </w:rPr>
  </w:style>
  <w:style w:type="paragraph" w:customStyle="1" w:styleId="Style38">
    <w:name w:val="Style38"/>
    <w:basedOn w:val="Normal"/>
    <w:next w:val="Normal"/>
    <w:uiPriority w:val="99"/>
    <w:rsid w:val="007E4D31"/>
    <w:rPr>
      <w:sz w:val="15"/>
      <w:szCs w:val="15"/>
    </w:rPr>
  </w:style>
  <w:style w:type="paragraph" w:customStyle="1" w:styleId="Style39">
    <w:name w:val="Style39"/>
    <w:basedOn w:val="Normal"/>
    <w:next w:val="Normal"/>
    <w:uiPriority w:val="99"/>
    <w:rsid w:val="007E4D31"/>
    <w:rPr>
      <w:sz w:val="15"/>
      <w:szCs w:val="15"/>
    </w:rPr>
  </w:style>
  <w:style w:type="paragraph" w:customStyle="1" w:styleId="Style40">
    <w:name w:val="Style40"/>
    <w:basedOn w:val="Normal"/>
    <w:next w:val="Normal"/>
    <w:uiPriority w:val="99"/>
    <w:rsid w:val="007E4D31"/>
    <w:rPr>
      <w:sz w:val="20"/>
      <w:szCs w:val="20"/>
    </w:rPr>
  </w:style>
  <w:style w:type="paragraph" w:customStyle="1" w:styleId="Style41">
    <w:name w:val="Style41"/>
    <w:basedOn w:val="Normal"/>
    <w:next w:val="Normal"/>
    <w:uiPriority w:val="99"/>
    <w:rsid w:val="007E4D31"/>
    <w:rPr>
      <w:sz w:val="20"/>
      <w:szCs w:val="20"/>
    </w:rPr>
  </w:style>
  <w:style w:type="paragraph" w:customStyle="1" w:styleId="Style42">
    <w:name w:val="Style42"/>
    <w:basedOn w:val="Normal"/>
    <w:next w:val="Normal"/>
    <w:uiPriority w:val="99"/>
    <w:rsid w:val="007E4D31"/>
    <w:rPr>
      <w:sz w:val="14"/>
      <w:szCs w:val="14"/>
    </w:rPr>
  </w:style>
  <w:style w:type="paragraph" w:customStyle="1" w:styleId="Style43">
    <w:name w:val="Style43"/>
    <w:basedOn w:val="Normal"/>
    <w:next w:val="Normal"/>
    <w:uiPriority w:val="99"/>
    <w:rsid w:val="007E4D31"/>
    <w:rPr>
      <w:sz w:val="13"/>
      <w:szCs w:val="13"/>
    </w:rPr>
  </w:style>
  <w:style w:type="paragraph" w:customStyle="1" w:styleId="Style44">
    <w:name w:val="Style44"/>
    <w:basedOn w:val="Normal"/>
    <w:next w:val="Normal"/>
    <w:uiPriority w:val="99"/>
    <w:rsid w:val="007E4D31"/>
    <w:rPr>
      <w:sz w:val="13"/>
      <w:szCs w:val="13"/>
    </w:rPr>
  </w:style>
  <w:style w:type="paragraph" w:customStyle="1" w:styleId="Style45">
    <w:name w:val="Style45"/>
    <w:basedOn w:val="Normal"/>
    <w:next w:val="Normal"/>
    <w:uiPriority w:val="99"/>
    <w:rsid w:val="007E4D31"/>
    <w:rPr>
      <w:sz w:val="13"/>
      <w:szCs w:val="13"/>
    </w:rPr>
  </w:style>
  <w:style w:type="paragraph" w:customStyle="1" w:styleId="Style46">
    <w:name w:val="Style46"/>
    <w:basedOn w:val="Normal"/>
    <w:next w:val="Normal"/>
    <w:uiPriority w:val="99"/>
    <w:rsid w:val="007E4D31"/>
    <w:rPr>
      <w:sz w:val="13"/>
      <w:szCs w:val="13"/>
    </w:rPr>
  </w:style>
  <w:style w:type="paragraph" w:customStyle="1" w:styleId="Style47">
    <w:name w:val="Style47"/>
    <w:basedOn w:val="Normal"/>
    <w:next w:val="Normal"/>
    <w:uiPriority w:val="99"/>
    <w:rsid w:val="007E4D31"/>
    <w:rPr>
      <w:sz w:val="15"/>
      <w:szCs w:val="15"/>
    </w:rPr>
  </w:style>
  <w:style w:type="paragraph" w:customStyle="1" w:styleId="Style48">
    <w:name w:val="Style48"/>
    <w:basedOn w:val="Normal"/>
    <w:next w:val="Normal"/>
    <w:uiPriority w:val="99"/>
    <w:rsid w:val="007E4D31"/>
    <w:rPr>
      <w:sz w:val="15"/>
      <w:szCs w:val="15"/>
    </w:rPr>
  </w:style>
  <w:style w:type="paragraph" w:customStyle="1" w:styleId="Style49">
    <w:name w:val="Style49"/>
    <w:basedOn w:val="Normal"/>
    <w:next w:val="Normal"/>
    <w:uiPriority w:val="99"/>
    <w:rsid w:val="007E4D31"/>
    <w:rPr>
      <w:sz w:val="15"/>
      <w:szCs w:val="15"/>
    </w:rPr>
  </w:style>
  <w:style w:type="paragraph" w:customStyle="1" w:styleId="Style50">
    <w:name w:val="Style50"/>
    <w:basedOn w:val="Normal"/>
    <w:next w:val="Normal"/>
    <w:uiPriority w:val="99"/>
    <w:rsid w:val="007E4D31"/>
    <w:rPr>
      <w:sz w:val="17"/>
      <w:szCs w:val="17"/>
    </w:rPr>
  </w:style>
  <w:style w:type="paragraph" w:customStyle="1" w:styleId="Style51">
    <w:name w:val="Style51"/>
    <w:basedOn w:val="Normal"/>
    <w:next w:val="Normal"/>
    <w:uiPriority w:val="99"/>
    <w:rsid w:val="007E4D31"/>
    <w:rPr>
      <w:sz w:val="17"/>
      <w:szCs w:val="17"/>
    </w:rPr>
  </w:style>
  <w:style w:type="paragraph" w:customStyle="1" w:styleId="Style52">
    <w:name w:val="Style52"/>
    <w:basedOn w:val="Normal"/>
    <w:next w:val="Normal"/>
    <w:uiPriority w:val="99"/>
    <w:rsid w:val="007E4D31"/>
    <w:rPr>
      <w:sz w:val="16"/>
      <w:szCs w:val="16"/>
    </w:rPr>
  </w:style>
  <w:style w:type="paragraph" w:customStyle="1" w:styleId="Style53">
    <w:name w:val="Style53"/>
    <w:basedOn w:val="Normal"/>
    <w:next w:val="Normal"/>
    <w:uiPriority w:val="99"/>
    <w:rsid w:val="007E4D31"/>
    <w:rPr>
      <w:sz w:val="16"/>
      <w:szCs w:val="16"/>
    </w:rPr>
  </w:style>
  <w:style w:type="paragraph" w:customStyle="1" w:styleId="Style54">
    <w:name w:val="Style54"/>
    <w:basedOn w:val="Normal"/>
    <w:next w:val="Normal"/>
    <w:uiPriority w:val="99"/>
    <w:rsid w:val="007E4D31"/>
    <w:rPr>
      <w:sz w:val="16"/>
      <w:szCs w:val="16"/>
    </w:rPr>
  </w:style>
  <w:style w:type="paragraph" w:customStyle="1" w:styleId="Style55">
    <w:name w:val="Style55"/>
    <w:basedOn w:val="Normal"/>
    <w:next w:val="Normal"/>
    <w:uiPriority w:val="99"/>
    <w:rsid w:val="007E4D31"/>
    <w:rPr>
      <w:sz w:val="20"/>
      <w:szCs w:val="20"/>
    </w:rPr>
  </w:style>
  <w:style w:type="paragraph" w:customStyle="1" w:styleId="Style56">
    <w:name w:val="Style56"/>
    <w:basedOn w:val="Normal"/>
    <w:next w:val="Normal"/>
    <w:uiPriority w:val="99"/>
    <w:rsid w:val="007E4D31"/>
    <w:rPr>
      <w:sz w:val="20"/>
      <w:szCs w:val="20"/>
    </w:rPr>
  </w:style>
  <w:style w:type="paragraph" w:customStyle="1" w:styleId="Style57">
    <w:name w:val="Style57"/>
    <w:basedOn w:val="Normal"/>
    <w:next w:val="Normal"/>
    <w:uiPriority w:val="99"/>
    <w:rsid w:val="007E4D31"/>
    <w:rPr>
      <w:sz w:val="18"/>
      <w:szCs w:val="18"/>
    </w:rPr>
  </w:style>
  <w:style w:type="paragraph" w:customStyle="1" w:styleId="Style58">
    <w:name w:val="Style58"/>
    <w:basedOn w:val="Normal"/>
    <w:next w:val="Normal"/>
    <w:uiPriority w:val="99"/>
    <w:rsid w:val="007E4D31"/>
    <w:rPr>
      <w:sz w:val="12"/>
      <w:szCs w:val="12"/>
    </w:rPr>
  </w:style>
  <w:style w:type="paragraph" w:customStyle="1" w:styleId="Style59">
    <w:name w:val="Style59"/>
    <w:basedOn w:val="Normal"/>
    <w:next w:val="Normal"/>
    <w:uiPriority w:val="99"/>
    <w:rsid w:val="007E4D31"/>
    <w:rPr>
      <w:sz w:val="18"/>
      <w:szCs w:val="18"/>
    </w:rPr>
  </w:style>
  <w:style w:type="paragraph" w:customStyle="1" w:styleId="Style60">
    <w:name w:val="Style60"/>
    <w:basedOn w:val="Normal"/>
    <w:next w:val="Normal"/>
    <w:uiPriority w:val="99"/>
    <w:rsid w:val="007E4D31"/>
    <w:rPr>
      <w:sz w:val="16"/>
      <w:szCs w:val="16"/>
    </w:rPr>
  </w:style>
  <w:style w:type="paragraph" w:customStyle="1" w:styleId="Style61">
    <w:name w:val="Style61"/>
    <w:basedOn w:val="Normal"/>
    <w:next w:val="Normal"/>
    <w:uiPriority w:val="99"/>
    <w:rsid w:val="007E4D31"/>
    <w:rPr>
      <w:sz w:val="11"/>
      <w:szCs w:val="11"/>
    </w:rPr>
  </w:style>
  <w:style w:type="paragraph" w:customStyle="1" w:styleId="Style62">
    <w:name w:val="Style62"/>
    <w:basedOn w:val="Normal"/>
    <w:next w:val="Normal"/>
    <w:uiPriority w:val="99"/>
    <w:rsid w:val="007E4D31"/>
    <w:rPr>
      <w:sz w:val="15"/>
      <w:szCs w:val="15"/>
    </w:rPr>
  </w:style>
  <w:style w:type="paragraph" w:customStyle="1" w:styleId="Style63">
    <w:name w:val="Style63"/>
    <w:basedOn w:val="Normal"/>
    <w:next w:val="Normal"/>
    <w:uiPriority w:val="99"/>
    <w:rsid w:val="007E4D31"/>
    <w:rPr>
      <w:sz w:val="22"/>
      <w:szCs w:val="22"/>
    </w:rPr>
  </w:style>
  <w:style w:type="paragraph" w:customStyle="1" w:styleId="Style64">
    <w:name w:val="Style64"/>
    <w:basedOn w:val="Normal"/>
    <w:next w:val="Normal"/>
    <w:uiPriority w:val="99"/>
    <w:rsid w:val="007E4D31"/>
    <w:rPr>
      <w:sz w:val="17"/>
      <w:szCs w:val="17"/>
    </w:rPr>
  </w:style>
  <w:style w:type="character" w:customStyle="1" w:styleId="Heading4Char">
    <w:name w:val="Heading 4 Char"/>
    <w:link w:val="Heading4"/>
    <w:rsid w:val="00682D7C"/>
    <w:rPr>
      <w:b/>
      <w:bCs/>
      <w:sz w:val="31"/>
      <w:szCs w:val="28"/>
      <w:lang w:val="en-US" w:eastAsia="en-US" w:bidi="ar-SA"/>
    </w:rPr>
  </w:style>
  <w:style w:type="character" w:customStyle="1" w:styleId="Heading5Char">
    <w:name w:val="Heading 5 Char"/>
    <w:link w:val="Heading5"/>
    <w:rsid w:val="00682D7C"/>
    <w:rPr>
      <w:b/>
      <w:bCs/>
      <w:iCs/>
      <w:sz w:val="29"/>
      <w:szCs w:val="26"/>
      <w:lang w:val="en-US" w:eastAsia="en-US" w:bidi="ar-SA"/>
    </w:rPr>
  </w:style>
  <w:style w:type="character" w:customStyle="1" w:styleId="Heading6Char">
    <w:name w:val="Heading 6 Char"/>
    <w:link w:val="Heading6"/>
    <w:rsid w:val="00682D7C"/>
    <w:rPr>
      <w:b/>
      <w:bCs/>
      <w:sz w:val="26"/>
      <w:szCs w:val="22"/>
      <w:lang w:val="en-US" w:eastAsia="en-US" w:bidi="ar-SA"/>
    </w:rPr>
  </w:style>
  <w:style w:type="paragraph" w:styleId="NormalWeb">
    <w:name w:val="Normal (Web)"/>
    <w:basedOn w:val="Normal"/>
    <w:link w:val="NormalWebChar"/>
    <w:uiPriority w:val="99"/>
    <w:rsid w:val="000673B1"/>
    <w:pPr>
      <w:spacing w:before="100" w:beforeAutospacing="1" w:after="100" w:afterAutospacing="1"/>
    </w:pPr>
  </w:style>
  <w:style w:type="paragraph" w:customStyle="1" w:styleId="Affiliation">
    <w:name w:val="Affiliation"/>
    <w:basedOn w:val="NormalWeb"/>
    <w:rsid w:val="000673B1"/>
  </w:style>
  <w:style w:type="paragraph" w:customStyle="1" w:styleId="Author">
    <w:name w:val="Author"/>
    <w:basedOn w:val="NormalWeb"/>
    <w:rsid w:val="000673B1"/>
    <w:rPr>
      <w:sz w:val="26"/>
    </w:rPr>
  </w:style>
  <w:style w:type="paragraph" w:customStyle="1" w:styleId="Editor">
    <w:name w:val="Editor"/>
    <w:basedOn w:val="NormalWeb"/>
    <w:rsid w:val="000673B1"/>
    <w:rPr>
      <w:sz w:val="26"/>
    </w:rPr>
  </w:style>
  <w:style w:type="paragraph" w:customStyle="1" w:styleId="Edition">
    <w:name w:val="Edition"/>
    <w:basedOn w:val="NormalWeb"/>
    <w:rsid w:val="000673B1"/>
  </w:style>
  <w:style w:type="paragraph" w:customStyle="1" w:styleId="Dedication">
    <w:name w:val="Dedication"/>
    <w:basedOn w:val="NormalWeb"/>
    <w:rsid w:val="000673B1"/>
  </w:style>
  <w:style w:type="paragraph" w:customStyle="1" w:styleId="Half-title">
    <w:name w:val="Half-title"/>
    <w:basedOn w:val="NormalWeb"/>
    <w:rsid w:val="000673B1"/>
  </w:style>
  <w:style w:type="paragraph" w:customStyle="1" w:styleId="Copyright">
    <w:name w:val="Copyright"/>
    <w:basedOn w:val="NormalWeb"/>
    <w:rsid w:val="000673B1"/>
  </w:style>
  <w:style w:type="paragraph" w:customStyle="1" w:styleId="LOC">
    <w:name w:val="LOC"/>
    <w:basedOn w:val="NormalWeb"/>
    <w:rsid w:val="000673B1"/>
  </w:style>
  <w:style w:type="paragraph" w:customStyle="1" w:styleId="Publisher">
    <w:name w:val="Publisher"/>
    <w:basedOn w:val="NormalWeb"/>
    <w:rsid w:val="000673B1"/>
  </w:style>
  <w:style w:type="paragraph" w:styleId="Subtitle">
    <w:name w:val="Subtitle"/>
    <w:basedOn w:val="NormalWeb"/>
    <w:link w:val="SubtitleChar"/>
    <w:qFormat/>
    <w:rsid w:val="000673B1"/>
    <w:pPr>
      <w:outlineLvl w:val="1"/>
    </w:pPr>
    <w:rPr>
      <w:rFonts w:cs="Arial"/>
    </w:rPr>
  </w:style>
  <w:style w:type="character" w:customStyle="1" w:styleId="SubtitleChar">
    <w:name w:val="Subtitle Char"/>
    <w:link w:val="Subtitle"/>
    <w:rsid w:val="00682D7C"/>
    <w:rPr>
      <w:rFonts w:cs="Arial"/>
      <w:sz w:val="24"/>
      <w:szCs w:val="24"/>
      <w:lang w:val="en-US" w:eastAsia="en-US" w:bidi="ar-SA"/>
    </w:rPr>
  </w:style>
  <w:style w:type="paragraph" w:customStyle="1" w:styleId="TOCpart">
    <w:name w:val="TOCpart"/>
    <w:basedOn w:val="NormalWeb"/>
    <w:rsid w:val="000673B1"/>
  </w:style>
  <w:style w:type="paragraph" w:customStyle="1" w:styleId="TOCChapter">
    <w:name w:val="TOCChapter"/>
    <w:basedOn w:val="NormalWeb"/>
    <w:rsid w:val="000673B1"/>
  </w:style>
  <w:style w:type="paragraph" w:customStyle="1" w:styleId="TOCpagenumber">
    <w:name w:val="TOCpagenumber"/>
    <w:basedOn w:val="NormalWeb"/>
    <w:rsid w:val="000673B1"/>
  </w:style>
  <w:style w:type="paragraph" w:customStyle="1" w:styleId="TOCsubchapter">
    <w:name w:val="TOCsubchapter"/>
    <w:basedOn w:val="NormalWeb"/>
    <w:rsid w:val="000673B1"/>
  </w:style>
  <w:style w:type="paragraph" w:customStyle="1" w:styleId="TOCsubsubchapter">
    <w:name w:val="TOCsubsubchapter"/>
    <w:basedOn w:val="NormalWeb"/>
    <w:rsid w:val="000673B1"/>
  </w:style>
  <w:style w:type="paragraph" w:customStyle="1" w:styleId="TOCsubsubsubchapter">
    <w:name w:val="TOCsubsubsubchapter"/>
    <w:basedOn w:val="NormalWeb"/>
    <w:rsid w:val="000673B1"/>
  </w:style>
  <w:style w:type="paragraph" w:styleId="Caption">
    <w:name w:val="caption"/>
    <w:basedOn w:val="NormalWeb"/>
    <w:qFormat/>
    <w:rsid w:val="000673B1"/>
    <w:rPr>
      <w:bCs/>
      <w:szCs w:val="20"/>
    </w:rPr>
  </w:style>
  <w:style w:type="paragraph" w:customStyle="1" w:styleId="Blockquote">
    <w:name w:val="Blockquote"/>
    <w:basedOn w:val="NormalWeb"/>
    <w:rsid w:val="000673B1"/>
    <w:pPr>
      <w:ind w:left="432" w:right="432"/>
    </w:pPr>
  </w:style>
  <w:style w:type="paragraph" w:customStyle="1" w:styleId="Extract">
    <w:name w:val="Extract"/>
    <w:basedOn w:val="NormalWeb"/>
    <w:rsid w:val="000673B1"/>
    <w:pPr>
      <w:ind w:left="432" w:right="432"/>
    </w:pPr>
  </w:style>
  <w:style w:type="paragraph" w:customStyle="1" w:styleId="Indentblock">
    <w:name w:val="Indentblock"/>
    <w:basedOn w:val="NormalWeb"/>
    <w:rsid w:val="000673B1"/>
    <w:pPr>
      <w:ind w:left="432"/>
    </w:pPr>
  </w:style>
  <w:style w:type="paragraph" w:customStyle="1" w:styleId="Indenthanginga">
    <w:name w:val="Indenthanginga"/>
    <w:basedOn w:val="NormalWeb"/>
    <w:rsid w:val="000673B1"/>
    <w:pPr>
      <w:ind w:left="432" w:hanging="432"/>
    </w:pPr>
  </w:style>
  <w:style w:type="paragraph" w:customStyle="1" w:styleId="Indenthanging1">
    <w:name w:val="Indenthanging1"/>
    <w:basedOn w:val="NormalWeb"/>
    <w:rsid w:val="000673B1"/>
    <w:pPr>
      <w:ind w:left="190" w:hanging="190"/>
    </w:pPr>
  </w:style>
  <w:style w:type="paragraph" w:customStyle="1" w:styleId="Indenthangingb">
    <w:name w:val="Indenthangingb"/>
    <w:basedOn w:val="NormalWeb"/>
    <w:rsid w:val="000673B1"/>
    <w:pPr>
      <w:ind w:left="432" w:hanging="432"/>
    </w:pPr>
  </w:style>
  <w:style w:type="paragraph" w:customStyle="1" w:styleId="Table">
    <w:name w:val="Table"/>
    <w:basedOn w:val="NormalWeb"/>
    <w:rsid w:val="000673B1"/>
    <w:pPr>
      <w:spacing w:before="48" w:beforeAutospacing="0" w:after="48" w:afterAutospacing="0"/>
      <w:ind w:left="144"/>
    </w:pPr>
  </w:style>
  <w:style w:type="paragraph" w:customStyle="1" w:styleId="NlTable">
    <w:name w:val="NlTable"/>
    <w:basedOn w:val="Table"/>
    <w:rsid w:val="000673B1"/>
  </w:style>
  <w:style w:type="paragraph" w:customStyle="1" w:styleId="Note">
    <w:name w:val="Note"/>
    <w:basedOn w:val="Table"/>
    <w:rsid w:val="000673B1"/>
  </w:style>
  <w:style w:type="paragraph" w:customStyle="1" w:styleId="Sidebar">
    <w:name w:val="Sidebar"/>
    <w:basedOn w:val="Table"/>
    <w:rsid w:val="000673B1"/>
  </w:style>
  <w:style w:type="paragraph" w:customStyle="1" w:styleId="Indexmain">
    <w:name w:val="Indexmain"/>
    <w:basedOn w:val="NormalWeb"/>
    <w:rsid w:val="000673B1"/>
    <w:pPr>
      <w:spacing w:before="24" w:beforeAutospacing="0" w:after="24" w:afterAutospacing="0"/>
      <w:ind w:left="360" w:hanging="360"/>
    </w:pPr>
  </w:style>
  <w:style w:type="paragraph" w:customStyle="1" w:styleId="Indexsub">
    <w:name w:val="Indexsub"/>
    <w:basedOn w:val="NormalWeb"/>
    <w:rsid w:val="000673B1"/>
    <w:pPr>
      <w:spacing w:before="24" w:beforeAutospacing="0" w:after="24" w:afterAutospacing="0"/>
      <w:ind w:left="619" w:hanging="360"/>
    </w:pPr>
  </w:style>
  <w:style w:type="paragraph" w:customStyle="1" w:styleId="Indexsubsub">
    <w:name w:val="Indexsubsub"/>
    <w:basedOn w:val="NormalWeb"/>
    <w:rsid w:val="000673B1"/>
    <w:pPr>
      <w:spacing w:before="24" w:beforeAutospacing="0" w:after="24" w:afterAutospacing="0"/>
      <w:ind w:left="907" w:hanging="360"/>
    </w:pPr>
  </w:style>
  <w:style w:type="paragraph" w:customStyle="1" w:styleId="Indexsubsubsub">
    <w:name w:val="Indexsubsubsub"/>
    <w:basedOn w:val="NormalWeb"/>
    <w:rsid w:val="000673B1"/>
    <w:pPr>
      <w:spacing w:before="24" w:beforeAutospacing="0" w:after="24" w:afterAutospacing="0"/>
      <w:ind w:left="1080" w:hanging="360"/>
    </w:pPr>
  </w:style>
  <w:style w:type="character" w:customStyle="1" w:styleId="eBol">
    <w:name w:val="eBol"/>
    <w:rsid w:val="000673B1"/>
    <w:rPr>
      <w:rFonts w:ascii="Times New Roman" w:hAnsi="Times New Roman"/>
      <w:b/>
    </w:rPr>
  </w:style>
  <w:style w:type="character" w:customStyle="1" w:styleId="eIta">
    <w:name w:val="eIta"/>
    <w:rsid w:val="000673B1"/>
    <w:rPr>
      <w:rFonts w:ascii="Times New Roman" w:hAnsi="Times New Roman"/>
      <w:i/>
    </w:rPr>
  </w:style>
  <w:style w:type="character" w:customStyle="1" w:styleId="eBolIta">
    <w:name w:val="eBolIta"/>
    <w:rsid w:val="000673B1"/>
    <w:rPr>
      <w:rFonts w:ascii="Times New Roman" w:hAnsi="Times New Roman"/>
      <w:b/>
      <w:i/>
    </w:rPr>
  </w:style>
  <w:style w:type="paragraph" w:customStyle="1" w:styleId="TOC-Chapter">
    <w:name w:val="TOC-Chapter"/>
    <w:basedOn w:val="NormalWeb"/>
    <w:rsid w:val="000673B1"/>
    <w:pPr>
      <w:spacing w:before="48" w:beforeAutospacing="0" w:after="48" w:afterAutospacing="0"/>
    </w:pPr>
  </w:style>
  <w:style w:type="paragraph" w:customStyle="1" w:styleId="TOC-pagenumber">
    <w:name w:val="TOC-pagenumber"/>
    <w:basedOn w:val="NormalWeb"/>
    <w:rsid w:val="000673B1"/>
    <w:pPr>
      <w:spacing w:before="48" w:beforeAutospacing="0" w:after="48" w:afterAutospacing="0"/>
    </w:pPr>
  </w:style>
  <w:style w:type="paragraph" w:customStyle="1" w:styleId="TOC-part">
    <w:name w:val="TOC-part"/>
    <w:basedOn w:val="NormalWeb"/>
    <w:rsid w:val="000673B1"/>
    <w:pPr>
      <w:spacing w:before="48" w:beforeAutospacing="0" w:after="48" w:afterAutospacing="0"/>
    </w:pPr>
  </w:style>
  <w:style w:type="paragraph" w:customStyle="1" w:styleId="TOC-subchapter">
    <w:name w:val="TOC-subchapter"/>
    <w:basedOn w:val="NormalWeb"/>
    <w:rsid w:val="000673B1"/>
    <w:pPr>
      <w:spacing w:before="48" w:beforeAutospacing="0" w:after="48" w:afterAutospacing="0"/>
    </w:pPr>
  </w:style>
  <w:style w:type="paragraph" w:customStyle="1" w:styleId="TOC-subsubchapter">
    <w:name w:val="TOC-subsubchapter"/>
    <w:basedOn w:val="NormalWeb"/>
    <w:rsid w:val="000673B1"/>
    <w:pPr>
      <w:spacing w:before="48" w:beforeAutospacing="0" w:after="48" w:afterAutospacing="0"/>
    </w:pPr>
  </w:style>
  <w:style w:type="paragraph" w:customStyle="1" w:styleId="TOC-subsubsubchapter">
    <w:name w:val="TOC-subsubsubchapter"/>
    <w:basedOn w:val="NormalWeb"/>
    <w:rsid w:val="000673B1"/>
    <w:pPr>
      <w:spacing w:before="48" w:beforeAutospacing="0" w:after="48" w:afterAutospacing="0"/>
    </w:pPr>
  </w:style>
  <w:style w:type="paragraph" w:customStyle="1" w:styleId="TOC-Chapauthor">
    <w:name w:val="TOC-Chapauthor"/>
    <w:basedOn w:val="NormalWeb"/>
    <w:rsid w:val="000673B1"/>
    <w:pPr>
      <w:spacing w:before="48" w:beforeAutospacing="0" w:after="48" w:afterAutospacing="0"/>
    </w:pPr>
  </w:style>
  <w:style w:type="paragraph" w:customStyle="1" w:styleId="Table-H">
    <w:name w:val="Table-H"/>
    <w:basedOn w:val="NormalWeb"/>
    <w:rsid w:val="000673B1"/>
    <w:pPr>
      <w:spacing w:before="48" w:beforeAutospacing="0" w:after="48" w:afterAutospacing="0"/>
      <w:ind w:left="432" w:hanging="288"/>
    </w:pPr>
  </w:style>
  <w:style w:type="paragraph" w:customStyle="1" w:styleId="N1Table-H">
    <w:name w:val="N1Table-H"/>
    <w:basedOn w:val="Table-H"/>
    <w:rsid w:val="000673B1"/>
  </w:style>
  <w:style w:type="paragraph" w:customStyle="1" w:styleId="NlTable-H">
    <w:name w:val="NlTable-H"/>
    <w:basedOn w:val="Table-H"/>
    <w:rsid w:val="000673B1"/>
  </w:style>
  <w:style w:type="paragraph" w:customStyle="1" w:styleId="Note-H">
    <w:name w:val="Note-H"/>
    <w:basedOn w:val="Table-H"/>
    <w:rsid w:val="000673B1"/>
  </w:style>
  <w:style w:type="paragraph" w:customStyle="1" w:styleId="Sidebar-H">
    <w:name w:val="Sidebar-H"/>
    <w:basedOn w:val="Table-H"/>
    <w:rsid w:val="000673B1"/>
  </w:style>
  <w:style w:type="paragraph" w:customStyle="1" w:styleId="Poem">
    <w:name w:val="Poem"/>
    <w:basedOn w:val="Extract"/>
    <w:qFormat/>
    <w:rsid w:val="000673B1"/>
    <w:pPr>
      <w:spacing w:before="0" w:beforeAutospacing="0" w:after="0" w:afterAutospacing="0"/>
    </w:pPr>
  </w:style>
  <w:style w:type="paragraph" w:customStyle="1" w:styleId="Poem1">
    <w:name w:val="Poem 1"/>
    <w:basedOn w:val="Poem"/>
    <w:rsid w:val="000673B1"/>
    <w:pPr>
      <w:ind w:left="864"/>
    </w:pPr>
  </w:style>
  <w:style w:type="paragraph" w:customStyle="1" w:styleId="indent1">
    <w:name w:val="indent1"/>
    <w:basedOn w:val="Normal"/>
    <w:next w:val="NormalWeb"/>
    <w:qFormat/>
    <w:rsid w:val="000673B1"/>
    <w:pPr>
      <w:ind w:left="288" w:hanging="288"/>
    </w:pPr>
  </w:style>
  <w:style w:type="paragraph" w:styleId="FootnoteText">
    <w:name w:val="footnote text"/>
    <w:basedOn w:val="Normal"/>
    <w:link w:val="FootnoteTextChar"/>
    <w:uiPriority w:val="99"/>
    <w:semiHidden/>
    <w:unhideWhenUsed/>
    <w:rsid w:val="00921C52"/>
    <w:rPr>
      <w:sz w:val="20"/>
      <w:szCs w:val="20"/>
    </w:rPr>
  </w:style>
  <w:style w:type="character" w:customStyle="1" w:styleId="FootnoteTextChar">
    <w:name w:val="Footnote Text Char"/>
    <w:link w:val="FootnoteText"/>
    <w:uiPriority w:val="99"/>
    <w:semiHidden/>
    <w:rsid w:val="00921C52"/>
    <w:rPr>
      <w:rFonts w:ascii="Times New Roman" w:eastAsia="Times New Roman" w:hAnsi="Times New Roman"/>
      <w:lang w:val="en-US" w:eastAsia="en-US"/>
    </w:rPr>
  </w:style>
  <w:style w:type="character" w:styleId="FootnoteReference">
    <w:name w:val="footnote reference"/>
    <w:uiPriority w:val="99"/>
    <w:semiHidden/>
    <w:unhideWhenUsed/>
    <w:rsid w:val="00921C52"/>
    <w:rPr>
      <w:vertAlign w:val="superscript"/>
    </w:rPr>
  </w:style>
  <w:style w:type="table" w:styleId="TableGrid">
    <w:name w:val="Table Grid"/>
    <w:basedOn w:val="TableNormal"/>
    <w:uiPriority w:val="39"/>
    <w:rsid w:val="00E01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Table">
    <w:name w:val="NITable"/>
    <w:basedOn w:val="Table"/>
    <w:rsid w:val="00F07386"/>
    <w:rPr>
      <w:lang w:val="sq-AL"/>
    </w:rPr>
  </w:style>
  <w:style w:type="paragraph" w:customStyle="1" w:styleId="MTDisplayEquation">
    <w:name w:val="MTDisplayEquation"/>
    <w:basedOn w:val="NormalWeb"/>
    <w:next w:val="Normal"/>
    <w:rsid w:val="00823A86"/>
    <w:pPr>
      <w:tabs>
        <w:tab w:val="center" w:pos="4320"/>
        <w:tab w:val="right" w:pos="8640"/>
      </w:tabs>
    </w:pPr>
  </w:style>
  <w:style w:type="character" w:customStyle="1" w:styleId="NormalWebChar">
    <w:name w:val="Normal (Web) Char"/>
    <w:link w:val="NormalWeb"/>
    <w:rsid w:val="00806F73"/>
    <w:rPr>
      <w:sz w:val="24"/>
      <w:szCs w:val="24"/>
      <w:lang w:val="en-US" w:eastAsia="en-US" w:bidi="ar-SA"/>
    </w:rPr>
  </w:style>
  <w:style w:type="paragraph" w:styleId="BalloonText">
    <w:name w:val="Balloon Text"/>
    <w:basedOn w:val="Normal"/>
    <w:link w:val="BalloonTextChar"/>
    <w:uiPriority w:val="99"/>
    <w:semiHidden/>
    <w:unhideWhenUsed/>
    <w:rsid w:val="007A3661"/>
    <w:rPr>
      <w:rFonts w:ascii="Lucida Grande" w:hAnsi="Lucida Grande" w:cs="Lucida Grande"/>
      <w:sz w:val="18"/>
      <w:szCs w:val="18"/>
    </w:rPr>
  </w:style>
  <w:style w:type="character" w:customStyle="1" w:styleId="BalloonTextChar">
    <w:name w:val="Balloon Text Char"/>
    <w:link w:val="BalloonText"/>
    <w:uiPriority w:val="99"/>
    <w:semiHidden/>
    <w:rsid w:val="007A3661"/>
    <w:rPr>
      <w:rFonts w:ascii="Lucida Grande" w:eastAsia="Times New Roman" w:hAnsi="Lucida Grande" w:cs="Lucida Grande"/>
      <w:sz w:val="18"/>
      <w:szCs w:val="18"/>
    </w:rPr>
  </w:style>
  <w:style w:type="paragraph" w:styleId="Header">
    <w:name w:val="header"/>
    <w:basedOn w:val="Normal"/>
    <w:link w:val="HeaderChar"/>
    <w:uiPriority w:val="99"/>
    <w:unhideWhenUsed/>
    <w:rsid w:val="007A3661"/>
    <w:pPr>
      <w:tabs>
        <w:tab w:val="center" w:pos="4320"/>
        <w:tab w:val="right" w:pos="8640"/>
      </w:tabs>
    </w:pPr>
  </w:style>
  <w:style w:type="character" w:customStyle="1" w:styleId="HeaderChar">
    <w:name w:val="Header Char"/>
    <w:link w:val="Header"/>
    <w:uiPriority w:val="99"/>
    <w:rsid w:val="007A3661"/>
    <w:rPr>
      <w:rFonts w:ascii="Times New Roman" w:eastAsia="Times New Roman" w:hAnsi="Times New Roman"/>
      <w:sz w:val="24"/>
      <w:szCs w:val="24"/>
    </w:rPr>
  </w:style>
  <w:style w:type="paragraph" w:styleId="Footer">
    <w:name w:val="footer"/>
    <w:basedOn w:val="Normal"/>
    <w:link w:val="FooterChar"/>
    <w:uiPriority w:val="99"/>
    <w:unhideWhenUsed/>
    <w:rsid w:val="007A3661"/>
    <w:pPr>
      <w:tabs>
        <w:tab w:val="center" w:pos="4320"/>
        <w:tab w:val="right" w:pos="8640"/>
      </w:tabs>
    </w:pPr>
  </w:style>
  <w:style w:type="character" w:customStyle="1" w:styleId="FooterChar">
    <w:name w:val="Footer Char"/>
    <w:link w:val="Footer"/>
    <w:uiPriority w:val="99"/>
    <w:rsid w:val="007A3661"/>
    <w:rPr>
      <w:rFonts w:ascii="Times New Roman" w:eastAsia="Times New Roman" w:hAnsi="Times New Roman"/>
      <w:sz w:val="24"/>
      <w:szCs w:val="24"/>
    </w:rPr>
  </w:style>
  <w:style w:type="character" w:styleId="PageNumber">
    <w:name w:val="page number"/>
    <w:uiPriority w:val="99"/>
    <w:semiHidden/>
    <w:unhideWhenUsed/>
    <w:rsid w:val="001C39CC"/>
  </w:style>
  <w:style w:type="character" w:styleId="CommentReference">
    <w:name w:val="annotation reference"/>
    <w:basedOn w:val="DefaultParagraphFont"/>
    <w:uiPriority w:val="99"/>
    <w:semiHidden/>
    <w:unhideWhenUsed/>
    <w:rsid w:val="00140862"/>
    <w:rPr>
      <w:sz w:val="16"/>
      <w:szCs w:val="16"/>
    </w:rPr>
  </w:style>
  <w:style w:type="paragraph" w:styleId="CommentText">
    <w:name w:val="annotation text"/>
    <w:basedOn w:val="Normal"/>
    <w:link w:val="CommentTextChar"/>
    <w:uiPriority w:val="99"/>
    <w:semiHidden/>
    <w:unhideWhenUsed/>
    <w:rsid w:val="00140862"/>
    <w:rPr>
      <w:sz w:val="20"/>
      <w:szCs w:val="20"/>
    </w:rPr>
  </w:style>
  <w:style w:type="character" w:customStyle="1" w:styleId="CommentTextChar">
    <w:name w:val="Comment Text Char"/>
    <w:basedOn w:val="DefaultParagraphFont"/>
    <w:link w:val="CommentText"/>
    <w:uiPriority w:val="99"/>
    <w:semiHidden/>
    <w:rsid w:val="0014086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40862"/>
    <w:rPr>
      <w:b/>
      <w:bCs/>
    </w:rPr>
  </w:style>
  <w:style w:type="character" w:customStyle="1" w:styleId="CommentSubjectChar">
    <w:name w:val="Comment Subject Char"/>
    <w:basedOn w:val="CommentTextChar"/>
    <w:link w:val="CommentSubject"/>
    <w:uiPriority w:val="99"/>
    <w:semiHidden/>
    <w:rsid w:val="00140862"/>
    <w:rPr>
      <w:rFonts w:ascii="Times New Roman" w:eastAsia="Times New Roman" w:hAnsi="Times New Roman"/>
      <w:b/>
      <w:bCs/>
    </w:rPr>
  </w:style>
  <w:style w:type="character" w:styleId="Hyperlink">
    <w:name w:val="Hyperlink"/>
    <w:basedOn w:val="DefaultParagraphFont"/>
    <w:uiPriority w:val="99"/>
    <w:unhideWhenUsed/>
    <w:rsid w:val="00E155F2"/>
    <w:rPr>
      <w:color w:val="0563C1" w:themeColor="hyperlink"/>
      <w:u w:val="single"/>
    </w:rPr>
  </w:style>
  <w:style w:type="character" w:customStyle="1" w:styleId="UnresolvedMention1">
    <w:name w:val="Unresolved Mention1"/>
    <w:basedOn w:val="DefaultParagraphFont"/>
    <w:uiPriority w:val="99"/>
    <w:semiHidden/>
    <w:unhideWhenUsed/>
    <w:rsid w:val="00E155F2"/>
    <w:rPr>
      <w:color w:val="605E5C"/>
      <w:shd w:val="clear" w:color="auto" w:fill="E1DFDD"/>
    </w:rPr>
  </w:style>
  <w:style w:type="character" w:styleId="FollowedHyperlink">
    <w:name w:val="FollowedHyperlink"/>
    <w:basedOn w:val="DefaultParagraphFont"/>
    <w:uiPriority w:val="99"/>
    <w:semiHidden/>
    <w:unhideWhenUsed/>
    <w:rsid w:val="00E155F2"/>
    <w:rPr>
      <w:color w:val="954F72" w:themeColor="followedHyperlink"/>
      <w:u w:val="single"/>
    </w:rPr>
  </w:style>
  <w:style w:type="paragraph" w:styleId="Revision">
    <w:name w:val="Revision"/>
    <w:hidden/>
    <w:uiPriority w:val="71"/>
    <w:rsid w:val="00A9503A"/>
    <w:rPr>
      <w:rFonts w:ascii="Times New Roman" w:eastAsia="Times New Roman" w:hAnsi="Times New Roman"/>
      <w:sz w:val="24"/>
      <w:szCs w:val="24"/>
    </w:rPr>
  </w:style>
  <w:style w:type="paragraph" w:customStyle="1" w:styleId="EndNoteBibliographyTitle">
    <w:name w:val="EndNote Bibliography Title"/>
    <w:basedOn w:val="Normal"/>
    <w:link w:val="EndNoteBibliographyTitleChar"/>
    <w:rsid w:val="00F60399"/>
    <w:pPr>
      <w:jc w:val="center"/>
    </w:pPr>
    <w:rPr>
      <w:sz w:val="38"/>
    </w:rPr>
  </w:style>
  <w:style w:type="character" w:customStyle="1" w:styleId="EndNoteBibliographyTitleChar">
    <w:name w:val="EndNote Bibliography Title Char"/>
    <w:basedOn w:val="Heading1Char"/>
    <w:link w:val="EndNoteBibliographyTitle"/>
    <w:rsid w:val="00F60399"/>
    <w:rPr>
      <w:rFonts w:ascii="Times New Roman" w:eastAsia="Times New Roman" w:hAnsi="Times New Roman" w:cs="Arial"/>
      <w:b w:val="0"/>
      <w:bCs w:val="0"/>
      <w:kern w:val="32"/>
      <w:sz w:val="38"/>
      <w:szCs w:val="24"/>
      <w:lang w:val="en-US" w:eastAsia="en-US" w:bidi="ar-SA"/>
    </w:rPr>
  </w:style>
  <w:style w:type="paragraph" w:customStyle="1" w:styleId="EndNoteBibliography">
    <w:name w:val="EndNote Bibliography"/>
    <w:basedOn w:val="Normal"/>
    <w:link w:val="EndNoteBibliographyChar"/>
    <w:rsid w:val="00F60399"/>
    <w:rPr>
      <w:sz w:val="38"/>
    </w:rPr>
  </w:style>
  <w:style w:type="character" w:customStyle="1" w:styleId="EndNoteBibliographyChar">
    <w:name w:val="EndNote Bibliography Char"/>
    <w:basedOn w:val="Heading1Char"/>
    <w:link w:val="EndNoteBibliography"/>
    <w:rsid w:val="00F60399"/>
    <w:rPr>
      <w:rFonts w:ascii="Times New Roman" w:eastAsia="Times New Roman" w:hAnsi="Times New Roman" w:cs="Arial"/>
      <w:b w:val="0"/>
      <w:bCs w:val="0"/>
      <w:kern w:val="32"/>
      <w:sz w:val="38"/>
      <w:szCs w:val="24"/>
      <w:lang w:val="en-US" w:eastAsia="en-US" w:bidi="ar-SA"/>
    </w:rPr>
  </w:style>
  <w:style w:type="character" w:customStyle="1" w:styleId="UnresolvedMention2">
    <w:name w:val="Unresolved Mention2"/>
    <w:basedOn w:val="DefaultParagraphFont"/>
    <w:uiPriority w:val="99"/>
    <w:semiHidden/>
    <w:unhideWhenUsed/>
    <w:rsid w:val="00AA20A6"/>
    <w:rPr>
      <w:color w:val="605E5C"/>
      <w:shd w:val="clear" w:color="auto" w:fill="E1DFDD"/>
    </w:rPr>
  </w:style>
  <w:style w:type="character" w:customStyle="1" w:styleId="current-selection">
    <w:name w:val="current-selection"/>
    <w:basedOn w:val="DefaultParagraphFont"/>
    <w:rsid w:val="00651522"/>
  </w:style>
  <w:style w:type="character" w:styleId="UnresolvedMention">
    <w:name w:val="Unresolved Mention"/>
    <w:basedOn w:val="DefaultParagraphFont"/>
    <w:uiPriority w:val="99"/>
    <w:semiHidden/>
    <w:unhideWhenUsed/>
    <w:rsid w:val="00BD6122"/>
    <w:rPr>
      <w:color w:val="605E5C"/>
      <w:shd w:val="clear" w:color="auto" w:fill="E1DFDD"/>
    </w:rPr>
  </w:style>
  <w:style w:type="character" w:styleId="Emphasis">
    <w:name w:val="Emphasis"/>
    <w:basedOn w:val="DefaultParagraphFont"/>
    <w:uiPriority w:val="20"/>
    <w:qFormat/>
    <w:rsid w:val="005763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99329">
      <w:bodyDiv w:val="1"/>
      <w:marLeft w:val="0"/>
      <w:marRight w:val="0"/>
      <w:marTop w:val="0"/>
      <w:marBottom w:val="0"/>
      <w:divBdr>
        <w:top w:val="none" w:sz="0" w:space="0" w:color="auto"/>
        <w:left w:val="none" w:sz="0" w:space="0" w:color="auto"/>
        <w:bottom w:val="none" w:sz="0" w:space="0" w:color="auto"/>
        <w:right w:val="none" w:sz="0" w:space="0" w:color="auto"/>
      </w:divBdr>
    </w:div>
    <w:div w:id="55666821">
      <w:bodyDiv w:val="1"/>
      <w:marLeft w:val="0"/>
      <w:marRight w:val="0"/>
      <w:marTop w:val="0"/>
      <w:marBottom w:val="0"/>
      <w:divBdr>
        <w:top w:val="none" w:sz="0" w:space="0" w:color="auto"/>
        <w:left w:val="none" w:sz="0" w:space="0" w:color="auto"/>
        <w:bottom w:val="none" w:sz="0" w:space="0" w:color="auto"/>
        <w:right w:val="none" w:sz="0" w:space="0" w:color="auto"/>
      </w:divBdr>
    </w:div>
    <w:div w:id="131600941">
      <w:bodyDiv w:val="1"/>
      <w:marLeft w:val="0"/>
      <w:marRight w:val="0"/>
      <w:marTop w:val="0"/>
      <w:marBottom w:val="0"/>
      <w:divBdr>
        <w:top w:val="none" w:sz="0" w:space="0" w:color="auto"/>
        <w:left w:val="none" w:sz="0" w:space="0" w:color="auto"/>
        <w:bottom w:val="none" w:sz="0" w:space="0" w:color="auto"/>
        <w:right w:val="none" w:sz="0" w:space="0" w:color="auto"/>
      </w:divBdr>
    </w:div>
    <w:div w:id="256207787">
      <w:bodyDiv w:val="1"/>
      <w:marLeft w:val="0"/>
      <w:marRight w:val="0"/>
      <w:marTop w:val="0"/>
      <w:marBottom w:val="0"/>
      <w:divBdr>
        <w:top w:val="none" w:sz="0" w:space="0" w:color="auto"/>
        <w:left w:val="none" w:sz="0" w:space="0" w:color="auto"/>
        <w:bottom w:val="none" w:sz="0" w:space="0" w:color="auto"/>
        <w:right w:val="none" w:sz="0" w:space="0" w:color="auto"/>
      </w:divBdr>
    </w:div>
    <w:div w:id="770318118">
      <w:bodyDiv w:val="1"/>
      <w:marLeft w:val="0"/>
      <w:marRight w:val="0"/>
      <w:marTop w:val="0"/>
      <w:marBottom w:val="0"/>
      <w:divBdr>
        <w:top w:val="none" w:sz="0" w:space="0" w:color="auto"/>
        <w:left w:val="none" w:sz="0" w:space="0" w:color="auto"/>
        <w:bottom w:val="none" w:sz="0" w:space="0" w:color="auto"/>
        <w:right w:val="none" w:sz="0" w:space="0" w:color="auto"/>
      </w:divBdr>
    </w:div>
    <w:div w:id="797644831">
      <w:bodyDiv w:val="1"/>
      <w:marLeft w:val="0"/>
      <w:marRight w:val="0"/>
      <w:marTop w:val="0"/>
      <w:marBottom w:val="0"/>
      <w:divBdr>
        <w:top w:val="none" w:sz="0" w:space="0" w:color="auto"/>
        <w:left w:val="none" w:sz="0" w:space="0" w:color="auto"/>
        <w:bottom w:val="none" w:sz="0" w:space="0" w:color="auto"/>
        <w:right w:val="none" w:sz="0" w:space="0" w:color="auto"/>
      </w:divBdr>
    </w:div>
    <w:div w:id="905381077">
      <w:bodyDiv w:val="1"/>
      <w:marLeft w:val="0"/>
      <w:marRight w:val="0"/>
      <w:marTop w:val="0"/>
      <w:marBottom w:val="0"/>
      <w:divBdr>
        <w:top w:val="none" w:sz="0" w:space="0" w:color="auto"/>
        <w:left w:val="none" w:sz="0" w:space="0" w:color="auto"/>
        <w:bottom w:val="none" w:sz="0" w:space="0" w:color="auto"/>
        <w:right w:val="none" w:sz="0" w:space="0" w:color="auto"/>
      </w:divBdr>
    </w:div>
    <w:div w:id="975721755">
      <w:bodyDiv w:val="1"/>
      <w:marLeft w:val="0"/>
      <w:marRight w:val="0"/>
      <w:marTop w:val="0"/>
      <w:marBottom w:val="0"/>
      <w:divBdr>
        <w:top w:val="none" w:sz="0" w:space="0" w:color="auto"/>
        <w:left w:val="none" w:sz="0" w:space="0" w:color="auto"/>
        <w:bottom w:val="none" w:sz="0" w:space="0" w:color="auto"/>
        <w:right w:val="none" w:sz="0" w:space="0" w:color="auto"/>
      </w:divBdr>
    </w:div>
    <w:div w:id="1086606972">
      <w:bodyDiv w:val="1"/>
      <w:marLeft w:val="0"/>
      <w:marRight w:val="0"/>
      <w:marTop w:val="0"/>
      <w:marBottom w:val="0"/>
      <w:divBdr>
        <w:top w:val="none" w:sz="0" w:space="0" w:color="auto"/>
        <w:left w:val="none" w:sz="0" w:space="0" w:color="auto"/>
        <w:bottom w:val="none" w:sz="0" w:space="0" w:color="auto"/>
        <w:right w:val="none" w:sz="0" w:space="0" w:color="auto"/>
      </w:divBdr>
    </w:div>
    <w:div w:id="1156454965">
      <w:bodyDiv w:val="1"/>
      <w:marLeft w:val="0"/>
      <w:marRight w:val="0"/>
      <w:marTop w:val="0"/>
      <w:marBottom w:val="0"/>
      <w:divBdr>
        <w:top w:val="none" w:sz="0" w:space="0" w:color="auto"/>
        <w:left w:val="none" w:sz="0" w:space="0" w:color="auto"/>
        <w:bottom w:val="none" w:sz="0" w:space="0" w:color="auto"/>
        <w:right w:val="none" w:sz="0" w:space="0" w:color="auto"/>
      </w:divBdr>
    </w:div>
    <w:div w:id="1363942451">
      <w:bodyDiv w:val="1"/>
      <w:marLeft w:val="0"/>
      <w:marRight w:val="0"/>
      <w:marTop w:val="0"/>
      <w:marBottom w:val="0"/>
      <w:divBdr>
        <w:top w:val="none" w:sz="0" w:space="0" w:color="auto"/>
        <w:left w:val="none" w:sz="0" w:space="0" w:color="auto"/>
        <w:bottom w:val="none" w:sz="0" w:space="0" w:color="auto"/>
        <w:right w:val="none" w:sz="0" w:space="0" w:color="auto"/>
      </w:divBdr>
    </w:div>
    <w:div w:id="1466123857">
      <w:bodyDiv w:val="1"/>
      <w:marLeft w:val="0"/>
      <w:marRight w:val="0"/>
      <w:marTop w:val="0"/>
      <w:marBottom w:val="0"/>
      <w:divBdr>
        <w:top w:val="none" w:sz="0" w:space="0" w:color="auto"/>
        <w:left w:val="none" w:sz="0" w:space="0" w:color="auto"/>
        <w:bottom w:val="none" w:sz="0" w:space="0" w:color="auto"/>
        <w:right w:val="none" w:sz="0" w:space="0" w:color="auto"/>
      </w:divBdr>
    </w:div>
    <w:div w:id="1648128545">
      <w:bodyDiv w:val="1"/>
      <w:marLeft w:val="0"/>
      <w:marRight w:val="0"/>
      <w:marTop w:val="0"/>
      <w:marBottom w:val="0"/>
      <w:divBdr>
        <w:top w:val="none" w:sz="0" w:space="0" w:color="auto"/>
        <w:left w:val="none" w:sz="0" w:space="0" w:color="auto"/>
        <w:bottom w:val="none" w:sz="0" w:space="0" w:color="auto"/>
        <w:right w:val="none" w:sz="0" w:space="0" w:color="auto"/>
      </w:divBdr>
      <w:divsChild>
        <w:div w:id="1522428904">
          <w:marLeft w:val="0"/>
          <w:marRight w:val="0"/>
          <w:marTop w:val="0"/>
          <w:marBottom w:val="0"/>
          <w:divBdr>
            <w:top w:val="none" w:sz="0" w:space="0" w:color="auto"/>
            <w:left w:val="none" w:sz="0" w:space="0" w:color="auto"/>
            <w:bottom w:val="none" w:sz="0" w:space="0" w:color="auto"/>
            <w:right w:val="none" w:sz="0" w:space="0" w:color="auto"/>
          </w:divBdr>
        </w:div>
        <w:div w:id="1482232260">
          <w:marLeft w:val="0"/>
          <w:marRight w:val="0"/>
          <w:marTop w:val="0"/>
          <w:marBottom w:val="0"/>
          <w:divBdr>
            <w:top w:val="none" w:sz="0" w:space="0" w:color="auto"/>
            <w:left w:val="none" w:sz="0" w:space="0" w:color="auto"/>
            <w:bottom w:val="none" w:sz="0" w:space="0" w:color="auto"/>
            <w:right w:val="none" w:sz="0" w:space="0" w:color="auto"/>
          </w:divBdr>
        </w:div>
        <w:div w:id="444614877">
          <w:marLeft w:val="0"/>
          <w:marRight w:val="0"/>
          <w:marTop w:val="0"/>
          <w:marBottom w:val="0"/>
          <w:divBdr>
            <w:top w:val="none" w:sz="0" w:space="0" w:color="auto"/>
            <w:left w:val="none" w:sz="0" w:space="0" w:color="auto"/>
            <w:bottom w:val="none" w:sz="0" w:space="0" w:color="auto"/>
            <w:right w:val="none" w:sz="0" w:space="0" w:color="auto"/>
          </w:divBdr>
        </w:div>
        <w:div w:id="1963463530">
          <w:marLeft w:val="0"/>
          <w:marRight w:val="0"/>
          <w:marTop w:val="0"/>
          <w:marBottom w:val="0"/>
          <w:divBdr>
            <w:top w:val="none" w:sz="0" w:space="0" w:color="auto"/>
            <w:left w:val="none" w:sz="0" w:space="0" w:color="auto"/>
            <w:bottom w:val="none" w:sz="0" w:space="0" w:color="auto"/>
            <w:right w:val="none" w:sz="0" w:space="0" w:color="auto"/>
          </w:divBdr>
        </w:div>
      </w:divsChild>
    </w:div>
    <w:div w:id="1690448664">
      <w:bodyDiv w:val="1"/>
      <w:marLeft w:val="0"/>
      <w:marRight w:val="0"/>
      <w:marTop w:val="0"/>
      <w:marBottom w:val="0"/>
      <w:divBdr>
        <w:top w:val="none" w:sz="0" w:space="0" w:color="auto"/>
        <w:left w:val="none" w:sz="0" w:space="0" w:color="auto"/>
        <w:bottom w:val="none" w:sz="0" w:space="0" w:color="auto"/>
        <w:right w:val="none" w:sz="0" w:space="0" w:color="auto"/>
      </w:divBdr>
    </w:div>
    <w:div w:id="1719548302">
      <w:bodyDiv w:val="1"/>
      <w:marLeft w:val="0"/>
      <w:marRight w:val="0"/>
      <w:marTop w:val="0"/>
      <w:marBottom w:val="0"/>
      <w:divBdr>
        <w:top w:val="none" w:sz="0" w:space="0" w:color="auto"/>
        <w:left w:val="none" w:sz="0" w:space="0" w:color="auto"/>
        <w:bottom w:val="none" w:sz="0" w:space="0" w:color="auto"/>
        <w:right w:val="none" w:sz="0" w:space="0" w:color="auto"/>
      </w:divBdr>
    </w:div>
    <w:div w:id="1756440817">
      <w:bodyDiv w:val="1"/>
      <w:marLeft w:val="0"/>
      <w:marRight w:val="0"/>
      <w:marTop w:val="0"/>
      <w:marBottom w:val="0"/>
      <w:divBdr>
        <w:top w:val="none" w:sz="0" w:space="0" w:color="auto"/>
        <w:left w:val="none" w:sz="0" w:space="0" w:color="auto"/>
        <w:bottom w:val="none" w:sz="0" w:space="0" w:color="auto"/>
        <w:right w:val="none" w:sz="0" w:space="0" w:color="auto"/>
      </w:divBdr>
    </w:div>
    <w:div w:id="1777600909">
      <w:bodyDiv w:val="1"/>
      <w:marLeft w:val="0"/>
      <w:marRight w:val="0"/>
      <w:marTop w:val="0"/>
      <w:marBottom w:val="0"/>
      <w:divBdr>
        <w:top w:val="none" w:sz="0" w:space="0" w:color="auto"/>
        <w:left w:val="none" w:sz="0" w:space="0" w:color="auto"/>
        <w:bottom w:val="none" w:sz="0" w:space="0" w:color="auto"/>
        <w:right w:val="none" w:sz="0" w:space="0" w:color="auto"/>
      </w:divBdr>
      <w:divsChild>
        <w:div w:id="370613010">
          <w:marLeft w:val="0"/>
          <w:marRight w:val="0"/>
          <w:marTop w:val="0"/>
          <w:marBottom w:val="0"/>
          <w:divBdr>
            <w:top w:val="none" w:sz="0" w:space="0" w:color="auto"/>
            <w:left w:val="none" w:sz="0" w:space="0" w:color="auto"/>
            <w:bottom w:val="none" w:sz="0" w:space="0" w:color="auto"/>
            <w:right w:val="none" w:sz="0" w:space="0" w:color="auto"/>
          </w:divBdr>
        </w:div>
        <w:div w:id="434254914">
          <w:marLeft w:val="0"/>
          <w:marRight w:val="0"/>
          <w:marTop w:val="0"/>
          <w:marBottom w:val="0"/>
          <w:divBdr>
            <w:top w:val="none" w:sz="0" w:space="0" w:color="auto"/>
            <w:left w:val="none" w:sz="0" w:space="0" w:color="auto"/>
            <w:bottom w:val="none" w:sz="0" w:space="0" w:color="auto"/>
            <w:right w:val="none" w:sz="0" w:space="0" w:color="auto"/>
          </w:divBdr>
        </w:div>
        <w:div w:id="1750273609">
          <w:marLeft w:val="0"/>
          <w:marRight w:val="0"/>
          <w:marTop w:val="0"/>
          <w:marBottom w:val="0"/>
          <w:divBdr>
            <w:top w:val="none" w:sz="0" w:space="0" w:color="auto"/>
            <w:left w:val="none" w:sz="0" w:space="0" w:color="auto"/>
            <w:bottom w:val="none" w:sz="0" w:space="0" w:color="auto"/>
            <w:right w:val="none" w:sz="0" w:space="0" w:color="auto"/>
          </w:divBdr>
        </w:div>
        <w:div w:id="164252654">
          <w:marLeft w:val="0"/>
          <w:marRight w:val="0"/>
          <w:marTop w:val="0"/>
          <w:marBottom w:val="0"/>
          <w:divBdr>
            <w:top w:val="none" w:sz="0" w:space="0" w:color="auto"/>
            <w:left w:val="none" w:sz="0" w:space="0" w:color="auto"/>
            <w:bottom w:val="none" w:sz="0" w:space="0" w:color="auto"/>
            <w:right w:val="none" w:sz="0" w:space="0" w:color="auto"/>
          </w:divBdr>
        </w:div>
        <w:div w:id="310796788">
          <w:marLeft w:val="0"/>
          <w:marRight w:val="0"/>
          <w:marTop w:val="0"/>
          <w:marBottom w:val="0"/>
          <w:divBdr>
            <w:top w:val="none" w:sz="0" w:space="0" w:color="auto"/>
            <w:left w:val="none" w:sz="0" w:space="0" w:color="auto"/>
            <w:bottom w:val="none" w:sz="0" w:space="0" w:color="auto"/>
            <w:right w:val="none" w:sz="0" w:space="0" w:color="auto"/>
          </w:divBdr>
        </w:div>
      </w:divsChild>
    </w:div>
    <w:div w:id="1922520646">
      <w:bodyDiv w:val="1"/>
      <w:marLeft w:val="0"/>
      <w:marRight w:val="0"/>
      <w:marTop w:val="0"/>
      <w:marBottom w:val="0"/>
      <w:divBdr>
        <w:top w:val="none" w:sz="0" w:space="0" w:color="auto"/>
        <w:left w:val="none" w:sz="0" w:space="0" w:color="auto"/>
        <w:bottom w:val="none" w:sz="0" w:space="0" w:color="auto"/>
        <w:right w:val="none" w:sz="0" w:space="0" w:color="auto"/>
      </w:divBdr>
    </w:div>
    <w:div w:id="1939172830">
      <w:bodyDiv w:val="1"/>
      <w:marLeft w:val="0"/>
      <w:marRight w:val="0"/>
      <w:marTop w:val="0"/>
      <w:marBottom w:val="0"/>
      <w:divBdr>
        <w:top w:val="none" w:sz="0" w:space="0" w:color="auto"/>
        <w:left w:val="none" w:sz="0" w:space="0" w:color="auto"/>
        <w:bottom w:val="none" w:sz="0" w:space="0" w:color="auto"/>
        <w:right w:val="none" w:sz="0" w:space="0" w:color="auto"/>
      </w:divBdr>
    </w:div>
    <w:div w:id="2004772023">
      <w:bodyDiv w:val="1"/>
      <w:marLeft w:val="0"/>
      <w:marRight w:val="0"/>
      <w:marTop w:val="0"/>
      <w:marBottom w:val="0"/>
      <w:divBdr>
        <w:top w:val="none" w:sz="0" w:space="0" w:color="auto"/>
        <w:left w:val="none" w:sz="0" w:space="0" w:color="auto"/>
        <w:bottom w:val="none" w:sz="0" w:space="0" w:color="auto"/>
        <w:right w:val="none" w:sz="0" w:space="0" w:color="auto"/>
      </w:divBdr>
    </w:div>
    <w:div w:id="2110465025">
      <w:bodyDiv w:val="1"/>
      <w:marLeft w:val="0"/>
      <w:marRight w:val="0"/>
      <w:marTop w:val="0"/>
      <w:marBottom w:val="0"/>
      <w:divBdr>
        <w:top w:val="none" w:sz="0" w:space="0" w:color="auto"/>
        <w:left w:val="none" w:sz="0" w:space="0" w:color="auto"/>
        <w:bottom w:val="none" w:sz="0" w:space="0" w:color="auto"/>
        <w:right w:val="none" w:sz="0" w:space="0" w:color="auto"/>
      </w:divBdr>
    </w:div>
    <w:div w:id="2113233618">
      <w:bodyDiv w:val="1"/>
      <w:marLeft w:val="0"/>
      <w:marRight w:val="0"/>
      <w:marTop w:val="0"/>
      <w:marBottom w:val="0"/>
      <w:divBdr>
        <w:top w:val="none" w:sz="0" w:space="0" w:color="auto"/>
        <w:left w:val="none" w:sz="0" w:space="0" w:color="auto"/>
        <w:bottom w:val="none" w:sz="0" w:space="0" w:color="auto"/>
        <w:right w:val="none" w:sz="0" w:space="0" w:color="auto"/>
      </w:divBdr>
      <w:divsChild>
        <w:div w:id="591281955">
          <w:marLeft w:val="0"/>
          <w:marRight w:val="0"/>
          <w:marTop w:val="0"/>
          <w:marBottom w:val="0"/>
          <w:divBdr>
            <w:top w:val="none" w:sz="0" w:space="0" w:color="auto"/>
            <w:left w:val="none" w:sz="0" w:space="0" w:color="auto"/>
            <w:bottom w:val="none" w:sz="0" w:space="0" w:color="auto"/>
            <w:right w:val="none" w:sz="0" w:space="0" w:color="auto"/>
          </w:divBdr>
        </w:div>
        <w:div w:id="1128086331">
          <w:marLeft w:val="0"/>
          <w:marRight w:val="0"/>
          <w:marTop w:val="0"/>
          <w:marBottom w:val="0"/>
          <w:divBdr>
            <w:top w:val="none" w:sz="0" w:space="0" w:color="auto"/>
            <w:left w:val="none" w:sz="0" w:space="0" w:color="auto"/>
            <w:bottom w:val="none" w:sz="0" w:space="0" w:color="auto"/>
            <w:right w:val="none" w:sz="0" w:space="0" w:color="auto"/>
          </w:divBdr>
        </w:div>
        <w:div w:id="1537699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yperlink" Target="https://cran.r-project.org/web/packages/rpart/vignettes/longintro.pdf" TargetMode="Externa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Illinois%27s_4th_congressional_distri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WordTemplateforMcGrawH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72C43-0A1A-6848-A902-E3FAC0AEF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C:\Template\WordTemplateforMcGrawHill.dot</Template>
  <TotalTime>0</TotalTime>
  <Pages>35</Pages>
  <Words>15464</Words>
  <Characters>88149</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dc:creator>
  <cp:keywords/>
  <dc:description/>
  <cp:lastModifiedBy>Newman, Thomas</cp:lastModifiedBy>
  <cp:revision>3</cp:revision>
  <cp:lastPrinted>2019-01-06T02:18:00Z</cp:lastPrinted>
  <dcterms:created xsi:type="dcterms:W3CDTF">2019-08-13T00:48:00Z</dcterms:created>
  <dcterms:modified xsi:type="dcterms:W3CDTF">2019-08-13T00:49:00Z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