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6C57A" w14:textId="7078DAC7" w:rsidR="00DE591D" w:rsidRDefault="00F76C21">
      <w:pPr>
        <w:pStyle w:val="Body"/>
        <w:jc w:val="center"/>
        <w:rPr>
          <w:b/>
          <w:bCs/>
        </w:rPr>
      </w:pPr>
      <w:bookmarkStart w:id="0" w:name="_GoBack"/>
      <w:bookmarkEnd w:id="0"/>
      <w:r>
        <w:rPr>
          <w:b/>
          <w:bCs/>
        </w:rPr>
        <w:t xml:space="preserve">Epi 204 -- Problem Set #5 </w:t>
      </w:r>
    </w:p>
    <w:p w14:paraId="02F2CFC9" w14:textId="6F0F8763" w:rsidR="00DE591D" w:rsidRDefault="00F76C21">
      <w:pPr>
        <w:pStyle w:val="Body"/>
        <w:jc w:val="center"/>
        <w:rPr>
          <w:b/>
          <w:bCs/>
        </w:rPr>
      </w:pPr>
      <w:r>
        <w:rPr>
          <w:b/>
          <w:bCs/>
        </w:rPr>
        <w:t xml:space="preserve">Chapter 6 </w:t>
      </w:r>
      <w:proofErr w:type="gramStart"/>
      <w:r w:rsidR="004F6798">
        <w:rPr>
          <w:b/>
          <w:bCs/>
        </w:rPr>
        <w:t>ANSWERS</w:t>
      </w:r>
      <w:r>
        <w:rPr>
          <w:b/>
          <w:bCs/>
        </w:rPr>
        <w:t xml:space="preserve">  (</w:t>
      </w:r>
      <w:proofErr w:type="gramEnd"/>
      <w:r>
        <w:rPr>
          <w:b/>
          <w:bCs/>
        </w:rPr>
        <w:t>Risk Prediction)</w:t>
      </w:r>
    </w:p>
    <w:p w14:paraId="381A0C3D" w14:textId="77777777" w:rsidR="00DE591D" w:rsidRDefault="00F76C21">
      <w:pPr>
        <w:pStyle w:val="Body"/>
        <w:jc w:val="center"/>
        <w:rPr>
          <w:b/>
          <w:bCs/>
        </w:rPr>
      </w:pPr>
      <w:r>
        <w:rPr>
          <w:b/>
          <w:bCs/>
        </w:rPr>
        <w:t>Due 10/24/</w:t>
      </w:r>
      <w:proofErr w:type="gramStart"/>
      <w:r>
        <w:rPr>
          <w:b/>
          <w:bCs/>
        </w:rPr>
        <w:t>2019  1</w:t>
      </w:r>
      <w:proofErr w:type="gramEnd"/>
      <w:r>
        <w:rPr>
          <w:b/>
          <w:bCs/>
        </w:rPr>
        <w:t xml:space="preserve"> pm</w:t>
      </w:r>
    </w:p>
    <w:p w14:paraId="5A545F2C" w14:textId="77777777" w:rsidR="00DE591D" w:rsidRDefault="00F76C21">
      <w:pPr>
        <w:pStyle w:val="Body"/>
        <w:jc w:val="center"/>
        <w:rPr>
          <w:b/>
          <w:bCs/>
          <w:color w:val="FFC000"/>
        </w:rPr>
      </w:pPr>
      <w:r>
        <w:rPr>
          <w:b/>
          <w:bCs/>
          <w:color w:val="FFC000"/>
        </w:rPr>
        <w:t>35 POINTS +1 EC</w:t>
      </w:r>
    </w:p>
    <w:p w14:paraId="71D3F1C0" w14:textId="48C83D84" w:rsidR="00DE591D" w:rsidRDefault="00DE591D">
      <w:pPr>
        <w:pStyle w:val="Body"/>
        <w:jc w:val="center"/>
        <w:rPr>
          <w:b/>
          <w:bCs/>
        </w:rPr>
      </w:pPr>
    </w:p>
    <w:p w14:paraId="44ECDB0E" w14:textId="77777777" w:rsidR="00A64DEE" w:rsidRDefault="00A64DEE">
      <w:pPr>
        <w:pStyle w:val="Body"/>
        <w:jc w:val="center"/>
        <w:rPr>
          <w:b/>
          <w:bCs/>
        </w:rPr>
      </w:pPr>
    </w:p>
    <w:p w14:paraId="6AEE39A0" w14:textId="77777777" w:rsidR="00DE591D" w:rsidRDefault="00DE591D">
      <w:pPr>
        <w:pStyle w:val="Body"/>
        <w:rPr>
          <w:b/>
          <w:bCs/>
          <w:color w:val="FFD040"/>
        </w:rPr>
      </w:pPr>
    </w:p>
    <w:p w14:paraId="50259819" w14:textId="77777777" w:rsidR="00DE591D" w:rsidRDefault="00F76C21">
      <w:pPr>
        <w:pStyle w:val="Body"/>
        <w:rPr>
          <w:b/>
          <w:bCs/>
        </w:rPr>
      </w:pPr>
      <w:r>
        <w:rPr>
          <w:rFonts w:eastAsia="Arial Unicode MS" w:cs="Arial Unicode MS"/>
          <w:b/>
          <w:bCs/>
        </w:rPr>
        <w:t>6.1.  Meteorologists on Two Television Channels [9 points]</w:t>
      </w:r>
    </w:p>
    <w:p w14:paraId="4D48E35A" w14:textId="77777777" w:rsidR="00DE591D" w:rsidRDefault="00F76C21">
      <w:pPr>
        <w:pStyle w:val="Body"/>
      </w:pPr>
      <w:r>
        <w:rPr>
          <w:rFonts w:eastAsia="Arial Unicode MS" w:cs="Arial Unicode MS"/>
        </w:rPr>
        <w:t xml:space="preserve">During a rainy month, you watch the weather report and decide whether to carry an umbrella.  Your decision is irrevocable in that, if you decide not to carry an umbrella and head off to work and it rains, you can’t change your mind.  </w:t>
      </w:r>
    </w:p>
    <w:p w14:paraId="0046DF99" w14:textId="77777777" w:rsidR="00DE591D" w:rsidRDefault="00DE591D">
      <w:pPr>
        <w:pStyle w:val="Body"/>
      </w:pPr>
    </w:p>
    <w:p w14:paraId="39FC9346" w14:textId="77777777" w:rsidR="00DE591D" w:rsidRDefault="00F76C21">
      <w:pPr>
        <w:pStyle w:val="Body"/>
      </w:pPr>
      <w:r>
        <w:rPr>
          <w:rFonts w:eastAsia="Arial Unicode MS" w:cs="Arial Unicode MS"/>
        </w:rPr>
        <w:t>You have decided that being in the rain without an umbrella is exactly 3 times as bad as carrying an umbrella unnecessarily.</w:t>
      </w:r>
    </w:p>
    <w:p w14:paraId="29AAC218" w14:textId="77777777" w:rsidR="00DE591D" w:rsidRDefault="00DE591D">
      <w:pPr>
        <w:pStyle w:val="Body"/>
      </w:pPr>
    </w:p>
    <w:p w14:paraId="16E4D688" w14:textId="77777777" w:rsidR="00DE591D" w:rsidRDefault="00F76C21">
      <w:pPr>
        <w:pStyle w:val="Body"/>
      </w:pPr>
      <w:r>
        <w:rPr>
          <w:rFonts w:eastAsia="Arial Unicode MS" w:cs="Arial Unicode MS"/>
        </w:rPr>
        <w:t>The Channel 2 meteorologist predicts a 33% chance of rain on every single day of the month.  The Channel 3 meteorologist predicts a 50% chance of rain on two-thirds of the days and a 100% chance of rain on one third of the days.  At the end of the month it turns out that it rained on 10 out of 30 days.  It also turns out that every time the Channel 3 meteorologist predicted a 50% chance of rain, it didn’t rain; and every time she predicted a 100% chance of rain, it did.</w:t>
      </w:r>
    </w:p>
    <w:p w14:paraId="6406E1A4" w14:textId="77777777" w:rsidR="00DE591D" w:rsidRDefault="00DE591D">
      <w:pPr>
        <w:pStyle w:val="Body"/>
      </w:pPr>
    </w:p>
    <w:p w14:paraId="770B404B" w14:textId="77777777" w:rsidR="00DE591D" w:rsidRDefault="00F76C21">
      <w:pPr>
        <w:pStyle w:val="Body"/>
        <w:numPr>
          <w:ilvl w:val="0"/>
          <w:numId w:val="2"/>
        </w:numPr>
      </w:pPr>
      <w:r>
        <w:t xml:space="preserve">What is your threshold probability of rain for carrying an umbrella? </w:t>
      </w:r>
      <w:r>
        <w:rPr>
          <w:b/>
          <w:bCs/>
        </w:rPr>
        <w:t>[1]</w:t>
      </w:r>
    </w:p>
    <w:p w14:paraId="05AE76C9" w14:textId="77777777" w:rsidR="00DE591D" w:rsidRDefault="00DE591D">
      <w:pPr>
        <w:pStyle w:val="Body"/>
      </w:pPr>
    </w:p>
    <w:p w14:paraId="110FA21D" w14:textId="77777777" w:rsidR="00DE591D" w:rsidRDefault="00F76C21">
      <w:pPr>
        <w:pStyle w:val="Body"/>
        <w:ind w:left="360"/>
        <w:rPr>
          <w:b/>
          <w:bCs/>
          <w:i/>
          <w:iCs/>
        </w:rPr>
      </w:pPr>
      <w:r>
        <w:rPr>
          <w:b/>
          <w:bCs/>
          <w:i/>
          <w:iCs/>
        </w:rPr>
        <w:t xml:space="preserve">Threshold odds = 1/3 </w:t>
      </w:r>
      <w:r>
        <w:rPr>
          <w:rFonts w:ascii="Wingdings" w:hAnsi="Wingdings"/>
        </w:rPr>
        <w:sym w:font="Wingdings" w:char="F0E0"/>
      </w:r>
      <w:r>
        <w:rPr>
          <w:b/>
          <w:bCs/>
          <w:i/>
          <w:iCs/>
        </w:rPr>
        <w:t xml:space="preserve"> Threshold probability = ¼ or 25%</w:t>
      </w:r>
    </w:p>
    <w:p w14:paraId="1FCAE2A4" w14:textId="77777777" w:rsidR="00DE591D" w:rsidRDefault="00DE591D">
      <w:pPr>
        <w:pStyle w:val="Body"/>
        <w:ind w:left="360"/>
      </w:pPr>
    </w:p>
    <w:p w14:paraId="45657895" w14:textId="77777777" w:rsidR="00DE591D" w:rsidRDefault="00F76C21">
      <w:pPr>
        <w:pStyle w:val="Body"/>
        <w:numPr>
          <w:ilvl w:val="0"/>
          <w:numId w:val="2"/>
        </w:numPr>
      </w:pPr>
      <w:r>
        <w:t>If you watched and believed the Channel 2 meteorologist, how many days of the month did you carry an umbrella?</w:t>
      </w:r>
      <w:r>
        <w:rPr>
          <w:b/>
          <w:bCs/>
        </w:rPr>
        <w:t xml:space="preserve"> [1]</w:t>
      </w:r>
    </w:p>
    <w:p w14:paraId="60CFBF26" w14:textId="77777777" w:rsidR="00DE591D" w:rsidRDefault="00F76C21">
      <w:pPr>
        <w:pStyle w:val="Body"/>
        <w:ind w:left="360"/>
        <w:rPr>
          <w:b/>
          <w:bCs/>
          <w:i/>
          <w:iCs/>
        </w:rPr>
      </w:pPr>
      <w:r>
        <w:rPr>
          <w:b/>
          <w:bCs/>
          <w:i/>
          <w:iCs/>
        </w:rPr>
        <w:t>Every day, because 33% &gt; 25%.</w:t>
      </w:r>
    </w:p>
    <w:p w14:paraId="1CE4F889" w14:textId="77777777" w:rsidR="00DE591D" w:rsidRDefault="00DE591D">
      <w:pPr>
        <w:pStyle w:val="Body"/>
        <w:ind w:left="360"/>
      </w:pPr>
    </w:p>
    <w:p w14:paraId="171F708C" w14:textId="77777777" w:rsidR="00DE591D" w:rsidRDefault="00DE591D">
      <w:pPr>
        <w:pStyle w:val="Body"/>
        <w:ind w:left="360"/>
        <w:rPr>
          <w:b/>
          <w:bCs/>
          <w:i/>
          <w:iCs/>
        </w:rPr>
      </w:pPr>
    </w:p>
    <w:p w14:paraId="2C2D56FE" w14:textId="77777777" w:rsidR="00DE591D" w:rsidRDefault="00F76C21">
      <w:pPr>
        <w:pStyle w:val="Body"/>
        <w:numPr>
          <w:ilvl w:val="0"/>
          <w:numId w:val="2"/>
        </w:numPr>
      </w:pPr>
      <w:r>
        <w:t xml:space="preserve">If you watched and believed the Channel 3 meteorologist, how many days of the month did you carry an umbrella? </w:t>
      </w:r>
      <w:r>
        <w:rPr>
          <w:b/>
          <w:bCs/>
        </w:rPr>
        <w:t>[1]</w:t>
      </w:r>
    </w:p>
    <w:p w14:paraId="626F2796" w14:textId="77777777" w:rsidR="00DE591D" w:rsidRDefault="00DE591D">
      <w:pPr>
        <w:pStyle w:val="Body"/>
        <w:ind w:left="360"/>
        <w:rPr>
          <w:b/>
          <w:bCs/>
          <w:i/>
          <w:iCs/>
        </w:rPr>
      </w:pPr>
    </w:p>
    <w:p w14:paraId="5D4E931C" w14:textId="77777777" w:rsidR="00DE591D" w:rsidRDefault="00F76C21">
      <w:pPr>
        <w:pStyle w:val="Body"/>
        <w:ind w:left="360"/>
        <w:rPr>
          <w:b/>
          <w:bCs/>
          <w:i/>
          <w:iCs/>
        </w:rPr>
      </w:pPr>
      <w:r>
        <w:rPr>
          <w:b/>
          <w:bCs/>
          <w:i/>
          <w:iCs/>
        </w:rPr>
        <w:t>Every day, because both 100% and 50% are &gt; 25%.</w:t>
      </w:r>
    </w:p>
    <w:p w14:paraId="2A6E8F69" w14:textId="77777777" w:rsidR="00DE591D" w:rsidRDefault="00DE591D">
      <w:pPr>
        <w:pStyle w:val="Body"/>
        <w:ind w:left="360"/>
      </w:pPr>
    </w:p>
    <w:p w14:paraId="6E807ABF" w14:textId="77777777" w:rsidR="00DE591D" w:rsidRDefault="00F76C21">
      <w:pPr>
        <w:pStyle w:val="Body"/>
        <w:numPr>
          <w:ilvl w:val="0"/>
          <w:numId w:val="2"/>
        </w:numPr>
      </w:pPr>
      <w:r>
        <w:t xml:space="preserve">What is the average predicted chance of rain for Channel 2?  What is it for Channel 3? </w:t>
      </w:r>
      <w:r>
        <w:rPr>
          <w:b/>
          <w:bCs/>
        </w:rPr>
        <w:t>[2]</w:t>
      </w:r>
    </w:p>
    <w:p w14:paraId="51F1D5CA" w14:textId="77777777" w:rsidR="00DE591D" w:rsidRDefault="00DE591D">
      <w:pPr>
        <w:pStyle w:val="Body"/>
        <w:ind w:left="360"/>
      </w:pPr>
    </w:p>
    <w:p w14:paraId="45A38F82" w14:textId="77777777" w:rsidR="00DE591D" w:rsidRDefault="00F76C21">
      <w:pPr>
        <w:pStyle w:val="Body"/>
        <w:ind w:left="360"/>
        <w:rPr>
          <w:b/>
          <w:bCs/>
          <w:i/>
          <w:iCs/>
        </w:rPr>
      </w:pPr>
      <w:r>
        <w:rPr>
          <w:b/>
          <w:bCs/>
          <w:i/>
          <w:iCs/>
          <w:lang w:val="it-IT"/>
        </w:rPr>
        <w:t>Channel 2: 33%</w:t>
      </w:r>
    </w:p>
    <w:p w14:paraId="2EC541FF" w14:textId="77777777" w:rsidR="00DE591D" w:rsidRDefault="00F76C21">
      <w:pPr>
        <w:pStyle w:val="Body"/>
        <w:ind w:left="360"/>
        <w:rPr>
          <w:b/>
          <w:bCs/>
          <w:i/>
          <w:iCs/>
        </w:rPr>
      </w:pPr>
      <w:r>
        <w:rPr>
          <w:b/>
          <w:bCs/>
          <w:i/>
          <w:iCs/>
          <w:lang w:val="it-IT"/>
        </w:rPr>
        <w:t xml:space="preserve">Channel </w:t>
      </w:r>
      <w:proofErr w:type="gramStart"/>
      <w:r>
        <w:rPr>
          <w:b/>
          <w:bCs/>
          <w:i/>
          <w:iCs/>
          <w:lang w:val="it-IT"/>
        </w:rPr>
        <w:t>3:  1</w:t>
      </w:r>
      <w:proofErr w:type="gramEnd"/>
      <w:r>
        <w:rPr>
          <w:b/>
          <w:bCs/>
          <w:i/>
          <w:iCs/>
          <w:lang w:val="it-IT"/>
        </w:rPr>
        <w:t xml:space="preserve">/3 </w:t>
      </w:r>
      <w:r>
        <w:rPr>
          <w:b/>
          <w:bCs/>
          <w:i/>
          <w:iCs/>
        </w:rPr>
        <w:t>× 100% + 2/3 × 50% = 67%</w:t>
      </w:r>
    </w:p>
    <w:p w14:paraId="6081B052" w14:textId="77777777" w:rsidR="00DE591D" w:rsidRDefault="00DE591D">
      <w:pPr>
        <w:pStyle w:val="Body"/>
        <w:ind w:left="360"/>
      </w:pPr>
    </w:p>
    <w:p w14:paraId="07328B83" w14:textId="3C52601D" w:rsidR="00DE591D" w:rsidRDefault="00F76C21" w:rsidP="00071148">
      <w:pPr>
        <w:pStyle w:val="Body"/>
        <w:ind w:left="720"/>
        <w:rPr>
          <w:b/>
          <w:bCs/>
        </w:rPr>
      </w:pPr>
      <w:r>
        <w:t xml:space="preserve">Calculate the Mean Bias, Mean Absolute Error, and Brier Score for each meteorologist and fill out the following table: </w:t>
      </w:r>
      <w:r w:rsidRPr="00071148">
        <w:rPr>
          <w:b/>
          <w:bCs/>
        </w:rPr>
        <w:t>[3]</w:t>
      </w:r>
      <w:r w:rsidR="00EA6C74" w:rsidRPr="00071148">
        <w:rPr>
          <w:b/>
          <w:bCs/>
        </w:rPr>
        <w:t xml:space="preserve">. </w:t>
      </w:r>
      <w:r w:rsidR="008376C6" w:rsidRPr="00071148">
        <w:rPr>
          <w:b/>
          <w:bCs/>
        </w:rPr>
        <w:t xml:space="preserve"> </w:t>
      </w:r>
    </w:p>
    <w:p w14:paraId="3F3E0E2E" w14:textId="77777777" w:rsidR="00071148" w:rsidRDefault="00071148" w:rsidP="00071148">
      <w:pPr>
        <w:pStyle w:val="Body"/>
        <w:ind w:left="720"/>
      </w:pPr>
    </w:p>
    <w:tbl>
      <w:tblPr>
        <w:tblW w:w="88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97"/>
        <w:gridCol w:w="1710"/>
        <w:gridCol w:w="1980"/>
        <w:gridCol w:w="2700"/>
      </w:tblGrid>
      <w:tr w:rsidR="00DE591D" w14:paraId="346FB97E" w14:textId="77777777" w:rsidTr="00755A23">
        <w:trPr>
          <w:trHeight w:val="600"/>
        </w:trPr>
        <w:tc>
          <w:tcPr>
            <w:tcW w:w="24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91ED6B0" w14:textId="77777777" w:rsidR="00DE591D" w:rsidRDefault="00DE591D"/>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F1EFD52" w14:textId="77777777" w:rsidR="00DE591D" w:rsidRDefault="00F76C21">
            <w:pPr>
              <w:pStyle w:val="Body"/>
              <w:ind w:left="360"/>
            </w:pPr>
            <w:r>
              <w:rPr>
                <w:b/>
                <w:bCs/>
              </w:rPr>
              <w:t>Mean Bias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2E91566" w14:textId="77777777" w:rsidR="00DE591D" w:rsidRDefault="00F76C21">
            <w:pPr>
              <w:pStyle w:val="Body"/>
              <w:ind w:left="360"/>
            </w:pPr>
            <w:r>
              <w:rPr>
                <w:b/>
                <w:bCs/>
              </w:rPr>
              <w:t>MAE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2E69F08" w14:textId="77777777" w:rsidR="00DE591D" w:rsidRDefault="00F76C21">
            <w:pPr>
              <w:pStyle w:val="Body"/>
              <w:ind w:left="360"/>
            </w:pPr>
            <w:r>
              <w:rPr>
                <w:b/>
                <w:bCs/>
              </w:rPr>
              <w:t>Brier Score</w:t>
            </w:r>
          </w:p>
        </w:tc>
      </w:tr>
      <w:tr w:rsidR="00DE591D" w14:paraId="399DED9E" w14:textId="77777777" w:rsidTr="00755A23">
        <w:trPr>
          <w:trHeight w:val="300"/>
        </w:trPr>
        <w:tc>
          <w:tcPr>
            <w:tcW w:w="24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D2BEA78" w14:textId="77777777" w:rsidR="00DE591D" w:rsidRDefault="00F76C21">
            <w:pPr>
              <w:pStyle w:val="Body"/>
              <w:ind w:left="360"/>
            </w:pPr>
            <w:r>
              <w:rPr>
                <w:b/>
                <w:bCs/>
              </w:rPr>
              <w:lastRenderedPageBreak/>
              <w:t>Channel 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8CED34F" w14:textId="77777777" w:rsidR="00DE591D" w:rsidRDefault="00DE591D"/>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18D761D" w14:textId="77777777" w:rsidR="00DE591D" w:rsidRDefault="00DE591D"/>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AF8E609" w14:textId="77777777" w:rsidR="00DE591D" w:rsidRDefault="00DE591D"/>
        </w:tc>
      </w:tr>
      <w:tr w:rsidR="00DE591D" w14:paraId="6F2861B8" w14:textId="77777777" w:rsidTr="00755A23">
        <w:trPr>
          <w:trHeight w:val="300"/>
        </w:trPr>
        <w:tc>
          <w:tcPr>
            <w:tcW w:w="24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AB19419" w14:textId="77777777" w:rsidR="00DE591D" w:rsidRDefault="00F76C21">
            <w:pPr>
              <w:pStyle w:val="Body"/>
              <w:ind w:left="360"/>
            </w:pPr>
            <w:r>
              <w:rPr>
                <w:b/>
                <w:bCs/>
              </w:rPr>
              <w:t>Channel 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98B6AC9" w14:textId="77777777" w:rsidR="00DE591D" w:rsidRDefault="00DE591D"/>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48C637B" w14:textId="77777777" w:rsidR="00DE591D" w:rsidRDefault="00DE591D"/>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8D143F1" w14:textId="77777777" w:rsidR="00DE591D" w:rsidRDefault="00DE591D"/>
        </w:tc>
      </w:tr>
    </w:tbl>
    <w:p w14:paraId="7B39C2A1" w14:textId="77777777" w:rsidR="00DE591D" w:rsidRDefault="00DE591D">
      <w:pPr>
        <w:pStyle w:val="Body"/>
        <w:widowControl w:val="0"/>
      </w:pPr>
    </w:p>
    <w:p w14:paraId="71ECA52E" w14:textId="77777777" w:rsidR="00DE591D" w:rsidRDefault="00DE591D">
      <w:pPr>
        <w:pStyle w:val="Body"/>
        <w:ind w:left="720"/>
      </w:pPr>
    </w:p>
    <w:p w14:paraId="1E89B7F2" w14:textId="77777777" w:rsidR="00DE591D" w:rsidRDefault="00DE591D">
      <w:pPr>
        <w:pStyle w:val="Body"/>
        <w:ind w:left="720"/>
      </w:pPr>
    </w:p>
    <w:p w14:paraId="2462777D" w14:textId="77777777" w:rsidR="00DE591D" w:rsidRDefault="00F76C21">
      <w:pPr>
        <w:pStyle w:val="Body"/>
        <w:ind w:left="720"/>
        <w:rPr>
          <w:b/>
          <w:bCs/>
          <w:i/>
          <w:iCs/>
        </w:rPr>
      </w:pPr>
      <w:proofErr w:type="spellStart"/>
      <w:r>
        <w:rPr>
          <w:b/>
          <w:bCs/>
          <w:i/>
          <w:iCs/>
          <w:lang w:val="de-DE"/>
        </w:rPr>
        <w:t>Answer</w:t>
      </w:r>
      <w:proofErr w:type="spellEnd"/>
      <w:r>
        <w:rPr>
          <w:b/>
          <w:bCs/>
          <w:i/>
          <w:iCs/>
          <w:lang w:val="de-DE"/>
        </w:rPr>
        <w:t>:</w:t>
      </w:r>
    </w:p>
    <w:p w14:paraId="708EAF34" w14:textId="77777777" w:rsidR="00DE591D" w:rsidRDefault="00DE591D">
      <w:pPr>
        <w:pStyle w:val="Body"/>
        <w:ind w:left="360"/>
      </w:pPr>
    </w:p>
    <w:tbl>
      <w:tblPr>
        <w:tblW w:w="88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47"/>
        <w:gridCol w:w="2430"/>
        <w:gridCol w:w="1710"/>
        <w:gridCol w:w="2700"/>
      </w:tblGrid>
      <w:tr w:rsidR="00DE591D" w14:paraId="0924CEB9" w14:textId="77777777" w:rsidTr="00755A23">
        <w:trPr>
          <w:trHeight w:val="600"/>
        </w:trPr>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CE451F5" w14:textId="77777777" w:rsidR="00DE591D" w:rsidRDefault="00DE591D"/>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E28E56A" w14:textId="77777777" w:rsidR="00DE591D" w:rsidRDefault="00F76C21">
            <w:pPr>
              <w:pStyle w:val="Body"/>
              <w:ind w:left="360"/>
            </w:pPr>
            <w:r>
              <w:rPr>
                <w:b/>
                <w:bCs/>
                <w:i/>
                <w:iCs/>
              </w:rPr>
              <w:t>Mean Bias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1F6034E" w14:textId="77777777" w:rsidR="00DE591D" w:rsidRDefault="00F76C21">
            <w:pPr>
              <w:pStyle w:val="Body"/>
              <w:ind w:left="360"/>
            </w:pPr>
            <w:r>
              <w:rPr>
                <w:b/>
                <w:bCs/>
                <w:i/>
                <w:iCs/>
              </w:rPr>
              <w:t>MAE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5E97B1D" w14:textId="77777777" w:rsidR="00DE591D" w:rsidRDefault="00F76C21">
            <w:pPr>
              <w:pStyle w:val="Body"/>
              <w:ind w:left="360"/>
            </w:pPr>
            <w:r>
              <w:rPr>
                <w:b/>
                <w:bCs/>
                <w:i/>
                <w:iCs/>
              </w:rPr>
              <w:t>Brier Score</w:t>
            </w:r>
          </w:p>
        </w:tc>
      </w:tr>
      <w:tr w:rsidR="00DE591D" w14:paraId="0DCC1E2F" w14:textId="77777777" w:rsidTr="00755A23">
        <w:trPr>
          <w:trHeight w:val="300"/>
        </w:trPr>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41B31BF" w14:textId="77777777" w:rsidR="00DE591D" w:rsidRDefault="00F76C21">
            <w:pPr>
              <w:pStyle w:val="Body"/>
              <w:ind w:left="360"/>
            </w:pPr>
            <w:r>
              <w:rPr>
                <w:b/>
                <w:bCs/>
                <w:i/>
                <w:iCs/>
              </w:rPr>
              <w:t>Channel 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250627A" w14:textId="77777777" w:rsidR="00DE591D" w:rsidRDefault="00F76C21">
            <w:pPr>
              <w:pStyle w:val="Body"/>
              <w:ind w:left="360"/>
            </w:pPr>
            <w:r>
              <w:rPr>
                <w:b/>
                <w:bCs/>
                <w:i/>
                <w:iCs/>
              </w:rPr>
              <w:t>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0DE9FFC" w14:textId="77777777" w:rsidR="00DE591D" w:rsidRDefault="00F76C21">
            <w:pPr>
              <w:pStyle w:val="Body"/>
              <w:ind w:left="360"/>
            </w:pPr>
            <w:r>
              <w:rPr>
                <w:b/>
                <w:bCs/>
                <w:i/>
                <w:iCs/>
              </w:rPr>
              <w:t>0.44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7AC7332" w14:textId="77777777" w:rsidR="00DE591D" w:rsidRDefault="00F76C21">
            <w:pPr>
              <w:pStyle w:val="Body"/>
              <w:ind w:left="360"/>
            </w:pPr>
            <w:r>
              <w:rPr>
                <w:b/>
                <w:bCs/>
                <w:i/>
                <w:iCs/>
              </w:rPr>
              <w:t>0.22</w:t>
            </w:r>
          </w:p>
        </w:tc>
      </w:tr>
      <w:tr w:rsidR="00DE591D" w14:paraId="416284F6" w14:textId="77777777" w:rsidTr="00755A23">
        <w:trPr>
          <w:trHeight w:val="300"/>
        </w:trPr>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AAE9C75" w14:textId="77777777" w:rsidR="00DE591D" w:rsidRDefault="00F76C21">
            <w:pPr>
              <w:pStyle w:val="Body"/>
              <w:ind w:left="360"/>
            </w:pPr>
            <w:r>
              <w:rPr>
                <w:b/>
                <w:bCs/>
                <w:i/>
                <w:iCs/>
              </w:rPr>
              <w:t>Channel 3</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7B514DD" w14:textId="77777777" w:rsidR="00DE591D" w:rsidRDefault="00F76C21">
            <w:pPr>
              <w:pStyle w:val="Body"/>
              <w:ind w:left="360"/>
            </w:pPr>
            <w:r>
              <w:rPr>
                <w:b/>
                <w:bCs/>
                <w:i/>
                <w:iCs/>
              </w:rPr>
              <w:t>0.33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8EE2C65" w14:textId="77777777" w:rsidR="00DE591D" w:rsidRDefault="00F76C21">
            <w:pPr>
              <w:pStyle w:val="Body"/>
              <w:ind w:left="360"/>
            </w:pPr>
            <w:r>
              <w:rPr>
                <w:b/>
                <w:bCs/>
                <w:i/>
                <w:iCs/>
              </w:rPr>
              <w:t>0.33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429C475" w14:textId="77777777" w:rsidR="00DE591D" w:rsidRDefault="00F76C21">
            <w:pPr>
              <w:pStyle w:val="Body"/>
              <w:ind w:left="360"/>
            </w:pPr>
            <w:r>
              <w:rPr>
                <w:b/>
                <w:bCs/>
                <w:i/>
                <w:iCs/>
              </w:rPr>
              <w:t>0.17</w:t>
            </w:r>
          </w:p>
        </w:tc>
      </w:tr>
    </w:tbl>
    <w:p w14:paraId="7B939DA4" w14:textId="77777777" w:rsidR="00DE591D" w:rsidRDefault="00DE591D">
      <w:pPr>
        <w:pStyle w:val="Body"/>
        <w:widowControl w:val="0"/>
      </w:pPr>
    </w:p>
    <w:p w14:paraId="69139955" w14:textId="77777777" w:rsidR="00DE591D" w:rsidRDefault="00DE591D">
      <w:pPr>
        <w:pStyle w:val="Body"/>
        <w:ind w:left="360"/>
        <w:rPr>
          <w:b/>
          <w:bCs/>
          <w:i/>
          <w:iCs/>
        </w:rPr>
      </w:pPr>
    </w:p>
    <w:p w14:paraId="2FEE3C5A" w14:textId="77777777" w:rsidR="00DE591D" w:rsidRDefault="00F76C21">
      <w:pPr>
        <w:pStyle w:val="Body"/>
        <w:ind w:left="720"/>
        <w:rPr>
          <w:b/>
          <w:bCs/>
          <w:i/>
          <w:iCs/>
        </w:rPr>
      </w:pPr>
      <w:proofErr w:type="spellStart"/>
      <w:r>
        <w:rPr>
          <w:b/>
          <w:bCs/>
          <w:i/>
          <w:iCs/>
          <w:lang w:val="it-IT"/>
        </w:rPr>
        <w:t>Mean</w:t>
      </w:r>
      <w:proofErr w:type="spellEnd"/>
      <w:r>
        <w:rPr>
          <w:b/>
          <w:bCs/>
          <w:i/>
          <w:iCs/>
          <w:lang w:val="it-IT"/>
        </w:rPr>
        <w:t xml:space="preserve"> </w:t>
      </w:r>
      <w:proofErr w:type="spellStart"/>
      <w:r>
        <w:rPr>
          <w:b/>
          <w:bCs/>
          <w:i/>
          <w:iCs/>
          <w:lang w:val="it-IT"/>
        </w:rPr>
        <w:t>Bias</w:t>
      </w:r>
      <w:proofErr w:type="spellEnd"/>
      <w:r>
        <w:rPr>
          <w:b/>
          <w:bCs/>
          <w:i/>
          <w:iCs/>
          <w:lang w:val="it-IT"/>
        </w:rPr>
        <w:t xml:space="preserve">: </w:t>
      </w:r>
    </w:p>
    <w:p w14:paraId="618E26CE" w14:textId="77777777" w:rsidR="00DE591D" w:rsidRDefault="00F76C21">
      <w:pPr>
        <w:pStyle w:val="Body"/>
        <w:ind w:left="720"/>
        <w:rPr>
          <w:b/>
          <w:bCs/>
          <w:i/>
          <w:iCs/>
        </w:rPr>
      </w:pPr>
      <w:r>
        <w:rPr>
          <w:b/>
          <w:bCs/>
          <w:i/>
          <w:iCs/>
          <w:lang w:val="it-IT"/>
        </w:rPr>
        <w:t xml:space="preserve">Channel 2 </w:t>
      </w:r>
      <w:r>
        <w:rPr>
          <w:b/>
          <w:bCs/>
          <w:i/>
          <w:iCs/>
        </w:rPr>
        <w:t>–10 rain days with error 0.33 - 1 = -0.67 and 20 no-rain days with error 0.33 – 0 = 0.33.  10/30 × -0.67+ 20/30 ×0.33 ≈0</w:t>
      </w:r>
    </w:p>
    <w:p w14:paraId="25738C12" w14:textId="77777777" w:rsidR="00DE591D" w:rsidRDefault="00F76C21">
      <w:pPr>
        <w:pStyle w:val="Body"/>
        <w:ind w:left="720"/>
        <w:rPr>
          <w:b/>
          <w:bCs/>
          <w:i/>
          <w:iCs/>
        </w:rPr>
      </w:pPr>
      <w:r>
        <w:rPr>
          <w:b/>
          <w:bCs/>
          <w:i/>
          <w:iCs/>
        </w:rPr>
        <w:t>Channel 3 10 rain days with error 1 - 1 = 0 and 20 no-rain days with error 0.5 – 0 = 0.5.  10/30 × 0+ 20/30 ×0.5 ≈ 0.33</w:t>
      </w:r>
    </w:p>
    <w:p w14:paraId="5CD16335" w14:textId="77777777" w:rsidR="00DE591D" w:rsidRDefault="00DE591D">
      <w:pPr>
        <w:pStyle w:val="Body"/>
        <w:ind w:left="720"/>
        <w:rPr>
          <w:b/>
          <w:bCs/>
          <w:i/>
          <w:iCs/>
        </w:rPr>
      </w:pPr>
    </w:p>
    <w:p w14:paraId="67D7CBD5" w14:textId="77777777" w:rsidR="00DE591D" w:rsidRDefault="00F76C21">
      <w:pPr>
        <w:pStyle w:val="Body"/>
        <w:ind w:left="720"/>
        <w:rPr>
          <w:b/>
          <w:bCs/>
          <w:i/>
          <w:iCs/>
        </w:rPr>
      </w:pPr>
      <w:proofErr w:type="spellStart"/>
      <w:r>
        <w:rPr>
          <w:b/>
          <w:bCs/>
          <w:i/>
          <w:iCs/>
          <w:lang w:val="de-DE"/>
        </w:rPr>
        <w:t>Mean</w:t>
      </w:r>
      <w:proofErr w:type="spellEnd"/>
      <w:r>
        <w:rPr>
          <w:b/>
          <w:bCs/>
          <w:i/>
          <w:iCs/>
          <w:lang w:val="de-DE"/>
        </w:rPr>
        <w:t xml:space="preserve"> Absolute Error: </w:t>
      </w:r>
    </w:p>
    <w:p w14:paraId="5CB39394" w14:textId="77777777" w:rsidR="00DE591D" w:rsidRDefault="00F76C21">
      <w:pPr>
        <w:pStyle w:val="Body"/>
        <w:ind w:left="720"/>
        <w:rPr>
          <w:b/>
          <w:bCs/>
          <w:i/>
          <w:iCs/>
        </w:rPr>
      </w:pPr>
      <w:r>
        <w:rPr>
          <w:b/>
          <w:bCs/>
          <w:i/>
          <w:iCs/>
          <w:lang w:val="it-IT"/>
        </w:rPr>
        <w:t xml:space="preserve">Channel 2 </w:t>
      </w:r>
      <w:r>
        <w:rPr>
          <w:b/>
          <w:bCs/>
          <w:i/>
          <w:iCs/>
        </w:rPr>
        <w:t>–10 rain days with error |0.33 – 1| = 0.67 and 20 no-rain days with error |0.33 – 0| = 0.33.  10/30 × 0.67 + 20/30 ×0.33 ≈ 0.44</w:t>
      </w:r>
    </w:p>
    <w:p w14:paraId="70316F80" w14:textId="77777777" w:rsidR="00DE591D" w:rsidRDefault="00F76C21">
      <w:pPr>
        <w:pStyle w:val="Body"/>
        <w:ind w:left="720"/>
        <w:rPr>
          <w:b/>
          <w:bCs/>
          <w:i/>
          <w:iCs/>
        </w:rPr>
      </w:pPr>
      <w:r>
        <w:rPr>
          <w:b/>
          <w:bCs/>
          <w:i/>
          <w:iCs/>
        </w:rPr>
        <w:t>Channel 3 10 rain days with error |1 – 1| = 0 and 20 no-rain days with error |0.5 – 0| = 0.5.  10/30 × 0+ 20/30 ×0.5 ≈ 0.33</w:t>
      </w:r>
    </w:p>
    <w:p w14:paraId="338F806E" w14:textId="77777777" w:rsidR="00DE591D" w:rsidRDefault="00DE591D">
      <w:pPr>
        <w:pStyle w:val="Body"/>
        <w:ind w:left="720"/>
        <w:rPr>
          <w:b/>
          <w:bCs/>
          <w:i/>
          <w:iCs/>
        </w:rPr>
      </w:pPr>
    </w:p>
    <w:p w14:paraId="233ECA6A" w14:textId="77777777" w:rsidR="00DE591D" w:rsidRDefault="00F76C21">
      <w:pPr>
        <w:pStyle w:val="Body"/>
        <w:ind w:left="720"/>
        <w:rPr>
          <w:b/>
          <w:bCs/>
          <w:i/>
          <w:iCs/>
        </w:rPr>
      </w:pPr>
      <w:proofErr w:type="spellStart"/>
      <w:r>
        <w:rPr>
          <w:b/>
          <w:bCs/>
          <w:i/>
          <w:iCs/>
          <w:lang w:val="de-DE"/>
        </w:rPr>
        <w:t>Brier</w:t>
      </w:r>
      <w:proofErr w:type="spellEnd"/>
      <w:r>
        <w:rPr>
          <w:b/>
          <w:bCs/>
          <w:i/>
          <w:iCs/>
          <w:lang w:val="de-DE"/>
        </w:rPr>
        <w:t xml:space="preserve"> Score:</w:t>
      </w:r>
    </w:p>
    <w:p w14:paraId="3AE7FECD" w14:textId="77777777" w:rsidR="00DE591D" w:rsidRDefault="00F76C21">
      <w:pPr>
        <w:pStyle w:val="Body"/>
        <w:ind w:left="720"/>
        <w:rPr>
          <w:b/>
          <w:bCs/>
          <w:i/>
          <w:iCs/>
        </w:rPr>
      </w:pPr>
      <w:r>
        <w:rPr>
          <w:b/>
          <w:bCs/>
          <w:i/>
          <w:iCs/>
          <w:lang w:val="it-IT"/>
        </w:rPr>
        <w:t xml:space="preserve">Channel 2 </w:t>
      </w:r>
      <w:r>
        <w:rPr>
          <w:b/>
          <w:bCs/>
          <w:i/>
          <w:iCs/>
        </w:rPr>
        <w:t>–10 rain days with error (0.33 – 1)</w:t>
      </w:r>
      <w:r>
        <w:rPr>
          <w:b/>
          <w:bCs/>
          <w:i/>
          <w:iCs/>
          <w:vertAlign w:val="superscript"/>
        </w:rPr>
        <w:t>2</w:t>
      </w:r>
      <w:r>
        <w:rPr>
          <w:b/>
          <w:bCs/>
          <w:i/>
          <w:iCs/>
        </w:rPr>
        <w:t xml:space="preserve"> = 0.45 and 20 no-rain days with error (0.33 – 0)</w:t>
      </w:r>
      <w:r>
        <w:rPr>
          <w:b/>
          <w:bCs/>
          <w:i/>
          <w:iCs/>
          <w:vertAlign w:val="superscript"/>
        </w:rPr>
        <w:t>2</w:t>
      </w:r>
      <w:r>
        <w:rPr>
          <w:b/>
          <w:bCs/>
          <w:i/>
          <w:iCs/>
        </w:rPr>
        <w:t xml:space="preserve"> = 0.11.  10/30 × 0.45 + 20/30 ×0.11 ≈ 0.22</w:t>
      </w:r>
    </w:p>
    <w:p w14:paraId="7126E473" w14:textId="475AB05F" w:rsidR="00DE591D" w:rsidRDefault="00F76C21">
      <w:pPr>
        <w:pStyle w:val="Body"/>
        <w:ind w:left="720"/>
        <w:rPr>
          <w:b/>
          <w:bCs/>
          <w:i/>
          <w:iCs/>
        </w:rPr>
      </w:pPr>
      <w:r>
        <w:rPr>
          <w:b/>
          <w:bCs/>
          <w:i/>
          <w:iCs/>
        </w:rPr>
        <w:t>Channel 3 10 rain days with error (1 – 1)</w:t>
      </w:r>
      <w:r>
        <w:rPr>
          <w:b/>
          <w:bCs/>
          <w:i/>
          <w:iCs/>
          <w:vertAlign w:val="superscript"/>
        </w:rPr>
        <w:t>2</w:t>
      </w:r>
      <w:r>
        <w:rPr>
          <w:b/>
          <w:bCs/>
          <w:i/>
          <w:iCs/>
        </w:rPr>
        <w:t xml:space="preserve"> = 0 and 20 no-rain days with error (0.5 – 0)</w:t>
      </w:r>
      <w:r>
        <w:rPr>
          <w:b/>
          <w:bCs/>
          <w:i/>
          <w:iCs/>
          <w:vertAlign w:val="superscript"/>
        </w:rPr>
        <w:t>2</w:t>
      </w:r>
      <w:r>
        <w:rPr>
          <w:b/>
          <w:bCs/>
          <w:i/>
          <w:iCs/>
        </w:rPr>
        <w:t xml:space="preserve"> = 0.25.  10/30 × 0 + 20/30 ×0.25 ≈ 0.17</w:t>
      </w:r>
    </w:p>
    <w:p w14:paraId="7D2D0C1E" w14:textId="77777777" w:rsidR="00071148" w:rsidRDefault="00071148">
      <w:pPr>
        <w:pStyle w:val="Body"/>
        <w:ind w:left="720"/>
        <w:rPr>
          <w:b/>
          <w:bCs/>
          <w:i/>
          <w:iCs/>
        </w:rPr>
      </w:pPr>
    </w:p>
    <w:p w14:paraId="4AB2C5CA" w14:textId="77777777" w:rsidR="00071148" w:rsidRDefault="00071148" w:rsidP="00071148">
      <w:pPr>
        <w:pStyle w:val="Body"/>
        <w:ind w:left="720"/>
      </w:pPr>
      <w:r>
        <w:rPr>
          <w:b/>
          <w:bCs/>
        </w:rPr>
        <w:t xml:space="preserve">We’ve asked that this be graded leniently </w:t>
      </w:r>
      <w:proofErr w:type="gramStart"/>
      <w:r>
        <w:rPr>
          <w:b/>
          <w:bCs/>
        </w:rPr>
        <w:t>because  for</w:t>
      </w:r>
      <w:proofErr w:type="gramEnd"/>
      <w:r>
        <w:rPr>
          <w:b/>
          <w:bCs/>
        </w:rPr>
        <w:t xml:space="preserve"> MAE and Brier due to error on earlier version of the slide and some confusion because all groups are equal size in the </w:t>
      </w:r>
      <w:proofErr w:type="spellStart"/>
      <w:r>
        <w:rPr>
          <w:b/>
          <w:bCs/>
        </w:rPr>
        <w:t>mastate</w:t>
      </w:r>
      <w:proofErr w:type="spellEnd"/>
      <w:r>
        <w:rPr>
          <w:b/>
          <w:bCs/>
        </w:rPr>
        <w:t xml:space="preserve"> cancer example.</w:t>
      </w:r>
    </w:p>
    <w:p w14:paraId="7C16F1C8" w14:textId="77777777" w:rsidR="00DE591D" w:rsidRDefault="00DE591D">
      <w:pPr>
        <w:pStyle w:val="Body"/>
        <w:rPr>
          <w:b/>
          <w:bCs/>
          <w:i/>
          <w:iCs/>
        </w:rPr>
      </w:pPr>
    </w:p>
    <w:p w14:paraId="174675FA" w14:textId="77777777" w:rsidR="00DE591D" w:rsidRDefault="00DE591D">
      <w:pPr>
        <w:pStyle w:val="Body"/>
        <w:ind w:left="360"/>
        <w:rPr>
          <w:b/>
          <w:bCs/>
          <w:i/>
          <w:iCs/>
        </w:rPr>
      </w:pPr>
    </w:p>
    <w:p w14:paraId="0528B617" w14:textId="77777777" w:rsidR="00DE591D" w:rsidRDefault="00F76C21">
      <w:pPr>
        <w:pStyle w:val="Body"/>
        <w:numPr>
          <w:ilvl w:val="0"/>
          <w:numId w:val="3"/>
        </w:numPr>
      </w:pPr>
      <w:r>
        <w:t xml:space="preserve">Assuming discrimination and calibration of each channel’s meteorologist will be similar next month, which channel should you watch and when should you carry an umbrella? </w:t>
      </w:r>
      <w:r>
        <w:rPr>
          <w:b/>
          <w:bCs/>
        </w:rPr>
        <w:t>[1]</w:t>
      </w:r>
    </w:p>
    <w:p w14:paraId="05DE41AA" w14:textId="77777777" w:rsidR="00DE591D" w:rsidRDefault="00DE591D">
      <w:pPr>
        <w:pStyle w:val="Body"/>
        <w:ind w:left="360"/>
      </w:pPr>
    </w:p>
    <w:p w14:paraId="3A89B7CD" w14:textId="77777777" w:rsidR="00DE591D" w:rsidRDefault="00F76C21">
      <w:pPr>
        <w:pStyle w:val="Body"/>
        <w:ind w:left="360"/>
      </w:pPr>
      <w:r>
        <w:rPr>
          <w:b/>
          <w:bCs/>
          <w:i/>
          <w:iCs/>
        </w:rPr>
        <w:t>You should watch the Channel 3 meteorologist and carry an umbrella when she says there is a 100% chance of rain but not when she says the chance is 50%.  You are able to re-calibrate and capitalize on the perfect discrimination on Channel 3.</w:t>
      </w:r>
    </w:p>
    <w:p w14:paraId="505D1148" w14:textId="2C0A79EE" w:rsidR="00DE591D" w:rsidRDefault="00F76C21">
      <w:pPr>
        <w:pStyle w:val="Body"/>
        <w:suppressAutoHyphens/>
        <w:rPr>
          <w:b/>
          <w:bCs/>
        </w:rPr>
      </w:pPr>
      <w:r>
        <w:lastRenderedPageBreak/>
        <w:t xml:space="preserve">6.2.  </w:t>
      </w:r>
      <w:r>
        <w:rPr>
          <w:b/>
          <w:bCs/>
        </w:rPr>
        <w:t>ABCD2 Score to predict stroke after a transient ischemic attack [10 + 1EC)</w:t>
      </w:r>
    </w:p>
    <w:p w14:paraId="1D6CE0E2" w14:textId="77777777" w:rsidR="00DE591D" w:rsidRDefault="00DE591D">
      <w:pPr>
        <w:pStyle w:val="Body"/>
        <w:suppressAutoHyphens/>
        <w:rPr>
          <w:b/>
          <w:bCs/>
        </w:rPr>
      </w:pPr>
    </w:p>
    <w:p w14:paraId="74FBFCE3" w14:textId="7E61CDF5" w:rsidR="00DE591D" w:rsidRDefault="00F76C21">
      <w:pPr>
        <w:pStyle w:val="Body"/>
        <w:suppressAutoHyphens/>
      </w:pPr>
      <w:r>
        <w:t>The ABCD2 Score was developed to estimate the risk of stroke in patients after a transient ischemic attack (TIA, a brief period of neurological symptoms due diminished blood flow to the brain).</w:t>
      </w:r>
      <w:r>
        <w:fldChar w:fldCharType="begin"/>
      </w:r>
      <w:r w:rsidR="00AD78B1">
        <w:instrText xml:space="preserve"> ADDIN EN.CITE &lt;EndNote&gt;&lt;Cite&gt;&lt;Author&gt;Johnston&lt;/Author&gt;&lt;Year&gt;2007&lt;/Year&gt;&lt;RecNum&gt;1078&lt;/RecNum&gt;&lt;DisplayText&gt;[1]&lt;/DisplayText&gt;&lt;record&gt;&lt;rec-number&gt;1078&lt;/rec-number&gt;&lt;foreign-keys&gt;&lt;key app="EN" db-id="tw5zsa9fbrf5toeezpb5tzwatvzvps55eeew" timestamp="0"&gt;1078&lt;/key&gt;&lt;/foreign-keys&gt;&lt;ref-type name="Journal Article"&gt;17&lt;/ref-type&gt;&lt;contributors&gt;&lt;authors&gt;&lt;author&gt;Johnston, S. C.&lt;/author&gt;&lt;author&gt;Rothwell, P. M.&lt;/author&gt;&lt;author&gt;Nguyen-Huynh, M. N.&lt;/author&gt;&lt;author&gt;Giles, M. F.&lt;/author&gt;&lt;author&gt;Elkins, J. S.&lt;/author&gt;&lt;author&gt;Bernstein, A. L.&lt;/author&gt;&lt;author&gt;Sidney, S.&lt;/author&gt;&lt;/authors&gt;&lt;/contributors&gt;&lt;auth-address&gt;Stroke Service, Department of Neurology, University of California, San Francisco, CA 94143-0114, USA. clay.johnston@ucsfmedctr.org&lt;/auth-address&gt;&lt;titles&gt;&lt;title&gt;Validation and refinement of scores to predict very early stroke risk after transient ischaemic attack&lt;/title&gt;&lt;secondary-title&gt;Lancet&lt;/secondary-title&gt;&lt;/titles&gt;&lt;pages&gt;283-92&lt;/pages&gt;&lt;volume&gt;369&lt;/volume&gt;&lt;number&gt;9558&lt;/number&gt;&lt;edition&gt;2007/01/30&lt;/edition&gt;&lt;keywords&gt;&lt;keyword&gt;California&lt;/keyword&gt;&lt;keyword&gt;Female&lt;/keyword&gt;&lt;keyword&gt;Great Britain/epidemiology&lt;/keyword&gt;&lt;keyword&gt;Humans&lt;/keyword&gt;&lt;keyword&gt;Ischemic Attack, Transient/classification/*complications/epidemiology&lt;/keyword&gt;&lt;keyword&gt;Logistic Models&lt;/keyword&gt;&lt;keyword&gt;Male&lt;/keyword&gt;&lt;keyword&gt;Middle Aged&lt;/keyword&gt;&lt;keyword&gt;Prognosis&lt;/keyword&gt;&lt;keyword&gt;Risk Factors&lt;/keyword&gt;&lt;keyword&gt;Stroke/diagnosis/*etiology&lt;/keyword&gt;&lt;keyword&gt;Time Factors&lt;/keyword&gt;&lt;keyword&gt;United States/epidemiology&lt;/keyword&gt;&lt;/keywords&gt;&lt;dates&gt;&lt;year&gt;2007&lt;/year&gt;&lt;pub-dates&gt;&lt;date&gt;Jan 27&lt;/date&gt;&lt;/pub-dates&gt;&lt;/dates&gt;&lt;isbn&gt;1474-547X (Electronic)&amp;#xD;0140-6736 (Linking)&lt;/isbn&gt;&lt;accession-num&gt;17258668&lt;/accession-num&gt;&lt;urls&gt;&lt;related-urls&gt;&lt;url&gt;http://www.ncbi.nlm.nih.gov/entrez/query.fcgi?cmd=Retrieve&amp;amp;db=PubMed&amp;amp;dopt=Citation&amp;amp;list_uids=17258668&lt;/url&gt;&lt;/related-urls&gt;&lt;/urls&gt;&lt;electronic-resource-num&gt;S0140-6736(07)60150-0 [pii]&amp;#xD;10.1016/S0140-6736(07)60150-0&lt;/electronic-resource-num&gt;&lt;language&gt;eng&lt;/language&gt;&lt;/record&gt;&lt;/Cite&gt;&lt;/EndNote&gt;</w:instrText>
      </w:r>
      <w:r>
        <w:fldChar w:fldCharType="separate"/>
      </w:r>
      <w:r>
        <w:rPr>
          <w:noProof/>
        </w:rPr>
        <w:t>[1]</w:t>
      </w:r>
      <w:r>
        <w:fldChar w:fldCharType="end"/>
      </w:r>
    </w:p>
    <w:p w14:paraId="022198EA" w14:textId="77777777" w:rsidR="00DE591D" w:rsidRDefault="00DE591D">
      <w:pPr>
        <w:pStyle w:val="Body"/>
        <w:suppressAutoHyphens/>
      </w:pPr>
    </w:p>
    <w:p w14:paraId="5DF3F3A4" w14:textId="77777777" w:rsidR="00DE591D" w:rsidRDefault="00F76C21">
      <w:pPr>
        <w:pStyle w:val="Body"/>
        <w:suppressAutoHyphens/>
      </w:pPr>
      <w:r>
        <w:t>For your information, here is how the ABCD2 score is calculated.</w:t>
      </w:r>
    </w:p>
    <w:tbl>
      <w:tblPr>
        <w:tblW w:w="55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3"/>
        <w:gridCol w:w="4458"/>
        <w:gridCol w:w="749"/>
      </w:tblGrid>
      <w:tr w:rsidR="00DE591D" w14:paraId="31AB8A8B" w14:textId="77777777">
        <w:trPr>
          <w:trHeight w:val="600"/>
        </w:trPr>
        <w:tc>
          <w:tcPr>
            <w:tcW w:w="48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D6C1FB" w14:textId="77777777" w:rsidR="00DE591D" w:rsidRDefault="00F76C21">
            <w:pPr>
              <w:pStyle w:val="Body"/>
              <w:suppressAutoHyphens/>
            </w:pPr>
            <w:r>
              <w:rPr>
                <w:b/>
                <w:bCs/>
              </w:rPr>
              <w:t>Risk Factor</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DC9E24" w14:textId="77777777" w:rsidR="00DE591D" w:rsidRDefault="00F76C21">
            <w:pPr>
              <w:pStyle w:val="Body"/>
              <w:suppressAutoHyphens/>
              <w:jc w:val="center"/>
            </w:pPr>
            <w:r>
              <w:rPr>
                <w:b/>
                <w:bCs/>
              </w:rPr>
              <w:t>Points</w:t>
            </w:r>
          </w:p>
        </w:tc>
      </w:tr>
      <w:tr w:rsidR="00DE591D" w14:paraId="5021C4D1" w14:textId="77777777">
        <w:trPr>
          <w:trHeight w:val="300"/>
        </w:trPr>
        <w:tc>
          <w:tcPr>
            <w:tcW w:w="48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EECA91" w14:textId="77777777" w:rsidR="00DE591D" w:rsidRDefault="00F76C21">
            <w:pPr>
              <w:pStyle w:val="Body"/>
              <w:suppressAutoHyphens/>
            </w:pPr>
            <w:r>
              <w:rPr>
                <w:b/>
                <w:bCs/>
              </w:rPr>
              <w:t>A</w:t>
            </w:r>
            <w:r>
              <w:t>ge</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DEEE0" w14:textId="77777777" w:rsidR="00DE591D" w:rsidRDefault="00DE591D"/>
        </w:tc>
      </w:tr>
      <w:tr w:rsidR="00DE591D" w14:paraId="47DB74C0" w14:textId="77777777">
        <w:trPr>
          <w:trHeight w:val="3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85DAB"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E3780" w14:textId="77777777" w:rsidR="00DE591D" w:rsidRDefault="00F76C21">
            <w:pPr>
              <w:pStyle w:val="Body"/>
              <w:suppressAutoHyphens/>
            </w:pPr>
            <w:r>
              <w:t>≥ 60 years</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3DCD4" w14:textId="77777777" w:rsidR="00DE591D" w:rsidRDefault="00F76C21">
            <w:pPr>
              <w:pStyle w:val="Body"/>
              <w:suppressAutoHyphens/>
              <w:jc w:val="center"/>
            </w:pPr>
            <w:r>
              <w:rPr>
                <w:b/>
                <w:bCs/>
              </w:rPr>
              <w:t>1</w:t>
            </w:r>
          </w:p>
        </w:tc>
      </w:tr>
      <w:tr w:rsidR="00DE591D" w14:paraId="2B829E10" w14:textId="77777777">
        <w:trPr>
          <w:trHeight w:val="300"/>
        </w:trPr>
        <w:tc>
          <w:tcPr>
            <w:tcW w:w="48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ACB62" w14:textId="77777777" w:rsidR="00DE591D" w:rsidRDefault="00F76C21">
            <w:pPr>
              <w:pStyle w:val="Body"/>
              <w:suppressAutoHyphens/>
            </w:pPr>
            <w:r>
              <w:rPr>
                <w:b/>
                <w:bCs/>
              </w:rPr>
              <w:t>B</w:t>
            </w:r>
            <w:r>
              <w:t>lood Pressure</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F93C14" w14:textId="77777777" w:rsidR="00DE591D" w:rsidRDefault="00DE591D"/>
        </w:tc>
      </w:tr>
      <w:tr w:rsidR="00DE591D" w14:paraId="003BE20F" w14:textId="77777777">
        <w:trPr>
          <w:trHeight w:val="6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69AA3"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73C5A" w14:textId="77777777" w:rsidR="00DE591D" w:rsidRDefault="00F76C21">
            <w:pPr>
              <w:pStyle w:val="Body"/>
              <w:suppressAutoHyphens/>
            </w:pPr>
            <w:r>
              <w:t>Systolic ≥ 140 mm Hg or Diastolic ≥ 90 mm Hg</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31A11" w14:textId="77777777" w:rsidR="00DE591D" w:rsidRDefault="00F76C21">
            <w:pPr>
              <w:pStyle w:val="Body"/>
              <w:suppressAutoHyphens/>
              <w:jc w:val="center"/>
            </w:pPr>
            <w:r>
              <w:rPr>
                <w:b/>
                <w:bCs/>
              </w:rPr>
              <w:t>1</w:t>
            </w:r>
          </w:p>
        </w:tc>
      </w:tr>
      <w:tr w:rsidR="00DE591D" w14:paraId="0D599D38" w14:textId="77777777">
        <w:trPr>
          <w:trHeight w:val="300"/>
        </w:trPr>
        <w:tc>
          <w:tcPr>
            <w:tcW w:w="48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C11CC" w14:textId="77777777" w:rsidR="00DE591D" w:rsidRDefault="00F76C21">
            <w:pPr>
              <w:pStyle w:val="Body"/>
              <w:suppressAutoHyphens/>
            </w:pPr>
            <w:r>
              <w:rPr>
                <w:b/>
                <w:bCs/>
              </w:rPr>
              <w:t>C</w:t>
            </w:r>
            <w:r>
              <w:t>linical features of the TIA</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23895E" w14:textId="77777777" w:rsidR="00DE591D" w:rsidRDefault="00DE591D"/>
        </w:tc>
      </w:tr>
      <w:tr w:rsidR="00DE591D" w14:paraId="1E830A7D" w14:textId="77777777">
        <w:trPr>
          <w:trHeight w:val="6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F130A1"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E36EAC" w14:textId="77777777" w:rsidR="00DE591D" w:rsidRDefault="00F76C21">
            <w:pPr>
              <w:pStyle w:val="Body"/>
              <w:suppressAutoHyphens/>
            </w:pPr>
            <w:r>
              <w:t>Unilateral weakness (with or without speech impairment)</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9A2B0" w14:textId="77777777" w:rsidR="00DE591D" w:rsidRDefault="00F76C21">
            <w:pPr>
              <w:pStyle w:val="Body"/>
              <w:suppressAutoHyphens/>
              <w:jc w:val="center"/>
            </w:pPr>
            <w:r>
              <w:rPr>
                <w:b/>
                <w:bCs/>
              </w:rPr>
              <w:t>2</w:t>
            </w:r>
          </w:p>
        </w:tc>
      </w:tr>
      <w:tr w:rsidR="00DE591D" w14:paraId="14C43369" w14:textId="77777777">
        <w:trPr>
          <w:trHeight w:val="6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361B01"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6B4AD" w14:textId="77777777" w:rsidR="00DE591D" w:rsidRDefault="00F76C21">
            <w:pPr>
              <w:pStyle w:val="Body"/>
              <w:suppressAutoHyphens/>
            </w:pPr>
            <w:r>
              <w:t>Speech impairment without unilateral weakness</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E3D58" w14:textId="77777777" w:rsidR="00DE591D" w:rsidRDefault="00F76C21">
            <w:pPr>
              <w:pStyle w:val="Body"/>
              <w:suppressAutoHyphens/>
              <w:jc w:val="center"/>
            </w:pPr>
            <w:r>
              <w:rPr>
                <w:b/>
                <w:bCs/>
              </w:rPr>
              <w:t>1</w:t>
            </w:r>
          </w:p>
        </w:tc>
      </w:tr>
      <w:tr w:rsidR="00DE591D" w14:paraId="34B37344" w14:textId="77777777">
        <w:trPr>
          <w:trHeight w:val="300"/>
        </w:trPr>
        <w:tc>
          <w:tcPr>
            <w:tcW w:w="48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F4FFD6" w14:textId="77777777" w:rsidR="00DE591D" w:rsidRDefault="00F76C21">
            <w:pPr>
              <w:pStyle w:val="Body"/>
              <w:suppressAutoHyphens/>
            </w:pPr>
            <w:r>
              <w:rPr>
                <w:b/>
                <w:bCs/>
              </w:rPr>
              <w:t>D</w:t>
            </w:r>
            <w:r>
              <w:t>uration</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79386" w14:textId="77777777" w:rsidR="00DE591D" w:rsidRDefault="00DE591D"/>
        </w:tc>
      </w:tr>
      <w:tr w:rsidR="00DE591D" w14:paraId="00B3A0C6" w14:textId="77777777">
        <w:trPr>
          <w:trHeight w:val="3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59CDA5"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3319E6" w14:textId="77777777" w:rsidR="00DE591D" w:rsidRDefault="00F76C21">
            <w:pPr>
              <w:pStyle w:val="Body"/>
              <w:suppressAutoHyphens/>
            </w:pPr>
            <w:r>
              <w:t>TIA duration ≥ 60 minutes</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752FB2" w14:textId="77777777" w:rsidR="00DE591D" w:rsidRDefault="00F76C21">
            <w:pPr>
              <w:pStyle w:val="Body"/>
              <w:suppressAutoHyphens/>
              <w:jc w:val="center"/>
            </w:pPr>
            <w:r>
              <w:rPr>
                <w:b/>
                <w:bCs/>
              </w:rPr>
              <w:t>2</w:t>
            </w:r>
          </w:p>
        </w:tc>
      </w:tr>
      <w:tr w:rsidR="00DE591D" w14:paraId="030230FE" w14:textId="77777777">
        <w:trPr>
          <w:trHeight w:val="3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2B8EFF"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96F8E" w14:textId="77777777" w:rsidR="00DE591D" w:rsidRDefault="00F76C21">
            <w:pPr>
              <w:pStyle w:val="Body"/>
              <w:suppressAutoHyphens/>
            </w:pPr>
            <w:r>
              <w:t>TIA duration 10-59 minutes</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D97248" w14:textId="77777777" w:rsidR="00DE591D" w:rsidRDefault="00F76C21">
            <w:pPr>
              <w:pStyle w:val="Body"/>
              <w:suppressAutoHyphens/>
              <w:jc w:val="center"/>
            </w:pPr>
            <w:r>
              <w:rPr>
                <w:b/>
                <w:bCs/>
              </w:rPr>
              <w:t>1</w:t>
            </w:r>
          </w:p>
        </w:tc>
      </w:tr>
      <w:tr w:rsidR="00DE591D" w14:paraId="5E16F30C" w14:textId="77777777">
        <w:trPr>
          <w:trHeight w:val="300"/>
        </w:trPr>
        <w:tc>
          <w:tcPr>
            <w:tcW w:w="48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1E2511" w14:textId="77777777" w:rsidR="00DE591D" w:rsidRDefault="00F76C21">
            <w:pPr>
              <w:pStyle w:val="Body"/>
              <w:suppressAutoHyphens/>
            </w:pPr>
            <w:r>
              <w:rPr>
                <w:b/>
                <w:bCs/>
              </w:rPr>
              <w:t>D</w:t>
            </w:r>
            <w:r>
              <w:t>iabetes</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80B7C6" w14:textId="77777777" w:rsidR="00DE591D" w:rsidRDefault="00DE591D"/>
        </w:tc>
      </w:tr>
      <w:tr w:rsidR="00DE591D" w14:paraId="16808502" w14:textId="77777777">
        <w:trPr>
          <w:trHeight w:val="3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6F2E5"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51055F" w14:textId="77777777" w:rsidR="00DE591D" w:rsidRDefault="00F76C21">
            <w:pPr>
              <w:pStyle w:val="Body"/>
              <w:suppressAutoHyphens/>
            </w:pPr>
            <w:r>
              <w:t>Diabetes diagnosed by a physician</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47E09C" w14:textId="77777777" w:rsidR="00DE591D" w:rsidRDefault="00F76C21">
            <w:pPr>
              <w:pStyle w:val="Body"/>
              <w:suppressAutoHyphens/>
              <w:jc w:val="center"/>
            </w:pPr>
            <w:r>
              <w:rPr>
                <w:b/>
                <w:bCs/>
              </w:rPr>
              <w:t>1</w:t>
            </w:r>
          </w:p>
        </w:tc>
      </w:tr>
      <w:tr w:rsidR="00DE591D" w14:paraId="290BB5BF" w14:textId="77777777">
        <w:trPr>
          <w:trHeight w:val="3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7B6A60" w14:textId="77777777" w:rsidR="00DE591D" w:rsidRDefault="00F76C21">
            <w:pPr>
              <w:pStyle w:val="Body"/>
              <w:suppressAutoHyphens/>
            </w:pPr>
            <w:r>
              <w:t> </w:t>
            </w:r>
          </w:p>
        </w:tc>
        <w:tc>
          <w:tcPr>
            <w:tcW w:w="4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ACDE1C" w14:textId="77777777" w:rsidR="00DE591D" w:rsidRDefault="00F76C21">
            <w:pPr>
              <w:pStyle w:val="Body"/>
              <w:suppressAutoHyphens/>
            </w:pPr>
            <w:r>
              <w:rPr>
                <w:b/>
                <w:bCs/>
              </w:rPr>
              <w:t>Total ABCD2 Score</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D1ADF8" w14:textId="77777777" w:rsidR="00DE591D" w:rsidRDefault="00F76C21">
            <w:pPr>
              <w:pStyle w:val="Body"/>
              <w:suppressAutoHyphens/>
              <w:jc w:val="center"/>
            </w:pPr>
            <w:r>
              <w:rPr>
                <w:b/>
                <w:bCs/>
              </w:rPr>
              <w:t>0 – 7</w:t>
            </w:r>
          </w:p>
        </w:tc>
      </w:tr>
    </w:tbl>
    <w:p w14:paraId="41483222" w14:textId="77777777" w:rsidR="00DE591D" w:rsidRDefault="00DE591D">
      <w:pPr>
        <w:pStyle w:val="Body"/>
        <w:widowControl w:val="0"/>
        <w:suppressAutoHyphens/>
      </w:pPr>
    </w:p>
    <w:p w14:paraId="09B822B7" w14:textId="77777777" w:rsidR="00DE591D" w:rsidRDefault="00DE591D">
      <w:pPr>
        <w:pStyle w:val="Body"/>
        <w:suppressAutoHyphens/>
      </w:pPr>
    </w:p>
    <w:p w14:paraId="78186A38" w14:textId="77777777" w:rsidR="00DE591D" w:rsidRDefault="00F76C21">
      <w:pPr>
        <w:pStyle w:val="Body"/>
        <w:suppressAutoHyphens/>
      </w:pPr>
      <w:r>
        <w:t>The 2-day risk of stroke by ABCD2 score is shown below:</w:t>
      </w:r>
    </w:p>
    <w:p w14:paraId="5BAFD8D5" w14:textId="77777777" w:rsidR="00DE591D" w:rsidRDefault="00F76C21">
      <w:pPr>
        <w:pStyle w:val="Body"/>
        <w:suppressAutoHyphens/>
      </w:pPr>
      <w:r>
        <w:t xml:space="preserve"> </w:t>
      </w:r>
    </w:p>
    <w:tbl>
      <w:tblPr>
        <w:tblW w:w="51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44"/>
        <w:gridCol w:w="1969"/>
        <w:gridCol w:w="1833"/>
      </w:tblGrid>
      <w:tr w:rsidR="00DE591D" w14:paraId="3B37E678" w14:textId="77777777">
        <w:trPr>
          <w:trHeight w:val="600"/>
          <w:jc w:val="center"/>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E5234" w14:textId="77777777" w:rsidR="00DE591D" w:rsidRDefault="00F76C21">
            <w:pPr>
              <w:pStyle w:val="Body"/>
              <w:suppressAutoHyphens/>
              <w:jc w:val="center"/>
            </w:pPr>
            <w:r>
              <w:rPr>
                <w:b/>
                <w:bCs/>
              </w:rPr>
              <w:t>Score</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43ACF" w14:textId="77777777" w:rsidR="00DE591D" w:rsidRDefault="00F76C21">
            <w:pPr>
              <w:pStyle w:val="Body"/>
              <w:suppressAutoHyphens/>
              <w:jc w:val="center"/>
            </w:pPr>
            <w:r>
              <w:rPr>
                <w:b/>
                <w:bCs/>
              </w:rPr>
              <w:t>% of TIA Patients</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0C73A" w14:textId="77777777" w:rsidR="00DE591D" w:rsidRDefault="00F76C21">
            <w:pPr>
              <w:pStyle w:val="Body"/>
              <w:suppressAutoHyphens/>
              <w:jc w:val="center"/>
            </w:pPr>
            <w:r>
              <w:rPr>
                <w:b/>
                <w:bCs/>
              </w:rPr>
              <w:t>2-day Stroke Risk</w:t>
            </w:r>
          </w:p>
        </w:tc>
      </w:tr>
      <w:tr w:rsidR="00DE591D" w14:paraId="32749D78" w14:textId="77777777">
        <w:trPr>
          <w:trHeight w:val="300"/>
          <w:jc w:val="center"/>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160BC" w14:textId="77777777" w:rsidR="00DE591D" w:rsidRDefault="00F76C21">
            <w:pPr>
              <w:pStyle w:val="Body"/>
              <w:suppressAutoHyphens/>
              <w:jc w:val="center"/>
            </w:pPr>
            <w:r>
              <w:t>0-3</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8EFA6" w14:textId="77777777" w:rsidR="00DE591D" w:rsidRDefault="00F76C21">
            <w:pPr>
              <w:pStyle w:val="Body"/>
              <w:suppressAutoHyphens/>
              <w:jc w:val="center"/>
            </w:pPr>
            <w:r>
              <w:t>34%</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4EADF7" w14:textId="77777777" w:rsidR="00DE591D" w:rsidRDefault="00F76C21">
            <w:pPr>
              <w:pStyle w:val="Body"/>
              <w:suppressAutoHyphens/>
              <w:jc w:val="center"/>
            </w:pPr>
            <w:r>
              <w:t>1.0%</w:t>
            </w:r>
          </w:p>
        </w:tc>
      </w:tr>
      <w:tr w:rsidR="00DE591D" w14:paraId="65D84547" w14:textId="77777777">
        <w:trPr>
          <w:trHeight w:val="300"/>
          <w:jc w:val="center"/>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9DC09" w14:textId="77777777" w:rsidR="00DE591D" w:rsidRDefault="00F76C21">
            <w:pPr>
              <w:pStyle w:val="Body"/>
              <w:suppressAutoHyphens/>
              <w:jc w:val="center"/>
            </w:pPr>
            <w:r>
              <w:t>4-5</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0B1E22" w14:textId="77777777" w:rsidR="00DE591D" w:rsidRDefault="00F76C21">
            <w:pPr>
              <w:pStyle w:val="Body"/>
              <w:suppressAutoHyphens/>
              <w:jc w:val="center"/>
            </w:pPr>
            <w:r>
              <w:t>45%</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8FE887" w14:textId="77777777" w:rsidR="00DE591D" w:rsidRDefault="00F76C21">
            <w:pPr>
              <w:pStyle w:val="Body"/>
              <w:suppressAutoHyphens/>
              <w:jc w:val="center"/>
            </w:pPr>
            <w:r>
              <w:t>4.1%</w:t>
            </w:r>
          </w:p>
        </w:tc>
      </w:tr>
      <w:tr w:rsidR="00DE591D" w14:paraId="271F0C68" w14:textId="77777777">
        <w:trPr>
          <w:trHeight w:val="300"/>
          <w:jc w:val="center"/>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6A484" w14:textId="77777777" w:rsidR="00DE591D" w:rsidRDefault="00F76C21">
            <w:pPr>
              <w:pStyle w:val="Body"/>
              <w:suppressAutoHyphens/>
              <w:jc w:val="center"/>
            </w:pPr>
            <w:r>
              <w:lastRenderedPageBreak/>
              <w:t>6-7</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21FC4" w14:textId="77777777" w:rsidR="00DE591D" w:rsidRDefault="00F76C21">
            <w:pPr>
              <w:pStyle w:val="Body"/>
              <w:suppressAutoHyphens/>
              <w:jc w:val="center"/>
            </w:pPr>
            <w:r>
              <w:t>21%</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C96470" w14:textId="77777777" w:rsidR="00DE591D" w:rsidRDefault="00F76C21">
            <w:pPr>
              <w:pStyle w:val="Body"/>
              <w:suppressAutoHyphens/>
              <w:jc w:val="center"/>
            </w:pPr>
            <w:r>
              <w:t>8.1%</w:t>
            </w:r>
          </w:p>
        </w:tc>
      </w:tr>
    </w:tbl>
    <w:p w14:paraId="6D2BC506" w14:textId="77777777" w:rsidR="00DE591D" w:rsidRDefault="00DE591D">
      <w:pPr>
        <w:pStyle w:val="Body"/>
        <w:widowControl w:val="0"/>
        <w:suppressAutoHyphens/>
        <w:jc w:val="center"/>
      </w:pPr>
    </w:p>
    <w:p w14:paraId="43326FD0" w14:textId="77777777" w:rsidR="00DE591D" w:rsidRDefault="00DE591D">
      <w:pPr>
        <w:pStyle w:val="Body"/>
        <w:suppressAutoHyphens/>
      </w:pPr>
    </w:p>
    <w:p w14:paraId="00F8697D" w14:textId="77777777" w:rsidR="00DE591D" w:rsidRDefault="00F76C21">
      <w:pPr>
        <w:pStyle w:val="Body"/>
        <w:suppressAutoHyphens/>
      </w:pPr>
      <w:r>
        <w:t>One of the main reasons for hospitalizing a patient after TIA is to enable rapid treatment with thrombolytics (to dissolve blood clots) if the patient has a subsequent stroke in the next 2 days.</w:t>
      </w:r>
    </w:p>
    <w:p w14:paraId="54F39B9A" w14:textId="77777777" w:rsidR="00DE591D" w:rsidRDefault="00DE591D">
      <w:pPr>
        <w:pStyle w:val="Body"/>
        <w:suppressAutoHyphens/>
      </w:pPr>
    </w:p>
    <w:p w14:paraId="20A54FD2" w14:textId="77777777" w:rsidR="00DE591D" w:rsidRDefault="00F76C21">
      <w:pPr>
        <w:pStyle w:val="Body"/>
        <w:widowControl w:val="0"/>
        <w:numPr>
          <w:ilvl w:val="0"/>
          <w:numId w:val="5"/>
        </w:numPr>
        <w:suppressAutoHyphens/>
      </w:pPr>
      <w:r>
        <w:t xml:space="preserve">Assume you are willing to admit 25 patients to the hospital for 2 days unnecessarily in order to avoid discharging one from the emergency department who goes home to have a stroke in the next 2 days.  What is your ABCD2 score cutoff for hospitalization? </w:t>
      </w:r>
      <w:r>
        <w:rPr>
          <w:b/>
          <w:bCs/>
        </w:rPr>
        <w:t>[2+1EC]</w:t>
      </w:r>
    </w:p>
    <w:p w14:paraId="00F3E750" w14:textId="77777777" w:rsidR="00DE591D" w:rsidRDefault="00DE591D">
      <w:pPr>
        <w:pStyle w:val="Body"/>
        <w:suppressAutoHyphens/>
        <w:rPr>
          <w:b/>
          <w:bCs/>
        </w:rPr>
      </w:pPr>
    </w:p>
    <w:p w14:paraId="27FD8822" w14:textId="77777777" w:rsidR="00DE591D" w:rsidRDefault="00F76C21">
      <w:pPr>
        <w:pStyle w:val="Body"/>
        <w:suppressAutoHyphens/>
        <w:rPr>
          <w:b/>
          <w:bCs/>
        </w:rPr>
      </w:pPr>
      <w:r>
        <w:rPr>
          <w:b/>
          <w:bCs/>
        </w:rPr>
        <w:t xml:space="preserve">Using terminology from Chapter 2, 25C=B, so the treatment threshold of C/(C+B) = 1/26 = 3.8%.  Based on the table above, a safe and reasonable answer would be to admit when the score is ≥ 4 and the 2-day stroke risk is 4.1%.  </w:t>
      </w:r>
    </w:p>
    <w:p w14:paraId="445C504D" w14:textId="77777777" w:rsidR="00DE591D" w:rsidRDefault="00DE591D">
      <w:pPr>
        <w:pStyle w:val="Body"/>
        <w:suppressAutoHyphens/>
        <w:rPr>
          <w:b/>
          <w:bCs/>
        </w:rPr>
      </w:pPr>
    </w:p>
    <w:p w14:paraId="2481780C" w14:textId="7C612EF9" w:rsidR="00DE591D" w:rsidRDefault="00F76C21">
      <w:pPr>
        <w:pStyle w:val="Body"/>
        <w:suppressAutoHyphens/>
        <w:rPr>
          <w:b/>
          <w:bCs/>
        </w:rPr>
      </w:pPr>
      <w:r>
        <w:rPr>
          <w:b/>
          <w:bCs/>
        </w:rPr>
        <w:t xml:space="preserve">Extra credit answer:  With 4 and 5 grouped together it's not possible to tell for sure, but it seems likely that a score of 4 would have a risk &lt;4.1% and a score of 5 would have a risk of &gt;4.1%, because the combined 4 and 5 group has a risk of 4.1%.  If that's the case, it might be reasonable to admit when the score is ≥ 5, since </w:t>
      </w:r>
      <w:r w:rsidR="00812219">
        <w:rPr>
          <w:b/>
          <w:bCs/>
        </w:rPr>
        <w:t xml:space="preserve">the risk </w:t>
      </w:r>
      <w:r>
        <w:rPr>
          <w:b/>
          <w:bCs/>
        </w:rPr>
        <w:t xml:space="preserve">is probably &lt;3.8% if </w:t>
      </w:r>
      <w:r w:rsidR="00812219">
        <w:rPr>
          <w:b/>
          <w:bCs/>
        </w:rPr>
        <w:t>the score is 4</w:t>
      </w:r>
      <w:r>
        <w:rPr>
          <w:b/>
          <w:bCs/>
        </w:rPr>
        <w:t>.</w:t>
      </w:r>
    </w:p>
    <w:p w14:paraId="60B1FA12" w14:textId="77777777" w:rsidR="00DE591D" w:rsidRDefault="00DE591D">
      <w:pPr>
        <w:pStyle w:val="Body"/>
        <w:suppressAutoHyphens/>
      </w:pPr>
    </w:p>
    <w:p w14:paraId="4FD9BB8C" w14:textId="77777777" w:rsidR="00DE591D" w:rsidRDefault="00F76C21">
      <w:pPr>
        <w:pStyle w:val="Body"/>
        <w:suppressAutoHyphens/>
        <w:ind w:left="360"/>
      </w:pPr>
      <w:r>
        <w:t xml:space="preserve">We will convert the table of 2-day risks above into </w:t>
      </w:r>
      <w:proofErr w:type="gramStart"/>
      <w:r>
        <w:t>an</w:t>
      </w:r>
      <w:proofErr w:type="gramEnd"/>
      <w:r>
        <w:t xml:space="preserve"> ROC table and calculate the area under it.</w:t>
      </w:r>
    </w:p>
    <w:p w14:paraId="6EFCD6F4" w14:textId="77777777" w:rsidR="00DE591D" w:rsidRDefault="00DE591D">
      <w:pPr>
        <w:pStyle w:val="Body"/>
        <w:suppressAutoHyphens/>
        <w:ind w:left="360"/>
      </w:pPr>
    </w:p>
    <w:p w14:paraId="74CF3A76" w14:textId="77777777" w:rsidR="00DE591D" w:rsidRDefault="00F76C21">
      <w:pPr>
        <w:pStyle w:val="Body"/>
        <w:suppressAutoHyphens/>
        <w:ind w:left="360"/>
      </w:pPr>
      <w:r>
        <w:t>First, order the results from most to least abnormal:</w:t>
      </w:r>
    </w:p>
    <w:p w14:paraId="4D02A964" w14:textId="77777777" w:rsidR="00DE591D" w:rsidRDefault="00DE591D">
      <w:pPr>
        <w:pStyle w:val="Body"/>
        <w:suppressAutoHyphens/>
        <w:ind w:left="360"/>
      </w:pPr>
    </w:p>
    <w:tbl>
      <w:tblPr>
        <w:tblW w:w="2900"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5"/>
        <w:gridCol w:w="1043"/>
        <w:gridCol w:w="942"/>
      </w:tblGrid>
      <w:tr w:rsidR="00DE591D" w14:paraId="4B4A63BC" w14:textId="77777777">
        <w:trPr>
          <w:trHeight w:val="915"/>
        </w:trPr>
        <w:tc>
          <w:tcPr>
            <w:tcW w:w="914" w:type="dxa"/>
            <w:tcBorders>
              <w:top w:val="single" w:sz="12"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A294A26" w14:textId="77777777" w:rsidR="00DE591D" w:rsidRDefault="00F76C21">
            <w:pPr>
              <w:pStyle w:val="Body"/>
              <w:jc w:val="center"/>
            </w:pPr>
            <w:r>
              <w:rPr>
                <w:b/>
                <w:bCs/>
              </w:rPr>
              <w:t>Score</w:t>
            </w:r>
          </w:p>
        </w:tc>
        <w:tc>
          <w:tcPr>
            <w:tcW w:w="1043"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D0E986E" w14:textId="77777777" w:rsidR="00DE591D" w:rsidRDefault="00F76C21">
            <w:pPr>
              <w:pStyle w:val="Body"/>
              <w:jc w:val="center"/>
            </w:pPr>
            <w:r>
              <w:rPr>
                <w:b/>
                <w:bCs/>
              </w:rPr>
              <w:t>% of TIA Patients</w:t>
            </w:r>
          </w:p>
        </w:tc>
        <w:tc>
          <w:tcPr>
            <w:tcW w:w="942"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3FA7AEB" w14:textId="77777777" w:rsidR="00DE591D" w:rsidRDefault="00F76C21">
            <w:pPr>
              <w:pStyle w:val="Body"/>
              <w:jc w:val="center"/>
            </w:pPr>
            <w:r>
              <w:rPr>
                <w:b/>
                <w:bCs/>
              </w:rPr>
              <w:t>2-day Stroke Risk</w:t>
            </w:r>
          </w:p>
        </w:tc>
      </w:tr>
      <w:tr w:rsidR="00DE591D" w14:paraId="461FEB71" w14:textId="77777777">
        <w:trPr>
          <w:trHeight w:val="310"/>
        </w:trPr>
        <w:tc>
          <w:tcPr>
            <w:tcW w:w="914"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FE0FF61" w14:textId="77777777" w:rsidR="00DE591D" w:rsidRDefault="00F76C21">
            <w:pPr>
              <w:pStyle w:val="Body"/>
              <w:jc w:val="center"/>
            </w:pPr>
            <w:r>
              <w:t>6-7</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5B23581" w14:textId="77777777" w:rsidR="00DE591D" w:rsidRDefault="00F76C21">
            <w:pPr>
              <w:pStyle w:val="Body"/>
              <w:jc w:val="center"/>
            </w:pPr>
            <w:r>
              <w:t>21%</w:t>
            </w:r>
          </w:p>
        </w:tc>
        <w:tc>
          <w:tcPr>
            <w:tcW w:w="9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0BB8D13" w14:textId="77777777" w:rsidR="00DE591D" w:rsidRDefault="00F76C21">
            <w:pPr>
              <w:pStyle w:val="Body"/>
              <w:jc w:val="center"/>
            </w:pPr>
            <w:r>
              <w:t>8.10%</w:t>
            </w:r>
          </w:p>
        </w:tc>
      </w:tr>
      <w:tr w:rsidR="00DE591D" w14:paraId="4479D957" w14:textId="77777777">
        <w:trPr>
          <w:trHeight w:val="310"/>
        </w:trPr>
        <w:tc>
          <w:tcPr>
            <w:tcW w:w="914"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1982A36" w14:textId="77777777" w:rsidR="00DE591D" w:rsidRDefault="00F76C21">
            <w:pPr>
              <w:pStyle w:val="Body"/>
              <w:jc w:val="center"/>
            </w:pPr>
            <w:r>
              <w:t>4-5</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598437D" w14:textId="77777777" w:rsidR="00DE591D" w:rsidRDefault="00F76C21">
            <w:pPr>
              <w:pStyle w:val="Body"/>
              <w:jc w:val="center"/>
            </w:pPr>
            <w:r>
              <w:t>45%</w:t>
            </w:r>
          </w:p>
        </w:tc>
        <w:tc>
          <w:tcPr>
            <w:tcW w:w="9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D620580" w14:textId="77777777" w:rsidR="00DE591D" w:rsidRDefault="00F76C21">
            <w:pPr>
              <w:pStyle w:val="Body"/>
              <w:jc w:val="center"/>
            </w:pPr>
            <w:r>
              <w:t>4.10%</w:t>
            </w:r>
          </w:p>
        </w:tc>
      </w:tr>
      <w:tr w:rsidR="00DE591D" w14:paraId="0CA0BFBB" w14:textId="77777777">
        <w:trPr>
          <w:trHeight w:val="310"/>
        </w:trPr>
        <w:tc>
          <w:tcPr>
            <w:tcW w:w="914"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193B048" w14:textId="77777777" w:rsidR="00DE591D" w:rsidRDefault="00F76C21">
            <w:pPr>
              <w:pStyle w:val="Body"/>
              <w:jc w:val="center"/>
            </w:pPr>
            <w:r>
              <w:t>0-3</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9DE6D2E" w14:textId="77777777" w:rsidR="00DE591D" w:rsidRDefault="00F76C21">
            <w:pPr>
              <w:pStyle w:val="Body"/>
              <w:jc w:val="center"/>
            </w:pPr>
            <w:r>
              <w:t>34%</w:t>
            </w:r>
          </w:p>
        </w:tc>
        <w:tc>
          <w:tcPr>
            <w:tcW w:w="9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50F724D" w14:textId="77777777" w:rsidR="00DE591D" w:rsidRDefault="00F76C21">
            <w:pPr>
              <w:pStyle w:val="Body"/>
              <w:jc w:val="center"/>
            </w:pPr>
            <w:r>
              <w:t>1.00%</w:t>
            </w:r>
          </w:p>
        </w:tc>
      </w:tr>
    </w:tbl>
    <w:p w14:paraId="0DE80E8D" w14:textId="77777777" w:rsidR="00DE591D" w:rsidRDefault="00DE591D">
      <w:pPr>
        <w:pStyle w:val="Body"/>
        <w:widowControl w:val="0"/>
        <w:suppressAutoHyphens/>
        <w:ind w:left="93" w:hanging="93"/>
      </w:pPr>
    </w:p>
    <w:p w14:paraId="1A82F1BF" w14:textId="77777777" w:rsidR="00DE591D" w:rsidRDefault="00DE591D">
      <w:pPr>
        <w:pStyle w:val="Body"/>
        <w:suppressAutoHyphens/>
        <w:ind w:left="360"/>
      </w:pPr>
    </w:p>
    <w:p w14:paraId="2C80DA8B" w14:textId="77777777" w:rsidR="00DE591D" w:rsidRDefault="00F76C21">
      <w:pPr>
        <w:pStyle w:val="Body"/>
        <w:suppressAutoHyphens/>
        <w:ind w:left="360"/>
      </w:pPr>
      <w:r>
        <w:t xml:space="preserve">Next, calculate the individual cell percentages.   To get the D+ column, we multiply the proportion of patients in each risk stratum by the 2-day stroke rate in that stratum.  Thus, e.g. if we had 10,000 patients, 21% (=2100) would have a score of 6-7 and 8.1% of those 2100 = 170 would have a stroke.  </w:t>
      </w:r>
      <w:proofErr w:type="gramStart"/>
      <w:r>
        <w:t>So</w:t>
      </w:r>
      <w:proofErr w:type="gramEnd"/>
      <w:r>
        <w:t xml:space="preserve"> the top D+ cell would be 170/10,000 = 1.70%.</w:t>
      </w:r>
    </w:p>
    <w:p w14:paraId="664CDC23" w14:textId="77777777" w:rsidR="00DE591D" w:rsidRDefault="00DE591D">
      <w:pPr>
        <w:pStyle w:val="Body"/>
        <w:suppressAutoHyphens/>
        <w:ind w:left="360"/>
      </w:pPr>
    </w:p>
    <w:p w14:paraId="2DA61C28" w14:textId="77777777" w:rsidR="00DE591D" w:rsidRDefault="00DE591D">
      <w:pPr>
        <w:pStyle w:val="Body"/>
        <w:suppressAutoHyphens/>
      </w:pPr>
    </w:p>
    <w:tbl>
      <w:tblPr>
        <w:tblW w:w="3976"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0"/>
        <w:gridCol w:w="980"/>
        <w:gridCol w:w="960"/>
        <w:gridCol w:w="1076"/>
      </w:tblGrid>
      <w:tr w:rsidR="00DE591D" w14:paraId="47BEC7FF" w14:textId="77777777">
        <w:trPr>
          <w:trHeight w:val="9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930485" w14:textId="77777777" w:rsidR="00DE591D" w:rsidRDefault="00F76C21">
            <w:pPr>
              <w:pStyle w:val="Body"/>
              <w:jc w:val="center"/>
            </w:pPr>
            <w:r>
              <w:rPr>
                <w:b/>
                <w:bCs/>
              </w:rPr>
              <w:lastRenderedPageBreak/>
              <w:t>Score</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141ED" w14:textId="77777777" w:rsidR="00DE591D" w:rsidRDefault="00F76C21">
            <w:pPr>
              <w:pStyle w:val="Body"/>
              <w:jc w:val="center"/>
            </w:pPr>
            <w:r>
              <w:rPr>
                <w:b/>
                <w:bCs/>
              </w:rPr>
              <w:t>D+</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AF23E" w14:textId="77777777" w:rsidR="00DE591D" w:rsidRDefault="00F76C21">
            <w:pPr>
              <w:pStyle w:val="Body"/>
              <w:jc w:val="center"/>
            </w:pPr>
            <w:r>
              <w:rPr>
                <w:b/>
                <w:bCs/>
              </w:rPr>
              <w:t>D-</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5C29DE" w14:textId="77777777" w:rsidR="00DE591D" w:rsidRDefault="00F76C21">
            <w:pPr>
              <w:pStyle w:val="Body"/>
              <w:jc w:val="center"/>
            </w:pPr>
            <w:r>
              <w:rPr>
                <w:b/>
                <w:bCs/>
              </w:rPr>
              <w:t>% of TIA Patients</w:t>
            </w:r>
          </w:p>
        </w:tc>
      </w:tr>
      <w:tr w:rsidR="00DE591D" w14:paraId="17286730"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B4AC4" w14:textId="77777777" w:rsidR="00DE591D" w:rsidRDefault="00F76C21">
            <w:pPr>
              <w:pStyle w:val="Body"/>
              <w:jc w:val="center"/>
            </w:pPr>
            <w:r>
              <w:t>6-7</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0314C" w14:textId="77777777" w:rsidR="00DE591D" w:rsidRDefault="00F76C21">
            <w:pPr>
              <w:pStyle w:val="Body"/>
              <w:jc w:val="right"/>
            </w:pPr>
            <w:r>
              <w:t>1.70%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B00041" w14:textId="77777777" w:rsidR="00DE591D" w:rsidRDefault="00F76C21">
            <w:pPr>
              <w:pStyle w:val="Body"/>
              <w:jc w:val="right"/>
            </w:pPr>
            <w:r>
              <w:t>19.30%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6C109" w14:textId="77777777" w:rsidR="00DE591D" w:rsidRDefault="00F76C21">
            <w:pPr>
              <w:pStyle w:val="Body"/>
              <w:jc w:val="center"/>
            </w:pPr>
            <w:r>
              <w:t>21%</w:t>
            </w:r>
          </w:p>
        </w:tc>
      </w:tr>
      <w:tr w:rsidR="00DE591D" w14:paraId="12932E1D"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B6C04" w14:textId="77777777" w:rsidR="00DE591D" w:rsidRDefault="00F76C21">
            <w:pPr>
              <w:pStyle w:val="Body"/>
              <w:jc w:val="center"/>
            </w:pPr>
            <w:r>
              <w:t>4-5</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3B852F" w14:textId="77777777" w:rsidR="00DE591D" w:rsidRDefault="00F76C21">
            <w:pPr>
              <w:pStyle w:val="Body"/>
              <w:jc w:val="right"/>
            </w:pPr>
            <w:r>
              <w:t>1.85%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712A9A" w14:textId="77777777" w:rsidR="00DE591D" w:rsidRDefault="00F76C21">
            <w:pPr>
              <w:pStyle w:val="Body"/>
              <w:jc w:val="right"/>
            </w:pPr>
            <w:r>
              <w:t>43.16%</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C1735" w14:textId="77777777" w:rsidR="00DE591D" w:rsidRDefault="00F76C21">
            <w:pPr>
              <w:pStyle w:val="Body"/>
              <w:jc w:val="center"/>
            </w:pPr>
            <w:r>
              <w:t>45%</w:t>
            </w:r>
          </w:p>
        </w:tc>
      </w:tr>
      <w:tr w:rsidR="00DE591D" w14:paraId="6BDF7EF3"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5CCAB4" w14:textId="77777777" w:rsidR="00DE591D" w:rsidRDefault="00F76C21">
            <w:pPr>
              <w:pStyle w:val="Body"/>
              <w:jc w:val="center"/>
            </w:pPr>
            <w:r>
              <w:t>0-3</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D92FC3" w14:textId="77777777" w:rsidR="00DE591D" w:rsidRDefault="00F76C21">
            <w:pPr>
              <w:pStyle w:val="Body"/>
              <w:jc w:val="right"/>
            </w:pPr>
            <w:r>
              <w:t>0.34%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0A138B" w14:textId="77777777" w:rsidR="00DE591D" w:rsidRDefault="00F76C21">
            <w:pPr>
              <w:pStyle w:val="Body"/>
              <w:jc w:val="right"/>
            </w:pPr>
            <w:r>
              <w:t>33.66%</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CB52E" w14:textId="77777777" w:rsidR="00DE591D" w:rsidRDefault="00F76C21">
            <w:pPr>
              <w:pStyle w:val="Body"/>
              <w:jc w:val="center"/>
            </w:pPr>
            <w:r>
              <w:t>34%</w:t>
            </w:r>
          </w:p>
        </w:tc>
      </w:tr>
      <w:tr w:rsidR="00DE591D" w14:paraId="0D73A097"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1616ED" w14:textId="77777777" w:rsidR="00DE591D" w:rsidRDefault="00F76C21">
            <w:pPr>
              <w:pStyle w:val="Body"/>
            </w:pPr>
            <w:r>
              <w:rPr>
                <w:rFonts w:eastAsia="Arial Unicode MS" w:cs="Arial Unicode MS"/>
              </w:rPr>
              <w:t>Total</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7A7C9C" w14:textId="77777777" w:rsidR="00DE591D" w:rsidRDefault="00F76C21">
            <w:pPr>
              <w:pStyle w:val="Body"/>
              <w:jc w:val="right"/>
            </w:pPr>
            <w:r>
              <w:t>3.89%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B1F8D" w14:textId="77777777" w:rsidR="00DE591D" w:rsidRDefault="00F76C21">
            <w:pPr>
              <w:pStyle w:val="Body"/>
              <w:jc w:val="right"/>
            </w:pPr>
            <w:r>
              <w:t>96.11%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C62484" w14:textId="77777777" w:rsidR="00DE591D" w:rsidRDefault="00F76C21">
            <w:pPr>
              <w:pStyle w:val="Body"/>
              <w:jc w:val="right"/>
            </w:pPr>
            <w:r>
              <w:t>100.00%</w:t>
            </w:r>
          </w:p>
        </w:tc>
      </w:tr>
    </w:tbl>
    <w:p w14:paraId="27E48305" w14:textId="77777777" w:rsidR="00DE591D" w:rsidRDefault="00DE591D">
      <w:pPr>
        <w:pStyle w:val="Body"/>
        <w:widowControl w:val="0"/>
        <w:suppressAutoHyphens/>
        <w:ind w:left="93" w:hanging="93"/>
      </w:pPr>
    </w:p>
    <w:p w14:paraId="04831935" w14:textId="77777777" w:rsidR="00DE591D" w:rsidRDefault="00DE591D">
      <w:pPr>
        <w:pStyle w:val="Body"/>
        <w:suppressAutoHyphens/>
      </w:pPr>
    </w:p>
    <w:p w14:paraId="346AB72F" w14:textId="77777777" w:rsidR="00DE591D" w:rsidRDefault="00F76C21">
      <w:pPr>
        <w:pStyle w:val="Body"/>
        <w:suppressAutoHyphens/>
      </w:pPr>
      <w:r>
        <w:t>Then, calculate the column percentages.  For example, for the top D+ cell, 1.70%/3.89% = 43.77%.</w:t>
      </w:r>
    </w:p>
    <w:p w14:paraId="7D025100" w14:textId="77777777" w:rsidR="00DE591D" w:rsidRDefault="00DE591D">
      <w:pPr>
        <w:pStyle w:val="Body"/>
        <w:suppressAutoHyphens/>
      </w:pPr>
    </w:p>
    <w:tbl>
      <w:tblPr>
        <w:tblW w:w="3112"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0"/>
        <w:gridCol w:w="1076"/>
        <w:gridCol w:w="1076"/>
      </w:tblGrid>
      <w:tr w:rsidR="00DE591D" w14:paraId="4D5AC232"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EA5F6A" w14:textId="77777777" w:rsidR="00DE591D" w:rsidRDefault="00F76C21">
            <w:pPr>
              <w:pStyle w:val="Body"/>
              <w:jc w:val="center"/>
            </w:pPr>
            <w:r>
              <w:rPr>
                <w:b/>
                <w:bCs/>
              </w:rPr>
              <w:t>Score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B4D6F" w14:textId="77777777" w:rsidR="00DE591D" w:rsidRDefault="00F76C21">
            <w:pPr>
              <w:pStyle w:val="Body"/>
              <w:jc w:val="center"/>
            </w:pPr>
            <w:r>
              <w:rPr>
                <w:b/>
                <w:bCs/>
              </w:rPr>
              <w:t>D+</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B672B2" w14:textId="77777777" w:rsidR="00DE591D" w:rsidRDefault="00F76C21">
            <w:pPr>
              <w:pStyle w:val="Body"/>
              <w:jc w:val="center"/>
            </w:pPr>
            <w:r>
              <w:rPr>
                <w:b/>
                <w:bCs/>
              </w:rPr>
              <w:t>D-</w:t>
            </w:r>
          </w:p>
        </w:tc>
      </w:tr>
      <w:tr w:rsidR="00DE591D" w14:paraId="46AEA520"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8E676" w14:textId="77777777" w:rsidR="00DE591D" w:rsidRDefault="00F76C21">
            <w:pPr>
              <w:pStyle w:val="Body"/>
              <w:jc w:val="center"/>
            </w:pPr>
            <w:r>
              <w:t>6-7</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0DFEBA" w14:textId="77777777" w:rsidR="00DE591D" w:rsidRDefault="00F76C21">
            <w:pPr>
              <w:pStyle w:val="Body"/>
              <w:jc w:val="right"/>
            </w:pPr>
            <w:r>
              <w:t>43.77%</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F218D0" w14:textId="77777777" w:rsidR="00DE591D" w:rsidRDefault="00F76C21">
            <w:pPr>
              <w:pStyle w:val="Body"/>
              <w:jc w:val="right"/>
            </w:pPr>
            <w:r>
              <w:t>20.08%</w:t>
            </w:r>
          </w:p>
        </w:tc>
      </w:tr>
      <w:tr w:rsidR="00DE591D" w14:paraId="4800CD3C"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0193FE" w14:textId="77777777" w:rsidR="00DE591D" w:rsidRDefault="00F76C21">
            <w:pPr>
              <w:pStyle w:val="Body"/>
              <w:jc w:val="center"/>
            </w:pPr>
            <w:r>
              <w:t>4-5</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97492C" w14:textId="77777777" w:rsidR="00DE591D" w:rsidRDefault="00F76C21">
            <w:pPr>
              <w:pStyle w:val="Body"/>
              <w:jc w:val="right"/>
            </w:pPr>
            <w:r>
              <w:t>47.48%</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DEE4E9" w14:textId="77777777" w:rsidR="00DE591D" w:rsidRDefault="00F76C21">
            <w:pPr>
              <w:pStyle w:val="Body"/>
              <w:jc w:val="right"/>
            </w:pPr>
            <w:r>
              <w:t>44.90%</w:t>
            </w:r>
          </w:p>
        </w:tc>
      </w:tr>
      <w:tr w:rsidR="00DE591D" w14:paraId="514743E8"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E43BF" w14:textId="77777777" w:rsidR="00DE591D" w:rsidRDefault="00F76C21">
            <w:pPr>
              <w:pStyle w:val="Body"/>
              <w:jc w:val="center"/>
            </w:pPr>
            <w:r>
              <w:t>0-3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09E522" w14:textId="77777777" w:rsidR="00DE591D" w:rsidRDefault="00F76C21">
            <w:pPr>
              <w:pStyle w:val="Body"/>
              <w:jc w:val="right"/>
            </w:pPr>
            <w:r>
              <w:t>8.75%</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A80EA9" w14:textId="77777777" w:rsidR="00DE591D" w:rsidRDefault="00F76C21">
            <w:pPr>
              <w:pStyle w:val="Body"/>
              <w:jc w:val="right"/>
            </w:pPr>
            <w:r>
              <w:t>35.02%</w:t>
            </w:r>
          </w:p>
        </w:tc>
      </w:tr>
      <w:tr w:rsidR="00DE591D" w14:paraId="08B6E915"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05054E" w14:textId="77777777" w:rsidR="00DE591D" w:rsidRDefault="00F76C21">
            <w:pPr>
              <w:pStyle w:val="Body"/>
            </w:pPr>
            <w:r>
              <w:rPr>
                <w:rFonts w:eastAsia="Arial Unicode MS" w:cs="Arial Unicode MS"/>
              </w:rPr>
              <w:t>Total</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95BFF" w14:textId="77777777" w:rsidR="00DE591D" w:rsidRDefault="00F76C21">
            <w:pPr>
              <w:pStyle w:val="Body"/>
              <w:jc w:val="right"/>
            </w:pPr>
            <w:r>
              <w:t>100.00%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B3D98" w14:textId="77777777" w:rsidR="00DE591D" w:rsidRDefault="00F76C21">
            <w:pPr>
              <w:pStyle w:val="Body"/>
              <w:jc w:val="right"/>
            </w:pPr>
            <w:r>
              <w:t>100.00%</w:t>
            </w:r>
          </w:p>
        </w:tc>
      </w:tr>
    </w:tbl>
    <w:p w14:paraId="6C187DA7" w14:textId="77777777" w:rsidR="00DE591D" w:rsidRDefault="00DE591D">
      <w:pPr>
        <w:pStyle w:val="Body"/>
        <w:widowControl w:val="0"/>
        <w:suppressAutoHyphens/>
        <w:ind w:left="93" w:hanging="93"/>
      </w:pPr>
    </w:p>
    <w:p w14:paraId="02996443" w14:textId="77777777" w:rsidR="00DE591D" w:rsidRDefault="00DE591D">
      <w:pPr>
        <w:pStyle w:val="Body"/>
        <w:suppressAutoHyphens/>
      </w:pPr>
    </w:p>
    <w:p w14:paraId="51A803BA" w14:textId="77777777" w:rsidR="00DE591D" w:rsidRDefault="00F76C21">
      <w:pPr>
        <w:pStyle w:val="Body"/>
        <w:suppressAutoHyphens/>
      </w:pPr>
      <w:r>
        <w:t>Finally, change them to cumulative percentages.</w:t>
      </w:r>
    </w:p>
    <w:p w14:paraId="35A3E8EA" w14:textId="77777777" w:rsidR="00DE591D" w:rsidRDefault="00F76C21">
      <w:pPr>
        <w:pStyle w:val="Body"/>
        <w:suppressAutoHyphens/>
      </w:pPr>
      <w:r>
        <w:t xml:space="preserve"> </w:t>
      </w:r>
    </w:p>
    <w:tbl>
      <w:tblPr>
        <w:tblW w:w="2942"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90"/>
        <w:gridCol w:w="1076"/>
        <w:gridCol w:w="1076"/>
      </w:tblGrid>
      <w:tr w:rsidR="00DE591D" w14:paraId="5985DB33" w14:textId="77777777">
        <w:trPr>
          <w:trHeight w:val="315"/>
        </w:trPr>
        <w:tc>
          <w:tcPr>
            <w:tcW w:w="790" w:type="dxa"/>
            <w:tcBorders>
              <w:top w:val="single" w:sz="12"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6C2B2A87" w14:textId="77777777" w:rsidR="00DE591D" w:rsidRDefault="00F76C21">
            <w:pPr>
              <w:pStyle w:val="Body"/>
              <w:jc w:val="center"/>
            </w:pPr>
            <w:r>
              <w:rPr>
                <w:b/>
                <w:bCs/>
              </w:rPr>
              <w:t>Score</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B6EDC" w14:textId="77777777" w:rsidR="00DE591D" w:rsidRDefault="00F76C21">
            <w:pPr>
              <w:pStyle w:val="Body"/>
              <w:jc w:val="center"/>
            </w:pPr>
            <w:r>
              <w:rPr>
                <w:b/>
                <w:bCs/>
              </w:rPr>
              <w:t>D+</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8C478" w14:textId="77777777" w:rsidR="00DE591D" w:rsidRDefault="00F76C21">
            <w:pPr>
              <w:pStyle w:val="Body"/>
              <w:jc w:val="center"/>
            </w:pPr>
            <w:r>
              <w:rPr>
                <w:b/>
                <w:bCs/>
              </w:rPr>
              <w:t>D-</w:t>
            </w:r>
          </w:p>
        </w:tc>
      </w:tr>
      <w:tr w:rsidR="00DE591D" w14:paraId="784698A6" w14:textId="77777777">
        <w:trPr>
          <w:trHeight w:val="310"/>
        </w:trPr>
        <w:tc>
          <w:tcPr>
            <w:tcW w:w="790" w:type="dxa"/>
            <w:tcBorders>
              <w:top w:val="single" w:sz="8"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F3728C9" w14:textId="77777777" w:rsidR="00DE591D" w:rsidRDefault="00F76C21">
            <w:pPr>
              <w:pStyle w:val="Body"/>
              <w:jc w:val="center"/>
            </w:pPr>
            <w:r>
              <w:rPr>
                <w:b/>
                <w:bCs/>
              </w:rPr>
              <w:t>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4B17E" w14:textId="77777777" w:rsidR="00DE591D" w:rsidRDefault="00F76C21">
            <w:pPr>
              <w:pStyle w:val="Body"/>
              <w:jc w:val="center"/>
            </w:pPr>
            <w:r>
              <w:rPr>
                <w:b/>
                <w:bCs/>
              </w:rPr>
              <w:t>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9D5A9" w14:textId="77777777" w:rsidR="00DE591D" w:rsidRDefault="00F76C21">
            <w:pPr>
              <w:pStyle w:val="Body"/>
              <w:jc w:val="center"/>
            </w:pPr>
            <w:r>
              <w:rPr>
                <w:b/>
                <w:bCs/>
              </w:rPr>
              <w:t> </w:t>
            </w:r>
          </w:p>
        </w:tc>
      </w:tr>
      <w:tr w:rsidR="00DE591D" w14:paraId="4881B039" w14:textId="77777777">
        <w:trPr>
          <w:trHeight w:val="310"/>
        </w:trPr>
        <w:tc>
          <w:tcPr>
            <w:tcW w:w="790" w:type="dxa"/>
            <w:tcBorders>
              <w:top w:val="single" w:sz="8"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475B0A7F" w14:textId="77777777" w:rsidR="00DE591D" w:rsidRDefault="00F76C21">
            <w:pPr>
              <w:pStyle w:val="Body"/>
              <w:jc w:val="center"/>
            </w:pPr>
            <w:r>
              <w:t>≥ 6</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E7D16" w14:textId="77777777" w:rsidR="00DE591D" w:rsidRDefault="00F76C21">
            <w:pPr>
              <w:pStyle w:val="Body"/>
              <w:jc w:val="right"/>
            </w:pPr>
            <w:r>
              <w:t>43.77%</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16B63" w14:textId="77777777" w:rsidR="00DE591D" w:rsidRDefault="00F76C21">
            <w:pPr>
              <w:pStyle w:val="Body"/>
              <w:jc w:val="right"/>
            </w:pPr>
            <w:r>
              <w:t>20.08%</w:t>
            </w:r>
          </w:p>
        </w:tc>
      </w:tr>
      <w:tr w:rsidR="00DE591D" w14:paraId="0F85FD74" w14:textId="77777777">
        <w:trPr>
          <w:trHeight w:val="310"/>
        </w:trPr>
        <w:tc>
          <w:tcPr>
            <w:tcW w:w="790" w:type="dxa"/>
            <w:tcBorders>
              <w:top w:val="single" w:sz="8"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32524CD4" w14:textId="77777777" w:rsidR="00DE591D" w:rsidRDefault="00F76C21">
            <w:pPr>
              <w:pStyle w:val="Body"/>
              <w:jc w:val="center"/>
            </w:pPr>
            <w:r>
              <w:t>≥ 4</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A3DDB" w14:textId="77777777" w:rsidR="00DE591D" w:rsidRDefault="00F76C21">
            <w:pPr>
              <w:pStyle w:val="Body"/>
              <w:jc w:val="right"/>
            </w:pPr>
            <w:r>
              <w:t>91.25%</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3B00F" w14:textId="77777777" w:rsidR="00DE591D" w:rsidRDefault="00F76C21">
            <w:pPr>
              <w:pStyle w:val="Body"/>
              <w:jc w:val="right"/>
            </w:pPr>
            <w:r>
              <w:t>64.98%</w:t>
            </w:r>
          </w:p>
        </w:tc>
      </w:tr>
      <w:tr w:rsidR="00DE591D" w14:paraId="6179BDCF" w14:textId="77777777">
        <w:trPr>
          <w:trHeight w:val="310"/>
        </w:trPr>
        <w:tc>
          <w:tcPr>
            <w:tcW w:w="790" w:type="dxa"/>
            <w:tcBorders>
              <w:top w:val="single" w:sz="8"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225901FE" w14:textId="77777777" w:rsidR="00DE591D" w:rsidRDefault="00F76C21">
            <w:pPr>
              <w:pStyle w:val="Body"/>
              <w:jc w:val="center"/>
            </w:pPr>
            <w:r>
              <w:t>≥ 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AE1F40" w14:textId="77777777" w:rsidR="00DE591D" w:rsidRDefault="00F76C21">
            <w:pPr>
              <w:pStyle w:val="Body"/>
              <w:jc w:val="right"/>
            </w:pPr>
            <w:r>
              <w:t>100.00%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F1BA01" w14:textId="77777777" w:rsidR="00DE591D" w:rsidRDefault="00F76C21">
            <w:pPr>
              <w:pStyle w:val="Body"/>
              <w:jc w:val="right"/>
            </w:pPr>
            <w:r>
              <w:t>100.00%</w:t>
            </w:r>
          </w:p>
        </w:tc>
      </w:tr>
    </w:tbl>
    <w:p w14:paraId="16739B5F" w14:textId="77777777" w:rsidR="00DE591D" w:rsidRDefault="00DE591D">
      <w:pPr>
        <w:pStyle w:val="Body"/>
        <w:widowControl w:val="0"/>
        <w:suppressAutoHyphens/>
        <w:ind w:left="93" w:hanging="93"/>
      </w:pPr>
    </w:p>
    <w:p w14:paraId="6C1C57F0" w14:textId="77777777" w:rsidR="00DE591D" w:rsidRDefault="00DE591D">
      <w:pPr>
        <w:pStyle w:val="Body"/>
        <w:suppressAutoHyphens/>
        <w:rPr>
          <w:b/>
          <w:bCs/>
        </w:rPr>
      </w:pPr>
    </w:p>
    <w:p w14:paraId="16667685" w14:textId="77777777" w:rsidR="00DE591D" w:rsidRDefault="00DE591D">
      <w:pPr>
        <w:pStyle w:val="Body"/>
        <w:suppressAutoHyphens/>
      </w:pPr>
    </w:p>
    <w:p w14:paraId="73DD882E" w14:textId="6BED4FA3" w:rsidR="00DE591D" w:rsidRDefault="00F76C21" w:rsidP="00632C16">
      <w:pPr>
        <w:pStyle w:val="Body"/>
        <w:widowControl w:val="0"/>
        <w:numPr>
          <w:ilvl w:val="0"/>
          <w:numId w:val="5"/>
        </w:numPr>
        <w:suppressAutoHyphens/>
      </w:pPr>
      <w:r>
        <w:t>Use the above ROC Table to plot the ROC curve on the grid below</w:t>
      </w:r>
      <w:r w:rsidRPr="00632C16">
        <w:rPr>
          <w:b/>
          <w:bCs/>
        </w:rPr>
        <w:t>.</w:t>
      </w:r>
      <w:r w:rsidR="00632C16" w:rsidRPr="00632C16">
        <w:rPr>
          <w:b/>
          <w:bCs/>
        </w:rPr>
        <w:t>[2]</w:t>
      </w:r>
    </w:p>
    <w:p w14:paraId="14BE51F0" w14:textId="77777777" w:rsidR="00DE591D" w:rsidRDefault="00DE591D">
      <w:pPr>
        <w:pStyle w:val="Body"/>
        <w:suppressAutoHyphens/>
      </w:pPr>
    </w:p>
    <w:p w14:paraId="645A162A" w14:textId="77777777" w:rsidR="00DE591D" w:rsidRDefault="00F76C21">
      <w:pPr>
        <w:pStyle w:val="Body"/>
        <w:suppressAutoHyphens/>
      </w:pPr>
      <w:r>
        <w:rPr>
          <w:noProof/>
        </w:rPr>
        <w:lastRenderedPageBreak/>
        <w:drawing>
          <wp:inline distT="0" distB="0" distL="0" distR="0" wp14:anchorId="04500342" wp14:editId="0C99BF2A">
            <wp:extent cx="5318760" cy="361188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5318760" cy="3611880"/>
                    </a:xfrm>
                    <a:prstGeom prst="rect">
                      <a:avLst/>
                    </a:prstGeom>
                    <a:ln w="12700" cap="flat">
                      <a:noFill/>
                      <a:miter lim="400000"/>
                    </a:ln>
                    <a:effectLst/>
                  </pic:spPr>
                </pic:pic>
              </a:graphicData>
            </a:graphic>
          </wp:inline>
        </w:drawing>
      </w:r>
    </w:p>
    <w:p w14:paraId="6F112903" w14:textId="77777777" w:rsidR="00DE591D" w:rsidRDefault="00F76C21">
      <w:pPr>
        <w:pStyle w:val="Body"/>
        <w:suppressAutoHyphens/>
        <w:rPr>
          <w:b/>
          <w:bCs/>
        </w:rPr>
      </w:pPr>
      <w:r>
        <w:rPr>
          <w:b/>
          <w:bCs/>
          <w:lang w:val="de-DE"/>
        </w:rPr>
        <w:t>ANSWER:</w:t>
      </w:r>
    </w:p>
    <w:p w14:paraId="005F5D8B" w14:textId="77777777" w:rsidR="00DE591D" w:rsidRDefault="00DE591D">
      <w:pPr>
        <w:pStyle w:val="Body"/>
        <w:suppressAutoHyphens/>
        <w:rPr>
          <w:b/>
          <w:bCs/>
        </w:rPr>
      </w:pPr>
    </w:p>
    <w:p w14:paraId="65943DF0" w14:textId="77777777" w:rsidR="00DE591D" w:rsidRDefault="00F76C21">
      <w:pPr>
        <w:pStyle w:val="Body"/>
        <w:suppressAutoHyphens/>
        <w:rPr>
          <w:b/>
          <w:bCs/>
        </w:rPr>
      </w:pPr>
      <w:r>
        <w:rPr>
          <w:noProof/>
        </w:rPr>
        <w:drawing>
          <wp:inline distT="0" distB="0" distL="0" distR="0" wp14:anchorId="01476CFA" wp14:editId="2C2C6792">
            <wp:extent cx="5326380" cy="361950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8"/>
                    <a:stretch>
                      <a:fillRect/>
                    </a:stretch>
                  </pic:blipFill>
                  <pic:spPr>
                    <a:xfrm>
                      <a:off x="0" y="0"/>
                      <a:ext cx="5326380" cy="3619500"/>
                    </a:xfrm>
                    <a:prstGeom prst="rect">
                      <a:avLst/>
                    </a:prstGeom>
                    <a:ln w="12700" cap="flat">
                      <a:noFill/>
                      <a:miter lim="400000"/>
                    </a:ln>
                    <a:effectLst/>
                  </pic:spPr>
                </pic:pic>
              </a:graphicData>
            </a:graphic>
          </wp:inline>
        </w:drawing>
      </w:r>
    </w:p>
    <w:p w14:paraId="031912FC" w14:textId="77777777" w:rsidR="00DE591D" w:rsidRDefault="00F76C21">
      <w:pPr>
        <w:pStyle w:val="Body"/>
        <w:suppressAutoHyphens/>
        <w:rPr>
          <w:b/>
          <w:bCs/>
        </w:rPr>
      </w:pPr>
      <w:r>
        <w:rPr>
          <w:b/>
          <w:bCs/>
          <w:lang w:val="pt-PT"/>
        </w:rPr>
        <w:t>AUROC = 0.68</w:t>
      </w:r>
    </w:p>
    <w:p w14:paraId="73F9F388" w14:textId="77777777" w:rsidR="00DE591D" w:rsidRDefault="00DE591D">
      <w:pPr>
        <w:pStyle w:val="Body"/>
        <w:suppressAutoHyphens/>
      </w:pPr>
    </w:p>
    <w:p w14:paraId="5700AC22" w14:textId="77777777" w:rsidR="00DE591D" w:rsidRDefault="00DE591D">
      <w:pPr>
        <w:pStyle w:val="Body"/>
        <w:suppressAutoHyphens/>
      </w:pPr>
    </w:p>
    <w:p w14:paraId="4FD86B58" w14:textId="77777777" w:rsidR="00DE591D" w:rsidRDefault="00F76C21">
      <w:pPr>
        <w:pStyle w:val="ListParagraph"/>
        <w:numPr>
          <w:ilvl w:val="0"/>
          <w:numId w:val="5"/>
        </w:numPr>
        <w:suppressAutoHyphens/>
      </w:pPr>
      <w:r>
        <w:lastRenderedPageBreak/>
        <w:t xml:space="preserve">If you didn’t admit any TIA patients (“No Treat”), what proportion would have a stroke within 2 days?  (In part (h) below, we will refer to this as P, overall risk, i.e. the proportion of the population who ultimately develop the outcome within the specified time period.) </w:t>
      </w:r>
      <w:r>
        <w:rPr>
          <w:b/>
          <w:bCs/>
        </w:rPr>
        <w:t>[1]</w:t>
      </w:r>
    </w:p>
    <w:p w14:paraId="3C9AE463" w14:textId="77777777" w:rsidR="00DE591D" w:rsidRDefault="00DE591D">
      <w:pPr>
        <w:pStyle w:val="ListParagraph"/>
        <w:suppressAutoHyphens/>
      </w:pPr>
    </w:p>
    <w:p w14:paraId="1D388681" w14:textId="77777777" w:rsidR="00DE591D" w:rsidRDefault="00F76C21">
      <w:pPr>
        <w:pStyle w:val="ListParagraph"/>
        <w:suppressAutoHyphens/>
        <w:rPr>
          <w:b/>
          <w:bCs/>
          <w:i/>
          <w:iCs/>
        </w:rPr>
      </w:pPr>
      <w:r>
        <w:rPr>
          <w:b/>
          <w:bCs/>
          <w:i/>
          <w:iCs/>
        </w:rPr>
        <w:t>3.89%.  From the second table after part B.</w:t>
      </w:r>
    </w:p>
    <w:p w14:paraId="1C8CC2DB" w14:textId="77777777" w:rsidR="00DE591D" w:rsidRDefault="00DE591D">
      <w:pPr>
        <w:pStyle w:val="ListParagraph"/>
        <w:suppressAutoHyphens/>
        <w:rPr>
          <w:b/>
          <w:bCs/>
          <w:i/>
          <w:iCs/>
        </w:rPr>
      </w:pPr>
    </w:p>
    <w:p w14:paraId="5F1C03AE" w14:textId="77777777" w:rsidR="00DE591D" w:rsidRDefault="00F76C21">
      <w:pPr>
        <w:pStyle w:val="ListParagraph"/>
        <w:numPr>
          <w:ilvl w:val="0"/>
          <w:numId w:val="5"/>
        </w:numPr>
        <w:suppressAutoHyphens/>
      </w:pPr>
      <w:r>
        <w:t xml:space="preserve">If you admitted all TIA patients (“Treat All”), what proportion would you admit unnecessarily? </w:t>
      </w:r>
      <w:r>
        <w:rPr>
          <w:b/>
          <w:bCs/>
        </w:rPr>
        <w:t>[1]</w:t>
      </w:r>
    </w:p>
    <w:p w14:paraId="50C605EC" w14:textId="77777777" w:rsidR="00DE591D" w:rsidRDefault="00DE591D">
      <w:pPr>
        <w:pStyle w:val="Body"/>
        <w:suppressAutoHyphens/>
      </w:pPr>
    </w:p>
    <w:p w14:paraId="57DE1529" w14:textId="77777777" w:rsidR="00DE591D" w:rsidRDefault="00F76C21">
      <w:pPr>
        <w:pStyle w:val="Body"/>
        <w:suppressAutoHyphens/>
        <w:ind w:left="720"/>
        <w:rPr>
          <w:b/>
          <w:bCs/>
          <w:i/>
          <w:iCs/>
        </w:rPr>
      </w:pPr>
      <w:r>
        <w:rPr>
          <w:b/>
          <w:bCs/>
          <w:i/>
          <w:iCs/>
        </w:rPr>
        <w:t>100% - 3.89% = 96.11%</w:t>
      </w:r>
    </w:p>
    <w:p w14:paraId="7DDEAB58" w14:textId="77777777" w:rsidR="00DE591D" w:rsidRDefault="00DE591D">
      <w:pPr>
        <w:pStyle w:val="ListParagraph"/>
        <w:suppressAutoHyphens/>
      </w:pPr>
    </w:p>
    <w:p w14:paraId="62604CEC" w14:textId="77777777" w:rsidR="00DE591D" w:rsidRDefault="00F76C21">
      <w:pPr>
        <w:pStyle w:val="Body"/>
        <w:suppressAutoHyphens/>
      </w:pPr>
      <w:r>
        <w:t xml:space="preserve">Remember that an unnecessary admission of a TIA patient who doesn’t have a stroke in the next 2 days is 1/25 as bad as failing to admit someone who does have a stroke in the next 2 days.    </w:t>
      </w:r>
    </w:p>
    <w:p w14:paraId="2373E09D" w14:textId="77777777" w:rsidR="00DE591D" w:rsidRDefault="00DE591D">
      <w:pPr>
        <w:pStyle w:val="ListParagraph"/>
        <w:suppressAutoHyphens/>
      </w:pPr>
    </w:p>
    <w:p w14:paraId="2F7CA993" w14:textId="77777777" w:rsidR="00DE591D" w:rsidRDefault="00F76C21">
      <w:pPr>
        <w:pStyle w:val="ListParagraph"/>
        <w:numPr>
          <w:ilvl w:val="0"/>
          <w:numId w:val="5"/>
        </w:numPr>
        <w:suppressAutoHyphens/>
      </w:pPr>
      <w:r>
        <w:t xml:space="preserve">Calculate the Net Benefit of the </w:t>
      </w:r>
      <w:r>
        <w:rPr>
          <w:b/>
          <w:bCs/>
        </w:rPr>
        <w:t>Treat All</w:t>
      </w:r>
      <w:r>
        <w:t xml:space="preserve"> strategy relative to treat none.  Recall Net Benefit = (Patients Treated Appropriately – C/B × Patients Treated Unnecessarily)</w:t>
      </w:r>
      <w:proofErr w:type="gramStart"/>
      <w:r>
        <w:t>/(</w:t>
      </w:r>
      <w:proofErr w:type="gramEnd"/>
      <w:r>
        <w:t xml:space="preserve">All Patients) and explain in words what it means. </w:t>
      </w:r>
      <w:r>
        <w:rPr>
          <w:b/>
          <w:bCs/>
        </w:rPr>
        <w:t>[2]</w:t>
      </w:r>
    </w:p>
    <w:p w14:paraId="5C822B44" w14:textId="77777777" w:rsidR="00DE591D" w:rsidRDefault="00DE591D">
      <w:pPr>
        <w:pStyle w:val="ListParagraph"/>
        <w:suppressAutoHyphens/>
      </w:pPr>
    </w:p>
    <w:p w14:paraId="08C2B8C2" w14:textId="60DA46D5" w:rsidR="00DE591D" w:rsidRDefault="00F76C21">
      <w:pPr>
        <w:pStyle w:val="ListParagraph"/>
        <w:suppressAutoHyphens/>
        <w:rPr>
          <w:b/>
          <w:bCs/>
          <w:i/>
          <w:iCs/>
        </w:rPr>
      </w:pPr>
      <w:r>
        <w:rPr>
          <w:b/>
          <w:bCs/>
          <w:i/>
          <w:iCs/>
        </w:rPr>
        <w:t>.0389 - (1/25)</w:t>
      </w:r>
      <w:r w:rsidR="00E92E47">
        <w:rPr>
          <w:b/>
          <w:bCs/>
          <w:i/>
          <w:iCs/>
        </w:rPr>
        <w:t>0</w:t>
      </w:r>
      <w:r>
        <w:rPr>
          <w:b/>
          <w:bCs/>
          <w:i/>
          <w:iCs/>
        </w:rPr>
        <w:t>.9</w:t>
      </w:r>
      <w:r w:rsidR="00E92E47">
        <w:rPr>
          <w:b/>
          <w:bCs/>
          <w:i/>
          <w:iCs/>
        </w:rPr>
        <w:t>6</w:t>
      </w:r>
      <w:r>
        <w:rPr>
          <w:b/>
          <w:bCs/>
          <w:i/>
          <w:iCs/>
        </w:rPr>
        <w:t>11 = =0.000456, about 0.05%.  (The net benefit of "treat none" would be zero: no patients treated appropriately, and no patients treated unnecessarily.)</w:t>
      </w:r>
    </w:p>
    <w:p w14:paraId="313690EA" w14:textId="77777777" w:rsidR="00DE591D" w:rsidRDefault="00F76C21">
      <w:pPr>
        <w:pStyle w:val="ListParagraph"/>
        <w:suppressAutoHyphens/>
        <w:rPr>
          <w:b/>
          <w:bCs/>
          <w:i/>
          <w:iCs/>
        </w:rPr>
      </w:pPr>
      <w:r>
        <w:rPr>
          <w:rFonts w:ascii="Arial Unicode MS" w:hAnsi="Arial Unicode MS"/>
        </w:rPr>
        <w:br/>
      </w:r>
      <w:r>
        <w:rPr>
          <w:b/>
          <w:bCs/>
          <w:i/>
          <w:iCs/>
        </w:rPr>
        <w:t xml:space="preserve">The low net benefit of 0.05% for treating all means that the harms of unnecessary treatment are almost as great as the benefits of treatment in this case.   </w:t>
      </w:r>
    </w:p>
    <w:p w14:paraId="156241D1" w14:textId="77777777" w:rsidR="00DE591D" w:rsidRDefault="00F76C21">
      <w:pPr>
        <w:pStyle w:val="ListParagraph"/>
        <w:suppressAutoHyphens/>
        <w:rPr>
          <w:b/>
          <w:bCs/>
          <w:i/>
          <w:iCs/>
        </w:rPr>
      </w:pPr>
      <w:r>
        <w:rPr>
          <w:b/>
          <w:bCs/>
          <w:i/>
          <w:iCs/>
        </w:rPr>
        <w:t xml:space="preserve">This is not surprising because the 2-day incidence of stroke (3.89%) was very close to our treatment threshold of 1/26=3.85%, so we know that the expected utility of treating all and treating none will be very similar.  It means for every 1/.05% = 2000 patients we would admit, our benefit would the equivalent of treating one patient who needs treatment without treating anyone who does not. </w:t>
      </w:r>
    </w:p>
    <w:p w14:paraId="7583BC79" w14:textId="77777777" w:rsidR="00DE591D" w:rsidRDefault="00DE591D">
      <w:pPr>
        <w:pStyle w:val="ListParagraph"/>
        <w:suppressAutoHyphens/>
        <w:rPr>
          <w:b/>
          <w:bCs/>
          <w:i/>
          <w:iCs/>
        </w:rPr>
      </w:pPr>
    </w:p>
    <w:p w14:paraId="59E26E15" w14:textId="77777777" w:rsidR="00DE591D" w:rsidRDefault="00F76C21">
      <w:pPr>
        <w:pStyle w:val="ListParagraph"/>
        <w:numPr>
          <w:ilvl w:val="0"/>
          <w:numId w:val="5"/>
        </w:numPr>
        <w:suppressAutoHyphens/>
      </w:pPr>
      <w:r>
        <w:t xml:space="preserve">Calculate the Net Benefit of a hospitalization strategy using the ABCD2 cutoff in (a).  Is it higher or lower than the NB of the “Treat All” strategy? </w:t>
      </w:r>
      <w:r>
        <w:rPr>
          <w:b/>
          <w:bCs/>
        </w:rPr>
        <w:t>[2]</w:t>
      </w:r>
    </w:p>
    <w:p w14:paraId="5EA60CD8" w14:textId="77777777" w:rsidR="00DE591D" w:rsidRDefault="00F76C21">
      <w:pPr>
        <w:pStyle w:val="ListParagraph"/>
        <w:suppressAutoHyphens/>
        <w:ind w:left="0"/>
      </w:pPr>
      <w:r>
        <w:tab/>
      </w:r>
    </w:p>
    <w:p w14:paraId="2347A5EB" w14:textId="77777777" w:rsidR="00DE591D" w:rsidRDefault="00F76C21">
      <w:pPr>
        <w:pStyle w:val="ListParagraph"/>
        <w:suppressAutoHyphens/>
        <w:ind w:left="0"/>
        <w:rPr>
          <w:b/>
          <w:bCs/>
        </w:rPr>
      </w:pPr>
      <w:r>
        <w:rPr>
          <w:b/>
          <w:bCs/>
        </w:rPr>
        <w:t xml:space="preserve">If we use the cutoff in part (a), according to the ROC table above, we will appropriately treat 91.25% of the 3.89% destined to have a stroke, so the left half of the net benefit calculation is </w:t>
      </w:r>
      <w:r>
        <w:rPr>
          <w:b/>
          <w:bCs/>
          <w:i/>
          <w:iCs/>
        </w:rPr>
        <w:t>91.25% × 3.89% = 3.55%.</w:t>
      </w:r>
      <w:r>
        <w:rPr>
          <w:b/>
          <w:bCs/>
        </w:rPr>
        <w:t xml:space="preserve">  We will unnecessarily treat 64.98% of the (100% </w:t>
      </w:r>
      <w:r>
        <w:rPr>
          <w:rFonts w:ascii="Symbol" w:hAnsi="Symbol"/>
        </w:rPr>
        <w:t></w:t>
      </w:r>
      <w:r>
        <w:rPr>
          <w:b/>
          <w:bCs/>
        </w:rPr>
        <w:t xml:space="preserve"> 3.89%=) 96.11% of the subjects destined not to have a stroke, a total of 62.45%, or 0.6245.  That's only 1/25 as bad, so we'll multiply by C/B= 1/25 to get .6245/25=2.50%.   </w:t>
      </w:r>
      <w:proofErr w:type="gramStart"/>
      <w:r>
        <w:rPr>
          <w:b/>
          <w:bCs/>
        </w:rPr>
        <w:t>So</w:t>
      </w:r>
      <w:proofErr w:type="gramEnd"/>
      <w:r>
        <w:rPr>
          <w:b/>
          <w:bCs/>
        </w:rPr>
        <w:t xml:space="preserve"> our net benefit is 3.55% -2.5% = 1.05%.</w:t>
      </w:r>
      <w:r>
        <w:rPr>
          <w:b/>
          <w:bCs/>
        </w:rPr>
        <w:tab/>
      </w:r>
    </w:p>
    <w:p w14:paraId="0EB4EDFC" w14:textId="77777777" w:rsidR="00DE591D" w:rsidRDefault="00DE591D">
      <w:pPr>
        <w:pStyle w:val="ListParagraph"/>
        <w:suppressAutoHyphens/>
        <w:ind w:left="0"/>
        <w:rPr>
          <w:b/>
          <w:bCs/>
          <w:i/>
          <w:iCs/>
        </w:rPr>
      </w:pPr>
    </w:p>
    <w:p w14:paraId="4E1A8635" w14:textId="77777777" w:rsidR="00DE591D" w:rsidRDefault="00F76C21">
      <w:pPr>
        <w:pStyle w:val="ListParagraph"/>
        <w:suppressAutoHyphens/>
        <w:ind w:left="0"/>
        <w:rPr>
          <w:b/>
          <w:bCs/>
        </w:rPr>
      </w:pPr>
      <w:r>
        <w:rPr>
          <w:b/>
          <w:bCs/>
        </w:rPr>
        <w:t>This is higher than the treat all strategy, but it's still only about 1/100</w:t>
      </w:r>
      <w:r>
        <w:rPr>
          <w:b/>
          <w:bCs/>
          <w:vertAlign w:val="superscript"/>
        </w:rPr>
        <w:t>th</w:t>
      </w:r>
      <w:r>
        <w:rPr>
          <w:b/>
          <w:bCs/>
        </w:rPr>
        <w:t xml:space="preserve"> as good as being able to admit someone destined to get a stroke without having to admit anyone unnecessarily.</w:t>
      </w:r>
    </w:p>
    <w:p w14:paraId="6A9B78CA" w14:textId="77777777" w:rsidR="00DE591D" w:rsidRDefault="00DE591D">
      <w:pPr>
        <w:pStyle w:val="ListParagraph"/>
        <w:suppressAutoHyphens/>
        <w:ind w:left="0"/>
        <w:rPr>
          <w:b/>
          <w:bCs/>
        </w:rPr>
      </w:pPr>
    </w:p>
    <w:p w14:paraId="6975DFE8" w14:textId="77777777" w:rsidR="00DE591D" w:rsidRDefault="00DE591D">
      <w:pPr>
        <w:pStyle w:val="ListParagraph"/>
        <w:suppressAutoHyphens/>
        <w:ind w:left="0"/>
        <w:rPr>
          <w:b/>
          <w:bCs/>
        </w:rPr>
      </w:pPr>
    </w:p>
    <w:p w14:paraId="6A1BB127" w14:textId="77777777" w:rsidR="00DE591D" w:rsidRDefault="00F76C21">
      <w:pPr>
        <w:pStyle w:val="FootnoteText"/>
        <w:rPr>
          <w:rFonts w:ascii="Times New Roman" w:eastAsia="Times New Roman" w:hAnsi="Times New Roman" w:cs="Times New Roman"/>
          <w:b/>
          <w:bCs/>
        </w:rPr>
      </w:pPr>
      <w:r>
        <w:rPr>
          <w:rFonts w:ascii="Times New Roman" w:hAnsi="Times New Roman"/>
          <w:b/>
          <w:bCs/>
        </w:rPr>
        <w:lastRenderedPageBreak/>
        <w:t>6.3.  Prediction of mortality from community-acquired pneumonia [8]</w:t>
      </w:r>
      <w:r>
        <w:rPr>
          <w:rFonts w:ascii="Arial Unicode MS" w:eastAsia="Arial Unicode MS" w:hAnsi="Arial Unicode MS" w:cs="Arial Unicode MS"/>
        </w:rPr>
        <w:br/>
      </w:r>
    </w:p>
    <w:p w14:paraId="43681842" w14:textId="6B622348" w:rsidR="00DE591D" w:rsidRDefault="00F76C21">
      <w:pPr>
        <w:pStyle w:val="FootnoteText"/>
        <w:rPr>
          <w:rFonts w:ascii="Times New Roman" w:eastAsia="Times New Roman" w:hAnsi="Times New Roman" w:cs="Times New Roman"/>
        </w:rPr>
      </w:pPr>
      <w:r>
        <w:rPr>
          <w:rFonts w:ascii="Times New Roman" w:hAnsi="Times New Roman"/>
        </w:rPr>
        <w:t xml:space="preserve">Schuetz et al </w:t>
      </w:r>
      <w:r>
        <w:rPr>
          <w:rFonts w:ascii="Times New Roman" w:eastAsia="Times New Roman" w:hAnsi="Times New Roman" w:cs="Times New Roman"/>
        </w:rPr>
        <w:fldChar w:fldCharType="begin"/>
      </w:r>
      <w:r w:rsidR="00AD78B1">
        <w:rPr>
          <w:rFonts w:ascii="Times New Roman" w:eastAsia="Times New Roman" w:hAnsi="Times New Roman" w:cs="Times New Roman"/>
        </w:rPr>
        <w:instrText xml:space="preserve"> ADDIN EN.CITE &lt;EndNote&gt;&lt;Cite&gt;&lt;Author&gt;Schuetz&lt;/Author&gt;&lt;Year&gt;2008&lt;/Year&gt;&lt;RecNum&gt;1563&lt;/RecNum&gt;&lt;DisplayText&gt;[2]&lt;/DisplayText&gt;&lt;record&gt;&lt;rec-number&gt;1563&lt;/rec-number&gt;&lt;foreign-keys&gt;&lt;key app="EN" db-id="tw5zsa9fbrf5toeezpb5tzwatvzvps55eeew" timestamp="0"&gt;1563&lt;/key&gt;&lt;/foreign-keys&gt;&lt;ref-type name="Journal Article"&gt;17&lt;/ref-type&gt;&lt;contributors&gt;&lt;authors&gt;&lt;author&gt;Schuetz, P.&lt;/author&gt;&lt;author&gt;Koller, M.&lt;/author&gt;&lt;author&gt;Christ-Crain, M.&lt;/author&gt;&lt;author&gt;Steyerberg, E.&lt;/author&gt;&lt;author&gt;Stolz, D.&lt;/author&gt;&lt;author&gt;Muller, C.&lt;/author&gt;&lt;author&gt;Bucher, H. C.&lt;/author&gt;&lt;author&gt;Bingisser, R.&lt;/author&gt;&lt;author&gt;Tamm, M.&lt;/author&gt;&lt;author&gt;Muller, B.&lt;/author&gt;&lt;/authors&gt;&lt;/contributors&gt;&lt;auth-address&gt;University Hospital Basel, Department of Internal Medicine, Basel, Switzerland. schuetzp@uhbs.ch&lt;/auth-address&gt;&lt;titles&gt;&lt;title&gt;Predicting mortality with pneumonia severity scores: importance of model recalibration to local settings&lt;/title&gt;&lt;secondary-title&gt;Epidemiol Infect&lt;/secondary-title&gt;&lt;/titles&gt;&lt;pages&gt;1628-37&lt;/pages&gt;&lt;volume&gt;136&lt;/volume&gt;&lt;number&gt;12&lt;/number&gt;&lt;edition&gt;2008/02/28&lt;/edition&gt;&lt;keywords&gt;&lt;keyword&gt;Aged&lt;/keyword&gt;&lt;keyword&gt;Aged, 80 and over&lt;/keyword&gt;&lt;keyword&gt;Calibration&lt;/keyword&gt;&lt;keyword&gt;Community-Acquired Infections/diagnosis/mortality&lt;/keyword&gt;&lt;keyword&gt;Female&lt;/keyword&gt;&lt;keyword&gt;Humans&lt;/keyword&gt;&lt;keyword&gt;Male&lt;/keyword&gt;&lt;keyword&gt;Middle Aged&lt;/keyword&gt;&lt;keyword&gt;*Models, Statistical&lt;/keyword&gt;&lt;keyword&gt;Pneumonia/diagnosis/*mortality&lt;/keyword&gt;&lt;keyword&gt;Prognosis&lt;/keyword&gt;&lt;keyword&gt;Randomized Controlled Trials as Topic&lt;/keyword&gt;&lt;keyword&gt;Reproducibility of Results&lt;/keyword&gt;&lt;keyword&gt;Risk Factors&lt;/keyword&gt;&lt;keyword&gt;*Severity of Illness Index&lt;/keyword&gt;&lt;keyword&gt;Switzerland/epidemiology&lt;/keyword&gt;&lt;/keywords&gt;&lt;dates&gt;&lt;year&gt;2008&lt;/year&gt;&lt;pub-dates&gt;&lt;date&gt;Dec&lt;/date&gt;&lt;/pub-dates&gt;&lt;/dates&gt;&lt;isbn&gt;0950-2688 (Print)&amp;#xD;0950-2688 (Linking)&lt;/isbn&gt;&lt;accession-num&gt;18302806&lt;/accession-num&gt;&lt;urls&gt;&lt;related-urls&gt;&lt;url&gt;https://www.ncbi.nlm.nih.gov/pubmed/18302806&lt;/url&gt;&lt;/related-urls&gt;&lt;/urls&gt;&lt;custom2&gt;PMC2870789&lt;/custom2&gt;&lt;electronic-resource-num&gt;10.1017/S0950268808000435&lt;/electronic-resource-num&gt;&lt;/record&gt;&lt;/Cite&gt;&lt;/EndNote&gt;</w:instrText>
      </w:r>
      <w:r>
        <w:rPr>
          <w:rFonts w:ascii="Times New Roman" w:eastAsia="Times New Roman" w:hAnsi="Times New Roman" w:cs="Times New Roman"/>
        </w:rPr>
        <w:fldChar w:fldCharType="separate"/>
      </w:r>
      <w:r>
        <w:rPr>
          <w:rFonts w:ascii="Times New Roman" w:hAnsi="Times New Roman"/>
          <w:noProof/>
        </w:rPr>
        <w:t>[2]</w:t>
      </w:r>
      <w:r>
        <w:rPr>
          <w:rFonts w:ascii="Times New Roman" w:eastAsia="Times New Roman" w:hAnsi="Times New Roman" w:cs="Times New Roman"/>
        </w:rPr>
        <w:fldChar w:fldCharType="end"/>
      </w:r>
      <w:r>
        <w:rPr>
          <w:rFonts w:ascii="Times New Roman" w:hAnsi="Times New Roman"/>
        </w:rPr>
        <w:t xml:space="preserve"> compared 3 previously derived rules for predicting mortality in patients with community-acquired pneumonia.  The 3 rules were the Pneumonia Severity Index (PSI), the CURB65, and the CRB65</w:t>
      </w:r>
      <w:r>
        <w:rPr>
          <w:rFonts w:ascii="Times New Roman" w:eastAsia="Times New Roman" w:hAnsi="Times New Roman" w:cs="Times New Roman"/>
          <w:vertAlign w:val="superscript"/>
        </w:rPr>
        <w:footnoteReference w:id="2"/>
      </w:r>
      <w:r>
        <w:rPr>
          <w:rFonts w:ascii="Times New Roman" w:hAnsi="Times New Roman"/>
        </w:rPr>
        <w:t xml:space="preserve">.  They used each of these 3 rules to predict risk of death in 373 patients with community–acquired pneumonia seen in the emergency department of a Swiss university hospital, of whom 41 died within 30 days.  Their calibration plots are shown on the next page.  </w:t>
      </w:r>
    </w:p>
    <w:p w14:paraId="0B7775D2" w14:textId="77777777" w:rsidR="00DE591D" w:rsidRDefault="00DE591D">
      <w:pPr>
        <w:pStyle w:val="FootnoteText"/>
        <w:rPr>
          <w:rFonts w:ascii="Times New Roman" w:eastAsia="Times New Roman" w:hAnsi="Times New Roman" w:cs="Times New Roman"/>
        </w:rPr>
      </w:pPr>
    </w:p>
    <w:p w14:paraId="00EFA49A" w14:textId="77777777" w:rsidR="00DE591D" w:rsidRDefault="00F76C21">
      <w:pPr>
        <w:pStyle w:val="FootnoteText"/>
        <w:rPr>
          <w:rFonts w:ascii="Times New Roman" w:eastAsia="Times New Roman" w:hAnsi="Times New Roman" w:cs="Times New Roman"/>
        </w:rPr>
      </w:pPr>
      <w:r>
        <w:rPr>
          <w:rFonts w:ascii="Times New Roman" w:hAnsi="Times New Roman"/>
        </w:rPr>
        <w:t xml:space="preserve">For all 3 rules, the predicted and observed 30-day mortality rates differed substantially.  The authors therefore re-calibrated the prediction rules.   </w:t>
      </w:r>
    </w:p>
    <w:p w14:paraId="048A5AFA" w14:textId="77777777" w:rsidR="00DE591D" w:rsidRDefault="00DE591D">
      <w:pPr>
        <w:pStyle w:val="FootnoteText"/>
        <w:rPr>
          <w:rFonts w:ascii="Times New Roman" w:eastAsia="Times New Roman" w:hAnsi="Times New Roman" w:cs="Times New Roman"/>
        </w:rPr>
      </w:pPr>
    </w:p>
    <w:p w14:paraId="4AD0D0AF" w14:textId="77777777" w:rsidR="00DE591D" w:rsidRDefault="00F76C21">
      <w:pPr>
        <w:pStyle w:val="FootnoteText"/>
        <w:rPr>
          <w:rFonts w:ascii="Times New Roman" w:eastAsia="Times New Roman" w:hAnsi="Times New Roman" w:cs="Times New Roman"/>
        </w:rPr>
      </w:pPr>
      <w:r>
        <w:rPr>
          <w:rFonts w:ascii="Times New Roman" w:hAnsi="Times New Roman"/>
        </w:rPr>
        <w:t xml:space="preserve">a) Figure (c) is the calibration plot for the CRB65 rule.  The open diamonds </w:t>
      </w:r>
      <w:r>
        <w:rPr>
          <w:rFonts w:ascii="Times New Roman" w:hAnsi="Times New Roman"/>
          <w:shd w:val="clear" w:color="auto" w:fill="FFFFFF"/>
        </w:rPr>
        <w:t xml:space="preserve">(◊) </w:t>
      </w:r>
      <w:r>
        <w:rPr>
          <w:rFonts w:ascii="Times New Roman" w:hAnsi="Times New Roman"/>
        </w:rPr>
        <w:t xml:space="preserve">represent the original risk predictions prior to recalibration.  Prior to recalibration, did the CRB65 rule overestimate or underestimate mortality risk? Explain briefly. </w:t>
      </w:r>
      <w:r>
        <w:rPr>
          <w:rFonts w:ascii="Times New Roman" w:hAnsi="Times New Roman"/>
          <w:b/>
          <w:bCs/>
        </w:rPr>
        <w:t>[1]</w:t>
      </w:r>
    </w:p>
    <w:p w14:paraId="47E2A0D3" w14:textId="77777777" w:rsidR="00DE591D" w:rsidRDefault="00DE591D">
      <w:pPr>
        <w:pStyle w:val="FootnoteText"/>
        <w:rPr>
          <w:rFonts w:ascii="Times New Roman" w:eastAsia="Times New Roman" w:hAnsi="Times New Roman" w:cs="Times New Roman"/>
        </w:rPr>
      </w:pPr>
    </w:p>
    <w:p w14:paraId="5C4091AC" w14:textId="77777777" w:rsidR="00DE591D" w:rsidRDefault="00F76C21">
      <w:pPr>
        <w:pStyle w:val="FootnoteText"/>
        <w:rPr>
          <w:rFonts w:ascii="Times New Roman" w:eastAsia="Times New Roman" w:hAnsi="Times New Roman" w:cs="Times New Roman"/>
          <w:b/>
          <w:bCs/>
        </w:rPr>
      </w:pPr>
      <w:r>
        <w:rPr>
          <w:rFonts w:ascii="Times New Roman" w:hAnsi="Times New Roman"/>
          <w:b/>
          <w:bCs/>
        </w:rPr>
        <w:t>The CRB65 underestimated mortality because the graph shows that the observed mortality was higher than the predicted mortality.</w:t>
      </w:r>
    </w:p>
    <w:p w14:paraId="34215737" w14:textId="77777777" w:rsidR="00DE591D" w:rsidRDefault="00DE591D">
      <w:pPr>
        <w:pStyle w:val="FootnoteText"/>
        <w:rPr>
          <w:rFonts w:ascii="Times New Roman" w:eastAsia="Times New Roman" w:hAnsi="Times New Roman" w:cs="Times New Roman"/>
        </w:rPr>
      </w:pPr>
    </w:p>
    <w:p w14:paraId="7E1BA9C0" w14:textId="77777777" w:rsidR="00DE591D" w:rsidRDefault="00F76C21">
      <w:pPr>
        <w:pStyle w:val="FootnoteText"/>
        <w:rPr>
          <w:rFonts w:ascii="Times New Roman" w:eastAsia="Times New Roman" w:hAnsi="Times New Roman" w:cs="Times New Roman"/>
        </w:rPr>
      </w:pPr>
      <w:r>
        <w:rPr>
          <w:rFonts w:ascii="Times New Roman" w:hAnsi="Times New Roman"/>
        </w:rPr>
        <w:t>b) Figure (b) is the calibration plot for C</w:t>
      </w:r>
      <w:r>
        <w:rPr>
          <w:rFonts w:ascii="Times New Roman" w:hAnsi="Times New Roman"/>
          <w:b/>
          <w:bCs/>
          <w:u w:val="single"/>
        </w:rPr>
        <w:t>U</w:t>
      </w:r>
      <w:r>
        <w:rPr>
          <w:rFonts w:ascii="Times New Roman" w:hAnsi="Times New Roman"/>
        </w:rPr>
        <w:t xml:space="preserve">RB65 (note the letter “U”).  CURB 65 assigned only 3 patients to its highest risk group.  How many of them died? </w:t>
      </w:r>
      <w:r>
        <w:rPr>
          <w:b/>
          <w:bCs/>
        </w:rPr>
        <w:t>[1]</w:t>
      </w:r>
    </w:p>
    <w:p w14:paraId="064C239D" w14:textId="77777777" w:rsidR="00DE591D" w:rsidRDefault="00DE591D">
      <w:pPr>
        <w:pStyle w:val="FootnoteText"/>
        <w:rPr>
          <w:rFonts w:ascii="Times New Roman" w:eastAsia="Times New Roman" w:hAnsi="Times New Roman" w:cs="Times New Roman"/>
        </w:rPr>
      </w:pPr>
    </w:p>
    <w:p w14:paraId="31FEF110" w14:textId="77777777" w:rsidR="00DE591D" w:rsidRDefault="00F76C21">
      <w:pPr>
        <w:pStyle w:val="FootnoteText"/>
        <w:rPr>
          <w:rFonts w:ascii="Times New Roman" w:eastAsia="Times New Roman" w:hAnsi="Times New Roman" w:cs="Times New Roman"/>
          <w:b/>
          <w:bCs/>
        </w:rPr>
      </w:pPr>
      <w:r>
        <w:rPr>
          <w:rFonts w:ascii="Times New Roman" w:hAnsi="Times New Roman"/>
          <w:b/>
          <w:bCs/>
        </w:rPr>
        <w:lastRenderedPageBreak/>
        <w:t>The observed mortality looks like about 33%, so of the 3 patients in the highest risk group one must have died.</w:t>
      </w:r>
      <w:r>
        <w:rPr>
          <w:rFonts w:ascii="Times New Roman" w:eastAsia="Times New Roman" w:hAnsi="Times New Roman" w:cs="Times New Roman"/>
          <w:b/>
          <w:bCs/>
          <w:noProof/>
        </w:rPr>
        <w:drawing>
          <wp:anchor distT="57150" distB="57150" distL="57150" distR="57150" simplePos="0" relativeHeight="251659264" behindDoc="0" locked="0" layoutInCell="1" allowOverlap="1" wp14:anchorId="3E8E2116" wp14:editId="6D980E30">
            <wp:simplePos x="0" y="0"/>
            <wp:positionH relativeFrom="margin">
              <wp:posOffset>-6350</wp:posOffset>
            </wp:positionH>
            <wp:positionV relativeFrom="line">
              <wp:posOffset>334387</wp:posOffset>
            </wp:positionV>
            <wp:extent cx="2436639" cy="6782396"/>
            <wp:effectExtent l="0" t="0" r="0" b="0"/>
            <wp:wrapSquare wrapText="bothSides" distT="57150" distB="57150" distL="57150" distR="57150"/>
            <wp:docPr id="1073741827" name="officeArt object" descr="PneumoniaCalibrationProblem.jpg"/>
            <wp:cNvGraphicFramePr/>
            <a:graphic xmlns:a="http://schemas.openxmlformats.org/drawingml/2006/main">
              <a:graphicData uri="http://schemas.openxmlformats.org/drawingml/2006/picture">
                <pic:pic xmlns:pic="http://schemas.openxmlformats.org/drawingml/2006/picture">
                  <pic:nvPicPr>
                    <pic:cNvPr id="1073741827" name="PneumoniaCalibrationProblem.jpg" descr="PneumoniaCalibrationProblem.jpg"/>
                    <pic:cNvPicPr>
                      <a:picLocks noChangeAspect="1"/>
                    </pic:cNvPicPr>
                  </pic:nvPicPr>
                  <pic:blipFill>
                    <a:blip r:embed="rId9"/>
                    <a:stretch>
                      <a:fillRect/>
                    </a:stretch>
                  </pic:blipFill>
                  <pic:spPr>
                    <a:xfrm>
                      <a:off x="0" y="0"/>
                      <a:ext cx="2436639" cy="6782396"/>
                    </a:xfrm>
                    <a:prstGeom prst="rect">
                      <a:avLst/>
                    </a:prstGeom>
                    <a:ln w="12700" cap="flat">
                      <a:noFill/>
                      <a:miter lim="400000"/>
                    </a:ln>
                    <a:effectLst/>
                  </pic:spPr>
                </pic:pic>
              </a:graphicData>
            </a:graphic>
          </wp:anchor>
        </w:drawing>
      </w:r>
    </w:p>
    <w:p w14:paraId="1C72C10A" w14:textId="77777777" w:rsidR="00DE591D" w:rsidRDefault="00DE591D">
      <w:pPr>
        <w:pStyle w:val="Body"/>
        <w:rPr>
          <w:shd w:val="clear" w:color="auto" w:fill="FFFFFF"/>
        </w:rPr>
      </w:pPr>
    </w:p>
    <w:p w14:paraId="79646862" w14:textId="727931D6" w:rsidR="00DE591D" w:rsidRDefault="00F76C21">
      <w:pPr>
        <w:pStyle w:val="Body"/>
        <w:ind w:left="2160"/>
        <w:rPr>
          <w:shd w:val="clear" w:color="auto" w:fill="FFFFFF"/>
        </w:rPr>
      </w:pPr>
      <w:r>
        <w:rPr>
          <w:shd w:val="clear" w:color="auto" w:fill="FFFFFF"/>
        </w:rPr>
        <w:t>Figure 2: Agreement between predicted and observed 30-day mortality (calibration) for three pneumonia severity prediction rules (</w:t>
      </w:r>
      <w:r>
        <w:rPr>
          <w:i/>
          <w:iCs/>
          <w:shd w:val="clear" w:color="auto" w:fill="FFFFFF"/>
        </w:rPr>
        <w:t>a</w:t>
      </w:r>
      <w:r>
        <w:rPr>
          <w:shd w:val="clear" w:color="auto" w:fill="FFFFFF"/>
        </w:rPr>
        <w:t>) PSI, (</w:t>
      </w:r>
      <w:r>
        <w:rPr>
          <w:i/>
          <w:iCs/>
          <w:shd w:val="clear" w:color="auto" w:fill="FFFFFF"/>
        </w:rPr>
        <w:t>b</w:t>
      </w:r>
      <w:r>
        <w:rPr>
          <w:shd w:val="clear" w:color="auto" w:fill="FFFFFF"/>
        </w:rPr>
        <w:t>) CURB65 and (</w:t>
      </w:r>
      <w:r>
        <w:rPr>
          <w:i/>
          <w:iCs/>
          <w:shd w:val="clear" w:color="auto" w:fill="FFFFFF"/>
        </w:rPr>
        <w:t>c</w:t>
      </w:r>
      <w:r>
        <w:rPr>
          <w:shd w:val="clear" w:color="auto" w:fill="FFFFFF"/>
        </w:rPr>
        <w:t>) CRB65. Observed mortality is plotted according to classes of predicted risk for each prediction rule separately. The solid line of identity represents perfect calibration of predicted risk within new patients. From Schuetz et al</w:t>
      </w:r>
      <w:r>
        <w:fldChar w:fldCharType="begin"/>
      </w:r>
      <w:r w:rsidR="00AD78B1">
        <w:instrText xml:space="preserve"> ADDIN EN.CITE &lt;EndNote&gt;&lt;Cite&gt;&lt;Author&gt;Schuetz&lt;/Author&gt;&lt;Year&gt;2008&lt;/Year&gt;&lt;RecNum&gt;1563&lt;/RecNum&gt;&lt;DisplayText&gt;[2]&lt;/DisplayText&gt;&lt;record&gt;&lt;rec-number&gt;1563&lt;/rec-number&gt;&lt;foreign-keys&gt;&lt;key app="EN" db-id="tw5zsa9fbrf5toeezpb5tzwatvzvps55eeew" timestamp="0"&gt;1563&lt;/key&gt;&lt;/foreign-keys&gt;&lt;ref-type name="Journal Article"&gt;17&lt;/ref-type&gt;&lt;contributors&gt;&lt;authors&gt;&lt;author&gt;Schuetz, P.&lt;/author&gt;&lt;author&gt;Koller, M.&lt;/author&gt;&lt;author&gt;Christ-Crain, M.&lt;/author&gt;&lt;author&gt;Steyerberg, E.&lt;/author&gt;&lt;author&gt;Stolz, D.&lt;/author&gt;&lt;author&gt;Muller, C.&lt;/author&gt;&lt;author&gt;Bucher, H. C.&lt;/author&gt;&lt;author&gt;Bingisser, R.&lt;/author&gt;&lt;author&gt;Tamm, M.&lt;/author&gt;&lt;author&gt;Muller, B.&lt;/author&gt;&lt;/authors&gt;&lt;/contributors&gt;&lt;auth-address&gt;University Hospital Basel, Department of Internal Medicine, Basel, Switzerland. schuetzp@uhbs.ch&lt;/auth-address&gt;&lt;titles&gt;&lt;title&gt;Predicting mortality with pneumonia severity scores: importance of model recalibration to local settings&lt;/title&gt;&lt;secondary-title&gt;Epidemiol Infect&lt;/secondary-title&gt;&lt;/titles&gt;&lt;pages&gt;1628-37&lt;/pages&gt;&lt;volume&gt;136&lt;/volume&gt;&lt;number&gt;12&lt;/number&gt;&lt;edition&gt;2008/02/28&lt;/edition&gt;&lt;keywords&gt;&lt;keyword&gt;Aged&lt;/keyword&gt;&lt;keyword&gt;Aged, 80 and over&lt;/keyword&gt;&lt;keyword&gt;Calibration&lt;/keyword&gt;&lt;keyword&gt;Community-Acquired Infections/diagnosis/mortality&lt;/keyword&gt;&lt;keyword&gt;Female&lt;/keyword&gt;&lt;keyword&gt;Humans&lt;/keyword&gt;&lt;keyword&gt;Male&lt;/keyword&gt;&lt;keyword&gt;Middle Aged&lt;/keyword&gt;&lt;keyword&gt;*Models, Statistical&lt;/keyword&gt;&lt;keyword&gt;Pneumonia/diagnosis/*mortality&lt;/keyword&gt;&lt;keyword&gt;Prognosis&lt;/keyword&gt;&lt;keyword&gt;Randomized Controlled Trials as Topic&lt;/keyword&gt;&lt;keyword&gt;Reproducibility of Results&lt;/keyword&gt;&lt;keyword&gt;Risk Factors&lt;/keyword&gt;&lt;keyword&gt;*Severity of Illness Index&lt;/keyword&gt;&lt;keyword&gt;Switzerland/epidemiology&lt;/keyword&gt;&lt;/keywords&gt;&lt;dates&gt;&lt;year&gt;2008&lt;/year&gt;&lt;pub-dates&gt;&lt;date&gt;Dec&lt;/date&gt;&lt;/pub-dates&gt;&lt;/dates&gt;&lt;isbn&gt;0950-2688 (Print)&amp;#xD;0950-2688 (Linking)&lt;/isbn&gt;&lt;accession-num&gt;18302806&lt;/accession-num&gt;&lt;urls&gt;&lt;related-urls&gt;&lt;url&gt;https://www.ncbi.nlm.nih.gov/pubmed/18302806&lt;/url&gt;&lt;/related-urls&gt;&lt;/urls&gt;&lt;custom2&gt;PMC2870789&lt;/custom2&gt;&lt;electronic-resource-num&gt;10.1017/S0950268808000435&lt;/electronic-resource-num&gt;&lt;/record&gt;&lt;/Cite&gt;&lt;/EndNote&gt;</w:instrText>
      </w:r>
      <w:r>
        <w:fldChar w:fldCharType="separate"/>
      </w:r>
      <w:r>
        <w:rPr>
          <w:noProof/>
          <w:lang w:val="pt-PT"/>
        </w:rPr>
        <w:t>[2]</w:t>
      </w:r>
      <w:r>
        <w:fldChar w:fldCharType="end"/>
      </w:r>
      <w:r>
        <w:rPr>
          <w:shd w:val="clear" w:color="auto" w:fill="FFFFFF"/>
        </w:rPr>
        <w:t>, used with permission from Cambridge University Press.</w:t>
      </w:r>
    </w:p>
    <w:p w14:paraId="1C0569F2" w14:textId="77777777" w:rsidR="00DE591D" w:rsidRDefault="00DE591D">
      <w:pPr>
        <w:pStyle w:val="Body"/>
        <w:ind w:left="2160"/>
        <w:rPr>
          <w:shd w:val="clear" w:color="auto" w:fill="FFFFFF"/>
        </w:rPr>
      </w:pPr>
    </w:p>
    <w:p w14:paraId="16BE2396" w14:textId="3929D48C" w:rsidR="00DE591D" w:rsidRDefault="00F76C21">
      <w:pPr>
        <w:pStyle w:val="Body"/>
        <w:ind w:left="2160"/>
        <w:rPr>
          <w:shd w:val="clear" w:color="auto" w:fill="FFFFFF"/>
        </w:rPr>
      </w:pPr>
      <w:proofErr w:type="gramStart"/>
      <w:r>
        <w:rPr>
          <w:shd w:val="clear" w:color="auto" w:fill="FFFFFF"/>
        </w:rPr>
        <w:t xml:space="preserve">◊ </w:t>
      </w:r>
      <w:r w:rsidR="00812219">
        <w:rPr>
          <w:shd w:val="clear" w:color="auto" w:fill="FFFFFF"/>
        </w:rPr>
        <w:t xml:space="preserve"> </w:t>
      </w:r>
      <w:r>
        <w:rPr>
          <w:shd w:val="clear" w:color="auto" w:fill="FFFFFF"/>
        </w:rPr>
        <w:t>Before</w:t>
      </w:r>
      <w:proofErr w:type="gramEnd"/>
      <w:r>
        <w:rPr>
          <w:shd w:val="clear" w:color="auto" w:fill="FFFFFF"/>
        </w:rPr>
        <w:t xml:space="preserve"> recalibration</w:t>
      </w:r>
    </w:p>
    <w:p w14:paraId="1767ED96" w14:textId="7633B814" w:rsidR="00DE591D" w:rsidRDefault="00812219">
      <w:pPr>
        <w:pStyle w:val="Body"/>
        <w:ind w:left="2160"/>
      </w:pPr>
      <w:r>
        <w:rPr>
          <w:shd w:val="clear" w:color="auto" w:fill="FFFFFF"/>
        </w:rPr>
        <w:sym w:font="Symbol" w:char="F0A8"/>
      </w:r>
      <w:r w:rsidR="00F76C21">
        <w:rPr>
          <w:shd w:val="clear" w:color="auto" w:fill="FFFFFF"/>
        </w:rPr>
        <w:t>After recalibration</w:t>
      </w:r>
    </w:p>
    <w:p w14:paraId="091260E6" w14:textId="77777777" w:rsidR="00DE591D" w:rsidRDefault="00F76C21">
      <w:pPr>
        <w:pStyle w:val="Body"/>
      </w:pPr>
      <w:r>
        <w:rPr>
          <w:rFonts w:ascii="Arial Unicode MS" w:eastAsia="Arial Unicode MS" w:hAnsi="Arial Unicode MS" w:cs="Arial Unicode MS"/>
        </w:rPr>
        <w:br w:type="page"/>
      </w:r>
    </w:p>
    <w:p w14:paraId="211BFD05" w14:textId="77777777" w:rsidR="00DE591D" w:rsidRDefault="00F76C21">
      <w:pPr>
        <w:pStyle w:val="FootnoteText"/>
        <w:rPr>
          <w:rFonts w:ascii="Times New Roman" w:eastAsia="Times New Roman" w:hAnsi="Times New Roman" w:cs="Times New Roman"/>
        </w:rPr>
      </w:pPr>
      <w:r>
        <w:rPr>
          <w:rFonts w:ascii="Times New Roman" w:hAnsi="Times New Roman"/>
        </w:rPr>
        <w:lastRenderedPageBreak/>
        <w:t>The ROC curves are shown below:</w:t>
      </w:r>
    </w:p>
    <w:p w14:paraId="49C67BC3" w14:textId="77777777" w:rsidR="00DE591D" w:rsidRDefault="00DE591D">
      <w:pPr>
        <w:pStyle w:val="FootnoteText"/>
        <w:rPr>
          <w:rFonts w:ascii="Times New Roman" w:eastAsia="Times New Roman" w:hAnsi="Times New Roman" w:cs="Times New Roman"/>
        </w:rPr>
      </w:pPr>
    </w:p>
    <w:p w14:paraId="5E86C499" w14:textId="77777777" w:rsidR="00DE591D" w:rsidRDefault="00F76C21">
      <w:pPr>
        <w:pStyle w:val="FootnoteText"/>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D652AA4" wp14:editId="2D21C24D">
            <wp:extent cx="4800599" cy="3271205"/>
            <wp:effectExtent l="0" t="0" r="0" b="0"/>
            <wp:docPr id="1073741828" name="officeArt object" descr="ROC Curve.jpg"/>
            <wp:cNvGraphicFramePr/>
            <a:graphic xmlns:a="http://schemas.openxmlformats.org/drawingml/2006/main">
              <a:graphicData uri="http://schemas.openxmlformats.org/drawingml/2006/picture">
                <pic:pic xmlns:pic="http://schemas.openxmlformats.org/drawingml/2006/picture">
                  <pic:nvPicPr>
                    <pic:cNvPr id="1073741828" name="ROC Curve.jpg" descr="ROC Curve.jpg"/>
                    <pic:cNvPicPr>
                      <a:picLocks noChangeAspect="1"/>
                    </pic:cNvPicPr>
                  </pic:nvPicPr>
                  <pic:blipFill>
                    <a:blip r:embed="rId10"/>
                    <a:stretch>
                      <a:fillRect/>
                    </a:stretch>
                  </pic:blipFill>
                  <pic:spPr>
                    <a:xfrm>
                      <a:off x="0" y="0"/>
                      <a:ext cx="4800599" cy="3271205"/>
                    </a:xfrm>
                    <a:prstGeom prst="rect">
                      <a:avLst/>
                    </a:prstGeom>
                    <a:ln w="12700" cap="flat">
                      <a:noFill/>
                      <a:miter lim="400000"/>
                    </a:ln>
                    <a:effectLst/>
                  </pic:spPr>
                </pic:pic>
              </a:graphicData>
            </a:graphic>
          </wp:inline>
        </w:drawing>
      </w:r>
    </w:p>
    <w:p w14:paraId="73311CD6" w14:textId="77777777" w:rsidR="00DE591D" w:rsidRDefault="00DE591D">
      <w:pPr>
        <w:pStyle w:val="FootnoteText"/>
        <w:rPr>
          <w:rFonts w:ascii="Times New Roman" w:eastAsia="Times New Roman" w:hAnsi="Times New Roman" w:cs="Times New Roman"/>
        </w:rPr>
      </w:pPr>
    </w:p>
    <w:p w14:paraId="3E2C363A" w14:textId="71A24670" w:rsidR="00DE591D" w:rsidRDefault="00F76C21">
      <w:pPr>
        <w:pStyle w:val="Body"/>
      </w:pPr>
      <w:r>
        <w:rPr>
          <w:rFonts w:eastAsia="Arial Unicode MS" w:cs="Arial Unicode MS"/>
          <w:shd w:val="clear" w:color="auto" w:fill="FFFFFF"/>
        </w:rPr>
        <w:t>Figure 3. Receiver-operating characteristics analysis for 30-day mortality prediction with three pneumonia severity prediction rules (PSI, CURB65 and CRB65) in 373 patients with community acquired pneumonia. From Schuetz et al</w:t>
      </w:r>
      <w:r>
        <w:fldChar w:fldCharType="begin"/>
      </w:r>
      <w:r w:rsidR="00AD78B1">
        <w:instrText xml:space="preserve"> ADDIN EN.CITE &lt;EndNote&gt;&lt;Cite&gt;&lt;Author&gt;Schuetz&lt;/Author&gt;&lt;Year&gt;2008&lt;/Year&gt;&lt;RecNum&gt;1563&lt;/RecNum&gt;&lt;DisplayText&gt;[2]&lt;/DisplayText&gt;&lt;record&gt;&lt;rec-number&gt;1563&lt;/rec-number&gt;&lt;foreign-keys&gt;&lt;key app="EN" db-id="tw5zsa9fbrf5toeezpb5tzwatvzvps55eeew" timestamp="0"&gt;1563&lt;/key&gt;&lt;/foreign-keys&gt;&lt;ref-type name="Journal Article"&gt;17&lt;/ref-type&gt;&lt;contributors&gt;&lt;authors&gt;&lt;author&gt;Schuetz, P.&lt;/author&gt;&lt;author&gt;Koller, M.&lt;/author&gt;&lt;author&gt;Christ-Crain, M.&lt;/author&gt;&lt;author&gt;Steyerberg, E.&lt;/author&gt;&lt;author&gt;Stolz, D.&lt;/author&gt;&lt;author&gt;Muller, C.&lt;/author&gt;&lt;author&gt;Bucher, H. C.&lt;/author&gt;&lt;author&gt;Bingisser, R.&lt;/author&gt;&lt;author&gt;Tamm, M.&lt;/author&gt;&lt;author&gt;Muller, B.&lt;/author&gt;&lt;/authors&gt;&lt;/contributors&gt;&lt;auth-address&gt;University Hospital Basel, Department of Internal Medicine, Basel, Switzerland. schuetzp@uhbs.ch&lt;/auth-address&gt;&lt;titles&gt;&lt;title&gt;Predicting mortality with pneumonia severity scores: importance of model recalibration to local settings&lt;/title&gt;&lt;secondary-title&gt;Epidemiol Infect&lt;/secondary-title&gt;&lt;/titles&gt;&lt;pages&gt;1628-37&lt;/pages&gt;&lt;volume&gt;136&lt;/volume&gt;&lt;number&gt;12&lt;/number&gt;&lt;edition&gt;2008/02/28&lt;/edition&gt;&lt;keywords&gt;&lt;keyword&gt;Aged&lt;/keyword&gt;&lt;keyword&gt;Aged, 80 and over&lt;/keyword&gt;&lt;keyword&gt;Calibration&lt;/keyword&gt;&lt;keyword&gt;Community-Acquired Infections/diagnosis/mortality&lt;/keyword&gt;&lt;keyword&gt;Female&lt;/keyword&gt;&lt;keyword&gt;Humans&lt;/keyword&gt;&lt;keyword&gt;Male&lt;/keyword&gt;&lt;keyword&gt;Middle Aged&lt;/keyword&gt;&lt;keyword&gt;*Models, Statistical&lt;/keyword&gt;&lt;keyword&gt;Pneumonia/diagnosis/*mortality&lt;/keyword&gt;&lt;keyword&gt;Prognosis&lt;/keyword&gt;&lt;keyword&gt;Randomized Controlled Trials as Topic&lt;/keyword&gt;&lt;keyword&gt;Reproducibility of Results&lt;/keyword&gt;&lt;keyword&gt;Risk Factors&lt;/keyword&gt;&lt;keyword&gt;*Severity of Illness Index&lt;/keyword&gt;&lt;keyword&gt;Switzerland/epidemiology&lt;/keyword&gt;&lt;/keywords&gt;&lt;dates&gt;&lt;year&gt;2008&lt;/year&gt;&lt;pub-dates&gt;&lt;date&gt;Dec&lt;/date&gt;&lt;/pub-dates&gt;&lt;/dates&gt;&lt;isbn&gt;0950-2688 (Print)&amp;#xD;0950-2688 (Linking)&lt;/isbn&gt;&lt;accession-num&gt;18302806&lt;/accession-num&gt;&lt;urls&gt;&lt;related-urls&gt;&lt;url&gt;https://www.ncbi.nlm.nih.gov/pubmed/18302806&lt;/url&gt;&lt;/related-urls&gt;&lt;/urls&gt;&lt;custom2&gt;PMC2870789&lt;/custom2&gt;&lt;electronic-resource-num&gt;10.1017/S0950268808000435&lt;/electronic-resource-num&gt;&lt;/record&gt;&lt;/Cite&gt;&lt;/EndNote&gt;</w:instrText>
      </w:r>
      <w:r>
        <w:fldChar w:fldCharType="separate"/>
      </w:r>
      <w:r>
        <w:rPr>
          <w:rFonts w:eastAsia="Arial Unicode MS" w:cs="Arial Unicode MS"/>
          <w:noProof/>
          <w:lang w:val="pt-PT"/>
        </w:rPr>
        <w:t>[2]</w:t>
      </w:r>
      <w:r>
        <w:fldChar w:fldCharType="end"/>
      </w:r>
      <w:r>
        <w:rPr>
          <w:rFonts w:eastAsia="Arial Unicode MS" w:cs="Arial Unicode MS"/>
          <w:shd w:val="clear" w:color="auto" w:fill="FFFFFF"/>
        </w:rPr>
        <w:t>, used with permission from Cambridge University Press.</w:t>
      </w:r>
    </w:p>
    <w:p w14:paraId="41292BE8" w14:textId="77777777" w:rsidR="00DE591D" w:rsidRDefault="00DE591D">
      <w:pPr>
        <w:pStyle w:val="FootnoteText"/>
        <w:rPr>
          <w:rFonts w:ascii="Times New Roman" w:eastAsia="Times New Roman" w:hAnsi="Times New Roman" w:cs="Times New Roman"/>
        </w:rPr>
      </w:pPr>
    </w:p>
    <w:p w14:paraId="63863F24" w14:textId="77777777" w:rsidR="00DE591D" w:rsidRDefault="00DE591D">
      <w:pPr>
        <w:pStyle w:val="FootnoteText"/>
        <w:rPr>
          <w:rFonts w:ascii="Times New Roman" w:eastAsia="Times New Roman" w:hAnsi="Times New Roman" w:cs="Times New Roman"/>
        </w:rPr>
      </w:pPr>
    </w:p>
    <w:p w14:paraId="30313C71" w14:textId="77777777" w:rsidR="00DE591D" w:rsidRDefault="00F76C21">
      <w:pPr>
        <w:pStyle w:val="FootnoteText"/>
        <w:rPr>
          <w:rFonts w:ascii="Times New Roman" w:eastAsia="Times New Roman" w:hAnsi="Times New Roman" w:cs="Times New Roman"/>
        </w:rPr>
      </w:pPr>
      <w:r>
        <w:rPr>
          <w:rFonts w:ascii="Times New Roman" w:hAnsi="Times New Roman"/>
        </w:rPr>
        <w:t xml:space="preserve">c) Do you think the above ROC curves were based on the pre-recalibration or post-recalibration risk predictions? Does it matter?  Explain your answer. </w:t>
      </w:r>
      <w:r>
        <w:rPr>
          <w:b/>
          <w:bCs/>
        </w:rPr>
        <w:t>[2]</w:t>
      </w:r>
    </w:p>
    <w:p w14:paraId="6BE89842" w14:textId="77777777" w:rsidR="00DE591D" w:rsidRDefault="00DE591D">
      <w:pPr>
        <w:pStyle w:val="FootnoteText"/>
        <w:rPr>
          <w:rFonts w:ascii="Times New Roman" w:eastAsia="Times New Roman" w:hAnsi="Times New Roman" w:cs="Times New Roman"/>
        </w:rPr>
      </w:pPr>
    </w:p>
    <w:p w14:paraId="55261AAE" w14:textId="77777777" w:rsidR="00DE591D" w:rsidRDefault="00F76C21">
      <w:pPr>
        <w:pStyle w:val="FootnoteText"/>
        <w:rPr>
          <w:rFonts w:ascii="Times New Roman" w:eastAsia="Times New Roman" w:hAnsi="Times New Roman" w:cs="Times New Roman"/>
          <w:b/>
          <w:bCs/>
        </w:rPr>
      </w:pPr>
      <w:r>
        <w:rPr>
          <w:rFonts w:ascii="Times New Roman" w:hAnsi="Times New Roman"/>
          <w:b/>
          <w:bCs/>
        </w:rPr>
        <w:t>It should not matter, because the recalibration would not change the rank order of the predictions, which is what determines the ROC curve.</w:t>
      </w:r>
    </w:p>
    <w:p w14:paraId="31DA650C" w14:textId="77777777" w:rsidR="00DE591D" w:rsidRDefault="00DE591D">
      <w:pPr>
        <w:pStyle w:val="FootnoteText"/>
        <w:rPr>
          <w:rFonts w:ascii="Times New Roman" w:eastAsia="Times New Roman" w:hAnsi="Times New Roman" w:cs="Times New Roman"/>
        </w:rPr>
      </w:pPr>
    </w:p>
    <w:p w14:paraId="22633D0D" w14:textId="77777777" w:rsidR="00DE591D" w:rsidRDefault="00DE591D">
      <w:pPr>
        <w:pStyle w:val="Body"/>
      </w:pPr>
    </w:p>
    <w:p w14:paraId="5429DE55" w14:textId="77777777" w:rsidR="00DE591D" w:rsidRDefault="00F76C21">
      <w:pPr>
        <w:pStyle w:val="FootnoteText"/>
        <w:rPr>
          <w:rFonts w:ascii="Times New Roman" w:eastAsia="Times New Roman" w:hAnsi="Times New Roman" w:cs="Times New Roman"/>
        </w:rPr>
      </w:pPr>
      <w:r>
        <w:rPr>
          <w:rFonts w:ascii="Times New Roman" w:hAnsi="Times New Roman"/>
        </w:rPr>
        <w:t xml:space="preserve">d)   Below is an enlarged version of the calibration plot for the PSI with 3 risk classes circled.  Draw a circle around the part of the ROC curve that corresponds to these 3 risk classes. </w:t>
      </w:r>
      <w:r>
        <w:rPr>
          <w:b/>
          <w:bCs/>
        </w:rPr>
        <w:t>[2]</w:t>
      </w:r>
    </w:p>
    <w:p w14:paraId="65434F13" w14:textId="77777777" w:rsidR="00DE591D" w:rsidRDefault="00F76C21">
      <w:pPr>
        <w:pStyle w:val="FootnoteText"/>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s">
            <w:drawing>
              <wp:anchor distT="0" distB="0" distL="0" distR="0" simplePos="0" relativeHeight="251660288" behindDoc="0" locked="0" layoutInCell="1" allowOverlap="1" wp14:anchorId="0327CD08" wp14:editId="28F16334">
                <wp:simplePos x="0" y="0"/>
                <wp:positionH relativeFrom="column">
                  <wp:posOffset>457200</wp:posOffset>
                </wp:positionH>
                <wp:positionV relativeFrom="line">
                  <wp:posOffset>2078354</wp:posOffset>
                </wp:positionV>
                <wp:extent cx="685800" cy="457200"/>
                <wp:effectExtent l="0" t="0" r="0" b="0"/>
                <wp:wrapNone/>
                <wp:docPr id="1073741829" name="officeArt object" descr="Oval 8"/>
                <wp:cNvGraphicFramePr/>
                <a:graphic xmlns:a="http://schemas.openxmlformats.org/drawingml/2006/main">
                  <a:graphicData uri="http://schemas.microsoft.com/office/word/2010/wordprocessingShape">
                    <wps:wsp>
                      <wps:cNvSpPr/>
                      <wps:spPr>
                        <a:xfrm>
                          <a:off x="0" y="0"/>
                          <a:ext cx="685800" cy="457200"/>
                        </a:xfrm>
                        <a:prstGeom prst="ellipse">
                          <a:avLst/>
                        </a:prstGeom>
                        <a:noFill/>
                        <a:ln w="12700" cap="flat">
                          <a:solidFill>
                            <a:srgbClr val="000000"/>
                          </a:solidFill>
                          <a:prstDash val="solid"/>
                          <a:miter lim="800000"/>
                        </a:ln>
                        <a:effectLst/>
                      </wps:spPr>
                      <wps:bodyPr/>
                    </wps:wsp>
                  </a:graphicData>
                </a:graphic>
              </wp:anchor>
            </w:drawing>
          </mc:Choice>
          <mc:Fallback>
            <w:pict>
              <v:oval id="_x0000_s1026" style="visibility:visible;position:absolute;margin-left:36.0pt;margin-top:163.6pt;width:54.0pt;height:36.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text"/>
              </v:oval>
            </w:pict>
          </mc:Fallback>
        </mc:AlternateContent>
      </w:r>
      <w:r>
        <w:rPr>
          <w:rFonts w:ascii="Times New Roman" w:eastAsia="Times New Roman" w:hAnsi="Times New Roman" w:cs="Times New Roman"/>
          <w:noProof/>
        </w:rPr>
        <w:drawing>
          <wp:inline distT="0" distB="0" distL="0" distR="0" wp14:anchorId="4F779DAE" wp14:editId="3AE8FA3F">
            <wp:extent cx="3657600" cy="3476753"/>
            <wp:effectExtent l="0" t="0" r="0" b="0"/>
            <wp:docPr id="1073741830" name="officeArt object" descr="PneumoniaCalibrationProblem.jpg"/>
            <wp:cNvGraphicFramePr/>
            <a:graphic xmlns:a="http://schemas.openxmlformats.org/drawingml/2006/main">
              <a:graphicData uri="http://schemas.openxmlformats.org/drawingml/2006/picture">
                <pic:pic xmlns:pic="http://schemas.openxmlformats.org/drawingml/2006/picture">
                  <pic:nvPicPr>
                    <pic:cNvPr id="1073741830" name="PneumoniaCalibrationProblem.jpg" descr="PneumoniaCalibrationProblem.jpg"/>
                    <pic:cNvPicPr>
                      <a:picLocks noChangeAspect="1"/>
                    </pic:cNvPicPr>
                  </pic:nvPicPr>
                  <pic:blipFill>
                    <a:blip r:embed="rId9"/>
                    <a:srcRect b="65844"/>
                    <a:stretch>
                      <a:fillRect/>
                    </a:stretch>
                  </pic:blipFill>
                  <pic:spPr>
                    <a:xfrm>
                      <a:off x="0" y="0"/>
                      <a:ext cx="3657600" cy="3476753"/>
                    </a:xfrm>
                    <a:prstGeom prst="rect">
                      <a:avLst/>
                    </a:prstGeom>
                    <a:ln w="12700" cap="flat">
                      <a:noFill/>
                      <a:miter lim="400000"/>
                    </a:ln>
                    <a:effectLst/>
                  </pic:spPr>
                </pic:pic>
              </a:graphicData>
            </a:graphic>
          </wp:inline>
        </w:drawing>
      </w:r>
    </w:p>
    <w:p w14:paraId="623D70D4" w14:textId="77777777" w:rsidR="00DE591D" w:rsidRDefault="00DE591D">
      <w:pPr>
        <w:pStyle w:val="FootnoteText"/>
        <w:rPr>
          <w:rFonts w:ascii="Times New Roman" w:eastAsia="Times New Roman" w:hAnsi="Times New Roman" w:cs="Times New Roman"/>
        </w:rPr>
      </w:pPr>
    </w:p>
    <w:p w14:paraId="6A1E688E" w14:textId="77777777" w:rsidR="00DE591D" w:rsidRDefault="00F76C21">
      <w:pPr>
        <w:pStyle w:val="FootnoteText"/>
        <w:rPr>
          <w:rFonts w:ascii="Times New Roman" w:eastAsia="Times New Roman" w:hAnsi="Times New Roman" w:cs="Times New Roman"/>
          <w:b/>
          <w:bCs/>
        </w:rPr>
      </w:pPr>
      <w:r>
        <w:rPr>
          <w:rFonts w:ascii="Times New Roman" w:eastAsia="Times New Roman" w:hAnsi="Times New Roman" w:cs="Times New Roman"/>
          <w:noProof/>
        </w:rPr>
        <w:drawing>
          <wp:inline distT="0" distB="0" distL="0" distR="0" wp14:anchorId="16D51B28" wp14:editId="087F7FF6">
            <wp:extent cx="4361213" cy="2971800"/>
            <wp:effectExtent l="0" t="0" r="0" b="0"/>
            <wp:docPr id="1073741831" name="officeArt object" descr="ROC Curve.jpg"/>
            <wp:cNvGraphicFramePr/>
            <a:graphic xmlns:a="http://schemas.openxmlformats.org/drawingml/2006/main">
              <a:graphicData uri="http://schemas.openxmlformats.org/drawingml/2006/picture">
                <pic:pic xmlns:pic="http://schemas.openxmlformats.org/drawingml/2006/picture">
                  <pic:nvPicPr>
                    <pic:cNvPr id="1073741831" name="ROC Curve.jpg" descr="ROC Curve.jpg"/>
                    <pic:cNvPicPr>
                      <a:picLocks noChangeAspect="1"/>
                    </pic:cNvPicPr>
                  </pic:nvPicPr>
                  <pic:blipFill>
                    <a:blip r:embed="rId10"/>
                    <a:stretch>
                      <a:fillRect/>
                    </a:stretch>
                  </pic:blipFill>
                  <pic:spPr>
                    <a:xfrm>
                      <a:off x="0" y="0"/>
                      <a:ext cx="4361213" cy="2971800"/>
                    </a:xfrm>
                    <a:prstGeom prst="rect">
                      <a:avLst/>
                    </a:prstGeom>
                    <a:ln w="12700" cap="flat">
                      <a:noFill/>
                      <a:miter lim="400000"/>
                    </a:ln>
                    <a:effectLst/>
                  </pic:spPr>
                </pic:pic>
              </a:graphicData>
            </a:graphic>
          </wp:inline>
        </w:drawing>
      </w:r>
    </w:p>
    <w:p w14:paraId="2B9DECE0" w14:textId="77777777" w:rsidR="00DE591D" w:rsidRDefault="00DE591D">
      <w:pPr>
        <w:pStyle w:val="FootnoteText"/>
        <w:rPr>
          <w:rFonts w:ascii="Times New Roman" w:eastAsia="Times New Roman" w:hAnsi="Times New Roman" w:cs="Times New Roman"/>
          <w:b/>
          <w:bCs/>
        </w:rPr>
      </w:pPr>
    </w:p>
    <w:p w14:paraId="64950652" w14:textId="77777777" w:rsidR="00DE591D" w:rsidRDefault="00F76C21">
      <w:pPr>
        <w:pStyle w:val="Body"/>
      </w:pPr>
      <w:r>
        <w:rPr>
          <w:rFonts w:ascii="Arial Unicode MS" w:eastAsia="Arial Unicode MS" w:hAnsi="Arial Unicode MS" w:cs="Arial Unicode MS"/>
        </w:rPr>
        <w:br w:type="page"/>
      </w:r>
    </w:p>
    <w:p w14:paraId="4420536D" w14:textId="77777777" w:rsidR="00DE591D" w:rsidRDefault="00F76C21">
      <w:pPr>
        <w:pStyle w:val="FootnoteText"/>
        <w:rPr>
          <w:rFonts w:ascii="Times New Roman" w:eastAsia="Times New Roman" w:hAnsi="Times New Roman" w:cs="Times New Roman"/>
          <w:b/>
          <w:bCs/>
        </w:rPr>
      </w:pPr>
      <w:r>
        <w:rPr>
          <w:rFonts w:ascii="Times New Roman" w:hAnsi="Times New Roman"/>
          <w:b/>
          <w:bCs/>
        </w:rPr>
        <w:lastRenderedPageBreak/>
        <w:t>This is a hard one.  The points in the lower left of the calibration plot are those where the predicted mortality is lowest.  So those would be the most reassuring results, i.e., those with the lowest likelihood ratios (LR).   The lowest LR are those at the upper right of the ROC curve, where the slopes are closest to zero.</w:t>
      </w:r>
    </w:p>
    <w:p w14:paraId="272D5C0F" w14:textId="77777777" w:rsidR="00DE591D" w:rsidRDefault="00DE591D">
      <w:pPr>
        <w:pStyle w:val="FootnoteText"/>
        <w:rPr>
          <w:rFonts w:ascii="Times New Roman" w:eastAsia="Times New Roman" w:hAnsi="Times New Roman" w:cs="Times New Roman"/>
          <w:b/>
          <w:bCs/>
        </w:rPr>
      </w:pPr>
    </w:p>
    <w:p w14:paraId="12316EAA" w14:textId="77777777" w:rsidR="00DE591D" w:rsidRDefault="00F76C21">
      <w:pPr>
        <w:pStyle w:val="FootnoteText"/>
        <w:rPr>
          <w:rFonts w:ascii="Times New Roman" w:eastAsia="Times New Roman" w:hAnsi="Times New Roman" w:cs="Times New Roman"/>
          <w:b/>
          <w:bCs/>
        </w:rPr>
      </w:pPr>
      <w:r>
        <w:rPr>
          <w:rFonts w:ascii="Times New Roman" w:hAnsi="Times New Roman"/>
          <w:b/>
          <w:bCs/>
        </w:rPr>
        <w:t>Additional notes, not needed for credit:</w:t>
      </w:r>
    </w:p>
    <w:p w14:paraId="0D6F209D" w14:textId="77777777" w:rsidR="00DE591D" w:rsidRDefault="00DE591D">
      <w:pPr>
        <w:pStyle w:val="FootnoteText"/>
        <w:rPr>
          <w:rFonts w:ascii="Times New Roman" w:eastAsia="Times New Roman" w:hAnsi="Times New Roman" w:cs="Times New Roman"/>
          <w:b/>
          <w:bCs/>
        </w:rPr>
      </w:pPr>
    </w:p>
    <w:p w14:paraId="7B42EAFE" w14:textId="1AB4EF3B" w:rsidR="00DE591D" w:rsidRDefault="00F76C21">
      <w:pPr>
        <w:pStyle w:val="FootnoteText"/>
        <w:rPr>
          <w:rFonts w:ascii="Times New Roman" w:eastAsia="Times New Roman" w:hAnsi="Times New Roman" w:cs="Times New Roman"/>
          <w:b/>
          <w:bCs/>
        </w:rPr>
      </w:pPr>
      <w:r>
        <w:rPr>
          <w:rFonts w:ascii="Times New Roman" w:hAnsi="Times New Roman"/>
          <w:b/>
          <w:bCs/>
        </w:rPr>
        <w:t xml:space="preserve">Note that each point on the calibration plot corresponds to a group of patients, rather than a cutoff, so points on calibration plots correspond to a </w:t>
      </w:r>
      <w:proofErr w:type="gramStart"/>
      <w:r w:rsidRPr="004F67B7">
        <w:rPr>
          <w:rFonts w:ascii="Times New Roman" w:hAnsi="Times New Roman"/>
          <w:b/>
          <w:bCs/>
          <w:i/>
          <w:iCs/>
        </w:rPr>
        <w:t>segments</w:t>
      </w:r>
      <w:proofErr w:type="gramEnd"/>
      <w:r>
        <w:rPr>
          <w:rFonts w:ascii="Times New Roman" w:hAnsi="Times New Roman"/>
          <w:b/>
          <w:bCs/>
        </w:rPr>
        <w:t xml:space="preserve"> on the ROC curve.    </w:t>
      </w:r>
      <w:r>
        <w:rPr>
          <w:rFonts w:ascii="Arial Unicode MS" w:eastAsia="Arial Unicode MS" w:hAnsi="Arial Unicode MS" w:cs="Arial Unicode MS"/>
        </w:rPr>
        <w:br/>
      </w:r>
      <w:r>
        <w:rPr>
          <w:rFonts w:ascii="Arial Unicode MS" w:eastAsia="Arial Unicode MS" w:hAnsi="Arial Unicode MS" w:cs="Arial Unicode MS"/>
        </w:rPr>
        <w:br/>
      </w:r>
      <w:r>
        <w:rPr>
          <w:rFonts w:ascii="Times New Roman" w:hAnsi="Times New Roman"/>
          <w:b/>
          <w:bCs/>
        </w:rPr>
        <w:t>You can't tell from the calibration plot how many subjects are covered by each point, but you can get a sense of that from the ROC curve: longer line segments mean more people.   By definition, the vertical distance or “rise” is the proportion of the D+ group in the interval and the horizontal distance or “run” is the proportion of the D- group in the interval.  To get the proportion of the entire population in the interval, you have to know the proportion of D+ patients in the sample, P(D+).  Then the overall proportion is P(D</w:t>
      </w:r>
      <w:proofErr w:type="gramStart"/>
      <w:r>
        <w:rPr>
          <w:rFonts w:ascii="Times New Roman" w:hAnsi="Times New Roman"/>
          <w:b/>
          <w:bCs/>
        </w:rPr>
        <w:t>+)*</w:t>
      </w:r>
      <w:proofErr w:type="gramEnd"/>
      <w:r>
        <w:rPr>
          <w:rFonts w:ascii="Times New Roman" w:hAnsi="Times New Roman"/>
          <w:b/>
          <w:bCs/>
        </w:rPr>
        <w:t>rise + (1-P(D+))*run.</w:t>
      </w:r>
    </w:p>
    <w:p w14:paraId="513E08CF" w14:textId="606B2A02" w:rsidR="00DE591D" w:rsidRDefault="006646C8">
      <w:pPr>
        <w:pStyle w:val="FootnoteText"/>
        <w:rPr>
          <w:rFonts w:ascii="Times New Roman" w:eastAsia="Times New Roman" w:hAnsi="Times New Roman" w:cs="Times New Roman"/>
        </w:rPr>
      </w:pPr>
      <w:r>
        <w:rPr>
          <w:noProof/>
        </w:rPr>
        <mc:AlternateContent>
          <mc:Choice Requires="wps">
            <w:drawing>
              <wp:anchor distT="0" distB="0" distL="0" distR="0" simplePos="0" relativeHeight="251661312" behindDoc="0" locked="0" layoutInCell="1" allowOverlap="1" wp14:anchorId="1E5CBD36" wp14:editId="2298F3FB">
                <wp:simplePos x="0" y="0"/>
                <wp:positionH relativeFrom="column">
                  <wp:posOffset>2506002</wp:posOffset>
                </wp:positionH>
                <wp:positionV relativeFrom="line">
                  <wp:posOffset>65393</wp:posOffset>
                </wp:positionV>
                <wp:extent cx="1762772" cy="818148"/>
                <wp:effectExtent l="0" t="38100" r="2540" b="45720"/>
                <wp:wrapNone/>
                <wp:docPr id="1073741832" name="officeArt object" descr="Oval 5"/>
                <wp:cNvGraphicFramePr/>
                <a:graphic xmlns:a="http://schemas.openxmlformats.org/drawingml/2006/main">
                  <a:graphicData uri="http://schemas.microsoft.com/office/word/2010/wordprocessingShape">
                    <wps:wsp>
                      <wps:cNvSpPr/>
                      <wps:spPr>
                        <a:xfrm rot="20918976">
                          <a:off x="0" y="0"/>
                          <a:ext cx="1762772" cy="818148"/>
                        </a:xfrm>
                        <a:prstGeom prst="ellipse">
                          <a:avLst/>
                        </a:prstGeom>
                        <a:noFill/>
                        <a:ln w="12700" cap="flat">
                          <a:solidFill>
                            <a:srgbClr val="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oval w14:anchorId="27531F87" id="officeArt object" o:spid="_x0000_s1026" alt="Oval 5" style="position:absolute;margin-left:197.3pt;margin-top:5.15pt;width:138.8pt;height:64.4pt;rotation:-743860fd;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40lr1AEAAIoDAAAOAAAAZHJzL2Uyb0RvYy54bWysU9uO0zAQfUfiHyy/01x2abJR0xWiWl4Q&#13;&#10;u9LCB0wdpzHyTR7TtH/P2ClVgTdEHqy5HJ+ZOZ5sHk9Gs6MMqJztebUqOZNWuEHZQ8+/fX1613KG&#13;&#10;EewA2lnZ87NE/rh9+2Yz+07WbnJ6kIERicVu9j2fYvRdUaCYpAFcOS8tJUcXDERyw6EYAszEbnRR&#13;&#10;l+W6mF0YfHBCIlJ0tyT5NvOPoxTxeRxRRqZ7Tr3FfIZ87tNZbDfQHQL4SYlLG/APXRhQlopeqXYQ&#13;&#10;gf0I6i8qo0Rw6Ma4Es4UbhyVkHkGmqYq/5jmdQIv8ywkDvqrTPj/aMWX40tgaqC3K5u75r5q72rO&#13;&#10;LBh6q6W7DyEyt/9OSnI2SBQk3vMRNHuftJs9dkTx6l/CxUMykxCnMRgWHAlelw9V+9Cssz7EyU5Z&#13;&#10;/vNVfnmKTFCwatZ101B5Qbm2aqv7NtUoFrJE6gPGT9IZloyeS62Vx6QQdHD8jHFB/0KlsHVPSmuK&#13;&#10;Q6ctm6lI3ZS0CAJo2UYNMV9Gp9WQgAmH4bD/qAOjIanF/F3a+A2WquwApwWXUwkGnVGRVlorQ0Pc&#13;&#10;3tY2ZWVeykuvSb5FsGTt3XDOOhbJowfPs1+WM23UrU/27S+0/QkAAP//AwBQSwMEFAAGAAgAAAAh&#13;&#10;AA08z5bhAAAADwEAAA8AAABkcnMvZG93bnJldi54bWxMT01PwzAMvSPxHyIjcWPJ2qljXdMJgRDc&#13;&#10;EGVw9prQVjRO1WRb++8xJ3axZL/n91HsJteLkx1D50nDcqFAWKq96ajRsP94vrsHESKSwd6T1TDb&#13;&#10;ALvy+qrA3PgzvdtTFRvBIhRy1NDGOORShrq1DsPCD5YY+/ajw8jr2Egz4pnFXS8TpTLpsCN2aHGw&#13;&#10;j62tf6qj0/DiXxOP81APe4Vf2WrdfVZvs9a3N9PTlsfDFkS0U/z/gL8OnB9KDnbwRzJB9BrSzSpj&#13;&#10;KgMqBcGEbJ0kIA58SDdLkGUhL3uUvwAAAP//AwBQSwECLQAUAAYACAAAACEAtoM4kv4AAADhAQAA&#13;&#10;EwAAAAAAAAAAAAAAAAAAAAAAW0NvbnRlbnRfVHlwZXNdLnhtbFBLAQItABQABgAIAAAAIQA4/SH/&#13;&#10;1gAAAJQBAAALAAAAAAAAAAAAAAAAAC8BAABfcmVscy8ucmVsc1BLAQItABQABgAIAAAAIQCq40lr&#13;&#10;1AEAAIoDAAAOAAAAAAAAAAAAAAAAAC4CAABkcnMvZTJvRG9jLnhtbFBLAQItABQABgAIAAAAIQAN&#13;&#10;PM+W4QAAAA8BAAAPAAAAAAAAAAAAAAAAAC4EAABkcnMvZG93bnJldi54bWxQSwUGAAAAAAQABADz&#13;&#10;AAAAPAUAAAAA&#13;&#10;" filled="f" strokeweight="1pt">
                <v:stroke joinstyle="miter"/>
                <w10:wrap anchory="line"/>
              </v:oval>
            </w:pict>
          </mc:Fallback>
        </mc:AlternateContent>
      </w:r>
    </w:p>
    <w:p w14:paraId="53E4D4D3" w14:textId="77777777" w:rsidR="00DE591D" w:rsidRDefault="00DE591D">
      <w:pPr>
        <w:pStyle w:val="FootnoteText"/>
        <w:rPr>
          <w:rFonts w:ascii="Times New Roman" w:eastAsia="Times New Roman" w:hAnsi="Times New Roman" w:cs="Times New Roman"/>
        </w:rPr>
      </w:pPr>
    </w:p>
    <w:p w14:paraId="0CC58483" w14:textId="31E95B95" w:rsidR="00DE591D" w:rsidRDefault="00F76C21">
      <w:pPr>
        <w:pStyle w:val="Body"/>
      </w:pPr>
      <w:r>
        <w:rPr>
          <w:noProof/>
        </w:rPr>
        <w:drawing>
          <wp:inline distT="0" distB="0" distL="0" distR="0" wp14:anchorId="5BEDEDCD" wp14:editId="51C8A82A">
            <wp:extent cx="4361213" cy="2971800"/>
            <wp:effectExtent l="0" t="0" r="0" b="0"/>
            <wp:docPr id="1073741833" name="officeArt object" descr="ROC Curve.jpg"/>
            <wp:cNvGraphicFramePr/>
            <a:graphic xmlns:a="http://schemas.openxmlformats.org/drawingml/2006/main">
              <a:graphicData uri="http://schemas.openxmlformats.org/drawingml/2006/picture">
                <pic:pic xmlns:pic="http://schemas.openxmlformats.org/drawingml/2006/picture">
                  <pic:nvPicPr>
                    <pic:cNvPr id="1073741833" name="ROC Curve.jpg" descr="ROC Curve.jpg"/>
                    <pic:cNvPicPr>
                      <a:picLocks noChangeAspect="1"/>
                    </pic:cNvPicPr>
                  </pic:nvPicPr>
                  <pic:blipFill>
                    <a:blip r:embed="rId10"/>
                    <a:stretch>
                      <a:fillRect/>
                    </a:stretch>
                  </pic:blipFill>
                  <pic:spPr>
                    <a:xfrm>
                      <a:off x="0" y="0"/>
                      <a:ext cx="4361213" cy="2971800"/>
                    </a:xfrm>
                    <a:prstGeom prst="rect">
                      <a:avLst/>
                    </a:prstGeom>
                    <a:ln w="12700" cap="flat">
                      <a:noFill/>
                      <a:miter lim="400000"/>
                    </a:ln>
                    <a:effectLst/>
                  </pic:spPr>
                </pic:pic>
              </a:graphicData>
            </a:graphic>
          </wp:inline>
        </w:drawing>
      </w:r>
    </w:p>
    <w:p w14:paraId="1079519C" w14:textId="77777777" w:rsidR="00DE591D" w:rsidRDefault="00DE591D">
      <w:pPr>
        <w:pStyle w:val="Body"/>
      </w:pPr>
    </w:p>
    <w:p w14:paraId="193C941B" w14:textId="77777777" w:rsidR="00DE591D" w:rsidRDefault="00DE591D">
      <w:pPr>
        <w:pStyle w:val="Body"/>
      </w:pPr>
    </w:p>
    <w:p w14:paraId="440A9FC2" w14:textId="4B86E56C" w:rsidR="00DE591D" w:rsidRDefault="00817524">
      <w:pPr>
        <w:pStyle w:val="Body"/>
      </w:pPr>
      <w:r>
        <w:rPr>
          <w:rFonts w:eastAsia="Arial Unicode MS" w:cs="Arial Unicode MS"/>
        </w:rPr>
        <w:t>e</w:t>
      </w:r>
      <w:r w:rsidR="00F76C21">
        <w:rPr>
          <w:rFonts w:eastAsia="Arial Unicode MS" w:cs="Arial Unicode MS"/>
        </w:rPr>
        <w:t xml:space="preserve">) The authors were interested in a rule that could identify pneumonia patients at such low risk of death that they could be safely discharged from the emergency department.  Even after re-calibration, only one of the 3 rules could identify patients at low enough risk to send home.  Which of the 3 rules was it?  Explain how you know. </w:t>
      </w:r>
      <w:r w:rsidR="00F76C21">
        <w:rPr>
          <w:rFonts w:eastAsia="Arial Unicode MS" w:cs="Arial Unicode MS"/>
          <w:b/>
          <w:bCs/>
        </w:rPr>
        <w:t>[2]</w:t>
      </w:r>
    </w:p>
    <w:p w14:paraId="669FA80C" w14:textId="77777777" w:rsidR="00DE591D" w:rsidRDefault="00DE591D">
      <w:pPr>
        <w:pStyle w:val="Body"/>
      </w:pPr>
    </w:p>
    <w:p w14:paraId="15FEB4A5" w14:textId="77777777" w:rsidR="00DE591D" w:rsidRDefault="00F76C21">
      <w:pPr>
        <w:pStyle w:val="Body"/>
        <w:rPr>
          <w:b/>
          <w:bCs/>
        </w:rPr>
      </w:pPr>
      <w:r>
        <w:rPr>
          <w:rFonts w:eastAsia="Arial Unicode MS" w:cs="Arial Unicode MS"/>
          <w:b/>
          <w:bCs/>
        </w:rPr>
        <w:t xml:space="preserve">It would have to be the one that was able to achieve the highest sensitivity, the PSI.  You can tell this either from the ROC curve (it reaches sensitivity of 100%) or from the calibration plots: only the PSI has a point with zero observed mortality. </w:t>
      </w:r>
    </w:p>
    <w:p w14:paraId="6764E113" w14:textId="77777777" w:rsidR="00DE591D" w:rsidRDefault="00DE591D">
      <w:pPr>
        <w:pStyle w:val="Body"/>
        <w:rPr>
          <w:b/>
          <w:bCs/>
        </w:rPr>
      </w:pPr>
    </w:p>
    <w:p w14:paraId="241B8C84" w14:textId="5BB6B13D" w:rsidR="00DE591D" w:rsidRDefault="00F76C21">
      <w:pPr>
        <w:pStyle w:val="Body"/>
      </w:pPr>
      <w:r>
        <w:rPr>
          <w:rFonts w:eastAsia="Arial Unicode MS" w:cs="Arial Unicode MS"/>
        </w:rPr>
        <w:t>6.</w:t>
      </w:r>
      <w:r w:rsidR="001D4692">
        <w:rPr>
          <w:rFonts w:eastAsia="Arial Unicode MS" w:cs="Arial Unicode MS"/>
        </w:rPr>
        <w:t>4</w:t>
      </w:r>
      <w:r>
        <w:rPr>
          <w:rFonts w:eastAsia="Arial Unicode MS" w:cs="Arial Unicode MS"/>
        </w:rPr>
        <w:t xml:space="preserve">. Prediction of gestational diabetes.  </w:t>
      </w:r>
      <w:r>
        <w:rPr>
          <w:rFonts w:eastAsia="Arial Unicode MS" w:cs="Arial Unicode MS"/>
          <w:b/>
          <w:bCs/>
        </w:rPr>
        <w:t>[8]</w:t>
      </w:r>
    </w:p>
    <w:p w14:paraId="4FEA6C09" w14:textId="77777777" w:rsidR="00DE591D" w:rsidRDefault="00F76C21">
      <w:pPr>
        <w:pStyle w:val="Body"/>
      </w:pPr>
      <w:r>
        <w:rPr>
          <w:rFonts w:eastAsia="Arial Unicode MS" w:cs="Arial Unicode MS"/>
        </w:rPr>
        <w:t>A small proportion of pregnant women develop diabetes during their pregnancy (gestational diabetes mellitus, GDM), increasing the risk of several adverse outcomes, including cesarean delivery, future diabetes in the mother and obesity in the offspring.  GDM is typically diagnosed with an oral glucose tolerance test (OGTT), which requires the mother to have a fasting blood glucose test, drink a sugary drink, and then have repeat blood sugars measured after 1 and 2 hours.  Because of the time and expense involved in the OGTT, it might be more efficient to target the OGTT to mothers at higher risk of GDM or skip the OGTT in mothers at very low risk).</w:t>
      </w:r>
    </w:p>
    <w:p w14:paraId="6F3F6511" w14:textId="77777777" w:rsidR="00DE591D" w:rsidRDefault="00DE591D">
      <w:pPr>
        <w:pStyle w:val="Body"/>
      </w:pPr>
    </w:p>
    <w:p w14:paraId="6E15282C" w14:textId="589689C3" w:rsidR="00DE591D" w:rsidRDefault="00F76C21">
      <w:pPr>
        <w:pStyle w:val="Body"/>
      </w:pPr>
      <w:proofErr w:type="spellStart"/>
      <w:r>
        <w:rPr>
          <w:rFonts w:eastAsia="Arial Unicode MS" w:cs="Arial Unicode MS"/>
        </w:rPr>
        <w:t>Lamain</w:t>
      </w:r>
      <w:proofErr w:type="spellEnd"/>
      <w:r>
        <w:rPr>
          <w:rFonts w:eastAsia="Arial Unicode MS" w:cs="Arial Unicode MS"/>
        </w:rPr>
        <w:t xml:space="preserve">-de Ruiter et </w:t>
      </w:r>
      <w:proofErr w:type="gramStart"/>
      <w:r>
        <w:rPr>
          <w:rFonts w:eastAsia="Arial Unicode MS" w:cs="Arial Unicode MS"/>
        </w:rPr>
        <w:t>al[</w:t>
      </w:r>
      <w:proofErr w:type="gramEnd"/>
      <w:r w:rsidR="00A02125">
        <w:rPr>
          <w:rFonts w:eastAsia="Arial Unicode MS" w:cs="Arial Unicode MS"/>
        </w:rPr>
        <w:t>6</w:t>
      </w:r>
      <w:r>
        <w:rPr>
          <w:rFonts w:eastAsia="Arial Unicode MS" w:cs="Arial Unicode MS"/>
        </w:rPr>
        <w:t xml:space="preserve">] compared several predictive models for GDM that could be used to select mothers for an OGTT.  They collected the data inputs for the models on a cohort of 3723 pregnant women, and then followed them to determine who developed GDM.  The predictors were things like the mother’s body mass index and whether she had previously had GDM.  Figure 5 from their paper (below) shows a decision curve analysis for the 4 best GDM predictive models.  Answer the following </w:t>
      </w:r>
      <w:proofErr w:type="gramStart"/>
      <w:r>
        <w:rPr>
          <w:rFonts w:eastAsia="Arial Unicode MS" w:cs="Arial Unicode MS"/>
        </w:rPr>
        <w:t>multiple choice</w:t>
      </w:r>
      <w:proofErr w:type="gramEnd"/>
      <w:r>
        <w:rPr>
          <w:rFonts w:eastAsia="Arial Unicode MS" w:cs="Arial Unicode MS"/>
        </w:rPr>
        <w:t xml:space="preserve"> questions </w:t>
      </w:r>
      <w:r>
        <w:rPr>
          <w:rFonts w:eastAsia="Arial Unicode MS" w:cs="Arial Unicode MS"/>
          <w:u w:val="single"/>
        </w:rPr>
        <w:t>and briefly explain your answer</w:t>
      </w:r>
      <w:r>
        <w:rPr>
          <w:rFonts w:eastAsia="Arial Unicode MS" w:cs="Arial Unicode MS"/>
        </w:rPr>
        <w:t>.</w:t>
      </w:r>
    </w:p>
    <w:p w14:paraId="3CB30883" w14:textId="77777777" w:rsidR="00DE591D" w:rsidRDefault="00DE591D">
      <w:pPr>
        <w:pStyle w:val="Body"/>
      </w:pPr>
    </w:p>
    <w:p w14:paraId="3B5A4C0D" w14:textId="77777777" w:rsidR="00DE591D" w:rsidRDefault="00F76C21">
      <w:pPr>
        <w:pStyle w:val="Body"/>
      </w:pPr>
      <w:r>
        <w:rPr>
          <w:noProof/>
        </w:rPr>
        <w:drawing>
          <wp:inline distT="0" distB="0" distL="0" distR="0" wp14:anchorId="19E8332B" wp14:editId="7BFFBF46">
            <wp:extent cx="5283200" cy="3111500"/>
            <wp:effectExtent l="0" t="0" r="0" b="0"/>
            <wp:docPr id="1073741834" name="officeArt object" descr="A screenshot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4" name="A screenshot of a map&#10;&#10;Description automatically generated" descr="A screenshot of a mapDescription automatically generated"/>
                    <pic:cNvPicPr>
                      <a:picLocks noChangeAspect="1"/>
                    </pic:cNvPicPr>
                  </pic:nvPicPr>
                  <pic:blipFill>
                    <a:blip r:embed="rId11"/>
                    <a:stretch>
                      <a:fillRect/>
                    </a:stretch>
                  </pic:blipFill>
                  <pic:spPr>
                    <a:xfrm>
                      <a:off x="0" y="0"/>
                      <a:ext cx="5283200" cy="3111500"/>
                    </a:xfrm>
                    <a:prstGeom prst="rect">
                      <a:avLst/>
                    </a:prstGeom>
                    <a:ln w="12700" cap="flat">
                      <a:noFill/>
                      <a:miter lim="400000"/>
                    </a:ln>
                    <a:effectLst/>
                  </pic:spPr>
                </pic:pic>
              </a:graphicData>
            </a:graphic>
          </wp:inline>
        </w:drawing>
      </w:r>
    </w:p>
    <w:p w14:paraId="12246CFC" w14:textId="77777777" w:rsidR="00DE591D" w:rsidRDefault="00DE591D">
      <w:pPr>
        <w:pStyle w:val="Body"/>
      </w:pPr>
    </w:p>
    <w:p w14:paraId="1A75C65B" w14:textId="77777777" w:rsidR="00DE591D" w:rsidRDefault="00DE591D">
      <w:pPr>
        <w:pStyle w:val="Body"/>
      </w:pPr>
    </w:p>
    <w:p w14:paraId="33475D7D" w14:textId="77777777" w:rsidR="00DE591D" w:rsidRDefault="00DE591D">
      <w:pPr>
        <w:pStyle w:val="Body"/>
      </w:pPr>
    </w:p>
    <w:p w14:paraId="53DA4260" w14:textId="77777777" w:rsidR="00DE591D" w:rsidRDefault="00DE591D">
      <w:pPr>
        <w:pStyle w:val="Body"/>
      </w:pPr>
    </w:p>
    <w:p w14:paraId="77313F07" w14:textId="77777777" w:rsidR="00DE591D" w:rsidRDefault="00DE591D">
      <w:pPr>
        <w:pStyle w:val="Body"/>
      </w:pPr>
    </w:p>
    <w:p w14:paraId="374BEDCC" w14:textId="43B10F3F" w:rsidR="00DE591D" w:rsidRDefault="00546059" w:rsidP="00632C16">
      <w:pPr>
        <w:pStyle w:val="ListParagraph"/>
        <w:numPr>
          <w:ilvl w:val="0"/>
          <w:numId w:val="15"/>
        </w:numPr>
        <w:rPr>
          <w:sz w:val="22"/>
          <w:szCs w:val="22"/>
        </w:rPr>
      </w:pPr>
      <w:proofErr w:type="spellStart"/>
      <w:r>
        <w:rPr>
          <w:sz w:val="22"/>
          <w:szCs w:val="22"/>
        </w:rPr>
        <w:t>i</w:t>
      </w:r>
      <w:proofErr w:type="spellEnd"/>
      <w:r>
        <w:rPr>
          <w:sz w:val="22"/>
          <w:szCs w:val="22"/>
        </w:rPr>
        <w:t xml:space="preserve">. </w:t>
      </w:r>
      <w:r w:rsidR="00F76C21">
        <w:rPr>
          <w:sz w:val="22"/>
          <w:szCs w:val="22"/>
        </w:rPr>
        <w:t xml:space="preserve"> Based on the figure, what proportion (approximate) of the women in this cohort developed GDM?  (Don’t forget to explain your choice.)  [2]</w:t>
      </w:r>
    </w:p>
    <w:p w14:paraId="76EE877E" w14:textId="77777777" w:rsidR="00DE591D" w:rsidRDefault="00DE591D">
      <w:pPr>
        <w:pStyle w:val="ListParagraph"/>
        <w:rPr>
          <w:sz w:val="22"/>
          <w:szCs w:val="22"/>
        </w:rPr>
      </w:pPr>
    </w:p>
    <w:p w14:paraId="37D0EB8E" w14:textId="77777777" w:rsidR="00DE591D" w:rsidRDefault="00F76C21">
      <w:pPr>
        <w:pStyle w:val="ListParagraph"/>
        <w:numPr>
          <w:ilvl w:val="0"/>
          <w:numId w:val="10"/>
        </w:numPr>
        <w:rPr>
          <w:b/>
          <w:bCs/>
          <w:i/>
          <w:iCs/>
          <w:sz w:val="22"/>
          <w:szCs w:val="22"/>
        </w:rPr>
      </w:pPr>
      <w:r>
        <w:rPr>
          <w:sz w:val="22"/>
          <w:szCs w:val="22"/>
        </w:rPr>
        <w:t>3%</w:t>
      </w:r>
    </w:p>
    <w:p w14:paraId="64E966F3" w14:textId="77777777" w:rsidR="00DE591D" w:rsidRDefault="00F76C21">
      <w:pPr>
        <w:pStyle w:val="ListParagraph"/>
        <w:numPr>
          <w:ilvl w:val="0"/>
          <w:numId w:val="11"/>
        </w:numPr>
        <w:rPr>
          <w:b/>
          <w:bCs/>
          <w:i/>
          <w:iCs/>
          <w:sz w:val="22"/>
          <w:szCs w:val="22"/>
        </w:rPr>
      </w:pPr>
      <w:r>
        <w:rPr>
          <w:sz w:val="22"/>
          <w:szCs w:val="22"/>
        </w:rPr>
        <w:t>5%</w:t>
      </w:r>
    </w:p>
    <w:p w14:paraId="691F533D" w14:textId="77777777" w:rsidR="00DE591D" w:rsidRDefault="00F76C21">
      <w:pPr>
        <w:pStyle w:val="ListParagraph"/>
        <w:numPr>
          <w:ilvl w:val="0"/>
          <w:numId w:val="10"/>
        </w:numPr>
        <w:rPr>
          <w:b/>
          <w:bCs/>
          <w:i/>
          <w:iCs/>
          <w:sz w:val="22"/>
          <w:szCs w:val="22"/>
        </w:rPr>
      </w:pPr>
      <w:r>
        <w:rPr>
          <w:sz w:val="22"/>
          <w:szCs w:val="22"/>
        </w:rPr>
        <w:t>10%</w:t>
      </w:r>
    </w:p>
    <w:p w14:paraId="71C938A1" w14:textId="77777777" w:rsidR="00DE591D" w:rsidRDefault="00F76C21">
      <w:pPr>
        <w:pStyle w:val="ListParagraph"/>
        <w:numPr>
          <w:ilvl w:val="0"/>
          <w:numId w:val="10"/>
        </w:numPr>
        <w:rPr>
          <w:b/>
          <w:bCs/>
          <w:i/>
          <w:iCs/>
          <w:sz w:val="22"/>
          <w:szCs w:val="22"/>
        </w:rPr>
      </w:pPr>
      <w:r>
        <w:rPr>
          <w:sz w:val="22"/>
          <w:szCs w:val="22"/>
        </w:rPr>
        <w:lastRenderedPageBreak/>
        <w:t>15%</w:t>
      </w:r>
    </w:p>
    <w:p w14:paraId="633F6C05" w14:textId="719DB770" w:rsidR="00632C16" w:rsidRPr="0037394D" w:rsidRDefault="00F76C21">
      <w:pPr>
        <w:pStyle w:val="ListParagraph"/>
        <w:numPr>
          <w:ilvl w:val="0"/>
          <w:numId w:val="10"/>
        </w:numPr>
        <w:rPr>
          <w:b/>
          <w:bCs/>
          <w:i/>
          <w:iCs/>
          <w:sz w:val="22"/>
          <w:szCs w:val="22"/>
        </w:rPr>
      </w:pPr>
      <w:r>
        <w:rPr>
          <w:sz w:val="22"/>
          <w:szCs w:val="22"/>
        </w:rPr>
        <w:t>20%</w:t>
      </w:r>
    </w:p>
    <w:p w14:paraId="4A933727" w14:textId="0BB6FC0E" w:rsidR="0037394D" w:rsidRDefault="0037394D" w:rsidP="0037394D">
      <w:pPr>
        <w:rPr>
          <w:b/>
          <w:bCs/>
          <w:i/>
          <w:iCs/>
          <w:sz w:val="22"/>
          <w:szCs w:val="22"/>
        </w:rPr>
      </w:pPr>
    </w:p>
    <w:p w14:paraId="4F8E60CA" w14:textId="15982DFA" w:rsidR="00DE591D" w:rsidRPr="00632C16" w:rsidRDefault="0037394D" w:rsidP="00632C16">
      <w:pPr>
        <w:rPr>
          <w:b/>
          <w:bCs/>
          <w:i/>
          <w:iCs/>
          <w:sz w:val="22"/>
          <w:szCs w:val="22"/>
        </w:rPr>
      </w:pPr>
      <w:r>
        <w:rPr>
          <w:b/>
          <w:bCs/>
          <w:i/>
          <w:iCs/>
          <w:sz w:val="22"/>
          <w:szCs w:val="22"/>
        </w:rPr>
        <w:t>Answer</w:t>
      </w:r>
      <w:proofErr w:type="gramStart"/>
      <w:r>
        <w:rPr>
          <w:b/>
          <w:bCs/>
          <w:i/>
          <w:iCs/>
          <w:sz w:val="22"/>
          <w:szCs w:val="22"/>
        </w:rPr>
        <w:t>:  (</w:t>
      </w:r>
      <w:proofErr w:type="gramEnd"/>
      <w:r>
        <w:rPr>
          <w:b/>
          <w:bCs/>
          <w:i/>
          <w:iCs/>
          <w:sz w:val="22"/>
          <w:szCs w:val="22"/>
        </w:rPr>
        <w:t xml:space="preserve">B)  The Treat All curve crosses the horizontal axis at </w:t>
      </w:r>
      <w:proofErr w:type="spellStart"/>
      <w:r>
        <w:rPr>
          <w:b/>
          <w:bCs/>
          <w:i/>
          <w:iCs/>
          <w:sz w:val="22"/>
          <w:szCs w:val="22"/>
        </w:rPr>
        <w:t>Ptt</w:t>
      </w:r>
      <w:proofErr w:type="spellEnd"/>
      <w:r>
        <w:rPr>
          <w:b/>
          <w:bCs/>
          <w:i/>
          <w:iCs/>
          <w:sz w:val="22"/>
          <w:szCs w:val="22"/>
        </w:rPr>
        <w:t xml:space="preserve"> = 0.05</w:t>
      </w:r>
      <w:r w:rsidR="004106D2">
        <w:rPr>
          <w:b/>
          <w:bCs/>
          <w:i/>
          <w:iCs/>
          <w:sz w:val="22"/>
          <w:szCs w:val="22"/>
        </w:rPr>
        <w:t xml:space="preserve"> and the vertical axis at NB = 0.05</w:t>
      </w:r>
      <w:r w:rsidR="00462EA9">
        <w:rPr>
          <w:b/>
          <w:bCs/>
          <w:i/>
          <w:iCs/>
          <w:sz w:val="22"/>
          <w:szCs w:val="22"/>
        </w:rPr>
        <w:t xml:space="preserve"> – either of these is a way to tell that the proportion that developed GDM is 0.05.</w:t>
      </w:r>
      <w:r w:rsidR="00F76C21" w:rsidRPr="00632C16">
        <w:rPr>
          <w:rFonts w:ascii="Arial Unicode MS" w:hAnsi="Arial Unicode MS"/>
          <w:sz w:val="22"/>
          <w:szCs w:val="22"/>
        </w:rPr>
        <w:br/>
      </w:r>
    </w:p>
    <w:p w14:paraId="2423F93B" w14:textId="1AA8D5C6" w:rsidR="00DE591D" w:rsidRPr="00632C16" w:rsidRDefault="00546059" w:rsidP="00632C16">
      <w:pPr>
        <w:pStyle w:val="ListParagraph"/>
        <w:numPr>
          <w:ilvl w:val="0"/>
          <w:numId w:val="15"/>
        </w:numPr>
        <w:rPr>
          <w:sz w:val="22"/>
          <w:szCs w:val="22"/>
        </w:rPr>
      </w:pPr>
      <w:r>
        <w:rPr>
          <w:sz w:val="22"/>
          <w:szCs w:val="22"/>
        </w:rPr>
        <w:t xml:space="preserve">ii.  </w:t>
      </w:r>
      <w:r w:rsidR="00F76C21" w:rsidRPr="00632C16">
        <w:rPr>
          <w:sz w:val="22"/>
          <w:szCs w:val="22"/>
        </w:rPr>
        <w:t>The authors contemplate using these prediction models to guide which women are tested for GDM with the OGTT.  Assume that we are willing to do the OGTT on 20 women to identify one with GDM.  Based on these decision curves, which of the following is the best strategy in this population of pregnant women? (Explain.) [2]</w:t>
      </w:r>
    </w:p>
    <w:p w14:paraId="131D09BA" w14:textId="77777777" w:rsidR="00DE591D" w:rsidRDefault="00DE591D">
      <w:pPr>
        <w:pStyle w:val="ListParagraph"/>
        <w:rPr>
          <w:sz w:val="22"/>
          <w:szCs w:val="22"/>
        </w:rPr>
      </w:pPr>
    </w:p>
    <w:p w14:paraId="5C0AEE60" w14:textId="77777777" w:rsidR="00DE591D" w:rsidRDefault="00F76C21">
      <w:pPr>
        <w:pStyle w:val="ListParagraph"/>
        <w:rPr>
          <w:sz w:val="22"/>
          <w:szCs w:val="22"/>
        </w:rPr>
      </w:pPr>
      <w:r>
        <w:rPr>
          <w:sz w:val="22"/>
          <w:szCs w:val="22"/>
        </w:rPr>
        <w:t>A) Do not test any women with the OGTT</w:t>
      </w:r>
    </w:p>
    <w:p w14:paraId="2A67AF7E" w14:textId="77777777" w:rsidR="00DE591D" w:rsidRDefault="00F76C21">
      <w:pPr>
        <w:pStyle w:val="ListParagraph"/>
        <w:rPr>
          <w:sz w:val="22"/>
          <w:szCs w:val="22"/>
        </w:rPr>
      </w:pPr>
      <w:r>
        <w:rPr>
          <w:sz w:val="22"/>
          <w:szCs w:val="22"/>
        </w:rPr>
        <w:t>B) Test all women with the OGTT</w:t>
      </w:r>
    </w:p>
    <w:p w14:paraId="66C44DB6" w14:textId="053C3904" w:rsidR="00DE591D" w:rsidRDefault="00F76C21">
      <w:pPr>
        <w:pStyle w:val="Body"/>
        <w:ind w:left="1080" w:hanging="360"/>
        <w:rPr>
          <w:sz w:val="22"/>
          <w:szCs w:val="22"/>
        </w:rPr>
      </w:pPr>
      <w:r>
        <w:rPr>
          <w:sz w:val="22"/>
          <w:szCs w:val="22"/>
        </w:rPr>
        <w:t>C) Use one of the predictive models and test those with predicted risk &gt; 0.2</w:t>
      </w:r>
      <w:r w:rsidR="004106D2">
        <w:rPr>
          <w:sz w:val="22"/>
          <w:szCs w:val="22"/>
        </w:rPr>
        <w:t>4</w:t>
      </w:r>
    </w:p>
    <w:p w14:paraId="13E63043" w14:textId="77777777" w:rsidR="00DE591D" w:rsidRDefault="00F76C21">
      <w:pPr>
        <w:pStyle w:val="ListParagraph"/>
        <w:ind w:left="1080" w:hanging="360"/>
        <w:rPr>
          <w:sz w:val="22"/>
          <w:szCs w:val="22"/>
        </w:rPr>
      </w:pPr>
      <w:r>
        <w:rPr>
          <w:sz w:val="22"/>
          <w:szCs w:val="22"/>
        </w:rPr>
        <w:t>D) Use one of the predictive models and test those with predicted risk &gt; 0.05</w:t>
      </w:r>
    </w:p>
    <w:p w14:paraId="00D63876" w14:textId="4DB64F94" w:rsidR="00DE591D" w:rsidRDefault="00F76C21">
      <w:pPr>
        <w:pStyle w:val="ListParagraph"/>
        <w:rPr>
          <w:sz w:val="22"/>
          <w:szCs w:val="22"/>
        </w:rPr>
      </w:pPr>
      <w:r>
        <w:rPr>
          <w:sz w:val="22"/>
          <w:szCs w:val="22"/>
        </w:rPr>
        <w:t>E) None of the above.</w:t>
      </w:r>
    </w:p>
    <w:p w14:paraId="6617B582" w14:textId="369B26C7" w:rsidR="004106D2" w:rsidRDefault="004106D2">
      <w:pPr>
        <w:pStyle w:val="ListParagraph"/>
        <w:rPr>
          <w:sz w:val="22"/>
          <w:szCs w:val="22"/>
        </w:rPr>
      </w:pPr>
    </w:p>
    <w:p w14:paraId="792B5F01" w14:textId="504A4062" w:rsidR="004106D2" w:rsidRDefault="004106D2">
      <w:pPr>
        <w:pStyle w:val="ListParagraph"/>
        <w:rPr>
          <w:b/>
          <w:bCs/>
          <w:i/>
          <w:iCs/>
          <w:sz w:val="22"/>
          <w:szCs w:val="22"/>
        </w:rPr>
      </w:pPr>
      <w:r>
        <w:rPr>
          <w:b/>
          <w:bCs/>
          <w:i/>
          <w:iCs/>
          <w:sz w:val="22"/>
          <w:szCs w:val="22"/>
        </w:rPr>
        <w:t>Answer: (D</w:t>
      </w:r>
      <w:proofErr w:type="gramStart"/>
      <w:r>
        <w:rPr>
          <w:b/>
          <w:bCs/>
          <w:i/>
          <w:iCs/>
          <w:sz w:val="22"/>
          <w:szCs w:val="22"/>
        </w:rPr>
        <w:t>)  Step</w:t>
      </w:r>
      <w:proofErr w:type="gramEnd"/>
      <w:r>
        <w:rPr>
          <w:b/>
          <w:bCs/>
          <w:i/>
          <w:iCs/>
          <w:sz w:val="22"/>
          <w:szCs w:val="22"/>
        </w:rPr>
        <w:t xml:space="preserve"> 1 is to realize that </w:t>
      </w:r>
      <w:proofErr w:type="spellStart"/>
      <w:r>
        <w:rPr>
          <w:b/>
          <w:bCs/>
          <w:i/>
          <w:iCs/>
          <w:sz w:val="22"/>
          <w:szCs w:val="22"/>
        </w:rPr>
        <w:t>Ptt</w:t>
      </w:r>
      <w:proofErr w:type="spellEnd"/>
      <w:r>
        <w:rPr>
          <w:b/>
          <w:bCs/>
          <w:i/>
          <w:iCs/>
          <w:sz w:val="22"/>
          <w:szCs w:val="22"/>
        </w:rPr>
        <w:t xml:space="preserve"> = 1/20 or 0.05.  Step 2 is to look at the curves and make sure that the predictive models have NB &gt; Treat All at </w:t>
      </w:r>
      <w:proofErr w:type="spellStart"/>
      <w:r>
        <w:rPr>
          <w:b/>
          <w:bCs/>
          <w:i/>
          <w:iCs/>
          <w:sz w:val="22"/>
          <w:szCs w:val="22"/>
        </w:rPr>
        <w:t>Ptt</w:t>
      </w:r>
      <w:proofErr w:type="spellEnd"/>
      <w:r>
        <w:rPr>
          <w:b/>
          <w:bCs/>
          <w:i/>
          <w:iCs/>
          <w:sz w:val="22"/>
          <w:szCs w:val="22"/>
        </w:rPr>
        <w:t xml:space="preserve"> = 0.05</w:t>
      </w:r>
      <w:r w:rsidR="00462EA9">
        <w:rPr>
          <w:b/>
          <w:bCs/>
          <w:i/>
          <w:iCs/>
          <w:sz w:val="22"/>
          <w:szCs w:val="22"/>
        </w:rPr>
        <w:t>.</w:t>
      </w:r>
    </w:p>
    <w:p w14:paraId="4B94CD7D" w14:textId="269BFEBE" w:rsidR="00462EA9" w:rsidRDefault="00462EA9">
      <w:pPr>
        <w:pStyle w:val="ListParagraph"/>
        <w:rPr>
          <w:b/>
          <w:bCs/>
          <w:i/>
          <w:iCs/>
          <w:sz w:val="22"/>
          <w:szCs w:val="22"/>
        </w:rPr>
      </w:pPr>
    </w:p>
    <w:p w14:paraId="3540AA3C" w14:textId="17D7C068" w:rsidR="00DE591D" w:rsidRDefault="00462EA9" w:rsidP="00462EA9">
      <w:pPr>
        <w:pStyle w:val="ListParagraph"/>
        <w:rPr>
          <w:sz w:val="22"/>
          <w:szCs w:val="22"/>
        </w:rPr>
      </w:pPr>
      <w:r>
        <w:rPr>
          <w:b/>
          <w:bCs/>
          <w:i/>
          <w:iCs/>
          <w:sz w:val="22"/>
          <w:szCs w:val="22"/>
        </w:rPr>
        <w:t>Note sometimes it can be confusing distinguishing between treatment threshold probabilities and treatment threshold odds.  Here’s a tip.  If the description has the word “unnecessarily” the number given will generally be used to calculate odds; if it’s just a number needed to test or treat it will be a probability.</w:t>
      </w:r>
      <w:r w:rsidR="00F76C21">
        <w:rPr>
          <w:rFonts w:ascii="Arial Unicode MS" w:hAnsi="Arial Unicode MS"/>
          <w:sz w:val="22"/>
          <w:szCs w:val="22"/>
        </w:rPr>
        <w:br/>
      </w:r>
    </w:p>
    <w:p w14:paraId="631E0B9B" w14:textId="4FA6115F" w:rsidR="004106D2" w:rsidRPr="00C52B7A" w:rsidRDefault="004106D2" w:rsidP="0054605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C52B7A">
        <w:t xml:space="preserve">Instead of using these prediction models to guide testing, assume that they are used to guide treatment without the OGTT.  (It’s hard to come up with a plausible reason to treat for GDM without first doing an OGTT, but please suspend disbelief and assume the OGTT is not available). Also assume that treating a woman who does not have GDM is substantially worse (roughly </w:t>
      </w:r>
      <w:r>
        <w:t>6</w:t>
      </w:r>
      <w:r w:rsidRPr="00C52B7A">
        <w:t xml:space="preserve"> times worse) than administering the OGTT </w:t>
      </w:r>
      <w:r>
        <w:t xml:space="preserve">(if it were available) </w:t>
      </w:r>
      <w:r w:rsidRPr="00C52B7A">
        <w:t xml:space="preserve">to her and having it come out negative. </w:t>
      </w:r>
      <w:r>
        <w:t xml:space="preserve">This means that your threshold for treating empirically is 0.24.  </w:t>
      </w:r>
      <w:r w:rsidRPr="00C52B7A">
        <w:t xml:space="preserve">Choose the best strategy. </w:t>
      </w:r>
      <w:r>
        <w:t>(Explain.) [2]</w:t>
      </w:r>
      <w:r w:rsidRPr="00C52B7A">
        <w:t> </w:t>
      </w:r>
    </w:p>
    <w:p w14:paraId="11BEF0FB" w14:textId="77777777" w:rsidR="00DE591D" w:rsidRDefault="00F76C21">
      <w:pPr>
        <w:pStyle w:val="Body"/>
        <w:ind w:left="360"/>
        <w:rPr>
          <w:sz w:val="22"/>
          <w:szCs w:val="22"/>
        </w:rPr>
      </w:pPr>
      <w:r>
        <w:rPr>
          <w:rFonts w:ascii="Arial Unicode MS" w:eastAsia="Arial Unicode MS" w:hAnsi="Arial Unicode MS" w:cs="Arial Unicode MS"/>
          <w:sz w:val="22"/>
          <w:szCs w:val="22"/>
        </w:rPr>
        <w:br/>
      </w:r>
    </w:p>
    <w:p w14:paraId="652F7FDF" w14:textId="77777777" w:rsidR="00DE591D" w:rsidRDefault="00F76C21">
      <w:pPr>
        <w:pStyle w:val="Body"/>
        <w:ind w:left="360" w:firstLine="360"/>
        <w:rPr>
          <w:sz w:val="22"/>
          <w:szCs w:val="22"/>
        </w:rPr>
      </w:pPr>
      <w:r>
        <w:rPr>
          <w:sz w:val="22"/>
          <w:szCs w:val="22"/>
        </w:rPr>
        <w:t>A) Do not treat any woman for GDM</w:t>
      </w:r>
    </w:p>
    <w:p w14:paraId="6A49766C" w14:textId="77777777" w:rsidR="00DE591D" w:rsidRDefault="00F76C21">
      <w:pPr>
        <w:pStyle w:val="Body"/>
        <w:ind w:left="360" w:firstLine="360"/>
        <w:rPr>
          <w:sz w:val="22"/>
          <w:szCs w:val="22"/>
        </w:rPr>
      </w:pPr>
      <w:r>
        <w:rPr>
          <w:sz w:val="22"/>
          <w:szCs w:val="22"/>
        </w:rPr>
        <w:t>B) Treat all women for GDM</w:t>
      </w:r>
    </w:p>
    <w:p w14:paraId="1F50FEAE" w14:textId="14851E13" w:rsidR="00DE591D" w:rsidRDefault="00F76C21">
      <w:pPr>
        <w:pStyle w:val="Body"/>
        <w:ind w:left="1080" w:hanging="360"/>
        <w:rPr>
          <w:sz w:val="22"/>
          <w:szCs w:val="22"/>
        </w:rPr>
      </w:pPr>
      <w:r>
        <w:rPr>
          <w:sz w:val="22"/>
          <w:szCs w:val="22"/>
        </w:rPr>
        <w:t>C) Use one of the predictive models and treat those with predicted risk &gt; 0.2</w:t>
      </w:r>
      <w:r w:rsidR="004106D2">
        <w:rPr>
          <w:sz w:val="22"/>
          <w:szCs w:val="22"/>
        </w:rPr>
        <w:t>4</w:t>
      </w:r>
    </w:p>
    <w:p w14:paraId="01470CD7" w14:textId="77777777" w:rsidR="00DE591D" w:rsidRDefault="00F76C21">
      <w:pPr>
        <w:pStyle w:val="Body"/>
        <w:ind w:left="360" w:firstLine="360"/>
        <w:rPr>
          <w:sz w:val="22"/>
          <w:szCs w:val="22"/>
        </w:rPr>
      </w:pPr>
      <w:r>
        <w:rPr>
          <w:sz w:val="22"/>
          <w:szCs w:val="22"/>
        </w:rPr>
        <w:t>D) Use one of the predictive models and treat those with predicted risk &gt; 0.05</w:t>
      </w:r>
    </w:p>
    <w:p w14:paraId="1DC44D5A" w14:textId="77777777" w:rsidR="00DE591D" w:rsidRDefault="00F76C21">
      <w:pPr>
        <w:pStyle w:val="Body"/>
        <w:ind w:left="360" w:firstLine="360"/>
        <w:rPr>
          <w:sz w:val="22"/>
          <w:szCs w:val="22"/>
        </w:rPr>
      </w:pPr>
      <w:r>
        <w:rPr>
          <w:sz w:val="22"/>
          <w:szCs w:val="22"/>
        </w:rPr>
        <w:t>E) None of the above.</w:t>
      </w:r>
    </w:p>
    <w:p w14:paraId="778F7006" w14:textId="77777777" w:rsidR="004106D2" w:rsidRDefault="004106D2" w:rsidP="004106D2">
      <w:pPr>
        <w:pStyle w:val="ListParagraph"/>
        <w:rPr>
          <w:b/>
          <w:bCs/>
          <w:i/>
          <w:iCs/>
          <w:sz w:val="22"/>
          <w:szCs w:val="22"/>
        </w:rPr>
      </w:pPr>
    </w:p>
    <w:p w14:paraId="18CC1063" w14:textId="69CF247D" w:rsidR="00462EA9" w:rsidRPr="004106D2" w:rsidRDefault="004106D2" w:rsidP="004106D2">
      <w:pPr>
        <w:pStyle w:val="ListParagraph"/>
        <w:rPr>
          <w:b/>
          <w:bCs/>
          <w:i/>
          <w:iCs/>
          <w:sz w:val="22"/>
          <w:szCs w:val="22"/>
        </w:rPr>
      </w:pPr>
      <w:r>
        <w:rPr>
          <w:b/>
          <w:bCs/>
          <w:i/>
          <w:iCs/>
          <w:sz w:val="22"/>
          <w:szCs w:val="22"/>
        </w:rPr>
        <w:t xml:space="preserve">Answer: (C)   Look at the curves and make sure that the predictive models have NB &gt; Treat All at </w:t>
      </w:r>
      <w:proofErr w:type="spellStart"/>
      <w:r>
        <w:rPr>
          <w:b/>
          <w:bCs/>
          <w:i/>
          <w:iCs/>
          <w:sz w:val="22"/>
          <w:szCs w:val="22"/>
        </w:rPr>
        <w:t>Ptt</w:t>
      </w:r>
      <w:proofErr w:type="spellEnd"/>
      <w:r>
        <w:rPr>
          <w:b/>
          <w:bCs/>
          <w:i/>
          <w:iCs/>
          <w:sz w:val="22"/>
          <w:szCs w:val="22"/>
        </w:rPr>
        <w:t xml:space="preserve"> = 0.24</w:t>
      </w:r>
      <w:r w:rsidR="00462EA9">
        <w:rPr>
          <w:b/>
          <w:bCs/>
          <w:i/>
          <w:iCs/>
          <w:sz w:val="22"/>
          <w:szCs w:val="22"/>
        </w:rPr>
        <w:t xml:space="preserve">.  Earlier versions of the problem did not include the treatment threshold probability of </w:t>
      </w:r>
      <w:proofErr w:type="gramStart"/>
      <w:r w:rsidR="00462EA9">
        <w:rPr>
          <w:b/>
          <w:bCs/>
          <w:i/>
          <w:iCs/>
          <w:sz w:val="22"/>
          <w:szCs w:val="22"/>
        </w:rPr>
        <w:t>0.24, and</w:t>
      </w:r>
      <w:proofErr w:type="gramEnd"/>
      <w:r w:rsidR="00462EA9">
        <w:rPr>
          <w:b/>
          <w:bCs/>
          <w:i/>
          <w:iCs/>
          <w:sz w:val="22"/>
          <w:szCs w:val="22"/>
        </w:rPr>
        <w:t xml:space="preserve"> were too hard.  Although C is clearly the best </w:t>
      </w:r>
      <w:proofErr w:type="gramStart"/>
      <w:r w:rsidR="00462EA9">
        <w:rPr>
          <w:b/>
          <w:bCs/>
          <w:i/>
          <w:iCs/>
          <w:sz w:val="22"/>
          <w:szCs w:val="22"/>
        </w:rPr>
        <w:t>answer,  w</w:t>
      </w:r>
      <w:r w:rsidR="00462EA9">
        <w:rPr>
          <w:b/>
          <w:bCs/>
          <w:i/>
          <w:iCs/>
          <w:sz w:val="22"/>
          <w:szCs w:val="22"/>
        </w:rPr>
        <w:t>e</w:t>
      </w:r>
      <w:proofErr w:type="gramEnd"/>
      <w:r w:rsidR="00462EA9">
        <w:rPr>
          <w:b/>
          <w:bCs/>
          <w:i/>
          <w:iCs/>
          <w:sz w:val="22"/>
          <w:szCs w:val="22"/>
        </w:rPr>
        <w:t xml:space="preserve"> decided everyone should get credit for this one.  </w:t>
      </w:r>
    </w:p>
    <w:p w14:paraId="1A22A6F3" w14:textId="77777777" w:rsidR="00DE591D" w:rsidRDefault="00DE591D">
      <w:pPr>
        <w:pStyle w:val="Body"/>
        <w:ind w:left="720"/>
        <w:rPr>
          <w:b/>
          <w:bCs/>
          <w:i/>
          <w:iCs/>
        </w:rPr>
      </w:pPr>
    </w:p>
    <w:p w14:paraId="3E6B6546" w14:textId="2B813838" w:rsidR="00DE591D" w:rsidRDefault="00CC4F37" w:rsidP="004106D2">
      <w:pPr>
        <w:pStyle w:val="ListParagraph"/>
        <w:numPr>
          <w:ilvl w:val="0"/>
          <w:numId w:val="15"/>
        </w:numPr>
      </w:pPr>
      <w:r>
        <w:t xml:space="preserve">iv.  </w:t>
      </w:r>
      <w:r w:rsidR="00F76C21">
        <w:t>The authors evaluated the original models as published as well as recalibrated versions.  (The technique they used for recalibration is not something we have discussed and not important for answering this question.)  Does this figure display the original or re-calibrated versions of the models?  Select the best answer.  (Explain.) [2]</w:t>
      </w:r>
    </w:p>
    <w:p w14:paraId="3918F7F9" w14:textId="77777777" w:rsidR="00DE591D" w:rsidRDefault="00DE591D">
      <w:pPr>
        <w:pStyle w:val="Body"/>
        <w:ind w:left="720"/>
        <w:rPr>
          <w:sz w:val="22"/>
          <w:szCs w:val="22"/>
        </w:rPr>
      </w:pPr>
    </w:p>
    <w:p w14:paraId="0DEDDCD5" w14:textId="77777777" w:rsidR="00DE591D" w:rsidRDefault="00F76C21">
      <w:pPr>
        <w:pStyle w:val="ListParagraph"/>
        <w:numPr>
          <w:ilvl w:val="0"/>
          <w:numId w:val="14"/>
        </w:numPr>
        <w:rPr>
          <w:sz w:val="22"/>
          <w:szCs w:val="22"/>
        </w:rPr>
      </w:pPr>
      <w:r>
        <w:rPr>
          <w:sz w:val="22"/>
          <w:szCs w:val="22"/>
        </w:rPr>
        <w:t>The original versions because there is NO substantial evidence of miscalibration in this figure.</w:t>
      </w:r>
    </w:p>
    <w:p w14:paraId="793D94E4" w14:textId="77777777" w:rsidR="00DE591D" w:rsidRDefault="00F76C21">
      <w:pPr>
        <w:pStyle w:val="ListParagraph"/>
        <w:numPr>
          <w:ilvl w:val="0"/>
          <w:numId w:val="14"/>
        </w:numPr>
        <w:rPr>
          <w:sz w:val="22"/>
          <w:szCs w:val="22"/>
        </w:rPr>
      </w:pPr>
      <w:r>
        <w:rPr>
          <w:sz w:val="22"/>
          <w:szCs w:val="22"/>
        </w:rPr>
        <w:t>The original versions because there is substantial evidence of miscalibration in this figure.</w:t>
      </w:r>
    </w:p>
    <w:p w14:paraId="4A85F3E7" w14:textId="77777777" w:rsidR="00DE591D" w:rsidRDefault="00F76C21">
      <w:pPr>
        <w:pStyle w:val="ListParagraph"/>
        <w:numPr>
          <w:ilvl w:val="0"/>
          <w:numId w:val="14"/>
        </w:numPr>
        <w:rPr>
          <w:sz w:val="22"/>
          <w:szCs w:val="22"/>
        </w:rPr>
      </w:pPr>
      <w:r>
        <w:rPr>
          <w:sz w:val="22"/>
          <w:szCs w:val="22"/>
        </w:rPr>
        <w:t>The re-calibrated versions because there is NO substantial evidence of miscalibration in this figure.</w:t>
      </w:r>
    </w:p>
    <w:p w14:paraId="0FEAAF2D" w14:textId="77777777" w:rsidR="00DE591D" w:rsidRDefault="00F76C21">
      <w:pPr>
        <w:pStyle w:val="ListParagraph"/>
        <w:numPr>
          <w:ilvl w:val="0"/>
          <w:numId w:val="14"/>
        </w:numPr>
        <w:rPr>
          <w:sz w:val="22"/>
          <w:szCs w:val="22"/>
        </w:rPr>
      </w:pPr>
      <w:r>
        <w:rPr>
          <w:sz w:val="22"/>
          <w:szCs w:val="22"/>
        </w:rPr>
        <w:t>The re-calibrated versions because there is substantial evidence of miscalibration in this figure.</w:t>
      </w:r>
    </w:p>
    <w:p w14:paraId="394F050D" w14:textId="77777777" w:rsidR="00DE591D" w:rsidRDefault="00F76C21">
      <w:pPr>
        <w:pStyle w:val="ListParagraph"/>
        <w:numPr>
          <w:ilvl w:val="0"/>
          <w:numId w:val="14"/>
        </w:numPr>
        <w:rPr>
          <w:sz w:val="22"/>
          <w:szCs w:val="22"/>
        </w:rPr>
      </w:pPr>
      <w:r>
        <w:rPr>
          <w:sz w:val="22"/>
          <w:szCs w:val="22"/>
        </w:rPr>
        <w:t>Unable to tell because decision curves do not reflect calibration, only discrimination.</w:t>
      </w:r>
    </w:p>
    <w:p w14:paraId="278183F0" w14:textId="77777777" w:rsidR="00DE591D" w:rsidRDefault="00DE591D">
      <w:pPr>
        <w:pStyle w:val="Body"/>
      </w:pPr>
    </w:p>
    <w:p w14:paraId="184B1C55" w14:textId="33943805" w:rsidR="00DE591D" w:rsidRPr="00462EA9" w:rsidRDefault="00BA5EA3">
      <w:pPr>
        <w:pStyle w:val="Body"/>
        <w:rPr>
          <w:b/>
          <w:bCs/>
          <w:i/>
          <w:iCs/>
        </w:rPr>
      </w:pPr>
      <w:r>
        <w:rPr>
          <w:b/>
          <w:bCs/>
          <w:i/>
          <w:iCs/>
        </w:rPr>
        <w:t xml:space="preserve">Answer (C) </w:t>
      </w:r>
      <w:r w:rsidR="00462EA9">
        <w:rPr>
          <w:b/>
          <w:bCs/>
          <w:i/>
          <w:iCs/>
        </w:rPr>
        <w:t xml:space="preserve">there is </w:t>
      </w:r>
      <w:r>
        <w:rPr>
          <w:b/>
          <w:bCs/>
          <w:i/>
          <w:iCs/>
        </w:rPr>
        <w:t>no evidence of miscalibration.  The predictive models have 0 ≤ NB ≤ Treat All.</w:t>
      </w:r>
      <w:r w:rsidR="00462EA9">
        <w:rPr>
          <w:b/>
          <w:bCs/>
          <w:i/>
          <w:iCs/>
        </w:rPr>
        <w:t xml:space="preserve">  </w:t>
      </w:r>
      <w:r w:rsidR="00B425B6" w:rsidRPr="00462EA9">
        <w:rPr>
          <w:b/>
          <w:bCs/>
          <w:i/>
          <w:iCs/>
        </w:rPr>
        <w:t xml:space="preserve">Also, </w:t>
      </w:r>
      <w:r w:rsidR="00462EA9">
        <w:rPr>
          <w:b/>
          <w:bCs/>
          <w:i/>
          <w:iCs/>
        </w:rPr>
        <w:t xml:space="preserve">the decision curves have </w:t>
      </w:r>
      <w:r w:rsidR="00B425B6" w:rsidRPr="00462EA9">
        <w:rPr>
          <w:b/>
          <w:bCs/>
          <w:i/>
          <w:iCs/>
        </w:rPr>
        <w:t>no “saw-tooth” appearance</w:t>
      </w:r>
      <w:r w:rsidR="00462EA9">
        <w:rPr>
          <w:b/>
          <w:bCs/>
          <w:i/>
          <w:iCs/>
        </w:rPr>
        <w:t>, which can also indicate miscalibration.</w:t>
      </w:r>
    </w:p>
    <w:p w14:paraId="28408685" w14:textId="77777777" w:rsidR="00DE591D" w:rsidRPr="00462EA9" w:rsidRDefault="00DE591D">
      <w:pPr>
        <w:pStyle w:val="Body"/>
        <w:rPr>
          <w:b/>
          <w:bCs/>
          <w:i/>
          <w:iCs/>
        </w:rPr>
      </w:pPr>
    </w:p>
    <w:p w14:paraId="7956E01F" w14:textId="77777777" w:rsidR="00AD78B1" w:rsidRPr="00AD78B1" w:rsidRDefault="00F76C21" w:rsidP="00AD78B1">
      <w:pPr>
        <w:pStyle w:val="EndNoteBibliographyTitle"/>
        <w:rPr>
          <w:noProof/>
        </w:rPr>
      </w:pPr>
      <w:r>
        <w:rPr>
          <w:rStyle w:val="Hyperlink0"/>
        </w:rPr>
        <w:fldChar w:fldCharType="begin"/>
      </w:r>
      <w:r>
        <w:rPr>
          <w:rStyle w:val="Hyperlink0"/>
        </w:rPr>
        <w:instrText xml:space="preserve"> ADDIN EN.REFLIST </w:instrText>
      </w:r>
      <w:r>
        <w:rPr>
          <w:rStyle w:val="Hyperlink0"/>
        </w:rPr>
        <w:fldChar w:fldCharType="separate"/>
      </w:r>
      <w:r w:rsidR="00AD78B1" w:rsidRPr="00AD78B1">
        <w:rPr>
          <w:noProof/>
        </w:rPr>
        <w:t>REFERENCES</w:t>
      </w:r>
    </w:p>
    <w:p w14:paraId="171A1DE0" w14:textId="77777777" w:rsidR="00AD78B1" w:rsidRPr="00AD78B1" w:rsidRDefault="00AD78B1" w:rsidP="00AD78B1">
      <w:pPr>
        <w:pStyle w:val="EndNoteBibliographyTitle"/>
        <w:rPr>
          <w:noProof/>
        </w:rPr>
      </w:pPr>
    </w:p>
    <w:p w14:paraId="2336FFBB" w14:textId="77777777" w:rsidR="00AD78B1" w:rsidRPr="00AD78B1" w:rsidRDefault="00AD78B1" w:rsidP="00AD78B1">
      <w:pPr>
        <w:pStyle w:val="EndNoteBibliography"/>
        <w:rPr>
          <w:noProof/>
        </w:rPr>
      </w:pPr>
      <w:r w:rsidRPr="00AD78B1">
        <w:rPr>
          <w:noProof/>
        </w:rPr>
        <w:t>1.</w:t>
      </w:r>
      <w:r w:rsidRPr="00AD78B1">
        <w:rPr>
          <w:noProof/>
        </w:rPr>
        <w:tab/>
        <w:t>Johnston SC, Rothwell PM, Nguyen-Huynh MN, Giles MF, Elkins JS, Bernstein AL, et al. Validation and refinement of scores to predict very early stroke risk after transient ischaemic attack. Lancet. 2007;369(9558):283-92.</w:t>
      </w:r>
    </w:p>
    <w:p w14:paraId="32B081FC" w14:textId="77777777" w:rsidR="00AD78B1" w:rsidRPr="00AD78B1" w:rsidRDefault="00AD78B1" w:rsidP="00AD78B1">
      <w:pPr>
        <w:pStyle w:val="EndNoteBibliography"/>
        <w:rPr>
          <w:noProof/>
        </w:rPr>
      </w:pPr>
      <w:r w:rsidRPr="00AD78B1">
        <w:rPr>
          <w:noProof/>
        </w:rPr>
        <w:t>2.</w:t>
      </w:r>
      <w:r w:rsidRPr="00AD78B1">
        <w:rPr>
          <w:noProof/>
        </w:rPr>
        <w:tab/>
        <w:t>Schuetz P, Koller M, Christ-Crain M, Steyerberg E, Stolz D, Muller C, et al. Predicting mortality with pneumonia severity scores: importance of model recalibration to local settings. Epidemiol Infect. 2008;136(12):1628-37.</w:t>
      </w:r>
    </w:p>
    <w:p w14:paraId="6CC3B8CA" w14:textId="30C0009E" w:rsidR="003531FE" w:rsidRPr="003531FE" w:rsidRDefault="00F76C21" w:rsidP="00462EA9">
      <w:pPr>
        <w:pStyle w:val="EndNoteBibliography"/>
        <w:rPr>
          <w:rStyle w:val="None"/>
        </w:rPr>
      </w:pPr>
      <w:r>
        <w:fldChar w:fldCharType="end"/>
      </w:r>
      <w:r w:rsidR="00462EA9">
        <w:rPr>
          <w:rStyle w:val="None"/>
        </w:rPr>
        <w:t>3</w:t>
      </w:r>
      <w:r w:rsidR="003531FE" w:rsidRPr="003531FE">
        <w:rPr>
          <w:rStyle w:val="None"/>
        </w:rPr>
        <w:t>.</w:t>
      </w:r>
      <w:r w:rsidR="003531FE" w:rsidRPr="003531FE">
        <w:rPr>
          <w:rStyle w:val="None"/>
        </w:rPr>
        <w:tab/>
      </w:r>
      <w:proofErr w:type="spellStart"/>
      <w:r w:rsidR="003531FE" w:rsidRPr="003531FE">
        <w:rPr>
          <w:rStyle w:val="None"/>
        </w:rPr>
        <w:t>Lamain</w:t>
      </w:r>
      <w:proofErr w:type="spellEnd"/>
      <w:r w:rsidR="003531FE" w:rsidRPr="003531FE">
        <w:rPr>
          <w:rStyle w:val="None"/>
        </w:rPr>
        <w:t xml:space="preserve">-de Ruiter M, </w:t>
      </w:r>
      <w:proofErr w:type="spellStart"/>
      <w:r w:rsidR="003531FE" w:rsidRPr="003531FE">
        <w:rPr>
          <w:rStyle w:val="None"/>
        </w:rPr>
        <w:t>Kwee</w:t>
      </w:r>
      <w:proofErr w:type="spellEnd"/>
      <w:r w:rsidR="003531FE" w:rsidRPr="003531FE">
        <w:rPr>
          <w:rStyle w:val="None"/>
        </w:rPr>
        <w:t xml:space="preserve"> A, </w:t>
      </w:r>
      <w:proofErr w:type="spellStart"/>
      <w:r w:rsidR="003531FE" w:rsidRPr="003531FE">
        <w:rPr>
          <w:rStyle w:val="None"/>
        </w:rPr>
        <w:t>Naaktgeboren</w:t>
      </w:r>
      <w:proofErr w:type="spellEnd"/>
      <w:r w:rsidR="003531FE" w:rsidRPr="003531FE">
        <w:rPr>
          <w:rStyle w:val="None"/>
        </w:rPr>
        <w:t xml:space="preserve"> CA, de Groot I, Evers IM, </w:t>
      </w:r>
      <w:proofErr w:type="spellStart"/>
      <w:r w:rsidR="003531FE" w:rsidRPr="003531FE">
        <w:rPr>
          <w:rStyle w:val="None"/>
        </w:rPr>
        <w:t>Groenendaal</w:t>
      </w:r>
      <w:proofErr w:type="spellEnd"/>
      <w:r w:rsidR="003531FE" w:rsidRPr="003531FE">
        <w:rPr>
          <w:rStyle w:val="None"/>
        </w:rPr>
        <w:t xml:space="preserve"> F, et al. External validation of prognostic models to predict risk of gestational diabetes mellitus in one Dutch cohort: prospective </w:t>
      </w:r>
      <w:proofErr w:type="spellStart"/>
      <w:r w:rsidR="003531FE" w:rsidRPr="003531FE">
        <w:rPr>
          <w:rStyle w:val="None"/>
        </w:rPr>
        <w:t>multicentre</w:t>
      </w:r>
      <w:proofErr w:type="spellEnd"/>
      <w:r w:rsidR="003531FE" w:rsidRPr="003531FE">
        <w:rPr>
          <w:rStyle w:val="None"/>
        </w:rPr>
        <w:t xml:space="preserve"> cohort study. BMJ. 2016;</w:t>
      </w:r>
      <w:proofErr w:type="gramStart"/>
      <w:r w:rsidR="003531FE" w:rsidRPr="003531FE">
        <w:rPr>
          <w:rStyle w:val="None"/>
        </w:rPr>
        <w:t>354:i</w:t>
      </w:r>
      <w:proofErr w:type="gramEnd"/>
      <w:r w:rsidR="003531FE" w:rsidRPr="003531FE">
        <w:rPr>
          <w:rStyle w:val="None"/>
        </w:rPr>
        <w:t xml:space="preserve">4338. </w:t>
      </w:r>
    </w:p>
    <w:p w14:paraId="5C3F5505" w14:textId="2B950FA6" w:rsidR="00A02125" w:rsidRDefault="003531FE" w:rsidP="003531FE">
      <w:pPr>
        <w:pStyle w:val="Body"/>
        <w:rPr>
          <w:rStyle w:val="None"/>
        </w:rPr>
      </w:pPr>
      <w:r w:rsidRPr="003531FE">
        <w:rPr>
          <w:rStyle w:val="None"/>
        </w:rPr>
        <w:t>https://www.bmj.com/content/bmj/354/bmj.i4338.full.pdf</w:t>
      </w:r>
    </w:p>
    <w:p w14:paraId="420790FA" w14:textId="77777777" w:rsidR="00A02125" w:rsidRDefault="00A02125">
      <w:pPr>
        <w:pStyle w:val="EndNoteBibliography"/>
      </w:pPr>
    </w:p>
    <w:sectPr w:rsidR="00A02125">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0378" w14:textId="77777777" w:rsidR="00A702C7" w:rsidRDefault="00A702C7">
      <w:r>
        <w:separator/>
      </w:r>
    </w:p>
  </w:endnote>
  <w:endnote w:type="continuationSeparator" w:id="0">
    <w:p w14:paraId="628FB18C" w14:textId="77777777" w:rsidR="00A702C7" w:rsidRDefault="00A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9554123"/>
      <w:docPartObj>
        <w:docPartGallery w:val="Page Numbers (Bottom of Page)"/>
        <w:docPartUnique/>
      </w:docPartObj>
    </w:sdtPr>
    <w:sdtContent>
      <w:p w14:paraId="4A7CB9E4" w14:textId="0F6BCEBE" w:rsidR="00E657D1" w:rsidRDefault="00E657D1" w:rsidP="004330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457E4" w14:textId="77777777" w:rsidR="00E657D1" w:rsidRDefault="00E657D1" w:rsidP="00E65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3175028"/>
      <w:docPartObj>
        <w:docPartGallery w:val="Page Numbers (Bottom of Page)"/>
        <w:docPartUnique/>
      </w:docPartObj>
    </w:sdtPr>
    <w:sdtContent>
      <w:p w14:paraId="016FB42C" w14:textId="67859047" w:rsidR="00E657D1" w:rsidRDefault="00E657D1" w:rsidP="004330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99EEEC" w14:textId="77777777" w:rsidR="00E657D1" w:rsidRDefault="00E657D1" w:rsidP="00E65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4023B" w14:textId="77777777" w:rsidR="00A702C7" w:rsidRDefault="00A702C7">
      <w:r>
        <w:separator/>
      </w:r>
    </w:p>
  </w:footnote>
  <w:footnote w:type="continuationSeparator" w:id="0">
    <w:p w14:paraId="12508DA5" w14:textId="77777777" w:rsidR="00A702C7" w:rsidRDefault="00A702C7">
      <w:r>
        <w:continuationSeparator/>
      </w:r>
    </w:p>
  </w:footnote>
  <w:footnote w:type="continuationNotice" w:id="1">
    <w:p w14:paraId="115532E4" w14:textId="77777777" w:rsidR="00A702C7" w:rsidRDefault="00A702C7"/>
  </w:footnote>
  <w:footnote w:id="2">
    <w:p w14:paraId="619F0CCD" w14:textId="77777777" w:rsidR="00DE591D" w:rsidRDefault="00F76C21">
      <w:pPr>
        <w:pStyle w:val="FootnoteText"/>
      </w:pPr>
      <w:r>
        <w:rPr>
          <w:rFonts w:ascii="Times New Roman" w:eastAsia="Times New Roman" w:hAnsi="Times New Roman" w:cs="Times New Roman"/>
          <w:vertAlign w:val="superscript"/>
        </w:rPr>
        <w:footnoteRef/>
      </w:r>
      <w:r>
        <w:t xml:space="preserve"> The CRB65 is just the CURB65 without a lab test called the BUN (blood urea nitrogen).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888B" w14:textId="1BBF819E" w:rsidR="00DE591D" w:rsidRDefault="00F76C21">
    <w:pPr>
      <w:pStyle w:val="Header"/>
      <w:tabs>
        <w:tab w:val="clear" w:pos="9360"/>
        <w:tab w:val="right" w:pos="9340"/>
      </w:tabs>
    </w:pPr>
    <w:r>
      <w:rPr>
        <w:sz w:val="18"/>
        <w:szCs w:val="18"/>
      </w:rPr>
      <w:fldChar w:fldCharType="begin"/>
    </w:r>
    <w:r>
      <w:rPr>
        <w:sz w:val="18"/>
        <w:szCs w:val="18"/>
      </w:rPr>
      <w:instrText xml:space="preserve"> FILENAME \* MERGEFORMAT</w:instrText>
    </w:r>
    <w:r>
      <w:rPr>
        <w:sz w:val="18"/>
        <w:szCs w:val="18"/>
      </w:rPr>
      <w:fldChar w:fldCharType="separate"/>
    </w:r>
    <w:r w:rsidR="00721FD9">
      <w:rPr>
        <w:noProof/>
        <w:sz w:val="18"/>
        <w:szCs w:val="18"/>
      </w:rPr>
      <w:t>Pset 5 Risk Prediction Complete WITH ANSWERS TN 2019-1025.docx</w:t>
    </w:r>
    <w:r>
      <w:rPr>
        <w:sz w:val="18"/>
        <w:szCs w:val="18"/>
      </w:rPr>
      <w:fldChar w:fldCharType="end"/>
    </w: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CD2"/>
    <w:multiLevelType w:val="hybridMultilevel"/>
    <w:tmpl w:val="30661EAE"/>
    <w:numStyleLink w:val="ImportedStyle2"/>
  </w:abstractNum>
  <w:abstractNum w:abstractNumId="1" w15:restartNumberingAfterBreak="0">
    <w:nsid w:val="20593125"/>
    <w:multiLevelType w:val="hybridMultilevel"/>
    <w:tmpl w:val="07B4F88A"/>
    <w:lvl w:ilvl="0" w:tplc="759EB4EC">
      <w:start w:val="1"/>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72F03"/>
    <w:multiLevelType w:val="hybridMultilevel"/>
    <w:tmpl w:val="41DC2604"/>
    <w:lvl w:ilvl="0" w:tplc="951241D6">
      <w:start w:val="3"/>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0962E3D"/>
    <w:multiLevelType w:val="hybridMultilevel"/>
    <w:tmpl w:val="30661EAE"/>
    <w:styleLink w:val="ImportedStyle2"/>
    <w:lvl w:ilvl="0" w:tplc="50342F2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B8D3D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E04034">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B1AD23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04A7E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CC8D66">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DE2F49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28369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5EF578">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6737B5"/>
    <w:multiLevelType w:val="hybridMultilevel"/>
    <w:tmpl w:val="09324874"/>
    <w:lvl w:ilvl="0" w:tplc="FEAEEA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14734"/>
    <w:multiLevelType w:val="hybridMultilevel"/>
    <w:tmpl w:val="C6CC0C94"/>
    <w:styleLink w:val="ImportedStyle3"/>
    <w:lvl w:ilvl="0" w:tplc="D228DA8C">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EEAD8BA">
      <w:start w:val="1"/>
      <w:numFmt w:val="lowerLetter"/>
      <w:lvlText w:val="%2."/>
      <w:lvlJc w:val="left"/>
      <w:pPr>
        <w:tabs>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DC6C68">
      <w:start w:val="1"/>
      <w:numFmt w:val="lowerRoman"/>
      <w:lvlText w:val="%3."/>
      <w:lvlJc w:val="left"/>
      <w:pPr>
        <w:tabs>
          <w:tab w:val="left" w:pos="2160"/>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F482214">
      <w:start w:val="1"/>
      <w:numFmt w:val="decimal"/>
      <w:lvlText w:val="%4."/>
      <w:lvlJc w:val="left"/>
      <w:pPr>
        <w:tabs>
          <w:tab w:val="left" w:pos="21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606A8">
      <w:start w:val="1"/>
      <w:numFmt w:val="lowerLetter"/>
      <w:lvlText w:val="%5."/>
      <w:lvlJc w:val="left"/>
      <w:pPr>
        <w:tabs>
          <w:tab w:val="left" w:pos="2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5EDF08">
      <w:start w:val="1"/>
      <w:numFmt w:val="lowerRoman"/>
      <w:lvlText w:val="%6."/>
      <w:lvlJc w:val="left"/>
      <w:pPr>
        <w:tabs>
          <w:tab w:val="left" w:pos="2160"/>
        </w:tabs>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486BEB4">
      <w:start w:val="1"/>
      <w:numFmt w:val="decimal"/>
      <w:lvlText w:val="%7."/>
      <w:lvlJc w:val="left"/>
      <w:pPr>
        <w:tabs>
          <w:tab w:val="left" w:pos="21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3ED074">
      <w:start w:val="1"/>
      <w:numFmt w:val="lowerLetter"/>
      <w:lvlText w:val="%8."/>
      <w:lvlJc w:val="left"/>
      <w:pPr>
        <w:tabs>
          <w:tab w:val="left" w:pos="216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5E15DC">
      <w:start w:val="1"/>
      <w:numFmt w:val="lowerRoman"/>
      <w:lvlText w:val="%9."/>
      <w:lvlJc w:val="left"/>
      <w:pPr>
        <w:tabs>
          <w:tab w:val="left" w:pos="2160"/>
        </w:tabs>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F1789D"/>
    <w:multiLevelType w:val="hybridMultilevel"/>
    <w:tmpl w:val="C694B8FE"/>
    <w:numStyleLink w:val="ImportedStyle1"/>
  </w:abstractNum>
  <w:abstractNum w:abstractNumId="7" w15:restartNumberingAfterBreak="0">
    <w:nsid w:val="5D8D27EB"/>
    <w:multiLevelType w:val="hybridMultilevel"/>
    <w:tmpl w:val="C6CC0C94"/>
    <w:numStyleLink w:val="ImportedStyle3"/>
  </w:abstractNum>
  <w:abstractNum w:abstractNumId="8" w15:restartNumberingAfterBreak="0">
    <w:nsid w:val="60986682"/>
    <w:multiLevelType w:val="hybridMultilevel"/>
    <w:tmpl w:val="C694B8FE"/>
    <w:styleLink w:val="ImportedStyle1"/>
    <w:lvl w:ilvl="0" w:tplc="6C0C930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004ED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ECCE7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900A7F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E0510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2EAB9A">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3E6DD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E4F9B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84273E">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6"/>
  </w:num>
  <w:num w:numId="3">
    <w:abstractNumId w:val="6"/>
    <w:lvlOverride w:ilvl="0">
      <w:startOverride w:val="6"/>
    </w:lvlOverride>
  </w:num>
  <w:num w:numId="4">
    <w:abstractNumId w:val="3"/>
  </w:num>
  <w:num w:numId="5">
    <w:abstractNumId w:val="0"/>
  </w:num>
  <w:num w:numId="6">
    <w:abstractNumId w:val="5"/>
  </w:num>
  <w:num w:numId="7">
    <w:abstractNumId w:val="7"/>
  </w:num>
  <w:num w:numId="8">
    <w:abstractNumId w:val="0"/>
  </w:num>
  <w:num w:numId="9">
    <w:abstractNumId w:val="6"/>
    <w:lvlOverride w:ilvl="0">
      <w:lvl w:ilvl="0" w:tplc="773EF22A">
        <w:start w:val="1"/>
        <w:numFmt w:val="upperRoman"/>
        <w:lvlText w:val="%1."/>
        <w:lvlJc w:val="right"/>
        <w:pPr>
          <w:ind w:left="720" w:hanging="360"/>
        </w:pPr>
      </w:lvl>
    </w:lvlOverride>
    <w:lvlOverride w:ilvl="1">
      <w:lvl w:ilvl="1" w:tplc="C40C9216" w:tentative="1">
        <w:start w:val="1"/>
        <w:numFmt w:val="lowerLetter"/>
        <w:lvlText w:val="%2."/>
        <w:lvlJc w:val="left"/>
        <w:pPr>
          <w:ind w:left="1440" w:hanging="360"/>
        </w:pPr>
      </w:lvl>
    </w:lvlOverride>
    <w:lvlOverride w:ilvl="2">
      <w:lvl w:ilvl="2" w:tplc="F9A0FF6C" w:tentative="1">
        <w:start w:val="1"/>
        <w:numFmt w:val="lowerRoman"/>
        <w:lvlText w:val="%3."/>
        <w:lvlJc w:val="right"/>
        <w:pPr>
          <w:ind w:left="2160" w:hanging="180"/>
        </w:pPr>
      </w:lvl>
    </w:lvlOverride>
    <w:lvlOverride w:ilvl="3">
      <w:lvl w:ilvl="3" w:tplc="6892322C" w:tentative="1">
        <w:start w:val="1"/>
        <w:numFmt w:val="decimal"/>
        <w:lvlText w:val="%4."/>
        <w:lvlJc w:val="left"/>
        <w:pPr>
          <w:ind w:left="2880" w:hanging="360"/>
        </w:pPr>
      </w:lvl>
    </w:lvlOverride>
    <w:lvlOverride w:ilvl="4">
      <w:lvl w:ilvl="4" w:tplc="2CA2B684" w:tentative="1">
        <w:start w:val="1"/>
        <w:numFmt w:val="lowerLetter"/>
        <w:lvlText w:val="%5."/>
        <w:lvlJc w:val="left"/>
        <w:pPr>
          <w:ind w:left="3600" w:hanging="360"/>
        </w:pPr>
      </w:lvl>
    </w:lvlOverride>
    <w:lvlOverride w:ilvl="5">
      <w:lvl w:ilvl="5" w:tplc="6D40AEB4" w:tentative="1">
        <w:start w:val="1"/>
        <w:numFmt w:val="lowerRoman"/>
        <w:lvlText w:val="%6."/>
        <w:lvlJc w:val="right"/>
        <w:pPr>
          <w:ind w:left="4320" w:hanging="180"/>
        </w:pPr>
      </w:lvl>
    </w:lvlOverride>
    <w:lvlOverride w:ilvl="6">
      <w:lvl w:ilvl="6" w:tplc="CC5A4A06" w:tentative="1">
        <w:start w:val="1"/>
        <w:numFmt w:val="decimal"/>
        <w:lvlText w:val="%7."/>
        <w:lvlJc w:val="left"/>
        <w:pPr>
          <w:ind w:left="5040" w:hanging="360"/>
        </w:pPr>
      </w:lvl>
    </w:lvlOverride>
    <w:lvlOverride w:ilvl="7">
      <w:lvl w:ilvl="7" w:tplc="38B26E84" w:tentative="1">
        <w:start w:val="1"/>
        <w:numFmt w:val="lowerLetter"/>
        <w:lvlText w:val="%8."/>
        <w:lvlJc w:val="left"/>
        <w:pPr>
          <w:ind w:left="5760" w:hanging="360"/>
        </w:pPr>
      </w:lvl>
    </w:lvlOverride>
    <w:lvlOverride w:ilvl="8">
      <w:lvl w:ilvl="8" w:tplc="584CC0E0" w:tentative="1">
        <w:start w:val="1"/>
        <w:numFmt w:val="lowerRoman"/>
        <w:lvlText w:val="%9."/>
        <w:lvlJc w:val="right"/>
        <w:pPr>
          <w:ind w:left="6480" w:hanging="180"/>
        </w:pPr>
      </w:lvl>
    </w:lvlOverride>
  </w:num>
  <w:num w:numId="10">
    <w:abstractNumId w:val="0"/>
    <w:lvlOverride w:ilvl="0">
      <w:startOverride w:val="1"/>
      <w:lvl w:ilvl="0" w:tplc="42647614">
        <w:start w:val="1"/>
        <w:numFmt w:val="upperLetter"/>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D5C689A">
        <w:start w:val="1"/>
        <w:numFmt w:val="lowerLetter"/>
        <w:lvlText w:val="%2."/>
        <w:lvlJc w:val="left"/>
        <w:pPr>
          <w:ind w:left="177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DD61EF0">
        <w:start w:val="1"/>
        <w:numFmt w:val="lowerRoman"/>
        <w:lvlText w:val="%3."/>
        <w:lvlJc w:val="left"/>
        <w:pPr>
          <w:ind w:left="249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6A2752">
        <w:start w:val="1"/>
        <w:numFmt w:val="decimal"/>
        <w:lvlText w:val="%4."/>
        <w:lvlJc w:val="left"/>
        <w:pPr>
          <w:ind w:left="321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04A534C">
        <w:start w:val="1"/>
        <w:numFmt w:val="lowerLetter"/>
        <w:lvlText w:val="%5."/>
        <w:lvlJc w:val="left"/>
        <w:pPr>
          <w:ind w:left="393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004EA8">
        <w:start w:val="1"/>
        <w:numFmt w:val="lowerRoman"/>
        <w:lvlText w:val="%6."/>
        <w:lvlJc w:val="left"/>
        <w:pPr>
          <w:ind w:left="465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534BF04">
        <w:start w:val="1"/>
        <w:numFmt w:val="decimal"/>
        <w:lvlText w:val="%7."/>
        <w:lvlJc w:val="left"/>
        <w:pPr>
          <w:ind w:left="537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00AC4A">
        <w:start w:val="1"/>
        <w:numFmt w:val="lowerLetter"/>
        <w:lvlText w:val="%8."/>
        <w:lvlJc w:val="left"/>
        <w:pPr>
          <w:ind w:left="609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5C8A070">
        <w:start w:val="1"/>
        <w:numFmt w:val="lowerRoman"/>
        <w:lvlText w:val="%9."/>
        <w:lvlJc w:val="left"/>
        <w:pPr>
          <w:ind w:left="681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tplc="42647614">
        <w:start w:val="1"/>
        <w:numFmt w:val="upperLetter"/>
        <w:lvlText w:val="%1)"/>
        <w:lvlJc w:val="left"/>
        <w:pPr>
          <w:ind w:left="108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D5C689A">
        <w:start w:val="1"/>
        <w:numFmt w:val="lowerLetter"/>
        <w:lvlText w:val="%2."/>
        <w:lvlJc w:val="left"/>
        <w:pPr>
          <w:ind w:left="177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DD61EF0">
        <w:start w:val="1"/>
        <w:numFmt w:val="lowerRoman"/>
        <w:lvlText w:val="%3."/>
        <w:lvlJc w:val="left"/>
        <w:pPr>
          <w:ind w:left="249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96A2752">
        <w:start w:val="1"/>
        <w:numFmt w:val="decimal"/>
        <w:lvlText w:val="%4."/>
        <w:lvlJc w:val="left"/>
        <w:pPr>
          <w:ind w:left="321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04A534C">
        <w:start w:val="1"/>
        <w:numFmt w:val="lowerLetter"/>
        <w:lvlText w:val="%5."/>
        <w:lvlJc w:val="left"/>
        <w:pPr>
          <w:ind w:left="393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6004EA8">
        <w:start w:val="1"/>
        <w:numFmt w:val="lowerRoman"/>
        <w:lvlText w:val="%6."/>
        <w:lvlJc w:val="left"/>
        <w:pPr>
          <w:ind w:left="465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534BF04">
        <w:start w:val="1"/>
        <w:numFmt w:val="decimal"/>
        <w:lvlText w:val="%7."/>
        <w:lvlJc w:val="left"/>
        <w:pPr>
          <w:ind w:left="537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700AC4A">
        <w:start w:val="1"/>
        <w:numFmt w:val="lowerLetter"/>
        <w:lvlText w:val="%8."/>
        <w:lvlJc w:val="left"/>
        <w:pPr>
          <w:ind w:left="609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5C8A070">
        <w:start w:val="1"/>
        <w:numFmt w:val="lowerRoman"/>
        <w:lvlText w:val="%9."/>
        <w:lvlJc w:val="left"/>
        <w:pPr>
          <w:ind w:left="681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6"/>
    <w:lvlOverride w:ilvl="0">
      <w:startOverride w:val="2"/>
      <w:lvl w:ilvl="0" w:tplc="773EF22A">
        <w:start w:val="2"/>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40C921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A0FF6C">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892322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A2B68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40AEB4">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C5A4A06">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8B26E84">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4CC0E0">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6"/>
    <w:lvlOverride w:ilvl="0">
      <w:lvl w:ilvl="0" w:tplc="773EF2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40C92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A0FF6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9232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A2B6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40AEB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C5A4A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8B26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4CC0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7"/>
    <w:lvlOverride w:ilvl="0">
      <w:startOverride w:val="1"/>
      <w:lvl w:ilvl="0" w:tplc="EBEC413E">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02474CE">
        <w:start w:val="1"/>
        <w:numFmt w:val="lowerLetter"/>
        <w:lvlText w:val="%2."/>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B4C7BE">
        <w:start w:val="1"/>
        <w:numFmt w:val="lowerRoman"/>
        <w:lvlText w:val="%3."/>
        <w:lvlJc w:val="left"/>
        <w:pPr>
          <w:ind w:left="24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2A9854">
        <w:start w:val="1"/>
        <w:numFmt w:val="decimal"/>
        <w:lvlText w:val="%4."/>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442E0C">
        <w:start w:val="1"/>
        <w:numFmt w:val="lowerLetter"/>
        <w:lvlText w:val="%5."/>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12AB39C">
        <w:start w:val="1"/>
        <w:numFmt w:val="lowerRoman"/>
        <w:lvlText w:val="%6."/>
        <w:lvlJc w:val="left"/>
        <w:pPr>
          <w:ind w:left="46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436C7C6">
        <w:start w:val="1"/>
        <w:numFmt w:val="decimal"/>
        <w:lvlText w:val="%7."/>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E2E2D96">
        <w:start w:val="1"/>
        <w:numFmt w:val="lowerLetter"/>
        <w:lvlText w:val="%8."/>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D6CC4E">
        <w:start w:val="1"/>
        <w:numFmt w:val="lowerRoman"/>
        <w:lvlText w:val="%9."/>
        <w:lvlJc w:val="left"/>
        <w:pPr>
          <w:ind w:left="68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 Square Bracket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zsa9fbrf5toeezpb5tzwatvzvps55eeew&quot;&gt;EBD-MAK 2019.0102&lt;record-ids&gt;&lt;item&gt;1078&lt;/item&gt;&lt;item&gt;1563&lt;/item&gt;&lt;/record-ids&gt;&lt;/item&gt;&lt;/Libraries&gt;"/>
  </w:docVars>
  <w:rsids>
    <w:rsidRoot w:val="00DE591D"/>
    <w:rsid w:val="00071148"/>
    <w:rsid w:val="001D4692"/>
    <w:rsid w:val="002F18A0"/>
    <w:rsid w:val="003531FE"/>
    <w:rsid w:val="0037394D"/>
    <w:rsid w:val="004106D2"/>
    <w:rsid w:val="00462EA9"/>
    <w:rsid w:val="004F6798"/>
    <w:rsid w:val="004F67B7"/>
    <w:rsid w:val="00507140"/>
    <w:rsid w:val="00546059"/>
    <w:rsid w:val="00632C16"/>
    <w:rsid w:val="006646C8"/>
    <w:rsid w:val="006B2C36"/>
    <w:rsid w:val="006D19F8"/>
    <w:rsid w:val="00721FD9"/>
    <w:rsid w:val="00755A23"/>
    <w:rsid w:val="007640A2"/>
    <w:rsid w:val="00796B93"/>
    <w:rsid w:val="00812219"/>
    <w:rsid w:val="00817524"/>
    <w:rsid w:val="008376C6"/>
    <w:rsid w:val="00A02125"/>
    <w:rsid w:val="00A64DEE"/>
    <w:rsid w:val="00A702C7"/>
    <w:rsid w:val="00AD78B1"/>
    <w:rsid w:val="00B21FB0"/>
    <w:rsid w:val="00B425B6"/>
    <w:rsid w:val="00BA5EA3"/>
    <w:rsid w:val="00CC4F37"/>
    <w:rsid w:val="00CD6EE6"/>
    <w:rsid w:val="00DE591D"/>
    <w:rsid w:val="00E6231B"/>
    <w:rsid w:val="00E657D1"/>
    <w:rsid w:val="00E92E47"/>
    <w:rsid w:val="00EA6C74"/>
    <w:rsid w:val="00F7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4FBD"/>
  <w15:docId w15:val="{8B658A26-D2BA-4C7E-9BBA-A32E0370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paragraph" w:styleId="ListParagraph">
    <w:name w:val="List Paragraph"/>
    <w:uiPriority w:val="34"/>
    <w:qFormat/>
    <w:pPr>
      <w:ind w:left="720"/>
    </w:pPr>
    <w:rPr>
      <w:rFonts w:cs="Arial Unicode MS"/>
      <w:color w:val="000000"/>
      <w:sz w:val="24"/>
      <w:szCs w:val="24"/>
      <w:u w:color="000000"/>
    </w:rPr>
  </w:style>
  <w:style w:type="paragraph" w:styleId="FootnoteText">
    <w:name w:val="footnote text"/>
    <w:rPr>
      <w:rFonts w:ascii="Calibri" w:eastAsia="Calibri" w:hAnsi="Calibri" w:cs="Calibri"/>
      <w:color w:val="000000"/>
      <w:sz w:val="24"/>
      <w:szCs w:val="24"/>
      <w:u w:color="000000"/>
    </w:rPr>
  </w:style>
  <w:style w:type="character" w:customStyle="1" w:styleId="None">
    <w:name w:val="None"/>
  </w:style>
  <w:style w:type="character" w:customStyle="1" w:styleId="Hyperlink0">
    <w:name w:val="Hyperlink.0"/>
    <w:basedOn w:val="None"/>
  </w:style>
  <w:style w:type="paragraph" w:customStyle="1" w:styleId="EndNoteBibliographyTitle">
    <w:name w:val="EndNote Bibliography Title"/>
    <w:pPr>
      <w:jc w:val="center"/>
    </w:pPr>
    <w:rPr>
      <w:rFonts w:eastAsia="Times New Roman"/>
      <w:color w:val="000000"/>
      <w:sz w:val="24"/>
      <w:szCs w:val="24"/>
      <w:u w:color="000000"/>
    </w:rPr>
  </w:style>
  <w:style w:type="paragraph" w:customStyle="1" w:styleId="EndNoteBibliography">
    <w:name w:val="EndNote Bibliography"/>
    <w:rPr>
      <w:color w:val="000000"/>
      <w:sz w:val="24"/>
      <w:szCs w:val="24"/>
      <w:u w:color="000000"/>
    </w:rPr>
  </w:style>
  <w:style w:type="character" w:customStyle="1" w:styleId="Link">
    <w:name w:val="Link"/>
    <w:rPr>
      <w:outline w:val="0"/>
      <w:color w:val="0563C1"/>
      <w:u w:val="single" w:color="0563C1"/>
      <w:lang w:val="en-US"/>
    </w:rPr>
  </w:style>
  <w:style w:type="paragraph" w:styleId="Footer">
    <w:name w:val="footer"/>
    <w:basedOn w:val="Normal"/>
    <w:link w:val="FooterChar"/>
    <w:uiPriority w:val="99"/>
    <w:unhideWhenUsed/>
    <w:rsid w:val="00B21FB0"/>
    <w:pPr>
      <w:tabs>
        <w:tab w:val="center" w:pos="4680"/>
        <w:tab w:val="right" w:pos="9360"/>
      </w:tabs>
    </w:pPr>
  </w:style>
  <w:style w:type="character" w:customStyle="1" w:styleId="FooterChar">
    <w:name w:val="Footer Char"/>
    <w:basedOn w:val="DefaultParagraphFont"/>
    <w:link w:val="Footer"/>
    <w:uiPriority w:val="99"/>
    <w:rsid w:val="00B21FB0"/>
    <w:rPr>
      <w:sz w:val="24"/>
      <w:szCs w:val="24"/>
    </w:rPr>
  </w:style>
  <w:style w:type="character" w:styleId="UnresolvedMention">
    <w:name w:val="Unresolved Mention"/>
    <w:basedOn w:val="DefaultParagraphFont"/>
    <w:uiPriority w:val="99"/>
    <w:semiHidden/>
    <w:unhideWhenUsed/>
    <w:rsid w:val="00A02125"/>
    <w:rPr>
      <w:color w:val="605E5C"/>
      <w:shd w:val="clear" w:color="auto" w:fill="E1DFDD"/>
    </w:rPr>
  </w:style>
  <w:style w:type="paragraph" w:styleId="BalloonText">
    <w:name w:val="Balloon Text"/>
    <w:basedOn w:val="Normal"/>
    <w:link w:val="BalloonTextChar"/>
    <w:uiPriority w:val="99"/>
    <w:semiHidden/>
    <w:unhideWhenUsed/>
    <w:rsid w:val="00AD78B1"/>
    <w:rPr>
      <w:sz w:val="18"/>
      <w:szCs w:val="18"/>
    </w:rPr>
  </w:style>
  <w:style w:type="character" w:customStyle="1" w:styleId="BalloonTextChar">
    <w:name w:val="Balloon Text Char"/>
    <w:basedOn w:val="DefaultParagraphFont"/>
    <w:link w:val="BalloonText"/>
    <w:uiPriority w:val="99"/>
    <w:semiHidden/>
    <w:rsid w:val="00AD78B1"/>
    <w:rPr>
      <w:sz w:val="18"/>
      <w:szCs w:val="18"/>
    </w:rPr>
  </w:style>
  <w:style w:type="character" w:styleId="PageNumber">
    <w:name w:val="page number"/>
    <w:basedOn w:val="DefaultParagraphFont"/>
    <w:uiPriority w:val="99"/>
    <w:semiHidden/>
    <w:unhideWhenUsed/>
    <w:rsid w:val="00E6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Newman, Thomas</cp:lastModifiedBy>
  <cp:revision>9</cp:revision>
  <dcterms:created xsi:type="dcterms:W3CDTF">2019-10-25T17:35:00Z</dcterms:created>
  <dcterms:modified xsi:type="dcterms:W3CDTF">2019-10-25T19:39:00Z</dcterms:modified>
</cp:coreProperties>
</file>