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8281" w:tblpY="-974"/>
        <w:tblW w:w="3699" w:type="dxa"/>
        <w:tblLayout w:type="fixed"/>
        <w:tblLook w:val="0000" w:firstRow="0" w:lastRow="0" w:firstColumn="0" w:lastColumn="0" w:noHBand="0" w:noVBand="0"/>
      </w:tblPr>
      <w:tblGrid>
        <w:gridCol w:w="935"/>
        <w:gridCol w:w="1048"/>
        <w:gridCol w:w="913"/>
        <w:gridCol w:w="803"/>
      </w:tblGrid>
      <w:tr w:rsidR="00946D26" w:rsidRPr="00411C6A" w14:paraId="1F9DC7EE" w14:textId="77777777" w:rsidTr="00131BCC">
        <w:trPr>
          <w:trHeight w:val="480"/>
        </w:trPr>
        <w:tc>
          <w:tcPr>
            <w:tcW w:w="935" w:type="dxa"/>
            <w:tcBorders>
              <w:top w:val="single" w:sz="4" w:space="0" w:color="auto"/>
              <w:left w:val="single" w:sz="4" w:space="0" w:color="auto"/>
              <w:bottom w:val="single" w:sz="4" w:space="0" w:color="auto"/>
              <w:right w:val="single" w:sz="4" w:space="0" w:color="auto"/>
            </w:tcBorders>
            <w:noWrap/>
            <w:vAlign w:val="bottom"/>
          </w:tcPr>
          <w:p w14:paraId="431CDF4B" w14:textId="77777777" w:rsidR="00946D26" w:rsidRPr="00411C6A" w:rsidRDefault="00512A48" w:rsidP="0042760D">
            <w:pPr>
              <w:rPr>
                <w:rFonts w:ascii="Arial" w:hAnsi="Arial" w:cs="Arial"/>
                <w:sz w:val="22"/>
                <w:szCs w:val="22"/>
              </w:rPr>
            </w:pPr>
            <w:r w:rsidRPr="00411C6A">
              <w:rPr>
                <w:rFonts w:ascii="Arial" w:hAnsi="Arial" w:cs="Arial"/>
                <w:sz w:val="22"/>
                <w:szCs w:val="22"/>
              </w:rPr>
              <w:t xml:space="preserve">  </w:t>
            </w:r>
            <w:r w:rsidR="00946D26" w:rsidRPr="00411C6A">
              <w:rPr>
                <w:rFonts w:ascii="Arial" w:hAnsi="Arial" w:cs="Arial"/>
                <w:sz w:val="22"/>
                <w:szCs w:val="22"/>
              </w:rPr>
              <w:t>#</w:t>
            </w:r>
          </w:p>
        </w:tc>
        <w:tc>
          <w:tcPr>
            <w:tcW w:w="1048" w:type="dxa"/>
            <w:tcBorders>
              <w:top w:val="single" w:sz="4" w:space="0" w:color="auto"/>
              <w:left w:val="nil"/>
              <w:bottom w:val="single" w:sz="4" w:space="0" w:color="auto"/>
              <w:right w:val="single" w:sz="4" w:space="0" w:color="auto"/>
            </w:tcBorders>
          </w:tcPr>
          <w:p w14:paraId="45AF11EB" w14:textId="77777777" w:rsidR="00946D26" w:rsidRPr="00411C6A" w:rsidRDefault="00946D26" w:rsidP="0042760D">
            <w:pPr>
              <w:rPr>
                <w:rFonts w:ascii="Arial" w:hAnsi="Arial" w:cs="Arial"/>
                <w:sz w:val="22"/>
                <w:szCs w:val="22"/>
              </w:rPr>
            </w:pPr>
            <w:r w:rsidRPr="00411C6A">
              <w:rPr>
                <w:rFonts w:ascii="Arial" w:hAnsi="Arial" w:cs="Arial"/>
                <w:sz w:val="22"/>
                <w:szCs w:val="22"/>
              </w:rPr>
              <w:t>Pts Possible</w:t>
            </w:r>
          </w:p>
        </w:tc>
        <w:tc>
          <w:tcPr>
            <w:tcW w:w="913" w:type="dxa"/>
            <w:tcBorders>
              <w:top w:val="single" w:sz="4" w:space="0" w:color="auto"/>
              <w:left w:val="nil"/>
              <w:bottom w:val="single" w:sz="4" w:space="0" w:color="auto"/>
              <w:right w:val="single" w:sz="4" w:space="0" w:color="auto"/>
            </w:tcBorders>
          </w:tcPr>
          <w:p w14:paraId="684F3DC2" w14:textId="77777777" w:rsidR="00946D26" w:rsidRPr="00411C6A" w:rsidRDefault="00946D26" w:rsidP="0042760D">
            <w:pPr>
              <w:rPr>
                <w:rFonts w:ascii="Arial" w:hAnsi="Arial" w:cs="Arial"/>
                <w:sz w:val="22"/>
                <w:szCs w:val="22"/>
              </w:rPr>
            </w:pPr>
            <w:r w:rsidRPr="00411C6A">
              <w:rPr>
                <w:rFonts w:ascii="Arial" w:hAnsi="Arial" w:cs="Arial"/>
                <w:sz w:val="22"/>
                <w:szCs w:val="22"/>
              </w:rPr>
              <w:t>Pts missed</w:t>
            </w:r>
          </w:p>
        </w:tc>
        <w:tc>
          <w:tcPr>
            <w:tcW w:w="803" w:type="dxa"/>
            <w:tcBorders>
              <w:top w:val="single" w:sz="4" w:space="0" w:color="auto"/>
              <w:left w:val="nil"/>
              <w:bottom w:val="single" w:sz="4" w:space="0" w:color="auto"/>
              <w:right w:val="single" w:sz="4" w:space="0" w:color="auto"/>
            </w:tcBorders>
          </w:tcPr>
          <w:p w14:paraId="43013011" w14:textId="77777777" w:rsidR="00946D26" w:rsidRPr="00411C6A" w:rsidRDefault="00946D26" w:rsidP="0042760D">
            <w:pPr>
              <w:rPr>
                <w:rFonts w:ascii="Arial" w:hAnsi="Arial" w:cs="Arial"/>
                <w:sz w:val="22"/>
                <w:szCs w:val="22"/>
              </w:rPr>
            </w:pPr>
            <w:r w:rsidRPr="00411C6A">
              <w:rPr>
                <w:rFonts w:ascii="Arial" w:hAnsi="Arial" w:cs="Arial"/>
                <w:sz w:val="22"/>
                <w:szCs w:val="22"/>
              </w:rPr>
              <w:t>Extra Credit</w:t>
            </w:r>
          </w:p>
        </w:tc>
      </w:tr>
      <w:tr w:rsidR="00FC0031" w:rsidRPr="00411C6A" w14:paraId="5EBA3C8A" w14:textId="77777777" w:rsidTr="008117C4">
        <w:trPr>
          <w:trHeight w:val="255"/>
        </w:trPr>
        <w:tc>
          <w:tcPr>
            <w:tcW w:w="935" w:type="dxa"/>
            <w:tcBorders>
              <w:top w:val="nil"/>
              <w:left w:val="single" w:sz="4" w:space="0" w:color="auto"/>
              <w:bottom w:val="single" w:sz="4" w:space="0" w:color="auto"/>
              <w:right w:val="single" w:sz="4" w:space="0" w:color="auto"/>
            </w:tcBorders>
            <w:noWrap/>
            <w:vAlign w:val="bottom"/>
          </w:tcPr>
          <w:p w14:paraId="030BC171"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1</w:t>
            </w:r>
          </w:p>
        </w:tc>
        <w:tc>
          <w:tcPr>
            <w:tcW w:w="1048" w:type="dxa"/>
            <w:tcBorders>
              <w:top w:val="nil"/>
              <w:left w:val="nil"/>
              <w:bottom w:val="single" w:sz="4" w:space="0" w:color="auto"/>
              <w:right w:val="single" w:sz="4" w:space="0" w:color="auto"/>
            </w:tcBorders>
            <w:noWrap/>
            <w:vAlign w:val="center"/>
          </w:tcPr>
          <w:p w14:paraId="7508C691" w14:textId="4B3DFB97" w:rsidR="00FC0031" w:rsidRPr="00FC0031" w:rsidRDefault="00852387" w:rsidP="00FC0031">
            <w:pPr>
              <w:jc w:val="center"/>
              <w:rPr>
                <w:rFonts w:ascii="Arial" w:hAnsi="Arial" w:cs="Arial"/>
                <w:sz w:val="22"/>
                <w:szCs w:val="22"/>
              </w:rPr>
            </w:pPr>
            <w:r>
              <w:rPr>
                <w:rFonts w:ascii="Arial" w:eastAsia="Times New Roman" w:hAnsi="Arial" w:cs="Arial"/>
                <w:sz w:val="22"/>
                <w:szCs w:val="22"/>
              </w:rPr>
              <w:t>1</w:t>
            </w:r>
            <w:r w:rsidR="008117C4">
              <w:rPr>
                <w:rFonts w:ascii="Arial" w:eastAsia="Times New Roman" w:hAnsi="Arial" w:cs="Arial"/>
                <w:sz w:val="22"/>
                <w:szCs w:val="22"/>
              </w:rPr>
              <w:t>0</w:t>
            </w:r>
          </w:p>
        </w:tc>
        <w:tc>
          <w:tcPr>
            <w:tcW w:w="913" w:type="dxa"/>
            <w:tcBorders>
              <w:top w:val="nil"/>
              <w:left w:val="nil"/>
              <w:bottom w:val="single" w:sz="4" w:space="0" w:color="auto"/>
              <w:right w:val="single" w:sz="4" w:space="0" w:color="auto"/>
            </w:tcBorders>
            <w:noWrap/>
            <w:vAlign w:val="bottom"/>
          </w:tcPr>
          <w:p w14:paraId="6CB6A38F"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35AD91AC" w14:textId="77777777" w:rsidR="00FC0031" w:rsidRPr="00411C6A" w:rsidRDefault="00FC0031" w:rsidP="0042760D">
            <w:pPr>
              <w:rPr>
                <w:rFonts w:ascii="Arial" w:hAnsi="Arial" w:cs="Arial"/>
                <w:sz w:val="22"/>
                <w:szCs w:val="22"/>
              </w:rPr>
            </w:pPr>
            <w:r w:rsidRPr="00411C6A">
              <w:rPr>
                <w:rFonts w:ascii="Arial" w:hAnsi="Arial" w:cs="Arial"/>
                <w:sz w:val="22"/>
                <w:szCs w:val="22"/>
              </w:rPr>
              <w:t> </w:t>
            </w:r>
          </w:p>
        </w:tc>
      </w:tr>
      <w:tr w:rsidR="008117C4" w:rsidRPr="00411C6A" w14:paraId="288DF3E1" w14:textId="77777777" w:rsidTr="008117C4">
        <w:trPr>
          <w:trHeight w:val="255"/>
        </w:trPr>
        <w:tc>
          <w:tcPr>
            <w:tcW w:w="935" w:type="dxa"/>
            <w:tcBorders>
              <w:top w:val="nil"/>
              <w:left w:val="single" w:sz="4" w:space="0" w:color="auto"/>
              <w:bottom w:val="single" w:sz="4" w:space="0" w:color="auto"/>
              <w:right w:val="single" w:sz="4" w:space="0" w:color="auto"/>
            </w:tcBorders>
            <w:noWrap/>
            <w:vAlign w:val="bottom"/>
          </w:tcPr>
          <w:p w14:paraId="29B157CB" w14:textId="77777777" w:rsidR="008117C4" w:rsidRPr="00411C6A" w:rsidRDefault="008117C4" w:rsidP="0042760D">
            <w:pPr>
              <w:jc w:val="center"/>
              <w:rPr>
                <w:rFonts w:ascii="Arial" w:hAnsi="Arial" w:cs="Arial"/>
                <w:sz w:val="22"/>
                <w:szCs w:val="22"/>
              </w:rPr>
            </w:pPr>
            <w:r w:rsidRPr="00411C6A">
              <w:rPr>
                <w:rFonts w:ascii="Arial" w:hAnsi="Arial" w:cs="Arial"/>
                <w:sz w:val="22"/>
                <w:szCs w:val="22"/>
              </w:rPr>
              <w:t>2</w:t>
            </w:r>
          </w:p>
        </w:tc>
        <w:tc>
          <w:tcPr>
            <w:tcW w:w="276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AAD61CE" w14:textId="2DC1E1CA" w:rsidR="008117C4" w:rsidRPr="00411C6A" w:rsidRDefault="008117C4" w:rsidP="008117C4">
            <w:pPr>
              <w:jc w:val="center"/>
              <w:rPr>
                <w:rFonts w:ascii="Arial" w:hAnsi="Arial" w:cs="Arial"/>
                <w:sz w:val="22"/>
                <w:szCs w:val="22"/>
              </w:rPr>
            </w:pPr>
            <w:r>
              <w:rPr>
                <w:rFonts w:ascii="Arial" w:hAnsi="Arial" w:cs="Arial"/>
                <w:sz w:val="22"/>
                <w:szCs w:val="22"/>
              </w:rPr>
              <w:t>Withdrawn</w:t>
            </w:r>
          </w:p>
        </w:tc>
      </w:tr>
      <w:tr w:rsidR="00FC0031" w:rsidRPr="00411C6A" w14:paraId="48332C69"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68D1C29F" w14:textId="15C53CEC" w:rsidR="00FC0031" w:rsidRPr="00411C6A" w:rsidRDefault="00050C21" w:rsidP="0042760D">
            <w:pPr>
              <w:jc w:val="center"/>
              <w:rPr>
                <w:rFonts w:ascii="Arial" w:hAnsi="Arial" w:cs="Arial"/>
                <w:sz w:val="22"/>
                <w:szCs w:val="22"/>
              </w:rPr>
            </w:pPr>
            <w:r>
              <w:rPr>
                <w:rFonts w:ascii="Arial" w:hAnsi="Arial" w:cs="Arial"/>
                <w:sz w:val="22"/>
                <w:szCs w:val="22"/>
              </w:rPr>
              <w:t>3</w:t>
            </w:r>
          </w:p>
        </w:tc>
        <w:tc>
          <w:tcPr>
            <w:tcW w:w="1048" w:type="dxa"/>
            <w:tcBorders>
              <w:top w:val="nil"/>
              <w:left w:val="nil"/>
              <w:bottom w:val="single" w:sz="4" w:space="0" w:color="auto"/>
              <w:right w:val="single" w:sz="4" w:space="0" w:color="auto"/>
            </w:tcBorders>
            <w:noWrap/>
            <w:vAlign w:val="center"/>
          </w:tcPr>
          <w:p w14:paraId="52243D54" w14:textId="5928176B" w:rsidR="00FC0031" w:rsidRPr="00FC0031" w:rsidRDefault="00BB0878" w:rsidP="00FC0031">
            <w:pPr>
              <w:jc w:val="center"/>
              <w:rPr>
                <w:rFonts w:ascii="Arial" w:hAnsi="Arial" w:cs="Arial"/>
                <w:sz w:val="22"/>
                <w:szCs w:val="22"/>
              </w:rPr>
            </w:pPr>
            <w:r>
              <w:rPr>
                <w:rFonts w:ascii="Arial" w:hAnsi="Arial" w:cs="Arial"/>
                <w:sz w:val="22"/>
                <w:szCs w:val="22"/>
              </w:rPr>
              <w:t>1</w:t>
            </w:r>
            <w:r w:rsidR="008117C4">
              <w:rPr>
                <w:rFonts w:ascii="Arial" w:hAnsi="Arial" w:cs="Arial"/>
                <w:sz w:val="22"/>
                <w:szCs w:val="22"/>
              </w:rPr>
              <w:t>5</w:t>
            </w:r>
          </w:p>
        </w:tc>
        <w:tc>
          <w:tcPr>
            <w:tcW w:w="913" w:type="dxa"/>
            <w:tcBorders>
              <w:top w:val="nil"/>
              <w:left w:val="nil"/>
              <w:bottom w:val="single" w:sz="4" w:space="0" w:color="auto"/>
              <w:right w:val="single" w:sz="4" w:space="0" w:color="auto"/>
            </w:tcBorders>
            <w:noWrap/>
            <w:vAlign w:val="bottom"/>
          </w:tcPr>
          <w:p w14:paraId="5351AB1D"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7F1E4B14" w14:textId="77777777" w:rsidR="00FC0031" w:rsidRPr="00411C6A" w:rsidRDefault="00FC0031" w:rsidP="0042760D">
            <w:pPr>
              <w:rPr>
                <w:rFonts w:ascii="Arial" w:hAnsi="Arial" w:cs="Arial"/>
                <w:sz w:val="22"/>
                <w:szCs w:val="22"/>
              </w:rPr>
            </w:pPr>
            <w:r w:rsidRPr="00411C6A">
              <w:rPr>
                <w:rFonts w:ascii="Arial" w:hAnsi="Arial" w:cs="Arial"/>
                <w:sz w:val="22"/>
                <w:szCs w:val="22"/>
              </w:rPr>
              <w:t> </w:t>
            </w:r>
          </w:p>
        </w:tc>
      </w:tr>
      <w:tr w:rsidR="00050C21" w:rsidRPr="00411C6A" w14:paraId="05C9500A"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6E3B9295" w14:textId="195879D9" w:rsidR="00050C21" w:rsidRPr="00411C6A" w:rsidRDefault="00050C21" w:rsidP="00050C21">
            <w:pPr>
              <w:jc w:val="center"/>
              <w:rPr>
                <w:rFonts w:ascii="Arial" w:hAnsi="Arial" w:cs="Arial"/>
                <w:sz w:val="22"/>
                <w:szCs w:val="22"/>
              </w:rPr>
            </w:pPr>
            <w:r>
              <w:rPr>
                <w:rFonts w:ascii="Arial" w:hAnsi="Arial" w:cs="Arial"/>
                <w:sz w:val="22"/>
                <w:szCs w:val="22"/>
              </w:rPr>
              <w:t>4</w:t>
            </w:r>
          </w:p>
        </w:tc>
        <w:tc>
          <w:tcPr>
            <w:tcW w:w="1048" w:type="dxa"/>
            <w:tcBorders>
              <w:top w:val="nil"/>
              <w:left w:val="nil"/>
              <w:bottom w:val="single" w:sz="4" w:space="0" w:color="auto"/>
              <w:right w:val="single" w:sz="4" w:space="0" w:color="auto"/>
            </w:tcBorders>
            <w:noWrap/>
            <w:vAlign w:val="center"/>
          </w:tcPr>
          <w:p w14:paraId="7E73412E" w14:textId="1DF5052F" w:rsidR="00050C21" w:rsidRPr="00FC0031" w:rsidRDefault="008117C4" w:rsidP="003478B7">
            <w:pPr>
              <w:jc w:val="center"/>
              <w:rPr>
                <w:rFonts w:ascii="Arial" w:hAnsi="Arial" w:cs="Arial"/>
                <w:sz w:val="22"/>
                <w:szCs w:val="22"/>
              </w:rPr>
            </w:pPr>
            <w:r>
              <w:rPr>
                <w:rFonts w:ascii="Arial" w:eastAsia="Times New Roman" w:hAnsi="Arial" w:cs="Arial"/>
                <w:sz w:val="22"/>
                <w:szCs w:val="22"/>
              </w:rPr>
              <w:t>18+2</w:t>
            </w:r>
          </w:p>
        </w:tc>
        <w:tc>
          <w:tcPr>
            <w:tcW w:w="913" w:type="dxa"/>
            <w:tcBorders>
              <w:top w:val="nil"/>
              <w:left w:val="nil"/>
              <w:bottom w:val="single" w:sz="4" w:space="0" w:color="auto"/>
              <w:right w:val="single" w:sz="4" w:space="0" w:color="auto"/>
            </w:tcBorders>
            <w:noWrap/>
            <w:vAlign w:val="bottom"/>
          </w:tcPr>
          <w:p w14:paraId="26988703"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448036F6"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6EC8BA86"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17104CDA" w14:textId="3392F3FB" w:rsidR="00050C21" w:rsidRPr="00411C6A" w:rsidRDefault="00050C21" w:rsidP="00050C21">
            <w:pPr>
              <w:jc w:val="center"/>
              <w:rPr>
                <w:rFonts w:ascii="Arial" w:hAnsi="Arial" w:cs="Arial"/>
                <w:sz w:val="22"/>
                <w:szCs w:val="22"/>
              </w:rPr>
            </w:pPr>
            <w:r>
              <w:rPr>
                <w:rFonts w:ascii="Arial" w:hAnsi="Arial" w:cs="Arial"/>
                <w:sz w:val="22"/>
                <w:szCs w:val="22"/>
              </w:rPr>
              <w:t>5</w:t>
            </w:r>
          </w:p>
        </w:tc>
        <w:tc>
          <w:tcPr>
            <w:tcW w:w="1048" w:type="dxa"/>
            <w:tcBorders>
              <w:top w:val="nil"/>
              <w:left w:val="nil"/>
              <w:bottom w:val="single" w:sz="4" w:space="0" w:color="auto"/>
              <w:right w:val="single" w:sz="4" w:space="0" w:color="auto"/>
            </w:tcBorders>
            <w:noWrap/>
            <w:vAlign w:val="center"/>
          </w:tcPr>
          <w:p w14:paraId="67610A07" w14:textId="19CA8A81" w:rsidR="00050C21" w:rsidRPr="00FC0031" w:rsidRDefault="008117C4" w:rsidP="00050C21">
            <w:pPr>
              <w:jc w:val="center"/>
              <w:rPr>
                <w:rFonts w:ascii="Arial" w:hAnsi="Arial" w:cs="Arial"/>
                <w:sz w:val="22"/>
                <w:szCs w:val="22"/>
              </w:rPr>
            </w:pPr>
            <w:r>
              <w:rPr>
                <w:rFonts w:ascii="Arial" w:eastAsia="Times New Roman" w:hAnsi="Arial" w:cs="Arial"/>
                <w:sz w:val="22"/>
                <w:szCs w:val="22"/>
              </w:rPr>
              <w:t>8</w:t>
            </w:r>
          </w:p>
        </w:tc>
        <w:tc>
          <w:tcPr>
            <w:tcW w:w="913" w:type="dxa"/>
            <w:tcBorders>
              <w:top w:val="nil"/>
              <w:left w:val="nil"/>
              <w:bottom w:val="single" w:sz="4" w:space="0" w:color="auto"/>
              <w:right w:val="single" w:sz="4" w:space="0" w:color="auto"/>
            </w:tcBorders>
            <w:noWrap/>
            <w:vAlign w:val="bottom"/>
          </w:tcPr>
          <w:p w14:paraId="10CAAFA6"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4AC12582"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41B98F3A" w14:textId="77777777" w:rsidTr="00FC0031">
        <w:trPr>
          <w:trHeight w:val="255"/>
        </w:trPr>
        <w:tc>
          <w:tcPr>
            <w:tcW w:w="935" w:type="dxa"/>
            <w:tcBorders>
              <w:top w:val="nil"/>
              <w:left w:val="single" w:sz="4" w:space="0" w:color="auto"/>
              <w:bottom w:val="single" w:sz="4" w:space="0" w:color="auto"/>
              <w:right w:val="single" w:sz="4" w:space="0" w:color="auto"/>
            </w:tcBorders>
            <w:noWrap/>
            <w:vAlign w:val="bottom"/>
          </w:tcPr>
          <w:p w14:paraId="25A89FC4" w14:textId="3EB8AD2F" w:rsidR="00050C21" w:rsidRPr="00411C6A" w:rsidRDefault="00050C21" w:rsidP="00050C21">
            <w:pPr>
              <w:jc w:val="center"/>
              <w:rPr>
                <w:rFonts w:ascii="Arial" w:hAnsi="Arial" w:cs="Arial"/>
                <w:sz w:val="22"/>
                <w:szCs w:val="22"/>
              </w:rPr>
            </w:pPr>
            <w:r>
              <w:rPr>
                <w:rFonts w:ascii="Arial" w:hAnsi="Arial" w:cs="Arial"/>
                <w:sz w:val="22"/>
                <w:szCs w:val="22"/>
              </w:rPr>
              <w:t>6</w:t>
            </w:r>
          </w:p>
        </w:tc>
        <w:tc>
          <w:tcPr>
            <w:tcW w:w="1048" w:type="dxa"/>
            <w:tcBorders>
              <w:top w:val="nil"/>
              <w:left w:val="nil"/>
              <w:bottom w:val="single" w:sz="4" w:space="0" w:color="auto"/>
              <w:right w:val="single" w:sz="4" w:space="0" w:color="auto"/>
            </w:tcBorders>
            <w:noWrap/>
            <w:vAlign w:val="center"/>
          </w:tcPr>
          <w:p w14:paraId="5105EA0F" w14:textId="77BD5FCA" w:rsidR="00050C21" w:rsidRPr="00FC0031" w:rsidRDefault="008117C4" w:rsidP="00050C21">
            <w:pPr>
              <w:jc w:val="center"/>
              <w:rPr>
                <w:rFonts w:ascii="Arial" w:hAnsi="Arial" w:cs="Arial"/>
                <w:sz w:val="22"/>
                <w:szCs w:val="22"/>
              </w:rPr>
            </w:pPr>
            <w:r>
              <w:rPr>
                <w:rFonts w:ascii="Arial" w:eastAsia="Times New Roman" w:hAnsi="Arial" w:cs="Arial"/>
                <w:sz w:val="22"/>
                <w:szCs w:val="22"/>
              </w:rPr>
              <w:t>11</w:t>
            </w:r>
          </w:p>
        </w:tc>
        <w:tc>
          <w:tcPr>
            <w:tcW w:w="913" w:type="dxa"/>
            <w:tcBorders>
              <w:top w:val="nil"/>
              <w:left w:val="nil"/>
              <w:bottom w:val="single" w:sz="4" w:space="0" w:color="auto"/>
              <w:right w:val="single" w:sz="4" w:space="0" w:color="auto"/>
            </w:tcBorders>
            <w:noWrap/>
            <w:vAlign w:val="bottom"/>
          </w:tcPr>
          <w:p w14:paraId="6AF122B4"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3FCD4AC0"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559F2283" w14:textId="77777777" w:rsidTr="000F6CF4">
        <w:trPr>
          <w:trHeight w:val="223"/>
        </w:trPr>
        <w:tc>
          <w:tcPr>
            <w:tcW w:w="935" w:type="dxa"/>
            <w:tcBorders>
              <w:top w:val="nil"/>
              <w:left w:val="single" w:sz="4" w:space="0" w:color="auto"/>
              <w:bottom w:val="single" w:sz="4" w:space="0" w:color="auto"/>
              <w:right w:val="single" w:sz="4" w:space="0" w:color="auto"/>
            </w:tcBorders>
            <w:noWrap/>
            <w:vAlign w:val="bottom"/>
          </w:tcPr>
          <w:p w14:paraId="06B877FE" w14:textId="10BAF782" w:rsidR="00050C21" w:rsidRPr="00411C6A" w:rsidRDefault="00050C21" w:rsidP="000F6CF4">
            <w:pPr>
              <w:jc w:val="center"/>
              <w:rPr>
                <w:rFonts w:ascii="Arial" w:hAnsi="Arial" w:cs="Arial"/>
                <w:sz w:val="22"/>
                <w:szCs w:val="22"/>
              </w:rPr>
            </w:pPr>
            <w:r>
              <w:rPr>
                <w:rFonts w:ascii="Arial" w:hAnsi="Arial" w:cs="Arial"/>
                <w:sz w:val="22"/>
                <w:szCs w:val="22"/>
              </w:rPr>
              <w:t>7</w:t>
            </w:r>
          </w:p>
        </w:tc>
        <w:tc>
          <w:tcPr>
            <w:tcW w:w="1048" w:type="dxa"/>
            <w:tcBorders>
              <w:top w:val="nil"/>
              <w:left w:val="nil"/>
              <w:bottom w:val="single" w:sz="4" w:space="0" w:color="auto"/>
              <w:right w:val="single" w:sz="4" w:space="0" w:color="auto"/>
            </w:tcBorders>
            <w:noWrap/>
            <w:vAlign w:val="bottom"/>
          </w:tcPr>
          <w:p w14:paraId="6DE00F88" w14:textId="04B66459" w:rsidR="00050C21" w:rsidRPr="00FC0031" w:rsidRDefault="00BB0878" w:rsidP="000F6CF4">
            <w:pPr>
              <w:jc w:val="center"/>
              <w:rPr>
                <w:rFonts w:ascii="Arial" w:hAnsi="Arial" w:cs="Arial"/>
                <w:sz w:val="22"/>
                <w:szCs w:val="22"/>
              </w:rPr>
            </w:pPr>
            <w:r>
              <w:rPr>
                <w:rFonts w:ascii="Arial" w:hAnsi="Arial" w:cs="Arial"/>
                <w:sz w:val="22"/>
                <w:szCs w:val="22"/>
              </w:rPr>
              <w:t>1</w:t>
            </w:r>
            <w:r w:rsidR="008117C4">
              <w:rPr>
                <w:rFonts w:ascii="Arial" w:hAnsi="Arial" w:cs="Arial"/>
                <w:sz w:val="22"/>
                <w:szCs w:val="22"/>
              </w:rPr>
              <w:t>0</w:t>
            </w:r>
          </w:p>
        </w:tc>
        <w:tc>
          <w:tcPr>
            <w:tcW w:w="913" w:type="dxa"/>
            <w:tcBorders>
              <w:top w:val="nil"/>
              <w:left w:val="nil"/>
              <w:bottom w:val="single" w:sz="4" w:space="0" w:color="auto"/>
              <w:right w:val="single" w:sz="4" w:space="0" w:color="auto"/>
            </w:tcBorders>
            <w:noWrap/>
            <w:vAlign w:val="bottom"/>
          </w:tcPr>
          <w:p w14:paraId="47C0C074" w14:textId="0F3EC408" w:rsidR="00050C21" w:rsidRPr="00411C6A" w:rsidRDefault="00050C21" w:rsidP="000F6CF4">
            <w:pPr>
              <w:jc w:val="center"/>
              <w:rPr>
                <w:rFonts w:ascii="Arial" w:hAnsi="Arial" w:cs="Arial"/>
                <w:sz w:val="22"/>
                <w:szCs w:val="22"/>
              </w:rPr>
            </w:pPr>
          </w:p>
        </w:tc>
        <w:tc>
          <w:tcPr>
            <w:tcW w:w="803" w:type="dxa"/>
            <w:tcBorders>
              <w:top w:val="nil"/>
              <w:left w:val="nil"/>
              <w:bottom w:val="single" w:sz="4" w:space="0" w:color="auto"/>
              <w:right w:val="single" w:sz="4" w:space="0" w:color="auto"/>
            </w:tcBorders>
            <w:vAlign w:val="bottom"/>
          </w:tcPr>
          <w:p w14:paraId="48A3F948" w14:textId="75F316C8" w:rsidR="00050C21" w:rsidRPr="00411C6A" w:rsidRDefault="00050C21" w:rsidP="000F6CF4">
            <w:pPr>
              <w:jc w:val="center"/>
              <w:rPr>
                <w:rFonts w:ascii="Arial" w:hAnsi="Arial" w:cs="Arial"/>
                <w:sz w:val="22"/>
                <w:szCs w:val="22"/>
              </w:rPr>
            </w:pPr>
          </w:p>
        </w:tc>
      </w:tr>
      <w:tr w:rsidR="00050C21" w:rsidRPr="00411C6A" w14:paraId="1F0E8E59"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54FBCFE2" w14:textId="40219B4B" w:rsidR="00050C21" w:rsidRPr="00411C6A" w:rsidRDefault="00050C21" w:rsidP="00050C21">
            <w:pPr>
              <w:jc w:val="center"/>
              <w:rPr>
                <w:rFonts w:ascii="Arial" w:hAnsi="Arial" w:cs="Arial"/>
                <w:sz w:val="22"/>
                <w:szCs w:val="22"/>
              </w:rPr>
            </w:pPr>
            <w:r>
              <w:rPr>
                <w:rFonts w:ascii="Arial" w:hAnsi="Arial" w:cs="Arial"/>
                <w:sz w:val="22"/>
                <w:szCs w:val="22"/>
              </w:rPr>
              <w:t>8</w:t>
            </w:r>
          </w:p>
        </w:tc>
        <w:tc>
          <w:tcPr>
            <w:tcW w:w="1048" w:type="dxa"/>
            <w:tcBorders>
              <w:top w:val="nil"/>
              <w:left w:val="nil"/>
              <w:bottom w:val="single" w:sz="4" w:space="0" w:color="auto"/>
              <w:right w:val="single" w:sz="4" w:space="0" w:color="auto"/>
            </w:tcBorders>
            <w:noWrap/>
            <w:vAlign w:val="bottom"/>
          </w:tcPr>
          <w:p w14:paraId="5B62F834" w14:textId="3E31896B" w:rsidR="00050C21" w:rsidRPr="00FC0031" w:rsidRDefault="00BB0878" w:rsidP="004F6351">
            <w:pPr>
              <w:jc w:val="center"/>
              <w:rPr>
                <w:rFonts w:ascii="Arial" w:hAnsi="Arial" w:cs="Arial"/>
                <w:sz w:val="22"/>
                <w:szCs w:val="22"/>
              </w:rPr>
            </w:pPr>
            <w:r>
              <w:rPr>
                <w:rFonts w:ascii="Arial" w:hAnsi="Arial" w:cs="Arial"/>
                <w:sz w:val="22"/>
                <w:szCs w:val="22"/>
              </w:rPr>
              <w:t>1</w:t>
            </w:r>
            <w:r w:rsidR="008117C4">
              <w:rPr>
                <w:rFonts w:ascii="Arial" w:hAnsi="Arial" w:cs="Arial"/>
                <w:sz w:val="22"/>
                <w:szCs w:val="22"/>
              </w:rPr>
              <w:t>0+2</w:t>
            </w:r>
          </w:p>
        </w:tc>
        <w:tc>
          <w:tcPr>
            <w:tcW w:w="913" w:type="dxa"/>
            <w:tcBorders>
              <w:top w:val="nil"/>
              <w:left w:val="nil"/>
              <w:bottom w:val="single" w:sz="4" w:space="0" w:color="auto"/>
              <w:right w:val="single" w:sz="4" w:space="0" w:color="auto"/>
            </w:tcBorders>
            <w:noWrap/>
            <w:vAlign w:val="bottom"/>
          </w:tcPr>
          <w:p w14:paraId="7ED8BA54"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5B7127BE"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41662ED5"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402704CF" w14:textId="37D8640B" w:rsidR="00050C21" w:rsidRPr="00411C6A" w:rsidRDefault="00050C21" w:rsidP="00050C21">
            <w:pPr>
              <w:jc w:val="center"/>
              <w:rPr>
                <w:rFonts w:ascii="Arial" w:hAnsi="Arial" w:cs="Arial"/>
                <w:sz w:val="22"/>
                <w:szCs w:val="22"/>
              </w:rPr>
            </w:pPr>
            <w:r>
              <w:rPr>
                <w:rFonts w:ascii="Arial" w:hAnsi="Arial" w:cs="Arial"/>
                <w:sz w:val="22"/>
                <w:szCs w:val="22"/>
              </w:rPr>
              <w:t>9</w:t>
            </w:r>
          </w:p>
        </w:tc>
        <w:tc>
          <w:tcPr>
            <w:tcW w:w="1048" w:type="dxa"/>
            <w:tcBorders>
              <w:top w:val="nil"/>
              <w:left w:val="nil"/>
              <w:bottom w:val="single" w:sz="4" w:space="0" w:color="auto"/>
              <w:right w:val="single" w:sz="4" w:space="0" w:color="auto"/>
            </w:tcBorders>
            <w:noWrap/>
            <w:vAlign w:val="bottom"/>
          </w:tcPr>
          <w:p w14:paraId="33F04E9E" w14:textId="2737C9AD" w:rsidR="00050C21" w:rsidRPr="00411C6A" w:rsidRDefault="008117C4" w:rsidP="00432E76">
            <w:pPr>
              <w:jc w:val="center"/>
              <w:rPr>
                <w:rFonts w:ascii="Arial" w:hAnsi="Arial" w:cs="Arial"/>
                <w:sz w:val="22"/>
                <w:szCs w:val="22"/>
              </w:rPr>
            </w:pPr>
            <w:r>
              <w:rPr>
                <w:rFonts w:ascii="Arial" w:hAnsi="Arial" w:cs="Arial"/>
                <w:sz w:val="22"/>
                <w:szCs w:val="22"/>
              </w:rPr>
              <w:t>12</w:t>
            </w:r>
          </w:p>
        </w:tc>
        <w:tc>
          <w:tcPr>
            <w:tcW w:w="913" w:type="dxa"/>
            <w:tcBorders>
              <w:top w:val="nil"/>
              <w:left w:val="nil"/>
              <w:bottom w:val="single" w:sz="4" w:space="0" w:color="auto"/>
              <w:right w:val="single" w:sz="4" w:space="0" w:color="auto"/>
            </w:tcBorders>
            <w:noWrap/>
            <w:vAlign w:val="bottom"/>
          </w:tcPr>
          <w:p w14:paraId="2504DFF0"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470FBA2D"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DD6A89" w:rsidRPr="00411C6A" w14:paraId="14A901EF"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4580DA81" w14:textId="774DB586" w:rsidR="00DD6A89" w:rsidRDefault="00DD6A89" w:rsidP="00050C21">
            <w:pPr>
              <w:jc w:val="center"/>
              <w:rPr>
                <w:rFonts w:ascii="Arial" w:hAnsi="Arial" w:cs="Arial"/>
                <w:sz w:val="22"/>
                <w:szCs w:val="22"/>
              </w:rPr>
            </w:pPr>
            <w:r>
              <w:rPr>
                <w:rFonts w:ascii="Arial" w:hAnsi="Arial" w:cs="Arial"/>
                <w:sz w:val="22"/>
                <w:szCs w:val="22"/>
              </w:rPr>
              <w:t>10</w:t>
            </w:r>
          </w:p>
        </w:tc>
        <w:tc>
          <w:tcPr>
            <w:tcW w:w="1048" w:type="dxa"/>
            <w:tcBorders>
              <w:top w:val="nil"/>
              <w:left w:val="nil"/>
              <w:bottom w:val="single" w:sz="4" w:space="0" w:color="auto"/>
              <w:right w:val="single" w:sz="4" w:space="0" w:color="auto"/>
            </w:tcBorders>
            <w:noWrap/>
            <w:vAlign w:val="bottom"/>
          </w:tcPr>
          <w:p w14:paraId="7B4B513A" w14:textId="28352EBE" w:rsidR="00DD6A89" w:rsidRDefault="008117C4" w:rsidP="00432E76">
            <w:pPr>
              <w:jc w:val="center"/>
              <w:rPr>
                <w:rFonts w:ascii="Arial" w:hAnsi="Arial" w:cs="Arial"/>
                <w:sz w:val="22"/>
                <w:szCs w:val="22"/>
              </w:rPr>
            </w:pPr>
            <w:r>
              <w:rPr>
                <w:rFonts w:ascii="Arial" w:hAnsi="Arial" w:cs="Arial"/>
                <w:sz w:val="22"/>
                <w:szCs w:val="22"/>
              </w:rPr>
              <w:t>6</w:t>
            </w:r>
            <w:r w:rsidR="00852387">
              <w:rPr>
                <w:rFonts w:ascii="Arial" w:hAnsi="Arial" w:cs="Arial"/>
                <w:sz w:val="22"/>
                <w:szCs w:val="22"/>
              </w:rPr>
              <w:t>+2</w:t>
            </w:r>
          </w:p>
        </w:tc>
        <w:tc>
          <w:tcPr>
            <w:tcW w:w="913" w:type="dxa"/>
            <w:tcBorders>
              <w:top w:val="nil"/>
              <w:left w:val="nil"/>
              <w:bottom w:val="single" w:sz="4" w:space="0" w:color="auto"/>
              <w:right w:val="single" w:sz="4" w:space="0" w:color="auto"/>
            </w:tcBorders>
            <w:noWrap/>
            <w:vAlign w:val="bottom"/>
          </w:tcPr>
          <w:p w14:paraId="137815CF" w14:textId="77777777" w:rsidR="00DD6A89" w:rsidRPr="00411C6A" w:rsidRDefault="00DD6A89" w:rsidP="00050C21">
            <w:pPr>
              <w:jc w:val="center"/>
              <w:rPr>
                <w:rFonts w:ascii="Arial" w:hAnsi="Arial" w:cs="Arial"/>
                <w:sz w:val="22"/>
                <w:szCs w:val="22"/>
              </w:rPr>
            </w:pPr>
          </w:p>
        </w:tc>
        <w:tc>
          <w:tcPr>
            <w:tcW w:w="803" w:type="dxa"/>
            <w:tcBorders>
              <w:top w:val="nil"/>
              <w:left w:val="nil"/>
              <w:bottom w:val="single" w:sz="4" w:space="0" w:color="auto"/>
              <w:right w:val="single" w:sz="4" w:space="0" w:color="auto"/>
            </w:tcBorders>
          </w:tcPr>
          <w:p w14:paraId="00E963DF" w14:textId="77777777" w:rsidR="00DD6A89" w:rsidRPr="00411C6A" w:rsidRDefault="00DD6A89" w:rsidP="00050C21">
            <w:pPr>
              <w:rPr>
                <w:rFonts w:ascii="Arial" w:hAnsi="Arial" w:cs="Arial"/>
                <w:sz w:val="22"/>
                <w:szCs w:val="22"/>
              </w:rPr>
            </w:pPr>
          </w:p>
        </w:tc>
      </w:tr>
      <w:tr w:rsidR="00050C21" w:rsidRPr="00411C6A" w14:paraId="555077A4"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081F7D18"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Total</w:t>
            </w:r>
          </w:p>
        </w:tc>
        <w:tc>
          <w:tcPr>
            <w:tcW w:w="1048" w:type="dxa"/>
            <w:tcBorders>
              <w:top w:val="nil"/>
              <w:left w:val="nil"/>
              <w:bottom w:val="single" w:sz="4" w:space="0" w:color="auto"/>
              <w:right w:val="single" w:sz="4" w:space="0" w:color="auto"/>
            </w:tcBorders>
            <w:noWrap/>
            <w:vAlign w:val="bottom"/>
          </w:tcPr>
          <w:p w14:paraId="3B0EC1C8" w14:textId="01C7BB7B" w:rsidR="00050C21" w:rsidRPr="00411C6A" w:rsidRDefault="00050C21" w:rsidP="00050C21">
            <w:pPr>
              <w:jc w:val="right"/>
              <w:rPr>
                <w:rFonts w:ascii="Arial" w:hAnsi="Arial" w:cs="Arial"/>
                <w:sz w:val="22"/>
                <w:szCs w:val="22"/>
              </w:rPr>
            </w:pPr>
          </w:p>
        </w:tc>
        <w:tc>
          <w:tcPr>
            <w:tcW w:w="913" w:type="dxa"/>
            <w:tcBorders>
              <w:top w:val="nil"/>
              <w:left w:val="nil"/>
              <w:bottom w:val="single" w:sz="4" w:space="0" w:color="auto"/>
              <w:right w:val="single" w:sz="4" w:space="0" w:color="auto"/>
            </w:tcBorders>
            <w:noWrap/>
            <w:vAlign w:val="bottom"/>
          </w:tcPr>
          <w:p w14:paraId="402CFB1C"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18AA38C4"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0485B6E9" w14:textId="77777777" w:rsidTr="00131BCC">
        <w:trPr>
          <w:trHeight w:val="255"/>
        </w:trPr>
        <w:tc>
          <w:tcPr>
            <w:tcW w:w="935" w:type="dxa"/>
            <w:tcBorders>
              <w:top w:val="nil"/>
              <w:left w:val="single" w:sz="4" w:space="0" w:color="auto"/>
              <w:bottom w:val="single" w:sz="4" w:space="0" w:color="auto"/>
              <w:right w:val="single" w:sz="4" w:space="0" w:color="auto"/>
            </w:tcBorders>
            <w:noWrap/>
            <w:vAlign w:val="bottom"/>
          </w:tcPr>
          <w:p w14:paraId="0B0AB083" w14:textId="77777777" w:rsidR="00050C21" w:rsidRPr="00411C6A" w:rsidRDefault="00050C21" w:rsidP="00050C21">
            <w:pPr>
              <w:rPr>
                <w:rFonts w:ascii="Arial" w:hAnsi="Arial" w:cs="Arial"/>
                <w:sz w:val="22"/>
                <w:szCs w:val="22"/>
              </w:rPr>
            </w:pPr>
            <w:r w:rsidRPr="00411C6A">
              <w:rPr>
                <w:rFonts w:ascii="Arial" w:hAnsi="Arial" w:cs="Arial"/>
                <w:sz w:val="22"/>
                <w:szCs w:val="22"/>
              </w:rPr>
              <w:t>Score</w:t>
            </w:r>
          </w:p>
        </w:tc>
        <w:tc>
          <w:tcPr>
            <w:tcW w:w="1048" w:type="dxa"/>
            <w:tcBorders>
              <w:top w:val="nil"/>
              <w:left w:val="nil"/>
              <w:bottom w:val="single" w:sz="4" w:space="0" w:color="auto"/>
              <w:right w:val="single" w:sz="4" w:space="0" w:color="auto"/>
            </w:tcBorders>
            <w:noWrap/>
            <w:vAlign w:val="bottom"/>
          </w:tcPr>
          <w:p w14:paraId="34225494" w14:textId="667008D7" w:rsidR="00050C21" w:rsidRPr="00411C6A" w:rsidRDefault="00050C21" w:rsidP="00050C21">
            <w:pPr>
              <w:rPr>
                <w:rFonts w:ascii="Arial" w:hAnsi="Arial" w:cs="Arial"/>
                <w:sz w:val="22"/>
                <w:szCs w:val="22"/>
              </w:rPr>
            </w:pPr>
          </w:p>
        </w:tc>
        <w:tc>
          <w:tcPr>
            <w:tcW w:w="913" w:type="dxa"/>
            <w:tcBorders>
              <w:top w:val="nil"/>
              <w:left w:val="nil"/>
              <w:bottom w:val="single" w:sz="4" w:space="0" w:color="auto"/>
              <w:right w:val="single" w:sz="4" w:space="0" w:color="auto"/>
            </w:tcBorders>
            <w:noWrap/>
            <w:vAlign w:val="bottom"/>
          </w:tcPr>
          <w:p w14:paraId="24137414"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noWrap/>
            <w:vAlign w:val="bottom"/>
          </w:tcPr>
          <w:p w14:paraId="1958F397"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190C7B61" w14:textId="77777777" w:rsidTr="00131BCC">
        <w:trPr>
          <w:trHeight w:val="255"/>
        </w:trPr>
        <w:tc>
          <w:tcPr>
            <w:tcW w:w="3699" w:type="dxa"/>
            <w:gridSpan w:val="4"/>
            <w:tcBorders>
              <w:top w:val="nil"/>
              <w:left w:val="nil"/>
              <w:bottom w:val="nil"/>
              <w:right w:val="nil"/>
            </w:tcBorders>
            <w:noWrap/>
            <w:vAlign w:val="bottom"/>
          </w:tcPr>
          <w:p w14:paraId="18C6ADF6" w14:textId="6BA6D613" w:rsidR="00050C21" w:rsidRPr="00411C6A" w:rsidRDefault="00050C21" w:rsidP="004F6351">
            <w:pPr>
              <w:rPr>
                <w:rFonts w:ascii="Arial" w:hAnsi="Arial" w:cs="Arial"/>
                <w:sz w:val="22"/>
                <w:szCs w:val="22"/>
              </w:rPr>
            </w:pPr>
          </w:p>
        </w:tc>
      </w:tr>
    </w:tbl>
    <w:p w14:paraId="3696B42F" w14:textId="657AE1BD" w:rsidR="00DA2183" w:rsidRDefault="00DA2183" w:rsidP="00AD63A4">
      <w:pPr>
        <w:rPr>
          <w:rFonts w:ascii="Arial" w:hAnsi="Arial" w:cs="Arial"/>
          <w:b/>
          <w:sz w:val="22"/>
          <w:szCs w:val="22"/>
        </w:rPr>
      </w:pPr>
      <w:r>
        <w:rPr>
          <w:rFonts w:ascii="Arial" w:hAnsi="Arial" w:cs="Arial"/>
          <w:b/>
          <w:sz w:val="22"/>
          <w:szCs w:val="22"/>
        </w:rPr>
        <w:t>DUE 1</w:t>
      </w:r>
      <w:r w:rsidR="00BB0878">
        <w:rPr>
          <w:rFonts w:ascii="Arial" w:hAnsi="Arial" w:cs="Arial"/>
          <w:b/>
          <w:sz w:val="22"/>
          <w:szCs w:val="22"/>
        </w:rPr>
        <w:t>2</w:t>
      </w:r>
      <w:r>
        <w:rPr>
          <w:rFonts w:ascii="Arial" w:hAnsi="Arial" w:cs="Arial"/>
          <w:b/>
          <w:sz w:val="22"/>
          <w:szCs w:val="22"/>
        </w:rPr>
        <w:t>/</w:t>
      </w:r>
      <w:r w:rsidR="008117C4">
        <w:rPr>
          <w:rFonts w:ascii="Arial" w:hAnsi="Arial" w:cs="Arial"/>
          <w:b/>
          <w:sz w:val="22"/>
          <w:szCs w:val="22"/>
        </w:rPr>
        <w:t>5</w:t>
      </w:r>
      <w:r>
        <w:rPr>
          <w:rFonts w:ascii="Arial" w:hAnsi="Arial" w:cs="Arial"/>
          <w:b/>
          <w:sz w:val="22"/>
          <w:szCs w:val="22"/>
        </w:rPr>
        <w:t>/201</w:t>
      </w:r>
      <w:r w:rsidR="008117C4">
        <w:rPr>
          <w:rFonts w:ascii="Arial" w:hAnsi="Arial" w:cs="Arial"/>
          <w:b/>
          <w:sz w:val="22"/>
          <w:szCs w:val="22"/>
        </w:rPr>
        <w:t>9</w:t>
      </w:r>
      <w:r>
        <w:rPr>
          <w:rFonts w:ascii="Arial" w:hAnsi="Arial" w:cs="Arial"/>
          <w:b/>
          <w:sz w:val="22"/>
          <w:szCs w:val="22"/>
        </w:rPr>
        <w:t xml:space="preserve">  8:</w:t>
      </w:r>
      <w:r w:rsidR="00BB0878">
        <w:rPr>
          <w:rFonts w:ascii="Arial" w:hAnsi="Arial" w:cs="Arial"/>
          <w:b/>
          <w:sz w:val="22"/>
          <w:szCs w:val="22"/>
        </w:rPr>
        <w:t>30</w:t>
      </w:r>
      <w:r>
        <w:rPr>
          <w:rFonts w:ascii="Arial" w:hAnsi="Arial" w:cs="Arial"/>
          <w:b/>
          <w:sz w:val="22"/>
          <w:szCs w:val="22"/>
        </w:rPr>
        <w:t xml:space="preserve"> am</w:t>
      </w:r>
    </w:p>
    <w:p w14:paraId="136FF2D8" w14:textId="77777777" w:rsidR="00DA2183" w:rsidRDefault="00DA2183" w:rsidP="00AD63A4">
      <w:pPr>
        <w:rPr>
          <w:rFonts w:ascii="Arial" w:hAnsi="Arial" w:cs="Arial"/>
          <w:b/>
          <w:sz w:val="22"/>
          <w:szCs w:val="22"/>
        </w:rPr>
      </w:pPr>
    </w:p>
    <w:p w14:paraId="4E0C269D" w14:textId="3609D5E5" w:rsidR="00DA2183" w:rsidRDefault="00DA2183" w:rsidP="00AD63A4">
      <w:pPr>
        <w:rPr>
          <w:rFonts w:ascii="Arial" w:hAnsi="Arial" w:cs="Arial"/>
          <w:b/>
          <w:sz w:val="22"/>
          <w:szCs w:val="22"/>
        </w:rPr>
      </w:pPr>
      <w:r>
        <w:rPr>
          <w:rFonts w:ascii="Arial" w:hAnsi="Arial" w:cs="Arial"/>
          <w:b/>
          <w:sz w:val="22"/>
          <w:szCs w:val="22"/>
        </w:rPr>
        <w:t xml:space="preserve">If you attend the final exam review session, please bring a hard copy of your exam to turn in.  If you cannot attend, please upload your exam on the course syllabus site.  To allow a margin for computer and internet problems, we recommend uploading the exam on </w:t>
      </w:r>
      <w:r w:rsidR="00BB0878">
        <w:rPr>
          <w:rFonts w:ascii="Arial" w:hAnsi="Arial" w:cs="Arial"/>
          <w:b/>
          <w:sz w:val="22"/>
          <w:szCs w:val="22"/>
        </w:rPr>
        <w:t>12/</w:t>
      </w:r>
      <w:r w:rsidR="008117C4">
        <w:rPr>
          <w:rFonts w:ascii="Arial" w:hAnsi="Arial" w:cs="Arial"/>
          <w:b/>
          <w:sz w:val="22"/>
          <w:szCs w:val="22"/>
        </w:rPr>
        <w:t>4</w:t>
      </w:r>
      <w:r>
        <w:rPr>
          <w:rFonts w:ascii="Arial" w:hAnsi="Arial" w:cs="Arial"/>
          <w:b/>
          <w:sz w:val="22"/>
          <w:szCs w:val="22"/>
        </w:rPr>
        <w:t>/201</w:t>
      </w:r>
      <w:r w:rsidR="00BB0878">
        <w:rPr>
          <w:rFonts w:ascii="Arial" w:hAnsi="Arial" w:cs="Arial"/>
          <w:b/>
          <w:sz w:val="22"/>
          <w:szCs w:val="22"/>
        </w:rPr>
        <w:t>8</w:t>
      </w:r>
      <w:r>
        <w:rPr>
          <w:rFonts w:ascii="Arial" w:hAnsi="Arial" w:cs="Arial"/>
          <w:b/>
          <w:sz w:val="22"/>
          <w:szCs w:val="22"/>
        </w:rPr>
        <w:t>.</w:t>
      </w:r>
      <w:r w:rsidR="008117C4">
        <w:rPr>
          <w:rFonts w:ascii="Arial" w:hAnsi="Arial" w:cs="Arial"/>
          <w:b/>
          <w:sz w:val="22"/>
          <w:szCs w:val="22"/>
        </w:rPr>
        <w:t xml:space="preserve">  Remember: you can upload early and then re-upload later.</w:t>
      </w:r>
    </w:p>
    <w:p w14:paraId="325F83DD" w14:textId="15528EAD" w:rsidR="004F47E4" w:rsidRDefault="004F47E4" w:rsidP="00AD63A4">
      <w:pPr>
        <w:rPr>
          <w:rFonts w:ascii="Arial" w:hAnsi="Arial" w:cs="Arial"/>
          <w:b/>
          <w:sz w:val="22"/>
          <w:szCs w:val="22"/>
        </w:rPr>
      </w:pPr>
    </w:p>
    <w:p w14:paraId="5A8B11A7" w14:textId="77777777" w:rsidR="004F47E4" w:rsidRDefault="004F47E4" w:rsidP="004F47E4">
      <w:pPr>
        <w:rPr>
          <w:rFonts w:ascii="Arial" w:hAnsi="Arial" w:cs="Arial"/>
          <w:b/>
          <w:sz w:val="22"/>
          <w:szCs w:val="22"/>
        </w:rPr>
      </w:pPr>
      <w:r>
        <w:rPr>
          <w:rFonts w:ascii="Arial" w:hAnsi="Arial" w:cs="Arial"/>
          <w:b/>
          <w:sz w:val="22"/>
          <w:szCs w:val="22"/>
        </w:rPr>
        <w:t>There is NO Problem 2.  We decided the other 9 problems were enough.</w:t>
      </w:r>
    </w:p>
    <w:p w14:paraId="4E8B38BA" w14:textId="77777777" w:rsidR="00DA2183" w:rsidRDefault="00DA2183" w:rsidP="00AD63A4">
      <w:pPr>
        <w:rPr>
          <w:rFonts w:ascii="Arial" w:hAnsi="Arial" w:cs="Arial"/>
          <w:b/>
          <w:sz w:val="22"/>
          <w:szCs w:val="22"/>
        </w:rPr>
      </w:pPr>
    </w:p>
    <w:p w14:paraId="66E55C44" w14:textId="0FEF36F6" w:rsidR="00946D26" w:rsidRPr="008A06E3" w:rsidRDefault="00BB3C09" w:rsidP="00AD63A4">
      <w:pPr>
        <w:rPr>
          <w:rFonts w:ascii="Arial" w:hAnsi="Arial" w:cs="Arial"/>
          <w:b/>
          <w:sz w:val="22"/>
          <w:szCs w:val="22"/>
          <w:u w:val="single"/>
        </w:rPr>
      </w:pPr>
      <w:r w:rsidRPr="008A06E3">
        <w:rPr>
          <w:rFonts w:ascii="Arial" w:hAnsi="Arial" w:cs="Arial"/>
          <w:b/>
          <w:sz w:val="22"/>
          <w:szCs w:val="22"/>
          <w:u w:val="single"/>
        </w:rPr>
        <w:t>C</w:t>
      </w:r>
      <w:r w:rsidR="00946D26" w:rsidRPr="008A06E3">
        <w:rPr>
          <w:rFonts w:ascii="Arial" w:hAnsi="Arial" w:cs="Arial"/>
          <w:b/>
          <w:sz w:val="22"/>
          <w:szCs w:val="22"/>
          <w:u w:val="single"/>
        </w:rPr>
        <w:t xml:space="preserve">ollaboration with others is NOT permitted.  </w:t>
      </w:r>
      <w:r w:rsidR="008E71DD" w:rsidRPr="008A06E3">
        <w:rPr>
          <w:rFonts w:ascii="Arial" w:hAnsi="Arial" w:cs="Arial"/>
          <w:b/>
          <w:sz w:val="22"/>
          <w:szCs w:val="22"/>
          <w:u w:val="single"/>
        </w:rPr>
        <w:t>Answers must be in your own words.</w:t>
      </w:r>
      <w:r w:rsidR="00C91BA3" w:rsidRPr="008A06E3">
        <w:rPr>
          <w:rFonts w:ascii="Arial" w:hAnsi="Arial" w:cs="Arial"/>
          <w:b/>
          <w:sz w:val="22"/>
          <w:szCs w:val="22"/>
          <w:u w:val="single"/>
        </w:rPr>
        <w:t xml:space="preserve">   No exceptions.</w:t>
      </w:r>
      <w:r w:rsidR="00886ED9" w:rsidRPr="008A06E3">
        <w:rPr>
          <w:rFonts w:ascii="Arial" w:hAnsi="Arial" w:cs="Arial"/>
          <w:b/>
          <w:sz w:val="22"/>
          <w:szCs w:val="22"/>
          <w:u w:val="single"/>
        </w:rPr>
        <w:t xml:space="preserve">  Really.</w:t>
      </w:r>
    </w:p>
    <w:p w14:paraId="671C3788" w14:textId="408B5724" w:rsidR="008117C4" w:rsidRDefault="008117C4" w:rsidP="00AD63A4">
      <w:pPr>
        <w:rPr>
          <w:rFonts w:ascii="Arial" w:hAnsi="Arial" w:cs="Arial"/>
          <w:b/>
          <w:sz w:val="22"/>
          <w:szCs w:val="22"/>
        </w:rPr>
      </w:pPr>
    </w:p>
    <w:p w14:paraId="26A2A15B" w14:textId="01CB97C9" w:rsidR="008A06E3" w:rsidRPr="00411C6A" w:rsidRDefault="008A06E3" w:rsidP="00AD63A4">
      <w:pPr>
        <w:rPr>
          <w:rFonts w:ascii="Arial" w:hAnsi="Arial" w:cs="Arial"/>
          <w:b/>
          <w:sz w:val="22"/>
          <w:szCs w:val="22"/>
        </w:rPr>
      </w:pPr>
      <w:r>
        <w:rPr>
          <w:rFonts w:ascii="Arial" w:hAnsi="Arial" w:cs="Arial"/>
          <w:b/>
          <w:sz w:val="22"/>
          <w:szCs w:val="22"/>
        </w:rPr>
        <w:t>Questions about the final should be posted on the course forum.</w:t>
      </w:r>
    </w:p>
    <w:p w14:paraId="08117C64" w14:textId="77777777" w:rsidR="00946D26" w:rsidRPr="00411C6A" w:rsidRDefault="00946D26" w:rsidP="00AD63A4">
      <w:pPr>
        <w:rPr>
          <w:rFonts w:ascii="Arial" w:hAnsi="Arial" w:cs="Arial"/>
          <w:b/>
          <w:sz w:val="22"/>
          <w:szCs w:val="22"/>
        </w:rPr>
      </w:pPr>
    </w:p>
    <w:p w14:paraId="5FDD31E8" w14:textId="77777777" w:rsidR="00A6451D" w:rsidRDefault="00946D26" w:rsidP="00A6451D">
      <w:pPr>
        <w:rPr>
          <w:rFonts w:ascii="Arial" w:hAnsi="Arial" w:cs="Arial"/>
          <w:b/>
          <w:sz w:val="22"/>
          <w:szCs w:val="22"/>
          <w:u w:val="single"/>
        </w:rPr>
      </w:pPr>
      <w:r w:rsidRPr="00411C6A">
        <w:rPr>
          <w:rFonts w:ascii="Arial" w:hAnsi="Arial" w:cs="Arial"/>
          <w:b/>
          <w:sz w:val="22"/>
          <w:szCs w:val="22"/>
          <w:u w:val="single"/>
        </w:rPr>
        <w:t xml:space="preserve">Please show your work.  </w:t>
      </w:r>
    </w:p>
    <w:p w14:paraId="5238827B" w14:textId="2BCFC515" w:rsidR="00946D26" w:rsidRDefault="00946D26" w:rsidP="00AD63A4">
      <w:pPr>
        <w:rPr>
          <w:rFonts w:ascii="Arial" w:hAnsi="Arial" w:cs="Arial"/>
          <w:b/>
          <w:sz w:val="22"/>
          <w:szCs w:val="22"/>
        </w:rPr>
      </w:pPr>
    </w:p>
    <w:p w14:paraId="19174584" w14:textId="2EC76C62" w:rsidR="004A7DCA" w:rsidRPr="004E55E0" w:rsidRDefault="004A7DCA" w:rsidP="004A7DCA">
      <w:pPr>
        <w:rPr>
          <w:b/>
        </w:rPr>
      </w:pPr>
      <w:r w:rsidRPr="004E55E0">
        <w:rPr>
          <w:b/>
        </w:rPr>
        <w:t>1.</w:t>
      </w:r>
      <w:r>
        <w:rPr>
          <w:b/>
        </w:rPr>
        <w:t xml:space="preserve">  </w:t>
      </w:r>
      <w:r w:rsidRPr="004E55E0">
        <w:rPr>
          <w:b/>
        </w:rPr>
        <w:t>HEART Score History Inter-rater Agreement</w:t>
      </w:r>
      <w:r>
        <w:rPr>
          <w:b/>
        </w:rPr>
        <w:t xml:space="preserve"> [10 points]</w:t>
      </w:r>
    </w:p>
    <w:p w14:paraId="2CD29486" w14:textId="77777777" w:rsidR="004A7DCA" w:rsidRDefault="004A7DCA" w:rsidP="004A7DCA">
      <w:pPr>
        <w:shd w:val="clear" w:color="auto" w:fill="FFFFFF"/>
      </w:pPr>
      <w:r w:rsidRPr="000621C4">
        <w:t>The HEART Score is one of many clinical prediction tool</w:t>
      </w:r>
      <w:r>
        <w:t>s</w:t>
      </w:r>
      <w:r w:rsidRPr="000621C4">
        <w:t xml:space="preserve"> to identify emergency department (ED) chest pain patients who are at low risk for a short‐term major cardiac event (MACE). The acronym is clever; HEART: History (H), electrocardiogram (ECG, E), Age (A), Risk Factors (R), and Troponin (T). </w:t>
      </w:r>
      <w:r>
        <w:t>Here we are interested in the ECG, which is scored as 0 for normal, 1 for non-specific, and 2 for abnormal.</w:t>
      </w:r>
      <w:r>
        <w:rPr>
          <w:rStyle w:val="FootnoteReference"/>
        </w:rPr>
        <w:footnoteReference w:id="2"/>
      </w:r>
      <w:r>
        <w:t xml:space="preserve">  Gershon </w:t>
      </w:r>
      <w:r>
        <w:fldChar w:fldCharType="begin"/>
      </w:r>
      <w:r>
        <w:instrText xml:space="preserve"> ADDIN EN.CITE &lt;EndNote&gt;&lt;Cite&gt;&lt;Author&gt;Gershon&lt;/Author&gt;&lt;Year&gt;2019&lt;/Year&gt;&lt;RecNum&gt;147&lt;/RecNum&gt;&lt;DisplayText&gt;(1)&lt;/DisplayText&gt;&lt;record&gt;&lt;rec-number&gt;147&lt;/rec-number&gt;&lt;foreign-keys&gt;&lt;key app="EN" db-id="5epaxpxwqzv9r0eat5w5dxd9a99xfafprdvs" timestamp="1574312245"&gt;147&lt;/key&gt;&lt;/foreign-keys&gt;&lt;ref-type name="Journal Article"&gt;17&lt;/ref-type&gt;&lt;contributors&gt;&lt;authors&gt;&lt;author&gt;Gershon, C. A.&lt;/author&gt;&lt;author&gt;Yagapen, A. N.&lt;/author&gt;&lt;author&gt;Lin, A.&lt;/author&gt;&lt;author&gt;Yanez, D.&lt;/author&gt;&lt;author&gt;Sun, B. C.&lt;/author&gt;&lt;/authors&gt;&lt;/contributors&gt;&lt;auth-address&gt;Center for Policy Research-Emergency Medicine, Department of Emergency Medicine, Oregon Health and Sciences University, Portland, OR.&lt;/auth-address&gt;&lt;titles&gt;&lt;title&gt;Inter-rater Reliability of the HEART Score&lt;/title&gt;&lt;secondary-title&gt;Acad Emerg Med&lt;/secondary-title&gt;&lt;/titles&gt;&lt;periodical&gt;&lt;full-title&gt;Acad Emerg Med&lt;/full-title&gt;&lt;/periodical&gt;&lt;pages&gt;552-555&lt;/pages&gt;&lt;volume&gt;26&lt;/volume&gt;&lt;number&gt;5&lt;/number&gt;&lt;edition&gt;2018/11/15&lt;/edition&gt;&lt;dates&gt;&lt;year&gt;2019&lt;/year&gt;&lt;pub-dates&gt;&lt;date&gt;May&lt;/date&gt;&lt;/pub-dates&gt;&lt;/dates&gt;&lt;isbn&gt;1553-2712 (Electronic)&amp;#xD;1069-6563 (Linking)&lt;/isbn&gt;&lt;accession-num&gt;30428149&lt;/accession-num&gt;&lt;urls&gt;&lt;related-urls&gt;&lt;url&gt;https://www.ncbi.nlm.nih.gov/pubmed/30428149&lt;/url&gt;&lt;/related-urls&gt;&lt;/urls&gt;&lt;custom2&gt;PMC6517079&lt;/custom2&gt;&lt;electronic-resource-num&gt;10.1111/acem.13665&lt;/electronic-resource-num&gt;&lt;/record&gt;&lt;/Cite&gt;&lt;/EndNote&gt;</w:instrText>
      </w:r>
      <w:r>
        <w:fldChar w:fldCharType="separate"/>
      </w:r>
      <w:r>
        <w:rPr>
          <w:noProof/>
        </w:rPr>
        <w:t>(1)</w:t>
      </w:r>
      <w:r>
        <w:fldChar w:fldCharType="end"/>
      </w:r>
      <w:r>
        <w:t xml:space="preserve"> compared the scores of an attending emergency physician and an emergency medicine resident on 311 patients.  Here are simulated results:  </w:t>
      </w:r>
    </w:p>
    <w:p w14:paraId="25989BAB" w14:textId="77777777" w:rsidR="004A7DCA" w:rsidRDefault="004A7DCA" w:rsidP="004A7DCA">
      <w:pPr>
        <w:shd w:val="clear" w:color="auto" w:fill="FFFFFF"/>
      </w:pPr>
    </w:p>
    <w:tbl>
      <w:tblPr>
        <w:tblW w:w="6540" w:type="dxa"/>
        <w:tblLook w:val="04A0" w:firstRow="1" w:lastRow="0" w:firstColumn="1" w:lastColumn="0" w:noHBand="0" w:noVBand="1"/>
      </w:tblPr>
      <w:tblGrid>
        <w:gridCol w:w="1240"/>
        <w:gridCol w:w="1060"/>
        <w:gridCol w:w="1060"/>
        <w:gridCol w:w="1060"/>
        <w:gridCol w:w="1060"/>
        <w:gridCol w:w="1060"/>
      </w:tblGrid>
      <w:tr w:rsidR="004A7DCA" w:rsidRPr="00E500FF" w14:paraId="6E6F0203" w14:textId="77777777" w:rsidTr="003C60BC">
        <w:trPr>
          <w:trHeight w:val="300"/>
        </w:trPr>
        <w:tc>
          <w:tcPr>
            <w:tcW w:w="2300" w:type="dxa"/>
            <w:gridSpan w:val="2"/>
            <w:tcBorders>
              <w:top w:val="nil"/>
              <w:left w:val="nil"/>
              <w:bottom w:val="nil"/>
              <w:right w:val="nil"/>
            </w:tcBorders>
            <w:shd w:val="clear" w:color="auto" w:fill="auto"/>
            <w:noWrap/>
            <w:vAlign w:val="bottom"/>
            <w:hideMark/>
          </w:tcPr>
          <w:p w14:paraId="6A98B16E" w14:textId="77777777" w:rsidR="004A7DCA" w:rsidRPr="00E500FF" w:rsidRDefault="004A7DCA" w:rsidP="003C60BC">
            <w:pPr>
              <w:rPr>
                <w:rFonts w:ascii="Calibri" w:eastAsia="Times New Roman" w:hAnsi="Calibri" w:cs="Calibri"/>
                <w:color w:val="000000"/>
                <w:sz w:val="22"/>
                <w:szCs w:val="22"/>
              </w:rPr>
            </w:pPr>
            <w:r w:rsidRPr="00E500FF">
              <w:rPr>
                <w:rFonts w:ascii="Calibri" w:eastAsia="Times New Roman" w:hAnsi="Calibri" w:cs="Calibri"/>
                <w:color w:val="000000"/>
                <w:sz w:val="22"/>
                <w:szCs w:val="22"/>
              </w:rPr>
              <w:t>HEART ECG  Score</w:t>
            </w:r>
          </w:p>
        </w:tc>
        <w:tc>
          <w:tcPr>
            <w:tcW w:w="1060" w:type="dxa"/>
            <w:tcBorders>
              <w:top w:val="nil"/>
              <w:left w:val="nil"/>
              <w:bottom w:val="nil"/>
              <w:right w:val="nil"/>
            </w:tcBorders>
            <w:shd w:val="clear" w:color="auto" w:fill="auto"/>
            <w:noWrap/>
            <w:vAlign w:val="bottom"/>
            <w:hideMark/>
          </w:tcPr>
          <w:p w14:paraId="7EDBBFA5" w14:textId="77777777" w:rsidR="004A7DCA" w:rsidRPr="00E500FF" w:rsidRDefault="004A7DCA" w:rsidP="003C60BC">
            <w:pPr>
              <w:rPr>
                <w:rFonts w:ascii="Calibri" w:eastAsia="Times New Roman"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4F54125A" w14:textId="77777777" w:rsidR="004A7DCA" w:rsidRPr="00E500FF" w:rsidRDefault="004A7DCA" w:rsidP="003C60BC">
            <w:pP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750F8CF" w14:textId="77777777" w:rsidR="004A7DCA" w:rsidRPr="00E500FF" w:rsidRDefault="004A7DCA" w:rsidP="003C60BC">
            <w:pP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8660F8B" w14:textId="77777777" w:rsidR="004A7DCA" w:rsidRPr="00E500FF" w:rsidRDefault="004A7DCA" w:rsidP="003C60BC">
            <w:pPr>
              <w:rPr>
                <w:rFonts w:eastAsia="Times New Roman"/>
                <w:sz w:val="20"/>
                <w:szCs w:val="20"/>
              </w:rPr>
            </w:pPr>
          </w:p>
        </w:tc>
      </w:tr>
      <w:tr w:rsidR="004A7DCA" w:rsidRPr="00E500FF" w14:paraId="7E33BACD" w14:textId="77777777" w:rsidTr="003C60BC">
        <w:trPr>
          <w:trHeight w:val="300"/>
        </w:trPr>
        <w:tc>
          <w:tcPr>
            <w:tcW w:w="1240" w:type="dxa"/>
            <w:tcBorders>
              <w:top w:val="nil"/>
              <w:left w:val="nil"/>
              <w:bottom w:val="nil"/>
              <w:right w:val="nil"/>
            </w:tcBorders>
            <w:shd w:val="clear" w:color="auto" w:fill="auto"/>
            <w:noWrap/>
            <w:vAlign w:val="bottom"/>
            <w:hideMark/>
          </w:tcPr>
          <w:p w14:paraId="33AD27F9" w14:textId="77777777" w:rsidR="004A7DCA" w:rsidRPr="00E500FF" w:rsidRDefault="004A7DCA" w:rsidP="003C60BC">
            <w:pP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4E3511A" w14:textId="77777777" w:rsidR="004A7DCA" w:rsidRPr="00E500FF" w:rsidRDefault="004A7DCA" w:rsidP="003C60BC">
            <w:pPr>
              <w:rPr>
                <w:rFonts w:eastAsia="Times New Roman"/>
                <w:sz w:val="20"/>
                <w:szCs w:val="20"/>
              </w:rPr>
            </w:pPr>
          </w:p>
        </w:tc>
        <w:tc>
          <w:tcPr>
            <w:tcW w:w="3180" w:type="dxa"/>
            <w:gridSpan w:val="3"/>
            <w:tcBorders>
              <w:top w:val="nil"/>
              <w:left w:val="nil"/>
              <w:bottom w:val="nil"/>
              <w:right w:val="nil"/>
            </w:tcBorders>
            <w:shd w:val="clear" w:color="auto" w:fill="auto"/>
            <w:noWrap/>
            <w:vAlign w:val="bottom"/>
            <w:hideMark/>
          </w:tcPr>
          <w:p w14:paraId="6FAB1D85" w14:textId="77777777" w:rsidR="004A7DCA" w:rsidRPr="00E500FF" w:rsidRDefault="004A7DCA" w:rsidP="003C60BC">
            <w:pPr>
              <w:jc w:val="center"/>
              <w:rPr>
                <w:rFonts w:ascii="Calibri" w:eastAsia="Times New Roman" w:hAnsi="Calibri" w:cs="Calibri"/>
                <w:color w:val="000000"/>
                <w:sz w:val="22"/>
                <w:szCs w:val="22"/>
              </w:rPr>
            </w:pPr>
            <w:r w:rsidRPr="00E500FF">
              <w:rPr>
                <w:rFonts w:ascii="Calibri" w:eastAsia="Times New Roman" w:hAnsi="Calibri" w:cs="Calibri"/>
                <w:color w:val="000000"/>
                <w:sz w:val="22"/>
                <w:szCs w:val="22"/>
              </w:rPr>
              <w:t>Attending Emergency Physician</w:t>
            </w:r>
          </w:p>
        </w:tc>
        <w:tc>
          <w:tcPr>
            <w:tcW w:w="1060" w:type="dxa"/>
            <w:tcBorders>
              <w:top w:val="nil"/>
              <w:left w:val="nil"/>
              <w:bottom w:val="nil"/>
              <w:right w:val="nil"/>
            </w:tcBorders>
            <w:shd w:val="clear" w:color="auto" w:fill="auto"/>
            <w:noWrap/>
            <w:vAlign w:val="bottom"/>
            <w:hideMark/>
          </w:tcPr>
          <w:p w14:paraId="129877AC" w14:textId="77777777" w:rsidR="004A7DCA" w:rsidRPr="00E500FF" w:rsidRDefault="004A7DCA" w:rsidP="003C60BC">
            <w:pPr>
              <w:jc w:val="center"/>
              <w:rPr>
                <w:rFonts w:ascii="Calibri" w:eastAsia="Times New Roman" w:hAnsi="Calibri" w:cs="Calibri"/>
                <w:color w:val="000000"/>
                <w:sz w:val="22"/>
                <w:szCs w:val="22"/>
              </w:rPr>
            </w:pPr>
          </w:p>
        </w:tc>
      </w:tr>
      <w:tr w:rsidR="004A7DCA" w:rsidRPr="00E500FF" w14:paraId="68CC9F96" w14:textId="77777777" w:rsidTr="003C60BC">
        <w:trPr>
          <w:trHeight w:val="300"/>
        </w:trPr>
        <w:tc>
          <w:tcPr>
            <w:tcW w:w="1240" w:type="dxa"/>
            <w:tcBorders>
              <w:top w:val="nil"/>
              <w:left w:val="nil"/>
              <w:bottom w:val="nil"/>
              <w:right w:val="nil"/>
            </w:tcBorders>
            <w:shd w:val="clear" w:color="auto" w:fill="auto"/>
            <w:noWrap/>
            <w:vAlign w:val="bottom"/>
            <w:hideMark/>
          </w:tcPr>
          <w:p w14:paraId="219248F4" w14:textId="77777777" w:rsidR="004A7DCA" w:rsidRPr="00E500FF" w:rsidRDefault="004A7DCA" w:rsidP="003C60BC">
            <w:pP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0405837F" w14:textId="77777777" w:rsidR="004A7DCA" w:rsidRPr="00E500FF" w:rsidRDefault="004A7DCA" w:rsidP="003C60BC">
            <w:pP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2926438"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0</w:t>
            </w:r>
          </w:p>
        </w:tc>
        <w:tc>
          <w:tcPr>
            <w:tcW w:w="1060" w:type="dxa"/>
            <w:tcBorders>
              <w:top w:val="nil"/>
              <w:left w:val="nil"/>
              <w:bottom w:val="nil"/>
              <w:right w:val="nil"/>
            </w:tcBorders>
            <w:shd w:val="clear" w:color="auto" w:fill="auto"/>
            <w:noWrap/>
            <w:vAlign w:val="bottom"/>
            <w:hideMark/>
          </w:tcPr>
          <w:p w14:paraId="251BA451"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1</w:t>
            </w:r>
          </w:p>
        </w:tc>
        <w:tc>
          <w:tcPr>
            <w:tcW w:w="1060" w:type="dxa"/>
            <w:tcBorders>
              <w:top w:val="nil"/>
              <w:left w:val="nil"/>
              <w:bottom w:val="nil"/>
              <w:right w:val="nil"/>
            </w:tcBorders>
            <w:shd w:val="clear" w:color="auto" w:fill="auto"/>
            <w:noWrap/>
            <w:vAlign w:val="bottom"/>
            <w:hideMark/>
          </w:tcPr>
          <w:p w14:paraId="307B8773"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2</w:t>
            </w:r>
          </w:p>
        </w:tc>
        <w:tc>
          <w:tcPr>
            <w:tcW w:w="1060" w:type="dxa"/>
            <w:tcBorders>
              <w:top w:val="nil"/>
              <w:left w:val="nil"/>
              <w:bottom w:val="nil"/>
              <w:right w:val="nil"/>
            </w:tcBorders>
            <w:shd w:val="clear" w:color="auto" w:fill="auto"/>
            <w:noWrap/>
            <w:vAlign w:val="bottom"/>
            <w:hideMark/>
          </w:tcPr>
          <w:p w14:paraId="0E082052" w14:textId="77777777" w:rsidR="004A7DCA" w:rsidRPr="00E500FF" w:rsidRDefault="004A7DCA" w:rsidP="003C60BC">
            <w:pPr>
              <w:jc w:val="right"/>
              <w:rPr>
                <w:rFonts w:ascii="Calibri" w:eastAsia="Times New Roman" w:hAnsi="Calibri" w:cs="Calibri"/>
                <w:color w:val="000000"/>
                <w:sz w:val="22"/>
                <w:szCs w:val="22"/>
              </w:rPr>
            </w:pPr>
          </w:p>
        </w:tc>
      </w:tr>
      <w:tr w:rsidR="004A7DCA" w:rsidRPr="00E500FF" w14:paraId="10B6B441" w14:textId="77777777" w:rsidTr="003C60BC">
        <w:trPr>
          <w:trHeight w:val="300"/>
        </w:trPr>
        <w:tc>
          <w:tcPr>
            <w:tcW w:w="1240" w:type="dxa"/>
            <w:vMerge w:val="restart"/>
            <w:tcBorders>
              <w:top w:val="nil"/>
              <w:left w:val="nil"/>
              <w:bottom w:val="nil"/>
              <w:right w:val="nil"/>
            </w:tcBorders>
            <w:shd w:val="clear" w:color="auto" w:fill="auto"/>
            <w:vAlign w:val="bottom"/>
            <w:hideMark/>
          </w:tcPr>
          <w:p w14:paraId="0D13275F" w14:textId="77777777" w:rsidR="004A7DCA" w:rsidRPr="00E500FF" w:rsidRDefault="004A7DCA" w:rsidP="003C60BC">
            <w:pPr>
              <w:jc w:val="center"/>
              <w:rPr>
                <w:rFonts w:ascii="Calibri" w:eastAsia="Times New Roman" w:hAnsi="Calibri" w:cs="Calibri"/>
                <w:color w:val="000000"/>
                <w:sz w:val="22"/>
                <w:szCs w:val="22"/>
              </w:rPr>
            </w:pPr>
            <w:r w:rsidRPr="00E500FF">
              <w:rPr>
                <w:rFonts w:ascii="Calibri" w:eastAsia="Times New Roman" w:hAnsi="Calibri" w:cs="Calibri"/>
                <w:color w:val="000000"/>
                <w:sz w:val="22"/>
                <w:szCs w:val="22"/>
              </w:rPr>
              <w:t>Emergency Medicine Resident</w:t>
            </w:r>
          </w:p>
        </w:tc>
        <w:tc>
          <w:tcPr>
            <w:tcW w:w="1060" w:type="dxa"/>
            <w:tcBorders>
              <w:top w:val="nil"/>
              <w:left w:val="nil"/>
              <w:bottom w:val="nil"/>
              <w:right w:val="nil"/>
            </w:tcBorders>
            <w:shd w:val="clear" w:color="auto" w:fill="auto"/>
            <w:noWrap/>
            <w:vAlign w:val="bottom"/>
            <w:hideMark/>
          </w:tcPr>
          <w:p w14:paraId="32DA0DE0"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32436"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117</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AA123A6"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17</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2E19736"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2</w:t>
            </w:r>
          </w:p>
        </w:tc>
        <w:tc>
          <w:tcPr>
            <w:tcW w:w="1060" w:type="dxa"/>
            <w:tcBorders>
              <w:top w:val="nil"/>
              <w:left w:val="nil"/>
              <w:bottom w:val="nil"/>
              <w:right w:val="nil"/>
            </w:tcBorders>
            <w:shd w:val="clear" w:color="auto" w:fill="auto"/>
            <w:noWrap/>
            <w:vAlign w:val="bottom"/>
            <w:hideMark/>
          </w:tcPr>
          <w:p w14:paraId="7372A87D"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136</w:t>
            </w:r>
          </w:p>
        </w:tc>
      </w:tr>
      <w:tr w:rsidR="004A7DCA" w:rsidRPr="00E500FF" w14:paraId="6D67C1BE" w14:textId="77777777" w:rsidTr="003C60BC">
        <w:trPr>
          <w:trHeight w:val="300"/>
        </w:trPr>
        <w:tc>
          <w:tcPr>
            <w:tcW w:w="1240" w:type="dxa"/>
            <w:vMerge/>
            <w:tcBorders>
              <w:top w:val="nil"/>
              <w:left w:val="nil"/>
              <w:bottom w:val="nil"/>
              <w:right w:val="nil"/>
            </w:tcBorders>
            <w:vAlign w:val="center"/>
            <w:hideMark/>
          </w:tcPr>
          <w:p w14:paraId="4C2DEA5E" w14:textId="77777777" w:rsidR="004A7DCA" w:rsidRPr="00E500FF" w:rsidRDefault="004A7DCA" w:rsidP="003C60BC">
            <w:pPr>
              <w:rPr>
                <w:rFonts w:ascii="Calibri" w:eastAsia="Times New Roman"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1885004D"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1</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1694FE2"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22</w:t>
            </w:r>
          </w:p>
        </w:tc>
        <w:tc>
          <w:tcPr>
            <w:tcW w:w="1060" w:type="dxa"/>
            <w:tcBorders>
              <w:top w:val="nil"/>
              <w:left w:val="nil"/>
              <w:bottom w:val="single" w:sz="4" w:space="0" w:color="auto"/>
              <w:right w:val="single" w:sz="4" w:space="0" w:color="auto"/>
            </w:tcBorders>
            <w:shd w:val="clear" w:color="auto" w:fill="auto"/>
            <w:noWrap/>
            <w:vAlign w:val="bottom"/>
            <w:hideMark/>
          </w:tcPr>
          <w:p w14:paraId="002A56A4"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86</w:t>
            </w:r>
          </w:p>
        </w:tc>
        <w:tc>
          <w:tcPr>
            <w:tcW w:w="1060" w:type="dxa"/>
            <w:tcBorders>
              <w:top w:val="nil"/>
              <w:left w:val="nil"/>
              <w:bottom w:val="single" w:sz="4" w:space="0" w:color="auto"/>
              <w:right w:val="single" w:sz="4" w:space="0" w:color="auto"/>
            </w:tcBorders>
            <w:shd w:val="clear" w:color="auto" w:fill="auto"/>
            <w:noWrap/>
            <w:vAlign w:val="bottom"/>
            <w:hideMark/>
          </w:tcPr>
          <w:p w14:paraId="734A7444"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4</w:t>
            </w:r>
          </w:p>
        </w:tc>
        <w:tc>
          <w:tcPr>
            <w:tcW w:w="1060" w:type="dxa"/>
            <w:tcBorders>
              <w:top w:val="nil"/>
              <w:left w:val="nil"/>
              <w:bottom w:val="nil"/>
              <w:right w:val="nil"/>
            </w:tcBorders>
            <w:shd w:val="clear" w:color="auto" w:fill="auto"/>
            <w:noWrap/>
            <w:vAlign w:val="bottom"/>
            <w:hideMark/>
          </w:tcPr>
          <w:p w14:paraId="0A5B58BB"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112</w:t>
            </w:r>
          </w:p>
        </w:tc>
      </w:tr>
      <w:tr w:rsidR="004A7DCA" w:rsidRPr="00E500FF" w14:paraId="3250CD26" w14:textId="77777777" w:rsidTr="003C60BC">
        <w:trPr>
          <w:trHeight w:val="300"/>
        </w:trPr>
        <w:tc>
          <w:tcPr>
            <w:tcW w:w="1240" w:type="dxa"/>
            <w:vMerge/>
            <w:tcBorders>
              <w:top w:val="nil"/>
              <w:left w:val="nil"/>
              <w:bottom w:val="nil"/>
              <w:right w:val="nil"/>
            </w:tcBorders>
            <w:vAlign w:val="center"/>
            <w:hideMark/>
          </w:tcPr>
          <w:p w14:paraId="40807EA0" w14:textId="77777777" w:rsidR="004A7DCA" w:rsidRPr="00E500FF" w:rsidRDefault="004A7DCA" w:rsidP="003C60BC">
            <w:pPr>
              <w:rPr>
                <w:rFonts w:ascii="Calibri" w:eastAsia="Times New Roman"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1C86897B"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2</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05506DA"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10</w:t>
            </w:r>
          </w:p>
        </w:tc>
        <w:tc>
          <w:tcPr>
            <w:tcW w:w="1060" w:type="dxa"/>
            <w:tcBorders>
              <w:top w:val="nil"/>
              <w:left w:val="nil"/>
              <w:bottom w:val="single" w:sz="4" w:space="0" w:color="auto"/>
              <w:right w:val="single" w:sz="4" w:space="0" w:color="auto"/>
            </w:tcBorders>
            <w:shd w:val="clear" w:color="auto" w:fill="auto"/>
            <w:noWrap/>
            <w:vAlign w:val="bottom"/>
            <w:hideMark/>
          </w:tcPr>
          <w:p w14:paraId="08F4CADD"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43</w:t>
            </w:r>
          </w:p>
        </w:tc>
        <w:tc>
          <w:tcPr>
            <w:tcW w:w="1060" w:type="dxa"/>
            <w:tcBorders>
              <w:top w:val="nil"/>
              <w:left w:val="nil"/>
              <w:bottom w:val="single" w:sz="4" w:space="0" w:color="auto"/>
              <w:right w:val="single" w:sz="4" w:space="0" w:color="auto"/>
            </w:tcBorders>
            <w:shd w:val="clear" w:color="auto" w:fill="auto"/>
            <w:noWrap/>
            <w:vAlign w:val="bottom"/>
            <w:hideMark/>
          </w:tcPr>
          <w:p w14:paraId="321748E4"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10</w:t>
            </w:r>
          </w:p>
        </w:tc>
        <w:tc>
          <w:tcPr>
            <w:tcW w:w="1060" w:type="dxa"/>
            <w:tcBorders>
              <w:top w:val="nil"/>
              <w:left w:val="nil"/>
              <w:bottom w:val="nil"/>
              <w:right w:val="nil"/>
            </w:tcBorders>
            <w:shd w:val="clear" w:color="auto" w:fill="auto"/>
            <w:noWrap/>
            <w:vAlign w:val="bottom"/>
            <w:hideMark/>
          </w:tcPr>
          <w:p w14:paraId="42542D0B"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63</w:t>
            </w:r>
          </w:p>
        </w:tc>
      </w:tr>
      <w:tr w:rsidR="004A7DCA" w:rsidRPr="00E500FF" w14:paraId="60EEA0F4" w14:textId="77777777" w:rsidTr="003C60BC">
        <w:trPr>
          <w:trHeight w:val="300"/>
        </w:trPr>
        <w:tc>
          <w:tcPr>
            <w:tcW w:w="1240" w:type="dxa"/>
            <w:tcBorders>
              <w:top w:val="nil"/>
              <w:left w:val="nil"/>
              <w:bottom w:val="nil"/>
              <w:right w:val="nil"/>
            </w:tcBorders>
            <w:shd w:val="clear" w:color="auto" w:fill="auto"/>
            <w:noWrap/>
            <w:vAlign w:val="bottom"/>
            <w:hideMark/>
          </w:tcPr>
          <w:p w14:paraId="60DAEF96" w14:textId="77777777" w:rsidR="004A7DCA" w:rsidRPr="00E500FF" w:rsidRDefault="004A7DCA" w:rsidP="003C60BC">
            <w:pPr>
              <w:jc w:val="right"/>
              <w:rPr>
                <w:rFonts w:ascii="Calibri" w:eastAsia="Times New Roman"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4A2643F4" w14:textId="77777777" w:rsidR="004A7DCA" w:rsidRPr="00E500FF" w:rsidRDefault="004A7DCA" w:rsidP="003C60BC">
            <w:pP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3909C826"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149</w:t>
            </w:r>
          </w:p>
        </w:tc>
        <w:tc>
          <w:tcPr>
            <w:tcW w:w="1060" w:type="dxa"/>
            <w:tcBorders>
              <w:top w:val="nil"/>
              <w:left w:val="nil"/>
              <w:bottom w:val="nil"/>
              <w:right w:val="nil"/>
            </w:tcBorders>
            <w:shd w:val="clear" w:color="auto" w:fill="auto"/>
            <w:noWrap/>
            <w:vAlign w:val="bottom"/>
            <w:hideMark/>
          </w:tcPr>
          <w:p w14:paraId="475031D8"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146</w:t>
            </w:r>
          </w:p>
        </w:tc>
        <w:tc>
          <w:tcPr>
            <w:tcW w:w="1060" w:type="dxa"/>
            <w:tcBorders>
              <w:top w:val="nil"/>
              <w:left w:val="nil"/>
              <w:bottom w:val="nil"/>
              <w:right w:val="nil"/>
            </w:tcBorders>
            <w:shd w:val="clear" w:color="auto" w:fill="auto"/>
            <w:noWrap/>
            <w:vAlign w:val="bottom"/>
            <w:hideMark/>
          </w:tcPr>
          <w:p w14:paraId="6A9515B7"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16</w:t>
            </w:r>
          </w:p>
        </w:tc>
        <w:tc>
          <w:tcPr>
            <w:tcW w:w="1060" w:type="dxa"/>
            <w:tcBorders>
              <w:top w:val="nil"/>
              <w:left w:val="nil"/>
              <w:bottom w:val="nil"/>
              <w:right w:val="nil"/>
            </w:tcBorders>
            <w:shd w:val="clear" w:color="auto" w:fill="auto"/>
            <w:noWrap/>
            <w:vAlign w:val="bottom"/>
            <w:hideMark/>
          </w:tcPr>
          <w:p w14:paraId="746EFD0C" w14:textId="77777777" w:rsidR="004A7DCA" w:rsidRPr="00E500FF" w:rsidRDefault="004A7DCA" w:rsidP="003C60BC">
            <w:pPr>
              <w:jc w:val="right"/>
              <w:rPr>
                <w:rFonts w:ascii="Calibri" w:eastAsia="Times New Roman" w:hAnsi="Calibri" w:cs="Calibri"/>
                <w:color w:val="000000"/>
                <w:sz w:val="22"/>
                <w:szCs w:val="22"/>
              </w:rPr>
            </w:pPr>
            <w:r w:rsidRPr="00E500FF">
              <w:rPr>
                <w:rFonts w:ascii="Calibri" w:eastAsia="Times New Roman" w:hAnsi="Calibri" w:cs="Calibri"/>
                <w:color w:val="000000"/>
                <w:sz w:val="22"/>
                <w:szCs w:val="22"/>
              </w:rPr>
              <w:t>311</w:t>
            </w:r>
          </w:p>
        </w:tc>
      </w:tr>
    </w:tbl>
    <w:p w14:paraId="3DA1AA8D" w14:textId="77777777" w:rsidR="004A7DCA" w:rsidRDefault="004A7DCA" w:rsidP="004A7DCA"/>
    <w:p w14:paraId="7E18AB00" w14:textId="77777777" w:rsidR="004A7DCA" w:rsidRDefault="004A7DCA" w:rsidP="004A7DCA">
      <w:pPr>
        <w:pStyle w:val="ListParagraph"/>
        <w:numPr>
          <w:ilvl w:val="0"/>
          <w:numId w:val="32"/>
        </w:numPr>
        <w:spacing w:after="160" w:line="259" w:lineRule="auto"/>
      </w:pPr>
      <w:r>
        <w:t>Is agreement balanced?  If not, was the resident or the attending more easily impressed by the ECG findings (i.e., thought the ECG was more abnormal)? [1]</w:t>
      </w:r>
    </w:p>
    <w:p w14:paraId="297C1EDD" w14:textId="77777777" w:rsidR="004A7DCA" w:rsidRDefault="004A7DCA" w:rsidP="004A7DCA">
      <w:pPr>
        <w:rPr>
          <w:color w:val="0070C0"/>
        </w:rPr>
      </w:pPr>
    </w:p>
    <w:p w14:paraId="19B8CBEB" w14:textId="77777777" w:rsidR="004A7DCA" w:rsidRPr="002A6D9E" w:rsidRDefault="004A7DCA" w:rsidP="004A7DCA">
      <w:pPr>
        <w:rPr>
          <w:b/>
          <w:i/>
        </w:rPr>
      </w:pPr>
    </w:p>
    <w:p w14:paraId="6173C2B9" w14:textId="77777777" w:rsidR="004A7DCA" w:rsidRDefault="004A7DCA" w:rsidP="004A7DCA">
      <w:pPr>
        <w:pStyle w:val="ListParagraph"/>
        <w:numPr>
          <w:ilvl w:val="0"/>
          <w:numId w:val="32"/>
        </w:numPr>
        <w:spacing w:after="160" w:line="259" w:lineRule="auto"/>
      </w:pPr>
      <w:r>
        <w:lastRenderedPageBreak/>
        <w:t>Calculate expected agreement for all cells in the table below: [3]</w:t>
      </w:r>
    </w:p>
    <w:tbl>
      <w:tblPr>
        <w:tblW w:w="6180" w:type="dxa"/>
        <w:tblLook w:val="04A0" w:firstRow="1" w:lastRow="0" w:firstColumn="1" w:lastColumn="0" w:noHBand="0" w:noVBand="1"/>
      </w:tblPr>
      <w:tblGrid>
        <w:gridCol w:w="1297"/>
        <w:gridCol w:w="1000"/>
        <w:gridCol w:w="1000"/>
        <w:gridCol w:w="1000"/>
        <w:gridCol w:w="1000"/>
        <w:gridCol w:w="1000"/>
      </w:tblGrid>
      <w:tr w:rsidR="004A7DCA" w:rsidRPr="000801B2" w14:paraId="72C521B7" w14:textId="77777777" w:rsidTr="003C60BC">
        <w:trPr>
          <w:trHeight w:val="288"/>
        </w:trPr>
        <w:tc>
          <w:tcPr>
            <w:tcW w:w="2180" w:type="dxa"/>
            <w:gridSpan w:val="2"/>
            <w:tcBorders>
              <w:top w:val="nil"/>
              <w:left w:val="nil"/>
              <w:bottom w:val="nil"/>
              <w:right w:val="nil"/>
            </w:tcBorders>
            <w:shd w:val="clear" w:color="auto" w:fill="auto"/>
            <w:noWrap/>
            <w:vAlign w:val="bottom"/>
            <w:hideMark/>
          </w:tcPr>
          <w:p w14:paraId="31021092" w14:textId="77777777" w:rsidR="004A7DCA" w:rsidRPr="000801B2" w:rsidRDefault="004A7DCA" w:rsidP="003C60BC">
            <w:pPr>
              <w:rPr>
                <w:rFonts w:ascii="Calibri" w:eastAsia="Times New Roman" w:hAnsi="Calibri" w:cs="Calibri"/>
                <w:color w:val="000000"/>
              </w:rPr>
            </w:pPr>
            <w:r w:rsidRPr="000801B2">
              <w:rPr>
                <w:rFonts w:ascii="Calibri" w:eastAsia="Times New Roman" w:hAnsi="Calibri" w:cs="Calibri"/>
                <w:color w:val="000000"/>
              </w:rPr>
              <w:t>HEART History Score</w:t>
            </w:r>
          </w:p>
        </w:tc>
        <w:tc>
          <w:tcPr>
            <w:tcW w:w="1000" w:type="dxa"/>
            <w:tcBorders>
              <w:top w:val="nil"/>
              <w:left w:val="nil"/>
              <w:bottom w:val="nil"/>
              <w:right w:val="nil"/>
            </w:tcBorders>
            <w:shd w:val="clear" w:color="auto" w:fill="auto"/>
            <w:noWrap/>
            <w:vAlign w:val="bottom"/>
            <w:hideMark/>
          </w:tcPr>
          <w:p w14:paraId="374270F4" w14:textId="77777777" w:rsidR="004A7DCA" w:rsidRPr="000801B2" w:rsidRDefault="004A7DCA" w:rsidP="003C60BC">
            <w:pPr>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0AF41829" w14:textId="77777777" w:rsidR="004A7DCA" w:rsidRPr="000801B2" w:rsidRDefault="004A7DCA" w:rsidP="003C60BC">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514F965D" w14:textId="77777777" w:rsidR="004A7DCA" w:rsidRPr="000801B2" w:rsidRDefault="004A7DCA" w:rsidP="003C60BC">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754853D6" w14:textId="77777777" w:rsidR="004A7DCA" w:rsidRPr="000801B2" w:rsidRDefault="004A7DCA" w:rsidP="003C60BC">
            <w:pPr>
              <w:rPr>
                <w:rFonts w:eastAsia="Times New Roman"/>
                <w:sz w:val="20"/>
                <w:szCs w:val="20"/>
              </w:rPr>
            </w:pPr>
          </w:p>
        </w:tc>
      </w:tr>
      <w:tr w:rsidR="004A7DCA" w:rsidRPr="000801B2" w14:paraId="7857879E" w14:textId="77777777" w:rsidTr="003C60BC">
        <w:trPr>
          <w:trHeight w:val="288"/>
        </w:trPr>
        <w:tc>
          <w:tcPr>
            <w:tcW w:w="1180" w:type="dxa"/>
            <w:tcBorders>
              <w:top w:val="nil"/>
              <w:left w:val="nil"/>
              <w:bottom w:val="nil"/>
              <w:right w:val="nil"/>
            </w:tcBorders>
            <w:shd w:val="clear" w:color="auto" w:fill="auto"/>
            <w:noWrap/>
            <w:vAlign w:val="bottom"/>
            <w:hideMark/>
          </w:tcPr>
          <w:p w14:paraId="0FAB55C1" w14:textId="77777777" w:rsidR="004A7DCA" w:rsidRPr="000801B2" w:rsidRDefault="004A7DCA" w:rsidP="003C60BC">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3B0592B9" w14:textId="77777777" w:rsidR="004A7DCA" w:rsidRPr="000801B2" w:rsidRDefault="004A7DCA" w:rsidP="003C60BC">
            <w:pPr>
              <w:rPr>
                <w:rFonts w:eastAsia="Times New Roman"/>
                <w:sz w:val="20"/>
                <w:szCs w:val="20"/>
              </w:rPr>
            </w:pPr>
          </w:p>
        </w:tc>
        <w:tc>
          <w:tcPr>
            <w:tcW w:w="3000" w:type="dxa"/>
            <w:gridSpan w:val="3"/>
            <w:tcBorders>
              <w:top w:val="nil"/>
              <w:left w:val="nil"/>
              <w:bottom w:val="nil"/>
              <w:right w:val="nil"/>
            </w:tcBorders>
            <w:shd w:val="clear" w:color="auto" w:fill="auto"/>
            <w:noWrap/>
            <w:vAlign w:val="bottom"/>
            <w:hideMark/>
          </w:tcPr>
          <w:p w14:paraId="5FDA933B" w14:textId="77777777" w:rsidR="004A7DCA" w:rsidRPr="000801B2" w:rsidRDefault="004A7DCA" w:rsidP="003C60BC">
            <w:pPr>
              <w:jc w:val="center"/>
              <w:rPr>
                <w:rFonts w:ascii="Calibri" w:eastAsia="Times New Roman" w:hAnsi="Calibri" w:cs="Calibri"/>
                <w:color w:val="000000"/>
              </w:rPr>
            </w:pPr>
            <w:r w:rsidRPr="000801B2">
              <w:rPr>
                <w:rFonts w:ascii="Calibri" w:eastAsia="Times New Roman" w:hAnsi="Calibri" w:cs="Calibri"/>
                <w:color w:val="000000"/>
              </w:rPr>
              <w:t>Attending Emergency Physician</w:t>
            </w:r>
          </w:p>
        </w:tc>
        <w:tc>
          <w:tcPr>
            <w:tcW w:w="1000" w:type="dxa"/>
            <w:tcBorders>
              <w:top w:val="nil"/>
              <w:left w:val="nil"/>
              <w:bottom w:val="nil"/>
              <w:right w:val="nil"/>
            </w:tcBorders>
            <w:shd w:val="clear" w:color="auto" w:fill="auto"/>
            <w:noWrap/>
            <w:vAlign w:val="bottom"/>
            <w:hideMark/>
          </w:tcPr>
          <w:p w14:paraId="5F4F17F9" w14:textId="77777777" w:rsidR="004A7DCA" w:rsidRPr="000801B2" w:rsidRDefault="004A7DCA" w:rsidP="003C60BC">
            <w:pPr>
              <w:jc w:val="center"/>
              <w:rPr>
                <w:rFonts w:ascii="Calibri" w:eastAsia="Times New Roman" w:hAnsi="Calibri" w:cs="Calibri"/>
                <w:color w:val="000000"/>
              </w:rPr>
            </w:pPr>
          </w:p>
        </w:tc>
      </w:tr>
      <w:tr w:rsidR="004A7DCA" w:rsidRPr="000801B2" w14:paraId="6C8CC429" w14:textId="77777777" w:rsidTr="003C60BC">
        <w:trPr>
          <w:trHeight w:val="288"/>
        </w:trPr>
        <w:tc>
          <w:tcPr>
            <w:tcW w:w="1180" w:type="dxa"/>
            <w:tcBorders>
              <w:top w:val="nil"/>
              <w:left w:val="nil"/>
              <w:bottom w:val="nil"/>
              <w:right w:val="nil"/>
            </w:tcBorders>
            <w:shd w:val="clear" w:color="auto" w:fill="auto"/>
            <w:noWrap/>
            <w:vAlign w:val="bottom"/>
            <w:hideMark/>
          </w:tcPr>
          <w:p w14:paraId="50FAA245" w14:textId="77777777" w:rsidR="004A7DCA" w:rsidRPr="000801B2" w:rsidRDefault="004A7DCA" w:rsidP="003C60BC">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3A30243B" w14:textId="77777777" w:rsidR="004A7DCA" w:rsidRPr="000801B2" w:rsidRDefault="004A7DCA" w:rsidP="003C60BC">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63EACC3D" w14:textId="77777777" w:rsidR="004A7DCA" w:rsidRPr="000801B2" w:rsidRDefault="004A7DCA" w:rsidP="003C60BC">
            <w:pPr>
              <w:jc w:val="right"/>
              <w:rPr>
                <w:rFonts w:ascii="Calibri" w:eastAsia="Times New Roman" w:hAnsi="Calibri" w:cs="Calibri"/>
                <w:color w:val="000000"/>
              </w:rPr>
            </w:pPr>
            <w:r w:rsidRPr="000801B2">
              <w:rPr>
                <w:rFonts w:ascii="Calibri" w:eastAsia="Times New Roman" w:hAnsi="Calibri" w:cs="Calibri"/>
                <w:color w:val="000000"/>
              </w:rPr>
              <w:t>0</w:t>
            </w:r>
          </w:p>
        </w:tc>
        <w:tc>
          <w:tcPr>
            <w:tcW w:w="1000" w:type="dxa"/>
            <w:tcBorders>
              <w:top w:val="nil"/>
              <w:left w:val="nil"/>
              <w:bottom w:val="nil"/>
              <w:right w:val="nil"/>
            </w:tcBorders>
            <w:shd w:val="clear" w:color="auto" w:fill="auto"/>
            <w:noWrap/>
            <w:vAlign w:val="bottom"/>
            <w:hideMark/>
          </w:tcPr>
          <w:p w14:paraId="41AA3413" w14:textId="77777777" w:rsidR="004A7DCA" w:rsidRPr="000801B2" w:rsidRDefault="004A7DCA" w:rsidP="003C60BC">
            <w:pPr>
              <w:jc w:val="right"/>
              <w:rPr>
                <w:rFonts w:ascii="Calibri" w:eastAsia="Times New Roman" w:hAnsi="Calibri" w:cs="Calibri"/>
                <w:color w:val="000000"/>
              </w:rPr>
            </w:pPr>
            <w:r w:rsidRPr="000801B2">
              <w:rPr>
                <w:rFonts w:ascii="Calibri" w:eastAsia="Times New Roman" w:hAnsi="Calibri" w:cs="Calibri"/>
                <w:color w:val="000000"/>
              </w:rPr>
              <w:t>1</w:t>
            </w:r>
          </w:p>
        </w:tc>
        <w:tc>
          <w:tcPr>
            <w:tcW w:w="1000" w:type="dxa"/>
            <w:tcBorders>
              <w:top w:val="nil"/>
              <w:left w:val="nil"/>
              <w:bottom w:val="nil"/>
              <w:right w:val="nil"/>
            </w:tcBorders>
            <w:shd w:val="clear" w:color="auto" w:fill="auto"/>
            <w:noWrap/>
            <w:vAlign w:val="bottom"/>
            <w:hideMark/>
          </w:tcPr>
          <w:p w14:paraId="399C96AB" w14:textId="77777777" w:rsidR="004A7DCA" w:rsidRPr="000801B2" w:rsidRDefault="004A7DCA" w:rsidP="003C60BC">
            <w:pPr>
              <w:jc w:val="right"/>
              <w:rPr>
                <w:rFonts w:ascii="Calibri" w:eastAsia="Times New Roman" w:hAnsi="Calibri" w:cs="Calibri"/>
                <w:color w:val="000000"/>
              </w:rPr>
            </w:pPr>
            <w:r w:rsidRPr="000801B2">
              <w:rPr>
                <w:rFonts w:ascii="Calibri" w:eastAsia="Times New Roman" w:hAnsi="Calibri" w:cs="Calibri"/>
                <w:color w:val="000000"/>
              </w:rPr>
              <w:t>2</w:t>
            </w:r>
          </w:p>
        </w:tc>
        <w:tc>
          <w:tcPr>
            <w:tcW w:w="1000" w:type="dxa"/>
            <w:tcBorders>
              <w:top w:val="nil"/>
              <w:left w:val="nil"/>
              <w:bottom w:val="nil"/>
              <w:right w:val="nil"/>
            </w:tcBorders>
            <w:shd w:val="clear" w:color="auto" w:fill="auto"/>
            <w:noWrap/>
            <w:vAlign w:val="bottom"/>
            <w:hideMark/>
          </w:tcPr>
          <w:p w14:paraId="474CE8D3" w14:textId="77777777" w:rsidR="004A7DCA" w:rsidRPr="000801B2" w:rsidRDefault="004A7DCA" w:rsidP="003C60BC">
            <w:pPr>
              <w:jc w:val="right"/>
              <w:rPr>
                <w:rFonts w:ascii="Calibri" w:eastAsia="Times New Roman" w:hAnsi="Calibri" w:cs="Calibri"/>
                <w:color w:val="000000"/>
              </w:rPr>
            </w:pPr>
          </w:p>
        </w:tc>
      </w:tr>
      <w:tr w:rsidR="004A7DCA" w:rsidRPr="000801B2" w14:paraId="4AEA0D40" w14:textId="77777777" w:rsidTr="003C60BC">
        <w:trPr>
          <w:trHeight w:val="288"/>
        </w:trPr>
        <w:tc>
          <w:tcPr>
            <w:tcW w:w="1180" w:type="dxa"/>
            <w:vMerge w:val="restart"/>
            <w:tcBorders>
              <w:top w:val="nil"/>
              <w:left w:val="nil"/>
              <w:bottom w:val="nil"/>
              <w:right w:val="nil"/>
            </w:tcBorders>
            <w:shd w:val="clear" w:color="auto" w:fill="auto"/>
            <w:vAlign w:val="bottom"/>
            <w:hideMark/>
          </w:tcPr>
          <w:p w14:paraId="6F4E4D1B" w14:textId="77777777" w:rsidR="004A7DCA" w:rsidRPr="000801B2" w:rsidRDefault="004A7DCA" w:rsidP="003C60BC">
            <w:pPr>
              <w:jc w:val="center"/>
              <w:rPr>
                <w:rFonts w:ascii="Calibri" w:eastAsia="Times New Roman" w:hAnsi="Calibri" w:cs="Calibri"/>
                <w:color w:val="000000"/>
              </w:rPr>
            </w:pPr>
            <w:r w:rsidRPr="000801B2">
              <w:rPr>
                <w:rFonts w:ascii="Calibri" w:eastAsia="Times New Roman" w:hAnsi="Calibri" w:cs="Calibri"/>
                <w:color w:val="000000"/>
              </w:rPr>
              <w:t>Emergency Medicine Resident</w:t>
            </w:r>
          </w:p>
        </w:tc>
        <w:tc>
          <w:tcPr>
            <w:tcW w:w="1000" w:type="dxa"/>
            <w:tcBorders>
              <w:top w:val="nil"/>
              <w:left w:val="nil"/>
              <w:bottom w:val="nil"/>
              <w:right w:val="nil"/>
            </w:tcBorders>
            <w:shd w:val="clear" w:color="auto" w:fill="auto"/>
            <w:noWrap/>
            <w:vAlign w:val="bottom"/>
            <w:hideMark/>
          </w:tcPr>
          <w:p w14:paraId="29F0FA86" w14:textId="77777777" w:rsidR="004A7DCA" w:rsidRPr="000801B2" w:rsidRDefault="004A7DCA" w:rsidP="003C60BC">
            <w:pPr>
              <w:jc w:val="right"/>
              <w:rPr>
                <w:rFonts w:ascii="Calibri" w:eastAsia="Times New Roman" w:hAnsi="Calibri" w:cs="Calibri"/>
                <w:color w:val="000000"/>
              </w:rPr>
            </w:pPr>
            <w:r w:rsidRPr="000801B2">
              <w:rPr>
                <w:rFonts w:ascii="Calibri" w:eastAsia="Times New Roman" w:hAnsi="Calibri" w:cs="Calibri"/>
                <w:color w:val="000000"/>
              </w:rPr>
              <w:t>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C7A7F2" w14:textId="77777777" w:rsidR="004A7DCA" w:rsidRPr="000801B2" w:rsidRDefault="004A7DCA" w:rsidP="003C60BC">
            <w:pPr>
              <w:jc w:val="right"/>
              <w:rPr>
                <w:rFonts w:ascii="Calibri" w:eastAsia="Times New Roman" w:hAnsi="Calibri" w:cs="Calibri"/>
                <w:color w:val="000000"/>
              </w:rPr>
            </w:pP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3282AA69" w14:textId="77777777" w:rsidR="004A7DCA" w:rsidRPr="000801B2" w:rsidRDefault="004A7DCA" w:rsidP="003C60BC">
            <w:pPr>
              <w:jc w:val="right"/>
              <w:rPr>
                <w:rFonts w:ascii="Calibri" w:eastAsia="Times New Roman" w:hAnsi="Calibri" w:cs="Calibri"/>
                <w:color w:val="000000"/>
              </w:rPr>
            </w:pP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59D03A29" w14:textId="77777777" w:rsidR="004A7DCA" w:rsidRPr="000801B2" w:rsidRDefault="004A7DCA" w:rsidP="003C60BC">
            <w:pPr>
              <w:jc w:val="right"/>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245423B1" w14:textId="77777777" w:rsidR="004A7DCA" w:rsidRPr="000801B2" w:rsidRDefault="004A7DCA" w:rsidP="003C60BC">
            <w:pPr>
              <w:jc w:val="right"/>
              <w:rPr>
                <w:rFonts w:ascii="Calibri" w:eastAsia="Times New Roman" w:hAnsi="Calibri" w:cs="Calibri"/>
                <w:color w:val="000000"/>
              </w:rPr>
            </w:pPr>
            <w:r>
              <w:rPr>
                <w:rFonts w:ascii="Calibri" w:eastAsia="Times New Roman" w:hAnsi="Calibri" w:cs="Calibri"/>
                <w:color w:val="000000"/>
              </w:rPr>
              <w:t>136</w:t>
            </w:r>
          </w:p>
        </w:tc>
      </w:tr>
      <w:tr w:rsidR="004A7DCA" w:rsidRPr="000801B2" w14:paraId="5E330582" w14:textId="77777777" w:rsidTr="003C60BC">
        <w:trPr>
          <w:trHeight w:val="288"/>
        </w:trPr>
        <w:tc>
          <w:tcPr>
            <w:tcW w:w="1180" w:type="dxa"/>
            <w:vMerge/>
            <w:tcBorders>
              <w:top w:val="nil"/>
              <w:left w:val="nil"/>
              <w:bottom w:val="nil"/>
              <w:right w:val="nil"/>
            </w:tcBorders>
            <w:vAlign w:val="center"/>
            <w:hideMark/>
          </w:tcPr>
          <w:p w14:paraId="100B22D3" w14:textId="77777777" w:rsidR="004A7DCA" w:rsidRPr="000801B2" w:rsidRDefault="004A7DCA" w:rsidP="003C60BC">
            <w:pPr>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1643B293" w14:textId="77777777" w:rsidR="004A7DCA" w:rsidRPr="000801B2" w:rsidRDefault="004A7DCA" w:rsidP="003C60BC">
            <w:pPr>
              <w:jc w:val="right"/>
              <w:rPr>
                <w:rFonts w:ascii="Calibri" w:eastAsia="Times New Roman" w:hAnsi="Calibri" w:cs="Calibri"/>
                <w:color w:val="000000"/>
              </w:rPr>
            </w:pPr>
            <w:r w:rsidRPr="000801B2">
              <w:rPr>
                <w:rFonts w:ascii="Calibri" w:eastAsia="Times New Roman" w:hAnsi="Calibri" w:cs="Calibri"/>
                <w:color w:val="000000"/>
              </w:rPr>
              <w:t>1</w:t>
            </w:r>
          </w:p>
        </w:tc>
        <w:tc>
          <w:tcPr>
            <w:tcW w:w="1000" w:type="dxa"/>
            <w:tcBorders>
              <w:top w:val="nil"/>
              <w:left w:val="single" w:sz="4" w:space="0" w:color="auto"/>
              <w:bottom w:val="single" w:sz="4" w:space="0" w:color="auto"/>
              <w:right w:val="single" w:sz="4" w:space="0" w:color="auto"/>
            </w:tcBorders>
            <w:shd w:val="clear" w:color="auto" w:fill="auto"/>
            <w:noWrap/>
            <w:vAlign w:val="bottom"/>
          </w:tcPr>
          <w:p w14:paraId="3E26748A" w14:textId="77777777" w:rsidR="004A7DCA" w:rsidRPr="000801B2" w:rsidRDefault="004A7DCA" w:rsidP="003C60BC">
            <w:pPr>
              <w:jc w:val="right"/>
              <w:rPr>
                <w:rFonts w:ascii="Calibri" w:eastAsia="Times New Roman" w:hAnsi="Calibri" w:cs="Calibri"/>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6451A261" w14:textId="77777777" w:rsidR="004A7DCA" w:rsidRPr="000801B2" w:rsidRDefault="004A7DCA" w:rsidP="003C60BC">
            <w:pPr>
              <w:jc w:val="right"/>
              <w:rPr>
                <w:rFonts w:ascii="Calibri" w:eastAsia="Times New Roman" w:hAnsi="Calibri" w:cs="Calibri"/>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2ACF51AF" w14:textId="77777777" w:rsidR="004A7DCA" w:rsidRPr="000801B2" w:rsidRDefault="004A7DCA" w:rsidP="003C60BC">
            <w:pPr>
              <w:jc w:val="right"/>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6E7D765F" w14:textId="77777777" w:rsidR="004A7DCA" w:rsidRPr="000801B2" w:rsidRDefault="004A7DCA" w:rsidP="003C60BC">
            <w:pPr>
              <w:jc w:val="right"/>
              <w:rPr>
                <w:rFonts w:ascii="Calibri" w:eastAsia="Times New Roman" w:hAnsi="Calibri" w:cs="Calibri"/>
                <w:color w:val="000000"/>
              </w:rPr>
            </w:pPr>
            <w:r>
              <w:rPr>
                <w:rFonts w:ascii="Calibri" w:eastAsia="Times New Roman" w:hAnsi="Calibri" w:cs="Calibri"/>
                <w:color w:val="000000"/>
              </w:rPr>
              <w:t>112</w:t>
            </w:r>
          </w:p>
        </w:tc>
      </w:tr>
      <w:tr w:rsidR="004A7DCA" w:rsidRPr="000801B2" w14:paraId="098BAE2F" w14:textId="77777777" w:rsidTr="003C60BC">
        <w:trPr>
          <w:trHeight w:val="288"/>
        </w:trPr>
        <w:tc>
          <w:tcPr>
            <w:tcW w:w="1180" w:type="dxa"/>
            <w:vMerge/>
            <w:tcBorders>
              <w:top w:val="nil"/>
              <w:left w:val="nil"/>
              <w:bottom w:val="nil"/>
              <w:right w:val="nil"/>
            </w:tcBorders>
            <w:vAlign w:val="center"/>
            <w:hideMark/>
          </w:tcPr>
          <w:p w14:paraId="666734C0" w14:textId="77777777" w:rsidR="004A7DCA" w:rsidRPr="000801B2" w:rsidRDefault="004A7DCA" w:rsidP="003C60BC">
            <w:pPr>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205F9281" w14:textId="77777777" w:rsidR="004A7DCA" w:rsidRPr="000801B2" w:rsidRDefault="004A7DCA" w:rsidP="003C60BC">
            <w:pPr>
              <w:jc w:val="right"/>
              <w:rPr>
                <w:rFonts w:ascii="Calibri" w:eastAsia="Times New Roman" w:hAnsi="Calibri" w:cs="Calibri"/>
                <w:color w:val="000000"/>
              </w:rPr>
            </w:pPr>
            <w:r w:rsidRPr="000801B2">
              <w:rPr>
                <w:rFonts w:ascii="Calibri" w:eastAsia="Times New Roman" w:hAnsi="Calibri" w:cs="Calibri"/>
                <w:color w:val="000000"/>
              </w:rPr>
              <w:t>2</w:t>
            </w:r>
          </w:p>
        </w:tc>
        <w:tc>
          <w:tcPr>
            <w:tcW w:w="1000" w:type="dxa"/>
            <w:tcBorders>
              <w:top w:val="nil"/>
              <w:left w:val="single" w:sz="4" w:space="0" w:color="auto"/>
              <w:bottom w:val="single" w:sz="4" w:space="0" w:color="auto"/>
              <w:right w:val="single" w:sz="4" w:space="0" w:color="auto"/>
            </w:tcBorders>
            <w:shd w:val="clear" w:color="auto" w:fill="auto"/>
            <w:noWrap/>
            <w:vAlign w:val="bottom"/>
          </w:tcPr>
          <w:p w14:paraId="0D840FCB" w14:textId="77777777" w:rsidR="004A7DCA" w:rsidRPr="000801B2" w:rsidRDefault="004A7DCA" w:rsidP="003C60BC">
            <w:pPr>
              <w:jc w:val="right"/>
              <w:rPr>
                <w:rFonts w:ascii="Calibri" w:eastAsia="Times New Roman" w:hAnsi="Calibri" w:cs="Calibri"/>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1E5EA9AD" w14:textId="77777777" w:rsidR="004A7DCA" w:rsidRPr="000801B2" w:rsidRDefault="004A7DCA" w:rsidP="003C60BC">
            <w:pPr>
              <w:jc w:val="right"/>
              <w:rPr>
                <w:rFonts w:ascii="Calibri" w:eastAsia="Times New Roman" w:hAnsi="Calibri" w:cs="Calibri"/>
                <w:color w:val="000000"/>
              </w:rPr>
            </w:pPr>
          </w:p>
        </w:tc>
        <w:tc>
          <w:tcPr>
            <w:tcW w:w="1000" w:type="dxa"/>
            <w:tcBorders>
              <w:top w:val="nil"/>
              <w:left w:val="nil"/>
              <w:bottom w:val="single" w:sz="4" w:space="0" w:color="auto"/>
              <w:right w:val="single" w:sz="4" w:space="0" w:color="auto"/>
            </w:tcBorders>
            <w:shd w:val="clear" w:color="auto" w:fill="auto"/>
            <w:noWrap/>
            <w:vAlign w:val="bottom"/>
          </w:tcPr>
          <w:p w14:paraId="30A01DE7" w14:textId="77777777" w:rsidR="004A7DCA" w:rsidRPr="000801B2" w:rsidRDefault="004A7DCA" w:rsidP="003C60BC">
            <w:pPr>
              <w:jc w:val="right"/>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09A7E869" w14:textId="77777777" w:rsidR="004A7DCA" w:rsidRPr="000801B2" w:rsidRDefault="004A7DCA" w:rsidP="003C60BC">
            <w:pPr>
              <w:jc w:val="right"/>
              <w:rPr>
                <w:rFonts w:ascii="Calibri" w:eastAsia="Times New Roman" w:hAnsi="Calibri" w:cs="Calibri"/>
                <w:color w:val="000000"/>
              </w:rPr>
            </w:pPr>
            <w:r>
              <w:rPr>
                <w:rFonts w:ascii="Calibri" w:eastAsia="Times New Roman" w:hAnsi="Calibri" w:cs="Calibri"/>
                <w:color w:val="000000"/>
              </w:rPr>
              <w:t>63</w:t>
            </w:r>
          </w:p>
        </w:tc>
      </w:tr>
      <w:tr w:rsidR="004A7DCA" w:rsidRPr="000801B2" w14:paraId="14D93224" w14:textId="77777777" w:rsidTr="003C60BC">
        <w:trPr>
          <w:trHeight w:val="288"/>
        </w:trPr>
        <w:tc>
          <w:tcPr>
            <w:tcW w:w="1180" w:type="dxa"/>
            <w:tcBorders>
              <w:top w:val="nil"/>
              <w:left w:val="nil"/>
              <w:bottom w:val="nil"/>
              <w:right w:val="nil"/>
            </w:tcBorders>
            <w:shd w:val="clear" w:color="auto" w:fill="auto"/>
            <w:noWrap/>
            <w:vAlign w:val="bottom"/>
            <w:hideMark/>
          </w:tcPr>
          <w:p w14:paraId="4EA5F0BA" w14:textId="77777777" w:rsidR="004A7DCA" w:rsidRPr="000801B2" w:rsidRDefault="004A7DCA" w:rsidP="003C60BC">
            <w:pPr>
              <w:jc w:val="right"/>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14:paraId="4F10FD7D" w14:textId="77777777" w:rsidR="004A7DCA" w:rsidRPr="000801B2" w:rsidRDefault="004A7DCA" w:rsidP="003C60BC">
            <w:pPr>
              <w:rPr>
                <w:rFonts w:eastAsia="Times New Roman"/>
                <w:sz w:val="20"/>
                <w:szCs w:val="20"/>
              </w:rPr>
            </w:pPr>
          </w:p>
        </w:tc>
        <w:tc>
          <w:tcPr>
            <w:tcW w:w="1000" w:type="dxa"/>
            <w:tcBorders>
              <w:top w:val="nil"/>
              <w:left w:val="nil"/>
              <w:bottom w:val="nil"/>
              <w:right w:val="nil"/>
            </w:tcBorders>
            <w:shd w:val="clear" w:color="auto" w:fill="auto"/>
            <w:noWrap/>
            <w:vAlign w:val="bottom"/>
            <w:hideMark/>
          </w:tcPr>
          <w:p w14:paraId="59D99028" w14:textId="77777777" w:rsidR="004A7DCA" w:rsidRPr="000801B2" w:rsidRDefault="004A7DCA" w:rsidP="003C60BC">
            <w:pPr>
              <w:jc w:val="right"/>
              <w:rPr>
                <w:rFonts w:ascii="Calibri" w:eastAsia="Times New Roman" w:hAnsi="Calibri" w:cs="Calibri"/>
                <w:color w:val="000000"/>
              </w:rPr>
            </w:pPr>
            <w:r w:rsidRPr="000801B2">
              <w:rPr>
                <w:rFonts w:ascii="Calibri" w:eastAsia="Times New Roman" w:hAnsi="Calibri" w:cs="Calibri"/>
                <w:color w:val="000000"/>
              </w:rPr>
              <w:t>1</w:t>
            </w:r>
            <w:r>
              <w:rPr>
                <w:rFonts w:ascii="Calibri" w:eastAsia="Times New Roman" w:hAnsi="Calibri" w:cs="Calibri"/>
                <w:color w:val="000000"/>
              </w:rPr>
              <w:t>49</w:t>
            </w:r>
          </w:p>
        </w:tc>
        <w:tc>
          <w:tcPr>
            <w:tcW w:w="1000" w:type="dxa"/>
            <w:tcBorders>
              <w:top w:val="nil"/>
              <w:left w:val="nil"/>
              <w:bottom w:val="nil"/>
              <w:right w:val="nil"/>
            </w:tcBorders>
            <w:shd w:val="clear" w:color="auto" w:fill="auto"/>
            <w:noWrap/>
            <w:vAlign w:val="bottom"/>
            <w:hideMark/>
          </w:tcPr>
          <w:p w14:paraId="0A7C3004" w14:textId="77777777" w:rsidR="004A7DCA" w:rsidRPr="000801B2" w:rsidRDefault="004A7DCA" w:rsidP="003C60BC">
            <w:pPr>
              <w:jc w:val="right"/>
              <w:rPr>
                <w:rFonts w:ascii="Calibri" w:eastAsia="Times New Roman" w:hAnsi="Calibri" w:cs="Calibri"/>
                <w:color w:val="000000"/>
              </w:rPr>
            </w:pPr>
            <w:r>
              <w:rPr>
                <w:rFonts w:ascii="Calibri" w:eastAsia="Times New Roman" w:hAnsi="Calibri" w:cs="Calibri"/>
                <w:color w:val="000000"/>
              </w:rPr>
              <w:t>146</w:t>
            </w:r>
          </w:p>
        </w:tc>
        <w:tc>
          <w:tcPr>
            <w:tcW w:w="1000" w:type="dxa"/>
            <w:tcBorders>
              <w:top w:val="nil"/>
              <w:left w:val="nil"/>
              <w:bottom w:val="nil"/>
              <w:right w:val="nil"/>
            </w:tcBorders>
            <w:shd w:val="clear" w:color="auto" w:fill="auto"/>
            <w:noWrap/>
            <w:vAlign w:val="bottom"/>
            <w:hideMark/>
          </w:tcPr>
          <w:p w14:paraId="594AC8FE" w14:textId="77777777" w:rsidR="004A7DCA" w:rsidRPr="000801B2" w:rsidRDefault="004A7DCA" w:rsidP="003C60BC">
            <w:pPr>
              <w:jc w:val="right"/>
              <w:rPr>
                <w:rFonts w:ascii="Calibri" w:eastAsia="Times New Roman" w:hAnsi="Calibri" w:cs="Calibri"/>
                <w:color w:val="000000"/>
              </w:rPr>
            </w:pPr>
            <w:r>
              <w:rPr>
                <w:rFonts w:ascii="Calibri" w:eastAsia="Times New Roman" w:hAnsi="Calibri" w:cs="Calibri"/>
                <w:color w:val="000000"/>
              </w:rPr>
              <w:t>16</w:t>
            </w:r>
          </w:p>
        </w:tc>
        <w:tc>
          <w:tcPr>
            <w:tcW w:w="1000" w:type="dxa"/>
            <w:tcBorders>
              <w:top w:val="nil"/>
              <w:left w:val="nil"/>
              <w:bottom w:val="nil"/>
              <w:right w:val="nil"/>
            </w:tcBorders>
            <w:shd w:val="clear" w:color="auto" w:fill="auto"/>
            <w:noWrap/>
            <w:vAlign w:val="bottom"/>
            <w:hideMark/>
          </w:tcPr>
          <w:p w14:paraId="250D9350" w14:textId="77777777" w:rsidR="004A7DCA" w:rsidRPr="000801B2" w:rsidRDefault="004A7DCA" w:rsidP="003C60BC">
            <w:pPr>
              <w:jc w:val="right"/>
              <w:rPr>
                <w:rFonts w:ascii="Calibri" w:eastAsia="Times New Roman" w:hAnsi="Calibri" w:cs="Calibri"/>
                <w:color w:val="000000"/>
              </w:rPr>
            </w:pPr>
            <w:r w:rsidRPr="000801B2">
              <w:rPr>
                <w:rFonts w:ascii="Calibri" w:eastAsia="Times New Roman" w:hAnsi="Calibri" w:cs="Calibri"/>
                <w:color w:val="000000"/>
              </w:rPr>
              <w:t>311</w:t>
            </w:r>
          </w:p>
        </w:tc>
      </w:tr>
    </w:tbl>
    <w:p w14:paraId="6B654CE4" w14:textId="77777777" w:rsidR="004A7DCA" w:rsidRDefault="004A7DCA" w:rsidP="004A7DCA"/>
    <w:p w14:paraId="0D8C67A8" w14:textId="77777777" w:rsidR="004A7DCA" w:rsidRDefault="004A7DCA" w:rsidP="004A7DCA">
      <w:pPr>
        <w:pStyle w:val="ListParagraph"/>
        <w:numPr>
          <w:ilvl w:val="0"/>
          <w:numId w:val="32"/>
        </w:numPr>
        <w:spacing w:after="160" w:line="259" w:lineRule="auto"/>
      </w:pPr>
      <w:r>
        <w:t>The paper reported observed agreement (unweighted) to be 68.5%. Does this simulated data give the same answer?  Show your calculations. [1]</w:t>
      </w:r>
    </w:p>
    <w:p w14:paraId="3C3F4254" w14:textId="77777777" w:rsidR="004A7DCA" w:rsidRDefault="004A7DCA" w:rsidP="004A7DCA">
      <w:pPr>
        <w:rPr>
          <w:b/>
          <w:i/>
        </w:rPr>
      </w:pPr>
    </w:p>
    <w:p w14:paraId="61E06BDA" w14:textId="0EC587E1" w:rsidR="004A7DCA" w:rsidRDefault="004A7DCA" w:rsidP="007C7109">
      <w:pPr>
        <w:pStyle w:val="ListParagraph"/>
        <w:numPr>
          <w:ilvl w:val="0"/>
          <w:numId w:val="32"/>
        </w:numPr>
      </w:pPr>
      <w:r>
        <w:t>What is expected percent (unweighted) agreement? [1]</w:t>
      </w:r>
    </w:p>
    <w:p w14:paraId="386BB84C" w14:textId="77777777" w:rsidR="007C7109" w:rsidRDefault="007C7109" w:rsidP="007C7109">
      <w:pPr>
        <w:pStyle w:val="ListParagraph"/>
      </w:pPr>
    </w:p>
    <w:p w14:paraId="419DAB82" w14:textId="1B031796" w:rsidR="004A7DCA" w:rsidRDefault="004A7DCA" w:rsidP="007C7109">
      <w:pPr>
        <w:pStyle w:val="ListParagraph"/>
        <w:numPr>
          <w:ilvl w:val="0"/>
          <w:numId w:val="32"/>
        </w:numPr>
      </w:pPr>
      <w:r>
        <w:t>What is unweighted kappa? [2]</w:t>
      </w:r>
    </w:p>
    <w:p w14:paraId="59D8182E" w14:textId="77777777" w:rsidR="007C7109" w:rsidRDefault="007C7109" w:rsidP="007C7109">
      <w:pPr>
        <w:pStyle w:val="ListParagraph"/>
      </w:pPr>
    </w:p>
    <w:p w14:paraId="0435A699" w14:textId="393D75C4" w:rsidR="004A7DCA" w:rsidRDefault="004A7DCA" w:rsidP="004A7DCA">
      <w:pPr>
        <w:pStyle w:val="ListParagraph"/>
        <w:numPr>
          <w:ilvl w:val="0"/>
          <w:numId w:val="32"/>
        </w:numPr>
      </w:pPr>
      <w:r>
        <w:t>If the paper reported a “weighted kappa” of 0.52, were they using linear or quadratic weights?</w:t>
      </w:r>
      <w:r>
        <w:rPr>
          <w:rStyle w:val="FootnoteReference"/>
        </w:rPr>
        <w:footnoteReference w:id="3"/>
      </w:r>
      <w:r>
        <w:t xml:space="preserve"> Explain your answer. [2]</w:t>
      </w:r>
    </w:p>
    <w:p w14:paraId="1944E4A5" w14:textId="77777777" w:rsidR="004A7DCA" w:rsidRDefault="004A7DCA" w:rsidP="004A7DCA">
      <w:pPr>
        <w:rPr>
          <w:b/>
          <w:i/>
        </w:rPr>
      </w:pPr>
    </w:p>
    <w:p w14:paraId="20803825" w14:textId="71F69A23" w:rsidR="004A7DCA" w:rsidRDefault="004A7DCA" w:rsidP="004A7DCA">
      <w:pPr>
        <w:rPr>
          <w:b/>
          <w:bCs/>
          <w:i/>
          <w:iCs/>
        </w:rPr>
      </w:pPr>
    </w:p>
    <w:p w14:paraId="25CC72F0" w14:textId="77777777" w:rsidR="007C7109" w:rsidRDefault="007C7109" w:rsidP="007C7109">
      <w:pPr>
        <w:rPr>
          <w:rFonts w:ascii="Arial" w:hAnsi="Arial" w:cs="Arial"/>
          <w:b/>
          <w:sz w:val="22"/>
          <w:szCs w:val="22"/>
        </w:rPr>
      </w:pPr>
      <w:r>
        <w:rPr>
          <w:rFonts w:ascii="Arial" w:hAnsi="Arial" w:cs="Arial"/>
          <w:b/>
          <w:sz w:val="22"/>
          <w:szCs w:val="22"/>
        </w:rPr>
        <w:t>There is NO Problem 2.  We decided the other 9 problems were enough.</w:t>
      </w:r>
    </w:p>
    <w:p w14:paraId="1346F3B2" w14:textId="77777777" w:rsidR="007C7109" w:rsidRDefault="007C7109">
      <w:pPr>
        <w:rPr>
          <w:b/>
        </w:rPr>
      </w:pPr>
      <w:r>
        <w:rPr>
          <w:b/>
        </w:rPr>
        <w:br w:type="page"/>
      </w:r>
    </w:p>
    <w:p w14:paraId="03A9A689" w14:textId="77777777" w:rsidR="003C60BC" w:rsidRDefault="004A7DCA" w:rsidP="003C60BC">
      <w:r>
        <w:rPr>
          <w:b/>
        </w:rPr>
        <w:lastRenderedPageBreak/>
        <w:t>3. Diagnosing Peripartum CHF with BNP</w:t>
      </w:r>
      <w:r w:rsidR="003C60BC">
        <w:rPr>
          <w:b/>
        </w:rPr>
        <w:t xml:space="preserve"> </w:t>
      </w:r>
      <w:r w:rsidR="003C60BC">
        <w:t xml:space="preserve"> [15 points]</w:t>
      </w:r>
    </w:p>
    <w:p w14:paraId="06BAD336" w14:textId="5D3C181C" w:rsidR="004A7DCA" w:rsidRDefault="004A7DCA" w:rsidP="004A7DCA">
      <w:r w:rsidRPr="00CB35EE">
        <w:t>(Thanks to Stephanie Frazin, Elia Rubio, Jessie Grubman)</w:t>
      </w:r>
    </w:p>
    <w:p w14:paraId="6575E055" w14:textId="77777777" w:rsidR="003C60BC" w:rsidRPr="00CB35EE" w:rsidRDefault="003C60BC" w:rsidP="004A7DCA"/>
    <w:p w14:paraId="0D7592CB" w14:textId="77777777" w:rsidR="004A7DCA" w:rsidRPr="007C7109" w:rsidRDefault="004A7DCA" w:rsidP="004A7DCA">
      <w:r w:rsidRPr="007C7109">
        <w:t>One of the leading causes of maternal morbidity and mortality in the United States is congestive heart failure (CHF). The incidence of CHF during pregnancy and shortly after delivery (the peripartum period) has consistently risen in the last decade; however, its diagnosis remains challenging. Symptoms of CHF include dyspnea (shortness of breath), fatigue, and lower extremity swelling, which also happen to be common features of normal pregnancy.  Echocardiogram (ultrasound of the woman’s heart) is a very accurate test for CHF but it is often unavailable, especially in emergent situations.</w:t>
      </w:r>
    </w:p>
    <w:p w14:paraId="728D1B48" w14:textId="77777777" w:rsidR="004A7DCA" w:rsidRPr="007C7109" w:rsidRDefault="004A7DCA" w:rsidP="004A7DCA">
      <w:pPr>
        <w:ind w:firstLine="720"/>
      </w:pPr>
    </w:p>
    <w:p w14:paraId="2A5C996F" w14:textId="77777777" w:rsidR="004A7DCA" w:rsidRPr="007C7109" w:rsidRDefault="004A7DCA" w:rsidP="004A7DCA">
      <w:r w:rsidRPr="007C7109">
        <w:t xml:space="preserve">B-type natriuretic peptide (BNP) is a hormone secreted by the myocardium (muscle of the heart) when the chambers of the heart stretch. It is used in non-pregnant people as a test for CHF, but it hasn’t been studied in peripartum women with symptoms suggestive of CHF.  </w:t>
      </w:r>
      <w:r w:rsidRPr="007C7109">
        <w:rPr>
          <w:bCs/>
        </w:rPr>
        <w:t>BNP is a continuous test.</w:t>
      </w:r>
    </w:p>
    <w:p w14:paraId="3D770FF7" w14:textId="77777777" w:rsidR="004A7DCA" w:rsidRPr="007C7109" w:rsidRDefault="004A7DCA" w:rsidP="004A7DCA"/>
    <w:p w14:paraId="1BAC4C00" w14:textId="1B30BCE0" w:rsidR="004A7DCA" w:rsidRPr="007C7109" w:rsidRDefault="004A7DCA" w:rsidP="004A7DCA">
      <w:r w:rsidRPr="007C7109">
        <w:t xml:space="preserve">Malhame et al </w:t>
      </w:r>
      <w:r w:rsidRPr="007C7109">
        <w:fldChar w:fldCharType="begin"/>
      </w:r>
      <w:r w:rsidRPr="007C7109">
        <w:instrText xml:space="preserve"> ADDIN EN.CITE &lt;EndNote&gt;&lt;Cite&gt;&lt;Author&gt;Malhame&lt;/Author&gt;&lt;Year&gt;2019&lt;/Year&gt;&lt;RecNum&gt;146&lt;/RecNum&gt;&lt;DisplayText&gt;(2)&lt;/DisplayText&gt;&lt;record&gt;&lt;rec-number&gt;146&lt;/rec-number&gt;&lt;foreign-keys&gt;&lt;key app="EN" db-id="5epaxpxwqzv9r0eat5w5dxd9a99xfafprdvs" timestamp="1574311694"&gt;146&lt;/key&gt;&lt;/foreign-keys&gt;&lt;ref-type name="Journal Article"&gt;17&lt;/ref-type&gt;&lt;contributors&gt;&lt;authors&gt;&lt;author&gt;Malhame, I.&lt;/author&gt;&lt;author&gt;Hurlburt, H.&lt;/author&gt;&lt;author&gt;Larson, L.&lt;/author&gt;&lt;author&gt;Poppas, A.&lt;/author&gt;&lt;author&gt;Nau, C.&lt;/author&gt;&lt;author&gt;Bourjeily, G.&lt;/author&gt;&lt;author&gt;Mehta, N.&lt;/author&gt;&lt;/authors&gt;&lt;/contributors&gt;&lt;auth-address&gt;Departments of Medicine and Obstetrics and Gynecology, Warren Alpert Medical School of Brown University, Women &amp;amp; Infants Hospital, Providence, Rhode Island; and the Department of Medicine, Harvard Medical School, Brigham and Women&amp;apos;s Cardiovascular Associates of Care New England, Boston, Massachusetts.&lt;/auth-address&gt;&lt;titles&gt;&lt;title&gt;Sensitivity and Specificity of B-Type Natriuretic Peptide in Diagnosing Heart Failure in Pregnancy&lt;/title&gt;&lt;secondary-title&gt;Obstet Gynecol&lt;/secondary-title&gt;&lt;/titles&gt;&lt;periodical&gt;&lt;full-title&gt;Obstet Gynecol&lt;/full-title&gt;&lt;/periodical&gt;&lt;pages&gt;440-449&lt;/pages&gt;&lt;volume&gt;134&lt;/volume&gt;&lt;number&gt;3&lt;/number&gt;&lt;edition&gt;2019/08/14&lt;/edition&gt;&lt;dates&gt;&lt;year&gt;2019&lt;/year&gt;&lt;pub-dates&gt;&lt;date&gt;Sep&lt;/date&gt;&lt;/pub-dates&gt;&lt;/dates&gt;&lt;isbn&gt;1873-233X (Electronic)&amp;#xD;0029-7844 (Linking)&lt;/isbn&gt;&lt;accession-num&gt;31403607&lt;/accession-num&gt;&lt;urls&gt;&lt;related-urls&gt;&lt;url&gt;https://www.ncbi.nlm.nih.gov/pubmed/31403607&lt;/url&gt;&lt;/related-urls&gt;&lt;/urls&gt;&lt;electronic-resource-num&gt;10.1097/AOG.0000000000003419&lt;/electronic-resource-num&gt;&lt;/record&gt;&lt;/Cite&gt;&lt;/EndNote&gt;</w:instrText>
      </w:r>
      <w:r w:rsidRPr="007C7109">
        <w:fldChar w:fldCharType="separate"/>
      </w:r>
      <w:r w:rsidRPr="007C7109">
        <w:rPr>
          <w:noProof/>
        </w:rPr>
        <w:t>(2)</w:t>
      </w:r>
      <w:r w:rsidRPr="007C7109">
        <w:fldChar w:fldCharType="end"/>
      </w:r>
      <w:r w:rsidRPr="007C7109">
        <w:t xml:space="preserve"> performed a study to determine the accuracy of BNP in diagnosing heart failure in the peripartum period.  The index test was the BNP level and gold standard for peripartum CHF was a consensus diagnosis by two cardiovascular disease experts using echocardiogram and clinical features but blinded to BNP.</w:t>
      </w:r>
    </w:p>
    <w:p w14:paraId="3BEC6A9A" w14:textId="77777777" w:rsidR="004A7DCA" w:rsidRPr="007C7109" w:rsidRDefault="004A7DCA" w:rsidP="004A7DCA">
      <w:pPr>
        <w:ind w:firstLine="720"/>
      </w:pPr>
    </w:p>
    <w:p w14:paraId="77C25E2C" w14:textId="7D6110DE" w:rsidR="004A7DCA" w:rsidRPr="007C7109" w:rsidRDefault="004A7DCA" w:rsidP="004A7DCA">
      <w:pPr>
        <w:rPr>
          <w:bCs/>
        </w:rPr>
      </w:pPr>
      <w:r w:rsidRPr="007C7109">
        <w:rPr>
          <w:bCs/>
        </w:rPr>
        <w:t>The authors reported the sensitivity, specificity, positive and negative LR(+), and LR(-) at multiple possible cutoffs as shown in their Table 3 below. The cutoff of 111 pg/mL was considered “optimal” by the authors because it maximized Youden’s Index.</w:t>
      </w:r>
    </w:p>
    <w:p w14:paraId="76A3C214" w14:textId="0FD10678" w:rsidR="004A7DCA" w:rsidRPr="007C7109" w:rsidRDefault="00A94B43" w:rsidP="004A7DCA">
      <w:pPr>
        <w:ind w:left="720"/>
        <w:rPr>
          <w:b/>
        </w:rPr>
      </w:pPr>
      <w:r w:rsidRPr="007C7109">
        <w:rPr>
          <w:b/>
          <w:noProof/>
        </w:rPr>
        <w:drawing>
          <wp:anchor distT="0" distB="0" distL="114300" distR="114300" simplePos="0" relativeHeight="251670528" behindDoc="0" locked="0" layoutInCell="1" allowOverlap="1" wp14:anchorId="5AFD41F2" wp14:editId="3D145081">
            <wp:simplePos x="0" y="0"/>
            <wp:positionH relativeFrom="column">
              <wp:posOffset>43180</wp:posOffset>
            </wp:positionH>
            <wp:positionV relativeFrom="paragraph">
              <wp:posOffset>188595</wp:posOffset>
            </wp:positionV>
            <wp:extent cx="6115050" cy="2381250"/>
            <wp:effectExtent l="0" t="0" r="6350" b="6350"/>
            <wp:wrapTopAndBottom/>
            <wp:docPr id="1" name="image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115050" cy="2381250"/>
                    </a:xfrm>
                    <a:prstGeom prst="rect">
                      <a:avLst/>
                    </a:prstGeom>
                    <a:ln/>
                  </pic:spPr>
                </pic:pic>
              </a:graphicData>
            </a:graphic>
            <wp14:sizeRelH relativeFrom="page">
              <wp14:pctWidth>0</wp14:pctWidth>
            </wp14:sizeRelH>
            <wp14:sizeRelV relativeFrom="page">
              <wp14:pctHeight>0</wp14:pctHeight>
            </wp14:sizeRelV>
          </wp:anchor>
        </w:drawing>
      </w:r>
    </w:p>
    <w:p w14:paraId="03598277" w14:textId="60F1D9C5" w:rsidR="00A94B43" w:rsidRDefault="00A94B43">
      <w:pPr>
        <w:rPr>
          <w:b/>
        </w:rPr>
      </w:pPr>
      <w:r>
        <w:rPr>
          <w:b/>
        </w:rPr>
        <w:br w:type="page"/>
      </w:r>
    </w:p>
    <w:p w14:paraId="393C52E7" w14:textId="77777777" w:rsidR="004A7DCA" w:rsidRPr="007C7109" w:rsidRDefault="004A7DCA" w:rsidP="004A7DCA">
      <w:pPr>
        <w:ind w:left="720"/>
        <w:rPr>
          <w:b/>
        </w:rPr>
      </w:pPr>
    </w:p>
    <w:p w14:paraId="1BEEB2D3" w14:textId="77777777" w:rsidR="004A7DCA" w:rsidRPr="007C7109" w:rsidRDefault="004A7DCA" w:rsidP="004A7DCA">
      <w:pPr>
        <w:numPr>
          <w:ilvl w:val="0"/>
          <w:numId w:val="34"/>
        </w:numPr>
        <w:spacing w:line="276" w:lineRule="auto"/>
        <w:ind w:hanging="270"/>
        <w:rPr>
          <w:bCs/>
        </w:rPr>
      </w:pPr>
      <w:r w:rsidRPr="007C7109">
        <w:rPr>
          <w:bCs/>
        </w:rPr>
        <w:t>A patient who presents with pretest probability of 30% for peripartum CHF, and is found to have a BNP of 250 pg/mL. Which of the published LRs should you use to calculate post-test probability? [1]</w:t>
      </w:r>
    </w:p>
    <w:p w14:paraId="2F4F06D8" w14:textId="77777777" w:rsidR="004A7DCA" w:rsidRPr="007C7109" w:rsidRDefault="004A7DCA" w:rsidP="004A7DCA">
      <w:pPr>
        <w:ind w:left="450"/>
        <w:rPr>
          <w:b/>
        </w:rPr>
      </w:pPr>
    </w:p>
    <w:p w14:paraId="05C65D2C" w14:textId="77777777" w:rsidR="004A7DCA" w:rsidRPr="007C7109" w:rsidRDefault="004A7DCA" w:rsidP="004A7DCA">
      <w:pPr>
        <w:ind w:left="450"/>
        <w:rPr>
          <w:b/>
        </w:rPr>
      </w:pPr>
      <w:r w:rsidRPr="007C7109">
        <w:rPr>
          <w:b/>
        </w:rPr>
        <w:t xml:space="preserve">i) </w:t>
      </w:r>
      <w:r w:rsidRPr="007C7109">
        <w:rPr>
          <w:bCs/>
        </w:rPr>
        <w:t>2.6 because 250 &gt; 200</w:t>
      </w:r>
    </w:p>
    <w:p w14:paraId="25F10627" w14:textId="77777777" w:rsidR="004A7DCA" w:rsidRPr="007C7109" w:rsidRDefault="004A7DCA" w:rsidP="004A7DCA">
      <w:pPr>
        <w:ind w:left="450"/>
        <w:rPr>
          <w:b/>
        </w:rPr>
      </w:pPr>
      <w:r w:rsidRPr="007C7109">
        <w:rPr>
          <w:b/>
        </w:rPr>
        <w:t xml:space="preserve">ii) </w:t>
      </w:r>
      <w:r w:rsidRPr="007C7109">
        <w:rPr>
          <w:bCs/>
        </w:rPr>
        <w:t>0.5 because 250 &lt; 300</w:t>
      </w:r>
    </w:p>
    <w:p w14:paraId="2A85BD3E" w14:textId="77777777" w:rsidR="004A7DCA" w:rsidRPr="007C7109" w:rsidRDefault="004A7DCA" w:rsidP="004A7DCA">
      <w:pPr>
        <w:ind w:left="450"/>
        <w:rPr>
          <w:bCs/>
        </w:rPr>
      </w:pPr>
      <w:r w:rsidRPr="007C7109">
        <w:rPr>
          <w:b/>
        </w:rPr>
        <w:t xml:space="preserve">iii) </w:t>
      </w:r>
      <w:r w:rsidRPr="007C7109">
        <w:rPr>
          <w:bCs/>
        </w:rPr>
        <w:t>2.5 because 250 &gt; 111 (the “optimal” cutoff)</w:t>
      </w:r>
    </w:p>
    <w:p w14:paraId="67B9BA67" w14:textId="77777777" w:rsidR="004A7DCA" w:rsidRPr="007C7109" w:rsidRDefault="004A7DCA" w:rsidP="004A7DCA">
      <w:pPr>
        <w:ind w:left="450"/>
        <w:rPr>
          <w:bCs/>
        </w:rPr>
      </w:pPr>
      <w:r w:rsidRPr="007C7109">
        <w:rPr>
          <w:b/>
        </w:rPr>
        <w:t xml:space="preserve">iv) </w:t>
      </w:r>
      <w:r w:rsidRPr="007C7109">
        <w:rPr>
          <w:bCs/>
        </w:rPr>
        <w:t>0.8 because 250 &lt; 500</w:t>
      </w:r>
    </w:p>
    <w:p w14:paraId="5B30FB2D" w14:textId="77777777" w:rsidR="004A7DCA" w:rsidRPr="007C7109" w:rsidRDefault="004A7DCA" w:rsidP="004A7DCA">
      <w:pPr>
        <w:ind w:left="450"/>
        <w:rPr>
          <w:bCs/>
        </w:rPr>
      </w:pPr>
      <w:r w:rsidRPr="007C7109">
        <w:rPr>
          <w:b/>
        </w:rPr>
        <w:t xml:space="preserve">v) </w:t>
      </w:r>
      <w:r w:rsidRPr="007C7109">
        <w:rPr>
          <w:bCs/>
        </w:rPr>
        <w:t>None of the above</w:t>
      </w:r>
    </w:p>
    <w:p w14:paraId="0120CD8F" w14:textId="77777777" w:rsidR="004A7DCA" w:rsidRPr="007C7109" w:rsidRDefault="004A7DCA" w:rsidP="004A7DCA">
      <w:pPr>
        <w:ind w:left="450"/>
        <w:rPr>
          <w:bCs/>
        </w:rPr>
      </w:pPr>
    </w:p>
    <w:p w14:paraId="15D08A46" w14:textId="77777777" w:rsidR="004A7DCA" w:rsidRPr="007C7109" w:rsidRDefault="004A7DCA" w:rsidP="004A7DCA">
      <w:pPr>
        <w:ind w:left="450"/>
        <w:rPr>
          <w:b/>
          <w:i/>
          <w:iCs/>
        </w:rPr>
      </w:pPr>
    </w:p>
    <w:p w14:paraId="7C554C3C" w14:textId="77777777" w:rsidR="004A7DCA" w:rsidRPr="007C7109" w:rsidRDefault="004A7DCA" w:rsidP="004A7DCA">
      <w:pPr>
        <w:ind w:left="450"/>
        <w:rPr>
          <w:bCs/>
        </w:rPr>
      </w:pPr>
      <w:r w:rsidRPr="007C7109">
        <w:rPr>
          <w:bCs/>
        </w:rPr>
        <w:t xml:space="preserve">Little is lost by reducing Table 3 above to just 2 rows, the row corresponding to a cutoff of 500 pg/mL and the row corresponding to a cutoff of 100 pg/mL.  Ignore the other rows.  </w:t>
      </w:r>
    </w:p>
    <w:p w14:paraId="6F5A8B76" w14:textId="77777777" w:rsidR="004A7DCA" w:rsidRPr="007C7109" w:rsidRDefault="004A7DCA" w:rsidP="004A7DCA">
      <w:pPr>
        <w:ind w:left="450"/>
        <w:rPr>
          <w:bCs/>
        </w:rPr>
      </w:pPr>
    </w:p>
    <w:p w14:paraId="7FA51CD5" w14:textId="77777777" w:rsidR="004A7DCA" w:rsidRPr="007C7109" w:rsidRDefault="004A7DCA" w:rsidP="004A7DCA">
      <w:pPr>
        <w:ind w:left="450"/>
        <w:rPr>
          <w:bCs/>
        </w:rPr>
      </w:pPr>
      <w:r w:rsidRPr="007C7109">
        <w:rPr>
          <w:bCs/>
        </w:rPr>
        <w:t xml:space="preserve">To be absolutely clear, here is the </w:t>
      </w:r>
      <w:r w:rsidRPr="007C7109">
        <w:rPr>
          <w:b/>
          <w:u w:val="single"/>
        </w:rPr>
        <w:t>simplified table</w:t>
      </w:r>
      <w:r w:rsidRPr="007C7109">
        <w:rPr>
          <w:bCs/>
        </w:rPr>
        <w:t xml:space="preserve"> we want you to use for the rest of this problem:</w:t>
      </w:r>
    </w:p>
    <w:p w14:paraId="7C501807" w14:textId="77777777" w:rsidR="004A7DCA" w:rsidRPr="007C7109" w:rsidRDefault="004A7DCA" w:rsidP="004A7DCA">
      <w:pPr>
        <w:ind w:left="450"/>
        <w:rPr>
          <w:bCs/>
        </w:rPr>
      </w:pPr>
    </w:p>
    <w:tbl>
      <w:tblPr>
        <w:tblW w:w="3900" w:type="dxa"/>
        <w:tblInd w:w="2280" w:type="dxa"/>
        <w:tblLook w:val="04A0" w:firstRow="1" w:lastRow="0" w:firstColumn="1" w:lastColumn="0" w:noHBand="0" w:noVBand="1"/>
      </w:tblPr>
      <w:tblGrid>
        <w:gridCol w:w="1300"/>
        <w:gridCol w:w="1300"/>
        <w:gridCol w:w="1300"/>
      </w:tblGrid>
      <w:tr w:rsidR="004A7DCA" w:rsidRPr="00755473" w14:paraId="25AC48A7" w14:textId="77777777" w:rsidTr="003C60BC">
        <w:trPr>
          <w:trHeight w:val="600"/>
        </w:trPr>
        <w:tc>
          <w:tcPr>
            <w:tcW w:w="1300" w:type="dxa"/>
            <w:tcBorders>
              <w:top w:val="nil"/>
              <w:left w:val="nil"/>
              <w:bottom w:val="single" w:sz="4" w:space="0" w:color="auto"/>
              <w:right w:val="nil"/>
            </w:tcBorders>
            <w:shd w:val="clear" w:color="auto" w:fill="auto"/>
            <w:vAlign w:val="bottom"/>
            <w:hideMark/>
          </w:tcPr>
          <w:p w14:paraId="27B6C01A" w14:textId="77777777" w:rsidR="004A7DCA" w:rsidRPr="00755473" w:rsidRDefault="004A7DCA" w:rsidP="003C60BC">
            <w:pPr>
              <w:rPr>
                <w:rFonts w:ascii="Calibri" w:eastAsia="Times New Roman" w:hAnsi="Calibri" w:cs="Calibri"/>
                <w:color w:val="000000"/>
              </w:rPr>
            </w:pPr>
            <w:r w:rsidRPr="00755473">
              <w:rPr>
                <w:rFonts w:ascii="Calibri" w:eastAsia="Times New Roman" w:hAnsi="Calibri" w:cs="Calibri"/>
                <w:color w:val="000000"/>
              </w:rPr>
              <w:t>BNP Cutoff (pg/mL)</w:t>
            </w:r>
          </w:p>
        </w:tc>
        <w:tc>
          <w:tcPr>
            <w:tcW w:w="1300" w:type="dxa"/>
            <w:tcBorders>
              <w:top w:val="nil"/>
              <w:left w:val="nil"/>
              <w:bottom w:val="single" w:sz="4" w:space="0" w:color="auto"/>
              <w:right w:val="nil"/>
            </w:tcBorders>
            <w:shd w:val="clear" w:color="auto" w:fill="auto"/>
            <w:noWrap/>
            <w:vAlign w:val="bottom"/>
            <w:hideMark/>
          </w:tcPr>
          <w:p w14:paraId="28F46D27" w14:textId="77777777" w:rsidR="004A7DCA" w:rsidRPr="00755473" w:rsidRDefault="004A7DCA" w:rsidP="003C60BC">
            <w:pPr>
              <w:rPr>
                <w:rFonts w:ascii="Calibri" w:eastAsia="Times New Roman" w:hAnsi="Calibri" w:cs="Calibri"/>
                <w:color w:val="000000"/>
              </w:rPr>
            </w:pPr>
            <w:r w:rsidRPr="00755473">
              <w:rPr>
                <w:rFonts w:ascii="Calibri" w:eastAsia="Times New Roman" w:hAnsi="Calibri" w:cs="Calibri"/>
                <w:color w:val="000000"/>
              </w:rPr>
              <w:t>Sensitivity</w:t>
            </w:r>
          </w:p>
        </w:tc>
        <w:tc>
          <w:tcPr>
            <w:tcW w:w="1300" w:type="dxa"/>
            <w:tcBorders>
              <w:top w:val="nil"/>
              <w:left w:val="nil"/>
              <w:bottom w:val="single" w:sz="4" w:space="0" w:color="auto"/>
              <w:right w:val="nil"/>
            </w:tcBorders>
            <w:shd w:val="clear" w:color="auto" w:fill="auto"/>
            <w:noWrap/>
            <w:vAlign w:val="bottom"/>
            <w:hideMark/>
          </w:tcPr>
          <w:p w14:paraId="440C447D" w14:textId="77777777" w:rsidR="004A7DCA" w:rsidRPr="00755473" w:rsidRDefault="004A7DCA" w:rsidP="003C60BC">
            <w:pPr>
              <w:rPr>
                <w:rFonts w:ascii="Calibri" w:eastAsia="Times New Roman" w:hAnsi="Calibri" w:cs="Calibri"/>
                <w:color w:val="000000"/>
              </w:rPr>
            </w:pPr>
            <w:r w:rsidRPr="00755473">
              <w:rPr>
                <w:rFonts w:ascii="Calibri" w:eastAsia="Times New Roman" w:hAnsi="Calibri" w:cs="Calibri"/>
                <w:color w:val="000000"/>
              </w:rPr>
              <w:t>Specificity</w:t>
            </w:r>
          </w:p>
        </w:tc>
      </w:tr>
      <w:tr w:rsidR="004A7DCA" w:rsidRPr="00755473" w14:paraId="466E20FF" w14:textId="77777777" w:rsidTr="003C60BC">
        <w:trPr>
          <w:trHeight w:val="480"/>
        </w:trPr>
        <w:tc>
          <w:tcPr>
            <w:tcW w:w="1300" w:type="dxa"/>
            <w:tcBorders>
              <w:top w:val="nil"/>
              <w:left w:val="nil"/>
              <w:bottom w:val="nil"/>
              <w:right w:val="nil"/>
            </w:tcBorders>
            <w:shd w:val="clear" w:color="auto" w:fill="auto"/>
            <w:noWrap/>
            <w:vAlign w:val="bottom"/>
            <w:hideMark/>
          </w:tcPr>
          <w:p w14:paraId="5D6BEEF4" w14:textId="77777777" w:rsidR="004A7DCA" w:rsidRPr="00755473" w:rsidRDefault="004A7DCA" w:rsidP="003C60BC">
            <w:pPr>
              <w:jc w:val="right"/>
              <w:rPr>
                <w:rFonts w:ascii="Calibri" w:eastAsia="Times New Roman" w:hAnsi="Calibri" w:cs="Calibri"/>
                <w:color w:val="000000"/>
              </w:rPr>
            </w:pPr>
            <w:r w:rsidRPr="00755473">
              <w:rPr>
                <w:rFonts w:ascii="Calibri" w:eastAsia="Times New Roman" w:hAnsi="Calibri" w:cs="Calibri"/>
                <w:color w:val="000000"/>
              </w:rPr>
              <w:t>100</w:t>
            </w:r>
          </w:p>
        </w:tc>
        <w:tc>
          <w:tcPr>
            <w:tcW w:w="1300" w:type="dxa"/>
            <w:tcBorders>
              <w:top w:val="nil"/>
              <w:left w:val="nil"/>
              <w:bottom w:val="nil"/>
              <w:right w:val="nil"/>
            </w:tcBorders>
            <w:shd w:val="clear" w:color="auto" w:fill="auto"/>
            <w:noWrap/>
            <w:vAlign w:val="bottom"/>
            <w:hideMark/>
          </w:tcPr>
          <w:p w14:paraId="10BB0100" w14:textId="77777777" w:rsidR="004A7DCA" w:rsidRPr="00755473" w:rsidRDefault="004A7DCA" w:rsidP="003C60BC">
            <w:pPr>
              <w:jc w:val="right"/>
              <w:rPr>
                <w:rFonts w:ascii="Calibri" w:eastAsia="Times New Roman" w:hAnsi="Calibri" w:cs="Calibri"/>
                <w:color w:val="000000"/>
              </w:rPr>
            </w:pPr>
            <w:r w:rsidRPr="00755473">
              <w:rPr>
                <w:rFonts w:ascii="Calibri" w:eastAsia="Times New Roman" w:hAnsi="Calibri" w:cs="Calibri"/>
                <w:color w:val="000000"/>
              </w:rPr>
              <w:t>95%</w:t>
            </w:r>
          </w:p>
        </w:tc>
        <w:tc>
          <w:tcPr>
            <w:tcW w:w="1300" w:type="dxa"/>
            <w:tcBorders>
              <w:top w:val="nil"/>
              <w:left w:val="nil"/>
              <w:bottom w:val="nil"/>
              <w:right w:val="nil"/>
            </w:tcBorders>
            <w:shd w:val="clear" w:color="auto" w:fill="auto"/>
            <w:noWrap/>
            <w:vAlign w:val="bottom"/>
            <w:hideMark/>
          </w:tcPr>
          <w:p w14:paraId="7122283A" w14:textId="77777777" w:rsidR="004A7DCA" w:rsidRPr="00755473" w:rsidRDefault="004A7DCA" w:rsidP="003C60BC">
            <w:pPr>
              <w:jc w:val="right"/>
              <w:rPr>
                <w:rFonts w:ascii="Calibri" w:eastAsia="Times New Roman" w:hAnsi="Calibri" w:cs="Calibri"/>
                <w:color w:val="000000"/>
              </w:rPr>
            </w:pPr>
            <w:r w:rsidRPr="00755473">
              <w:rPr>
                <w:rFonts w:ascii="Calibri" w:eastAsia="Times New Roman" w:hAnsi="Calibri" w:cs="Calibri"/>
                <w:color w:val="000000"/>
              </w:rPr>
              <w:t>52%</w:t>
            </w:r>
          </w:p>
        </w:tc>
      </w:tr>
      <w:tr w:rsidR="004A7DCA" w:rsidRPr="00755473" w14:paraId="74D7F77E" w14:textId="77777777" w:rsidTr="003C60BC">
        <w:trPr>
          <w:trHeight w:val="320"/>
        </w:trPr>
        <w:tc>
          <w:tcPr>
            <w:tcW w:w="1300" w:type="dxa"/>
            <w:tcBorders>
              <w:top w:val="nil"/>
              <w:left w:val="nil"/>
              <w:bottom w:val="single" w:sz="4" w:space="0" w:color="auto"/>
              <w:right w:val="nil"/>
            </w:tcBorders>
            <w:shd w:val="clear" w:color="auto" w:fill="auto"/>
            <w:noWrap/>
            <w:vAlign w:val="bottom"/>
            <w:hideMark/>
          </w:tcPr>
          <w:p w14:paraId="09F4AE15" w14:textId="77777777" w:rsidR="004A7DCA" w:rsidRPr="00755473" w:rsidRDefault="004A7DCA" w:rsidP="003C60BC">
            <w:pPr>
              <w:jc w:val="right"/>
              <w:rPr>
                <w:rFonts w:ascii="Calibri" w:eastAsia="Times New Roman" w:hAnsi="Calibri" w:cs="Calibri"/>
                <w:color w:val="000000"/>
              </w:rPr>
            </w:pPr>
            <w:r w:rsidRPr="00755473">
              <w:rPr>
                <w:rFonts w:ascii="Calibri" w:eastAsia="Times New Roman" w:hAnsi="Calibri" w:cs="Calibri"/>
                <w:color w:val="000000"/>
              </w:rPr>
              <w:t>500</w:t>
            </w:r>
          </w:p>
        </w:tc>
        <w:tc>
          <w:tcPr>
            <w:tcW w:w="1300" w:type="dxa"/>
            <w:tcBorders>
              <w:top w:val="nil"/>
              <w:left w:val="nil"/>
              <w:bottom w:val="single" w:sz="4" w:space="0" w:color="auto"/>
              <w:right w:val="nil"/>
            </w:tcBorders>
            <w:shd w:val="clear" w:color="auto" w:fill="auto"/>
            <w:noWrap/>
            <w:vAlign w:val="bottom"/>
            <w:hideMark/>
          </w:tcPr>
          <w:p w14:paraId="0AC70E22" w14:textId="77777777" w:rsidR="004A7DCA" w:rsidRPr="00755473" w:rsidRDefault="004A7DCA" w:rsidP="003C60BC">
            <w:pPr>
              <w:jc w:val="right"/>
              <w:rPr>
                <w:rFonts w:ascii="Calibri" w:eastAsia="Times New Roman" w:hAnsi="Calibri" w:cs="Calibri"/>
                <w:color w:val="000000"/>
              </w:rPr>
            </w:pPr>
            <w:r w:rsidRPr="00755473">
              <w:rPr>
                <w:rFonts w:ascii="Calibri" w:eastAsia="Times New Roman" w:hAnsi="Calibri" w:cs="Calibri"/>
                <w:color w:val="000000"/>
              </w:rPr>
              <w:t>42%</w:t>
            </w:r>
          </w:p>
        </w:tc>
        <w:tc>
          <w:tcPr>
            <w:tcW w:w="1300" w:type="dxa"/>
            <w:tcBorders>
              <w:top w:val="nil"/>
              <w:left w:val="nil"/>
              <w:bottom w:val="single" w:sz="4" w:space="0" w:color="auto"/>
              <w:right w:val="nil"/>
            </w:tcBorders>
            <w:shd w:val="clear" w:color="auto" w:fill="auto"/>
            <w:noWrap/>
            <w:vAlign w:val="bottom"/>
            <w:hideMark/>
          </w:tcPr>
          <w:p w14:paraId="1175F22A" w14:textId="77777777" w:rsidR="004A7DCA" w:rsidRPr="00755473" w:rsidRDefault="004A7DCA" w:rsidP="003C60BC">
            <w:pPr>
              <w:jc w:val="right"/>
              <w:rPr>
                <w:rFonts w:ascii="Calibri" w:eastAsia="Times New Roman" w:hAnsi="Calibri" w:cs="Calibri"/>
                <w:color w:val="000000"/>
              </w:rPr>
            </w:pPr>
            <w:r w:rsidRPr="00755473">
              <w:rPr>
                <w:rFonts w:ascii="Calibri" w:eastAsia="Times New Roman" w:hAnsi="Calibri" w:cs="Calibri"/>
                <w:color w:val="000000"/>
              </w:rPr>
              <w:t>95%</w:t>
            </w:r>
          </w:p>
        </w:tc>
      </w:tr>
    </w:tbl>
    <w:p w14:paraId="1C3E8C7E" w14:textId="77777777" w:rsidR="004A7DCA" w:rsidRDefault="004A7DCA" w:rsidP="004A7DCA">
      <w:pPr>
        <w:ind w:left="450"/>
        <w:rPr>
          <w:bCs/>
          <w:sz w:val="20"/>
          <w:szCs w:val="20"/>
        </w:rPr>
      </w:pPr>
    </w:p>
    <w:p w14:paraId="26A09105" w14:textId="77777777" w:rsidR="004A7DCA" w:rsidRDefault="004A7DCA" w:rsidP="004A7DCA">
      <w:pPr>
        <w:ind w:left="450"/>
        <w:rPr>
          <w:bCs/>
          <w:sz w:val="20"/>
          <w:szCs w:val="20"/>
        </w:rPr>
      </w:pPr>
    </w:p>
    <w:p w14:paraId="78E83F16" w14:textId="77777777" w:rsidR="004A7DCA" w:rsidRPr="008A37D4" w:rsidRDefault="004A7DCA" w:rsidP="004A7DCA">
      <w:pPr>
        <w:numPr>
          <w:ilvl w:val="0"/>
          <w:numId w:val="34"/>
        </w:numPr>
        <w:spacing w:line="276" w:lineRule="auto"/>
        <w:ind w:hanging="270"/>
        <w:rPr>
          <w:bCs/>
        </w:rPr>
      </w:pPr>
      <w:r w:rsidRPr="008A37D4">
        <w:rPr>
          <w:bCs/>
        </w:rPr>
        <w:t xml:space="preserve">Given the results the </w:t>
      </w:r>
      <w:r w:rsidRPr="008A37D4">
        <w:rPr>
          <w:b/>
          <w:u w:val="single"/>
        </w:rPr>
        <w:t>simplified 2-row table</w:t>
      </w:r>
      <w:r w:rsidRPr="008A37D4">
        <w:rPr>
          <w:bCs/>
        </w:rPr>
        <w:t xml:space="preserve"> shown above, calculate the post test probability of CHF in the patient from (a) with a BNP of 250 pg/mL [3]</w:t>
      </w:r>
    </w:p>
    <w:p w14:paraId="00C919C5" w14:textId="77777777" w:rsidR="004A7DCA" w:rsidRPr="008A37D4" w:rsidRDefault="004A7DCA" w:rsidP="004A7DCA">
      <w:pPr>
        <w:ind w:left="450"/>
        <w:rPr>
          <w:bCs/>
        </w:rPr>
      </w:pPr>
    </w:p>
    <w:p w14:paraId="69AC59FC" w14:textId="77777777" w:rsidR="004A7DCA" w:rsidRPr="008A37D4" w:rsidRDefault="004A7DCA" w:rsidP="004A7DCA">
      <w:pPr>
        <w:rPr>
          <w:rFonts w:eastAsia="Times New Roman"/>
        </w:rPr>
      </w:pPr>
    </w:p>
    <w:p w14:paraId="140500A0" w14:textId="77777777" w:rsidR="004A7DCA" w:rsidRPr="008A37D4" w:rsidRDefault="004A7DCA" w:rsidP="004A7DCA">
      <w:pPr>
        <w:rPr>
          <w:iCs/>
        </w:rPr>
      </w:pPr>
      <w:r w:rsidRPr="008A37D4">
        <w:rPr>
          <w:bCs/>
        </w:rPr>
        <w:t>Somebody who hasn’t taken Epi 204 decides to treat</w:t>
      </w:r>
      <w:r w:rsidRPr="008A37D4">
        <w:rPr>
          <w:iCs/>
        </w:rPr>
        <w:t xml:space="preserve"> BNP as a dichotomous test with a cutoff of 500 pg/mL, so this person considers a BNP </w:t>
      </w:r>
      <w:r w:rsidRPr="008A37D4">
        <w:sym w:font="Symbol" w:char="F0B3"/>
      </w:r>
      <w:r w:rsidRPr="008A37D4">
        <w:rPr>
          <w:iCs/>
        </w:rPr>
        <w:t xml:space="preserve"> 500 pg/mL as positive for CHF and a BNP &lt; 500 negative for CHF. </w:t>
      </w:r>
    </w:p>
    <w:p w14:paraId="1EF5B911" w14:textId="77777777" w:rsidR="004A7DCA" w:rsidRPr="008A37D4" w:rsidRDefault="004A7DCA" w:rsidP="004A7DCA">
      <w:pPr>
        <w:rPr>
          <w:iCs/>
        </w:rPr>
      </w:pPr>
    </w:p>
    <w:p w14:paraId="53C98AD4" w14:textId="63D8E5B7" w:rsidR="004A7DCA" w:rsidRPr="008A37D4" w:rsidRDefault="004A7DCA" w:rsidP="004A7DCA">
      <w:pPr>
        <w:pStyle w:val="ListParagraph"/>
        <w:numPr>
          <w:ilvl w:val="0"/>
          <w:numId w:val="34"/>
        </w:numPr>
        <w:rPr>
          <w:iCs/>
        </w:rPr>
      </w:pPr>
      <w:r w:rsidRPr="008A37D4">
        <w:rPr>
          <w:iCs/>
        </w:rPr>
        <w:t>Repeat part (b) using this dichotomous BNP, i.e. calculate the post-test probability based only on the information that your patient’s BNP result is &lt; 500 pg/mL.  If you get a different post-test probability from (b), explain why. [3]</w:t>
      </w:r>
    </w:p>
    <w:p w14:paraId="75DFD60E" w14:textId="77777777" w:rsidR="004A7DCA" w:rsidRPr="008A37D4" w:rsidRDefault="004A7DCA" w:rsidP="004A7DCA">
      <w:pPr>
        <w:pStyle w:val="ListParagraph"/>
        <w:ind w:left="450"/>
        <w:rPr>
          <w:iCs/>
        </w:rPr>
      </w:pPr>
    </w:p>
    <w:p w14:paraId="36953F13" w14:textId="77777777" w:rsidR="004A7DCA" w:rsidRPr="008A37D4" w:rsidRDefault="004A7DCA" w:rsidP="004A7DCA">
      <w:pPr>
        <w:ind w:left="450"/>
        <w:rPr>
          <w:i/>
        </w:rPr>
      </w:pPr>
    </w:p>
    <w:p w14:paraId="16A19033" w14:textId="77777777" w:rsidR="004A7DCA" w:rsidRPr="008A37D4" w:rsidRDefault="004A7DCA" w:rsidP="004A7DCA">
      <w:pPr>
        <w:rPr>
          <w:i/>
        </w:rPr>
      </w:pPr>
    </w:p>
    <w:p w14:paraId="4F25B544" w14:textId="77777777" w:rsidR="004A7DCA" w:rsidRPr="008A37D4" w:rsidRDefault="004A7DCA" w:rsidP="004A7DCA">
      <w:pPr>
        <w:pStyle w:val="ListParagraph"/>
        <w:numPr>
          <w:ilvl w:val="0"/>
          <w:numId w:val="34"/>
        </w:numPr>
        <w:spacing w:line="276" w:lineRule="auto"/>
        <w:rPr>
          <w:bCs/>
        </w:rPr>
      </w:pPr>
      <w:r w:rsidRPr="008A37D4">
        <w:rPr>
          <w:bCs/>
        </w:rPr>
        <w:t xml:space="preserve">Use the data in the </w:t>
      </w:r>
      <w:r w:rsidRPr="008A37D4">
        <w:rPr>
          <w:b/>
          <w:u w:val="single"/>
        </w:rPr>
        <w:t>simplified table</w:t>
      </w:r>
      <w:r w:rsidRPr="008A37D4">
        <w:rPr>
          <w:bCs/>
        </w:rPr>
        <w:t xml:space="preserve"> above and the grid below to </w:t>
      </w:r>
      <w:r w:rsidRPr="00A94B43">
        <w:rPr>
          <w:bCs/>
          <w:u w:val="single"/>
        </w:rPr>
        <w:t>label the axes</w:t>
      </w:r>
      <w:r w:rsidRPr="008A37D4">
        <w:rPr>
          <w:bCs/>
        </w:rPr>
        <w:t xml:space="preserve"> and plot an ROC curve for BNP as a test for peripartum CHF.  If it’s easier, feel free to create your own grid rather than use ours. [3]</w:t>
      </w:r>
    </w:p>
    <w:p w14:paraId="74A7C924" w14:textId="77777777" w:rsidR="004A7DCA" w:rsidRPr="008A37D4" w:rsidRDefault="004A7DCA" w:rsidP="004A7DCA">
      <w:pPr>
        <w:pStyle w:val="ListParagraph"/>
        <w:ind w:left="450"/>
        <w:rPr>
          <w:bCs/>
        </w:rPr>
      </w:pPr>
    </w:p>
    <w:p w14:paraId="63DC694E" w14:textId="77777777" w:rsidR="004A7DCA" w:rsidRDefault="004A7DCA" w:rsidP="004A7DCA">
      <w:pPr>
        <w:pStyle w:val="ListParagraph"/>
        <w:ind w:left="450"/>
        <w:rPr>
          <w:bCs/>
          <w:sz w:val="20"/>
          <w:szCs w:val="20"/>
        </w:rPr>
      </w:pPr>
      <w:r>
        <w:rPr>
          <w:bCs/>
          <w:noProof/>
          <w:sz w:val="20"/>
          <w:szCs w:val="20"/>
        </w:rPr>
        <w:lastRenderedPageBreak/>
        <w:drawing>
          <wp:inline distT="0" distB="0" distL="0" distR="0" wp14:anchorId="33182243" wp14:editId="3FE744EC">
            <wp:extent cx="5239905" cy="3740150"/>
            <wp:effectExtent l="0" t="0" r="5715" b="0"/>
            <wp:docPr id="5" name="Picture 5" descr="A close up of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3Grid.png"/>
                    <pic:cNvPicPr/>
                  </pic:nvPicPr>
                  <pic:blipFill>
                    <a:blip r:embed="rId9">
                      <a:extLst>
                        <a:ext uri="{28A0092B-C50C-407E-A947-70E740481C1C}">
                          <a14:useLocalDpi xmlns:a14="http://schemas.microsoft.com/office/drawing/2010/main" val="0"/>
                        </a:ext>
                      </a:extLst>
                    </a:blip>
                    <a:stretch>
                      <a:fillRect/>
                    </a:stretch>
                  </pic:blipFill>
                  <pic:spPr>
                    <a:xfrm>
                      <a:off x="0" y="0"/>
                      <a:ext cx="5253710" cy="3750004"/>
                    </a:xfrm>
                    <a:prstGeom prst="rect">
                      <a:avLst/>
                    </a:prstGeom>
                  </pic:spPr>
                </pic:pic>
              </a:graphicData>
            </a:graphic>
          </wp:inline>
        </w:drawing>
      </w:r>
    </w:p>
    <w:p w14:paraId="19C0BFA9" w14:textId="77777777" w:rsidR="004A7DCA" w:rsidRDefault="004A7DCA" w:rsidP="004A7DCA">
      <w:pPr>
        <w:pStyle w:val="ListParagraph"/>
        <w:ind w:left="450"/>
        <w:rPr>
          <w:b/>
          <w:i/>
          <w:iCs/>
          <w:sz w:val="20"/>
          <w:szCs w:val="20"/>
        </w:rPr>
      </w:pPr>
    </w:p>
    <w:p w14:paraId="1377829E" w14:textId="3A4D86D1" w:rsidR="004A7DCA" w:rsidRPr="008A37D4" w:rsidRDefault="004A7DCA" w:rsidP="004A7DCA">
      <w:pPr>
        <w:pStyle w:val="ListParagraph"/>
        <w:ind w:left="450"/>
        <w:rPr>
          <w:bCs/>
        </w:rPr>
      </w:pPr>
    </w:p>
    <w:p w14:paraId="6ADAAD14" w14:textId="77777777" w:rsidR="004A7DCA" w:rsidRPr="008A37D4" w:rsidRDefault="004A7DCA" w:rsidP="004A7DCA">
      <w:pPr>
        <w:ind w:left="720"/>
        <w:rPr>
          <w:b/>
        </w:rPr>
      </w:pPr>
    </w:p>
    <w:p w14:paraId="622ED59E" w14:textId="77777777" w:rsidR="004A7DCA" w:rsidRPr="008A37D4" w:rsidRDefault="004A7DCA" w:rsidP="004A7DCA">
      <w:pPr>
        <w:pStyle w:val="ListParagraph"/>
        <w:numPr>
          <w:ilvl w:val="0"/>
          <w:numId w:val="34"/>
        </w:numPr>
        <w:spacing w:line="276" w:lineRule="auto"/>
        <w:rPr>
          <w:b/>
        </w:rPr>
      </w:pPr>
      <w:r w:rsidRPr="008A37D4">
        <w:rPr>
          <w:bCs/>
        </w:rPr>
        <w:t xml:space="preserve"> Indicate the part of the graph that corresponds to a BNP of 100 to 500</w:t>
      </w:r>
      <w:r w:rsidRPr="008A37D4">
        <w:rPr>
          <w:b/>
        </w:rPr>
        <w:t xml:space="preserve">. </w:t>
      </w:r>
      <w:r w:rsidRPr="008A37D4">
        <w:rPr>
          <w:bCs/>
        </w:rPr>
        <w:t>[1]</w:t>
      </w:r>
    </w:p>
    <w:p w14:paraId="39C60A41" w14:textId="77777777" w:rsidR="004A7DCA" w:rsidRPr="008A37D4" w:rsidRDefault="004A7DCA" w:rsidP="004A7DCA">
      <w:pPr>
        <w:rPr>
          <w:b/>
        </w:rPr>
      </w:pPr>
    </w:p>
    <w:p w14:paraId="560FB821" w14:textId="77777777" w:rsidR="004A7DCA" w:rsidRPr="008A37D4" w:rsidRDefault="004A7DCA" w:rsidP="004A7DCA">
      <w:pPr>
        <w:rPr>
          <w:b/>
          <w:i/>
          <w:iCs/>
        </w:rPr>
      </w:pPr>
    </w:p>
    <w:p w14:paraId="3417A8EC" w14:textId="77777777" w:rsidR="004A7DCA" w:rsidRPr="008A37D4" w:rsidRDefault="004A7DCA" w:rsidP="004A7DCA">
      <w:pPr>
        <w:rPr>
          <w:bCs/>
          <w:i/>
          <w:iCs/>
          <w:u w:val="single"/>
        </w:rPr>
      </w:pPr>
      <w:r w:rsidRPr="008A37D4">
        <w:rPr>
          <w:bCs/>
        </w:rPr>
        <w:t xml:space="preserve">After doing the above calculations, you find the following about study inclusion in the Methods section of the paper. </w:t>
      </w:r>
      <w:r w:rsidRPr="008A37D4">
        <w:rPr>
          <w:bCs/>
          <w:i/>
          <w:iCs/>
        </w:rPr>
        <w:t>(</w:t>
      </w:r>
      <w:r w:rsidRPr="008A37D4">
        <w:rPr>
          <w:bCs/>
          <w:i/>
          <w:iCs/>
          <w:u w:val="single"/>
        </w:rPr>
        <w:t>Underlining and italics added for emphasis.)</w:t>
      </w:r>
    </w:p>
    <w:p w14:paraId="0AB844E6" w14:textId="77777777" w:rsidR="004A7DCA" w:rsidRPr="008A37D4" w:rsidRDefault="004A7DCA" w:rsidP="004A7DCA">
      <w:pPr>
        <w:rPr>
          <w:b/>
        </w:rPr>
      </w:pPr>
    </w:p>
    <w:p w14:paraId="5A37D2E4" w14:textId="77777777" w:rsidR="004A7DCA" w:rsidRPr="008A37D4" w:rsidRDefault="004A7DCA" w:rsidP="004A7DCA">
      <w:pPr>
        <w:rPr>
          <w:rFonts w:eastAsia="Times New Roman"/>
          <w:i/>
          <w:iCs/>
          <w:color w:val="2D2D2D"/>
          <w:u w:val="single"/>
          <w:shd w:val="clear" w:color="auto" w:fill="FFFFFF"/>
        </w:rPr>
      </w:pPr>
      <w:r w:rsidRPr="008A37D4">
        <w:rPr>
          <w:rFonts w:eastAsia="Times New Roman"/>
          <w:color w:val="2D2D2D"/>
          <w:shd w:val="clear" w:color="auto" w:fill="FFFFFF"/>
        </w:rPr>
        <w:t xml:space="preserve">A list of all consecutive patients with B-type natriuretic peptide performed at the hospital's reference laboratory from January 1, 2007, to July 30, 2018, was obtained. Women who were currently pregnant or in the postpartum period (within 6 weeks from delivery), aged 18 years and older, </w:t>
      </w:r>
      <w:r w:rsidRPr="008A37D4">
        <w:rPr>
          <w:rFonts w:eastAsia="Times New Roman"/>
          <w:i/>
          <w:iCs/>
          <w:color w:val="2D2D2D"/>
          <w:u w:val="single"/>
          <w:shd w:val="clear" w:color="auto" w:fill="FFFFFF"/>
        </w:rPr>
        <w:t>and with echocardiography performed within 4 weeks of B-type natriuretic peptide measurement were eligible for inclusion</w:t>
      </w:r>
      <w:r w:rsidRPr="008A37D4">
        <w:rPr>
          <w:rFonts w:eastAsia="Times New Roman"/>
          <w:color w:val="2D2D2D"/>
          <w:shd w:val="clear" w:color="auto" w:fill="FFFFFF"/>
        </w:rPr>
        <w:t xml:space="preserve">….  </w:t>
      </w:r>
      <w:r w:rsidRPr="008A37D4">
        <w:rPr>
          <w:rFonts w:eastAsia="Times New Roman"/>
          <w:i/>
          <w:iCs/>
          <w:color w:val="2D2D2D"/>
          <w:u w:val="single"/>
          <w:shd w:val="clear" w:color="auto" w:fill="FFFFFF"/>
        </w:rPr>
        <w:t>[W]omen for whom echocardiography was… not performed… were excluded.</w:t>
      </w:r>
    </w:p>
    <w:p w14:paraId="2AA25C88" w14:textId="77777777" w:rsidR="004A7DCA" w:rsidRPr="008A37D4" w:rsidRDefault="004A7DCA" w:rsidP="004A7DCA">
      <w:pPr>
        <w:rPr>
          <w:rFonts w:eastAsia="Times New Roman"/>
          <w:i/>
          <w:iCs/>
          <w:color w:val="2D2D2D"/>
          <w:u w:val="single"/>
          <w:shd w:val="clear" w:color="auto" w:fill="FFFFFF"/>
        </w:rPr>
      </w:pPr>
    </w:p>
    <w:p w14:paraId="31C48FDE" w14:textId="77777777" w:rsidR="004A7DCA" w:rsidRPr="008A37D4" w:rsidRDefault="004A7DCA" w:rsidP="004A7DCA">
      <w:pPr>
        <w:rPr>
          <w:rFonts w:eastAsia="Times New Roman"/>
        </w:rPr>
      </w:pPr>
      <w:r w:rsidRPr="008A37D4">
        <w:rPr>
          <w:rFonts w:eastAsia="Times New Roman"/>
          <w:color w:val="2D2D2D"/>
          <w:shd w:val="clear" w:color="auto" w:fill="FFFFFF"/>
        </w:rPr>
        <w:t>Clinical information:  The clinicians ordering the echocardiogram were more likely to order an echocardiogram if the BNP was elevated.</w:t>
      </w:r>
    </w:p>
    <w:p w14:paraId="5CD015E8" w14:textId="77777777" w:rsidR="004A7DCA" w:rsidRPr="008A37D4" w:rsidRDefault="004A7DCA" w:rsidP="004A7DCA">
      <w:pPr>
        <w:rPr>
          <w:rFonts w:eastAsia="Times New Roman"/>
        </w:rPr>
      </w:pPr>
    </w:p>
    <w:p w14:paraId="35E55274" w14:textId="77777777" w:rsidR="004A7DCA" w:rsidRPr="008A37D4" w:rsidRDefault="004A7DCA" w:rsidP="004A7DCA">
      <w:pPr>
        <w:pStyle w:val="ListParagraph"/>
        <w:numPr>
          <w:ilvl w:val="0"/>
          <w:numId w:val="34"/>
        </w:numPr>
        <w:spacing w:line="276" w:lineRule="auto"/>
        <w:rPr>
          <w:bCs/>
        </w:rPr>
      </w:pPr>
      <w:r w:rsidRPr="008A37D4">
        <w:rPr>
          <w:bCs/>
        </w:rPr>
        <w:t>What potential bias arises from the inclusion criteria for this study. Explain. [2]</w:t>
      </w:r>
    </w:p>
    <w:p w14:paraId="3998F891" w14:textId="77777777" w:rsidR="004A7DCA" w:rsidRPr="008A37D4" w:rsidRDefault="004A7DCA" w:rsidP="004A7DCA">
      <w:pPr>
        <w:pStyle w:val="ListParagraph"/>
        <w:ind w:left="450"/>
        <w:rPr>
          <w:bCs/>
        </w:rPr>
      </w:pPr>
    </w:p>
    <w:p w14:paraId="665B5D35" w14:textId="77777777" w:rsidR="004A7DCA" w:rsidRPr="008A37D4" w:rsidRDefault="004A7DCA" w:rsidP="004A7DCA">
      <w:pPr>
        <w:pStyle w:val="ListParagraph"/>
        <w:numPr>
          <w:ilvl w:val="0"/>
          <w:numId w:val="34"/>
        </w:numPr>
      </w:pPr>
      <w:r w:rsidRPr="008A37D4">
        <w:rPr>
          <w:bCs/>
        </w:rPr>
        <w:t>How would this bias sensitivity?</w:t>
      </w:r>
      <w:r w:rsidRPr="008A37D4">
        <w:rPr>
          <w:b/>
        </w:rPr>
        <w:t xml:space="preserve"> </w:t>
      </w:r>
      <w:r w:rsidRPr="008A37D4">
        <w:t xml:space="preserve"> Explain. [1]</w:t>
      </w:r>
    </w:p>
    <w:p w14:paraId="5A139690" w14:textId="77777777" w:rsidR="004A7DCA" w:rsidRPr="008A37D4" w:rsidRDefault="004A7DCA" w:rsidP="004A7DCA">
      <w:pPr>
        <w:pStyle w:val="ListParagraph"/>
        <w:ind w:left="450"/>
      </w:pPr>
    </w:p>
    <w:p w14:paraId="00E036C4" w14:textId="77777777" w:rsidR="004A7DCA" w:rsidRPr="008A37D4" w:rsidRDefault="004A7DCA" w:rsidP="004A7DCA">
      <w:pPr>
        <w:numPr>
          <w:ilvl w:val="0"/>
          <w:numId w:val="34"/>
        </w:numPr>
      </w:pPr>
      <w:r w:rsidRPr="008A37D4">
        <w:t xml:space="preserve"> </w:t>
      </w:r>
      <w:r w:rsidRPr="008A37D4">
        <w:rPr>
          <w:bCs/>
        </w:rPr>
        <w:t>How would this bias specificity?</w:t>
      </w:r>
      <w:r w:rsidRPr="008A37D4">
        <w:rPr>
          <w:b/>
        </w:rPr>
        <w:t xml:space="preserve"> </w:t>
      </w:r>
      <w:r w:rsidRPr="008A37D4">
        <w:t>Explain [1]</w:t>
      </w:r>
    </w:p>
    <w:p w14:paraId="76C84FC3" w14:textId="4D570428" w:rsidR="004A7DCA" w:rsidRDefault="004A7DCA" w:rsidP="004A7DCA">
      <w:r w:rsidRPr="00A94B43">
        <w:rPr>
          <w:b/>
          <w:bCs/>
        </w:rPr>
        <w:lastRenderedPageBreak/>
        <w:t>4</w:t>
      </w:r>
      <w:r>
        <w:t xml:space="preserve">. </w:t>
      </w:r>
      <w:r w:rsidRPr="00A94B43">
        <w:rPr>
          <w:b/>
          <w:bCs/>
        </w:rPr>
        <w:t>Risk model for peri-intubation cardiac arrest in pediatric patients [18 points + 2 bonus]</w:t>
      </w:r>
    </w:p>
    <w:p w14:paraId="7DA8E778" w14:textId="77777777" w:rsidR="004A7DCA" w:rsidRDefault="004A7DCA" w:rsidP="004A7DCA">
      <w:r>
        <w:t xml:space="preserve">In the pediatric ED, very sick children sometimes require a breathing tube.  In the process of placing this tube, endotracheal intubation (ETI), they occasionally have a cardiac arrest (the heart stops).  This is called peri-intubation cardiac arrest (PICA).  Investigators at Rady Children’s Hospital in San Diego identified 563 patients who underwent ETI during a 9-year period.  Of these, 21 had PICA.  These were the cases.  From the remaining 542 non-PICA patients they randomly selected 84 controls, that is 4 controls per case.  </w:t>
      </w:r>
    </w:p>
    <w:p w14:paraId="53C4DBB5" w14:textId="77777777" w:rsidR="004A7DCA" w:rsidRDefault="004A7DCA" w:rsidP="004A7DCA">
      <w:r>
        <w:t>This problem focuses on 2 important dichotomous predictors of PICA, abnormal or unobtainable oxygen saturation (AbSpO2) and age &lt; 1 year (Age&lt;1yr).</w:t>
      </w:r>
    </w:p>
    <w:p w14:paraId="422D84FF" w14:textId="77777777" w:rsidR="004A7DCA" w:rsidRDefault="004A7DCA" w:rsidP="004A7DCA">
      <w:r>
        <w:t>Here is an excerpt from the authors’ unpublished manuscript:</w:t>
      </w:r>
    </w:p>
    <w:tbl>
      <w:tblPr>
        <w:tblW w:w="9360" w:type="dxa"/>
        <w:tblCellMar>
          <w:left w:w="0" w:type="dxa"/>
          <w:right w:w="0" w:type="dxa"/>
        </w:tblCellMar>
        <w:tblLook w:val="0600" w:firstRow="0" w:lastRow="0" w:firstColumn="0" w:lastColumn="0" w:noHBand="1" w:noVBand="1"/>
      </w:tblPr>
      <w:tblGrid>
        <w:gridCol w:w="3135"/>
        <w:gridCol w:w="465"/>
        <w:gridCol w:w="1354"/>
        <w:gridCol w:w="806"/>
        <w:gridCol w:w="1464"/>
        <w:gridCol w:w="696"/>
        <w:gridCol w:w="923"/>
        <w:gridCol w:w="517"/>
      </w:tblGrid>
      <w:tr w:rsidR="004A7DCA" w:rsidRPr="00F56240" w14:paraId="6DF67E36" w14:textId="77777777" w:rsidTr="003C60BC">
        <w:trPr>
          <w:trHeight w:val="145"/>
        </w:trPr>
        <w:tc>
          <w:tcPr>
            <w:tcW w:w="3135" w:type="dxa"/>
            <w:tcBorders>
              <w:top w:val="single" w:sz="4" w:space="0" w:color="auto"/>
              <w:left w:val="nil"/>
              <w:bottom w:val="nil"/>
              <w:right w:val="nil"/>
            </w:tcBorders>
            <w:shd w:val="clear" w:color="auto" w:fill="auto"/>
            <w:tcMar>
              <w:top w:w="25" w:type="dxa"/>
              <w:left w:w="25" w:type="dxa"/>
              <w:bottom w:w="0" w:type="dxa"/>
              <w:right w:w="25" w:type="dxa"/>
            </w:tcMar>
            <w:vAlign w:val="center"/>
            <w:hideMark/>
          </w:tcPr>
          <w:p w14:paraId="67540719" w14:textId="77777777" w:rsidR="004A7DCA" w:rsidRPr="00294C2A" w:rsidRDefault="004A7DCA" w:rsidP="003C60BC">
            <w:pPr>
              <w:rPr>
                <w:sz w:val="20"/>
                <w:szCs w:val="20"/>
              </w:rPr>
            </w:pPr>
          </w:p>
        </w:tc>
        <w:tc>
          <w:tcPr>
            <w:tcW w:w="1819" w:type="dxa"/>
            <w:gridSpan w:val="2"/>
            <w:tcBorders>
              <w:top w:val="single" w:sz="4" w:space="0" w:color="auto"/>
              <w:left w:val="nil"/>
              <w:bottom w:val="nil"/>
              <w:right w:val="nil"/>
            </w:tcBorders>
            <w:shd w:val="clear" w:color="auto" w:fill="auto"/>
            <w:tcMar>
              <w:top w:w="25" w:type="dxa"/>
              <w:left w:w="25" w:type="dxa"/>
              <w:bottom w:w="0" w:type="dxa"/>
              <w:right w:w="25" w:type="dxa"/>
            </w:tcMar>
            <w:vAlign w:val="center"/>
            <w:hideMark/>
          </w:tcPr>
          <w:p w14:paraId="1DA12978" w14:textId="77777777" w:rsidR="004A7DCA" w:rsidRPr="00294C2A" w:rsidRDefault="004A7DCA" w:rsidP="003C60BC">
            <w:pPr>
              <w:jc w:val="center"/>
              <w:rPr>
                <w:sz w:val="20"/>
                <w:szCs w:val="20"/>
              </w:rPr>
            </w:pPr>
            <w:r w:rsidRPr="00294C2A">
              <w:rPr>
                <w:b/>
                <w:bCs/>
                <w:sz w:val="20"/>
                <w:szCs w:val="20"/>
              </w:rPr>
              <w:t>PICA (n = 21)</w:t>
            </w:r>
          </w:p>
        </w:tc>
        <w:tc>
          <w:tcPr>
            <w:tcW w:w="2270" w:type="dxa"/>
            <w:gridSpan w:val="2"/>
            <w:tcBorders>
              <w:top w:val="single" w:sz="4" w:space="0" w:color="auto"/>
              <w:left w:val="nil"/>
              <w:bottom w:val="nil"/>
              <w:right w:val="nil"/>
            </w:tcBorders>
            <w:shd w:val="clear" w:color="auto" w:fill="auto"/>
            <w:tcMar>
              <w:top w:w="25" w:type="dxa"/>
              <w:left w:w="25" w:type="dxa"/>
              <w:bottom w:w="0" w:type="dxa"/>
              <w:right w:w="25" w:type="dxa"/>
            </w:tcMar>
            <w:vAlign w:val="center"/>
            <w:hideMark/>
          </w:tcPr>
          <w:p w14:paraId="4AC09CD6" w14:textId="77777777" w:rsidR="004A7DCA" w:rsidRPr="00294C2A" w:rsidRDefault="004A7DCA" w:rsidP="003C60BC">
            <w:pPr>
              <w:jc w:val="center"/>
              <w:rPr>
                <w:sz w:val="20"/>
                <w:szCs w:val="20"/>
              </w:rPr>
            </w:pPr>
            <w:r w:rsidRPr="00294C2A">
              <w:rPr>
                <w:b/>
                <w:bCs/>
                <w:sz w:val="20"/>
                <w:szCs w:val="20"/>
              </w:rPr>
              <w:t>Controls (n = 84)</w:t>
            </w:r>
          </w:p>
        </w:tc>
        <w:tc>
          <w:tcPr>
            <w:tcW w:w="2136" w:type="dxa"/>
            <w:gridSpan w:val="3"/>
            <w:tcBorders>
              <w:top w:val="single" w:sz="4" w:space="0" w:color="auto"/>
              <w:left w:val="nil"/>
              <w:bottom w:val="nil"/>
              <w:right w:val="nil"/>
            </w:tcBorders>
            <w:shd w:val="clear" w:color="auto" w:fill="auto"/>
          </w:tcPr>
          <w:p w14:paraId="5A4D9914" w14:textId="77777777" w:rsidR="004A7DCA" w:rsidRPr="00294C2A" w:rsidRDefault="004A7DCA" w:rsidP="003C60BC">
            <w:pPr>
              <w:jc w:val="center"/>
              <w:rPr>
                <w:b/>
                <w:bCs/>
                <w:i/>
                <w:sz w:val="20"/>
                <w:szCs w:val="20"/>
              </w:rPr>
            </w:pPr>
            <w:r w:rsidRPr="00294C2A">
              <w:rPr>
                <w:b/>
                <w:bCs/>
                <w:i/>
                <w:sz w:val="20"/>
                <w:szCs w:val="20"/>
              </w:rPr>
              <w:t>p-value</w:t>
            </w:r>
          </w:p>
        </w:tc>
      </w:tr>
      <w:tr w:rsidR="004A7DCA" w:rsidRPr="00F56240" w14:paraId="25E43917" w14:textId="77777777" w:rsidTr="003C60BC">
        <w:trPr>
          <w:trHeight w:val="158"/>
        </w:trPr>
        <w:tc>
          <w:tcPr>
            <w:tcW w:w="3135" w:type="dxa"/>
            <w:tcBorders>
              <w:top w:val="nil"/>
              <w:left w:val="nil"/>
              <w:bottom w:val="nil"/>
              <w:right w:val="nil"/>
            </w:tcBorders>
            <w:shd w:val="clear" w:color="auto" w:fill="auto"/>
            <w:tcMar>
              <w:top w:w="25" w:type="dxa"/>
              <w:left w:w="25" w:type="dxa"/>
              <w:bottom w:w="0" w:type="dxa"/>
              <w:right w:w="25" w:type="dxa"/>
            </w:tcMar>
            <w:vAlign w:val="center"/>
          </w:tcPr>
          <w:p w14:paraId="2454D7AD" w14:textId="77777777" w:rsidR="004A7DCA" w:rsidRPr="003175EE" w:rsidRDefault="004A7DCA" w:rsidP="003C60BC">
            <w:pPr>
              <w:rPr>
                <w:sz w:val="20"/>
                <w:szCs w:val="20"/>
                <w:highlight w:val="yellow"/>
              </w:rPr>
            </w:pPr>
            <w:r w:rsidRPr="00DC6A64">
              <w:rPr>
                <w:sz w:val="20"/>
                <w:szCs w:val="20"/>
              </w:rPr>
              <w:t>Age &lt; 1 year</w:t>
            </w:r>
            <w:r>
              <w:rPr>
                <w:sz w:val="20"/>
                <w:szCs w:val="20"/>
              </w:rPr>
              <w:t xml:space="preserve"> </w:t>
            </w:r>
            <w:r>
              <w:t>(Age&lt;1yr)</w:t>
            </w:r>
          </w:p>
        </w:tc>
        <w:tc>
          <w:tcPr>
            <w:tcW w:w="1819" w:type="dxa"/>
            <w:gridSpan w:val="2"/>
            <w:tcBorders>
              <w:top w:val="nil"/>
              <w:left w:val="nil"/>
              <w:bottom w:val="nil"/>
              <w:right w:val="nil"/>
            </w:tcBorders>
            <w:shd w:val="clear" w:color="auto" w:fill="auto"/>
            <w:tcMar>
              <w:top w:w="25" w:type="dxa"/>
              <w:left w:w="25" w:type="dxa"/>
              <w:bottom w:w="0" w:type="dxa"/>
              <w:right w:w="25" w:type="dxa"/>
            </w:tcMar>
            <w:vAlign w:val="center"/>
          </w:tcPr>
          <w:p w14:paraId="65E2DDA3" w14:textId="77777777" w:rsidR="004A7DCA" w:rsidRPr="00294C2A" w:rsidRDefault="004A7DCA" w:rsidP="003C60BC">
            <w:pPr>
              <w:jc w:val="center"/>
              <w:rPr>
                <w:sz w:val="20"/>
                <w:szCs w:val="20"/>
              </w:rPr>
            </w:pPr>
            <w:r>
              <w:rPr>
                <w:sz w:val="20"/>
                <w:szCs w:val="20"/>
              </w:rPr>
              <w:t>9 (42.9)</w:t>
            </w:r>
          </w:p>
        </w:tc>
        <w:tc>
          <w:tcPr>
            <w:tcW w:w="2270" w:type="dxa"/>
            <w:gridSpan w:val="2"/>
            <w:tcBorders>
              <w:top w:val="nil"/>
              <w:left w:val="nil"/>
              <w:bottom w:val="nil"/>
              <w:right w:val="nil"/>
            </w:tcBorders>
            <w:shd w:val="clear" w:color="auto" w:fill="auto"/>
            <w:tcMar>
              <w:top w:w="25" w:type="dxa"/>
              <w:left w:w="25" w:type="dxa"/>
              <w:bottom w:w="0" w:type="dxa"/>
              <w:right w:w="25" w:type="dxa"/>
            </w:tcMar>
            <w:vAlign w:val="center"/>
          </w:tcPr>
          <w:p w14:paraId="4B5DB598" w14:textId="77777777" w:rsidR="004A7DCA" w:rsidRPr="00294C2A" w:rsidRDefault="004A7DCA" w:rsidP="003C60BC">
            <w:pPr>
              <w:jc w:val="center"/>
              <w:rPr>
                <w:sz w:val="20"/>
                <w:szCs w:val="20"/>
              </w:rPr>
            </w:pPr>
            <w:r>
              <w:rPr>
                <w:sz w:val="20"/>
                <w:szCs w:val="20"/>
              </w:rPr>
              <w:t>13 (15.5)</w:t>
            </w:r>
          </w:p>
        </w:tc>
        <w:tc>
          <w:tcPr>
            <w:tcW w:w="2136" w:type="dxa"/>
            <w:gridSpan w:val="3"/>
            <w:tcBorders>
              <w:top w:val="nil"/>
              <w:left w:val="nil"/>
              <w:bottom w:val="nil"/>
              <w:right w:val="nil"/>
            </w:tcBorders>
            <w:shd w:val="clear" w:color="auto" w:fill="auto"/>
          </w:tcPr>
          <w:p w14:paraId="650C59F7" w14:textId="77777777" w:rsidR="004A7DCA" w:rsidRPr="00294C2A" w:rsidRDefault="004A7DCA" w:rsidP="003C60BC">
            <w:pPr>
              <w:jc w:val="center"/>
              <w:rPr>
                <w:sz w:val="20"/>
                <w:szCs w:val="20"/>
              </w:rPr>
            </w:pPr>
            <w:r>
              <w:rPr>
                <w:sz w:val="20"/>
                <w:szCs w:val="20"/>
              </w:rPr>
              <w:t>0.009</w:t>
            </w:r>
          </w:p>
        </w:tc>
      </w:tr>
      <w:tr w:rsidR="004A7DCA" w:rsidRPr="00C550B1" w14:paraId="12BEBB09" w14:textId="77777777" w:rsidTr="003C60BC">
        <w:trPr>
          <w:gridAfter w:val="1"/>
          <w:wAfter w:w="517" w:type="dxa"/>
          <w:trHeight w:val="193"/>
        </w:trPr>
        <w:tc>
          <w:tcPr>
            <w:tcW w:w="3600" w:type="dxa"/>
            <w:gridSpan w:val="2"/>
            <w:tcBorders>
              <w:top w:val="nil"/>
              <w:left w:val="nil"/>
              <w:bottom w:val="nil"/>
              <w:right w:val="nil"/>
            </w:tcBorders>
            <w:shd w:val="clear" w:color="auto" w:fill="auto"/>
            <w:tcMar>
              <w:top w:w="13" w:type="dxa"/>
              <w:left w:w="13" w:type="dxa"/>
              <w:bottom w:w="0" w:type="dxa"/>
              <w:right w:w="13" w:type="dxa"/>
            </w:tcMar>
            <w:vAlign w:val="center"/>
            <w:hideMark/>
          </w:tcPr>
          <w:p w14:paraId="3F6EF176" w14:textId="77777777" w:rsidR="004A7DCA" w:rsidRPr="00C550B1" w:rsidRDefault="004A7DCA" w:rsidP="003C60BC">
            <w:pPr>
              <w:rPr>
                <w:bCs/>
                <w:sz w:val="20"/>
                <w:szCs w:val="20"/>
              </w:rPr>
            </w:pPr>
            <w:r w:rsidRPr="00C550B1">
              <w:rPr>
                <w:bCs/>
                <w:sz w:val="20"/>
                <w:szCs w:val="20"/>
              </w:rPr>
              <w:t xml:space="preserve">Hypoxia </w:t>
            </w:r>
            <w:r>
              <w:rPr>
                <w:bCs/>
                <w:sz w:val="20"/>
                <w:szCs w:val="20"/>
              </w:rPr>
              <w:t xml:space="preserve">or unobtainable </w:t>
            </w:r>
            <w:r>
              <w:t>(AbSpO2)</w:t>
            </w:r>
          </w:p>
        </w:tc>
        <w:tc>
          <w:tcPr>
            <w:tcW w:w="2160" w:type="dxa"/>
            <w:gridSpan w:val="2"/>
            <w:tcBorders>
              <w:top w:val="nil"/>
              <w:left w:val="nil"/>
              <w:bottom w:val="nil"/>
              <w:right w:val="nil"/>
            </w:tcBorders>
            <w:shd w:val="clear" w:color="auto" w:fill="auto"/>
            <w:tcMar>
              <w:top w:w="13" w:type="dxa"/>
              <w:left w:w="13" w:type="dxa"/>
              <w:bottom w:w="0" w:type="dxa"/>
              <w:right w:w="13" w:type="dxa"/>
            </w:tcMar>
            <w:vAlign w:val="center"/>
            <w:hideMark/>
          </w:tcPr>
          <w:p w14:paraId="1E3207FF" w14:textId="77777777" w:rsidR="004A7DCA" w:rsidRPr="00C550B1" w:rsidRDefault="004A7DCA" w:rsidP="003C60BC">
            <w:pPr>
              <w:rPr>
                <w:sz w:val="20"/>
                <w:szCs w:val="20"/>
              </w:rPr>
            </w:pPr>
            <w:r>
              <w:rPr>
                <w:sz w:val="20"/>
                <w:szCs w:val="20"/>
              </w:rPr>
              <w:t>13</w:t>
            </w:r>
            <w:r w:rsidRPr="00C550B1">
              <w:rPr>
                <w:sz w:val="20"/>
                <w:szCs w:val="20"/>
              </w:rPr>
              <w:t xml:space="preserve"> (</w:t>
            </w:r>
            <w:r>
              <w:rPr>
                <w:sz w:val="20"/>
                <w:szCs w:val="20"/>
              </w:rPr>
              <w:t>61.9</w:t>
            </w:r>
            <w:r w:rsidRPr="00C550B1">
              <w:rPr>
                <w:sz w:val="20"/>
                <w:szCs w:val="20"/>
              </w:rPr>
              <w:t>)</w:t>
            </w:r>
          </w:p>
        </w:tc>
        <w:tc>
          <w:tcPr>
            <w:tcW w:w="2160" w:type="dxa"/>
            <w:gridSpan w:val="2"/>
            <w:tcBorders>
              <w:top w:val="nil"/>
              <w:left w:val="nil"/>
              <w:bottom w:val="nil"/>
              <w:right w:val="nil"/>
            </w:tcBorders>
            <w:shd w:val="clear" w:color="auto" w:fill="auto"/>
            <w:tcMar>
              <w:top w:w="13" w:type="dxa"/>
              <w:left w:w="13" w:type="dxa"/>
              <w:bottom w:w="0" w:type="dxa"/>
              <w:right w:w="13" w:type="dxa"/>
            </w:tcMar>
            <w:vAlign w:val="center"/>
            <w:hideMark/>
          </w:tcPr>
          <w:p w14:paraId="00698A19" w14:textId="77777777" w:rsidR="004A7DCA" w:rsidRPr="00C550B1" w:rsidRDefault="004A7DCA" w:rsidP="003C60BC">
            <w:pPr>
              <w:rPr>
                <w:sz w:val="20"/>
                <w:szCs w:val="20"/>
              </w:rPr>
            </w:pPr>
            <w:r w:rsidRPr="00C550B1">
              <w:rPr>
                <w:sz w:val="20"/>
                <w:szCs w:val="20"/>
              </w:rPr>
              <w:t>2 (2.4)</w:t>
            </w:r>
          </w:p>
        </w:tc>
        <w:tc>
          <w:tcPr>
            <w:tcW w:w="923" w:type="dxa"/>
            <w:tcBorders>
              <w:top w:val="nil"/>
              <w:left w:val="nil"/>
              <w:bottom w:val="nil"/>
              <w:right w:val="nil"/>
            </w:tcBorders>
            <w:shd w:val="clear" w:color="auto" w:fill="auto"/>
          </w:tcPr>
          <w:p w14:paraId="6BE386FE" w14:textId="77777777" w:rsidR="004A7DCA" w:rsidRPr="00C550B1" w:rsidRDefault="004A7DCA" w:rsidP="003C60BC">
            <w:pPr>
              <w:jc w:val="center"/>
              <w:rPr>
                <w:sz w:val="20"/>
                <w:szCs w:val="20"/>
              </w:rPr>
            </w:pPr>
            <w:r w:rsidRPr="00C550B1">
              <w:rPr>
                <w:sz w:val="20"/>
                <w:szCs w:val="20"/>
              </w:rPr>
              <w:t>&lt;0.001</w:t>
            </w:r>
          </w:p>
        </w:tc>
      </w:tr>
      <w:tr w:rsidR="004A7DCA" w14:paraId="7AA3AF8D" w14:textId="77777777" w:rsidTr="003C60BC">
        <w:trPr>
          <w:trHeight w:val="28"/>
        </w:trPr>
        <w:tc>
          <w:tcPr>
            <w:tcW w:w="9360" w:type="dxa"/>
            <w:gridSpan w:val="8"/>
            <w:tcBorders>
              <w:top w:val="single" w:sz="4" w:space="0" w:color="auto"/>
              <w:left w:val="nil"/>
              <w:bottom w:val="single" w:sz="4" w:space="0" w:color="auto"/>
              <w:right w:val="nil"/>
            </w:tcBorders>
            <w:shd w:val="clear" w:color="auto" w:fill="auto"/>
            <w:tcMar>
              <w:top w:w="25" w:type="dxa"/>
              <w:left w:w="25" w:type="dxa"/>
              <w:bottom w:w="0" w:type="dxa"/>
              <w:right w:w="25" w:type="dxa"/>
            </w:tcMar>
            <w:vAlign w:val="center"/>
            <w:hideMark/>
          </w:tcPr>
          <w:p w14:paraId="3A19F467" w14:textId="77777777" w:rsidR="004A7DCA" w:rsidRDefault="004A7DCA" w:rsidP="003C60BC">
            <w:pPr>
              <w:jc w:val="right"/>
              <w:rPr>
                <w:sz w:val="16"/>
                <w:szCs w:val="16"/>
              </w:rPr>
            </w:pPr>
            <w:r w:rsidRPr="00AC7AE8">
              <w:rPr>
                <w:sz w:val="16"/>
                <w:szCs w:val="16"/>
              </w:rPr>
              <w:t>Data are presented as No. (%) unless otherwise indicated</w:t>
            </w:r>
          </w:p>
          <w:p w14:paraId="10C1ECBC" w14:textId="77777777" w:rsidR="004A7DCA" w:rsidRDefault="004A7DCA" w:rsidP="003C60BC">
            <w:pPr>
              <w:jc w:val="right"/>
              <w:rPr>
                <w:iCs/>
                <w:sz w:val="16"/>
                <w:szCs w:val="16"/>
              </w:rPr>
            </w:pPr>
            <w:r>
              <w:rPr>
                <w:iCs/>
                <w:sz w:val="16"/>
                <w:szCs w:val="16"/>
              </w:rPr>
              <w:t xml:space="preserve">Mann-Whitney-U Test for non-parametric data, Fisher’s Exact Test for categorical data </w:t>
            </w:r>
          </w:p>
        </w:tc>
      </w:tr>
      <w:tr w:rsidR="004A7DCA" w:rsidRPr="00F56240" w14:paraId="52209CE8" w14:textId="77777777" w:rsidTr="003C60BC">
        <w:trPr>
          <w:trHeight w:val="158"/>
        </w:trPr>
        <w:tc>
          <w:tcPr>
            <w:tcW w:w="3135" w:type="dxa"/>
            <w:tcBorders>
              <w:top w:val="nil"/>
              <w:left w:val="nil"/>
              <w:bottom w:val="nil"/>
              <w:right w:val="nil"/>
            </w:tcBorders>
            <w:shd w:val="clear" w:color="auto" w:fill="auto"/>
            <w:tcMar>
              <w:top w:w="25" w:type="dxa"/>
              <w:left w:w="25" w:type="dxa"/>
              <w:bottom w:w="0" w:type="dxa"/>
              <w:right w:w="25" w:type="dxa"/>
            </w:tcMar>
            <w:vAlign w:val="center"/>
          </w:tcPr>
          <w:p w14:paraId="7492AA75" w14:textId="77777777" w:rsidR="004A7DCA" w:rsidRPr="00DC6A64" w:rsidRDefault="004A7DCA" w:rsidP="003C60BC">
            <w:pPr>
              <w:rPr>
                <w:b/>
                <w:bCs/>
                <w:sz w:val="20"/>
                <w:szCs w:val="20"/>
                <w:highlight w:val="yellow"/>
              </w:rPr>
            </w:pPr>
          </w:p>
        </w:tc>
        <w:tc>
          <w:tcPr>
            <w:tcW w:w="1819" w:type="dxa"/>
            <w:gridSpan w:val="2"/>
            <w:tcBorders>
              <w:top w:val="nil"/>
              <w:left w:val="nil"/>
              <w:bottom w:val="nil"/>
              <w:right w:val="nil"/>
            </w:tcBorders>
            <w:shd w:val="clear" w:color="auto" w:fill="auto"/>
            <w:tcMar>
              <w:top w:w="25" w:type="dxa"/>
              <w:left w:w="25" w:type="dxa"/>
              <w:bottom w:w="0" w:type="dxa"/>
              <w:right w:w="25" w:type="dxa"/>
            </w:tcMar>
            <w:vAlign w:val="center"/>
          </w:tcPr>
          <w:p w14:paraId="39A23C9F" w14:textId="77777777" w:rsidR="004A7DCA" w:rsidRDefault="004A7DCA" w:rsidP="003C60BC">
            <w:pPr>
              <w:jc w:val="center"/>
              <w:rPr>
                <w:sz w:val="20"/>
                <w:szCs w:val="20"/>
              </w:rPr>
            </w:pPr>
          </w:p>
        </w:tc>
        <w:tc>
          <w:tcPr>
            <w:tcW w:w="2270" w:type="dxa"/>
            <w:gridSpan w:val="2"/>
            <w:tcBorders>
              <w:top w:val="nil"/>
              <w:left w:val="nil"/>
              <w:bottom w:val="nil"/>
              <w:right w:val="nil"/>
            </w:tcBorders>
            <w:shd w:val="clear" w:color="auto" w:fill="auto"/>
            <w:tcMar>
              <w:top w:w="25" w:type="dxa"/>
              <w:left w:w="25" w:type="dxa"/>
              <w:bottom w:w="0" w:type="dxa"/>
              <w:right w:w="25" w:type="dxa"/>
            </w:tcMar>
            <w:vAlign w:val="center"/>
          </w:tcPr>
          <w:p w14:paraId="1FFC6BD1" w14:textId="77777777" w:rsidR="004A7DCA" w:rsidRDefault="004A7DCA" w:rsidP="003C60BC">
            <w:pPr>
              <w:jc w:val="center"/>
              <w:rPr>
                <w:sz w:val="20"/>
                <w:szCs w:val="20"/>
              </w:rPr>
            </w:pPr>
          </w:p>
        </w:tc>
        <w:tc>
          <w:tcPr>
            <w:tcW w:w="2136" w:type="dxa"/>
            <w:gridSpan w:val="3"/>
            <w:tcBorders>
              <w:top w:val="nil"/>
              <w:left w:val="nil"/>
              <w:bottom w:val="nil"/>
              <w:right w:val="nil"/>
            </w:tcBorders>
            <w:shd w:val="clear" w:color="auto" w:fill="auto"/>
          </w:tcPr>
          <w:p w14:paraId="31C0F26A" w14:textId="77777777" w:rsidR="004A7DCA" w:rsidRDefault="004A7DCA" w:rsidP="003C60BC">
            <w:pPr>
              <w:jc w:val="center"/>
              <w:rPr>
                <w:sz w:val="20"/>
                <w:szCs w:val="20"/>
              </w:rPr>
            </w:pPr>
          </w:p>
        </w:tc>
      </w:tr>
    </w:tbl>
    <w:p w14:paraId="4830464C" w14:textId="77777777" w:rsidR="004A7DCA" w:rsidRDefault="004A7DCA" w:rsidP="004A7DCA"/>
    <w:p w14:paraId="7F05BF87" w14:textId="77777777" w:rsidR="004A7DCA" w:rsidRDefault="004A7DCA" w:rsidP="004A7DCA">
      <w:pPr>
        <w:pStyle w:val="ListParagraph"/>
        <w:numPr>
          <w:ilvl w:val="0"/>
          <w:numId w:val="35"/>
        </w:numPr>
        <w:spacing w:after="160" w:line="259" w:lineRule="auto"/>
      </w:pPr>
      <w:r>
        <w:t xml:space="preserve"> Based on all the data given so far, what is the best estimate for the pre-test risk of PICA among those receiving ETI?[1]</w:t>
      </w:r>
    </w:p>
    <w:p w14:paraId="1A9189CB" w14:textId="77777777" w:rsidR="004A7DCA" w:rsidRDefault="004A7DCA" w:rsidP="004A7DCA">
      <w:pPr>
        <w:pStyle w:val="ListParagraph"/>
      </w:pPr>
    </w:p>
    <w:p w14:paraId="66EE22ED" w14:textId="77777777" w:rsidR="004A7DCA" w:rsidRDefault="004A7DCA" w:rsidP="004A7DCA">
      <w:pPr>
        <w:pStyle w:val="ListParagraph"/>
      </w:pPr>
    </w:p>
    <w:p w14:paraId="58BED741" w14:textId="77777777" w:rsidR="004A7DCA" w:rsidRDefault="004A7DCA" w:rsidP="004A7DCA">
      <w:pPr>
        <w:pStyle w:val="ListParagraph"/>
        <w:numPr>
          <w:ilvl w:val="0"/>
          <w:numId w:val="35"/>
        </w:numPr>
        <w:spacing w:after="160" w:line="259" w:lineRule="auto"/>
      </w:pPr>
      <w:r>
        <w:t>What is the LR(+) for Age &lt; 1 year? [1]</w:t>
      </w:r>
    </w:p>
    <w:p w14:paraId="2C54CDCD" w14:textId="762C07E0" w:rsidR="004A7DCA" w:rsidRDefault="004A7DCA" w:rsidP="004A7DCA">
      <w:pPr>
        <w:pStyle w:val="ListParagraph"/>
        <w:spacing w:before="240"/>
      </w:pPr>
      <w:r>
        <w:t>Note: We are only asking about Age &lt; 1 year (Age&lt;1yr), not Hypoxia (AbSpO2)</w:t>
      </w:r>
    </w:p>
    <w:p w14:paraId="123704E7" w14:textId="77777777" w:rsidR="003C60BC" w:rsidRDefault="003C60BC" w:rsidP="004A7DCA">
      <w:pPr>
        <w:pStyle w:val="ListParagraph"/>
        <w:spacing w:before="240"/>
      </w:pPr>
    </w:p>
    <w:p w14:paraId="4F05480B" w14:textId="77777777" w:rsidR="004A7DCA" w:rsidRDefault="004A7DCA" w:rsidP="004A7DCA">
      <w:pPr>
        <w:pStyle w:val="ListParagraph"/>
        <w:numPr>
          <w:ilvl w:val="0"/>
          <w:numId w:val="35"/>
        </w:numPr>
        <w:spacing w:after="160" w:line="259" w:lineRule="auto"/>
      </w:pPr>
      <w:r>
        <w:t>What is the LR(+) for AbSpO2.[1]</w:t>
      </w:r>
    </w:p>
    <w:p w14:paraId="18A9B1E1" w14:textId="3DE0C24E" w:rsidR="004A7DCA" w:rsidRDefault="004A7DCA" w:rsidP="004A7DCA">
      <w:pPr>
        <w:pStyle w:val="ListParagraph"/>
      </w:pPr>
      <w:r>
        <w:t>Note: Now, we are only asking about Hypoxia (AbSpO2), not</w:t>
      </w:r>
      <w:r w:rsidR="00921F75">
        <w:t xml:space="preserve"> Age</w:t>
      </w:r>
      <w:r>
        <w:t xml:space="preserve"> &lt; 1 year (Age&lt;1yr).</w:t>
      </w:r>
    </w:p>
    <w:p w14:paraId="6AB76B7F" w14:textId="19A3D44F" w:rsidR="003C60BC" w:rsidRDefault="003C60BC" w:rsidP="004A7DCA">
      <w:pPr>
        <w:pStyle w:val="ListParagraph"/>
      </w:pPr>
    </w:p>
    <w:p w14:paraId="3D14A720" w14:textId="77777777" w:rsidR="003C60BC" w:rsidRDefault="003C60BC" w:rsidP="004A7DCA">
      <w:pPr>
        <w:pStyle w:val="ListParagraph"/>
      </w:pPr>
    </w:p>
    <w:p w14:paraId="1377BF40" w14:textId="0E8EBF00" w:rsidR="004A7DCA" w:rsidRDefault="004A7DCA" w:rsidP="004A7DCA">
      <w:pPr>
        <w:pStyle w:val="ListParagraph"/>
        <w:numPr>
          <w:ilvl w:val="0"/>
          <w:numId w:val="35"/>
        </w:numPr>
        <w:spacing w:after="160" w:line="259" w:lineRule="auto"/>
      </w:pPr>
      <w:r>
        <w:t>You are about</w:t>
      </w:r>
      <w:r w:rsidR="00AE16CE">
        <w:t xml:space="preserve"> to</w:t>
      </w:r>
      <w:r>
        <w:t xml:space="preserve"> intubate a patient who is &lt; 1 year old (Age&lt;1yr) and who has an unobtainable oxygen saturation (AbSpO2 = True).  Make the “Naïve Bayes” assumption of test independence conditional on disease, i.e. that you can first update the pre-test probability of PICA with the LR for Age&lt;1yr and then use that as pre-test probability to update with the LR for AbSpO2.  Based on this calculation, what is your patient’s probability of PICA?  Show your work.[3]</w:t>
      </w:r>
    </w:p>
    <w:p w14:paraId="73F0ADF3" w14:textId="77777777" w:rsidR="004A7DCA" w:rsidRDefault="004A7DCA" w:rsidP="004A7DCA">
      <w:pPr>
        <w:pStyle w:val="ListParagraph"/>
      </w:pPr>
    </w:p>
    <w:p w14:paraId="734E29DA" w14:textId="5C5C5AF4" w:rsidR="004A7DCA" w:rsidRDefault="004A7DCA" w:rsidP="004A7DCA">
      <w:pPr>
        <w:pStyle w:val="ListParagraph"/>
        <w:rPr>
          <w:b/>
          <w:bCs/>
          <w:i/>
          <w:iCs/>
        </w:rPr>
      </w:pPr>
    </w:p>
    <w:p w14:paraId="18A883AA" w14:textId="77777777" w:rsidR="004A7DCA" w:rsidRPr="006D2BCF" w:rsidRDefault="004A7DCA" w:rsidP="004A7DCA">
      <w:pPr>
        <w:pStyle w:val="ListParagraph"/>
        <w:rPr>
          <w:b/>
          <w:bCs/>
          <w:i/>
          <w:iCs/>
        </w:rPr>
      </w:pPr>
    </w:p>
    <w:p w14:paraId="13CFC0CA" w14:textId="77777777" w:rsidR="004A7DCA" w:rsidRDefault="004A7DCA" w:rsidP="004A7DCA">
      <w:r>
        <w:t xml:space="preserve">Here are the </w:t>
      </w:r>
      <w:r w:rsidRPr="005B01CF">
        <w:rPr>
          <w:rFonts w:ascii="Calibri" w:eastAsia="Times New Roman" w:hAnsi="Calibri" w:cs="Calibri"/>
          <w:color w:val="000000"/>
        </w:rPr>
        <w:t>Age&lt;1yr</w:t>
      </w:r>
      <w:r w:rsidRPr="00C47483">
        <w:rPr>
          <w:sz w:val="16"/>
          <w:szCs w:val="16"/>
        </w:rPr>
        <w:t xml:space="preserve"> </w:t>
      </w:r>
      <w:r>
        <w:t>counts for the 15 patients with AbSpO2 = True (abnormal SpO2):</w:t>
      </w:r>
    </w:p>
    <w:tbl>
      <w:tblPr>
        <w:tblW w:w="7805" w:type="dxa"/>
        <w:tblLook w:val="04A0" w:firstRow="1" w:lastRow="0" w:firstColumn="1" w:lastColumn="0" w:noHBand="0" w:noVBand="1"/>
      </w:tblPr>
      <w:tblGrid>
        <w:gridCol w:w="1284"/>
        <w:gridCol w:w="1720"/>
        <w:gridCol w:w="692"/>
        <w:gridCol w:w="1166"/>
        <w:gridCol w:w="958"/>
        <w:gridCol w:w="1390"/>
        <w:gridCol w:w="960"/>
      </w:tblGrid>
      <w:tr w:rsidR="004A7DCA" w:rsidRPr="00C47483" w14:paraId="6338AADB" w14:textId="77777777" w:rsidTr="003C60BC">
        <w:trPr>
          <w:trHeight w:val="420"/>
        </w:trPr>
        <w:tc>
          <w:tcPr>
            <w:tcW w:w="3004" w:type="dxa"/>
            <w:gridSpan w:val="2"/>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2423C96B" w14:textId="77777777" w:rsidR="004A7DCA" w:rsidRPr="00C47483" w:rsidRDefault="004A7DCA" w:rsidP="003C60BC">
            <w:pPr>
              <w:rPr>
                <w:rFonts w:ascii="Calibri" w:eastAsia="Times New Roman" w:hAnsi="Calibri" w:cs="Calibri"/>
                <w:b/>
                <w:bCs/>
                <w:color w:val="000000"/>
                <w:sz w:val="32"/>
                <w:szCs w:val="32"/>
              </w:rPr>
            </w:pPr>
            <w:r w:rsidRPr="00C47483">
              <w:rPr>
                <w:rFonts w:ascii="Calibri" w:eastAsia="Times New Roman" w:hAnsi="Calibri" w:cs="Calibri"/>
                <w:b/>
                <w:bCs/>
                <w:color w:val="000000"/>
                <w:sz w:val="32"/>
                <w:szCs w:val="32"/>
              </w:rPr>
              <w:t>AbSpO2 = True</w:t>
            </w:r>
          </w:p>
          <w:p w14:paraId="0BF2E504" w14:textId="77777777" w:rsidR="004A7DCA" w:rsidRPr="00C47483" w:rsidRDefault="004A7DCA" w:rsidP="003C60BC">
            <w:pPr>
              <w:jc w:val="center"/>
              <w:rPr>
                <w:rFonts w:ascii="Calibri" w:eastAsia="Times New Roman" w:hAnsi="Calibri" w:cs="Calibri"/>
                <w:b/>
                <w:bCs/>
                <w:color w:val="000000"/>
              </w:rPr>
            </w:pPr>
            <w:r w:rsidRPr="00C47483">
              <w:rPr>
                <w:rFonts w:ascii="Calibri" w:eastAsia="Times New Roman" w:hAnsi="Calibri" w:cs="Calibri"/>
                <w:b/>
                <w:bCs/>
                <w:color w:val="000000"/>
              </w:rPr>
              <w:t> </w:t>
            </w:r>
          </w:p>
        </w:tc>
        <w:tc>
          <w:tcPr>
            <w:tcW w:w="3841" w:type="dxa"/>
            <w:gridSpan w:val="4"/>
            <w:tcBorders>
              <w:top w:val="single" w:sz="4" w:space="0" w:color="000000"/>
              <w:left w:val="nil"/>
              <w:bottom w:val="single" w:sz="4" w:space="0" w:color="000000"/>
              <w:right w:val="single" w:sz="4" w:space="0" w:color="000000"/>
            </w:tcBorders>
            <w:shd w:val="clear" w:color="000000" w:fill="C0C0C0"/>
            <w:noWrap/>
            <w:vAlign w:val="bottom"/>
            <w:hideMark/>
          </w:tcPr>
          <w:p w14:paraId="00488773" w14:textId="77777777" w:rsidR="004A7DCA" w:rsidRPr="00C47483" w:rsidRDefault="004A7DCA" w:rsidP="003C60BC">
            <w:pPr>
              <w:jc w:val="center"/>
              <w:rPr>
                <w:rFonts w:ascii="Calibri" w:eastAsia="Times New Roman" w:hAnsi="Calibri" w:cs="Calibri"/>
                <w:b/>
                <w:bCs/>
                <w:color w:val="000000"/>
              </w:rPr>
            </w:pPr>
            <w:r w:rsidRPr="00C47483">
              <w:rPr>
                <w:rFonts w:ascii="Calibri" w:eastAsia="Times New Roman" w:hAnsi="Calibri" w:cs="Calibri"/>
                <w:b/>
                <w:bCs/>
                <w:color w:val="000000"/>
              </w:rPr>
              <w:t>PICA</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7980F4B5" w14:textId="77777777" w:rsidR="004A7DCA" w:rsidRPr="00C47483" w:rsidRDefault="004A7DCA" w:rsidP="003C60BC">
            <w:pPr>
              <w:jc w:val="center"/>
              <w:rPr>
                <w:rFonts w:ascii="Calibri" w:eastAsia="Times New Roman" w:hAnsi="Calibri" w:cs="Calibri"/>
                <w:b/>
                <w:bCs/>
                <w:color w:val="000000"/>
              </w:rPr>
            </w:pPr>
            <w:r w:rsidRPr="00C47483">
              <w:rPr>
                <w:rFonts w:ascii="Calibri" w:eastAsia="Times New Roman" w:hAnsi="Calibri" w:cs="Calibri"/>
                <w:b/>
                <w:bCs/>
                <w:color w:val="000000"/>
              </w:rPr>
              <w:t> </w:t>
            </w:r>
          </w:p>
        </w:tc>
      </w:tr>
      <w:tr w:rsidR="004A7DCA" w:rsidRPr="00C47483" w14:paraId="2DE3B0E8" w14:textId="77777777" w:rsidTr="003C60BC">
        <w:trPr>
          <w:trHeight w:val="300"/>
        </w:trPr>
        <w:tc>
          <w:tcPr>
            <w:tcW w:w="1284" w:type="dxa"/>
            <w:tcBorders>
              <w:top w:val="nil"/>
              <w:left w:val="nil"/>
              <w:bottom w:val="nil"/>
              <w:right w:val="nil"/>
            </w:tcBorders>
            <w:shd w:val="clear" w:color="auto" w:fill="auto"/>
            <w:noWrap/>
            <w:vAlign w:val="bottom"/>
            <w:hideMark/>
          </w:tcPr>
          <w:p w14:paraId="0FFF7964" w14:textId="77777777" w:rsidR="004A7DCA" w:rsidRPr="00C47483" w:rsidRDefault="004A7DCA" w:rsidP="003C60BC">
            <w:pPr>
              <w:jc w:val="center"/>
              <w:rPr>
                <w:rFonts w:ascii="Calibri" w:eastAsia="Times New Roman" w:hAnsi="Calibri" w:cs="Calibri"/>
                <w:b/>
                <w:bCs/>
                <w:color w:val="000000"/>
              </w:rPr>
            </w:pPr>
          </w:p>
        </w:tc>
        <w:tc>
          <w:tcPr>
            <w:tcW w:w="1720" w:type="dxa"/>
            <w:tcBorders>
              <w:top w:val="nil"/>
              <w:left w:val="single" w:sz="4" w:space="0" w:color="000000"/>
              <w:bottom w:val="single" w:sz="4" w:space="0" w:color="000000"/>
              <w:right w:val="single" w:sz="4" w:space="0" w:color="000000"/>
            </w:tcBorders>
            <w:shd w:val="clear" w:color="000000" w:fill="C0C0C0"/>
            <w:noWrap/>
            <w:vAlign w:val="bottom"/>
            <w:hideMark/>
          </w:tcPr>
          <w:p w14:paraId="56E09F09" w14:textId="77777777" w:rsidR="004A7DCA" w:rsidRPr="00C47483" w:rsidRDefault="004A7DCA" w:rsidP="003C60BC">
            <w:pPr>
              <w:rPr>
                <w:rFonts w:ascii="Calibri" w:eastAsia="Times New Roman" w:hAnsi="Calibri" w:cs="Calibri"/>
                <w:b/>
                <w:bCs/>
                <w:color w:val="000000"/>
              </w:rPr>
            </w:pPr>
            <w:r w:rsidRPr="00C47483">
              <w:rPr>
                <w:rFonts w:ascii="Calibri" w:eastAsia="Times New Roman" w:hAnsi="Calibri" w:cs="Calibri"/>
                <w:b/>
                <w:bCs/>
                <w:color w:val="000000"/>
              </w:rPr>
              <w:t>Age&lt;1yr</w:t>
            </w:r>
          </w:p>
        </w:tc>
        <w:tc>
          <w:tcPr>
            <w:tcW w:w="692" w:type="dxa"/>
            <w:tcBorders>
              <w:top w:val="nil"/>
              <w:left w:val="nil"/>
              <w:bottom w:val="single" w:sz="4" w:space="0" w:color="000000"/>
              <w:right w:val="single" w:sz="4" w:space="0" w:color="000000"/>
            </w:tcBorders>
            <w:shd w:val="clear" w:color="000000" w:fill="C0C0C0"/>
            <w:noWrap/>
            <w:vAlign w:val="bottom"/>
            <w:hideMark/>
          </w:tcPr>
          <w:p w14:paraId="0241EE78" w14:textId="77777777" w:rsidR="004A7DCA" w:rsidRPr="00C47483" w:rsidRDefault="004A7DCA" w:rsidP="003C60BC">
            <w:pPr>
              <w:jc w:val="center"/>
              <w:rPr>
                <w:rFonts w:ascii="Calibri" w:eastAsia="Times New Roman" w:hAnsi="Calibri" w:cs="Calibri"/>
                <w:b/>
                <w:bCs/>
                <w:color w:val="000000"/>
              </w:rPr>
            </w:pPr>
            <w:r>
              <w:rPr>
                <w:rFonts w:ascii="Calibri" w:eastAsia="Times New Roman" w:hAnsi="Calibri" w:cs="Calibri"/>
                <w:b/>
                <w:bCs/>
                <w:color w:val="000000"/>
              </w:rPr>
              <w:t>Case</w:t>
            </w:r>
          </w:p>
        </w:tc>
        <w:tc>
          <w:tcPr>
            <w:tcW w:w="1166" w:type="dxa"/>
            <w:tcBorders>
              <w:top w:val="nil"/>
              <w:left w:val="nil"/>
              <w:bottom w:val="single" w:sz="4" w:space="0" w:color="000000"/>
              <w:right w:val="single" w:sz="4" w:space="0" w:color="000000"/>
            </w:tcBorders>
            <w:shd w:val="clear" w:color="000000" w:fill="C0C0C0"/>
            <w:noWrap/>
            <w:vAlign w:val="bottom"/>
            <w:hideMark/>
          </w:tcPr>
          <w:p w14:paraId="36662F09" w14:textId="77777777" w:rsidR="004A7DCA" w:rsidRPr="00C47483" w:rsidRDefault="004A7DCA" w:rsidP="003C60BC">
            <w:pPr>
              <w:jc w:val="center"/>
              <w:rPr>
                <w:rFonts w:ascii="Calibri" w:eastAsia="Times New Roman" w:hAnsi="Calibri" w:cs="Calibri"/>
                <w:b/>
                <w:bCs/>
                <w:color w:val="000000"/>
              </w:rPr>
            </w:pPr>
            <w:r w:rsidRPr="00C47483">
              <w:rPr>
                <w:rFonts w:ascii="Calibri" w:eastAsia="Times New Roman" w:hAnsi="Calibri" w:cs="Calibri"/>
                <w:b/>
                <w:bCs/>
                <w:color w:val="000000"/>
              </w:rPr>
              <w:t> </w:t>
            </w:r>
          </w:p>
        </w:tc>
        <w:tc>
          <w:tcPr>
            <w:tcW w:w="593" w:type="dxa"/>
            <w:tcBorders>
              <w:top w:val="nil"/>
              <w:left w:val="nil"/>
              <w:bottom w:val="single" w:sz="4" w:space="0" w:color="000000"/>
              <w:right w:val="single" w:sz="4" w:space="0" w:color="000000"/>
            </w:tcBorders>
            <w:shd w:val="clear" w:color="000000" w:fill="C0C0C0"/>
            <w:noWrap/>
            <w:vAlign w:val="bottom"/>
            <w:hideMark/>
          </w:tcPr>
          <w:p w14:paraId="09274404" w14:textId="77777777" w:rsidR="004A7DCA" w:rsidRPr="00C47483" w:rsidRDefault="004A7DCA" w:rsidP="003C60BC">
            <w:pPr>
              <w:jc w:val="center"/>
              <w:rPr>
                <w:rFonts w:ascii="Calibri" w:eastAsia="Times New Roman" w:hAnsi="Calibri" w:cs="Calibri"/>
                <w:b/>
                <w:bCs/>
                <w:color w:val="000000"/>
              </w:rPr>
            </w:pPr>
            <w:r>
              <w:rPr>
                <w:rFonts w:ascii="Calibri" w:eastAsia="Times New Roman" w:hAnsi="Calibri" w:cs="Calibri"/>
                <w:b/>
                <w:bCs/>
                <w:color w:val="000000"/>
              </w:rPr>
              <w:t>Control</w:t>
            </w:r>
          </w:p>
        </w:tc>
        <w:tc>
          <w:tcPr>
            <w:tcW w:w="1390" w:type="dxa"/>
            <w:tcBorders>
              <w:top w:val="nil"/>
              <w:left w:val="nil"/>
              <w:bottom w:val="single" w:sz="4" w:space="0" w:color="000000"/>
              <w:right w:val="single" w:sz="4" w:space="0" w:color="000000"/>
            </w:tcBorders>
            <w:shd w:val="clear" w:color="000000" w:fill="C0C0C0"/>
            <w:noWrap/>
            <w:vAlign w:val="bottom"/>
            <w:hideMark/>
          </w:tcPr>
          <w:p w14:paraId="42690C78" w14:textId="77777777" w:rsidR="004A7DCA" w:rsidRPr="00C47483" w:rsidRDefault="004A7DCA" w:rsidP="003C60BC">
            <w:pPr>
              <w:jc w:val="center"/>
              <w:rPr>
                <w:rFonts w:ascii="Calibri" w:eastAsia="Times New Roman" w:hAnsi="Calibri" w:cs="Calibri"/>
                <w:b/>
                <w:bCs/>
                <w:color w:val="000000"/>
              </w:rPr>
            </w:pPr>
            <w:r w:rsidRPr="00C47483">
              <w:rPr>
                <w:rFonts w:ascii="Calibri" w:eastAsia="Times New Roman" w:hAnsi="Calibri" w:cs="Calibri"/>
                <w:b/>
                <w:bCs/>
                <w:color w:val="000000"/>
              </w:rPr>
              <w:t> </w:t>
            </w:r>
          </w:p>
        </w:tc>
        <w:tc>
          <w:tcPr>
            <w:tcW w:w="960" w:type="dxa"/>
            <w:tcBorders>
              <w:top w:val="nil"/>
              <w:left w:val="nil"/>
              <w:bottom w:val="single" w:sz="4" w:space="0" w:color="000000"/>
              <w:right w:val="single" w:sz="4" w:space="0" w:color="000000"/>
            </w:tcBorders>
            <w:shd w:val="clear" w:color="000000" w:fill="C0C0C0"/>
            <w:noWrap/>
            <w:vAlign w:val="bottom"/>
            <w:hideMark/>
          </w:tcPr>
          <w:p w14:paraId="53102837" w14:textId="77777777" w:rsidR="004A7DCA" w:rsidRPr="00C47483" w:rsidRDefault="004A7DCA" w:rsidP="003C60BC">
            <w:pPr>
              <w:jc w:val="center"/>
              <w:rPr>
                <w:rFonts w:ascii="Calibri" w:eastAsia="Times New Roman" w:hAnsi="Calibri" w:cs="Calibri"/>
                <w:b/>
                <w:bCs/>
                <w:color w:val="000000"/>
              </w:rPr>
            </w:pPr>
            <w:r w:rsidRPr="00C47483">
              <w:rPr>
                <w:rFonts w:ascii="Calibri" w:eastAsia="Times New Roman" w:hAnsi="Calibri" w:cs="Calibri"/>
                <w:b/>
                <w:bCs/>
                <w:color w:val="000000"/>
              </w:rPr>
              <w:t>Total</w:t>
            </w:r>
          </w:p>
        </w:tc>
      </w:tr>
      <w:tr w:rsidR="004A7DCA" w:rsidRPr="00C47483" w14:paraId="09CD0146" w14:textId="77777777" w:rsidTr="003C60BC">
        <w:trPr>
          <w:trHeight w:val="300"/>
        </w:trPr>
        <w:tc>
          <w:tcPr>
            <w:tcW w:w="1284" w:type="dxa"/>
            <w:tcBorders>
              <w:top w:val="nil"/>
              <w:left w:val="nil"/>
              <w:bottom w:val="nil"/>
              <w:right w:val="nil"/>
            </w:tcBorders>
            <w:shd w:val="clear" w:color="auto" w:fill="auto"/>
            <w:noWrap/>
            <w:vAlign w:val="bottom"/>
            <w:hideMark/>
          </w:tcPr>
          <w:p w14:paraId="13066F7A" w14:textId="77777777" w:rsidR="004A7DCA" w:rsidRPr="00C47483" w:rsidRDefault="004A7DCA" w:rsidP="003C60BC">
            <w:pPr>
              <w:jc w:val="center"/>
              <w:rPr>
                <w:rFonts w:ascii="Calibri" w:eastAsia="Times New Roman" w:hAnsi="Calibri" w:cs="Calibri"/>
                <w:b/>
                <w:bCs/>
                <w:color w:val="000000"/>
              </w:rPr>
            </w:pPr>
          </w:p>
        </w:tc>
        <w:tc>
          <w:tcPr>
            <w:tcW w:w="1720" w:type="dxa"/>
            <w:tcBorders>
              <w:top w:val="nil"/>
              <w:left w:val="nil"/>
              <w:bottom w:val="nil"/>
              <w:right w:val="nil"/>
            </w:tcBorders>
            <w:shd w:val="clear" w:color="auto" w:fill="auto"/>
            <w:noWrap/>
            <w:vAlign w:val="bottom"/>
            <w:hideMark/>
          </w:tcPr>
          <w:p w14:paraId="78EF61D3" w14:textId="77777777" w:rsidR="004A7DCA" w:rsidRPr="00C47483" w:rsidRDefault="004A7DCA" w:rsidP="003C60BC">
            <w:pPr>
              <w:jc w:val="center"/>
              <w:rPr>
                <w:rFonts w:ascii="Calibri" w:eastAsia="Times New Roman" w:hAnsi="Calibri" w:cs="Calibri"/>
                <w:b/>
                <w:bCs/>
                <w:color w:val="000000"/>
              </w:rPr>
            </w:pPr>
            <w:r w:rsidRPr="00C47483">
              <w:rPr>
                <w:rFonts w:ascii="Calibri" w:eastAsia="Times New Roman" w:hAnsi="Calibri" w:cs="Calibri"/>
                <w:b/>
                <w:bCs/>
                <w:color w:val="000000"/>
              </w:rPr>
              <w:t>Yes</w:t>
            </w:r>
          </w:p>
        </w:tc>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1288D8EF" w14:textId="77777777" w:rsidR="004A7DCA" w:rsidRPr="00C47483" w:rsidRDefault="004A7DCA" w:rsidP="003C60BC">
            <w:pPr>
              <w:jc w:val="right"/>
              <w:rPr>
                <w:rFonts w:ascii="Calibri" w:eastAsia="Times New Roman" w:hAnsi="Calibri" w:cs="Calibri"/>
                <w:color w:val="000000"/>
              </w:rPr>
            </w:pPr>
            <w:r w:rsidRPr="00C47483">
              <w:rPr>
                <w:rFonts w:ascii="Calibri" w:eastAsia="Times New Roman" w:hAnsi="Calibri" w:cs="Calibri"/>
                <w:color w:val="000000"/>
              </w:rPr>
              <w:t>5</w:t>
            </w:r>
          </w:p>
        </w:tc>
        <w:tc>
          <w:tcPr>
            <w:tcW w:w="1166" w:type="dxa"/>
            <w:tcBorders>
              <w:top w:val="nil"/>
              <w:left w:val="nil"/>
              <w:bottom w:val="single" w:sz="4" w:space="0" w:color="auto"/>
              <w:right w:val="single" w:sz="4" w:space="0" w:color="auto"/>
            </w:tcBorders>
            <w:shd w:val="clear" w:color="auto" w:fill="auto"/>
            <w:noWrap/>
            <w:vAlign w:val="bottom"/>
            <w:hideMark/>
          </w:tcPr>
          <w:p w14:paraId="26F71747" w14:textId="77777777" w:rsidR="004A7DCA" w:rsidRPr="00C47483" w:rsidRDefault="004A7DCA" w:rsidP="003C60BC">
            <w:pPr>
              <w:jc w:val="right"/>
              <w:rPr>
                <w:rFonts w:ascii="Calibri" w:eastAsia="Times New Roman" w:hAnsi="Calibri" w:cs="Calibri"/>
                <w:color w:val="000000"/>
              </w:rPr>
            </w:pPr>
            <w:r w:rsidRPr="00C47483">
              <w:rPr>
                <w:rFonts w:ascii="Calibri" w:eastAsia="Times New Roman" w:hAnsi="Calibri" w:cs="Calibri"/>
                <w:color w:val="000000"/>
              </w:rPr>
              <w:t>38.5%</w:t>
            </w:r>
          </w:p>
        </w:tc>
        <w:tc>
          <w:tcPr>
            <w:tcW w:w="593" w:type="dxa"/>
            <w:tcBorders>
              <w:top w:val="nil"/>
              <w:left w:val="nil"/>
              <w:bottom w:val="single" w:sz="4" w:space="0" w:color="auto"/>
              <w:right w:val="single" w:sz="4" w:space="0" w:color="auto"/>
            </w:tcBorders>
            <w:shd w:val="clear" w:color="auto" w:fill="auto"/>
            <w:noWrap/>
            <w:vAlign w:val="bottom"/>
            <w:hideMark/>
          </w:tcPr>
          <w:p w14:paraId="7044B916" w14:textId="77777777" w:rsidR="004A7DCA" w:rsidRPr="00C47483" w:rsidRDefault="004A7DCA" w:rsidP="003C60BC">
            <w:pPr>
              <w:jc w:val="right"/>
              <w:rPr>
                <w:rFonts w:ascii="Calibri" w:eastAsia="Times New Roman" w:hAnsi="Calibri" w:cs="Calibri"/>
                <w:color w:val="000000"/>
              </w:rPr>
            </w:pPr>
            <w:r w:rsidRPr="00C47483">
              <w:rPr>
                <w:rFonts w:ascii="Calibri" w:eastAsia="Times New Roman" w:hAnsi="Calibri" w:cs="Calibri"/>
                <w:color w:val="000000"/>
              </w:rPr>
              <w:t>2</w:t>
            </w:r>
          </w:p>
        </w:tc>
        <w:tc>
          <w:tcPr>
            <w:tcW w:w="1390" w:type="dxa"/>
            <w:tcBorders>
              <w:top w:val="nil"/>
              <w:left w:val="nil"/>
              <w:bottom w:val="single" w:sz="4" w:space="0" w:color="auto"/>
              <w:right w:val="single" w:sz="4" w:space="0" w:color="auto"/>
            </w:tcBorders>
            <w:shd w:val="clear" w:color="auto" w:fill="auto"/>
            <w:noWrap/>
            <w:vAlign w:val="bottom"/>
            <w:hideMark/>
          </w:tcPr>
          <w:p w14:paraId="177D66F9" w14:textId="77777777" w:rsidR="004A7DCA" w:rsidRPr="00C47483" w:rsidRDefault="004A7DCA" w:rsidP="003C60BC">
            <w:pPr>
              <w:jc w:val="right"/>
              <w:rPr>
                <w:rFonts w:ascii="Calibri" w:eastAsia="Times New Roman" w:hAnsi="Calibri" w:cs="Calibri"/>
                <w:color w:val="000000"/>
              </w:rPr>
            </w:pPr>
            <w:r w:rsidRPr="00C47483">
              <w:rPr>
                <w:rFonts w:ascii="Calibri" w:eastAsia="Times New Roman" w:hAnsi="Calibri" w:cs="Calibri"/>
                <w:color w:val="000000"/>
              </w:rPr>
              <w:t>100.0%</w:t>
            </w:r>
          </w:p>
        </w:tc>
        <w:tc>
          <w:tcPr>
            <w:tcW w:w="960" w:type="dxa"/>
            <w:tcBorders>
              <w:top w:val="nil"/>
              <w:left w:val="nil"/>
              <w:bottom w:val="nil"/>
              <w:right w:val="nil"/>
            </w:tcBorders>
            <w:shd w:val="clear" w:color="auto" w:fill="auto"/>
            <w:noWrap/>
            <w:vAlign w:val="bottom"/>
            <w:hideMark/>
          </w:tcPr>
          <w:p w14:paraId="40E41A2D" w14:textId="77777777" w:rsidR="004A7DCA" w:rsidRPr="00C47483" w:rsidRDefault="004A7DCA" w:rsidP="003C60BC">
            <w:pPr>
              <w:jc w:val="right"/>
              <w:rPr>
                <w:rFonts w:ascii="Calibri" w:eastAsia="Times New Roman" w:hAnsi="Calibri" w:cs="Calibri"/>
                <w:color w:val="000000"/>
              </w:rPr>
            </w:pPr>
          </w:p>
        </w:tc>
      </w:tr>
      <w:tr w:rsidR="004A7DCA" w:rsidRPr="00C47483" w14:paraId="201D9A6A" w14:textId="77777777" w:rsidTr="003C60BC">
        <w:trPr>
          <w:trHeight w:val="300"/>
        </w:trPr>
        <w:tc>
          <w:tcPr>
            <w:tcW w:w="1284" w:type="dxa"/>
            <w:tcBorders>
              <w:top w:val="nil"/>
              <w:left w:val="nil"/>
              <w:bottom w:val="nil"/>
              <w:right w:val="nil"/>
            </w:tcBorders>
            <w:shd w:val="clear" w:color="auto" w:fill="auto"/>
            <w:noWrap/>
            <w:vAlign w:val="bottom"/>
            <w:hideMark/>
          </w:tcPr>
          <w:p w14:paraId="18B69480" w14:textId="77777777" w:rsidR="004A7DCA" w:rsidRPr="00C47483" w:rsidRDefault="004A7DCA" w:rsidP="003C60BC">
            <w:pPr>
              <w:rPr>
                <w:rFonts w:eastAsia="Times New Roman"/>
                <w:sz w:val="20"/>
                <w:szCs w:val="20"/>
              </w:rPr>
            </w:pPr>
          </w:p>
        </w:tc>
        <w:tc>
          <w:tcPr>
            <w:tcW w:w="1720" w:type="dxa"/>
            <w:tcBorders>
              <w:top w:val="nil"/>
              <w:left w:val="nil"/>
              <w:bottom w:val="nil"/>
              <w:right w:val="nil"/>
            </w:tcBorders>
            <w:shd w:val="clear" w:color="auto" w:fill="auto"/>
            <w:noWrap/>
            <w:vAlign w:val="bottom"/>
            <w:hideMark/>
          </w:tcPr>
          <w:p w14:paraId="2F6BC393" w14:textId="77777777" w:rsidR="004A7DCA" w:rsidRPr="00C47483" w:rsidRDefault="004A7DCA" w:rsidP="003C60BC">
            <w:pPr>
              <w:jc w:val="center"/>
              <w:rPr>
                <w:rFonts w:ascii="Calibri" w:eastAsia="Times New Roman" w:hAnsi="Calibri" w:cs="Calibri"/>
                <w:b/>
                <w:bCs/>
                <w:color w:val="000000"/>
              </w:rPr>
            </w:pPr>
            <w:r w:rsidRPr="00C47483">
              <w:rPr>
                <w:rFonts w:ascii="Calibri" w:eastAsia="Times New Roman" w:hAnsi="Calibri" w:cs="Calibri"/>
                <w:b/>
                <w:bCs/>
                <w:color w:val="000000"/>
              </w:rPr>
              <w:t>No</w:t>
            </w:r>
          </w:p>
        </w:tc>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543AA668" w14:textId="77777777" w:rsidR="004A7DCA" w:rsidRPr="00C47483" w:rsidRDefault="004A7DCA" w:rsidP="003C60BC">
            <w:pPr>
              <w:jc w:val="right"/>
              <w:rPr>
                <w:rFonts w:ascii="Calibri" w:eastAsia="Times New Roman" w:hAnsi="Calibri" w:cs="Calibri"/>
                <w:color w:val="000000"/>
              </w:rPr>
            </w:pPr>
            <w:r w:rsidRPr="00C47483">
              <w:rPr>
                <w:rFonts w:ascii="Calibri" w:eastAsia="Times New Roman" w:hAnsi="Calibri" w:cs="Calibri"/>
                <w:color w:val="000000"/>
              </w:rPr>
              <w:t>8</w:t>
            </w:r>
          </w:p>
        </w:tc>
        <w:tc>
          <w:tcPr>
            <w:tcW w:w="1166" w:type="dxa"/>
            <w:tcBorders>
              <w:top w:val="nil"/>
              <w:left w:val="nil"/>
              <w:bottom w:val="single" w:sz="4" w:space="0" w:color="auto"/>
              <w:right w:val="single" w:sz="4" w:space="0" w:color="auto"/>
            </w:tcBorders>
            <w:shd w:val="clear" w:color="auto" w:fill="auto"/>
            <w:noWrap/>
            <w:vAlign w:val="bottom"/>
            <w:hideMark/>
          </w:tcPr>
          <w:p w14:paraId="690ED2F9" w14:textId="77777777" w:rsidR="004A7DCA" w:rsidRPr="00C47483" w:rsidRDefault="004A7DCA" w:rsidP="003C60BC">
            <w:pPr>
              <w:jc w:val="right"/>
              <w:rPr>
                <w:rFonts w:ascii="Calibri" w:eastAsia="Times New Roman" w:hAnsi="Calibri" w:cs="Calibri"/>
                <w:color w:val="000000"/>
              </w:rPr>
            </w:pPr>
            <w:r w:rsidRPr="00C47483">
              <w:rPr>
                <w:rFonts w:ascii="Calibri" w:eastAsia="Times New Roman" w:hAnsi="Calibri" w:cs="Calibri"/>
                <w:color w:val="000000"/>
              </w:rPr>
              <w:t>61.5%</w:t>
            </w:r>
          </w:p>
        </w:tc>
        <w:tc>
          <w:tcPr>
            <w:tcW w:w="593" w:type="dxa"/>
            <w:tcBorders>
              <w:top w:val="nil"/>
              <w:left w:val="nil"/>
              <w:bottom w:val="single" w:sz="4" w:space="0" w:color="auto"/>
              <w:right w:val="single" w:sz="4" w:space="0" w:color="auto"/>
            </w:tcBorders>
            <w:shd w:val="clear" w:color="auto" w:fill="auto"/>
            <w:noWrap/>
            <w:vAlign w:val="bottom"/>
            <w:hideMark/>
          </w:tcPr>
          <w:p w14:paraId="78C08993" w14:textId="77777777" w:rsidR="004A7DCA" w:rsidRPr="00C47483" w:rsidRDefault="004A7DCA" w:rsidP="003C60BC">
            <w:pPr>
              <w:jc w:val="right"/>
              <w:rPr>
                <w:rFonts w:ascii="Calibri" w:eastAsia="Times New Roman" w:hAnsi="Calibri" w:cs="Calibri"/>
                <w:color w:val="000000"/>
              </w:rPr>
            </w:pPr>
            <w:r w:rsidRPr="00C47483">
              <w:rPr>
                <w:rFonts w:ascii="Calibri" w:eastAsia="Times New Roman" w:hAnsi="Calibri" w:cs="Calibri"/>
                <w:color w:val="000000"/>
              </w:rPr>
              <w:t>0</w:t>
            </w:r>
          </w:p>
        </w:tc>
        <w:tc>
          <w:tcPr>
            <w:tcW w:w="1390" w:type="dxa"/>
            <w:tcBorders>
              <w:top w:val="nil"/>
              <w:left w:val="nil"/>
              <w:bottom w:val="single" w:sz="4" w:space="0" w:color="auto"/>
              <w:right w:val="single" w:sz="4" w:space="0" w:color="auto"/>
            </w:tcBorders>
            <w:shd w:val="clear" w:color="auto" w:fill="auto"/>
            <w:noWrap/>
            <w:vAlign w:val="bottom"/>
            <w:hideMark/>
          </w:tcPr>
          <w:p w14:paraId="0D6AB48E" w14:textId="77777777" w:rsidR="004A7DCA" w:rsidRPr="00C47483" w:rsidRDefault="004A7DCA" w:rsidP="003C60BC">
            <w:pPr>
              <w:jc w:val="right"/>
              <w:rPr>
                <w:rFonts w:ascii="Calibri" w:eastAsia="Times New Roman" w:hAnsi="Calibri" w:cs="Calibri"/>
                <w:color w:val="000000"/>
              </w:rPr>
            </w:pPr>
            <w:r w:rsidRPr="00C47483">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519D71A5" w14:textId="77777777" w:rsidR="004A7DCA" w:rsidRPr="00C47483" w:rsidRDefault="004A7DCA" w:rsidP="003C60BC">
            <w:pPr>
              <w:jc w:val="right"/>
              <w:rPr>
                <w:rFonts w:ascii="Calibri" w:eastAsia="Times New Roman" w:hAnsi="Calibri" w:cs="Calibri"/>
                <w:color w:val="000000"/>
              </w:rPr>
            </w:pPr>
          </w:p>
        </w:tc>
      </w:tr>
      <w:tr w:rsidR="004A7DCA" w:rsidRPr="00C47483" w14:paraId="27055578" w14:textId="77777777" w:rsidTr="003C60BC">
        <w:trPr>
          <w:trHeight w:val="300"/>
        </w:trPr>
        <w:tc>
          <w:tcPr>
            <w:tcW w:w="1284" w:type="dxa"/>
            <w:tcBorders>
              <w:top w:val="nil"/>
              <w:left w:val="nil"/>
              <w:bottom w:val="nil"/>
              <w:right w:val="nil"/>
            </w:tcBorders>
            <w:shd w:val="clear" w:color="auto" w:fill="auto"/>
            <w:noWrap/>
            <w:vAlign w:val="bottom"/>
            <w:hideMark/>
          </w:tcPr>
          <w:p w14:paraId="2AB99553" w14:textId="77777777" w:rsidR="004A7DCA" w:rsidRPr="00C47483" w:rsidRDefault="004A7DCA" w:rsidP="003C60BC">
            <w:pPr>
              <w:rPr>
                <w:rFonts w:eastAsia="Times New Roman"/>
                <w:sz w:val="20"/>
                <w:szCs w:val="20"/>
              </w:rPr>
            </w:pPr>
          </w:p>
        </w:tc>
        <w:tc>
          <w:tcPr>
            <w:tcW w:w="1720" w:type="dxa"/>
            <w:tcBorders>
              <w:top w:val="nil"/>
              <w:left w:val="nil"/>
              <w:bottom w:val="nil"/>
              <w:right w:val="nil"/>
            </w:tcBorders>
            <w:shd w:val="clear" w:color="auto" w:fill="auto"/>
            <w:noWrap/>
            <w:vAlign w:val="bottom"/>
            <w:hideMark/>
          </w:tcPr>
          <w:p w14:paraId="2CA24933" w14:textId="77777777" w:rsidR="004A7DCA" w:rsidRPr="00C47483" w:rsidRDefault="004A7DCA" w:rsidP="003C60BC">
            <w:pPr>
              <w:jc w:val="center"/>
              <w:rPr>
                <w:rFonts w:ascii="Calibri" w:eastAsia="Times New Roman" w:hAnsi="Calibri" w:cs="Calibri"/>
                <w:b/>
                <w:bCs/>
                <w:color w:val="000000"/>
              </w:rPr>
            </w:pPr>
            <w:r w:rsidRPr="00C47483">
              <w:rPr>
                <w:rFonts w:ascii="Calibri" w:eastAsia="Times New Roman" w:hAnsi="Calibri" w:cs="Calibri"/>
                <w:b/>
                <w:bCs/>
                <w:color w:val="000000"/>
              </w:rPr>
              <w:t>Total</w:t>
            </w:r>
          </w:p>
        </w:tc>
        <w:tc>
          <w:tcPr>
            <w:tcW w:w="692" w:type="dxa"/>
            <w:tcBorders>
              <w:top w:val="nil"/>
              <w:left w:val="nil"/>
              <w:bottom w:val="nil"/>
              <w:right w:val="nil"/>
            </w:tcBorders>
            <w:shd w:val="clear" w:color="auto" w:fill="auto"/>
            <w:noWrap/>
            <w:vAlign w:val="bottom"/>
            <w:hideMark/>
          </w:tcPr>
          <w:p w14:paraId="68DEFE45" w14:textId="77777777" w:rsidR="004A7DCA" w:rsidRPr="00C47483" w:rsidRDefault="004A7DCA" w:rsidP="003C60BC">
            <w:pPr>
              <w:jc w:val="right"/>
              <w:rPr>
                <w:rFonts w:ascii="Calibri" w:eastAsia="Times New Roman" w:hAnsi="Calibri" w:cs="Calibri"/>
                <w:b/>
                <w:bCs/>
                <w:color w:val="000000"/>
              </w:rPr>
            </w:pPr>
            <w:r w:rsidRPr="00C47483">
              <w:rPr>
                <w:rFonts w:ascii="Calibri" w:eastAsia="Times New Roman" w:hAnsi="Calibri" w:cs="Calibri"/>
                <w:b/>
                <w:bCs/>
                <w:color w:val="000000"/>
              </w:rPr>
              <w:t>13</w:t>
            </w:r>
          </w:p>
        </w:tc>
        <w:tc>
          <w:tcPr>
            <w:tcW w:w="1166" w:type="dxa"/>
            <w:tcBorders>
              <w:top w:val="nil"/>
              <w:left w:val="nil"/>
              <w:bottom w:val="nil"/>
              <w:right w:val="nil"/>
            </w:tcBorders>
            <w:shd w:val="clear" w:color="auto" w:fill="auto"/>
            <w:noWrap/>
            <w:vAlign w:val="bottom"/>
            <w:hideMark/>
          </w:tcPr>
          <w:p w14:paraId="4DCD879D" w14:textId="77777777" w:rsidR="004A7DCA" w:rsidRPr="00C47483" w:rsidRDefault="004A7DCA" w:rsidP="003C60BC">
            <w:pPr>
              <w:jc w:val="right"/>
              <w:rPr>
                <w:rFonts w:ascii="Calibri" w:eastAsia="Times New Roman" w:hAnsi="Calibri" w:cs="Calibri"/>
                <w:b/>
                <w:bCs/>
                <w:color w:val="000000"/>
              </w:rPr>
            </w:pPr>
          </w:p>
        </w:tc>
        <w:tc>
          <w:tcPr>
            <w:tcW w:w="593" w:type="dxa"/>
            <w:tcBorders>
              <w:top w:val="nil"/>
              <w:left w:val="nil"/>
              <w:bottom w:val="nil"/>
              <w:right w:val="nil"/>
            </w:tcBorders>
            <w:shd w:val="clear" w:color="auto" w:fill="auto"/>
            <w:noWrap/>
            <w:vAlign w:val="bottom"/>
            <w:hideMark/>
          </w:tcPr>
          <w:p w14:paraId="60D8771D" w14:textId="77777777" w:rsidR="004A7DCA" w:rsidRPr="00C47483" w:rsidRDefault="004A7DCA" w:rsidP="003C60BC">
            <w:pPr>
              <w:jc w:val="right"/>
              <w:rPr>
                <w:rFonts w:ascii="Calibri" w:eastAsia="Times New Roman" w:hAnsi="Calibri" w:cs="Calibri"/>
                <w:b/>
                <w:bCs/>
                <w:color w:val="000000"/>
              </w:rPr>
            </w:pPr>
            <w:r w:rsidRPr="00C47483">
              <w:rPr>
                <w:rFonts w:ascii="Calibri" w:eastAsia="Times New Roman" w:hAnsi="Calibri" w:cs="Calibri"/>
                <w:b/>
                <w:bCs/>
                <w:color w:val="000000"/>
              </w:rPr>
              <w:t>2</w:t>
            </w:r>
          </w:p>
        </w:tc>
        <w:tc>
          <w:tcPr>
            <w:tcW w:w="1390" w:type="dxa"/>
            <w:tcBorders>
              <w:top w:val="nil"/>
              <w:left w:val="nil"/>
              <w:bottom w:val="nil"/>
              <w:right w:val="nil"/>
            </w:tcBorders>
            <w:shd w:val="clear" w:color="auto" w:fill="auto"/>
            <w:noWrap/>
            <w:vAlign w:val="bottom"/>
            <w:hideMark/>
          </w:tcPr>
          <w:p w14:paraId="6B5E6EA5" w14:textId="77777777" w:rsidR="004A7DCA" w:rsidRPr="00C47483" w:rsidRDefault="004A7DCA" w:rsidP="003C60BC">
            <w:pPr>
              <w:jc w:val="right"/>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14:paraId="20C7AB5A" w14:textId="77777777" w:rsidR="004A7DCA" w:rsidRPr="00C47483" w:rsidRDefault="004A7DCA" w:rsidP="003C60BC">
            <w:pPr>
              <w:jc w:val="right"/>
              <w:rPr>
                <w:rFonts w:ascii="Calibri" w:eastAsia="Times New Roman" w:hAnsi="Calibri" w:cs="Calibri"/>
                <w:b/>
                <w:bCs/>
                <w:color w:val="000000"/>
              </w:rPr>
            </w:pPr>
            <w:r w:rsidRPr="00C47483">
              <w:rPr>
                <w:rFonts w:ascii="Calibri" w:eastAsia="Times New Roman" w:hAnsi="Calibri" w:cs="Calibri"/>
                <w:b/>
                <w:bCs/>
                <w:color w:val="000000"/>
              </w:rPr>
              <w:t>15</w:t>
            </w:r>
          </w:p>
        </w:tc>
      </w:tr>
    </w:tbl>
    <w:p w14:paraId="12AC91CC" w14:textId="77777777" w:rsidR="004A7DCA" w:rsidRDefault="004A7DCA" w:rsidP="004A7DCA">
      <w:pPr>
        <w:pStyle w:val="ListParagraph"/>
      </w:pPr>
    </w:p>
    <w:p w14:paraId="0161F13E" w14:textId="5E1A24CC" w:rsidR="004A7DCA" w:rsidRDefault="004A7DCA" w:rsidP="004A7DCA">
      <w:r>
        <w:t xml:space="preserve">Note that all 8 patients in the sample with abnormal spO2 and </w:t>
      </w:r>
      <w:r w:rsidRPr="00B963F1">
        <w:t xml:space="preserve">Age </w:t>
      </w:r>
      <w:r w:rsidRPr="00B963F1">
        <w:rPr>
          <w:rFonts w:cstheme="minorHAnsi"/>
        </w:rPr>
        <w:t>≥</w:t>
      </w:r>
      <w:r w:rsidRPr="00B963F1">
        <w:t xml:space="preserve"> 1 year </w:t>
      </w:r>
      <w:r w:rsidRPr="00CB146C">
        <w:rPr>
          <w:i/>
          <w:iCs/>
          <w:u w:val="single"/>
        </w:rPr>
        <w:t>(that’s greater than or equal to, not Age&lt;1yr)</w:t>
      </w:r>
      <w:r>
        <w:rPr>
          <w:i/>
          <w:iCs/>
          <w:u w:val="single"/>
        </w:rPr>
        <w:t xml:space="preserve"> </w:t>
      </w:r>
      <w:r>
        <w:t xml:space="preserve">were cases.  So, we should worry even more when we have an abnormal or unobtainable oxygen saturation in patients </w:t>
      </w:r>
      <w:r w:rsidRPr="00B963F1">
        <w:rPr>
          <w:rFonts w:cstheme="minorHAnsi"/>
          <w:i/>
          <w:iCs/>
        </w:rPr>
        <w:t xml:space="preserve">≥ </w:t>
      </w:r>
      <w:r w:rsidRPr="00B963F1">
        <w:t>1</w:t>
      </w:r>
      <w:r>
        <w:t xml:space="preserve"> year old.</w:t>
      </w:r>
    </w:p>
    <w:p w14:paraId="2C027E00" w14:textId="77777777" w:rsidR="003C60BC" w:rsidRPr="00CB146C" w:rsidRDefault="003C60BC" w:rsidP="004A7DCA"/>
    <w:p w14:paraId="2570787E" w14:textId="77777777" w:rsidR="004A7DCA" w:rsidRDefault="004A7DCA" w:rsidP="004A7DCA">
      <w:r>
        <w:t xml:space="preserve">Here are the </w:t>
      </w:r>
      <w:r w:rsidRPr="005B01CF">
        <w:rPr>
          <w:rFonts w:ascii="Calibri" w:eastAsia="Times New Roman" w:hAnsi="Calibri" w:cs="Calibri"/>
          <w:color w:val="000000"/>
        </w:rPr>
        <w:t>Age&lt;1yr</w:t>
      </w:r>
      <w:r w:rsidRPr="00C47483">
        <w:rPr>
          <w:sz w:val="16"/>
          <w:szCs w:val="16"/>
        </w:rPr>
        <w:t xml:space="preserve"> </w:t>
      </w:r>
      <w:r>
        <w:t>counts for the 90 patients with AbSpO2 = False (normal SpO2):</w:t>
      </w:r>
    </w:p>
    <w:tbl>
      <w:tblPr>
        <w:tblW w:w="7619" w:type="dxa"/>
        <w:tblLook w:val="04A0" w:firstRow="1" w:lastRow="0" w:firstColumn="1" w:lastColumn="0" w:noHBand="0" w:noVBand="1"/>
      </w:tblPr>
      <w:tblGrid>
        <w:gridCol w:w="1284"/>
        <w:gridCol w:w="1720"/>
        <w:gridCol w:w="735"/>
        <w:gridCol w:w="1238"/>
        <w:gridCol w:w="630"/>
        <w:gridCol w:w="1238"/>
        <w:gridCol w:w="960"/>
      </w:tblGrid>
      <w:tr w:rsidR="004A7DCA" w:rsidRPr="00063384" w14:paraId="4F14F84B" w14:textId="77777777" w:rsidTr="003C60BC">
        <w:trPr>
          <w:trHeight w:val="420"/>
        </w:trPr>
        <w:tc>
          <w:tcPr>
            <w:tcW w:w="1098"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66CB509D" w14:textId="77777777" w:rsidR="004A7DCA" w:rsidRPr="00063384" w:rsidRDefault="004A7DCA" w:rsidP="003C60BC">
            <w:pPr>
              <w:rPr>
                <w:rFonts w:ascii="Calibri" w:eastAsia="Times New Roman" w:hAnsi="Calibri" w:cs="Calibri"/>
                <w:b/>
                <w:bCs/>
                <w:color w:val="000000"/>
                <w:sz w:val="32"/>
                <w:szCs w:val="32"/>
              </w:rPr>
            </w:pPr>
            <w:r w:rsidRPr="00063384">
              <w:rPr>
                <w:rFonts w:ascii="Calibri" w:eastAsia="Times New Roman" w:hAnsi="Calibri" w:cs="Calibri"/>
                <w:b/>
                <w:bCs/>
                <w:color w:val="000000"/>
                <w:sz w:val="32"/>
                <w:szCs w:val="32"/>
              </w:rPr>
              <w:t>AbSpO2 = False</w:t>
            </w:r>
          </w:p>
        </w:tc>
        <w:tc>
          <w:tcPr>
            <w:tcW w:w="1720" w:type="dxa"/>
            <w:tcBorders>
              <w:top w:val="single" w:sz="4" w:space="0" w:color="000000"/>
              <w:left w:val="nil"/>
              <w:bottom w:val="single" w:sz="4" w:space="0" w:color="000000"/>
              <w:right w:val="single" w:sz="4" w:space="0" w:color="000000"/>
            </w:tcBorders>
            <w:shd w:val="clear" w:color="000000" w:fill="C0C0C0"/>
            <w:noWrap/>
            <w:vAlign w:val="bottom"/>
            <w:hideMark/>
          </w:tcPr>
          <w:p w14:paraId="20E09062" w14:textId="77777777" w:rsidR="004A7DCA" w:rsidRPr="00063384" w:rsidRDefault="004A7DCA" w:rsidP="003C60BC">
            <w:pPr>
              <w:jc w:val="center"/>
              <w:rPr>
                <w:rFonts w:ascii="Calibri" w:eastAsia="Times New Roman" w:hAnsi="Calibri" w:cs="Calibri"/>
                <w:b/>
                <w:bCs/>
                <w:color w:val="000000"/>
              </w:rPr>
            </w:pPr>
            <w:r w:rsidRPr="00063384">
              <w:rPr>
                <w:rFonts w:ascii="Calibri" w:eastAsia="Times New Roman" w:hAnsi="Calibri" w:cs="Calibri"/>
                <w:b/>
                <w:bCs/>
                <w:color w:val="000000"/>
              </w:rPr>
              <w:t> </w:t>
            </w:r>
          </w:p>
        </w:tc>
        <w:tc>
          <w:tcPr>
            <w:tcW w:w="3841" w:type="dxa"/>
            <w:gridSpan w:val="4"/>
            <w:tcBorders>
              <w:top w:val="single" w:sz="4" w:space="0" w:color="000000"/>
              <w:left w:val="nil"/>
              <w:bottom w:val="single" w:sz="4" w:space="0" w:color="000000"/>
              <w:right w:val="single" w:sz="4" w:space="0" w:color="000000"/>
            </w:tcBorders>
            <w:shd w:val="clear" w:color="000000" w:fill="C0C0C0"/>
            <w:noWrap/>
            <w:vAlign w:val="bottom"/>
            <w:hideMark/>
          </w:tcPr>
          <w:p w14:paraId="620FCCA0" w14:textId="77777777" w:rsidR="004A7DCA" w:rsidRPr="00063384" w:rsidRDefault="004A7DCA" w:rsidP="003C60BC">
            <w:pPr>
              <w:jc w:val="center"/>
              <w:rPr>
                <w:rFonts w:ascii="Calibri" w:eastAsia="Times New Roman" w:hAnsi="Calibri" w:cs="Calibri"/>
                <w:b/>
                <w:bCs/>
                <w:color w:val="000000"/>
              </w:rPr>
            </w:pPr>
            <w:r w:rsidRPr="00063384">
              <w:rPr>
                <w:rFonts w:ascii="Calibri" w:eastAsia="Times New Roman" w:hAnsi="Calibri" w:cs="Calibri"/>
                <w:b/>
                <w:bCs/>
                <w:color w:val="000000"/>
              </w:rPr>
              <w:t>PICA</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132A0BD7" w14:textId="77777777" w:rsidR="004A7DCA" w:rsidRPr="00063384" w:rsidRDefault="004A7DCA" w:rsidP="003C60BC">
            <w:pPr>
              <w:jc w:val="center"/>
              <w:rPr>
                <w:rFonts w:ascii="Calibri" w:eastAsia="Times New Roman" w:hAnsi="Calibri" w:cs="Calibri"/>
                <w:b/>
                <w:bCs/>
                <w:color w:val="000000"/>
              </w:rPr>
            </w:pPr>
            <w:r w:rsidRPr="00063384">
              <w:rPr>
                <w:rFonts w:ascii="Calibri" w:eastAsia="Times New Roman" w:hAnsi="Calibri" w:cs="Calibri"/>
                <w:b/>
                <w:bCs/>
                <w:color w:val="000000"/>
              </w:rPr>
              <w:t> </w:t>
            </w:r>
          </w:p>
        </w:tc>
      </w:tr>
      <w:tr w:rsidR="004A7DCA" w:rsidRPr="00063384" w14:paraId="419E92F8" w14:textId="77777777" w:rsidTr="003C60BC">
        <w:trPr>
          <w:trHeight w:val="300"/>
        </w:trPr>
        <w:tc>
          <w:tcPr>
            <w:tcW w:w="1098" w:type="dxa"/>
            <w:tcBorders>
              <w:top w:val="nil"/>
              <w:left w:val="nil"/>
              <w:bottom w:val="nil"/>
              <w:right w:val="nil"/>
            </w:tcBorders>
            <w:shd w:val="clear" w:color="auto" w:fill="auto"/>
            <w:noWrap/>
            <w:vAlign w:val="bottom"/>
            <w:hideMark/>
          </w:tcPr>
          <w:p w14:paraId="72863022" w14:textId="77777777" w:rsidR="004A7DCA" w:rsidRPr="00063384" w:rsidRDefault="004A7DCA" w:rsidP="003C60BC">
            <w:pPr>
              <w:jc w:val="center"/>
              <w:rPr>
                <w:rFonts w:ascii="Calibri" w:eastAsia="Times New Roman" w:hAnsi="Calibri" w:cs="Calibri"/>
                <w:b/>
                <w:bCs/>
                <w:color w:val="000000"/>
              </w:rPr>
            </w:pPr>
          </w:p>
        </w:tc>
        <w:tc>
          <w:tcPr>
            <w:tcW w:w="1720" w:type="dxa"/>
            <w:tcBorders>
              <w:top w:val="nil"/>
              <w:left w:val="single" w:sz="4" w:space="0" w:color="000000"/>
              <w:bottom w:val="single" w:sz="4" w:space="0" w:color="000000"/>
              <w:right w:val="single" w:sz="4" w:space="0" w:color="000000"/>
            </w:tcBorders>
            <w:shd w:val="clear" w:color="000000" w:fill="C0C0C0"/>
            <w:noWrap/>
            <w:vAlign w:val="bottom"/>
            <w:hideMark/>
          </w:tcPr>
          <w:p w14:paraId="20F16EDB" w14:textId="77777777" w:rsidR="004A7DCA" w:rsidRPr="00063384" w:rsidRDefault="004A7DCA" w:rsidP="003C60BC">
            <w:pPr>
              <w:rPr>
                <w:rFonts w:ascii="Calibri" w:eastAsia="Times New Roman" w:hAnsi="Calibri" w:cs="Calibri"/>
                <w:b/>
                <w:bCs/>
                <w:color w:val="000000"/>
              </w:rPr>
            </w:pPr>
            <w:r w:rsidRPr="00063384">
              <w:rPr>
                <w:rFonts w:ascii="Calibri" w:eastAsia="Times New Roman" w:hAnsi="Calibri" w:cs="Calibri"/>
                <w:b/>
                <w:bCs/>
                <w:color w:val="000000"/>
              </w:rPr>
              <w:t>Age</w:t>
            </w:r>
            <w:r>
              <w:rPr>
                <w:rFonts w:ascii="Calibri" w:eastAsia="Times New Roman" w:hAnsi="Calibri" w:cs="Calibri"/>
                <w:b/>
                <w:bCs/>
                <w:color w:val="000000"/>
              </w:rPr>
              <w:t>&lt;</w:t>
            </w:r>
            <w:r w:rsidRPr="00063384">
              <w:rPr>
                <w:rFonts w:ascii="Calibri" w:eastAsia="Times New Roman" w:hAnsi="Calibri" w:cs="Calibri"/>
                <w:b/>
                <w:bCs/>
                <w:color w:val="000000"/>
              </w:rPr>
              <w:t>1yr</w:t>
            </w:r>
          </w:p>
        </w:tc>
        <w:tc>
          <w:tcPr>
            <w:tcW w:w="735" w:type="dxa"/>
            <w:tcBorders>
              <w:top w:val="nil"/>
              <w:left w:val="nil"/>
              <w:bottom w:val="single" w:sz="4" w:space="0" w:color="000000"/>
              <w:right w:val="single" w:sz="4" w:space="0" w:color="000000"/>
            </w:tcBorders>
            <w:shd w:val="clear" w:color="000000" w:fill="C0C0C0"/>
            <w:noWrap/>
            <w:vAlign w:val="bottom"/>
            <w:hideMark/>
          </w:tcPr>
          <w:p w14:paraId="69368D9D" w14:textId="77777777" w:rsidR="004A7DCA" w:rsidRPr="00063384" w:rsidRDefault="004A7DCA" w:rsidP="003C60BC">
            <w:pPr>
              <w:jc w:val="center"/>
              <w:rPr>
                <w:rFonts w:ascii="Calibri" w:eastAsia="Times New Roman" w:hAnsi="Calibri" w:cs="Calibri"/>
                <w:b/>
                <w:bCs/>
                <w:color w:val="000000"/>
              </w:rPr>
            </w:pPr>
            <w:r w:rsidRPr="00063384">
              <w:rPr>
                <w:rFonts w:ascii="Calibri" w:eastAsia="Times New Roman" w:hAnsi="Calibri" w:cs="Calibri"/>
                <w:b/>
                <w:bCs/>
                <w:color w:val="000000"/>
              </w:rPr>
              <w:t>Yes</w:t>
            </w:r>
          </w:p>
        </w:tc>
        <w:tc>
          <w:tcPr>
            <w:tcW w:w="1238" w:type="dxa"/>
            <w:tcBorders>
              <w:top w:val="nil"/>
              <w:left w:val="nil"/>
              <w:bottom w:val="single" w:sz="4" w:space="0" w:color="000000"/>
              <w:right w:val="single" w:sz="4" w:space="0" w:color="000000"/>
            </w:tcBorders>
            <w:shd w:val="clear" w:color="000000" w:fill="C0C0C0"/>
            <w:noWrap/>
            <w:vAlign w:val="bottom"/>
            <w:hideMark/>
          </w:tcPr>
          <w:p w14:paraId="6CE3B9DE" w14:textId="77777777" w:rsidR="004A7DCA" w:rsidRPr="00063384" w:rsidRDefault="004A7DCA" w:rsidP="003C60BC">
            <w:pPr>
              <w:jc w:val="center"/>
              <w:rPr>
                <w:rFonts w:ascii="Calibri" w:eastAsia="Times New Roman" w:hAnsi="Calibri" w:cs="Calibri"/>
                <w:b/>
                <w:bCs/>
                <w:color w:val="000000"/>
              </w:rPr>
            </w:pPr>
            <w:r w:rsidRPr="00063384">
              <w:rPr>
                <w:rFonts w:ascii="Calibri" w:eastAsia="Times New Roman" w:hAnsi="Calibri" w:cs="Calibri"/>
                <w:b/>
                <w:bCs/>
                <w:color w:val="000000"/>
              </w:rPr>
              <w:t> </w:t>
            </w:r>
          </w:p>
        </w:tc>
        <w:tc>
          <w:tcPr>
            <w:tcW w:w="630" w:type="dxa"/>
            <w:tcBorders>
              <w:top w:val="nil"/>
              <w:left w:val="nil"/>
              <w:bottom w:val="single" w:sz="4" w:space="0" w:color="000000"/>
              <w:right w:val="single" w:sz="4" w:space="0" w:color="000000"/>
            </w:tcBorders>
            <w:shd w:val="clear" w:color="000000" w:fill="C0C0C0"/>
            <w:noWrap/>
            <w:vAlign w:val="bottom"/>
            <w:hideMark/>
          </w:tcPr>
          <w:p w14:paraId="775E60D2" w14:textId="77777777" w:rsidR="004A7DCA" w:rsidRPr="00063384" w:rsidRDefault="004A7DCA" w:rsidP="003C60BC">
            <w:pPr>
              <w:jc w:val="center"/>
              <w:rPr>
                <w:rFonts w:ascii="Calibri" w:eastAsia="Times New Roman" w:hAnsi="Calibri" w:cs="Calibri"/>
                <w:b/>
                <w:bCs/>
                <w:color w:val="000000"/>
              </w:rPr>
            </w:pPr>
            <w:r w:rsidRPr="00063384">
              <w:rPr>
                <w:rFonts w:ascii="Calibri" w:eastAsia="Times New Roman" w:hAnsi="Calibri" w:cs="Calibri"/>
                <w:b/>
                <w:bCs/>
                <w:color w:val="000000"/>
              </w:rPr>
              <w:t>No</w:t>
            </w:r>
          </w:p>
        </w:tc>
        <w:tc>
          <w:tcPr>
            <w:tcW w:w="1238" w:type="dxa"/>
            <w:tcBorders>
              <w:top w:val="nil"/>
              <w:left w:val="nil"/>
              <w:bottom w:val="single" w:sz="4" w:space="0" w:color="000000"/>
              <w:right w:val="single" w:sz="4" w:space="0" w:color="000000"/>
            </w:tcBorders>
            <w:shd w:val="clear" w:color="000000" w:fill="C0C0C0"/>
            <w:noWrap/>
            <w:vAlign w:val="bottom"/>
            <w:hideMark/>
          </w:tcPr>
          <w:p w14:paraId="7AB55D22" w14:textId="77777777" w:rsidR="004A7DCA" w:rsidRPr="00063384" w:rsidRDefault="004A7DCA" w:rsidP="003C60BC">
            <w:pPr>
              <w:jc w:val="center"/>
              <w:rPr>
                <w:rFonts w:ascii="Calibri" w:eastAsia="Times New Roman" w:hAnsi="Calibri" w:cs="Calibri"/>
                <w:b/>
                <w:bCs/>
                <w:color w:val="000000"/>
              </w:rPr>
            </w:pPr>
            <w:r w:rsidRPr="00063384">
              <w:rPr>
                <w:rFonts w:ascii="Calibri" w:eastAsia="Times New Roman" w:hAnsi="Calibri" w:cs="Calibri"/>
                <w:b/>
                <w:bCs/>
                <w:color w:val="000000"/>
              </w:rPr>
              <w:t> </w:t>
            </w:r>
          </w:p>
        </w:tc>
        <w:tc>
          <w:tcPr>
            <w:tcW w:w="960" w:type="dxa"/>
            <w:tcBorders>
              <w:top w:val="nil"/>
              <w:left w:val="nil"/>
              <w:bottom w:val="single" w:sz="4" w:space="0" w:color="000000"/>
              <w:right w:val="single" w:sz="4" w:space="0" w:color="000000"/>
            </w:tcBorders>
            <w:shd w:val="clear" w:color="000000" w:fill="C0C0C0"/>
            <w:noWrap/>
            <w:vAlign w:val="bottom"/>
            <w:hideMark/>
          </w:tcPr>
          <w:p w14:paraId="1AC2E381" w14:textId="77777777" w:rsidR="004A7DCA" w:rsidRPr="00063384" w:rsidRDefault="004A7DCA" w:rsidP="003C60BC">
            <w:pPr>
              <w:jc w:val="center"/>
              <w:rPr>
                <w:rFonts w:ascii="Calibri" w:eastAsia="Times New Roman" w:hAnsi="Calibri" w:cs="Calibri"/>
                <w:b/>
                <w:bCs/>
                <w:color w:val="000000"/>
              </w:rPr>
            </w:pPr>
            <w:r w:rsidRPr="00063384">
              <w:rPr>
                <w:rFonts w:ascii="Calibri" w:eastAsia="Times New Roman" w:hAnsi="Calibri" w:cs="Calibri"/>
                <w:b/>
                <w:bCs/>
                <w:color w:val="000000"/>
              </w:rPr>
              <w:t>Total</w:t>
            </w:r>
          </w:p>
        </w:tc>
      </w:tr>
      <w:tr w:rsidR="004A7DCA" w:rsidRPr="00063384" w14:paraId="57105F3A" w14:textId="77777777" w:rsidTr="003C60BC">
        <w:trPr>
          <w:trHeight w:val="300"/>
        </w:trPr>
        <w:tc>
          <w:tcPr>
            <w:tcW w:w="1098" w:type="dxa"/>
            <w:tcBorders>
              <w:top w:val="nil"/>
              <w:left w:val="nil"/>
              <w:bottom w:val="nil"/>
              <w:right w:val="nil"/>
            </w:tcBorders>
            <w:shd w:val="clear" w:color="auto" w:fill="auto"/>
            <w:noWrap/>
            <w:vAlign w:val="bottom"/>
            <w:hideMark/>
          </w:tcPr>
          <w:p w14:paraId="7B791C64" w14:textId="77777777" w:rsidR="004A7DCA" w:rsidRPr="00063384" w:rsidRDefault="004A7DCA" w:rsidP="003C60BC">
            <w:pPr>
              <w:jc w:val="center"/>
              <w:rPr>
                <w:rFonts w:ascii="Calibri" w:eastAsia="Times New Roman" w:hAnsi="Calibri" w:cs="Calibri"/>
                <w:b/>
                <w:bCs/>
                <w:color w:val="000000"/>
              </w:rPr>
            </w:pPr>
          </w:p>
        </w:tc>
        <w:tc>
          <w:tcPr>
            <w:tcW w:w="1720" w:type="dxa"/>
            <w:tcBorders>
              <w:top w:val="nil"/>
              <w:left w:val="nil"/>
              <w:bottom w:val="nil"/>
              <w:right w:val="nil"/>
            </w:tcBorders>
            <w:shd w:val="clear" w:color="auto" w:fill="auto"/>
            <w:noWrap/>
            <w:vAlign w:val="bottom"/>
            <w:hideMark/>
          </w:tcPr>
          <w:p w14:paraId="70432289" w14:textId="77777777" w:rsidR="004A7DCA" w:rsidRPr="00063384" w:rsidRDefault="004A7DCA" w:rsidP="003C60BC">
            <w:pPr>
              <w:jc w:val="center"/>
              <w:rPr>
                <w:rFonts w:ascii="Calibri" w:eastAsia="Times New Roman" w:hAnsi="Calibri" w:cs="Calibri"/>
                <w:b/>
                <w:bCs/>
                <w:color w:val="000000"/>
              </w:rPr>
            </w:pPr>
            <w:r w:rsidRPr="00063384">
              <w:rPr>
                <w:rFonts w:ascii="Calibri" w:eastAsia="Times New Roman" w:hAnsi="Calibri" w:cs="Calibri"/>
                <w:b/>
                <w:bCs/>
                <w:color w:val="000000"/>
              </w:rPr>
              <w:t>Yes</w:t>
            </w:r>
          </w:p>
        </w:tc>
        <w:tc>
          <w:tcPr>
            <w:tcW w:w="735" w:type="dxa"/>
            <w:tcBorders>
              <w:top w:val="nil"/>
              <w:left w:val="nil"/>
              <w:bottom w:val="nil"/>
              <w:right w:val="nil"/>
            </w:tcBorders>
            <w:shd w:val="clear" w:color="auto" w:fill="auto"/>
            <w:noWrap/>
            <w:vAlign w:val="bottom"/>
            <w:hideMark/>
          </w:tcPr>
          <w:p w14:paraId="5A90C57F" w14:textId="77777777" w:rsidR="004A7DCA" w:rsidRPr="00063384" w:rsidRDefault="004A7DCA" w:rsidP="003C60BC">
            <w:pPr>
              <w:jc w:val="right"/>
              <w:rPr>
                <w:rFonts w:ascii="Calibri" w:eastAsia="Times New Roman" w:hAnsi="Calibri" w:cs="Calibri"/>
                <w:color w:val="000000"/>
              </w:rPr>
            </w:pPr>
            <w:r w:rsidRPr="00063384">
              <w:rPr>
                <w:rFonts w:ascii="Calibri" w:eastAsia="Times New Roman" w:hAnsi="Calibri" w:cs="Calibri"/>
                <w:color w:val="000000"/>
              </w:rPr>
              <w:t>4</w:t>
            </w:r>
          </w:p>
        </w:tc>
        <w:tc>
          <w:tcPr>
            <w:tcW w:w="1238" w:type="dxa"/>
            <w:tcBorders>
              <w:top w:val="nil"/>
              <w:left w:val="nil"/>
              <w:bottom w:val="nil"/>
              <w:right w:val="nil"/>
            </w:tcBorders>
            <w:shd w:val="clear" w:color="auto" w:fill="auto"/>
            <w:noWrap/>
            <w:vAlign w:val="bottom"/>
            <w:hideMark/>
          </w:tcPr>
          <w:p w14:paraId="7EF59058" w14:textId="77777777" w:rsidR="004A7DCA" w:rsidRPr="00063384" w:rsidRDefault="004A7DCA" w:rsidP="003C60BC">
            <w:pPr>
              <w:jc w:val="right"/>
              <w:rPr>
                <w:rFonts w:ascii="Calibri" w:eastAsia="Times New Roman" w:hAnsi="Calibri" w:cs="Calibri"/>
                <w:color w:val="000000"/>
              </w:rPr>
            </w:pPr>
            <w:r w:rsidRPr="00063384">
              <w:rPr>
                <w:rFonts w:ascii="Calibri" w:eastAsia="Times New Roman" w:hAnsi="Calibri" w:cs="Calibri"/>
                <w:color w:val="000000"/>
              </w:rPr>
              <w:t>50.0%</w:t>
            </w:r>
          </w:p>
        </w:tc>
        <w:tc>
          <w:tcPr>
            <w:tcW w:w="630" w:type="dxa"/>
            <w:tcBorders>
              <w:top w:val="nil"/>
              <w:left w:val="nil"/>
              <w:bottom w:val="nil"/>
              <w:right w:val="nil"/>
            </w:tcBorders>
            <w:shd w:val="clear" w:color="auto" w:fill="auto"/>
            <w:noWrap/>
            <w:vAlign w:val="bottom"/>
            <w:hideMark/>
          </w:tcPr>
          <w:p w14:paraId="2DAF7FCC" w14:textId="77777777" w:rsidR="004A7DCA" w:rsidRPr="00063384" w:rsidRDefault="004A7DCA" w:rsidP="003C60BC">
            <w:pPr>
              <w:jc w:val="right"/>
              <w:rPr>
                <w:rFonts w:ascii="Calibri" w:eastAsia="Times New Roman" w:hAnsi="Calibri" w:cs="Calibri"/>
                <w:color w:val="000000"/>
              </w:rPr>
            </w:pPr>
            <w:r w:rsidRPr="00063384">
              <w:rPr>
                <w:rFonts w:ascii="Calibri" w:eastAsia="Times New Roman" w:hAnsi="Calibri" w:cs="Calibri"/>
                <w:color w:val="000000"/>
              </w:rPr>
              <w:t>11</w:t>
            </w:r>
          </w:p>
        </w:tc>
        <w:tc>
          <w:tcPr>
            <w:tcW w:w="1238" w:type="dxa"/>
            <w:tcBorders>
              <w:top w:val="nil"/>
              <w:left w:val="nil"/>
              <w:bottom w:val="nil"/>
              <w:right w:val="nil"/>
            </w:tcBorders>
            <w:shd w:val="clear" w:color="auto" w:fill="auto"/>
            <w:noWrap/>
            <w:vAlign w:val="bottom"/>
            <w:hideMark/>
          </w:tcPr>
          <w:p w14:paraId="40C68A74" w14:textId="77777777" w:rsidR="004A7DCA" w:rsidRPr="00063384" w:rsidRDefault="004A7DCA" w:rsidP="003C60BC">
            <w:pPr>
              <w:jc w:val="right"/>
              <w:rPr>
                <w:rFonts w:ascii="Calibri" w:eastAsia="Times New Roman" w:hAnsi="Calibri" w:cs="Calibri"/>
                <w:color w:val="000000"/>
              </w:rPr>
            </w:pPr>
            <w:r w:rsidRPr="00063384">
              <w:rPr>
                <w:rFonts w:ascii="Calibri" w:eastAsia="Times New Roman" w:hAnsi="Calibri" w:cs="Calibri"/>
                <w:color w:val="000000"/>
              </w:rPr>
              <w:t>13.4%</w:t>
            </w:r>
          </w:p>
        </w:tc>
        <w:tc>
          <w:tcPr>
            <w:tcW w:w="960" w:type="dxa"/>
            <w:tcBorders>
              <w:top w:val="nil"/>
              <w:left w:val="nil"/>
              <w:bottom w:val="nil"/>
              <w:right w:val="nil"/>
            </w:tcBorders>
            <w:shd w:val="clear" w:color="auto" w:fill="auto"/>
            <w:noWrap/>
            <w:vAlign w:val="bottom"/>
            <w:hideMark/>
          </w:tcPr>
          <w:p w14:paraId="1BBA59B6" w14:textId="77777777" w:rsidR="004A7DCA" w:rsidRPr="00063384" w:rsidRDefault="004A7DCA" w:rsidP="003C60BC">
            <w:pPr>
              <w:jc w:val="right"/>
              <w:rPr>
                <w:rFonts w:ascii="Calibri" w:eastAsia="Times New Roman" w:hAnsi="Calibri" w:cs="Calibri"/>
                <w:color w:val="000000"/>
              </w:rPr>
            </w:pPr>
          </w:p>
        </w:tc>
      </w:tr>
      <w:tr w:rsidR="004A7DCA" w:rsidRPr="00063384" w14:paraId="5A4567DF" w14:textId="77777777" w:rsidTr="003C60BC">
        <w:trPr>
          <w:trHeight w:val="300"/>
        </w:trPr>
        <w:tc>
          <w:tcPr>
            <w:tcW w:w="1098" w:type="dxa"/>
            <w:tcBorders>
              <w:top w:val="nil"/>
              <w:left w:val="nil"/>
              <w:bottom w:val="nil"/>
              <w:right w:val="nil"/>
            </w:tcBorders>
            <w:shd w:val="clear" w:color="auto" w:fill="auto"/>
            <w:noWrap/>
            <w:vAlign w:val="bottom"/>
            <w:hideMark/>
          </w:tcPr>
          <w:p w14:paraId="2A22122F" w14:textId="77777777" w:rsidR="004A7DCA" w:rsidRPr="00063384" w:rsidRDefault="004A7DCA" w:rsidP="003C60BC">
            <w:pPr>
              <w:rPr>
                <w:rFonts w:eastAsia="Times New Roman"/>
                <w:sz w:val="20"/>
                <w:szCs w:val="20"/>
              </w:rPr>
            </w:pPr>
          </w:p>
        </w:tc>
        <w:tc>
          <w:tcPr>
            <w:tcW w:w="1720" w:type="dxa"/>
            <w:tcBorders>
              <w:top w:val="nil"/>
              <w:left w:val="nil"/>
              <w:bottom w:val="nil"/>
              <w:right w:val="nil"/>
            </w:tcBorders>
            <w:shd w:val="clear" w:color="auto" w:fill="auto"/>
            <w:noWrap/>
            <w:vAlign w:val="bottom"/>
            <w:hideMark/>
          </w:tcPr>
          <w:p w14:paraId="78204DF1" w14:textId="77777777" w:rsidR="004A7DCA" w:rsidRPr="00063384" w:rsidRDefault="004A7DCA" w:rsidP="003C60BC">
            <w:pPr>
              <w:jc w:val="center"/>
              <w:rPr>
                <w:rFonts w:ascii="Calibri" w:eastAsia="Times New Roman" w:hAnsi="Calibri" w:cs="Calibri"/>
                <w:b/>
                <w:bCs/>
                <w:color w:val="000000"/>
              </w:rPr>
            </w:pPr>
            <w:r w:rsidRPr="00063384">
              <w:rPr>
                <w:rFonts w:ascii="Calibri" w:eastAsia="Times New Roman" w:hAnsi="Calibri" w:cs="Calibri"/>
                <w:b/>
                <w:bCs/>
                <w:color w:val="000000"/>
              </w:rPr>
              <w:t>No</w:t>
            </w:r>
          </w:p>
        </w:tc>
        <w:tc>
          <w:tcPr>
            <w:tcW w:w="735" w:type="dxa"/>
            <w:tcBorders>
              <w:top w:val="nil"/>
              <w:left w:val="nil"/>
              <w:bottom w:val="nil"/>
              <w:right w:val="nil"/>
            </w:tcBorders>
            <w:shd w:val="clear" w:color="auto" w:fill="auto"/>
            <w:noWrap/>
            <w:vAlign w:val="bottom"/>
            <w:hideMark/>
          </w:tcPr>
          <w:p w14:paraId="0A5B1196" w14:textId="77777777" w:rsidR="004A7DCA" w:rsidRPr="00063384" w:rsidRDefault="004A7DCA" w:rsidP="003C60BC">
            <w:pPr>
              <w:jc w:val="right"/>
              <w:rPr>
                <w:rFonts w:ascii="Calibri" w:eastAsia="Times New Roman" w:hAnsi="Calibri" w:cs="Calibri"/>
                <w:color w:val="000000"/>
              </w:rPr>
            </w:pPr>
            <w:r w:rsidRPr="00063384">
              <w:rPr>
                <w:rFonts w:ascii="Calibri" w:eastAsia="Times New Roman" w:hAnsi="Calibri" w:cs="Calibri"/>
                <w:color w:val="000000"/>
              </w:rPr>
              <w:t>4</w:t>
            </w:r>
          </w:p>
        </w:tc>
        <w:tc>
          <w:tcPr>
            <w:tcW w:w="1238" w:type="dxa"/>
            <w:tcBorders>
              <w:top w:val="nil"/>
              <w:left w:val="nil"/>
              <w:bottom w:val="nil"/>
              <w:right w:val="nil"/>
            </w:tcBorders>
            <w:shd w:val="clear" w:color="auto" w:fill="auto"/>
            <w:noWrap/>
            <w:vAlign w:val="bottom"/>
            <w:hideMark/>
          </w:tcPr>
          <w:p w14:paraId="62BE64DB" w14:textId="77777777" w:rsidR="004A7DCA" w:rsidRPr="00063384" w:rsidRDefault="004A7DCA" w:rsidP="003C60BC">
            <w:pPr>
              <w:jc w:val="right"/>
              <w:rPr>
                <w:rFonts w:ascii="Calibri" w:eastAsia="Times New Roman" w:hAnsi="Calibri" w:cs="Calibri"/>
                <w:color w:val="000000"/>
              </w:rPr>
            </w:pPr>
            <w:r w:rsidRPr="00063384">
              <w:rPr>
                <w:rFonts w:ascii="Calibri" w:eastAsia="Times New Roman" w:hAnsi="Calibri" w:cs="Calibri"/>
                <w:color w:val="000000"/>
              </w:rPr>
              <w:t>50.0%</w:t>
            </w:r>
          </w:p>
        </w:tc>
        <w:tc>
          <w:tcPr>
            <w:tcW w:w="630" w:type="dxa"/>
            <w:tcBorders>
              <w:top w:val="nil"/>
              <w:left w:val="nil"/>
              <w:bottom w:val="nil"/>
              <w:right w:val="nil"/>
            </w:tcBorders>
            <w:shd w:val="clear" w:color="auto" w:fill="auto"/>
            <w:noWrap/>
            <w:vAlign w:val="bottom"/>
            <w:hideMark/>
          </w:tcPr>
          <w:p w14:paraId="3D301CB2" w14:textId="77777777" w:rsidR="004A7DCA" w:rsidRPr="00063384" w:rsidRDefault="004A7DCA" w:rsidP="003C60BC">
            <w:pPr>
              <w:jc w:val="right"/>
              <w:rPr>
                <w:rFonts w:ascii="Calibri" w:eastAsia="Times New Roman" w:hAnsi="Calibri" w:cs="Calibri"/>
                <w:color w:val="000000"/>
              </w:rPr>
            </w:pPr>
            <w:r w:rsidRPr="00063384">
              <w:rPr>
                <w:rFonts w:ascii="Calibri" w:eastAsia="Times New Roman" w:hAnsi="Calibri" w:cs="Calibri"/>
                <w:color w:val="000000"/>
              </w:rPr>
              <w:t>71</w:t>
            </w:r>
          </w:p>
        </w:tc>
        <w:tc>
          <w:tcPr>
            <w:tcW w:w="1238" w:type="dxa"/>
            <w:tcBorders>
              <w:top w:val="nil"/>
              <w:left w:val="nil"/>
              <w:bottom w:val="nil"/>
              <w:right w:val="nil"/>
            </w:tcBorders>
            <w:shd w:val="clear" w:color="auto" w:fill="auto"/>
            <w:noWrap/>
            <w:vAlign w:val="bottom"/>
            <w:hideMark/>
          </w:tcPr>
          <w:p w14:paraId="79C9AB28" w14:textId="77777777" w:rsidR="004A7DCA" w:rsidRPr="00063384" w:rsidRDefault="004A7DCA" w:rsidP="003C60BC">
            <w:pPr>
              <w:jc w:val="right"/>
              <w:rPr>
                <w:rFonts w:ascii="Calibri" w:eastAsia="Times New Roman" w:hAnsi="Calibri" w:cs="Calibri"/>
                <w:color w:val="000000"/>
              </w:rPr>
            </w:pPr>
            <w:r w:rsidRPr="00063384">
              <w:rPr>
                <w:rFonts w:ascii="Calibri" w:eastAsia="Times New Roman" w:hAnsi="Calibri" w:cs="Calibri"/>
                <w:color w:val="000000"/>
              </w:rPr>
              <w:t>86.6%</w:t>
            </w:r>
          </w:p>
        </w:tc>
        <w:tc>
          <w:tcPr>
            <w:tcW w:w="960" w:type="dxa"/>
            <w:tcBorders>
              <w:top w:val="nil"/>
              <w:left w:val="nil"/>
              <w:bottom w:val="nil"/>
              <w:right w:val="nil"/>
            </w:tcBorders>
            <w:shd w:val="clear" w:color="auto" w:fill="auto"/>
            <w:noWrap/>
            <w:vAlign w:val="bottom"/>
            <w:hideMark/>
          </w:tcPr>
          <w:p w14:paraId="48B81D35" w14:textId="77777777" w:rsidR="004A7DCA" w:rsidRPr="00063384" w:rsidRDefault="004A7DCA" w:rsidP="003C60BC">
            <w:pPr>
              <w:jc w:val="right"/>
              <w:rPr>
                <w:rFonts w:ascii="Calibri" w:eastAsia="Times New Roman" w:hAnsi="Calibri" w:cs="Calibri"/>
                <w:color w:val="000000"/>
              </w:rPr>
            </w:pPr>
          </w:p>
        </w:tc>
      </w:tr>
      <w:tr w:rsidR="004A7DCA" w:rsidRPr="00063384" w14:paraId="76BDE224" w14:textId="77777777" w:rsidTr="003C60BC">
        <w:trPr>
          <w:trHeight w:val="300"/>
        </w:trPr>
        <w:tc>
          <w:tcPr>
            <w:tcW w:w="1098" w:type="dxa"/>
            <w:tcBorders>
              <w:top w:val="nil"/>
              <w:left w:val="nil"/>
              <w:bottom w:val="nil"/>
              <w:right w:val="nil"/>
            </w:tcBorders>
            <w:shd w:val="clear" w:color="auto" w:fill="auto"/>
            <w:noWrap/>
            <w:vAlign w:val="bottom"/>
            <w:hideMark/>
          </w:tcPr>
          <w:p w14:paraId="33AECC40" w14:textId="77777777" w:rsidR="004A7DCA" w:rsidRPr="00063384" w:rsidRDefault="004A7DCA" w:rsidP="003C60BC">
            <w:pPr>
              <w:rPr>
                <w:rFonts w:eastAsia="Times New Roman"/>
                <w:sz w:val="20"/>
                <w:szCs w:val="20"/>
              </w:rPr>
            </w:pPr>
          </w:p>
        </w:tc>
        <w:tc>
          <w:tcPr>
            <w:tcW w:w="1720" w:type="dxa"/>
            <w:tcBorders>
              <w:top w:val="nil"/>
              <w:left w:val="nil"/>
              <w:bottom w:val="nil"/>
              <w:right w:val="nil"/>
            </w:tcBorders>
            <w:shd w:val="clear" w:color="auto" w:fill="auto"/>
            <w:noWrap/>
            <w:vAlign w:val="bottom"/>
            <w:hideMark/>
          </w:tcPr>
          <w:p w14:paraId="53DE7EDA" w14:textId="77777777" w:rsidR="004A7DCA" w:rsidRPr="00063384" w:rsidRDefault="004A7DCA" w:rsidP="003C60BC">
            <w:pPr>
              <w:jc w:val="center"/>
              <w:rPr>
                <w:rFonts w:ascii="Calibri" w:eastAsia="Times New Roman" w:hAnsi="Calibri" w:cs="Calibri"/>
                <w:b/>
                <w:bCs/>
                <w:color w:val="000000"/>
              </w:rPr>
            </w:pPr>
            <w:r w:rsidRPr="00063384">
              <w:rPr>
                <w:rFonts w:ascii="Calibri" w:eastAsia="Times New Roman" w:hAnsi="Calibri" w:cs="Calibri"/>
                <w:b/>
                <w:bCs/>
                <w:color w:val="000000"/>
              </w:rPr>
              <w:t>Total</w:t>
            </w:r>
          </w:p>
        </w:tc>
        <w:tc>
          <w:tcPr>
            <w:tcW w:w="735" w:type="dxa"/>
            <w:tcBorders>
              <w:top w:val="nil"/>
              <w:left w:val="nil"/>
              <w:bottom w:val="nil"/>
              <w:right w:val="nil"/>
            </w:tcBorders>
            <w:shd w:val="clear" w:color="auto" w:fill="auto"/>
            <w:noWrap/>
            <w:vAlign w:val="bottom"/>
            <w:hideMark/>
          </w:tcPr>
          <w:p w14:paraId="19B5559A" w14:textId="77777777" w:rsidR="004A7DCA" w:rsidRPr="00063384" w:rsidRDefault="004A7DCA" w:rsidP="003C60BC">
            <w:pPr>
              <w:jc w:val="right"/>
              <w:rPr>
                <w:rFonts w:ascii="Calibri" w:eastAsia="Times New Roman" w:hAnsi="Calibri" w:cs="Calibri"/>
                <w:b/>
                <w:bCs/>
                <w:color w:val="000000"/>
              </w:rPr>
            </w:pPr>
            <w:r w:rsidRPr="00063384">
              <w:rPr>
                <w:rFonts w:ascii="Calibri" w:eastAsia="Times New Roman" w:hAnsi="Calibri" w:cs="Calibri"/>
                <w:b/>
                <w:bCs/>
                <w:color w:val="000000"/>
              </w:rPr>
              <w:t>8</w:t>
            </w:r>
          </w:p>
        </w:tc>
        <w:tc>
          <w:tcPr>
            <w:tcW w:w="1238" w:type="dxa"/>
            <w:tcBorders>
              <w:top w:val="nil"/>
              <w:left w:val="nil"/>
              <w:bottom w:val="nil"/>
              <w:right w:val="nil"/>
            </w:tcBorders>
            <w:shd w:val="clear" w:color="auto" w:fill="auto"/>
            <w:noWrap/>
            <w:vAlign w:val="bottom"/>
            <w:hideMark/>
          </w:tcPr>
          <w:p w14:paraId="5CA1B7B4" w14:textId="77777777" w:rsidR="004A7DCA" w:rsidRPr="00063384" w:rsidRDefault="004A7DCA" w:rsidP="003C60BC">
            <w:pPr>
              <w:jc w:val="right"/>
              <w:rPr>
                <w:rFonts w:ascii="Calibri" w:eastAsia="Times New Roman" w:hAnsi="Calibri" w:cs="Calibri"/>
                <w:b/>
                <w:bCs/>
                <w:color w:val="000000"/>
              </w:rPr>
            </w:pPr>
          </w:p>
        </w:tc>
        <w:tc>
          <w:tcPr>
            <w:tcW w:w="630" w:type="dxa"/>
            <w:tcBorders>
              <w:top w:val="nil"/>
              <w:left w:val="nil"/>
              <w:bottom w:val="nil"/>
              <w:right w:val="nil"/>
            </w:tcBorders>
            <w:shd w:val="clear" w:color="auto" w:fill="auto"/>
            <w:noWrap/>
            <w:vAlign w:val="bottom"/>
            <w:hideMark/>
          </w:tcPr>
          <w:p w14:paraId="43116E86" w14:textId="77777777" w:rsidR="004A7DCA" w:rsidRPr="00063384" w:rsidRDefault="004A7DCA" w:rsidP="003C60BC">
            <w:pPr>
              <w:jc w:val="right"/>
              <w:rPr>
                <w:rFonts w:ascii="Calibri" w:eastAsia="Times New Roman" w:hAnsi="Calibri" w:cs="Calibri"/>
                <w:b/>
                <w:bCs/>
                <w:color w:val="000000"/>
              </w:rPr>
            </w:pPr>
            <w:r w:rsidRPr="00063384">
              <w:rPr>
                <w:rFonts w:ascii="Calibri" w:eastAsia="Times New Roman" w:hAnsi="Calibri" w:cs="Calibri"/>
                <w:b/>
                <w:bCs/>
                <w:color w:val="000000"/>
              </w:rPr>
              <w:t>82</w:t>
            </w:r>
          </w:p>
        </w:tc>
        <w:tc>
          <w:tcPr>
            <w:tcW w:w="1238" w:type="dxa"/>
            <w:tcBorders>
              <w:top w:val="nil"/>
              <w:left w:val="nil"/>
              <w:bottom w:val="nil"/>
              <w:right w:val="nil"/>
            </w:tcBorders>
            <w:shd w:val="clear" w:color="auto" w:fill="auto"/>
            <w:noWrap/>
            <w:vAlign w:val="bottom"/>
            <w:hideMark/>
          </w:tcPr>
          <w:p w14:paraId="0EC9E75F" w14:textId="77777777" w:rsidR="004A7DCA" w:rsidRPr="00063384" w:rsidRDefault="004A7DCA" w:rsidP="003C60BC">
            <w:pPr>
              <w:jc w:val="right"/>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14:paraId="72BDCF12" w14:textId="77777777" w:rsidR="004A7DCA" w:rsidRPr="00063384" w:rsidRDefault="004A7DCA" w:rsidP="003C60BC">
            <w:pPr>
              <w:jc w:val="right"/>
              <w:rPr>
                <w:rFonts w:ascii="Calibri" w:eastAsia="Times New Roman" w:hAnsi="Calibri" w:cs="Calibri"/>
                <w:b/>
                <w:bCs/>
                <w:color w:val="000000"/>
              </w:rPr>
            </w:pPr>
            <w:r w:rsidRPr="00063384">
              <w:rPr>
                <w:rFonts w:ascii="Calibri" w:eastAsia="Times New Roman" w:hAnsi="Calibri" w:cs="Calibri"/>
                <w:b/>
                <w:bCs/>
                <w:color w:val="000000"/>
              </w:rPr>
              <w:t>90</w:t>
            </w:r>
          </w:p>
        </w:tc>
      </w:tr>
    </w:tbl>
    <w:p w14:paraId="6D9981FA" w14:textId="77777777" w:rsidR="004A7DCA" w:rsidRDefault="004A7DCA" w:rsidP="004A7DCA"/>
    <w:p w14:paraId="351C3A40" w14:textId="77777777" w:rsidR="004A7DCA" w:rsidRDefault="004A7DCA" w:rsidP="004A7DCA">
      <w:pPr>
        <w:pStyle w:val="ListParagraph"/>
        <w:numPr>
          <w:ilvl w:val="0"/>
          <w:numId w:val="35"/>
        </w:numPr>
        <w:spacing w:after="160" w:line="259" w:lineRule="auto"/>
      </w:pPr>
      <w:r>
        <w:t>Combining two dichotomous tests results in 4 possible combinations.  We want to build a 4-row LR table from the previous two tables.  We will follow the convention of putting the most abnormal result in the top row.  The results should be ordered by LR descending.  Here’s a start. Fill in the entire table. [4]</w:t>
      </w:r>
    </w:p>
    <w:tbl>
      <w:tblPr>
        <w:tblW w:w="8360" w:type="dxa"/>
        <w:tblLook w:val="04A0" w:firstRow="1" w:lastRow="0" w:firstColumn="1" w:lastColumn="0" w:noHBand="0" w:noVBand="1"/>
      </w:tblPr>
      <w:tblGrid>
        <w:gridCol w:w="1620"/>
        <w:gridCol w:w="1017"/>
        <w:gridCol w:w="1037"/>
        <w:gridCol w:w="960"/>
        <w:gridCol w:w="960"/>
        <w:gridCol w:w="960"/>
        <w:gridCol w:w="960"/>
        <w:gridCol w:w="960"/>
      </w:tblGrid>
      <w:tr w:rsidR="004A7DCA" w:rsidRPr="00C83D3A" w14:paraId="4E9B0DDD" w14:textId="77777777" w:rsidTr="003C60BC">
        <w:trPr>
          <w:trHeight w:val="300"/>
        </w:trPr>
        <w:tc>
          <w:tcPr>
            <w:tcW w:w="162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16F3686B" w14:textId="77777777" w:rsidR="004A7DCA" w:rsidRPr="00C83D3A" w:rsidRDefault="004A7DCA" w:rsidP="003C60BC">
            <w:pPr>
              <w:jc w:val="center"/>
              <w:rPr>
                <w:rFonts w:ascii="Calibri" w:eastAsia="Times New Roman" w:hAnsi="Calibri" w:cs="Calibri"/>
                <w:b/>
                <w:bCs/>
                <w:color w:val="000000"/>
              </w:rPr>
            </w:pPr>
            <w:r w:rsidRPr="00C83D3A">
              <w:rPr>
                <w:rFonts w:ascii="Calibri" w:eastAsia="Times New Roman" w:hAnsi="Calibri" w:cs="Calibri"/>
                <w:b/>
                <w:bCs/>
                <w:color w:val="000000"/>
              </w:rPr>
              <w:t>Risk Category</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12F98912" w14:textId="77777777" w:rsidR="004A7DCA" w:rsidRPr="00C83D3A" w:rsidRDefault="004A7DCA" w:rsidP="003C60BC">
            <w:pPr>
              <w:jc w:val="center"/>
              <w:rPr>
                <w:rFonts w:ascii="Calibri" w:eastAsia="Times New Roman" w:hAnsi="Calibri" w:cs="Calibri"/>
                <w:b/>
                <w:bCs/>
                <w:color w:val="000000"/>
              </w:rPr>
            </w:pPr>
            <w:r w:rsidRPr="00C83D3A">
              <w:rPr>
                <w:rFonts w:ascii="Calibri" w:eastAsia="Times New Roman" w:hAnsi="Calibri" w:cs="Calibri"/>
                <w:b/>
                <w:bCs/>
                <w:color w:val="000000"/>
              </w:rPr>
              <w:t>AbSpO2</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0A0C33DC" w14:textId="77777777" w:rsidR="004A7DCA" w:rsidRPr="00C83D3A" w:rsidRDefault="004A7DCA" w:rsidP="003C60BC">
            <w:pPr>
              <w:jc w:val="center"/>
              <w:rPr>
                <w:rFonts w:ascii="Calibri" w:eastAsia="Times New Roman" w:hAnsi="Calibri" w:cs="Calibri"/>
                <w:b/>
                <w:bCs/>
                <w:color w:val="000000"/>
              </w:rPr>
            </w:pPr>
            <w:r w:rsidRPr="00C83D3A">
              <w:rPr>
                <w:rFonts w:ascii="Calibri" w:eastAsia="Times New Roman" w:hAnsi="Calibri" w:cs="Calibri"/>
                <w:b/>
                <w:bCs/>
                <w:color w:val="000000"/>
              </w:rPr>
              <w:t>Age</w:t>
            </w:r>
            <w:r>
              <w:rPr>
                <w:rFonts w:ascii="Calibri" w:eastAsia="Times New Roman" w:hAnsi="Calibri" w:cs="Calibri"/>
                <w:b/>
                <w:bCs/>
                <w:color w:val="000000"/>
              </w:rPr>
              <w:t>&lt;</w:t>
            </w:r>
            <w:r w:rsidRPr="00C83D3A">
              <w:rPr>
                <w:rFonts w:ascii="Calibri" w:eastAsia="Times New Roman" w:hAnsi="Calibri" w:cs="Calibri"/>
                <w:b/>
                <w:bCs/>
                <w:color w:val="000000"/>
              </w:rPr>
              <w:t>1yr</w:t>
            </w:r>
          </w:p>
        </w:tc>
        <w:tc>
          <w:tcPr>
            <w:tcW w:w="960" w:type="dxa"/>
            <w:tcBorders>
              <w:top w:val="single" w:sz="4" w:space="0" w:color="000000"/>
              <w:left w:val="nil"/>
              <w:bottom w:val="nil"/>
              <w:right w:val="single" w:sz="4" w:space="0" w:color="000000"/>
            </w:tcBorders>
            <w:shd w:val="clear" w:color="000000" w:fill="C0C0C0"/>
            <w:noWrap/>
            <w:vAlign w:val="bottom"/>
            <w:hideMark/>
          </w:tcPr>
          <w:p w14:paraId="112E3ADE" w14:textId="77777777" w:rsidR="004A7DCA" w:rsidRPr="00C83D3A" w:rsidRDefault="004A7DCA" w:rsidP="003C60BC">
            <w:pPr>
              <w:jc w:val="center"/>
              <w:rPr>
                <w:rFonts w:ascii="Calibri" w:eastAsia="Times New Roman" w:hAnsi="Calibri" w:cs="Calibri"/>
                <w:b/>
                <w:bCs/>
                <w:color w:val="000000"/>
              </w:rPr>
            </w:pPr>
            <w:r w:rsidRPr="00C83D3A">
              <w:rPr>
                <w:rFonts w:ascii="Calibri" w:eastAsia="Times New Roman" w:hAnsi="Calibri" w:cs="Calibri"/>
                <w:b/>
                <w:bCs/>
                <w:color w:val="000000"/>
              </w:rPr>
              <w:t>Case</w:t>
            </w:r>
          </w:p>
        </w:tc>
        <w:tc>
          <w:tcPr>
            <w:tcW w:w="960" w:type="dxa"/>
            <w:tcBorders>
              <w:top w:val="single" w:sz="4" w:space="0" w:color="000000"/>
              <w:left w:val="nil"/>
              <w:bottom w:val="nil"/>
              <w:right w:val="single" w:sz="4" w:space="0" w:color="000000"/>
            </w:tcBorders>
            <w:shd w:val="clear" w:color="000000" w:fill="C0C0C0"/>
            <w:noWrap/>
            <w:vAlign w:val="bottom"/>
            <w:hideMark/>
          </w:tcPr>
          <w:p w14:paraId="3595161D" w14:textId="77777777" w:rsidR="004A7DCA" w:rsidRPr="00C83D3A" w:rsidRDefault="004A7DCA" w:rsidP="003C60BC">
            <w:pPr>
              <w:jc w:val="center"/>
              <w:rPr>
                <w:rFonts w:ascii="Calibri" w:eastAsia="Times New Roman" w:hAnsi="Calibri" w:cs="Calibri"/>
                <w:b/>
                <w:bCs/>
                <w:color w:val="000000"/>
              </w:rPr>
            </w:pPr>
            <w:r w:rsidRPr="00C83D3A">
              <w:rPr>
                <w:rFonts w:ascii="Calibri" w:eastAsia="Times New Roman" w:hAnsi="Calibri" w:cs="Calibri"/>
                <w:b/>
                <w:bCs/>
                <w:color w:val="000000"/>
              </w:rPr>
              <w:t> </w:t>
            </w:r>
          </w:p>
        </w:tc>
        <w:tc>
          <w:tcPr>
            <w:tcW w:w="960" w:type="dxa"/>
            <w:tcBorders>
              <w:top w:val="single" w:sz="4" w:space="0" w:color="000000"/>
              <w:left w:val="nil"/>
              <w:bottom w:val="nil"/>
              <w:right w:val="single" w:sz="4" w:space="0" w:color="000000"/>
            </w:tcBorders>
            <w:shd w:val="clear" w:color="000000" w:fill="C0C0C0"/>
            <w:noWrap/>
            <w:vAlign w:val="bottom"/>
            <w:hideMark/>
          </w:tcPr>
          <w:p w14:paraId="337E2A9B" w14:textId="77777777" w:rsidR="004A7DCA" w:rsidRPr="00C83D3A" w:rsidRDefault="004A7DCA" w:rsidP="003C60BC">
            <w:pPr>
              <w:jc w:val="center"/>
              <w:rPr>
                <w:rFonts w:ascii="Calibri" w:eastAsia="Times New Roman" w:hAnsi="Calibri" w:cs="Calibri"/>
                <w:b/>
                <w:bCs/>
                <w:color w:val="000000"/>
              </w:rPr>
            </w:pPr>
            <w:r w:rsidRPr="00C83D3A">
              <w:rPr>
                <w:rFonts w:ascii="Calibri" w:eastAsia="Times New Roman" w:hAnsi="Calibri" w:cs="Calibri"/>
                <w:b/>
                <w:bCs/>
                <w:color w:val="000000"/>
              </w:rPr>
              <w:t>Control</w:t>
            </w:r>
          </w:p>
        </w:tc>
        <w:tc>
          <w:tcPr>
            <w:tcW w:w="960" w:type="dxa"/>
            <w:tcBorders>
              <w:top w:val="single" w:sz="4" w:space="0" w:color="000000"/>
              <w:left w:val="nil"/>
              <w:bottom w:val="nil"/>
              <w:right w:val="single" w:sz="4" w:space="0" w:color="000000"/>
            </w:tcBorders>
            <w:shd w:val="clear" w:color="000000" w:fill="C0C0C0"/>
            <w:noWrap/>
            <w:vAlign w:val="bottom"/>
            <w:hideMark/>
          </w:tcPr>
          <w:p w14:paraId="0A354E82" w14:textId="77777777" w:rsidR="004A7DCA" w:rsidRPr="00C83D3A" w:rsidRDefault="004A7DCA" w:rsidP="003C60BC">
            <w:pPr>
              <w:jc w:val="center"/>
              <w:rPr>
                <w:rFonts w:ascii="Calibri" w:eastAsia="Times New Roman" w:hAnsi="Calibri" w:cs="Calibri"/>
                <w:b/>
                <w:bCs/>
                <w:color w:val="000000"/>
              </w:rPr>
            </w:pPr>
            <w:r w:rsidRPr="00C83D3A">
              <w:rPr>
                <w:rFonts w:ascii="Calibri" w:eastAsia="Times New Roman" w:hAnsi="Calibri" w:cs="Calibri"/>
                <w:b/>
                <w:bCs/>
                <w:color w:val="000000"/>
              </w:rPr>
              <w:t> </w:t>
            </w:r>
          </w:p>
        </w:tc>
        <w:tc>
          <w:tcPr>
            <w:tcW w:w="960" w:type="dxa"/>
            <w:tcBorders>
              <w:top w:val="nil"/>
              <w:left w:val="nil"/>
              <w:bottom w:val="nil"/>
              <w:right w:val="nil"/>
            </w:tcBorders>
            <w:shd w:val="clear" w:color="000000" w:fill="C0C0C0"/>
            <w:noWrap/>
            <w:vAlign w:val="bottom"/>
            <w:hideMark/>
          </w:tcPr>
          <w:p w14:paraId="3A118EAB" w14:textId="77777777" w:rsidR="004A7DCA" w:rsidRPr="00C83D3A" w:rsidRDefault="004A7DCA" w:rsidP="003C60BC">
            <w:pPr>
              <w:jc w:val="center"/>
              <w:rPr>
                <w:rFonts w:ascii="Calibri" w:eastAsia="Times New Roman" w:hAnsi="Calibri" w:cs="Calibri"/>
                <w:b/>
                <w:bCs/>
                <w:color w:val="000000"/>
              </w:rPr>
            </w:pPr>
            <w:r w:rsidRPr="00C83D3A">
              <w:rPr>
                <w:rFonts w:ascii="Calibri" w:eastAsia="Times New Roman" w:hAnsi="Calibri" w:cs="Calibri"/>
                <w:b/>
                <w:bCs/>
                <w:color w:val="000000"/>
              </w:rPr>
              <w:t>LR</w:t>
            </w:r>
          </w:p>
        </w:tc>
      </w:tr>
      <w:tr w:rsidR="004A7DCA" w:rsidRPr="00C83D3A" w14:paraId="0B6C1BC2" w14:textId="77777777" w:rsidTr="003C60BC">
        <w:trPr>
          <w:trHeight w:val="300"/>
        </w:trPr>
        <w:tc>
          <w:tcPr>
            <w:tcW w:w="1620" w:type="dxa"/>
            <w:tcBorders>
              <w:top w:val="nil"/>
              <w:left w:val="nil"/>
              <w:bottom w:val="nil"/>
              <w:right w:val="nil"/>
            </w:tcBorders>
            <w:shd w:val="clear" w:color="auto" w:fill="auto"/>
            <w:noWrap/>
            <w:vAlign w:val="bottom"/>
            <w:hideMark/>
          </w:tcPr>
          <w:p w14:paraId="2D6FA5A9" w14:textId="77777777" w:rsidR="004A7DCA" w:rsidRPr="00C83D3A" w:rsidRDefault="004A7DCA" w:rsidP="003C60BC">
            <w:pPr>
              <w:jc w:val="center"/>
              <w:rPr>
                <w:rFonts w:ascii="Calibri" w:eastAsia="Times New Roman" w:hAnsi="Calibri" w:cs="Calibri"/>
                <w:color w:val="000000"/>
              </w:rPr>
            </w:pPr>
            <w:r w:rsidRPr="00C83D3A">
              <w:rPr>
                <w:rFonts w:ascii="Calibri" w:eastAsia="Times New Roman" w:hAnsi="Calibri" w:cs="Calibri"/>
                <w:color w:val="000000"/>
              </w:rPr>
              <w:t>4</w:t>
            </w:r>
          </w:p>
        </w:tc>
        <w:tc>
          <w:tcPr>
            <w:tcW w:w="98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14:paraId="2F331E16" w14:textId="77777777" w:rsidR="004A7DCA" w:rsidRPr="00C83D3A" w:rsidRDefault="004A7DCA" w:rsidP="003C60BC">
            <w:pPr>
              <w:jc w:val="right"/>
              <w:rPr>
                <w:rFonts w:ascii="Calibri" w:eastAsia="Times New Roman" w:hAnsi="Calibri" w:cs="Calibri"/>
                <w:color w:val="000000"/>
              </w:rPr>
            </w:pPr>
            <w:r w:rsidRPr="00C83D3A">
              <w:rPr>
                <w:rFonts w:ascii="Calibri" w:eastAsia="Times New Roman" w:hAnsi="Calibri" w:cs="Calibri"/>
                <w:color w:val="000000"/>
              </w:rPr>
              <w:t>Yes</w:t>
            </w:r>
          </w:p>
        </w:tc>
        <w:tc>
          <w:tcPr>
            <w:tcW w:w="960" w:type="dxa"/>
            <w:tcBorders>
              <w:top w:val="single" w:sz="4" w:space="0" w:color="C0C0C0"/>
              <w:left w:val="nil"/>
              <w:bottom w:val="single" w:sz="4" w:space="0" w:color="C0C0C0"/>
              <w:right w:val="nil"/>
            </w:tcBorders>
            <w:shd w:val="clear" w:color="auto" w:fill="auto"/>
            <w:vAlign w:val="bottom"/>
            <w:hideMark/>
          </w:tcPr>
          <w:p w14:paraId="5715F5BA" w14:textId="77777777" w:rsidR="004A7DCA" w:rsidRPr="00C83D3A" w:rsidRDefault="004A7DCA" w:rsidP="003C60BC">
            <w:pPr>
              <w:jc w:val="right"/>
              <w:rPr>
                <w:rFonts w:ascii="Calibri" w:eastAsia="Times New Roman" w:hAnsi="Calibri" w:cs="Calibri"/>
                <w:color w:val="000000"/>
              </w:rPr>
            </w:pPr>
            <w:r w:rsidRPr="00C83D3A">
              <w:rPr>
                <w:rFonts w:ascii="Calibri" w:eastAsia="Times New Roman" w:hAnsi="Calibri" w:cs="Calibri"/>
                <w:color w:val="000000"/>
              </w:rPr>
              <w:t>NO</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80C235" w14:textId="77777777" w:rsidR="004A7DCA" w:rsidRPr="00C83D3A" w:rsidRDefault="004A7DCA" w:rsidP="003C60BC">
            <w:pPr>
              <w:jc w:val="right"/>
              <w:rPr>
                <w:rFonts w:ascii="Calibri" w:eastAsia="Times New Roman" w:hAnsi="Calibri" w:cs="Calibri"/>
                <w:color w:val="000000"/>
              </w:rPr>
            </w:pPr>
            <w:r w:rsidRPr="00C83D3A">
              <w:rPr>
                <w:rFonts w:ascii="Calibri" w:eastAsia="Times New Roman" w:hAnsi="Calibri" w:cs="Calibri"/>
                <w:color w:val="000000"/>
              </w:rPr>
              <w:t>8</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6A7125D" w14:textId="77777777" w:rsidR="004A7DCA" w:rsidRPr="00C83D3A" w:rsidRDefault="004A7DCA" w:rsidP="003C60BC">
            <w:pPr>
              <w:jc w:val="right"/>
              <w:rPr>
                <w:rFonts w:ascii="Calibri" w:eastAsia="Times New Roman" w:hAnsi="Calibri" w:cs="Calibri"/>
                <w:color w:val="000000"/>
              </w:rPr>
            </w:pPr>
            <w:r w:rsidRPr="00C83D3A">
              <w:rPr>
                <w:rFonts w:ascii="Calibri" w:eastAsia="Times New Roman" w:hAnsi="Calibri" w:cs="Calibri"/>
                <w:color w:val="000000"/>
              </w:rPr>
              <w:t>38.1%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27872F2" w14:textId="77777777" w:rsidR="004A7DCA" w:rsidRPr="00C83D3A" w:rsidRDefault="004A7DCA" w:rsidP="003C60BC">
            <w:pPr>
              <w:jc w:val="right"/>
              <w:rPr>
                <w:rFonts w:ascii="Arial" w:eastAsia="Times New Roman" w:hAnsi="Arial" w:cs="Arial"/>
                <w:color w:val="000000"/>
                <w:sz w:val="20"/>
                <w:szCs w:val="20"/>
              </w:rPr>
            </w:pPr>
            <w:r w:rsidRPr="00C83D3A">
              <w:rPr>
                <w:rFonts w:ascii="Arial" w:eastAsia="Times New Roman" w:hAnsi="Arial" w:cs="Arial"/>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1DE8834" w14:textId="77777777" w:rsidR="004A7DCA" w:rsidRPr="00C83D3A" w:rsidRDefault="004A7DCA" w:rsidP="003C60BC">
            <w:pPr>
              <w:jc w:val="right"/>
              <w:rPr>
                <w:rFonts w:ascii="Calibri" w:eastAsia="Times New Roman" w:hAnsi="Calibri" w:cs="Calibri"/>
                <w:color w:val="000000"/>
              </w:rPr>
            </w:pPr>
            <w:r w:rsidRPr="00C83D3A">
              <w:rPr>
                <w:rFonts w:ascii="Calibri" w:eastAsia="Times New Roman" w:hAnsi="Calibri" w:cs="Calibri"/>
                <w:color w:val="000000"/>
              </w:rPr>
              <w:t>0.0%</w:t>
            </w:r>
          </w:p>
        </w:tc>
        <w:tc>
          <w:tcPr>
            <w:tcW w:w="960" w:type="dxa"/>
            <w:tcBorders>
              <w:top w:val="nil"/>
              <w:left w:val="nil"/>
              <w:bottom w:val="nil"/>
              <w:right w:val="nil"/>
            </w:tcBorders>
            <w:shd w:val="clear" w:color="auto" w:fill="auto"/>
            <w:noWrap/>
            <w:vAlign w:val="bottom"/>
            <w:hideMark/>
          </w:tcPr>
          <w:p w14:paraId="611C0802" w14:textId="77777777" w:rsidR="004A7DCA" w:rsidRPr="00C83D3A" w:rsidRDefault="004A7DCA" w:rsidP="003C60BC">
            <w:pPr>
              <w:jc w:val="center"/>
              <w:rPr>
                <w:rFonts w:ascii="Calibri" w:eastAsia="Times New Roman" w:hAnsi="Calibri" w:cs="Calibri"/>
                <w:color w:val="000000"/>
              </w:rPr>
            </w:pPr>
            <w:r>
              <w:rPr>
                <w:rFonts w:ascii="Calibri" w:eastAsia="Times New Roman" w:hAnsi="Calibri" w:cs="Calibri"/>
                <w:color w:val="000000"/>
              </w:rPr>
              <w:t>∞</w:t>
            </w:r>
          </w:p>
        </w:tc>
      </w:tr>
      <w:tr w:rsidR="004A7DCA" w:rsidRPr="00C83D3A" w14:paraId="679F1D26" w14:textId="77777777" w:rsidTr="003C60BC">
        <w:trPr>
          <w:trHeight w:val="300"/>
        </w:trPr>
        <w:tc>
          <w:tcPr>
            <w:tcW w:w="1620" w:type="dxa"/>
            <w:tcBorders>
              <w:top w:val="nil"/>
              <w:left w:val="nil"/>
              <w:bottom w:val="nil"/>
              <w:right w:val="nil"/>
            </w:tcBorders>
            <w:shd w:val="clear" w:color="auto" w:fill="auto"/>
            <w:noWrap/>
            <w:vAlign w:val="bottom"/>
            <w:hideMark/>
          </w:tcPr>
          <w:p w14:paraId="4D718B96" w14:textId="77777777" w:rsidR="004A7DCA" w:rsidRPr="00C83D3A" w:rsidRDefault="004A7DCA" w:rsidP="003C60BC">
            <w:pPr>
              <w:jc w:val="center"/>
              <w:rPr>
                <w:rFonts w:ascii="Calibri" w:eastAsia="Times New Roman" w:hAnsi="Calibri" w:cs="Calibri"/>
                <w:color w:val="000000"/>
              </w:rPr>
            </w:pPr>
            <w:r w:rsidRPr="00C83D3A">
              <w:rPr>
                <w:rFonts w:ascii="Calibri" w:eastAsia="Times New Roman" w:hAnsi="Calibri" w:cs="Calibri"/>
                <w:color w:val="000000"/>
              </w:rPr>
              <w:t>3</w:t>
            </w:r>
          </w:p>
        </w:tc>
        <w:tc>
          <w:tcPr>
            <w:tcW w:w="980" w:type="dxa"/>
            <w:tcBorders>
              <w:top w:val="nil"/>
              <w:left w:val="single" w:sz="4" w:space="0" w:color="C0C0C0"/>
              <w:bottom w:val="single" w:sz="4" w:space="0" w:color="C0C0C0"/>
              <w:right w:val="single" w:sz="4" w:space="0" w:color="C0C0C0"/>
            </w:tcBorders>
            <w:shd w:val="clear" w:color="auto" w:fill="auto"/>
            <w:vAlign w:val="bottom"/>
          </w:tcPr>
          <w:p w14:paraId="1804D67B" w14:textId="77777777" w:rsidR="004A7DCA" w:rsidRPr="00C83D3A" w:rsidRDefault="004A7DCA" w:rsidP="003C60BC">
            <w:pPr>
              <w:jc w:val="right"/>
              <w:rPr>
                <w:rFonts w:ascii="Calibri" w:eastAsia="Times New Roman" w:hAnsi="Calibri" w:cs="Calibri"/>
                <w:color w:val="000000"/>
              </w:rPr>
            </w:pPr>
          </w:p>
        </w:tc>
        <w:tc>
          <w:tcPr>
            <w:tcW w:w="960" w:type="dxa"/>
            <w:tcBorders>
              <w:top w:val="nil"/>
              <w:left w:val="nil"/>
              <w:bottom w:val="single" w:sz="4" w:space="0" w:color="C0C0C0"/>
              <w:right w:val="nil"/>
            </w:tcBorders>
            <w:shd w:val="clear" w:color="auto" w:fill="auto"/>
            <w:vAlign w:val="bottom"/>
          </w:tcPr>
          <w:p w14:paraId="0CA4F01F" w14:textId="77777777" w:rsidR="004A7DCA" w:rsidRPr="00C83D3A" w:rsidRDefault="004A7DCA" w:rsidP="003C60BC">
            <w:pPr>
              <w:jc w:val="right"/>
              <w:rPr>
                <w:rFonts w:ascii="Calibri" w:eastAsia="Times New Roman" w:hAnsi="Calibri" w:cs="Calibri"/>
                <w:color w:val="000000"/>
              </w:rPr>
            </w:pPr>
          </w:p>
        </w:tc>
        <w:tc>
          <w:tcPr>
            <w:tcW w:w="960" w:type="dxa"/>
            <w:tcBorders>
              <w:top w:val="nil"/>
              <w:left w:val="single" w:sz="4" w:space="0" w:color="auto"/>
              <w:bottom w:val="single" w:sz="4" w:space="0" w:color="auto"/>
              <w:right w:val="single" w:sz="4" w:space="0" w:color="auto"/>
            </w:tcBorders>
            <w:shd w:val="clear" w:color="auto" w:fill="auto"/>
            <w:vAlign w:val="bottom"/>
          </w:tcPr>
          <w:p w14:paraId="2E9C9B05" w14:textId="77777777" w:rsidR="004A7DCA" w:rsidRPr="00C83D3A" w:rsidRDefault="004A7DCA" w:rsidP="003C60BC">
            <w:pPr>
              <w:jc w:val="right"/>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vAlign w:val="bottom"/>
          </w:tcPr>
          <w:p w14:paraId="48F3ECC7" w14:textId="77777777" w:rsidR="004A7DCA" w:rsidRPr="00C83D3A" w:rsidRDefault="004A7DCA" w:rsidP="003C60BC">
            <w:pPr>
              <w:jc w:val="right"/>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vAlign w:val="bottom"/>
          </w:tcPr>
          <w:p w14:paraId="50CF5F97" w14:textId="77777777" w:rsidR="004A7DCA" w:rsidRPr="00C83D3A" w:rsidRDefault="004A7DCA" w:rsidP="003C60BC">
            <w:pPr>
              <w:jc w:val="right"/>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vAlign w:val="bottom"/>
          </w:tcPr>
          <w:p w14:paraId="3E9300C4" w14:textId="77777777" w:rsidR="004A7DCA" w:rsidRPr="00C83D3A" w:rsidRDefault="004A7DCA" w:rsidP="003C60BC">
            <w:pPr>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28914209" w14:textId="77777777" w:rsidR="004A7DCA" w:rsidRPr="00C83D3A" w:rsidRDefault="004A7DCA" w:rsidP="003C60BC">
            <w:pPr>
              <w:jc w:val="right"/>
              <w:rPr>
                <w:rFonts w:ascii="Calibri" w:eastAsia="Times New Roman" w:hAnsi="Calibri" w:cs="Calibri"/>
                <w:color w:val="000000"/>
              </w:rPr>
            </w:pPr>
          </w:p>
        </w:tc>
      </w:tr>
      <w:tr w:rsidR="004A7DCA" w:rsidRPr="00C83D3A" w14:paraId="023768C6" w14:textId="77777777" w:rsidTr="003C60BC">
        <w:trPr>
          <w:trHeight w:val="300"/>
        </w:trPr>
        <w:tc>
          <w:tcPr>
            <w:tcW w:w="1620" w:type="dxa"/>
            <w:tcBorders>
              <w:top w:val="nil"/>
              <w:left w:val="nil"/>
              <w:bottom w:val="nil"/>
              <w:right w:val="nil"/>
            </w:tcBorders>
            <w:shd w:val="clear" w:color="auto" w:fill="auto"/>
            <w:noWrap/>
            <w:vAlign w:val="bottom"/>
            <w:hideMark/>
          </w:tcPr>
          <w:p w14:paraId="5E2E1863" w14:textId="77777777" w:rsidR="004A7DCA" w:rsidRPr="00C83D3A" w:rsidRDefault="004A7DCA" w:rsidP="003C60BC">
            <w:pPr>
              <w:jc w:val="center"/>
              <w:rPr>
                <w:rFonts w:ascii="Calibri" w:eastAsia="Times New Roman" w:hAnsi="Calibri" w:cs="Calibri"/>
                <w:color w:val="000000"/>
              </w:rPr>
            </w:pPr>
            <w:r w:rsidRPr="00C83D3A">
              <w:rPr>
                <w:rFonts w:ascii="Calibri" w:eastAsia="Times New Roman" w:hAnsi="Calibri" w:cs="Calibri"/>
                <w:color w:val="000000"/>
              </w:rPr>
              <w:t>2</w:t>
            </w:r>
          </w:p>
        </w:tc>
        <w:tc>
          <w:tcPr>
            <w:tcW w:w="980" w:type="dxa"/>
            <w:tcBorders>
              <w:top w:val="nil"/>
              <w:left w:val="single" w:sz="4" w:space="0" w:color="C0C0C0"/>
              <w:bottom w:val="single" w:sz="4" w:space="0" w:color="C0C0C0"/>
              <w:right w:val="single" w:sz="4" w:space="0" w:color="C0C0C0"/>
            </w:tcBorders>
            <w:shd w:val="clear" w:color="auto" w:fill="auto"/>
            <w:vAlign w:val="bottom"/>
          </w:tcPr>
          <w:p w14:paraId="296A8926" w14:textId="77777777" w:rsidR="004A7DCA" w:rsidRPr="00C83D3A" w:rsidRDefault="004A7DCA" w:rsidP="003C60BC">
            <w:pPr>
              <w:jc w:val="right"/>
              <w:rPr>
                <w:rFonts w:ascii="Calibri" w:eastAsia="Times New Roman" w:hAnsi="Calibri" w:cs="Calibri"/>
                <w:color w:val="000000"/>
              </w:rPr>
            </w:pPr>
          </w:p>
        </w:tc>
        <w:tc>
          <w:tcPr>
            <w:tcW w:w="960" w:type="dxa"/>
            <w:tcBorders>
              <w:top w:val="nil"/>
              <w:left w:val="nil"/>
              <w:bottom w:val="single" w:sz="4" w:space="0" w:color="C0C0C0"/>
              <w:right w:val="nil"/>
            </w:tcBorders>
            <w:shd w:val="clear" w:color="auto" w:fill="auto"/>
            <w:vAlign w:val="bottom"/>
          </w:tcPr>
          <w:p w14:paraId="771C41F4" w14:textId="77777777" w:rsidR="004A7DCA" w:rsidRPr="00C83D3A" w:rsidRDefault="004A7DCA" w:rsidP="003C60BC">
            <w:pPr>
              <w:jc w:val="right"/>
              <w:rPr>
                <w:rFonts w:ascii="Calibri" w:eastAsia="Times New Roman" w:hAnsi="Calibri" w:cs="Calibri"/>
                <w:color w:val="000000"/>
              </w:rPr>
            </w:pPr>
          </w:p>
        </w:tc>
        <w:tc>
          <w:tcPr>
            <w:tcW w:w="960" w:type="dxa"/>
            <w:tcBorders>
              <w:top w:val="nil"/>
              <w:left w:val="single" w:sz="4" w:space="0" w:color="auto"/>
              <w:bottom w:val="single" w:sz="4" w:space="0" w:color="auto"/>
              <w:right w:val="single" w:sz="4" w:space="0" w:color="auto"/>
            </w:tcBorders>
            <w:shd w:val="clear" w:color="auto" w:fill="auto"/>
            <w:vAlign w:val="bottom"/>
          </w:tcPr>
          <w:p w14:paraId="121B34F7" w14:textId="77777777" w:rsidR="004A7DCA" w:rsidRPr="00C83D3A" w:rsidRDefault="004A7DCA" w:rsidP="003C60BC">
            <w:pPr>
              <w:jc w:val="right"/>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vAlign w:val="bottom"/>
          </w:tcPr>
          <w:p w14:paraId="38CB9D01" w14:textId="77777777" w:rsidR="004A7DCA" w:rsidRPr="00C83D3A" w:rsidRDefault="004A7DCA" w:rsidP="003C60BC">
            <w:pPr>
              <w:jc w:val="right"/>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vAlign w:val="bottom"/>
          </w:tcPr>
          <w:p w14:paraId="76530ED2" w14:textId="77777777" w:rsidR="004A7DCA" w:rsidRPr="00C83D3A" w:rsidRDefault="004A7DCA" w:rsidP="003C60BC">
            <w:pPr>
              <w:jc w:val="right"/>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vAlign w:val="bottom"/>
          </w:tcPr>
          <w:p w14:paraId="6B6C77DC" w14:textId="77777777" w:rsidR="004A7DCA" w:rsidRPr="00C83D3A" w:rsidRDefault="004A7DCA" w:rsidP="003C60BC">
            <w:pPr>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3B3F3094" w14:textId="77777777" w:rsidR="004A7DCA" w:rsidRPr="00C83D3A" w:rsidRDefault="004A7DCA" w:rsidP="003C60BC">
            <w:pPr>
              <w:jc w:val="right"/>
              <w:rPr>
                <w:rFonts w:ascii="Calibri" w:eastAsia="Times New Roman" w:hAnsi="Calibri" w:cs="Calibri"/>
                <w:color w:val="000000"/>
              </w:rPr>
            </w:pPr>
          </w:p>
        </w:tc>
      </w:tr>
      <w:tr w:rsidR="004A7DCA" w:rsidRPr="00C83D3A" w14:paraId="2B39CE02" w14:textId="77777777" w:rsidTr="003C60BC">
        <w:trPr>
          <w:trHeight w:val="300"/>
        </w:trPr>
        <w:tc>
          <w:tcPr>
            <w:tcW w:w="1620" w:type="dxa"/>
            <w:tcBorders>
              <w:top w:val="nil"/>
              <w:left w:val="nil"/>
              <w:bottom w:val="nil"/>
              <w:right w:val="nil"/>
            </w:tcBorders>
            <w:shd w:val="clear" w:color="auto" w:fill="auto"/>
            <w:noWrap/>
            <w:vAlign w:val="bottom"/>
            <w:hideMark/>
          </w:tcPr>
          <w:p w14:paraId="22BB2097" w14:textId="77777777" w:rsidR="004A7DCA" w:rsidRPr="00C83D3A" w:rsidRDefault="004A7DCA" w:rsidP="003C60BC">
            <w:pPr>
              <w:jc w:val="center"/>
              <w:rPr>
                <w:rFonts w:ascii="Calibri" w:eastAsia="Times New Roman" w:hAnsi="Calibri" w:cs="Calibri"/>
                <w:color w:val="000000"/>
              </w:rPr>
            </w:pPr>
            <w:r w:rsidRPr="00C83D3A">
              <w:rPr>
                <w:rFonts w:ascii="Calibri" w:eastAsia="Times New Roman" w:hAnsi="Calibri" w:cs="Calibri"/>
                <w:color w:val="000000"/>
              </w:rPr>
              <w:t>1</w:t>
            </w:r>
          </w:p>
        </w:tc>
        <w:tc>
          <w:tcPr>
            <w:tcW w:w="980" w:type="dxa"/>
            <w:tcBorders>
              <w:top w:val="nil"/>
              <w:left w:val="single" w:sz="4" w:space="0" w:color="C0C0C0"/>
              <w:bottom w:val="single" w:sz="4" w:space="0" w:color="C0C0C0"/>
              <w:right w:val="single" w:sz="4" w:space="0" w:color="C0C0C0"/>
            </w:tcBorders>
            <w:shd w:val="clear" w:color="auto" w:fill="auto"/>
            <w:vAlign w:val="bottom"/>
            <w:hideMark/>
          </w:tcPr>
          <w:p w14:paraId="7FDDFE38" w14:textId="77777777" w:rsidR="004A7DCA" w:rsidRPr="00C83D3A" w:rsidRDefault="004A7DCA" w:rsidP="003C60BC">
            <w:pPr>
              <w:jc w:val="right"/>
              <w:rPr>
                <w:rFonts w:ascii="Calibri" w:eastAsia="Times New Roman" w:hAnsi="Calibri" w:cs="Calibri"/>
                <w:color w:val="000000"/>
              </w:rPr>
            </w:pPr>
            <w:r w:rsidRPr="00C83D3A">
              <w:rPr>
                <w:rFonts w:ascii="Calibri" w:eastAsia="Times New Roman" w:hAnsi="Calibri" w:cs="Calibri"/>
                <w:color w:val="000000"/>
              </w:rPr>
              <w:t>No</w:t>
            </w:r>
          </w:p>
        </w:tc>
        <w:tc>
          <w:tcPr>
            <w:tcW w:w="960" w:type="dxa"/>
            <w:tcBorders>
              <w:top w:val="nil"/>
              <w:left w:val="nil"/>
              <w:bottom w:val="single" w:sz="4" w:space="0" w:color="C0C0C0"/>
              <w:right w:val="nil"/>
            </w:tcBorders>
            <w:shd w:val="clear" w:color="auto" w:fill="auto"/>
            <w:vAlign w:val="bottom"/>
            <w:hideMark/>
          </w:tcPr>
          <w:p w14:paraId="026EB87D" w14:textId="77777777" w:rsidR="004A7DCA" w:rsidRPr="00C83D3A" w:rsidRDefault="004A7DCA" w:rsidP="003C60BC">
            <w:pPr>
              <w:jc w:val="right"/>
              <w:rPr>
                <w:rFonts w:ascii="Calibri" w:eastAsia="Times New Roman" w:hAnsi="Calibri" w:cs="Calibri"/>
                <w:color w:val="000000"/>
              </w:rPr>
            </w:pPr>
            <w:r w:rsidRPr="00C83D3A">
              <w:rPr>
                <w:rFonts w:ascii="Calibri" w:eastAsia="Times New Roman" w:hAnsi="Calibri" w:cs="Calibri"/>
                <w:color w:val="000000"/>
              </w:rPr>
              <w:t>No</w:t>
            </w:r>
          </w:p>
        </w:tc>
        <w:tc>
          <w:tcPr>
            <w:tcW w:w="960" w:type="dxa"/>
            <w:tcBorders>
              <w:top w:val="nil"/>
              <w:left w:val="single" w:sz="4" w:space="0" w:color="auto"/>
              <w:bottom w:val="single" w:sz="4" w:space="0" w:color="auto"/>
              <w:right w:val="single" w:sz="4" w:space="0" w:color="auto"/>
            </w:tcBorders>
            <w:shd w:val="clear" w:color="auto" w:fill="auto"/>
            <w:vAlign w:val="bottom"/>
            <w:hideMark/>
          </w:tcPr>
          <w:p w14:paraId="6CA8368D" w14:textId="77777777" w:rsidR="004A7DCA" w:rsidRPr="00C83D3A" w:rsidRDefault="004A7DCA" w:rsidP="003C60BC">
            <w:pPr>
              <w:jc w:val="right"/>
              <w:rPr>
                <w:rFonts w:ascii="Calibri" w:eastAsia="Times New Roman" w:hAnsi="Calibri" w:cs="Calibri"/>
                <w:color w:val="000000"/>
              </w:rPr>
            </w:pPr>
            <w:r w:rsidRPr="00C83D3A">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vAlign w:val="bottom"/>
            <w:hideMark/>
          </w:tcPr>
          <w:p w14:paraId="0C41A056" w14:textId="77777777" w:rsidR="004A7DCA" w:rsidRPr="00C83D3A" w:rsidRDefault="004A7DCA" w:rsidP="003C60BC">
            <w:pPr>
              <w:jc w:val="right"/>
              <w:rPr>
                <w:rFonts w:ascii="Calibri" w:eastAsia="Times New Roman" w:hAnsi="Calibri" w:cs="Calibri"/>
                <w:color w:val="000000"/>
              </w:rPr>
            </w:pPr>
            <w:r w:rsidRPr="00C83D3A">
              <w:rPr>
                <w:rFonts w:ascii="Calibri" w:eastAsia="Times New Roman" w:hAnsi="Calibri" w:cs="Calibri"/>
                <w:color w:val="000000"/>
              </w:rPr>
              <w:t>19.0%</w:t>
            </w:r>
          </w:p>
        </w:tc>
        <w:tc>
          <w:tcPr>
            <w:tcW w:w="960" w:type="dxa"/>
            <w:tcBorders>
              <w:top w:val="nil"/>
              <w:left w:val="nil"/>
              <w:bottom w:val="single" w:sz="4" w:space="0" w:color="auto"/>
              <w:right w:val="single" w:sz="4" w:space="0" w:color="auto"/>
            </w:tcBorders>
            <w:shd w:val="clear" w:color="auto" w:fill="auto"/>
            <w:vAlign w:val="bottom"/>
            <w:hideMark/>
          </w:tcPr>
          <w:p w14:paraId="4CB0B704" w14:textId="77777777" w:rsidR="004A7DCA" w:rsidRPr="00C83D3A" w:rsidRDefault="004A7DCA" w:rsidP="003C60BC">
            <w:pPr>
              <w:jc w:val="right"/>
              <w:rPr>
                <w:rFonts w:ascii="Calibri" w:eastAsia="Times New Roman" w:hAnsi="Calibri" w:cs="Calibri"/>
                <w:color w:val="000000"/>
              </w:rPr>
            </w:pPr>
            <w:r w:rsidRPr="00C83D3A">
              <w:rPr>
                <w:rFonts w:ascii="Calibri" w:eastAsia="Times New Roman" w:hAnsi="Calibri" w:cs="Calibri"/>
                <w:color w:val="000000"/>
              </w:rPr>
              <w:t>71</w:t>
            </w:r>
          </w:p>
        </w:tc>
        <w:tc>
          <w:tcPr>
            <w:tcW w:w="960" w:type="dxa"/>
            <w:tcBorders>
              <w:top w:val="nil"/>
              <w:left w:val="nil"/>
              <w:bottom w:val="single" w:sz="4" w:space="0" w:color="auto"/>
              <w:right w:val="single" w:sz="4" w:space="0" w:color="auto"/>
            </w:tcBorders>
            <w:shd w:val="clear" w:color="auto" w:fill="auto"/>
            <w:vAlign w:val="bottom"/>
            <w:hideMark/>
          </w:tcPr>
          <w:p w14:paraId="326A0200" w14:textId="77777777" w:rsidR="004A7DCA" w:rsidRPr="00C83D3A" w:rsidRDefault="004A7DCA" w:rsidP="003C60BC">
            <w:pPr>
              <w:jc w:val="right"/>
              <w:rPr>
                <w:rFonts w:ascii="Calibri" w:eastAsia="Times New Roman" w:hAnsi="Calibri" w:cs="Calibri"/>
                <w:color w:val="000000"/>
              </w:rPr>
            </w:pPr>
            <w:r w:rsidRPr="00C83D3A">
              <w:rPr>
                <w:rFonts w:ascii="Calibri" w:eastAsia="Times New Roman" w:hAnsi="Calibri" w:cs="Calibri"/>
                <w:color w:val="000000"/>
              </w:rPr>
              <w:t>84.5%</w:t>
            </w:r>
          </w:p>
        </w:tc>
        <w:tc>
          <w:tcPr>
            <w:tcW w:w="960" w:type="dxa"/>
            <w:tcBorders>
              <w:top w:val="nil"/>
              <w:left w:val="nil"/>
              <w:bottom w:val="nil"/>
              <w:right w:val="nil"/>
            </w:tcBorders>
            <w:shd w:val="clear" w:color="auto" w:fill="auto"/>
            <w:noWrap/>
            <w:vAlign w:val="bottom"/>
            <w:hideMark/>
          </w:tcPr>
          <w:p w14:paraId="27DB82E8" w14:textId="77777777" w:rsidR="004A7DCA" w:rsidRPr="00C83D3A" w:rsidRDefault="004A7DCA" w:rsidP="003C60BC">
            <w:pPr>
              <w:jc w:val="right"/>
              <w:rPr>
                <w:rFonts w:ascii="Calibri" w:eastAsia="Times New Roman" w:hAnsi="Calibri" w:cs="Calibri"/>
                <w:color w:val="000000"/>
              </w:rPr>
            </w:pPr>
            <w:r w:rsidRPr="00C83D3A">
              <w:rPr>
                <w:rFonts w:ascii="Calibri" w:eastAsia="Times New Roman" w:hAnsi="Calibri" w:cs="Calibri"/>
                <w:color w:val="000000"/>
              </w:rPr>
              <w:t>0.23</w:t>
            </w:r>
          </w:p>
        </w:tc>
      </w:tr>
      <w:tr w:rsidR="004A7DCA" w:rsidRPr="00C83D3A" w14:paraId="5CEB2348" w14:textId="77777777" w:rsidTr="003C60BC">
        <w:trPr>
          <w:trHeight w:val="300"/>
        </w:trPr>
        <w:tc>
          <w:tcPr>
            <w:tcW w:w="1620" w:type="dxa"/>
            <w:tcBorders>
              <w:top w:val="nil"/>
              <w:left w:val="nil"/>
              <w:bottom w:val="nil"/>
              <w:right w:val="nil"/>
            </w:tcBorders>
            <w:shd w:val="clear" w:color="auto" w:fill="auto"/>
            <w:noWrap/>
            <w:vAlign w:val="bottom"/>
            <w:hideMark/>
          </w:tcPr>
          <w:p w14:paraId="63A0E064" w14:textId="77777777" w:rsidR="004A7DCA" w:rsidRPr="00C83D3A" w:rsidRDefault="004A7DCA" w:rsidP="003C60BC">
            <w:pPr>
              <w:jc w:val="right"/>
              <w:rPr>
                <w:rFonts w:ascii="Calibri" w:eastAsia="Times New Roman" w:hAnsi="Calibri" w:cs="Calibri"/>
                <w:color w:val="000000"/>
              </w:rPr>
            </w:pPr>
          </w:p>
        </w:tc>
        <w:tc>
          <w:tcPr>
            <w:tcW w:w="980" w:type="dxa"/>
            <w:tcBorders>
              <w:top w:val="nil"/>
              <w:left w:val="nil"/>
              <w:bottom w:val="nil"/>
              <w:right w:val="nil"/>
            </w:tcBorders>
            <w:shd w:val="clear" w:color="auto" w:fill="auto"/>
            <w:noWrap/>
            <w:vAlign w:val="bottom"/>
            <w:hideMark/>
          </w:tcPr>
          <w:p w14:paraId="2DCD48FA" w14:textId="77777777" w:rsidR="004A7DCA" w:rsidRPr="00C83D3A" w:rsidRDefault="004A7DCA" w:rsidP="003C60BC">
            <w:pPr>
              <w:rPr>
                <w:rFonts w:eastAsia="Times New Roman"/>
                <w:sz w:val="20"/>
                <w:szCs w:val="20"/>
              </w:rPr>
            </w:pPr>
          </w:p>
        </w:tc>
        <w:tc>
          <w:tcPr>
            <w:tcW w:w="960" w:type="dxa"/>
            <w:tcBorders>
              <w:top w:val="nil"/>
              <w:left w:val="nil"/>
              <w:bottom w:val="nil"/>
              <w:right w:val="nil"/>
            </w:tcBorders>
            <w:shd w:val="clear" w:color="auto" w:fill="auto"/>
            <w:noWrap/>
            <w:vAlign w:val="bottom"/>
            <w:hideMark/>
          </w:tcPr>
          <w:p w14:paraId="377560D5" w14:textId="77777777" w:rsidR="004A7DCA" w:rsidRPr="00C83D3A" w:rsidRDefault="004A7DCA" w:rsidP="003C60BC">
            <w:pPr>
              <w:rPr>
                <w:rFonts w:eastAsia="Times New Roman"/>
                <w:sz w:val="20"/>
                <w:szCs w:val="20"/>
              </w:rPr>
            </w:pPr>
          </w:p>
        </w:tc>
        <w:tc>
          <w:tcPr>
            <w:tcW w:w="960" w:type="dxa"/>
            <w:tcBorders>
              <w:top w:val="nil"/>
              <w:left w:val="nil"/>
              <w:bottom w:val="nil"/>
              <w:right w:val="nil"/>
            </w:tcBorders>
            <w:shd w:val="clear" w:color="auto" w:fill="auto"/>
            <w:noWrap/>
            <w:vAlign w:val="bottom"/>
            <w:hideMark/>
          </w:tcPr>
          <w:p w14:paraId="2D10A632" w14:textId="77777777" w:rsidR="004A7DCA" w:rsidRPr="00C83D3A" w:rsidRDefault="004A7DCA" w:rsidP="003C60BC">
            <w:pPr>
              <w:rPr>
                <w:rFonts w:ascii="Calibri" w:eastAsia="Times New Roman" w:hAnsi="Calibri" w:cs="Calibri"/>
                <w:color w:val="000000"/>
              </w:rPr>
            </w:pPr>
            <w:r>
              <w:rPr>
                <w:rFonts w:ascii="Calibri" w:eastAsia="Times New Roman" w:hAnsi="Calibri" w:cs="Calibri"/>
                <w:color w:val="000000"/>
              </w:rPr>
              <w:t xml:space="preserve">          </w:t>
            </w:r>
            <w:r w:rsidRPr="00C83D3A">
              <w:rPr>
                <w:rFonts w:ascii="Calibri" w:eastAsia="Times New Roman" w:hAnsi="Calibri" w:cs="Calibri"/>
                <w:color w:val="000000"/>
              </w:rPr>
              <w:t>21</w:t>
            </w:r>
          </w:p>
        </w:tc>
        <w:tc>
          <w:tcPr>
            <w:tcW w:w="960" w:type="dxa"/>
            <w:tcBorders>
              <w:top w:val="nil"/>
              <w:left w:val="single" w:sz="4" w:space="0" w:color="C0C0C0"/>
              <w:bottom w:val="nil"/>
              <w:right w:val="single" w:sz="4" w:space="0" w:color="C0C0C0"/>
            </w:tcBorders>
            <w:shd w:val="clear" w:color="auto" w:fill="auto"/>
            <w:vAlign w:val="bottom"/>
            <w:hideMark/>
          </w:tcPr>
          <w:p w14:paraId="72C48555" w14:textId="77777777" w:rsidR="004A7DCA" w:rsidRPr="00C83D3A" w:rsidRDefault="004A7DCA" w:rsidP="003C60BC">
            <w:pPr>
              <w:jc w:val="right"/>
              <w:rPr>
                <w:rFonts w:ascii="Calibri" w:eastAsia="Times New Roman" w:hAnsi="Calibri" w:cs="Calibri"/>
                <w:color w:val="000000"/>
              </w:rPr>
            </w:pPr>
            <w:r w:rsidRPr="00C83D3A">
              <w:rPr>
                <w:rFonts w:ascii="Calibri" w:eastAsia="Times New Roman" w:hAnsi="Calibri" w:cs="Calibri"/>
                <w:color w:val="000000"/>
              </w:rPr>
              <w:t>100.0%</w:t>
            </w:r>
          </w:p>
        </w:tc>
        <w:tc>
          <w:tcPr>
            <w:tcW w:w="960" w:type="dxa"/>
            <w:tcBorders>
              <w:top w:val="nil"/>
              <w:left w:val="nil"/>
              <w:bottom w:val="nil"/>
              <w:right w:val="nil"/>
            </w:tcBorders>
            <w:shd w:val="clear" w:color="auto" w:fill="auto"/>
            <w:noWrap/>
            <w:vAlign w:val="bottom"/>
            <w:hideMark/>
          </w:tcPr>
          <w:p w14:paraId="783BFE6B" w14:textId="77777777" w:rsidR="004A7DCA" w:rsidRPr="00C83D3A" w:rsidRDefault="004A7DCA" w:rsidP="003C60BC">
            <w:pPr>
              <w:jc w:val="right"/>
              <w:rPr>
                <w:rFonts w:ascii="Calibri" w:eastAsia="Times New Roman" w:hAnsi="Calibri" w:cs="Calibri"/>
                <w:color w:val="000000"/>
              </w:rPr>
            </w:pPr>
            <w:r w:rsidRPr="00C83D3A">
              <w:rPr>
                <w:rFonts w:ascii="Calibri" w:eastAsia="Times New Roman" w:hAnsi="Calibri" w:cs="Calibri"/>
                <w:color w:val="000000"/>
              </w:rPr>
              <w:t>84</w:t>
            </w:r>
          </w:p>
        </w:tc>
        <w:tc>
          <w:tcPr>
            <w:tcW w:w="960" w:type="dxa"/>
            <w:tcBorders>
              <w:top w:val="nil"/>
              <w:left w:val="single" w:sz="4" w:space="0" w:color="C0C0C0"/>
              <w:bottom w:val="nil"/>
              <w:right w:val="single" w:sz="4" w:space="0" w:color="C0C0C0"/>
            </w:tcBorders>
            <w:shd w:val="clear" w:color="auto" w:fill="auto"/>
            <w:vAlign w:val="bottom"/>
            <w:hideMark/>
          </w:tcPr>
          <w:p w14:paraId="309C487B" w14:textId="77777777" w:rsidR="004A7DCA" w:rsidRPr="00C83D3A" w:rsidRDefault="004A7DCA" w:rsidP="003C60BC">
            <w:pPr>
              <w:jc w:val="right"/>
              <w:rPr>
                <w:rFonts w:ascii="Calibri" w:eastAsia="Times New Roman" w:hAnsi="Calibri" w:cs="Calibri"/>
                <w:color w:val="000000"/>
              </w:rPr>
            </w:pPr>
            <w:r w:rsidRPr="00C83D3A">
              <w:rPr>
                <w:rFonts w:ascii="Calibri" w:eastAsia="Times New Roman" w:hAnsi="Calibri" w:cs="Calibri"/>
                <w:color w:val="000000"/>
              </w:rPr>
              <w:t>100.0%</w:t>
            </w:r>
          </w:p>
        </w:tc>
        <w:tc>
          <w:tcPr>
            <w:tcW w:w="960" w:type="dxa"/>
            <w:tcBorders>
              <w:top w:val="nil"/>
              <w:left w:val="nil"/>
              <w:bottom w:val="nil"/>
              <w:right w:val="nil"/>
            </w:tcBorders>
            <w:shd w:val="clear" w:color="auto" w:fill="auto"/>
            <w:noWrap/>
            <w:vAlign w:val="bottom"/>
            <w:hideMark/>
          </w:tcPr>
          <w:p w14:paraId="76956907" w14:textId="77777777" w:rsidR="004A7DCA" w:rsidRPr="00C83D3A" w:rsidRDefault="004A7DCA" w:rsidP="003C60BC">
            <w:pPr>
              <w:rPr>
                <w:rFonts w:ascii="Calibri" w:eastAsia="Times New Roman" w:hAnsi="Calibri" w:cs="Calibri"/>
                <w:color w:val="000000"/>
              </w:rPr>
            </w:pPr>
          </w:p>
        </w:tc>
      </w:tr>
      <w:tr w:rsidR="004A7DCA" w:rsidRPr="00C83D3A" w14:paraId="53F8AAC7" w14:textId="77777777" w:rsidTr="003C60BC">
        <w:trPr>
          <w:trHeight w:val="300"/>
        </w:trPr>
        <w:tc>
          <w:tcPr>
            <w:tcW w:w="1620" w:type="dxa"/>
            <w:tcBorders>
              <w:top w:val="nil"/>
              <w:left w:val="nil"/>
              <w:bottom w:val="nil"/>
              <w:right w:val="nil"/>
            </w:tcBorders>
            <w:shd w:val="clear" w:color="auto" w:fill="auto"/>
            <w:noWrap/>
            <w:vAlign w:val="bottom"/>
          </w:tcPr>
          <w:p w14:paraId="43B5772B" w14:textId="77777777" w:rsidR="004A7DCA" w:rsidRPr="00C83D3A" w:rsidRDefault="004A7DCA" w:rsidP="003C60BC">
            <w:pPr>
              <w:rPr>
                <w:rFonts w:ascii="Calibri" w:eastAsia="Times New Roman" w:hAnsi="Calibri" w:cs="Calibri"/>
                <w:color w:val="000000"/>
              </w:rPr>
            </w:pPr>
          </w:p>
        </w:tc>
        <w:tc>
          <w:tcPr>
            <w:tcW w:w="980" w:type="dxa"/>
            <w:tcBorders>
              <w:top w:val="nil"/>
              <w:left w:val="nil"/>
              <w:bottom w:val="nil"/>
              <w:right w:val="nil"/>
            </w:tcBorders>
            <w:shd w:val="clear" w:color="auto" w:fill="auto"/>
            <w:noWrap/>
            <w:vAlign w:val="bottom"/>
          </w:tcPr>
          <w:p w14:paraId="23A989AF" w14:textId="77777777" w:rsidR="004A7DCA" w:rsidRPr="00C83D3A" w:rsidRDefault="004A7DCA" w:rsidP="003C60BC">
            <w:pPr>
              <w:rPr>
                <w:rFonts w:eastAsia="Times New Roman"/>
                <w:sz w:val="20"/>
                <w:szCs w:val="20"/>
              </w:rPr>
            </w:pPr>
          </w:p>
        </w:tc>
        <w:tc>
          <w:tcPr>
            <w:tcW w:w="960" w:type="dxa"/>
            <w:tcBorders>
              <w:top w:val="nil"/>
              <w:left w:val="nil"/>
              <w:bottom w:val="nil"/>
              <w:right w:val="nil"/>
            </w:tcBorders>
            <w:shd w:val="clear" w:color="auto" w:fill="auto"/>
            <w:noWrap/>
            <w:vAlign w:val="bottom"/>
          </w:tcPr>
          <w:p w14:paraId="3A13C8FB" w14:textId="77777777" w:rsidR="004A7DCA" w:rsidRPr="00C83D3A" w:rsidRDefault="004A7DCA" w:rsidP="003C60BC">
            <w:pPr>
              <w:rPr>
                <w:rFonts w:eastAsia="Times New Roman"/>
                <w:sz w:val="20"/>
                <w:szCs w:val="20"/>
              </w:rPr>
            </w:pPr>
          </w:p>
        </w:tc>
        <w:tc>
          <w:tcPr>
            <w:tcW w:w="960" w:type="dxa"/>
            <w:tcBorders>
              <w:top w:val="nil"/>
              <w:left w:val="nil"/>
              <w:bottom w:val="nil"/>
              <w:right w:val="nil"/>
            </w:tcBorders>
            <w:shd w:val="clear" w:color="auto" w:fill="auto"/>
            <w:noWrap/>
            <w:vAlign w:val="bottom"/>
          </w:tcPr>
          <w:p w14:paraId="241206D3" w14:textId="77777777" w:rsidR="004A7DCA" w:rsidRDefault="004A7DCA" w:rsidP="003C60BC">
            <w:pPr>
              <w:rPr>
                <w:rFonts w:ascii="Calibri" w:eastAsia="Times New Roman" w:hAnsi="Calibri" w:cs="Calibri"/>
                <w:color w:val="000000"/>
              </w:rPr>
            </w:pPr>
          </w:p>
        </w:tc>
        <w:tc>
          <w:tcPr>
            <w:tcW w:w="960" w:type="dxa"/>
            <w:tcBorders>
              <w:top w:val="nil"/>
              <w:left w:val="single" w:sz="4" w:space="0" w:color="C0C0C0"/>
              <w:bottom w:val="single" w:sz="4" w:space="0" w:color="C0C0C0"/>
              <w:right w:val="single" w:sz="4" w:space="0" w:color="C0C0C0"/>
            </w:tcBorders>
            <w:shd w:val="clear" w:color="auto" w:fill="auto"/>
            <w:vAlign w:val="bottom"/>
          </w:tcPr>
          <w:p w14:paraId="629C849F" w14:textId="77777777" w:rsidR="004A7DCA" w:rsidRPr="00C83D3A" w:rsidRDefault="004A7DCA" w:rsidP="003C60BC">
            <w:pPr>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2998BBE7" w14:textId="77777777" w:rsidR="004A7DCA" w:rsidRPr="00C83D3A" w:rsidRDefault="004A7DCA" w:rsidP="003C60BC">
            <w:pPr>
              <w:jc w:val="right"/>
              <w:rPr>
                <w:rFonts w:ascii="Calibri" w:eastAsia="Times New Roman" w:hAnsi="Calibri" w:cs="Calibri"/>
                <w:color w:val="000000"/>
              </w:rPr>
            </w:pPr>
          </w:p>
        </w:tc>
        <w:tc>
          <w:tcPr>
            <w:tcW w:w="960" w:type="dxa"/>
            <w:tcBorders>
              <w:top w:val="nil"/>
              <w:left w:val="single" w:sz="4" w:space="0" w:color="C0C0C0"/>
              <w:bottom w:val="single" w:sz="4" w:space="0" w:color="C0C0C0"/>
              <w:right w:val="single" w:sz="4" w:space="0" w:color="C0C0C0"/>
            </w:tcBorders>
            <w:shd w:val="clear" w:color="auto" w:fill="auto"/>
            <w:vAlign w:val="bottom"/>
          </w:tcPr>
          <w:p w14:paraId="636D5539" w14:textId="77777777" w:rsidR="004A7DCA" w:rsidRPr="00C83D3A" w:rsidRDefault="004A7DCA" w:rsidP="003C60BC">
            <w:pPr>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746B5068" w14:textId="77777777" w:rsidR="004A7DCA" w:rsidRPr="00C83D3A" w:rsidRDefault="004A7DCA" w:rsidP="003C60BC">
            <w:pPr>
              <w:rPr>
                <w:rFonts w:ascii="Calibri" w:eastAsia="Times New Roman" w:hAnsi="Calibri" w:cs="Calibri"/>
                <w:color w:val="000000"/>
              </w:rPr>
            </w:pPr>
          </w:p>
        </w:tc>
      </w:tr>
    </w:tbl>
    <w:p w14:paraId="05BC7E05" w14:textId="77777777" w:rsidR="004A7DCA" w:rsidRDefault="004A7DCA" w:rsidP="004A7DCA">
      <w:pPr>
        <w:pStyle w:val="ListParagraph"/>
      </w:pPr>
    </w:p>
    <w:p w14:paraId="2B3B449C" w14:textId="77777777" w:rsidR="004A7DCA" w:rsidRDefault="004A7DCA" w:rsidP="004A7DCA">
      <w:pPr>
        <w:pStyle w:val="ListParagraph"/>
      </w:pPr>
    </w:p>
    <w:p w14:paraId="1BC3D064" w14:textId="77777777" w:rsidR="004A7DCA" w:rsidRDefault="004A7DCA" w:rsidP="004A7DCA"/>
    <w:p w14:paraId="421E5D40" w14:textId="77777777" w:rsidR="004A7DCA" w:rsidRDefault="004A7DCA" w:rsidP="004A7DCA">
      <w:pPr>
        <w:rPr>
          <w:b/>
          <w:bCs/>
          <w:i/>
          <w:iCs/>
        </w:rPr>
      </w:pPr>
      <w:r>
        <w:rPr>
          <w:b/>
          <w:bCs/>
          <w:i/>
          <w:iCs/>
        </w:rPr>
        <w:br w:type="page"/>
      </w:r>
    </w:p>
    <w:p w14:paraId="4C526B17" w14:textId="77777777" w:rsidR="004A7DCA" w:rsidRDefault="004A7DCA" w:rsidP="004A7DCA">
      <w:pPr>
        <w:pStyle w:val="ListParagraph"/>
        <w:numPr>
          <w:ilvl w:val="0"/>
          <w:numId w:val="35"/>
        </w:numPr>
        <w:spacing w:after="160" w:line="259" w:lineRule="auto"/>
      </w:pPr>
      <w:r>
        <w:lastRenderedPageBreak/>
        <w:t>Repeat part (d) using the appropriate data-driven LR from your table above, not the Naïve Bayes assumption of test independence conditional on disease.  Recall that you are about to intubate a patient who is &lt; 1 year old (Age&lt;1yr) and who has an unobtainable oxygen saturation (AbSpO2 = True).  Calculate the patient’s probability of PICA.  Show your work. [3]</w:t>
      </w:r>
    </w:p>
    <w:p w14:paraId="10E33B88" w14:textId="77777777" w:rsidR="004A7DCA" w:rsidRDefault="004A7DCA" w:rsidP="004A7DCA"/>
    <w:p w14:paraId="658E6FDA" w14:textId="2140708F" w:rsidR="004A7DCA" w:rsidRDefault="004A7DCA" w:rsidP="004A7DCA">
      <w:pPr>
        <w:pStyle w:val="ListParagraph"/>
        <w:numPr>
          <w:ilvl w:val="0"/>
          <w:numId w:val="35"/>
        </w:numPr>
        <w:spacing w:after="160" w:line="259" w:lineRule="auto"/>
      </w:pPr>
      <w:r>
        <w:t>Compare your answers between (d) and (f).  Are they different?  If so why? [3]</w:t>
      </w:r>
    </w:p>
    <w:p w14:paraId="47F2DA46" w14:textId="77777777" w:rsidR="003C60BC" w:rsidRDefault="003C60BC" w:rsidP="003C60BC">
      <w:pPr>
        <w:pStyle w:val="ListParagraph"/>
      </w:pPr>
    </w:p>
    <w:p w14:paraId="402AE07C" w14:textId="6EE2C3E3" w:rsidR="003C60BC" w:rsidRDefault="003C60BC" w:rsidP="003C60BC">
      <w:pPr>
        <w:pStyle w:val="ListParagraph"/>
        <w:spacing w:after="160" w:line="259" w:lineRule="auto"/>
      </w:pPr>
    </w:p>
    <w:p w14:paraId="0C81DF58" w14:textId="77777777" w:rsidR="003C60BC" w:rsidRDefault="003C60BC" w:rsidP="003C60BC">
      <w:pPr>
        <w:pStyle w:val="ListParagraph"/>
        <w:spacing w:after="160" w:line="259" w:lineRule="auto"/>
      </w:pPr>
    </w:p>
    <w:p w14:paraId="29B86E27" w14:textId="77777777" w:rsidR="003C60BC" w:rsidRDefault="003C60BC" w:rsidP="003C60BC">
      <w:pPr>
        <w:pStyle w:val="ListParagraph"/>
      </w:pPr>
    </w:p>
    <w:p w14:paraId="76BDEDA8" w14:textId="4D2CEB6A" w:rsidR="004A7DCA" w:rsidRDefault="004A7DCA" w:rsidP="004A7DCA">
      <w:pPr>
        <w:pStyle w:val="ListParagraph"/>
        <w:numPr>
          <w:ilvl w:val="0"/>
          <w:numId w:val="35"/>
        </w:numPr>
        <w:spacing w:after="160" w:line="259" w:lineRule="auto"/>
      </w:pPr>
      <w:r>
        <w:t xml:space="preserve"> Assume the pre-test probability is as you answered in part (a).  Your policy is to set up extra equipment and resources when a patient’s risk of PICA exceeds 4%, which combinations of AbSpO2 and Age&lt;1yr justify the extra equipment and resources? [2]</w:t>
      </w:r>
    </w:p>
    <w:p w14:paraId="5E0689C7" w14:textId="77777777" w:rsidR="003C60BC" w:rsidRDefault="003C60BC" w:rsidP="003C60BC">
      <w:pPr>
        <w:spacing w:after="160" w:line="259" w:lineRule="auto"/>
      </w:pPr>
    </w:p>
    <w:p w14:paraId="59E2C904" w14:textId="77777777" w:rsidR="004A7DCA" w:rsidRPr="005478AF" w:rsidRDefault="004A7DCA" w:rsidP="004A7DCA">
      <w:pPr>
        <w:rPr>
          <w:b/>
          <w:bCs/>
          <w:i/>
          <w:iCs/>
        </w:rPr>
      </w:pPr>
    </w:p>
    <w:p w14:paraId="6C46888D" w14:textId="798773A1" w:rsidR="00EE7EEB" w:rsidRDefault="004A7DCA" w:rsidP="004A7DCA">
      <w:pPr>
        <w:pStyle w:val="ListParagraph"/>
        <w:numPr>
          <w:ilvl w:val="0"/>
          <w:numId w:val="36"/>
        </w:numPr>
        <w:spacing w:after="160" w:line="259" w:lineRule="auto"/>
      </w:pPr>
      <w:r>
        <w:t xml:space="preserve">Extra Credit:  Create a classification tree for the prediction rule that you have derived. </w:t>
      </w:r>
      <w:r w:rsidR="003C60BC">
        <w:t>[+</w:t>
      </w:r>
      <w:r>
        <w:t>2</w:t>
      </w:r>
      <w:r w:rsidR="003C60BC">
        <w:t>]</w:t>
      </w:r>
    </w:p>
    <w:p w14:paraId="634F6FF8" w14:textId="69380877" w:rsidR="004A7DCA" w:rsidRDefault="00EE7EEB" w:rsidP="00EE7EEB">
      <w:r>
        <w:br w:type="page"/>
      </w:r>
    </w:p>
    <w:p w14:paraId="451964F7" w14:textId="60F544C0" w:rsidR="004A7DCA" w:rsidRPr="003C60BC" w:rsidRDefault="004A7DCA" w:rsidP="004A7DCA">
      <w:pPr>
        <w:rPr>
          <w:b/>
          <w:bCs/>
        </w:rPr>
      </w:pPr>
      <w:r w:rsidRPr="003C60BC">
        <w:rPr>
          <w:b/>
          <w:bCs/>
        </w:rPr>
        <w:lastRenderedPageBreak/>
        <w:t>5. Risk prediction for invasive breast cancer [8 points]</w:t>
      </w:r>
    </w:p>
    <w:p w14:paraId="7A433922" w14:textId="77777777" w:rsidR="004A7DCA" w:rsidRPr="008523EF" w:rsidRDefault="004A7DCA" w:rsidP="004A7DCA">
      <w:pPr>
        <w:rPr>
          <w:b/>
          <w:sz w:val="20"/>
          <w:szCs w:val="20"/>
        </w:rPr>
      </w:pPr>
      <w:r>
        <w:rPr>
          <w:bCs/>
          <w:sz w:val="20"/>
          <w:szCs w:val="20"/>
        </w:rPr>
        <w:t>(Thanks to</w:t>
      </w:r>
      <w:r w:rsidRPr="008523EF">
        <w:rPr>
          <w:b/>
          <w:sz w:val="20"/>
          <w:szCs w:val="20"/>
        </w:rPr>
        <w:t xml:space="preserve"> Kristen Azar</w:t>
      </w:r>
      <w:r>
        <w:rPr>
          <w:bCs/>
          <w:sz w:val="20"/>
          <w:szCs w:val="20"/>
        </w:rPr>
        <w:t xml:space="preserve">, </w:t>
      </w:r>
      <w:r w:rsidRPr="008523EF">
        <w:rPr>
          <w:b/>
          <w:sz w:val="20"/>
          <w:szCs w:val="20"/>
        </w:rPr>
        <w:t>Shelley DeVost</w:t>
      </w:r>
      <w:r>
        <w:rPr>
          <w:b/>
          <w:sz w:val="20"/>
          <w:szCs w:val="20"/>
        </w:rPr>
        <w:t xml:space="preserve">, </w:t>
      </w:r>
      <w:r w:rsidRPr="008523EF">
        <w:rPr>
          <w:b/>
          <w:sz w:val="20"/>
          <w:szCs w:val="20"/>
        </w:rPr>
        <w:t>Safyer McKenzie-Sampson</w:t>
      </w:r>
      <w:r>
        <w:rPr>
          <w:bCs/>
          <w:sz w:val="20"/>
          <w:szCs w:val="20"/>
        </w:rPr>
        <w:t>.)</w:t>
      </w:r>
      <w:r w:rsidRPr="008523EF">
        <w:rPr>
          <w:sz w:val="20"/>
          <w:szCs w:val="20"/>
        </w:rPr>
        <w:tab/>
      </w:r>
      <w:r w:rsidRPr="008523EF">
        <w:rPr>
          <w:sz w:val="20"/>
          <w:szCs w:val="20"/>
        </w:rPr>
        <w:tab/>
        <w:t xml:space="preserve"> </w:t>
      </w:r>
    </w:p>
    <w:p w14:paraId="7FF3D2A5" w14:textId="77777777" w:rsidR="004A7DCA" w:rsidRPr="005055D6" w:rsidRDefault="004A7DCA" w:rsidP="004A7DCA"/>
    <w:p w14:paraId="47E5098A" w14:textId="19A34B08" w:rsidR="004A7DCA" w:rsidRDefault="004A7DCA" w:rsidP="004A7DCA">
      <w:pPr>
        <w:autoSpaceDE w:val="0"/>
        <w:autoSpaceDN w:val="0"/>
        <w:adjustRightInd w:val="0"/>
      </w:pPr>
      <w:r>
        <w:t xml:space="preserve">Women at high risk of breast cancer may elect to take selective estrogen receptor modulator, such as </w:t>
      </w:r>
      <w:r w:rsidR="00AC1112">
        <w:t>tamoxifen</w:t>
      </w:r>
      <w:r>
        <w:t xml:space="preserve">, to reduce their risk of breast cancer.  </w:t>
      </w:r>
      <w:r w:rsidRPr="005055D6">
        <w:t xml:space="preserve">McCarthy </w:t>
      </w:r>
      <w:r>
        <w:t>et al.</w:t>
      </w:r>
      <w:r>
        <w:fldChar w:fldCharType="begin"/>
      </w:r>
      <w:r>
        <w:instrText xml:space="preserve"> ADDIN EN.CITE &lt;EndNote&gt;&lt;Cite&gt;&lt;Author&gt;McCarthy&lt;/Author&gt;&lt;Year&gt;2019&lt;/Year&gt;&lt;RecNum&gt;1627&lt;/RecNum&gt;&lt;DisplayText&gt;(3)&lt;/DisplayText&gt;&lt;record&gt;&lt;rec-number&gt;1627&lt;/rec-number&gt;&lt;foreign-keys&gt;&lt;key app="EN" db-id="tw5zsa9fbrf5toeezpb5tzwatvzvps55eeew" timestamp="1574640437"&gt;1627&lt;/key&gt;&lt;/foreign-keys&gt;&lt;ref-type name="Journal Article"&gt;17&lt;/ref-type&gt;&lt;contributors&gt;&lt;authors&gt;&lt;author&gt;McCarthy, A. M.&lt;/author&gt;&lt;author&gt;Guan, Z.&lt;/author&gt;&lt;author&gt;Welch, M.&lt;/author&gt;&lt;author&gt;Griffin, M. E.&lt;/author&gt;&lt;author&gt;Sippo, D. A.&lt;/author&gt;&lt;author&gt;Deng, Z.&lt;/author&gt;&lt;author&gt;Coopey, S. B.&lt;/author&gt;&lt;author&gt;Acar, A.&lt;/author&gt;&lt;author&gt;Semine, A.&lt;/author&gt;&lt;author&gt;Parmigiani, G.&lt;/author&gt;&lt;author&gt;Braun, D.&lt;/author&gt;&lt;author&gt;Hughes, K. S.&lt;/author&gt;&lt;/authors&gt;&lt;/contributors&gt;&lt;auth-address&gt;Division of General Internal Medicine, Massachusetts General Hospital, Boston, MA.&amp;#xD;Department of Biostatistics, Harvard University T H Chan School of Public Health, Boston, MA, USA.&amp;#xD;Department of Data Sciences, Dana-Farber Cancer Institute, Boston, MA, USA.&amp;#xD;Division of Surgical Oncology, Massachusetts General Hospital, Boston, MA.&amp;#xD;Department of Radiology, Massachusetts General Hospital, Boston, MA.&amp;#xD;Istanbul School of Medicine, Istanbul University, Istanbul, Turkey.&amp;#xD;Department of Radiology, Newton Wellesley Hospital, Newton, MA.&lt;/auth-address&gt;&lt;titles&gt;&lt;title&gt;Performance of breast cancer risk assessment models in a large mammography cohort&lt;/title&gt;&lt;secondary-title&gt;J Natl Cancer Inst&lt;/secondary-title&gt;&lt;/titles&gt;&lt;periodical&gt;&lt;full-title&gt;J Natl Cancer Inst&lt;/full-title&gt;&lt;/periodical&gt;&lt;edition&gt;2019/09/27&lt;/edition&gt;&lt;dates&gt;&lt;year&gt;2019&lt;/year&gt;&lt;pub-dates&gt;&lt;date&gt;Sep 26&lt;/date&gt;&lt;/pub-dates&gt;&lt;/dates&gt;&lt;isbn&gt;1460-2105 (Electronic)&amp;#xD;0027-8874 (Linking)&lt;/isbn&gt;&lt;accession-num&gt;31556450&lt;/accession-num&gt;&lt;urls&gt;&lt;related-urls&gt;&lt;url&gt;https://www.ncbi.nlm.nih.gov/pubmed/31556450&lt;/url&gt;&lt;/related-urls&gt;&lt;/urls&gt;&lt;electronic-resource-num&gt;10.1093/jnci/djz177&lt;/electronic-resource-num&gt;&lt;/record&gt;&lt;/Cite&gt;&lt;/EndNote&gt;</w:instrText>
      </w:r>
      <w:r>
        <w:fldChar w:fldCharType="separate"/>
      </w:r>
      <w:r>
        <w:rPr>
          <w:noProof/>
        </w:rPr>
        <w:t>(3)</w:t>
      </w:r>
      <w:r>
        <w:fldChar w:fldCharType="end"/>
      </w:r>
      <w:r w:rsidRPr="005055D6">
        <w:t xml:space="preserve"> compared several breast cancer risk prediction models, including </w:t>
      </w:r>
      <w:r>
        <w:t xml:space="preserve">the </w:t>
      </w:r>
      <w:r w:rsidRPr="005055D6">
        <w:t>BRCAPRO, Tyrer-Cuzick v7 (TC v7), Gail, and Tyrer-Cuzick v8 (TC v8)</w:t>
      </w:r>
      <w:r>
        <w:t xml:space="preserve"> models</w:t>
      </w:r>
      <w:r w:rsidRPr="005055D6">
        <w:t>.</w:t>
      </w:r>
      <w:r>
        <w:t xml:space="preserve"> </w:t>
      </w:r>
      <w:r w:rsidRPr="005055D6">
        <w:t>These four models</w:t>
      </w:r>
      <w:r>
        <w:t xml:space="preserve"> </w:t>
      </w:r>
      <w:r w:rsidRPr="005055D6">
        <w:t>were developed using different populations and include different risk factors. In particular, the BRCAPRO, TC v7, and TC v8 models included more comprehensive family history, whereas the Gail model focused on reproductive and hormonal factors. All four models were developed using general breast cancer screening populations. For this study, data</w:t>
      </w:r>
      <w:r>
        <w:t>—</w:t>
      </w:r>
      <w:r w:rsidRPr="005055D6">
        <w:t>including only limited family history</w:t>
      </w:r>
      <w:r>
        <w:t xml:space="preserve"> information—</w:t>
      </w:r>
      <w:r w:rsidRPr="005055D6">
        <w:t>were extracted from the electronic medical records of 35,921 cancer-free women who underwent screening mammography between 2007 and 2009.</w:t>
      </w:r>
      <w:r>
        <w:t xml:space="preserve">  The outcome was diagnosis of invasive breast cancer by 6 years post mammogram and occurred in 647 women (cumulative incidence = 1.8%).</w:t>
      </w:r>
    </w:p>
    <w:p w14:paraId="38ABC7E1" w14:textId="77777777" w:rsidR="004A7DCA" w:rsidRDefault="004A7DCA" w:rsidP="004A7DCA">
      <w:pPr>
        <w:autoSpaceDE w:val="0"/>
        <w:autoSpaceDN w:val="0"/>
        <w:adjustRightInd w:val="0"/>
      </w:pPr>
    </w:p>
    <w:p w14:paraId="311FC6ED" w14:textId="77777777" w:rsidR="004A7DCA" w:rsidRDefault="004A7DCA" w:rsidP="004A7DCA">
      <w:pPr>
        <w:autoSpaceDE w:val="0"/>
        <w:autoSpaceDN w:val="0"/>
        <w:adjustRightInd w:val="0"/>
      </w:pPr>
      <w:r>
        <w:t>Here is Table 3 from the paper:</w:t>
      </w:r>
    </w:p>
    <w:p w14:paraId="2B1F30D0" w14:textId="77777777" w:rsidR="004A7DCA" w:rsidRDefault="004A7DCA" w:rsidP="004A7DCA">
      <w:pPr>
        <w:autoSpaceDE w:val="0"/>
        <w:autoSpaceDN w:val="0"/>
        <w:adjustRightInd w:val="0"/>
      </w:pPr>
    </w:p>
    <w:p w14:paraId="66A076AC" w14:textId="77777777" w:rsidR="004A7DCA" w:rsidRDefault="004A7DCA" w:rsidP="004A7DCA">
      <w:pPr>
        <w:autoSpaceDE w:val="0"/>
        <w:autoSpaceDN w:val="0"/>
        <w:adjustRightInd w:val="0"/>
      </w:pPr>
      <w:r w:rsidRPr="005055D6">
        <w:rPr>
          <w:noProof/>
        </w:rPr>
        <w:drawing>
          <wp:inline distT="0" distB="0" distL="0" distR="0" wp14:anchorId="550715ED" wp14:editId="0BE113D8">
            <wp:extent cx="6810381" cy="1746250"/>
            <wp:effectExtent l="0" t="0" r="9525" b="635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98732" cy="1768904"/>
                    </a:xfrm>
                    <a:prstGeom prst="rect">
                      <a:avLst/>
                    </a:prstGeom>
                    <a:noFill/>
                    <a:ln>
                      <a:noFill/>
                    </a:ln>
                  </pic:spPr>
                </pic:pic>
              </a:graphicData>
            </a:graphic>
          </wp:inline>
        </w:drawing>
      </w:r>
    </w:p>
    <w:p w14:paraId="34F59FE4" w14:textId="77777777" w:rsidR="004A7DCA" w:rsidRDefault="004A7DCA" w:rsidP="004A7DCA">
      <w:pPr>
        <w:autoSpaceDE w:val="0"/>
        <w:autoSpaceDN w:val="0"/>
        <w:adjustRightInd w:val="0"/>
      </w:pPr>
    </w:p>
    <w:p w14:paraId="4E03CDE3" w14:textId="767E92D5" w:rsidR="004A7DCA" w:rsidRDefault="004A7DCA" w:rsidP="004A7DCA">
      <w:pPr>
        <w:pStyle w:val="ListParagraph"/>
        <w:numPr>
          <w:ilvl w:val="0"/>
          <w:numId w:val="37"/>
        </w:numPr>
        <w:autoSpaceDE w:val="0"/>
        <w:autoSpaceDN w:val="0"/>
        <w:adjustRightInd w:val="0"/>
      </w:pPr>
      <w:r>
        <w:t>Admittedly they only differ in the 4</w:t>
      </w:r>
      <w:r w:rsidRPr="00B01510">
        <w:rPr>
          <w:vertAlign w:val="superscript"/>
        </w:rPr>
        <w:t>th</w:t>
      </w:r>
      <w:r>
        <w:t xml:space="preserve"> decimal place, but which of the 3 lower models </w:t>
      </w:r>
      <w:r w:rsidRPr="001B4FDF">
        <w:rPr>
          <w:bCs/>
        </w:rPr>
        <w:t xml:space="preserve">(Gail, TC7, TC8) </w:t>
      </w:r>
      <w:r>
        <w:t>has the worst Brier Score? [1]</w:t>
      </w:r>
    </w:p>
    <w:p w14:paraId="02FE5210" w14:textId="77777777" w:rsidR="004A7DCA" w:rsidRDefault="004A7DCA" w:rsidP="004A7DCA">
      <w:pPr>
        <w:pStyle w:val="ListParagraph"/>
        <w:autoSpaceDE w:val="0"/>
        <w:autoSpaceDN w:val="0"/>
        <w:adjustRightInd w:val="0"/>
      </w:pPr>
    </w:p>
    <w:p w14:paraId="77ECBAC5" w14:textId="77777777" w:rsidR="004A7DCA" w:rsidRDefault="004A7DCA" w:rsidP="004A7DCA">
      <w:pPr>
        <w:autoSpaceDE w:val="0"/>
        <w:autoSpaceDN w:val="0"/>
        <w:adjustRightInd w:val="0"/>
      </w:pPr>
    </w:p>
    <w:p w14:paraId="4FC608EF" w14:textId="28E954B1" w:rsidR="004A7DCA" w:rsidRDefault="004A7DCA" w:rsidP="004A7DCA">
      <w:pPr>
        <w:autoSpaceDE w:val="0"/>
        <w:autoSpaceDN w:val="0"/>
        <w:adjustRightInd w:val="0"/>
      </w:pPr>
      <w:r>
        <w:t>The O/E ratio is a qua</w:t>
      </w:r>
      <w:r w:rsidR="00C25961">
        <w:t>n</w:t>
      </w:r>
      <w:r>
        <w:t xml:space="preserve">tity related to the Mean Error or Bias.  Recall that if the Bias is positive, the model over-estimates risk and if it is negative the model under-estimates risk.  Just subtract O/E from 1 to get the Bias expressed as a percentage of the </w:t>
      </w:r>
      <w:r w:rsidR="00483357">
        <w:t>predicted risk</w:t>
      </w:r>
      <w:r>
        <w:t>.  You could call this the Relative Bias.</w:t>
      </w:r>
    </w:p>
    <w:p w14:paraId="7B518BEB" w14:textId="77777777" w:rsidR="004A7DCA" w:rsidRDefault="004A7DCA" w:rsidP="004A7DCA">
      <w:pPr>
        <w:autoSpaceDE w:val="0"/>
        <w:autoSpaceDN w:val="0"/>
        <w:adjustRightInd w:val="0"/>
      </w:pPr>
    </w:p>
    <w:p w14:paraId="0271A113" w14:textId="77777777" w:rsidR="004A7DCA" w:rsidRPr="008E4D1D" w:rsidRDefault="004A7DCA" w:rsidP="004A7DCA">
      <w:pPr>
        <w:autoSpaceDE w:val="0"/>
        <w:autoSpaceDN w:val="0"/>
        <w:adjustRightInd w:val="0"/>
      </w:pPr>
      <w:r w:rsidRPr="008E4D1D">
        <w:t>r</w:t>
      </w:r>
      <w:r w:rsidRPr="008E4D1D">
        <w:rPr>
          <w:vertAlign w:val="subscript"/>
        </w:rPr>
        <w:t>k</w:t>
      </w:r>
      <w:r w:rsidRPr="008E4D1D">
        <w:t xml:space="preserve"> = predicted risk in group k</w:t>
      </w:r>
    </w:p>
    <w:p w14:paraId="5C3CFC30" w14:textId="77777777" w:rsidR="004A7DCA" w:rsidRPr="008E4D1D" w:rsidRDefault="004A7DCA" w:rsidP="004A7DCA">
      <w:pPr>
        <w:autoSpaceDE w:val="0"/>
        <w:autoSpaceDN w:val="0"/>
        <w:adjustRightInd w:val="0"/>
      </w:pPr>
      <w:r w:rsidRPr="008E4D1D">
        <w:t>p</w:t>
      </w:r>
      <w:r w:rsidRPr="008E4D1D">
        <w:rPr>
          <w:vertAlign w:val="subscript"/>
        </w:rPr>
        <w:t xml:space="preserve">k </w:t>
      </w:r>
      <w:r w:rsidRPr="008E4D1D">
        <w:t>= proportion with outcome in group k</w:t>
      </w:r>
    </w:p>
    <w:p w14:paraId="2AA3B6AD" w14:textId="77777777" w:rsidR="004A7DCA" w:rsidRPr="008E4D1D" w:rsidRDefault="004A7DCA" w:rsidP="004A7DCA">
      <w:pPr>
        <w:autoSpaceDE w:val="0"/>
        <w:autoSpaceDN w:val="0"/>
        <w:adjustRightInd w:val="0"/>
      </w:pPr>
      <w:r w:rsidRPr="008E4D1D">
        <w:t>Bias = r</w:t>
      </w:r>
      <w:r w:rsidRPr="008E4D1D">
        <w:rPr>
          <w:vertAlign w:val="subscript"/>
        </w:rPr>
        <w:t>k</w:t>
      </w:r>
      <w:r w:rsidRPr="008E4D1D">
        <w:t xml:space="preserve"> – p</w:t>
      </w:r>
      <w:r w:rsidRPr="008E4D1D">
        <w:rPr>
          <w:vertAlign w:val="subscript"/>
        </w:rPr>
        <w:t>k</w:t>
      </w:r>
    </w:p>
    <w:p w14:paraId="65A3D147" w14:textId="77777777" w:rsidR="004A7DCA" w:rsidRPr="008E4D1D" w:rsidRDefault="004A7DCA" w:rsidP="004A7DCA">
      <w:pPr>
        <w:autoSpaceDE w:val="0"/>
        <w:autoSpaceDN w:val="0"/>
        <w:adjustRightInd w:val="0"/>
      </w:pPr>
      <w:r>
        <w:t xml:space="preserve">O/E = </w:t>
      </w:r>
      <w:r w:rsidRPr="008E4D1D">
        <w:t>p</w:t>
      </w:r>
      <w:r w:rsidRPr="008E4D1D">
        <w:rPr>
          <w:vertAlign w:val="subscript"/>
        </w:rPr>
        <w:t>k</w:t>
      </w:r>
      <w:r>
        <w:rPr>
          <w:vertAlign w:val="subscript"/>
        </w:rPr>
        <w:t xml:space="preserve"> </w:t>
      </w:r>
      <w:r>
        <w:t>/r</w:t>
      </w:r>
      <w:r w:rsidRPr="008E4D1D">
        <w:rPr>
          <w:vertAlign w:val="subscript"/>
        </w:rPr>
        <w:t>k</w:t>
      </w:r>
      <w:r>
        <w:rPr>
          <w:vertAlign w:val="subscript"/>
        </w:rPr>
        <w:t xml:space="preserve"> </w:t>
      </w:r>
    </w:p>
    <w:p w14:paraId="58A0871B" w14:textId="77777777" w:rsidR="004A7DCA" w:rsidRPr="008E4D1D" w:rsidRDefault="004A7DCA" w:rsidP="004A7DCA">
      <w:pPr>
        <w:autoSpaceDE w:val="0"/>
        <w:autoSpaceDN w:val="0"/>
        <w:adjustRightInd w:val="0"/>
      </w:pPr>
      <w:r>
        <w:t xml:space="preserve">1 - O/E = 1 - </w:t>
      </w:r>
      <w:r w:rsidRPr="008E4D1D">
        <w:t>p</w:t>
      </w:r>
      <w:r w:rsidRPr="008E4D1D">
        <w:rPr>
          <w:vertAlign w:val="subscript"/>
        </w:rPr>
        <w:t>k</w:t>
      </w:r>
      <w:r>
        <w:rPr>
          <w:vertAlign w:val="subscript"/>
        </w:rPr>
        <w:t xml:space="preserve"> </w:t>
      </w:r>
      <w:r>
        <w:t>/r</w:t>
      </w:r>
      <w:r w:rsidRPr="008E4D1D">
        <w:rPr>
          <w:vertAlign w:val="subscript"/>
        </w:rPr>
        <w:t>k</w:t>
      </w:r>
    </w:p>
    <w:p w14:paraId="216BE962" w14:textId="77777777" w:rsidR="004A7DCA" w:rsidRDefault="004A7DCA" w:rsidP="004A7DCA">
      <w:pPr>
        <w:autoSpaceDE w:val="0"/>
        <w:autoSpaceDN w:val="0"/>
        <w:adjustRightInd w:val="0"/>
        <w:rPr>
          <w:vertAlign w:val="subscript"/>
        </w:rPr>
      </w:pPr>
      <w:r>
        <w:t>1 - O/E = (r</w:t>
      </w:r>
      <w:r w:rsidRPr="008E4D1D">
        <w:rPr>
          <w:vertAlign w:val="subscript"/>
        </w:rPr>
        <w:t>k</w:t>
      </w:r>
      <w:r w:rsidRPr="008E4D1D">
        <w:t xml:space="preserve"> – </w:t>
      </w:r>
      <w:r>
        <w:t>p</w:t>
      </w:r>
      <w:r w:rsidRPr="008E4D1D">
        <w:rPr>
          <w:vertAlign w:val="subscript"/>
        </w:rPr>
        <w:t>k</w:t>
      </w:r>
      <w:r>
        <w:t>)/r</w:t>
      </w:r>
      <w:r w:rsidRPr="008E4D1D">
        <w:rPr>
          <w:vertAlign w:val="subscript"/>
        </w:rPr>
        <w:t>k</w:t>
      </w:r>
    </w:p>
    <w:p w14:paraId="43E50E85" w14:textId="77777777" w:rsidR="004A7DCA" w:rsidRPr="00D70890" w:rsidRDefault="004A7DCA" w:rsidP="004A7DCA">
      <w:pPr>
        <w:autoSpaceDE w:val="0"/>
        <w:autoSpaceDN w:val="0"/>
        <w:adjustRightInd w:val="0"/>
      </w:pPr>
      <w:r>
        <w:t>1 - O/E = Bias/r</w:t>
      </w:r>
      <w:r w:rsidRPr="008E4D1D">
        <w:rPr>
          <w:vertAlign w:val="subscript"/>
        </w:rPr>
        <w:t>k</w:t>
      </w:r>
      <w:r>
        <w:rPr>
          <w:vertAlign w:val="subscript"/>
        </w:rPr>
        <w:t xml:space="preserve"> </w:t>
      </w:r>
      <w:r>
        <w:t>= Relative Bias</w:t>
      </w:r>
    </w:p>
    <w:p w14:paraId="456AEDD1" w14:textId="77777777" w:rsidR="004A7DCA" w:rsidRDefault="004A7DCA" w:rsidP="004A7DCA">
      <w:pPr>
        <w:autoSpaceDE w:val="0"/>
        <w:autoSpaceDN w:val="0"/>
        <w:adjustRightInd w:val="0"/>
        <w:rPr>
          <w:vertAlign w:val="subscript"/>
        </w:rPr>
      </w:pPr>
    </w:p>
    <w:p w14:paraId="32323B2D" w14:textId="4182A099" w:rsidR="004A7DCA" w:rsidRDefault="004A7DCA" w:rsidP="004A7DCA">
      <w:pPr>
        <w:autoSpaceDE w:val="0"/>
        <w:autoSpaceDN w:val="0"/>
        <w:adjustRightInd w:val="0"/>
      </w:pPr>
      <w:r>
        <w:t>So</w:t>
      </w:r>
      <w:r w:rsidR="00EE7EEB">
        <w:t>.</w:t>
      </w:r>
      <w:r>
        <w:t xml:space="preserve"> here are </w:t>
      </w:r>
      <w:r w:rsidR="00EE7EEB">
        <w:t xml:space="preserve">the </w:t>
      </w:r>
      <w:r>
        <w:t>Relative Biases for the 4 models.</w:t>
      </w:r>
    </w:p>
    <w:p w14:paraId="4C14F56E" w14:textId="77777777" w:rsidR="004A7DCA" w:rsidRDefault="004A7DCA" w:rsidP="004A7DCA">
      <w:pPr>
        <w:autoSpaceDE w:val="0"/>
        <w:autoSpaceDN w:val="0"/>
        <w:adjustRightInd w:val="0"/>
      </w:pPr>
    </w:p>
    <w:tbl>
      <w:tblPr>
        <w:tblW w:w="3760" w:type="dxa"/>
        <w:tblLook w:val="04A0" w:firstRow="1" w:lastRow="0" w:firstColumn="1" w:lastColumn="0" w:noHBand="0" w:noVBand="1"/>
      </w:tblPr>
      <w:tblGrid>
        <w:gridCol w:w="1101"/>
        <w:gridCol w:w="1060"/>
        <w:gridCol w:w="1640"/>
      </w:tblGrid>
      <w:tr w:rsidR="004A7DCA" w:rsidRPr="00D70890" w14:paraId="0E7C1A70" w14:textId="77777777" w:rsidTr="003C60BC">
        <w:trPr>
          <w:trHeight w:val="312"/>
        </w:trPr>
        <w:tc>
          <w:tcPr>
            <w:tcW w:w="1060" w:type="dxa"/>
            <w:tcBorders>
              <w:top w:val="nil"/>
              <w:left w:val="nil"/>
              <w:bottom w:val="nil"/>
              <w:right w:val="nil"/>
            </w:tcBorders>
            <w:shd w:val="clear" w:color="auto" w:fill="auto"/>
            <w:noWrap/>
            <w:vAlign w:val="bottom"/>
            <w:hideMark/>
          </w:tcPr>
          <w:p w14:paraId="5B184CC2" w14:textId="77777777" w:rsidR="004A7DCA" w:rsidRPr="00D70890" w:rsidRDefault="004A7DCA" w:rsidP="003C60BC">
            <w:pPr>
              <w:rPr>
                <w:rFonts w:eastAsia="Times New Roman"/>
              </w:rPr>
            </w:pPr>
          </w:p>
        </w:tc>
        <w:tc>
          <w:tcPr>
            <w:tcW w:w="1060" w:type="dxa"/>
            <w:tcBorders>
              <w:top w:val="nil"/>
              <w:left w:val="nil"/>
              <w:bottom w:val="nil"/>
              <w:right w:val="nil"/>
            </w:tcBorders>
            <w:shd w:val="clear" w:color="auto" w:fill="auto"/>
            <w:noWrap/>
            <w:vAlign w:val="bottom"/>
            <w:hideMark/>
          </w:tcPr>
          <w:p w14:paraId="4E459979" w14:textId="77777777" w:rsidR="004A7DCA" w:rsidRPr="00D70890" w:rsidRDefault="004A7DCA" w:rsidP="003C60BC">
            <w:pPr>
              <w:jc w:val="center"/>
              <w:rPr>
                <w:rFonts w:ascii="Calibri" w:eastAsia="Times New Roman" w:hAnsi="Calibri" w:cs="Calibri"/>
                <w:b/>
                <w:bCs/>
                <w:color w:val="000000"/>
              </w:rPr>
            </w:pPr>
            <w:r w:rsidRPr="00D70890">
              <w:rPr>
                <w:rFonts w:ascii="Calibri" w:eastAsia="Times New Roman" w:hAnsi="Calibri" w:cs="Calibri"/>
                <w:b/>
                <w:bCs/>
                <w:color w:val="000000"/>
              </w:rPr>
              <w:t>O/E</w:t>
            </w:r>
          </w:p>
        </w:tc>
        <w:tc>
          <w:tcPr>
            <w:tcW w:w="1640" w:type="dxa"/>
            <w:tcBorders>
              <w:top w:val="nil"/>
              <w:left w:val="nil"/>
              <w:bottom w:val="nil"/>
              <w:right w:val="nil"/>
            </w:tcBorders>
            <w:shd w:val="clear" w:color="auto" w:fill="auto"/>
            <w:noWrap/>
            <w:vAlign w:val="bottom"/>
            <w:hideMark/>
          </w:tcPr>
          <w:p w14:paraId="5F1D9F7B" w14:textId="77777777" w:rsidR="004A7DCA" w:rsidRPr="00D70890" w:rsidRDefault="004A7DCA" w:rsidP="003C60BC">
            <w:pPr>
              <w:jc w:val="center"/>
              <w:rPr>
                <w:rFonts w:ascii="Calibri" w:eastAsia="Times New Roman" w:hAnsi="Calibri" w:cs="Calibri"/>
                <w:b/>
                <w:bCs/>
                <w:color w:val="000000"/>
              </w:rPr>
            </w:pPr>
            <w:r w:rsidRPr="00D70890">
              <w:rPr>
                <w:rFonts w:ascii="Calibri" w:eastAsia="Times New Roman" w:hAnsi="Calibri" w:cs="Calibri"/>
                <w:b/>
                <w:bCs/>
                <w:color w:val="000000"/>
              </w:rPr>
              <w:t>Relative Bias</w:t>
            </w:r>
          </w:p>
        </w:tc>
      </w:tr>
      <w:tr w:rsidR="004A7DCA" w:rsidRPr="00D70890" w14:paraId="47040B87" w14:textId="77777777" w:rsidTr="003C60BC">
        <w:trPr>
          <w:trHeight w:val="312"/>
        </w:trPr>
        <w:tc>
          <w:tcPr>
            <w:tcW w:w="1060" w:type="dxa"/>
            <w:tcBorders>
              <w:top w:val="nil"/>
              <w:left w:val="nil"/>
              <w:bottom w:val="nil"/>
              <w:right w:val="nil"/>
            </w:tcBorders>
            <w:shd w:val="clear" w:color="auto" w:fill="auto"/>
            <w:noWrap/>
            <w:vAlign w:val="bottom"/>
            <w:hideMark/>
          </w:tcPr>
          <w:p w14:paraId="4A0EEB9E" w14:textId="77777777" w:rsidR="004A7DCA" w:rsidRPr="00D70890" w:rsidRDefault="004A7DCA" w:rsidP="003C60BC">
            <w:pPr>
              <w:rPr>
                <w:rFonts w:ascii="Calibri" w:eastAsia="Times New Roman" w:hAnsi="Calibri" w:cs="Calibri"/>
                <w:b/>
                <w:bCs/>
                <w:color w:val="000000"/>
              </w:rPr>
            </w:pPr>
            <w:r w:rsidRPr="00D70890">
              <w:rPr>
                <w:rFonts w:ascii="Calibri" w:eastAsia="Times New Roman" w:hAnsi="Calibri" w:cs="Calibri"/>
                <w:b/>
                <w:bCs/>
                <w:color w:val="000000"/>
              </w:rPr>
              <w:t>BRCAPro</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1D754" w14:textId="77777777" w:rsidR="004A7DCA" w:rsidRPr="00D70890" w:rsidRDefault="004A7DCA" w:rsidP="003C60BC">
            <w:pPr>
              <w:jc w:val="right"/>
              <w:rPr>
                <w:rFonts w:ascii="Calibri" w:eastAsia="Times New Roman" w:hAnsi="Calibri" w:cs="Calibri"/>
                <w:color w:val="000000"/>
              </w:rPr>
            </w:pPr>
            <w:r w:rsidRPr="00D70890">
              <w:rPr>
                <w:rFonts w:ascii="Calibri" w:eastAsia="Times New Roman" w:hAnsi="Calibri" w:cs="Calibri"/>
                <w:color w:val="000000"/>
              </w:rPr>
              <w:t>0.94</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5F5E7D91" w14:textId="77777777" w:rsidR="004A7DCA" w:rsidRPr="00D70890" w:rsidRDefault="004A7DCA" w:rsidP="003C60BC">
            <w:pPr>
              <w:jc w:val="right"/>
              <w:rPr>
                <w:rFonts w:ascii="Calibri" w:eastAsia="Times New Roman" w:hAnsi="Calibri" w:cs="Calibri"/>
                <w:color w:val="000000"/>
              </w:rPr>
            </w:pPr>
            <w:r w:rsidRPr="00D70890">
              <w:rPr>
                <w:rFonts w:ascii="Calibri" w:eastAsia="Times New Roman" w:hAnsi="Calibri" w:cs="Calibri"/>
                <w:color w:val="000000"/>
              </w:rPr>
              <w:t>6.0%</w:t>
            </w:r>
          </w:p>
        </w:tc>
      </w:tr>
      <w:tr w:rsidR="004A7DCA" w:rsidRPr="00D70890" w14:paraId="5F93C0EE" w14:textId="77777777" w:rsidTr="003C60BC">
        <w:trPr>
          <w:trHeight w:val="312"/>
        </w:trPr>
        <w:tc>
          <w:tcPr>
            <w:tcW w:w="1060" w:type="dxa"/>
            <w:tcBorders>
              <w:top w:val="nil"/>
              <w:left w:val="nil"/>
              <w:bottom w:val="nil"/>
              <w:right w:val="nil"/>
            </w:tcBorders>
            <w:shd w:val="clear" w:color="auto" w:fill="auto"/>
            <w:noWrap/>
            <w:vAlign w:val="bottom"/>
            <w:hideMark/>
          </w:tcPr>
          <w:p w14:paraId="013B0A72" w14:textId="77777777" w:rsidR="004A7DCA" w:rsidRPr="00D70890" w:rsidRDefault="004A7DCA" w:rsidP="003C60BC">
            <w:pPr>
              <w:rPr>
                <w:rFonts w:ascii="Calibri" w:eastAsia="Times New Roman" w:hAnsi="Calibri" w:cs="Calibri"/>
                <w:b/>
                <w:bCs/>
                <w:color w:val="000000"/>
              </w:rPr>
            </w:pPr>
            <w:r w:rsidRPr="00D70890">
              <w:rPr>
                <w:rFonts w:ascii="Calibri" w:eastAsia="Times New Roman" w:hAnsi="Calibri" w:cs="Calibri"/>
                <w:b/>
                <w:bCs/>
                <w:color w:val="000000"/>
              </w:rPr>
              <w:t>Gail</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10C6711" w14:textId="77777777" w:rsidR="004A7DCA" w:rsidRPr="00D70890" w:rsidRDefault="004A7DCA" w:rsidP="003C60BC">
            <w:pPr>
              <w:jc w:val="right"/>
              <w:rPr>
                <w:rFonts w:ascii="Calibri" w:eastAsia="Times New Roman" w:hAnsi="Calibri" w:cs="Calibri"/>
                <w:color w:val="000000"/>
              </w:rPr>
            </w:pPr>
            <w:r w:rsidRPr="00D70890">
              <w:rPr>
                <w:rFonts w:ascii="Calibri" w:eastAsia="Times New Roman" w:hAnsi="Calibri" w:cs="Calibri"/>
                <w:color w:val="000000"/>
              </w:rPr>
              <w:t>0.98</w:t>
            </w:r>
          </w:p>
        </w:tc>
        <w:tc>
          <w:tcPr>
            <w:tcW w:w="1640" w:type="dxa"/>
            <w:tcBorders>
              <w:top w:val="nil"/>
              <w:left w:val="nil"/>
              <w:bottom w:val="single" w:sz="4" w:space="0" w:color="auto"/>
              <w:right w:val="single" w:sz="4" w:space="0" w:color="auto"/>
            </w:tcBorders>
            <w:shd w:val="clear" w:color="auto" w:fill="auto"/>
            <w:noWrap/>
            <w:vAlign w:val="bottom"/>
            <w:hideMark/>
          </w:tcPr>
          <w:p w14:paraId="63DAE518" w14:textId="77777777" w:rsidR="004A7DCA" w:rsidRPr="00D70890" w:rsidRDefault="004A7DCA" w:rsidP="003C60BC">
            <w:pPr>
              <w:jc w:val="right"/>
              <w:rPr>
                <w:rFonts w:ascii="Calibri" w:eastAsia="Times New Roman" w:hAnsi="Calibri" w:cs="Calibri"/>
                <w:color w:val="000000"/>
              </w:rPr>
            </w:pPr>
            <w:r w:rsidRPr="00D70890">
              <w:rPr>
                <w:rFonts w:ascii="Calibri" w:eastAsia="Times New Roman" w:hAnsi="Calibri" w:cs="Calibri"/>
                <w:color w:val="000000"/>
              </w:rPr>
              <w:t>2.0%</w:t>
            </w:r>
          </w:p>
        </w:tc>
      </w:tr>
      <w:tr w:rsidR="004A7DCA" w:rsidRPr="00D70890" w14:paraId="56552817" w14:textId="77777777" w:rsidTr="003C60BC">
        <w:trPr>
          <w:trHeight w:val="312"/>
        </w:trPr>
        <w:tc>
          <w:tcPr>
            <w:tcW w:w="1060" w:type="dxa"/>
            <w:tcBorders>
              <w:top w:val="nil"/>
              <w:left w:val="nil"/>
              <w:bottom w:val="nil"/>
              <w:right w:val="nil"/>
            </w:tcBorders>
            <w:shd w:val="clear" w:color="auto" w:fill="auto"/>
            <w:noWrap/>
            <w:vAlign w:val="bottom"/>
            <w:hideMark/>
          </w:tcPr>
          <w:p w14:paraId="425D43ED" w14:textId="77777777" w:rsidR="004A7DCA" w:rsidRPr="00D70890" w:rsidRDefault="004A7DCA" w:rsidP="003C60BC">
            <w:pPr>
              <w:rPr>
                <w:rFonts w:ascii="Calibri" w:eastAsia="Times New Roman" w:hAnsi="Calibri" w:cs="Calibri"/>
                <w:b/>
                <w:bCs/>
                <w:color w:val="000000"/>
              </w:rPr>
            </w:pPr>
            <w:r w:rsidRPr="00D70890">
              <w:rPr>
                <w:rFonts w:ascii="Calibri" w:eastAsia="Times New Roman" w:hAnsi="Calibri" w:cs="Calibri"/>
                <w:b/>
                <w:bCs/>
                <w:color w:val="000000"/>
              </w:rPr>
              <w:t>TC7</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F03B04B" w14:textId="77777777" w:rsidR="004A7DCA" w:rsidRPr="00D70890" w:rsidRDefault="004A7DCA" w:rsidP="003C60BC">
            <w:pPr>
              <w:jc w:val="right"/>
              <w:rPr>
                <w:rFonts w:ascii="Calibri" w:eastAsia="Times New Roman" w:hAnsi="Calibri" w:cs="Calibri"/>
                <w:color w:val="000000"/>
              </w:rPr>
            </w:pPr>
            <w:r w:rsidRPr="00D70890">
              <w:rPr>
                <w:rFonts w:ascii="Calibri" w:eastAsia="Times New Roman" w:hAnsi="Calibri" w:cs="Calibri"/>
                <w:color w:val="000000"/>
              </w:rPr>
              <w:t>0.90</w:t>
            </w:r>
          </w:p>
        </w:tc>
        <w:tc>
          <w:tcPr>
            <w:tcW w:w="1640" w:type="dxa"/>
            <w:tcBorders>
              <w:top w:val="nil"/>
              <w:left w:val="nil"/>
              <w:bottom w:val="single" w:sz="4" w:space="0" w:color="auto"/>
              <w:right w:val="single" w:sz="4" w:space="0" w:color="auto"/>
            </w:tcBorders>
            <w:shd w:val="clear" w:color="auto" w:fill="auto"/>
            <w:noWrap/>
            <w:vAlign w:val="bottom"/>
            <w:hideMark/>
          </w:tcPr>
          <w:p w14:paraId="1B8EF4E1" w14:textId="77777777" w:rsidR="004A7DCA" w:rsidRPr="00D70890" w:rsidRDefault="004A7DCA" w:rsidP="003C60BC">
            <w:pPr>
              <w:jc w:val="right"/>
              <w:rPr>
                <w:rFonts w:ascii="Calibri" w:eastAsia="Times New Roman" w:hAnsi="Calibri" w:cs="Calibri"/>
                <w:color w:val="000000"/>
              </w:rPr>
            </w:pPr>
            <w:r w:rsidRPr="00D70890">
              <w:rPr>
                <w:rFonts w:ascii="Calibri" w:eastAsia="Times New Roman" w:hAnsi="Calibri" w:cs="Calibri"/>
                <w:color w:val="000000"/>
              </w:rPr>
              <w:t>10.0%</w:t>
            </w:r>
          </w:p>
        </w:tc>
      </w:tr>
      <w:tr w:rsidR="004A7DCA" w:rsidRPr="00D70890" w14:paraId="17DC2A1C" w14:textId="77777777" w:rsidTr="003C60BC">
        <w:trPr>
          <w:trHeight w:val="312"/>
        </w:trPr>
        <w:tc>
          <w:tcPr>
            <w:tcW w:w="1060" w:type="dxa"/>
            <w:tcBorders>
              <w:top w:val="nil"/>
              <w:left w:val="nil"/>
              <w:bottom w:val="nil"/>
              <w:right w:val="nil"/>
            </w:tcBorders>
            <w:shd w:val="clear" w:color="auto" w:fill="auto"/>
            <w:noWrap/>
            <w:vAlign w:val="bottom"/>
            <w:hideMark/>
          </w:tcPr>
          <w:p w14:paraId="1BEFD7B8" w14:textId="77777777" w:rsidR="004A7DCA" w:rsidRPr="00D70890" w:rsidRDefault="004A7DCA" w:rsidP="003C60BC">
            <w:pPr>
              <w:rPr>
                <w:rFonts w:ascii="Calibri" w:eastAsia="Times New Roman" w:hAnsi="Calibri" w:cs="Calibri"/>
                <w:b/>
                <w:bCs/>
                <w:color w:val="000000"/>
              </w:rPr>
            </w:pPr>
            <w:r w:rsidRPr="00D70890">
              <w:rPr>
                <w:rFonts w:ascii="Calibri" w:eastAsia="Times New Roman" w:hAnsi="Calibri" w:cs="Calibri"/>
                <w:b/>
                <w:bCs/>
                <w:color w:val="000000"/>
              </w:rPr>
              <w:t>TC8</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B336DC2" w14:textId="77777777" w:rsidR="004A7DCA" w:rsidRPr="00D70890" w:rsidRDefault="004A7DCA" w:rsidP="003C60BC">
            <w:pPr>
              <w:jc w:val="right"/>
              <w:rPr>
                <w:rFonts w:ascii="Calibri" w:eastAsia="Times New Roman" w:hAnsi="Calibri" w:cs="Calibri"/>
                <w:color w:val="000000"/>
              </w:rPr>
            </w:pPr>
            <w:r w:rsidRPr="00D70890">
              <w:rPr>
                <w:rFonts w:ascii="Calibri" w:eastAsia="Times New Roman" w:hAnsi="Calibri" w:cs="Calibri"/>
                <w:color w:val="000000"/>
              </w:rPr>
              <w:t>0.84</w:t>
            </w:r>
          </w:p>
        </w:tc>
        <w:tc>
          <w:tcPr>
            <w:tcW w:w="1640" w:type="dxa"/>
            <w:tcBorders>
              <w:top w:val="nil"/>
              <w:left w:val="nil"/>
              <w:bottom w:val="single" w:sz="4" w:space="0" w:color="auto"/>
              <w:right w:val="single" w:sz="4" w:space="0" w:color="auto"/>
            </w:tcBorders>
            <w:shd w:val="clear" w:color="auto" w:fill="auto"/>
            <w:noWrap/>
            <w:vAlign w:val="bottom"/>
            <w:hideMark/>
          </w:tcPr>
          <w:p w14:paraId="5F0682FE" w14:textId="77777777" w:rsidR="004A7DCA" w:rsidRPr="00D70890" w:rsidRDefault="004A7DCA" w:rsidP="003C60BC">
            <w:pPr>
              <w:jc w:val="right"/>
              <w:rPr>
                <w:rFonts w:ascii="Calibri" w:eastAsia="Times New Roman" w:hAnsi="Calibri" w:cs="Calibri"/>
                <w:color w:val="000000"/>
              </w:rPr>
            </w:pPr>
            <w:r w:rsidRPr="00D70890">
              <w:rPr>
                <w:rFonts w:ascii="Calibri" w:eastAsia="Times New Roman" w:hAnsi="Calibri" w:cs="Calibri"/>
                <w:color w:val="000000"/>
              </w:rPr>
              <w:t>16.0%</w:t>
            </w:r>
          </w:p>
        </w:tc>
      </w:tr>
    </w:tbl>
    <w:p w14:paraId="744833DC" w14:textId="77777777" w:rsidR="004A7DCA" w:rsidRPr="008E4D1D" w:rsidRDefault="004A7DCA" w:rsidP="004A7DCA">
      <w:pPr>
        <w:autoSpaceDE w:val="0"/>
        <w:autoSpaceDN w:val="0"/>
        <w:adjustRightInd w:val="0"/>
      </w:pPr>
    </w:p>
    <w:p w14:paraId="10FA67E6" w14:textId="77777777" w:rsidR="004A7DCA" w:rsidRPr="008E4D1D" w:rsidRDefault="004A7DCA" w:rsidP="004A7DCA">
      <w:pPr>
        <w:autoSpaceDE w:val="0"/>
        <w:autoSpaceDN w:val="0"/>
        <w:adjustRightInd w:val="0"/>
      </w:pPr>
    </w:p>
    <w:p w14:paraId="7170A876" w14:textId="77777777" w:rsidR="004A7DCA" w:rsidRDefault="004A7DCA" w:rsidP="004A7DCA">
      <w:pPr>
        <w:autoSpaceDE w:val="0"/>
        <w:autoSpaceDN w:val="0"/>
        <w:adjustRightInd w:val="0"/>
      </w:pPr>
    </w:p>
    <w:p w14:paraId="09FBA2C4" w14:textId="77777777" w:rsidR="004A7DCA" w:rsidRDefault="004A7DCA" w:rsidP="004A7DCA">
      <w:pPr>
        <w:pStyle w:val="ListParagraph"/>
        <w:numPr>
          <w:ilvl w:val="0"/>
          <w:numId w:val="38"/>
        </w:numPr>
      </w:pPr>
      <w:r>
        <w:t>On average, do these models over-estimate or underestimate risk? Explain.  [2]</w:t>
      </w:r>
    </w:p>
    <w:p w14:paraId="15A00243" w14:textId="77777777" w:rsidR="004A7DCA" w:rsidRDefault="004A7DCA" w:rsidP="004A7DCA">
      <w:pPr>
        <w:pStyle w:val="ListParagraph"/>
      </w:pPr>
    </w:p>
    <w:p w14:paraId="6D2AF800" w14:textId="77777777" w:rsidR="004A7DCA" w:rsidRDefault="004A7DCA" w:rsidP="004A7DCA">
      <w:pPr>
        <w:pStyle w:val="ListParagraph"/>
        <w:rPr>
          <w:b/>
          <w:bCs/>
          <w:i/>
          <w:iCs/>
        </w:rPr>
      </w:pPr>
    </w:p>
    <w:p w14:paraId="24790566" w14:textId="1E89C06A" w:rsidR="004A7DCA" w:rsidRPr="00C94B2F" w:rsidRDefault="004A7DCA" w:rsidP="004A7DCA">
      <w:r>
        <w:t xml:space="preserve">Here are the </w:t>
      </w:r>
      <w:r w:rsidR="00AE6F3E">
        <w:t>calibration</w:t>
      </w:r>
      <w:r>
        <w:t xml:space="preserve"> plots for each of the 4 models.</w:t>
      </w:r>
    </w:p>
    <w:p w14:paraId="51D0D506" w14:textId="77777777" w:rsidR="004A7DCA" w:rsidRDefault="004A7DCA" w:rsidP="004A7DCA">
      <w:pPr>
        <w:pStyle w:val="ListParagraph"/>
      </w:pPr>
      <w:r w:rsidRPr="005055D6">
        <w:rPr>
          <w:noProof/>
        </w:rPr>
        <w:drawing>
          <wp:anchor distT="0" distB="0" distL="114300" distR="114300" simplePos="0" relativeHeight="251662336" behindDoc="0" locked="0" layoutInCell="1" allowOverlap="1" wp14:anchorId="54C30AC7" wp14:editId="59814ECE">
            <wp:simplePos x="0" y="0"/>
            <wp:positionH relativeFrom="margin">
              <wp:align>center</wp:align>
            </wp:positionH>
            <wp:positionV relativeFrom="paragraph">
              <wp:posOffset>279400</wp:posOffset>
            </wp:positionV>
            <wp:extent cx="5800725" cy="4922520"/>
            <wp:effectExtent l="0" t="0" r="9525" b="0"/>
            <wp:wrapSquare wrapText="bothSides"/>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0725" cy="492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91F25" w14:textId="77777777" w:rsidR="004A7DCA" w:rsidRPr="00CD65A2" w:rsidRDefault="004A7DCA" w:rsidP="004A7DCA">
      <w:pPr>
        <w:pStyle w:val="ListParagraph"/>
      </w:pPr>
    </w:p>
    <w:p w14:paraId="4E7CB1B9" w14:textId="77777777" w:rsidR="004A7DCA" w:rsidRDefault="004A7DCA" w:rsidP="004A7DCA">
      <w:pPr>
        <w:ind w:left="360"/>
        <w:rPr>
          <w:bCs/>
        </w:rPr>
      </w:pPr>
    </w:p>
    <w:p w14:paraId="20BAD389" w14:textId="2D38905D" w:rsidR="004A7DCA" w:rsidRPr="00463A2A" w:rsidRDefault="004A7DCA" w:rsidP="004A7DCA">
      <w:pPr>
        <w:pStyle w:val="ListParagraph"/>
        <w:numPr>
          <w:ilvl w:val="0"/>
          <w:numId w:val="38"/>
        </w:numPr>
      </w:pPr>
      <w:r w:rsidRPr="00463A2A">
        <w:rPr>
          <w:bCs/>
        </w:rPr>
        <w:t xml:space="preserve">Which </w:t>
      </w:r>
      <w:r w:rsidR="00AE6F3E">
        <w:rPr>
          <w:bCs/>
        </w:rPr>
        <w:t xml:space="preserve">of </w:t>
      </w:r>
      <w:r w:rsidRPr="00463A2A">
        <w:rPr>
          <w:bCs/>
        </w:rPr>
        <w:t>the above calibration plots A, B, C, or D corresponds to your answer to (a)</w:t>
      </w:r>
      <w:r>
        <w:rPr>
          <w:bCs/>
        </w:rPr>
        <w:t>?  Explain [2]</w:t>
      </w:r>
      <w:r w:rsidRPr="00463A2A">
        <w:rPr>
          <w:bCs/>
        </w:rPr>
        <w:t xml:space="preserve">  </w:t>
      </w:r>
    </w:p>
    <w:p w14:paraId="3A51F3A1" w14:textId="77777777" w:rsidR="004A7DCA" w:rsidRDefault="004A7DCA" w:rsidP="004A7DCA"/>
    <w:p w14:paraId="74FC3E8D" w14:textId="77777777" w:rsidR="004A7DCA" w:rsidRDefault="004A7DCA" w:rsidP="004A7DCA"/>
    <w:p w14:paraId="6479AEE5" w14:textId="77777777" w:rsidR="004A7DCA" w:rsidRDefault="004A7DCA" w:rsidP="004A7DCA">
      <w:pPr>
        <w:autoSpaceDE w:val="0"/>
        <w:autoSpaceDN w:val="0"/>
        <w:adjustRightInd w:val="0"/>
        <w:rPr>
          <w:bCs/>
        </w:rPr>
      </w:pPr>
      <w:r>
        <w:rPr>
          <w:bCs/>
        </w:rPr>
        <w:t xml:space="preserve">The authors are vague about the decision that these models will guide.  They mention </w:t>
      </w:r>
      <w:r w:rsidRPr="00EE4F93">
        <w:rPr>
          <w:bCs/>
        </w:rPr>
        <w:t>more frequent screening with mammography</w:t>
      </w:r>
      <w:r>
        <w:rPr>
          <w:bCs/>
        </w:rPr>
        <w:t xml:space="preserve">, </w:t>
      </w:r>
      <w:r w:rsidRPr="00EE4F93">
        <w:rPr>
          <w:bCs/>
        </w:rPr>
        <w:t>breast MRI,</w:t>
      </w:r>
      <w:r>
        <w:rPr>
          <w:bCs/>
        </w:rPr>
        <w:t xml:space="preserve"> </w:t>
      </w:r>
      <w:r w:rsidRPr="00EE4F93">
        <w:rPr>
          <w:bCs/>
        </w:rPr>
        <w:t>genetic testing, and chemoprevention</w:t>
      </w:r>
      <w:r>
        <w:rPr>
          <w:bCs/>
        </w:rPr>
        <w:t>, but they state that the decision threshold sho</w:t>
      </w:r>
      <w:r w:rsidRPr="00EE4F93">
        <w:rPr>
          <w:bCs/>
        </w:rPr>
        <w:t>uld be a 2%</w:t>
      </w:r>
      <w:r>
        <w:rPr>
          <w:bCs/>
        </w:rPr>
        <w:t xml:space="preserve"> </w:t>
      </w:r>
      <w:r w:rsidRPr="00EE4F93">
        <w:rPr>
          <w:bCs/>
        </w:rPr>
        <w:t>6-year risk of invasive breast cancer</w:t>
      </w:r>
      <w:r>
        <w:rPr>
          <w:bCs/>
        </w:rPr>
        <w:t>.</w:t>
      </w:r>
    </w:p>
    <w:p w14:paraId="2B3760F5" w14:textId="77777777" w:rsidR="004A7DCA" w:rsidRDefault="004A7DCA" w:rsidP="004A7DCA">
      <w:pPr>
        <w:autoSpaceDE w:val="0"/>
        <w:autoSpaceDN w:val="0"/>
        <w:adjustRightInd w:val="0"/>
        <w:rPr>
          <w:bCs/>
        </w:rPr>
      </w:pPr>
    </w:p>
    <w:p w14:paraId="068F61B6" w14:textId="77777777" w:rsidR="004A7DCA" w:rsidRPr="00B20495" w:rsidRDefault="004A7DCA" w:rsidP="004A7DCA">
      <w:pPr>
        <w:pStyle w:val="ListParagraph"/>
        <w:numPr>
          <w:ilvl w:val="0"/>
          <w:numId w:val="38"/>
        </w:numPr>
        <w:autoSpaceDE w:val="0"/>
        <w:autoSpaceDN w:val="0"/>
        <w:adjustRightInd w:val="0"/>
      </w:pPr>
      <w:r w:rsidRPr="00B20495">
        <w:rPr>
          <w:bCs/>
        </w:rPr>
        <w:t>Using that threshold, will model B lead to overtreatment or undertreatment</w:t>
      </w:r>
      <w:r>
        <w:rPr>
          <w:bCs/>
        </w:rPr>
        <w:t>?  Explain.[2]</w:t>
      </w:r>
    </w:p>
    <w:p w14:paraId="45A43A44" w14:textId="77777777" w:rsidR="004A7DCA" w:rsidRDefault="004A7DCA" w:rsidP="004A7DCA">
      <w:pPr>
        <w:autoSpaceDE w:val="0"/>
        <w:autoSpaceDN w:val="0"/>
        <w:adjustRightInd w:val="0"/>
      </w:pPr>
    </w:p>
    <w:p w14:paraId="0EF3E6DD" w14:textId="77777777" w:rsidR="004A7DCA" w:rsidRDefault="004A7DCA" w:rsidP="004A7DCA"/>
    <w:p w14:paraId="3DEC6681" w14:textId="77777777" w:rsidR="004A7DCA" w:rsidRDefault="004A7DCA" w:rsidP="004A7DCA">
      <w:pPr>
        <w:pStyle w:val="ListParagraph"/>
        <w:numPr>
          <w:ilvl w:val="0"/>
          <w:numId w:val="38"/>
        </w:numPr>
        <w:spacing w:after="160" w:line="259" w:lineRule="auto"/>
        <w:rPr>
          <w:bCs/>
        </w:rPr>
      </w:pPr>
      <w:r w:rsidRPr="003B0CC2">
        <w:rPr>
          <w:bCs/>
        </w:rPr>
        <w:t xml:space="preserve">Which risk model (BRCAPRO, Gail, TC7, TC8) has the </w:t>
      </w:r>
      <w:r>
        <w:rPr>
          <w:bCs/>
        </w:rPr>
        <w:t xml:space="preserve">best </w:t>
      </w:r>
      <w:r w:rsidRPr="003B0CC2">
        <w:rPr>
          <w:bCs/>
        </w:rPr>
        <w:t>discrimination as measured by the area under the ROC curve?</w:t>
      </w:r>
      <w:r>
        <w:rPr>
          <w:bCs/>
        </w:rPr>
        <w:t xml:space="preserve"> [1]</w:t>
      </w:r>
    </w:p>
    <w:p w14:paraId="7D5CEE23" w14:textId="420ECED9" w:rsidR="00860339" w:rsidRDefault="00860339">
      <w:pPr>
        <w:rPr>
          <w:bCs/>
        </w:rPr>
      </w:pPr>
      <w:r>
        <w:rPr>
          <w:bCs/>
        </w:rPr>
        <w:br w:type="page"/>
      </w:r>
    </w:p>
    <w:p w14:paraId="77C7F418" w14:textId="3FA8CE33" w:rsidR="004A7DCA" w:rsidRDefault="004A7DCA" w:rsidP="004A7DCA">
      <w:pPr>
        <w:rPr>
          <w:b/>
          <w:bCs/>
        </w:rPr>
      </w:pPr>
      <w:r>
        <w:rPr>
          <w:b/>
          <w:bCs/>
        </w:rPr>
        <w:lastRenderedPageBreak/>
        <w:t>6. Diagnosis of Community-Acquired Pneumonia in the Elderly [11 points]</w:t>
      </w:r>
    </w:p>
    <w:p w14:paraId="4CEC3FB1" w14:textId="6F7C4AB5" w:rsidR="004A7DCA" w:rsidRDefault="004A7DCA" w:rsidP="004A7DCA">
      <w:r>
        <w:t>(Thanks to Nader Najafi, 2019)</w:t>
      </w:r>
    </w:p>
    <w:p w14:paraId="0E4AFAFE" w14:textId="77777777" w:rsidR="00860339" w:rsidRDefault="00860339" w:rsidP="004A7DCA"/>
    <w:p w14:paraId="26EE63B7" w14:textId="77777777" w:rsidR="004A7DCA" w:rsidRDefault="004A7DCA" w:rsidP="004A7DCA">
      <w:r>
        <w:t>Community-acquired pneumonia is an infection of the lungs that increases in incidence with age and can result in hospitalization. Typical symptoms (shortness of breath, cough) and signs (fever, elevated heart rate) are often blunted or missing in elderly patients who may instead present with more vague symptoms such as appetite loss or falls. Unfortunately, these vague symptoms are also common in other conditions besides pneumonia. It is therefore difficult to accurately diagnose pneumonia in elderly patients, and this can result in a delay in treatment.</w:t>
      </w:r>
    </w:p>
    <w:p w14:paraId="22742006" w14:textId="77777777" w:rsidR="004A7DCA" w:rsidRDefault="004A7DCA" w:rsidP="004A7DCA"/>
    <w:p w14:paraId="5BFD5707" w14:textId="79EE5E75" w:rsidR="004A7DCA" w:rsidRDefault="004A7DCA" w:rsidP="004A7DCA">
      <w:r>
        <w:t xml:space="preserve">Takada et al. </w:t>
      </w:r>
      <w:r>
        <w:fldChar w:fldCharType="begin">
          <w:fldData xml:space="preserve">PEVuZE5vdGU+PENpdGU+PEF1dGhvcj5UYWthZGE8L0F1dGhvcj48WWVhcj4yMDE3PC9ZZWFyPjxS
ZWNOdW0+MTYyODwvUmVjTnVtPjxEaXNwbGF5VGV4dD4oNCk8L0Rpc3BsYXlUZXh0PjxyZWNvcmQ+
PHJlYy1udW1iZXI+MTYyODwvcmVjLW51bWJlcj48Zm9yZWlnbi1rZXlzPjxrZXkgYXBwPSJFTiIg
ZGItaWQ9InR3NXpzYTlmYnJmNXRvZWV6cGI1dHp3YXR2enZwczU1ZWVldyIgdGltZXN0YW1wPSIx
NTc0NzEyNzc4Ij4xNjI4PC9rZXk+PC9mb3JlaWduLWtleXM+PHJlZi10eXBlIG5hbWU9IkpvdXJu
YWwgQXJ0aWNsZSI+MTc8L3JlZi10eXBlPjxjb250cmlidXRvcnM+PGF1dGhvcnM+PGF1dGhvcj5U
YWthZGEsIFQuPC9hdXRob3I+PGF1dGhvcj5ZYW1hbW90bywgWS48L2F1dGhvcj48YXV0aG9yPlRl
cmFkYSwgSy48L2F1dGhvcj48YXV0aG9yPk9odGEsIE0uPC9hdXRob3I+PGF1dGhvcj5NaWthbWks
IFcuPC9hdXRob3I+PGF1dGhvcj5Zb2tvdGEsIEguPC9hdXRob3I+PGF1dGhvcj5IYXlhc2hpLCBN
LjwvYXV0aG9yPjxhdXRob3I+TWl5YXNoaXRhLCBKLjwvYXV0aG9yPjxhdXRob3I+QXp1bWEsIFQu
PC9hdXRob3I+PGF1dGhvcj5GdWt1bWEsIFMuPC9hdXRob3I+PGF1dGhvcj5GdWt1aGFyYSwgUy48
L2F1dGhvcj48L2F1dGhvcnM+PC9jb250cmlidXRvcnM+PGF1dGgtYWRkcmVzcz5EZXBhcnRtZW50
IG9mIEdlbmVyYWwgTWVkaWNpbmUsIFNoaXJha2F3YSBTYXRlbGxpdGUgZm9yIFRlYWNoaW5nIGFu
ZCBSZXNlYXJjaCAoU1RBUiksIEZ1a3VzaGltYSBNZWRpY2FsIFVuaXZlcnNpdHksIEZ1a3VzaGlt
YSwgSmFwYW4uJiN4RDtEZXBhcnRtZW50IG9mIEhlYWx0aGNhcmUgRXBpZGVtaW9sb2d5LCBTY2hv
b2wgb2YgUHVibGljIEhlYWx0aCBpbiB0aGUgR3JhZHVhdGUgU2Nob29sIG9mIE1lZGljaW5lLCBL
eW90byBVbml2ZXJzaXR5LCBLeW90bywgSmFwYW4uJiN4RDtEZXBhcnRtZW50IG9mIEdlbmVyYWwg
TWVkaWNpbmUsIEtpbWl0c3UgQ2h1byBIb3NwaXRhbCwgS2lzYXJhenUsIEphcGFuLiYjeEQ7RGVw
YXJ0bWVudCBvZiBJbnRlcm5hbCBNZWRpY2luZSwgQXNoaWdhcmFrYW1pIEhvc3BpdGFsLCBLYW5h
Z2F3YSwgSmFwYW4uJiN4RDtEZXBhcnRtZW50IG9mIFJhZGlvbG9neSwgS2VpeXUgSG9zcGl0YWws
IEthbmFnYXdhLCBKYXBhbi4mI3hEO0RlcGFydG1lbnQgb2YgUmFkaW9sb2d5LCBDaGliYSBVbml2
ZXJzaXR5IEhvc3BpdGFsLCBDaGliYSwgSmFwYW4uPC9hdXRoLWFkZHJlc3M+PHRpdGxlcz48dGl0
bGU+RGlhZ25vc3RpYyB1dGlsaXR5IG9mIGFwcGV0aXRlIGxvc3MgaW4gYWRkaXRpb24gdG8gZXhp
c3RpbmcgcHJlZGljdGlvbiBtb2RlbHMgZm9yIGNvbW11bml0eS1hY3F1aXJlZCBwbmV1bW9uaWEg
aW4gdGhlIGVsZGVybHk6IGEgcHJvc3BlY3RpdmUgZGlhZ25vc3RpYyBzdHVkeSBpbiBhY3V0ZSBj
YXJlIGhvc3BpdGFscyBpbiBKYXBhbjwvdGl0bGU+PHNlY29uZGFyeS10aXRsZT5CTUogT3Blbjwv
c2Vjb25kYXJ5LXRpdGxlPjwvdGl0bGVzPjxwZXJpb2RpY2FsPjxmdWxsLXRpdGxlPkJNSiBPcGVu
PC9mdWxsLXRpdGxlPjwvcGVyaW9kaWNhbD48cGFnZXM+ZTAxOTE1NTwvcGFnZXM+PHZvbHVtZT43
PC92b2x1bWU+PG51bWJlcj4xMTwvbnVtYmVyPjxlZGl0aW9uPjIwMTcvMTEvMTE8L2VkaXRpb24+
PGtleXdvcmRzPjxrZXl3b3JkPkFnZWQ8L2tleXdvcmQ+PGtleXdvcmQ+QWdlZCwgODAgYW5kIG92
ZXI8L2tleXdvcmQ+PGtleXdvcmQ+KkFwcGV0aXRlPC9rZXl3b3JkPjxrZXl3b3JkPkNvbW11bml0
eS1BY3F1aXJlZCBJbmZlY3Rpb25zLypkaWFnbm9zaXMvcGh5c2lvcGF0aG9sb2d5PC9rZXl3b3Jk
PjxrZXl3b3JkPipEZWNpc2lvbiBTdXBwb3J0IFRlY2huaXF1ZXM8L2tleXdvcmQ+PGtleXdvcmQ+
RmVtYWxlPC9rZXl3b3JkPjxrZXl3b3JkPkhvc3BpdGFscywgVGVhY2hpbmc8L2tleXdvcmQ+PGtl
eXdvcmQ+SHVtYW5zPC9rZXl3b3JkPjxrZXl3b3JkPkphcGFuPC9rZXl3b3JkPjxrZXl3b3JkPkxv
Z2lzdGljIE1vZGVsczwva2V5d29yZD48a2V5d29yZD5NYWxlPC9rZXl3b3JkPjxrZXl3b3JkPlBu
ZXVtb25pYS8qZGlhZ25vc2lzL3BoeXNpb3BhdGhvbG9neTwva2V5d29yZD48a2V5d29yZD5Qcm9z
cGVjdGl2ZSBTdHVkaWVzPC9rZXl3b3JkPjxrZXl3b3JkPlJPQyBDdXJ2ZTwva2V5d29yZD48a2V5
d29yZD5nZW5lcmFsIG1lZGljaW5lIChzZWUgaW50ZXJuYWwgbWVkaWNpbmUpPC9rZXl3b3JkPjxr
ZXl3b3JkPmluZmVjdGlvdXMgZGlzZWFzZXM8L2tleXdvcmQ+PGtleXdvcmQ+cHJpbWFyeSBjYXJl
PC9rZXl3b3JkPjxrZXl3b3JkPnJlc3BpcmF0b3J5IGluZmVjdGlvbnM8L2tleXdvcmQ+PC9rZXl3
b3Jkcz48ZGF0ZXM+PHllYXI+MjAxNzwveWVhcj48cHViLWRhdGVzPjxkYXRlPk5vdiA4PC9kYXRl
PjwvcHViLWRhdGVzPjwvZGF0ZXM+PGlzYm4+MjA0NC02MDU1IChFbGVjdHJvbmljKSYjeEQ7MjA0
NC02MDU1IChMaW5raW5nKTwvaXNibj48YWNjZXNzaW9uLW51bT4yOTEyMjgwNjwvYWNjZXNzaW9u
LW51bT48dXJscz48cmVsYXRlZC11cmxzPjx1cmw+aHR0cHM6Ly93d3cubmNiaS5ubG0ubmloLmdv
di9wdWJtZWQvMjkxMjI4MDY8L3VybD48L3JlbGF0ZWQtdXJscz48L3VybHM+PGN1c3RvbTI+UE1D
NTY5NTM3NDwvY3VzdG9tMj48ZWxlY3Ryb25pYy1yZXNvdXJjZS1udW0+MTAuMTEzNi9ibWpvcGVu
LTIwMTctMDE5MTU1PC9lbGVjdHJvbmljLXJlc291cmNlLW51bT48L3JlY29yZD48L0NpdGU+PC9F
bmROb3RlPgB=
</w:fldData>
        </w:fldChar>
      </w:r>
      <w:r>
        <w:instrText xml:space="preserve"> ADDIN EN.CITE </w:instrText>
      </w:r>
      <w:r>
        <w:fldChar w:fldCharType="begin">
          <w:fldData xml:space="preserve">PEVuZE5vdGU+PENpdGU+PEF1dGhvcj5UYWthZGE8L0F1dGhvcj48WWVhcj4yMDE3PC9ZZWFyPjxS
ZWNOdW0+MTYyODwvUmVjTnVtPjxEaXNwbGF5VGV4dD4oNCk8L0Rpc3BsYXlUZXh0PjxyZWNvcmQ+
PHJlYy1udW1iZXI+MTYyODwvcmVjLW51bWJlcj48Zm9yZWlnbi1rZXlzPjxrZXkgYXBwPSJFTiIg
ZGItaWQ9InR3NXpzYTlmYnJmNXRvZWV6cGI1dHp3YXR2enZwczU1ZWVldyIgdGltZXN0YW1wPSIx
NTc0NzEyNzc4Ij4xNjI4PC9rZXk+PC9mb3JlaWduLWtleXM+PHJlZi10eXBlIG5hbWU9IkpvdXJu
YWwgQXJ0aWNsZSI+MTc8L3JlZi10eXBlPjxjb250cmlidXRvcnM+PGF1dGhvcnM+PGF1dGhvcj5U
YWthZGEsIFQuPC9hdXRob3I+PGF1dGhvcj5ZYW1hbW90bywgWS48L2F1dGhvcj48YXV0aG9yPlRl
cmFkYSwgSy48L2F1dGhvcj48YXV0aG9yPk9odGEsIE0uPC9hdXRob3I+PGF1dGhvcj5NaWthbWks
IFcuPC9hdXRob3I+PGF1dGhvcj5Zb2tvdGEsIEguPC9hdXRob3I+PGF1dGhvcj5IYXlhc2hpLCBN
LjwvYXV0aG9yPjxhdXRob3I+TWl5YXNoaXRhLCBKLjwvYXV0aG9yPjxhdXRob3I+QXp1bWEsIFQu
PC9hdXRob3I+PGF1dGhvcj5GdWt1bWEsIFMuPC9hdXRob3I+PGF1dGhvcj5GdWt1aGFyYSwgUy48
L2F1dGhvcj48L2F1dGhvcnM+PC9jb250cmlidXRvcnM+PGF1dGgtYWRkcmVzcz5EZXBhcnRtZW50
IG9mIEdlbmVyYWwgTWVkaWNpbmUsIFNoaXJha2F3YSBTYXRlbGxpdGUgZm9yIFRlYWNoaW5nIGFu
ZCBSZXNlYXJjaCAoU1RBUiksIEZ1a3VzaGltYSBNZWRpY2FsIFVuaXZlcnNpdHksIEZ1a3VzaGlt
YSwgSmFwYW4uJiN4RDtEZXBhcnRtZW50IG9mIEhlYWx0aGNhcmUgRXBpZGVtaW9sb2d5LCBTY2hv
b2wgb2YgUHVibGljIEhlYWx0aCBpbiB0aGUgR3JhZHVhdGUgU2Nob29sIG9mIE1lZGljaW5lLCBL
eW90byBVbml2ZXJzaXR5LCBLeW90bywgSmFwYW4uJiN4RDtEZXBhcnRtZW50IG9mIEdlbmVyYWwg
TWVkaWNpbmUsIEtpbWl0c3UgQ2h1byBIb3NwaXRhbCwgS2lzYXJhenUsIEphcGFuLiYjeEQ7RGVw
YXJ0bWVudCBvZiBJbnRlcm5hbCBNZWRpY2luZSwgQXNoaWdhcmFrYW1pIEhvc3BpdGFsLCBLYW5h
Z2F3YSwgSmFwYW4uJiN4RDtEZXBhcnRtZW50IG9mIFJhZGlvbG9neSwgS2VpeXUgSG9zcGl0YWws
IEthbmFnYXdhLCBKYXBhbi4mI3hEO0RlcGFydG1lbnQgb2YgUmFkaW9sb2d5LCBDaGliYSBVbml2
ZXJzaXR5IEhvc3BpdGFsLCBDaGliYSwgSmFwYW4uPC9hdXRoLWFkZHJlc3M+PHRpdGxlcz48dGl0
bGU+RGlhZ25vc3RpYyB1dGlsaXR5IG9mIGFwcGV0aXRlIGxvc3MgaW4gYWRkaXRpb24gdG8gZXhp
c3RpbmcgcHJlZGljdGlvbiBtb2RlbHMgZm9yIGNvbW11bml0eS1hY3F1aXJlZCBwbmV1bW9uaWEg
aW4gdGhlIGVsZGVybHk6IGEgcHJvc3BlY3RpdmUgZGlhZ25vc3RpYyBzdHVkeSBpbiBhY3V0ZSBj
YXJlIGhvc3BpdGFscyBpbiBKYXBhbjwvdGl0bGU+PHNlY29uZGFyeS10aXRsZT5CTUogT3Blbjwv
c2Vjb25kYXJ5LXRpdGxlPjwvdGl0bGVzPjxwZXJpb2RpY2FsPjxmdWxsLXRpdGxlPkJNSiBPcGVu
PC9mdWxsLXRpdGxlPjwvcGVyaW9kaWNhbD48cGFnZXM+ZTAxOTE1NTwvcGFnZXM+PHZvbHVtZT43
PC92b2x1bWU+PG51bWJlcj4xMTwvbnVtYmVyPjxlZGl0aW9uPjIwMTcvMTEvMTE8L2VkaXRpb24+
PGtleXdvcmRzPjxrZXl3b3JkPkFnZWQ8L2tleXdvcmQ+PGtleXdvcmQ+QWdlZCwgODAgYW5kIG92
ZXI8L2tleXdvcmQ+PGtleXdvcmQ+KkFwcGV0aXRlPC9rZXl3b3JkPjxrZXl3b3JkPkNvbW11bml0
eS1BY3F1aXJlZCBJbmZlY3Rpb25zLypkaWFnbm9zaXMvcGh5c2lvcGF0aG9sb2d5PC9rZXl3b3Jk
PjxrZXl3b3JkPipEZWNpc2lvbiBTdXBwb3J0IFRlY2huaXF1ZXM8L2tleXdvcmQ+PGtleXdvcmQ+
RmVtYWxlPC9rZXl3b3JkPjxrZXl3b3JkPkhvc3BpdGFscywgVGVhY2hpbmc8L2tleXdvcmQ+PGtl
eXdvcmQ+SHVtYW5zPC9rZXl3b3JkPjxrZXl3b3JkPkphcGFuPC9rZXl3b3JkPjxrZXl3b3JkPkxv
Z2lzdGljIE1vZGVsczwva2V5d29yZD48a2V5d29yZD5NYWxlPC9rZXl3b3JkPjxrZXl3b3JkPlBu
ZXVtb25pYS8qZGlhZ25vc2lzL3BoeXNpb3BhdGhvbG9neTwva2V5d29yZD48a2V5d29yZD5Qcm9z
cGVjdGl2ZSBTdHVkaWVzPC9rZXl3b3JkPjxrZXl3b3JkPlJPQyBDdXJ2ZTwva2V5d29yZD48a2V5
d29yZD5nZW5lcmFsIG1lZGljaW5lIChzZWUgaW50ZXJuYWwgbWVkaWNpbmUpPC9rZXl3b3JkPjxr
ZXl3b3JkPmluZmVjdGlvdXMgZGlzZWFzZXM8L2tleXdvcmQ+PGtleXdvcmQ+cHJpbWFyeSBjYXJl
PC9rZXl3b3JkPjxrZXl3b3JkPnJlc3BpcmF0b3J5IGluZmVjdGlvbnM8L2tleXdvcmQ+PC9rZXl3
b3Jkcz48ZGF0ZXM+PHllYXI+MjAxNzwveWVhcj48cHViLWRhdGVzPjxkYXRlPk5vdiA4PC9kYXRl
PjwvcHViLWRhdGVzPjwvZGF0ZXM+PGlzYm4+MjA0NC02MDU1IChFbGVjdHJvbmljKSYjeEQ7MjA0
NC02MDU1IChMaW5raW5nKTwvaXNibj48YWNjZXNzaW9uLW51bT4yOTEyMjgwNjwvYWNjZXNzaW9u
LW51bT48dXJscz48cmVsYXRlZC11cmxzPjx1cmw+aHR0cHM6Ly93d3cubmNiaS5ubG0ubmloLmdv
di9wdWJtZWQvMjkxMjI4MDY8L3VybD48L3JlbGF0ZWQtdXJscz48L3VybHM+PGN1c3RvbTI+UE1D
NTY5NTM3NDwvY3VzdG9tMj48ZWxlY3Ryb25pYy1yZXNvdXJjZS1udW0+MTAuMTEzNi9ibWpvcGVu
LTIwMTctMDE5MTU1PC9lbGVjdHJvbmljLXJlc291cmNlLW51bT48L3JlY29yZD48L0NpdGU+PC9F
bmROb3RlPgB=
</w:fldData>
        </w:fldChar>
      </w:r>
      <w:r>
        <w:instrText xml:space="preserve"> ADDIN EN.CITE.DATA </w:instrText>
      </w:r>
      <w:r>
        <w:fldChar w:fldCharType="end"/>
      </w:r>
      <w:r>
        <w:fldChar w:fldCharType="separate"/>
      </w:r>
      <w:r>
        <w:rPr>
          <w:noProof/>
        </w:rPr>
        <w:t>(4)</w:t>
      </w:r>
      <w:r>
        <w:fldChar w:fldCharType="end"/>
      </w:r>
      <w:r>
        <w:t xml:space="preserve"> took six diagnostic models for pneumonia that had been previously developed for adults, but not specifically for elderly patients, and applied the models to a small dataset of 109 elderly patients admitted to three teaching hospitals in Japan between 2014 and 2016 with symptoms of cough or mucus production. These patients were prospectively enrolled.  The gold standard was chest x-ray from which pneumonia was diagnosed in 27 of the 109 (24.8%).  </w:t>
      </w:r>
    </w:p>
    <w:p w14:paraId="21008102" w14:textId="77777777" w:rsidR="004A7DCA" w:rsidRDefault="004A7DCA" w:rsidP="004A7DCA"/>
    <w:p w14:paraId="2B61FEEC" w14:textId="52E746F6" w:rsidR="004A7DCA" w:rsidRDefault="004A7DCA" w:rsidP="004A7DCA">
      <w:r>
        <w:t xml:space="preserve">They assessed the models for calibration and discrimination. Next, they evaluated appetite loss, falls, and disturbance of consciousness for their ability to diagnose pneumonia. Finally, they extended one of the </w:t>
      </w:r>
      <w:r w:rsidR="003112E9">
        <w:t>previously developed</w:t>
      </w:r>
      <w:r>
        <w:t xml:space="preserve"> models with appetite loss in order to try to improve upon the original model’s performance.</w:t>
      </w:r>
    </w:p>
    <w:p w14:paraId="697D6B5D" w14:textId="77777777" w:rsidR="004A7DCA" w:rsidRDefault="004A7DCA" w:rsidP="004A7DCA"/>
    <w:p w14:paraId="0B8CC181" w14:textId="77777777" w:rsidR="004A7DCA" w:rsidRDefault="004A7DCA" w:rsidP="004A7DCA">
      <w:r>
        <w:t>Before we get to the diagnostic probability models, let’s look at the first 3 rows of Table 2:</w:t>
      </w:r>
    </w:p>
    <w:p w14:paraId="31E828DD" w14:textId="77777777" w:rsidR="004A7DCA" w:rsidRDefault="004A7DCA" w:rsidP="004A7DCA"/>
    <w:p w14:paraId="32746633" w14:textId="77777777" w:rsidR="004A7DCA" w:rsidRDefault="004A7DCA" w:rsidP="004A7DCA">
      <w:r>
        <w:rPr>
          <w:noProof/>
        </w:rPr>
        <w:drawing>
          <wp:inline distT="0" distB="0" distL="0" distR="0" wp14:anchorId="2BCB23F0" wp14:editId="2B2E730C">
            <wp:extent cx="6332220" cy="2939415"/>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32220" cy="2939415"/>
                    </a:xfrm>
                    <a:prstGeom prst="rect">
                      <a:avLst/>
                    </a:prstGeom>
                  </pic:spPr>
                </pic:pic>
              </a:graphicData>
            </a:graphic>
          </wp:inline>
        </w:drawing>
      </w:r>
    </w:p>
    <w:p w14:paraId="36818A0B" w14:textId="77777777" w:rsidR="004A7DCA" w:rsidRDefault="004A7DCA" w:rsidP="004A7DCA"/>
    <w:p w14:paraId="2299A7D5" w14:textId="77777777" w:rsidR="004A7DCA" w:rsidRPr="007558EF" w:rsidRDefault="004A7DCA" w:rsidP="004A7DCA">
      <w:pPr>
        <w:rPr>
          <w:sz w:val="22"/>
          <w:szCs w:val="22"/>
        </w:rPr>
      </w:pPr>
      <w:r w:rsidRPr="007558EF">
        <w:rPr>
          <w:rFonts w:ascii="Helvetica" w:hAnsi="Helvetica"/>
          <w:color w:val="333333"/>
          <w:sz w:val="18"/>
          <w:szCs w:val="18"/>
          <w:shd w:val="clear" w:color="auto" w:fill="FFFFFF"/>
        </w:rPr>
        <w:t>CAP, community-acquired pneumonia; DOR, diagnostic OR; LR+, positive likelihood ratio; LR−, negative likelihood ratio.</w:t>
      </w:r>
    </w:p>
    <w:p w14:paraId="7BC85611" w14:textId="77777777" w:rsidR="004A7DCA" w:rsidRPr="007558EF" w:rsidRDefault="004A7DCA" w:rsidP="004A7DCA">
      <w:pPr>
        <w:rPr>
          <w:sz w:val="22"/>
          <w:szCs w:val="22"/>
        </w:rPr>
      </w:pPr>
    </w:p>
    <w:p w14:paraId="4F9AB326" w14:textId="77777777" w:rsidR="004A7DCA" w:rsidRPr="007558EF" w:rsidRDefault="004A7DCA" w:rsidP="004A7DCA">
      <w:pPr>
        <w:rPr>
          <w:sz w:val="22"/>
          <w:szCs w:val="22"/>
        </w:rPr>
      </w:pPr>
    </w:p>
    <w:p w14:paraId="7CD7A513" w14:textId="77777777" w:rsidR="004A7DCA" w:rsidRDefault="004A7DCA" w:rsidP="004A7DCA">
      <w:pPr>
        <w:pStyle w:val="ListParagraph"/>
        <w:numPr>
          <w:ilvl w:val="0"/>
          <w:numId w:val="40"/>
        </w:numPr>
      </w:pPr>
      <w:r>
        <w:t xml:space="preserve"> Why is the specificity of Cough only 1.2%? [1]</w:t>
      </w:r>
    </w:p>
    <w:p w14:paraId="77E4B5CC" w14:textId="77777777" w:rsidR="004A7DCA" w:rsidRDefault="004A7DCA" w:rsidP="004A7DCA">
      <w:pPr>
        <w:pStyle w:val="ListParagraph"/>
      </w:pPr>
    </w:p>
    <w:p w14:paraId="46053F0C" w14:textId="77777777" w:rsidR="004A7DCA" w:rsidRDefault="004A7DCA" w:rsidP="004A7DCA">
      <w:pPr>
        <w:pStyle w:val="ListParagraph"/>
        <w:numPr>
          <w:ilvl w:val="0"/>
          <w:numId w:val="40"/>
        </w:numPr>
      </w:pPr>
      <w:r>
        <w:t>How do you interpret the LR+ (0.6) for Sore throat? [1]</w:t>
      </w:r>
    </w:p>
    <w:p w14:paraId="525098C8" w14:textId="77777777" w:rsidR="004A7DCA" w:rsidRDefault="004A7DCA" w:rsidP="004A7DCA">
      <w:pPr>
        <w:pStyle w:val="ListParagraph"/>
      </w:pPr>
    </w:p>
    <w:p w14:paraId="619DF62C" w14:textId="77777777" w:rsidR="004A7DCA" w:rsidRDefault="004A7DCA" w:rsidP="004A7DCA">
      <w:pPr>
        <w:pStyle w:val="ListParagraph"/>
        <w:rPr>
          <w:b/>
          <w:bCs/>
          <w:i/>
          <w:iCs/>
        </w:rPr>
      </w:pPr>
    </w:p>
    <w:p w14:paraId="03F9EBDA" w14:textId="77777777" w:rsidR="004A7DCA" w:rsidRPr="00472E35" w:rsidRDefault="004A7DCA" w:rsidP="004A7DCA">
      <w:r>
        <w:rPr>
          <w:noProof/>
        </w:rPr>
        <w:drawing>
          <wp:anchor distT="0" distB="0" distL="0" distR="0" simplePos="0" relativeHeight="251664384" behindDoc="0" locked="0" layoutInCell="1" allowOverlap="1" wp14:anchorId="30006A6D" wp14:editId="1AFFB3FD">
            <wp:simplePos x="0" y="0"/>
            <wp:positionH relativeFrom="margin">
              <wp:align>left</wp:align>
            </wp:positionH>
            <wp:positionV relativeFrom="paragraph">
              <wp:posOffset>530225</wp:posOffset>
            </wp:positionV>
            <wp:extent cx="6106160" cy="2928620"/>
            <wp:effectExtent l="19050" t="19050" r="27940" b="24130"/>
            <wp:wrapSquare wrapText="largest"/>
            <wp:docPr id="10" name="Image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3"/>
                    <a:srcRect l="-267" t="-557" r="-267" b="-557"/>
                    <a:stretch>
                      <a:fillRect/>
                    </a:stretch>
                  </pic:blipFill>
                  <pic:spPr bwMode="auto">
                    <a:xfrm>
                      <a:off x="0" y="0"/>
                      <a:ext cx="6106160" cy="2928620"/>
                    </a:xfrm>
                    <a:prstGeom prst="rect">
                      <a:avLst/>
                    </a:prstGeom>
                    <a:ln w="635">
                      <a:solidFill>
                        <a:srgbClr val="000000"/>
                      </a:solidFill>
                    </a:ln>
                  </pic:spPr>
                </pic:pic>
              </a:graphicData>
            </a:graphic>
            <wp14:sizeRelH relativeFrom="margin">
              <wp14:pctWidth>0</wp14:pctWidth>
            </wp14:sizeRelH>
            <wp14:sizeRelV relativeFrom="margin">
              <wp14:pctHeight>0</wp14:pctHeight>
            </wp14:sizeRelV>
          </wp:anchor>
        </w:drawing>
      </w:r>
      <w:r>
        <w:t>Figure 1 of the paper shows calibration plots (observed proportion with pneumonia on the y-axis) for the six logistic regression models that the authors tested on their dataset.</w:t>
      </w:r>
    </w:p>
    <w:p w14:paraId="25D9B2F5" w14:textId="77777777" w:rsidR="004A7DCA" w:rsidRDefault="004A7DCA" w:rsidP="004A7DCA">
      <w:pPr>
        <w:pStyle w:val="ListParagraph"/>
        <w:rPr>
          <w:b/>
          <w:bCs/>
          <w:i/>
          <w:iCs/>
        </w:rPr>
      </w:pPr>
    </w:p>
    <w:p w14:paraId="2BB333A7" w14:textId="77777777" w:rsidR="004A7DCA" w:rsidRDefault="004A7DCA" w:rsidP="004A7DCA">
      <w:pPr>
        <w:pStyle w:val="ListParagraph"/>
        <w:rPr>
          <w:b/>
          <w:bCs/>
          <w:i/>
          <w:iCs/>
        </w:rPr>
      </w:pPr>
    </w:p>
    <w:p w14:paraId="14D14E8F" w14:textId="77777777" w:rsidR="004A7DCA" w:rsidRDefault="004A7DCA" w:rsidP="004A7DCA">
      <w:pPr>
        <w:pStyle w:val="ListParagraph"/>
        <w:numPr>
          <w:ilvl w:val="0"/>
          <w:numId w:val="40"/>
        </w:numPr>
      </w:pPr>
      <w:r>
        <w:t>Which model consistently underestimates risk? Explain your reasoning.[2]</w:t>
      </w:r>
    </w:p>
    <w:p w14:paraId="3CBF82F7" w14:textId="77777777" w:rsidR="004A7DCA" w:rsidRDefault="004A7DCA" w:rsidP="004A7DCA">
      <w:pPr>
        <w:tabs>
          <w:tab w:val="left" w:pos="1055"/>
        </w:tabs>
        <w:rPr>
          <w:i/>
          <w:iCs/>
        </w:rPr>
      </w:pPr>
      <w:r>
        <w:tab/>
      </w:r>
    </w:p>
    <w:p w14:paraId="75037D9D" w14:textId="77777777" w:rsidR="004A7DCA" w:rsidRDefault="004A7DCA" w:rsidP="004A7DCA"/>
    <w:p w14:paraId="21F6F7F5" w14:textId="77777777" w:rsidR="004A7DCA" w:rsidRDefault="004A7DCA" w:rsidP="004A7DCA">
      <w:r>
        <w:t>Of the models depicted above, the authors preferred van Vugt, which considers the following 6 predictors of pneumonia: shortness of breath; absence of runny nose;  decreased breath sounds;  crackles on lung exam; pulse&gt;100 beats/min; and temperature &gt;37.8°C.</w:t>
      </w:r>
    </w:p>
    <w:p w14:paraId="1A9338AA" w14:textId="77777777" w:rsidR="004A7DCA" w:rsidRDefault="004A7DCA" w:rsidP="004A7DCA"/>
    <w:p w14:paraId="1CF19040" w14:textId="77777777" w:rsidR="004A7DCA" w:rsidRDefault="004A7DCA" w:rsidP="004A7DCA">
      <w:r>
        <w:t>The authors wanted to extend the Van Vugt model by adding “loss of appetite” as a predictor.   They asked the patient for an estimate of 24-hour food intake in proportion to usual food intake.  If this was less than 50%, the patient was considered to have appetite loss.  Appetite loss occurred in 18 of 27 patients with pneumonia and 17 of 82 patients without pneumonia.</w:t>
      </w:r>
    </w:p>
    <w:p w14:paraId="7A37AD74" w14:textId="77777777" w:rsidR="004A7DCA" w:rsidRDefault="004A7DCA" w:rsidP="004A7DCA"/>
    <w:p w14:paraId="450642E9" w14:textId="77777777" w:rsidR="004A7DCA" w:rsidRDefault="004A7DCA" w:rsidP="004A7DCA">
      <w:pPr>
        <w:pStyle w:val="ListParagraph"/>
        <w:numPr>
          <w:ilvl w:val="0"/>
          <w:numId w:val="40"/>
        </w:numPr>
      </w:pPr>
      <w:r>
        <w:t>If we have a patient like the ones included in this study who has loss of appetite as defined above, what is this patient’s probability of pneumonia?  (You don’t know anything else like whether the patient has shortness of breath, fever, or rapid heart beat.) [2]</w:t>
      </w:r>
    </w:p>
    <w:p w14:paraId="1C41C395" w14:textId="77777777" w:rsidR="004A7DCA" w:rsidRDefault="004A7DCA" w:rsidP="004A7DCA">
      <w:pPr>
        <w:pStyle w:val="ListParagraph"/>
      </w:pPr>
    </w:p>
    <w:p w14:paraId="65374A9A" w14:textId="77777777" w:rsidR="004A7DCA" w:rsidRDefault="004A7DCA" w:rsidP="004A7DCA">
      <w:pPr>
        <w:pStyle w:val="ListParagraph"/>
        <w:rPr>
          <w:b/>
          <w:bCs/>
          <w:i/>
          <w:iCs/>
        </w:rPr>
      </w:pPr>
    </w:p>
    <w:p w14:paraId="1535F2DB" w14:textId="77777777" w:rsidR="004A7DCA" w:rsidRDefault="004A7DCA" w:rsidP="004A7DCA">
      <w:pPr>
        <w:pStyle w:val="ListParagraph"/>
        <w:rPr>
          <w:b/>
          <w:bCs/>
          <w:i/>
          <w:iCs/>
        </w:rPr>
      </w:pPr>
    </w:p>
    <w:p w14:paraId="51B2672B" w14:textId="77777777" w:rsidR="004A7DCA" w:rsidRDefault="004A7DCA" w:rsidP="004A7DCA">
      <w:pPr>
        <w:pStyle w:val="ListParagraph"/>
        <w:numPr>
          <w:ilvl w:val="0"/>
          <w:numId w:val="40"/>
        </w:numPr>
      </w:pPr>
      <w:r>
        <w:lastRenderedPageBreak/>
        <w:t>Could the authors have extended the Van Vugt model for loss of appetite by calculating the probability of pneumonia according to that model and then using that as the pre-test probability to update using the likelihood ratio for loss of appetite?  Explain why or why not. [2]</w:t>
      </w:r>
    </w:p>
    <w:p w14:paraId="442CAB85" w14:textId="77777777" w:rsidR="004A7DCA" w:rsidRDefault="004A7DCA" w:rsidP="004A7DCA"/>
    <w:p w14:paraId="6B86897C" w14:textId="77777777" w:rsidR="004A7DCA" w:rsidRDefault="004A7DCA" w:rsidP="004A7DCA">
      <w:pPr>
        <w:ind w:left="360"/>
      </w:pPr>
    </w:p>
    <w:p w14:paraId="23553E4E" w14:textId="77777777" w:rsidR="004A7DCA" w:rsidRDefault="004A7DCA" w:rsidP="004A7DCA">
      <w:r>
        <w:t xml:space="preserve">The authors calculated the decision curve below. </w:t>
      </w:r>
    </w:p>
    <w:p w14:paraId="1843F6B4" w14:textId="77777777" w:rsidR="004A7DCA" w:rsidRDefault="004A7DCA" w:rsidP="004A7DCA"/>
    <w:p w14:paraId="025C0BFF" w14:textId="77777777" w:rsidR="004A7DCA" w:rsidRDefault="004A7DCA" w:rsidP="004A7DCA"/>
    <w:p w14:paraId="2044D662" w14:textId="77777777" w:rsidR="004A7DCA" w:rsidRDefault="004A7DCA" w:rsidP="004A7DCA">
      <w:r>
        <w:rPr>
          <w:noProof/>
        </w:rPr>
        <w:drawing>
          <wp:anchor distT="0" distB="0" distL="0" distR="0" simplePos="0" relativeHeight="251665408" behindDoc="0" locked="0" layoutInCell="1" allowOverlap="1" wp14:anchorId="5EA8A2F6" wp14:editId="06809E19">
            <wp:simplePos x="0" y="0"/>
            <wp:positionH relativeFrom="column">
              <wp:posOffset>661035</wp:posOffset>
            </wp:positionH>
            <wp:positionV relativeFrom="paragraph">
              <wp:posOffset>6350</wp:posOffset>
            </wp:positionV>
            <wp:extent cx="4854575" cy="3507105"/>
            <wp:effectExtent l="19050" t="19050" r="22225" b="17145"/>
            <wp:wrapSquare wrapText="largest"/>
            <wp:docPr id="11" name="Image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4"/>
                    <a:srcRect l="-267" t="-370" r="-267" b="-370"/>
                    <a:stretch>
                      <a:fillRect/>
                    </a:stretch>
                  </pic:blipFill>
                  <pic:spPr bwMode="auto">
                    <a:xfrm>
                      <a:off x="0" y="0"/>
                      <a:ext cx="4854575" cy="3507105"/>
                    </a:xfrm>
                    <a:prstGeom prst="rect">
                      <a:avLst/>
                    </a:prstGeom>
                    <a:ln w="635">
                      <a:solidFill>
                        <a:srgbClr val="000000"/>
                      </a:solidFill>
                    </a:ln>
                  </pic:spPr>
                </pic:pic>
              </a:graphicData>
            </a:graphic>
            <wp14:sizeRelH relativeFrom="margin">
              <wp14:pctWidth>0</wp14:pctWidth>
            </wp14:sizeRelH>
            <wp14:sizeRelV relativeFrom="margin">
              <wp14:pctHeight>0</wp14:pctHeight>
            </wp14:sizeRelV>
          </wp:anchor>
        </w:drawing>
      </w:r>
    </w:p>
    <w:p w14:paraId="0BE12F8B" w14:textId="77777777" w:rsidR="004A7DCA" w:rsidRDefault="004A7DCA" w:rsidP="004A7DCA"/>
    <w:p w14:paraId="58E9ABFB" w14:textId="77777777" w:rsidR="004A7DCA" w:rsidRDefault="004A7DCA" w:rsidP="004A7DCA"/>
    <w:p w14:paraId="177796C6" w14:textId="77777777" w:rsidR="004A7DCA" w:rsidRDefault="004A7DCA" w:rsidP="004A7DCA"/>
    <w:p w14:paraId="61DFF48E" w14:textId="77777777" w:rsidR="004A7DCA" w:rsidRDefault="004A7DCA" w:rsidP="004A7DCA"/>
    <w:p w14:paraId="67B5E87D" w14:textId="77777777" w:rsidR="004A7DCA" w:rsidRDefault="004A7DCA" w:rsidP="004A7DCA"/>
    <w:p w14:paraId="48A4FBBF" w14:textId="77777777" w:rsidR="004A7DCA" w:rsidRDefault="004A7DCA" w:rsidP="004A7DCA"/>
    <w:p w14:paraId="7C5A9D48" w14:textId="77777777" w:rsidR="004A7DCA" w:rsidRDefault="004A7DCA" w:rsidP="004A7DCA"/>
    <w:p w14:paraId="3B50DDA0" w14:textId="77777777" w:rsidR="004A7DCA" w:rsidRDefault="004A7DCA" w:rsidP="004A7DCA"/>
    <w:p w14:paraId="28531061" w14:textId="77777777" w:rsidR="004A7DCA" w:rsidRDefault="004A7DCA" w:rsidP="004A7DCA"/>
    <w:p w14:paraId="15A81722" w14:textId="77777777" w:rsidR="004A7DCA" w:rsidRDefault="004A7DCA" w:rsidP="004A7DCA"/>
    <w:p w14:paraId="6C8C282C" w14:textId="77777777" w:rsidR="004A7DCA" w:rsidRDefault="004A7DCA" w:rsidP="004A7DCA"/>
    <w:p w14:paraId="57EE225C" w14:textId="77777777" w:rsidR="004A7DCA" w:rsidRDefault="004A7DCA" w:rsidP="004A7DCA"/>
    <w:p w14:paraId="65A8FF5B" w14:textId="77777777" w:rsidR="004A7DCA" w:rsidRDefault="004A7DCA" w:rsidP="004A7DCA"/>
    <w:p w14:paraId="1F594165" w14:textId="77777777" w:rsidR="004A7DCA" w:rsidRDefault="004A7DCA" w:rsidP="004A7DCA"/>
    <w:p w14:paraId="3E2E726B" w14:textId="77777777" w:rsidR="004A7DCA" w:rsidRDefault="004A7DCA" w:rsidP="004A7DCA"/>
    <w:p w14:paraId="16E84B97" w14:textId="77777777" w:rsidR="004A7DCA" w:rsidRDefault="004A7DCA" w:rsidP="004A7DCA"/>
    <w:p w14:paraId="68A895BA" w14:textId="77777777" w:rsidR="004A7DCA" w:rsidRDefault="004A7DCA" w:rsidP="004A7DCA"/>
    <w:p w14:paraId="2684F16A" w14:textId="77777777" w:rsidR="004A7DCA" w:rsidRDefault="004A7DCA" w:rsidP="004A7DCA"/>
    <w:p w14:paraId="552E381D" w14:textId="77777777" w:rsidR="004A7DCA" w:rsidRDefault="004A7DCA" w:rsidP="004A7DCA"/>
    <w:p w14:paraId="692B8ABF" w14:textId="77777777" w:rsidR="004A7DCA" w:rsidRDefault="004A7DCA" w:rsidP="004A7DCA"/>
    <w:p w14:paraId="4676B5E6" w14:textId="77777777" w:rsidR="004A7DCA" w:rsidRDefault="004A7DCA" w:rsidP="004A7DCA"/>
    <w:p w14:paraId="532D23B4" w14:textId="77777777" w:rsidR="004A7DCA" w:rsidRDefault="004A7DCA" w:rsidP="004A7DCA">
      <w:r>
        <w:t>The authors note that, “among the 10 physicians [surveyed], the mean threshold for ordering CXR for the diagnosis of CAP in the elderly was 22.5%.”</w:t>
      </w:r>
    </w:p>
    <w:p w14:paraId="05BF807E" w14:textId="77777777" w:rsidR="004A7DCA" w:rsidRDefault="004A7DCA" w:rsidP="004A7DCA"/>
    <w:p w14:paraId="1EB11BEC" w14:textId="77777777" w:rsidR="004A7DCA" w:rsidRDefault="004A7DCA" w:rsidP="004A7DCA">
      <w:pPr>
        <w:pStyle w:val="ListParagraph"/>
        <w:numPr>
          <w:ilvl w:val="0"/>
          <w:numId w:val="40"/>
        </w:numPr>
      </w:pPr>
      <w:r>
        <w:t>Will the extended model (compared with the unextended model) improve net benefit at a decision threshold 22.5%? Explain your answer. [2]</w:t>
      </w:r>
    </w:p>
    <w:p w14:paraId="1CC94C65" w14:textId="77777777" w:rsidR="004A7DCA" w:rsidRDefault="004A7DCA" w:rsidP="004A7DCA">
      <w:pPr>
        <w:pStyle w:val="ListParagraph"/>
        <w:rPr>
          <w:b/>
          <w:bCs/>
          <w:i/>
          <w:iCs/>
        </w:rPr>
      </w:pPr>
    </w:p>
    <w:p w14:paraId="718487E5" w14:textId="77777777" w:rsidR="004A7DCA" w:rsidRDefault="004A7DCA" w:rsidP="004A7DCA">
      <w:pPr>
        <w:pStyle w:val="ListParagraph"/>
        <w:numPr>
          <w:ilvl w:val="0"/>
          <w:numId w:val="40"/>
        </w:numPr>
      </w:pPr>
      <w:r>
        <w:t>The “Treat All” curve crosses the X axis between 0.2 and 0.3.  Out to 3 decimal places, what is the threshold probability where it crosses? [1]</w:t>
      </w:r>
    </w:p>
    <w:p w14:paraId="045E47CB" w14:textId="77777777" w:rsidR="004A7DCA" w:rsidRDefault="004A7DCA" w:rsidP="004A7DCA">
      <w:pPr>
        <w:pStyle w:val="ListParagraph"/>
        <w:numPr>
          <w:ilvl w:val="1"/>
          <w:numId w:val="41"/>
        </w:numPr>
      </w:pPr>
      <w:r>
        <w:t>0.225</w:t>
      </w:r>
    </w:p>
    <w:p w14:paraId="2FF4E3EE" w14:textId="77777777" w:rsidR="004A7DCA" w:rsidRDefault="004A7DCA" w:rsidP="004A7DCA">
      <w:pPr>
        <w:pStyle w:val="ListParagraph"/>
        <w:numPr>
          <w:ilvl w:val="1"/>
          <w:numId w:val="41"/>
        </w:numPr>
      </w:pPr>
      <w:r>
        <w:t>0.238</w:t>
      </w:r>
    </w:p>
    <w:p w14:paraId="60D8E93E" w14:textId="77777777" w:rsidR="004A7DCA" w:rsidRDefault="004A7DCA" w:rsidP="004A7DCA">
      <w:pPr>
        <w:pStyle w:val="ListParagraph"/>
        <w:numPr>
          <w:ilvl w:val="1"/>
          <w:numId w:val="41"/>
        </w:numPr>
      </w:pPr>
      <w:r>
        <w:t>0.248</w:t>
      </w:r>
    </w:p>
    <w:p w14:paraId="7C78C9CF" w14:textId="77777777" w:rsidR="004A7DCA" w:rsidRDefault="004A7DCA" w:rsidP="004A7DCA">
      <w:pPr>
        <w:pStyle w:val="ListParagraph"/>
        <w:numPr>
          <w:ilvl w:val="1"/>
          <w:numId w:val="41"/>
        </w:numPr>
      </w:pPr>
      <w:r>
        <w:t>0.258</w:t>
      </w:r>
    </w:p>
    <w:p w14:paraId="40E305AE" w14:textId="77777777" w:rsidR="004A7DCA" w:rsidRDefault="004A7DCA" w:rsidP="004A7DCA">
      <w:pPr>
        <w:pStyle w:val="ListParagraph"/>
        <w:numPr>
          <w:ilvl w:val="1"/>
          <w:numId w:val="41"/>
        </w:numPr>
      </w:pPr>
      <w:r>
        <w:t>Not enough information.</w:t>
      </w:r>
    </w:p>
    <w:p w14:paraId="605DCB3C" w14:textId="77777777" w:rsidR="004A7DCA" w:rsidRDefault="004A7DCA" w:rsidP="004A7DCA"/>
    <w:p w14:paraId="79AA3D8A" w14:textId="77777777" w:rsidR="004A7DCA" w:rsidRDefault="004A7DCA" w:rsidP="004A7DCA">
      <w:pPr>
        <w:ind w:left="720"/>
      </w:pPr>
    </w:p>
    <w:p w14:paraId="1307C342" w14:textId="77777777" w:rsidR="004A7DCA" w:rsidRDefault="004A7DCA" w:rsidP="004A7DCA">
      <w:pPr>
        <w:rPr>
          <w:i/>
          <w:iCs/>
        </w:rPr>
      </w:pPr>
    </w:p>
    <w:p w14:paraId="0A098F4D" w14:textId="4A165C83" w:rsidR="004A7DCA" w:rsidRDefault="004A7DCA" w:rsidP="004A7DCA"/>
    <w:p w14:paraId="797A73BB" w14:textId="5160D190" w:rsidR="00860339" w:rsidRDefault="00860339" w:rsidP="004A7DCA">
      <w:pPr>
        <w:pStyle w:val="Body"/>
        <w:spacing w:line="240" w:lineRule="auto"/>
        <w:rPr>
          <w:rFonts w:cs="Arial"/>
          <w:b/>
          <w:bCs/>
        </w:rPr>
      </w:pPr>
      <w:r>
        <w:rPr>
          <w:rFonts w:cs="Arial"/>
          <w:b/>
          <w:bCs/>
        </w:rPr>
        <w:t>7.</w:t>
      </w:r>
      <w:r w:rsidR="004A7DCA" w:rsidRPr="000A0FCC">
        <w:rPr>
          <w:rFonts w:cs="Arial"/>
          <w:b/>
          <w:bCs/>
        </w:rPr>
        <w:t xml:space="preserve">  Prenuvo Whole Body Screening MRI: Miracle or Menace? </w:t>
      </w:r>
      <w:r>
        <w:rPr>
          <w:rFonts w:cs="Arial"/>
          <w:lang w:val="da-DK"/>
        </w:rPr>
        <w:t>[10 points]</w:t>
      </w:r>
    </w:p>
    <w:p w14:paraId="4F36E5BD" w14:textId="17C3E625" w:rsidR="004A7DCA" w:rsidRPr="000A0FCC" w:rsidRDefault="004A7DCA" w:rsidP="004A7DCA">
      <w:pPr>
        <w:pStyle w:val="Body"/>
        <w:spacing w:line="240" w:lineRule="auto"/>
        <w:rPr>
          <w:rFonts w:cs="Arial"/>
        </w:rPr>
      </w:pPr>
      <w:r w:rsidRPr="000A0FCC">
        <w:rPr>
          <w:rFonts w:cs="Arial"/>
          <w:b/>
          <w:bCs/>
        </w:rPr>
        <w:t>(</w:t>
      </w:r>
      <w:r w:rsidRPr="000A0FCC">
        <w:rPr>
          <w:rFonts w:cs="Arial"/>
        </w:rPr>
        <w:t xml:space="preserve">Inspired by a problem submitted by Jonathan Amatruda, Elizabeth Black, </w:t>
      </w:r>
      <w:r w:rsidRPr="000A0FCC">
        <w:rPr>
          <w:rFonts w:cs="Arial"/>
          <w:lang w:val="de-DE"/>
        </w:rPr>
        <w:t>Kazem Fallahzadeh</w:t>
      </w:r>
      <w:r w:rsidRPr="000A0FCC">
        <w:rPr>
          <w:rFonts w:cs="Arial"/>
          <w:lang w:val="da-DK"/>
        </w:rPr>
        <w:t xml:space="preserve"> and Anna Parks.)</w:t>
      </w:r>
      <w:r>
        <w:rPr>
          <w:rFonts w:cs="Arial"/>
          <w:lang w:val="da-DK"/>
        </w:rPr>
        <w:t xml:space="preserve"> </w:t>
      </w:r>
    </w:p>
    <w:p w14:paraId="08186525" w14:textId="77777777" w:rsidR="004A7DCA" w:rsidRPr="000A0FCC" w:rsidRDefault="004A7DCA" w:rsidP="004A7DCA">
      <w:pPr>
        <w:pStyle w:val="Body"/>
        <w:rPr>
          <w:rFonts w:cs="Arial"/>
          <w:b/>
          <w:bCs/>
          <w:u w:val="single"/>
        </w:rPr>
      </w:pPr>
    </w:p>
    <w:p w14:paraId="2AECFBFB" w14:textId="77777777" w:rsidR="004A7DCA" w:rsidRPr="000A0FCC" w:rsidRDefault="004A7DCA" w:rsidP="004A7DCA">
      <w:pPr>
        <w:pStyle w:val="Body"/>
        <w:rPr>
          <w:rStyle w:val="None"/>
          <w:rFonts w:cs="Arial"/>
        </w:rPr>
      </w:pPr>
      <w:r w:rsidRPr="000A0FCC">
        <w:rPr>
          <w:rFonts w:cs="Arial"/>
        </w:rPr>
        <w:t>A Canadian startup is offering whole body MRI for cancer “screening.”  (</w:t>
      </w:r>
      <w:hyperlink r:id="rId15" w:history="1">
        <w:r w:rsidRPr="000A0FCC">
          <w:rPr>
            <w:rStyle w:val="Hyperlink0"/>
            <w:rFonts w:cs="Arial"/>
          </w:rPr>
          <w:t>https://twitter.com/awilkinson/status/1187102985148461056</w:t>
        </w:r>
      </w:hyperlink>
      <w:r w:rsidRPr="000A0FCC">
        <w:rPr>
          <w:rStyle w:val="None"/>
          <w:rFonts w:cs="Arial"/>
        </w:rPr>
        <w:t xml:space="preserve"> &amp; </w:t>
      </w:r>
      <w:hyperlink r:id="rId16" w:history="1">
        <w:r w:rsidRPr="000A0FCC">
          <w:rPr>
            <w:rStyle w:val="Hyperlink0"/>
            <w:rFonts w:cs="Arial"/>
          </w:rPr>
          <w:t>https://www.prenuvo.com/</w:t>
        </w:r>
      </w:hyperlink>
      <w:r w:rsidRPr="000A0FCC">
        <w:rPr>
          <w:rStyle w:val="None"/>
          <w:rFonts w:cs="Arial"/>
        </w:rPr>
        <w:t xml:space="preserve">) </w:t>
      </w:r>
      <w:r>
        <w:rPr>
          <w:rStyle w:val="None"/>
          <w:rFonts w:cs="Arial"/>
        </w:rPr>
        <w:t>They are planning</w:t>
      </w:r>
      <w:r w:rsidRPr="000A0FCC">
        <w:rPr>
          <w:rStyle w:val="None"/>
          <w:rFonts w:cs="Arial"/>
        </w:rPr>
        <w:t xml:space="preserve"> to expand to </w:t>
      </w:r>
      <w:r>
        <w:rPr>
          <w:rStyle w:val="None"/>
          <w:rFonts w:cs="Arial"/>
        </w:rPr>
        <w:t xml:space="preserve">San Mateo, </w:t>
      </w:r>
      <w:r w:rsidRPr="000A0FCC">
        <w:rPr>
          <w:rStyle w:val="None"/>
          <w:rFonts w:cs="Arial"/>
        </w:rPr>
        <w:t>California</w:t>
      </w:r>
      <w:r>
        <w:rPr>
          <w:rStyle w:val="None"/>
          <w:rFonts w:cs="Arial"/>
        </w:rPr>
        <w:t xml:space="preserve"> in 2020</w:t>
      </w:r>
      <w:r w:rsidRPr="000A0FCC">
        <w:rPr>
          <w:rStyle w:val="None"/>
          <w:rFonts w:cs="Arial"/>
        </w:rPr>
        <w:t xml:space="preserve">. </w:t>
      </w:r>
    </w:p>
    <w:p w14:paraId="608BA738" w14:textId="77777777" w:rsidR="004A7DCA" w:rsidRPr="000A0FCC" w:rsidRDefault="004A7DCA" w:rsidP="004A7DCA">
      <w:pPr>
        <w:pStyle w:val="Body"/>
        <w:rPr>
          <w:rStyle w:val="None"/>
          <w:rFonts w:cs="Arial"/>
        </w:rPr>
      </w:pPr>
    </w:p>
    <w:p w14:paraId="689B03C8" w14:textId="7C672D2D" w:rsidR="004A7DCA" w:rsidRDefault="004A7DCA" w:rsidP="004A7DCA">
      <w:pPr>
        <w:pStyle w:val="ListParagraph"/>
        <w:rPr>
          <w:rFonts w:ascii="Arial" w:hAnsi="Arial" w:cs="Arial"/>
          <w:color w:val="FF0000"/>
          <w:sz w:val="22"/>
          <w:szCs w:val="22"/>
          <w:shd w:val="clear" w:color="auto" w:fill="FFFFFF"/>
        </w:rPr>
      </w:pPr>
      <w:r w:rsidRPr="000A0FCC">
        <w:rPr>
          <w:rStyle w:val="None"/>
          <w:rFonts w:ascii="Arial" w:hAnsi="Arial" w:cs="Arial"/>
          <w:sz w:val="22"/>
          <w:szCs w:val="22"/>
        </w:rPr>
        <w:t>The website states, “</w:t>
      </w:r>
      <w:r w:rsidRPr="000A0FCC">
        <w:rPr>
          <w:rStyle w:val="None"/>
          <w:rFonts w:ascii="Arial" w:hAnsi="Arial" w:cs="Arial"/>
          <w:color w:val="000000"/>
          <w:sz w:val="22"/>
          <w:szCs w:val="22"/>
          <w:u w:color="000000"/>
        </w:rPr>
        <w:t xml:space="preserve">Cancer and other disease[sic] are 5-7x more likely to kill you if detected late.”  </w:t>
      </w:r>
      <w:r>
        <w:rPr>
          <w:rFonts w:ascii="Arial" w:hAnsi="Arial" w:cs="Arial"/>
          <w:color w:val="FF0000"/>
          <w:sz w:val="22"/>
          <w:szCs w:val="22"/>
          <w:shd w:val="clear" w:color="auto" w:fill="FFFFFF"/>
        </w:rPr>
        <w:t> </w:t>
      </w:r>
      <w:r w:rsidRPr="00FB0965">
        <w:rPr>
          <w:rStyle w:val="None"/>
        </w:rPr>
        <w:t xml:space="preserve">Assume this means that patients whose cancer </w:t>
      </w:r>
      <w:r>
        <w:rPr>
          <w:rStyle w:val="None"/>
        </w:rPr>
        <w:t>(</w:t>
      </w:r>
      <w:r w:rsidRPr="00FB0965">
        <w:rPr>
          <w:rStyle w:val="None"/>
        </w:rPr>
        <w:t>and other diseases</w:t>
      </w:r>
      <w:r>
        <w:rPr>
          <w:rStyle w:val="None"/>
        </w:rPr>
        <w:t>)</w:t>
      </w:r>
      <w:r w:rsidRPr="00FB0965">
        <w:rPr>
          <w:rStyle w:val="None"/>
        </w:rPr>
        <w:t xml:space="preserve"> are diagnosed late </w:t>
      </w:r>
      <w:r w:rsidR="00860339">
        <w:rPr>
          <w:rStyle w:val="None"/>
        </w:rPr>
        <w:t xml:space="preserve">(at a more advanced stage) </w:t>
      </w:r>
      <w:r w:rsidRPr="00FB0965">
        <w:rPr>
          <w:rStyle w:val="None"/>
        </w:rPr>
        <w:t xml:space="preserve">are 5-7 times as likely to die from their disease as patients with </w:t>
      </w:r>
      <w:r>
        <w:rPr>
          <w:rStyle w:val="None"/>
        </w:rPr>
        <w:t>cancer (and other</w:t>
      </w:r>
      <w:r w:rsidRPr="00FB0965">
        <w:rPr>
          <w:rStyle w:val="None"/>
        </w:rPr>
        <w:t xml:space="preserve"> diseases</w:t>
      </w:r>
      <w:r>
        <w:rPr>
          <w:rStyle w:val="None"/>
        </w:rPr>
        <w:t>)</w:t>
      </w:r>
      <w:r w:rsidRPr="00FB0965">
        <w:rPr>
          <w:rStyle w:val="None"/>
        </w:rPr>
        <w:t xml:space="preserve"> who were diagnosed early</w:t>
      </w:r>
      <w:r w:rsidR="00860339">
        <w:rPr>
          <w:rStyle w:val="None"/>
        </w:rPr>
        <w:t xml:space="preserve"> (at a less advanced stage).</w:t>
      </w:r>
    </w:p>
    <w:p w14:paraId="1DECF3D6" w14:textId="77777777" w:rsidR="004A7DCA" w:rsidRDefault="004A7DCA" w:rsidP="004A7DCA">
      <w:pPr>
        <w:pStyle w:val="ListParagraph"/>
        <w:rPr>
          <w:rStyle w:val="None"/>
          <w:rFonts w:ascii="Arial" w:hAnsi="Arial" w:cs="Arial"/>
          <w:color w:val="000000"/>
          <w:sz w:val="22"/>
          <w:szCs w:val="22"/>
          <w:u w:color="000000"/>
        </w:rPr>
      </w:pPr>
    </w:p>
    <w:p w14:paraId="5FF0B980" w14:textId="1D6706ED" w:rsidR="004A7DCA" w:rsidRPr="00860339" w:rsidRDefault="004A7DCA" w:rsidP="00AE16CE">
      <w:pPr>
        <w:pStyle w:val="ListParagraph"/>
        <w:numPr>
          <w:ilvl w:val="0"/>
          <w:numId w:val="43"/>
        </w:numPr>
        <w:pBdr>
          <w:top w:val="nil"/>
          <w:left w:val="nil"/>
          <w:bottom w:val="nil"/>
          <w:right w:val="nil"/>
          <w:between w:val="nil"/>
          <w:bar w:val="nil"/>
        </w:pBdr>
        <w:rPr>
          <w:rStyle w:val="None"/>
          <w:rFonts w:ascii="Arial" w:hAnsi="Arial" w:cs="Arial"/>
          <w:color w:val="000000"/>
          <w:sz w:val="22"/>
          <w:szCs w:val="22"/>
          <w:u w:color="000000"/>
        </w:rPr>
      </w:pPr>
      <w:r w:rsidRPr="00860339">
        <w:rPr>
          <w:rStyle w:val="None"/>
          <w:rFonts w:ascii="Arial" w:hAnsi="Arial" w:cs="Arial"/>
          <w:color w:val="000000"/>
          <w:sz w:val="22"/>
          <w:szCs w:val="22"/>
          <w:u w:color="000000"/>
        </w:rPr>
        <w:t xml:space="preserve">Indicate whether each of the following statements about that claim is true or false and explain.  </w:t>
      </w:r>
      <w:r w:rsidRPr="00860339">
        <w:rPr>
          <w:rStyle w:val="None"/>
          <w:rFonts w:ascii="Arial" w:hAnsi="Arial" w:cs="Arial"/>
          <w:color w:val="000000"/>
          <w:sz w:val="22"/>
          <w:szCs w:val="22"/>
          <w:u w:color="000000"/>
        </w:rPr>
        <w:br/>
      </w:r>
      <w:r w:rsidRPr="00860339">
        <w:rPr>
          <w:rStyle w:val="None"/>
          <w:rFonts w:ascii="Arial" w:hAnsi="Arial" w:cs="Arial"/>
          <w:color w:val="000000"/>
          <w:sz w:val="22"/>
          <w:szCs w:val="22"/>
          <w:u w:color="000000"/>
        </w:rPr>
        <w:br/>
        <w:t xml:space="preserve">i.  Even if treatment is completely ineffective, we might still see that people whose </w:t>
      </w:r>
      <w:r w:rsidR="00860339" w:rsidRPr="00860339">
        <w:rPr>
          <w:rStyle w:val="None"/>
          <w:rFonts w:ascii="Arial" w:hAnsi="Arial" w:cs="Arial"/>
          <w:color w:val="000000"/>
          <w:sz w:val="22"/>
          <w:szCs w:val="22"/>
          <w:u w:color="000000"/>
        </w:rPr>
        <w:t>cancer</w:t>
      </w:r>
      <w:r w:rsidRPr="00860339">
        <w:rPr>
          <w:rStyle w:val="None"/>
          <w:rFonts w:ascii="Arial" w:hAnsi="Arial" w:cs="Arial"/>
          <w:color w:val="000000"/>
          <w:sz w:val="22"/>
          <w:szCs w:val="22"/>
          <w:u w:color="000000"/>
        </w:rPr>
        <w:t xml:space="preserve"> is detected late (i.e., at a more advanced stage) are more likely to die from the cancer because of length bias.  [2]</w:t>
      </w:r>
      <w:r w:rsidRPr="00860339">
        <w:rPr>
          <w:rStyle w:val="None"/>
          <w:rFonts w:ascii="Arial" w:hAnsi="Arial" w:cs="Arial"/>
          <w:color w:val="000000"/>
          <w:sz w:val="22"/>
          <w:szCs w:val="22"/>
          <w:u w:color="000000"/>
        </w:rPr>
        <w:br/>
      </w:r>
      <w:r w:rsidRPr="00860339">
        <w:rPr>
          <w:rStyle w:val="None"/>
          <w:rFonts w:ascii="Arial" w:hAnsi="Arial" w:cs="Arial"/>
          <w:color w:val="000000"/>
          <w:sz w:val="22"/>
          <w:szCs w:val="22"/>
          <w:u w:color="000000"/>
        </w:rPr>
        <w:br/>
      </w:r>
      <w:r w:rsidRPr="00860339">
        <w:rPr>
          <w:rStyle w:val="None"/>
          <w:rFonts w:ascii="Arial" w:hAnsi="Arial" w:cs="Arial"/>
          <w:b/>
          <w:bCs/>
          <w:i/>
          <w:iCs/>
          <w:color w:val="000000"/>
          <w:sz w:val="22"/>
          <w:szCs w:val="22"/>
          <w:u w:color="000000"/>
        </w:rPr>
        <w:br/>
      </w:r>
      <w:r w:rsidRPr="00860339">
        <w:rPr>
          <w:rStyle w:val="None"/>
          <w:rFonts w:ascii="Arial" w:hAnsi="Arial" w:cs="Arial"/>
          <w:color w:val="000000"/>
          <w:sz w:val="22"/>
          <w:szCs w:val="22"/>
          <w:u w:color="000000"/>
        </w:rPr>
        <w:br/>
        <w:t>ii.  The worse prognosis of cancer detected late can’t be due to overdiagnosis, because overdiagnosed disease (pseudodisease) will seldom if ever progress to a late stage. [2]</w:t>
      </w:r>
      <w:r w:rsidRPr="00860339">
        <w:rPr>
          <w:rStyle w:val="None"/>
          <w:rFonts w:ascii="Arial" w:hAnsi="Arial" w:cs="Arial"/>
          <w:color w:val="000000"/>
          <w:sz w:val="22"/>
          <w:szCs w:val="22"/>
          <w:u w:color="000000"/>
        </w:rPr>
        <w:br/>
      </w:r>
      <w:r w:rsidRPr="00860339">
        <w:rPr>
          <w:rStyle w:val="None"/>
          <w:rFonts w:ascii="Arial" w:hAnsi="Arial" w:cs="Arial"/>
          <w:color w:val="000000"/>
          <w:sz w:val="22"/>
          <w:szCs w:val="22"/>
          <w:u w:color="000000"/>
        </w:rPr>
        <w:br/>
      </w:r>
      <w:r w:rsidRPr="00860339">
        <w:rPr>
          <w:rStyle w:val="None"/>
          <w:rFonts w:ascii="Arial" w:hAnsi="Arial" w:cs="Arial"/>
          <w:b/>
          <w:bCs/>
          <w:i/>
          <w:iCs/>
          <w:color w:val="000000"/>
          <w:sz w:val="22"/>
          <w:szCs w:val="22"/>
          <w:u w:color="000000"/>
        </w:rPr>
        <w:br/>
      </w:r>
      <w:r w:rsidRPr="00860339">
        <w:rPr>
          <w:rStyle w:val="None"/>
          <w:rFonts w:ascii="Arial" w:hAnsi="Arial" w:cs="Arial"/>
          <w:color w:val="000000"/>
          <w:sz w:val="22"/>
          <w:szCs w:val="22"/>
          <w:u w:color="000000"/>
        </w:rPr>
        <w:br/>
        <w:t>iii.  While so far the claims about Prenuvo screening are based only on observational studies, if a randomized trial showed a statistically significant reduction in breast cancer mortality among women randomized to the Prenuvo whole-body MRI scanning this would be sufficient to recommend population-wide Prenuvo screening in women. [2]</w:t>
      </w:r>
    </w:p>
    <w:p w14:paraId="31093F10" w14:textId="77777777" w:rsidR="004A7DCA" w:rsidRDefault="004A7DCA" w:rsidP="004A7DCA">
      <w:pPr>
        <w:pStyle w:val="ListParagraph"/>
        <w:rPr>
          <w:rStyle w:val="None"/>
          <w:rFonts w:ascii="Arial" w:hAnsi="Arial" w:cs="Arial"/>
          <w:sz w:val="22"/>
          <w:szCs w:val="22"/>
        </w:rPr>
      </w:pPr>
    </w:p>
    <w:p w14:paraId="4AC5214D" w14:textId="5AE76A20" w:rsidR="004A7DCA" w:rsidRPr="00DC46AA" w:rsidRDefault="004A7DCA" w:rsidP="004A7DCA">
      <w:pPr>
        <w:pStyle w:val="ListParagraph"/>
        <w:ind w:left="1080"/>
        <w:rPr>
          <w:rStyle w:val="None"/>
          <w:rFonts w:ascii="Arial" w:hAnsi="Arial" w:cs="Arial"/>
          <w:b/>
          <w:bCs/>
          <w:i/>
          <w:iCs/>
          <w:color w:val="000000"/>
          <w:sz w:val="22"/>
          <w:szCs w:val="22"/>
          <w:u w:color="000000"/>
        </w:rPr>
      </w:pPr>
      <w:r w:rsidRPr="00DC46AA">
        <w:rPr>
          <w:rStyle w:val="None"/>
          <w:rFonts w:ascii="Arial" w:hAnsi="Arial" w:cs="Arial"/>
          <w:b/>
          <w:bCs/>
          <w:i/>
          <w:iCs/>
          <w:color w:val="000000"/>
          <w:sz w:val="22"/>
          <w:szCs w:val="22"/>
          <w:u w:color="000000"/>
        </w:rPr>
        <w:br/>
      </w:r>
    </w:p>
    <w:p w14:paraId="079B74AC" w14:textId="77777777" w:rsidR="004A7DCA" w:rsidRPr="000A0FCC" w:rsidRDefault="004A7DCA" w:rsidP="004A7DCA">
      <w:pPr>
        <w:rPr>
          <w:rStyle w:val="None"/>
          <w:rFonts w:ascii="Arial" w:hAnsi="Arial" w:cs="Arial"/>
          <w:color w:val="000000"/>
          <w:sz w:val="22"/>
          <w:szCs w:val="22"/>
          <w:u w:color="000000"/>
        </w:rPr>
      </w:pPr>
    </w:p>
    <w:p w14:paraId="71D79AF6" w14:textId="77777777" w:rsidR="004A7DCA" w:rsidRDefault="004A7DCA" w:rsidP="004A7DCA">
      <w:pPr>
        <w:pStyle w:val="Body"/>
        <w:numPr>
          <w:ilvl w:val="0"/>
          <w:numId w:val="43"/>
        </w:numPr>
        <w:rPr>
          <w:rStyle w:val="None"/>
          <w:rFonts w:cs="Arial"/>
        </w:rPr>
      </w:pPr>
      <w:r>
        <w:rPr>
          <w:rStyle w:val="None"/>
          <w:rFonts w:cs="Arial"/>
        </w:rPr>
        <w:t>Regarding the accuracy of the scan, Prenuvo claims to have an unpublished study showing that only 4 out of 1000 patients scanned had a false positive result.  However, following t</w:t>
      </w:r>
      <w:r w:rsidRPr="000A0FCC">
        <w:rPr>
          <w:rStyle w:val="None"/>
          <w:rFonts w:cs="Arial"/>
        </w:rPr>
        <w:t xml:space="preserve">he </w:t>
      </w:r>
      <w:hyperlink r:id="rId17" w:history="1">
        <w:r w:rsidRPr="000A0FCC">
          <w:rPr>
            <w:rStyle w:val="Hyperlink"/>
          </w:rPr>
          <w:t>“Doctors” link</w:t>
        </w:r>
      </w:hyperlink>
      <w:r w:rsidRPr="000A0FCC">
        <w:rPr>
          <w:rStyle w:val="None"/>
          <w:rFonts w:cs="Arial"/>
        </w:rPr>
        <w:t xml:space="preserve"> on the company’s website</w:t>
      </w:r>
      <w:r>
        <w:rPr>
          <w:rStyle w:val="None"/>
          <w:rFonts w:cs="Arial"/>
        </w:rPr>
        <w:t>, under</w:t>
      </w:r>
      <w:r w:rsidRPr="000A0FCC">
        <w:rPr>
          <w:rStyle w:val="None"/>
          <w:rFonts w:cs="Arial"/>
        </w:rPr>
        <w:t xml:space="preserve"> breast cancer, it says: </w:t>
      </w:r>
      <w:r w:rsidRPr="0093384C">
        <w:rPr>
          <w:rStyle w:val="None"/>
          <w:rFonts w:ascii="Times" w:hAnsi="Times" w:cs="Times"/>
          <w:color w:val="000000" w:themeColor="text1"/>
        </w:rPr>
        <w:t>“Prenuvo: Very effective, particularly for screening women with dense breasts. One study found detection with 98.7% sensitivity and 65.8% specificity.”</w:t>
      </w:r>
      <w:r w:rsidRPr="000A0FCC">
        <w:rPr>
          <w:rStyle w:val="None"/>
          <w:rFonts w:cs="Arial"/>
        </w:rPr>
        <w:br/>
      </w:r>
      <w:r w:rsidRPr="000A0FCC">
        <w:rPr>
          <w:rStyle w:val="None"/>
          <w:rFonts w:cs="Arial"/>
        </w:rPr>
        <w:br/>
        <w:t xml:space="preserve">Suppose the 45 year old economics professor described in Chapter 1, with a prior probability of previously undetected invasive breast cancer of 2.8/1000, were to obtain a Prenuvo scan positive for breast cancer and the sensitivity and specificity of the scan for </w:t>
      </w:r>
      <w:r w:rsidRPr="000A0FCC">
        <w:rPr>
          <w:rStyle w:val="None"/>
          <w:rFonts w:cs="Arial"/>
        </w:rPr>
        <w:lastRenderedPageBreak/>
        <w:t>breast cancer were as advertised on the website.  What would be her (posterior) probability of breast cancer?  Show your work.</w:t>
      </w:r>
      <w:r>
        <w:rPr>
          <w:rStyle w:val="None"/>
          <w:rFonts w:cs="Arial"/>
        </w:rPr>
        <w:t xml:space="preserve"> [2]</w:t>
      </w:r>
      <w:r>
        <w:rPr>
          <w:rStyle w:val="None"/>
          <w:rFonts w:cs="Arial"/>
        </w:rPr>
        <w:br/>
      </w:r>
    </w:p>
    <w:p w14:paraId="6F184B6C" w14:textId="77777777" w:rsidR="004A7DCA" w:rsidRDefault="004A7DCA" w:rsidP="004A7DCA">
      <w:pPr>
        <w:pStyle w:val="Body"/>
        <w:ind w:left="720"/>
        <w:rPr>
          <w:rStyle w:val="None"/>
          <w:rFonts w:cs="Arial"/>
        </w:rPr>
      </w:pPr>
    </w:p>
    <w:p w14:paraId="12126FCA" w14:textId="77777777" w:rsidR="004A7DCA" w:rsidRDefault="004A7DCA" w:rsidP="004A7DCA">
      <w:pPr>
        <w:pStyle w:val="Body"/>
        <w:numPr>
          <w:ilvl w:val="0"/>
          <w:numId w:val="43"/>
        </w:numPr>
        <w:rPr>
          <w:rStyle w:val="None"/>
          <w:rFonts w:cs="Arial"/>
        </w:rPr>
      </w:pPr>
      <w:r>
        <w:rPr>
          <w:rStyle w:val="None"/>
          <w:rFonts w:cs="Arial"/>
        </w:rPr>
        <w:t>Suppose you wanted to design a study to independently verify the Prenuvo claims about the accuracy of their scan.  Assume those with positive Prenuvo MRI scans would all proceed to definitive diagnosis (usually biopsy), and those with negative scans would receive clinical follow-up.</w:t>
      </w:r>
    </w:p>
    <w:p w14:paraId="68574E1B" w14:textId="6802F0EC" w:rsidR="004A7DCA" w:rsidRDefault="004A7DCA" w:rsidP="004A7DCA">
      <w:pPr>
        <w:pStyle w:val="Body"/>
        <w:numPr>
          <w:ilvl w:val="1"/>
          <w:numId w:val="42"/>
        </w:numPr>
        <w:rPr>
          <w:rStyle w:val="None"/>
          <w:rFonts w:cs="Arial"/>
        </w:rPr>
      </w:pPr>
      <w:r>
        <w:rPr>
          <w:rStyle w:val="None"/>
          <w:rFonts w:cs="Arial"/>
        </w:rPr>
        <w:t>i.</w:t>
      </w:r>
      <w:r>
        <w:rPr>
          <w:rStyle w:val="None"/>
          <w:rFonts w:cs="Arial"/>
        </w:rPr>
        <w:tab/>
        <w:t>What bias would you be most concerned about for this study of test accuracy? [1]</w:t>
      </w:r>
      <w:r>
        <w:rPr>
          <w:rStyle w:val="None"/>
          <w:rFonts w:cs="Arial"/>
        </w:rPr>
        <w:br/>
      </w:r>
      <w:r>
        <w:rPr>
          <w:rStyle w:val="None"/>
          <w:rFonts w:cs="Arial"/>
        </w:rPr>
        <w:br/>
      </w:r>
      <w:r w:rsidRPr="00E85A94">
        <w:rPr>
          <w:rStyle w:val="None"/>
          <w:rFonts w:cs="Arial"/>
          <w:b/>
          <w:bCs/>
          <w:i/>
          <w:iCs/>
        </w:rPr>
        <w:br/>
      </w:r>
    </w:p>
    <w:p w14:paraId="60DA6E31" w14:textId="6397AEE9" w:rsidR="004A7DCA" w:rsidRDefault="004A7DCA" w:rsidP="00AE16CE">
      <w:pPr>
        <w:pStyle w:val="Body"/>
        <w:numPr>
          <w:ilvl w:val="1"/>
          <w:numId w:val="42"/>
        </w:numPr>
        <w:rPr>
          <w:b/>
        </w:rPr>
      </w:pPr>
      <w:r w:rsidRPr="00860339">
        <w:rPr>
          <w:rStyle w:val="None"/>
          <w:rFonts w:cs="Arial"/>
        </w:rPr>
        <w:t>ii.</w:t>
      </w:r>
      <w:r w:rsidRPr="00860339">
        <w:rPr>
          <w:rStyle w:val="None"/>
          <w:rFonts w:cs="Arial"/>
        </w:rPr>
        <w:tab/>
        <w:t>What would you need to assume about the diseases being detected in order not to worry about your study overestimating sensitivity and specificity? [1]</w:t>
      </w:r>
      <w:r w:rsidRPr="00860339">
        <w:rPr>
          <w:rStyle w:val="None"/>
          <w:rFonts w:cs="Arial"/>
        </w:rPr>
        <w:br/>
      </w:r>
      <w:r w:rsidRPr="00860339">
        <w:rPr>
          <w:rFonts w:cs="Arial"/>
        </w:rPr>
        <w:br/>
      </w:r>
    </w:p>
    <w:p w14:paraId="3F2B05D0" w14:textId="77777777" w:rsidR="004A7DCA" w:rsidRDefault="004A7DCA">
      <w:pPr>
        <w:rPr>
          <w:b/>
        </w:rPr>
      </w:pPr>
      <w:r>
        <w:rPr>
          <w:b/>
        </w:rPr>
        <w:br w:type="page"/>
      </w:r>
    </w:p>
    <w:p w14:paraId="028342B7" w14:textId="77777777" w:rsidR="00783E3F" w:rsidRDefault="00860339" w:rsidP="004A7DCA">
      <w:pPr>
        <w:pStyle w:val="Normal1"/>
        <w:spacing w:before="240" w:line="240" w:lineRule="auto"/>
        <w:rPr>
          <w:rFonts w:ascii="Times New Roman" w:eastAsia="Times New Roman" w:hAnsi="Times New Roman" w:cs="Times New Roman"/>
          <w:sz w:val="24"/>
          <w:szCs w:val="24"/>
        </w:rPr>
      </w:pPr>
      <w:r w:rsidRPr="00860339">
        <w:rPr>
          <w:rFonts w:ascii="Times New Roman" w:eastAsia="Times New Roman" w:hAnsi="Times New Roman" w:cs="Times New Roman"/>
          <w:sz w:val="24"/>
          <w:szCs w:val="24"/>
        </w:rPr>
        <w:lastRenderedPageBreak/>
        <w:t>8.</w:t>
      </w:r>
      <w:r w:rsidR="004A7DCA" w:rsidRPr="00860339">
        <w:rPr>
          <w:rFonts w:ascii="Times New Roman" w:eastAsia="Times New Roman" w:hAnsi="Times New Roman" w:cs="Times New Roman"/>
          <w:sz w:val="24"/>
          <w:szCs w:val="24"/>
        </w:rPr>
        <w:t xml:space="preserve">  Extended-release naltrexone (XR-NTX) effect on viral suppression</w:t>
      </w:r>
      <w:r w:rsidR="00783E3F">
        <w:rPr>
          <w:rFonts w:ascii="Times New Roman" w:eastAsia="Times New Roman" w:hAnsi="Times New Roman" w:cs="Times New Roman"/>
          <w:sz w:val="24"/>
          <w:szCs w:val="24"/>
        </w:rPr>
        <w:t xml:space="preserve"> </w:t>
      </w:r>
      <w:r w:rsidR="00783E3F" w:rsidRPr="00860339">
        <w:rPr>
          <w:rFonts w:ascii="Times New Roman" w:eastAsia="Times New Roman" w:hAnsi="Times New Roman" w:cs="Times New Roman"/>
          <w:sz w:val="24"/>
          <w:szCs w:val="24"/>
        </w:rPr>
        <w:t>[10 points + 2 bonus]</w:t>
      </w:r>
    </w:p>
    <w:p w14:paraId="784EE7FD" w14:textId="52257841" w:rsidR="004A7DCA" w:rsidRPr="00860339" w:rsidRDefault="004A7DCA" w:rsidP="004A7DCA">
      <w:pPr>
        <w:pStyle w:val="Normal1"/>
        <w:spacing w:before="240" w:line="240" w:lineRule="auto"/>
        <w:rPr>
          <w:rFonts w:ascii="Times New Roman" w:eastAsia="Times New Roman" w:hAnsi="Times New Roman" w:cs="Times New Roman"/>
          <w:sz w:val="24"/>
          <w:szCs w:val="24"/>
        </w:rPr>
      </w:pPr>
      <w:r w:rsidRPr="00860339">
        <w:rPr>
          <w:rFonts w:ascii="Times New Roman" w:eastAsia="Times New Roman" w:hAnsi="Times New Roman" w:cs="Times New Roman"/>
          <w:sz w:val="24"/>
          <w:szCs w:val="24"/>
        </w:rPr>
        <w:t xml:space="preserve">(based on a problem submitted by Yusuph Mavura, Akansha Batra and Caitlin Turner) </w:t>
      </w:r>
    </w:p>
    <w:p w14:paraId="0626BA84" w14:textId="4F82D01E" w:rsidR="004A7DCA" w:rsidRPr="00860339" w:rsidRDefault="004A7DCA" w:rsidP="004A7DCA">
      <w:pPr>
        <w:pStyle w:val="Normal1"/>
        <w:spacing w:before="240" w:line="240" w:lineRule="auto"/>
        <w:rPr>
          <w:rFonts w:ascii="Times New Roman" w:eastAsia="Times New Roman" w:hAnsi="Times New Roman" w:cs="Times New Roman"/>
          <w:sz w:val="24"/>
          <w:szCs w:val="24"/>
        </w:rPr>
      </w:pPr>
      <w:r w:rsidRPr="00860339">
        <w:rPr>
          <w:rFonts w:ascii="Times New Roman" w:eastAsia="Times New Roman" w:hAnsi="Times New Roman" w:cs="Times New Roman"/>
          <w:sz w:val="24"/>
          <w:szCs w:val="24"/>
        </w:rPr>
        <w:t>Springer et al</w:t>
      </w:r>
      <w:r w:rsidR="0033339C">
        <w:rPr>
          <w:rFonts w:ascii="Times New Roman" w:eastAsia="Times New Roman" w:hAnsi="Times New Roman" w:cs="Times New Roman"/>
          <w:sz w:val="24"/>
          <w:szCs w:val="24"/>
        </w:rPr>
        <w:fldChar w:fldCharType="begin">
          <w:fldData xml:space="preserve">PEVuZE5vdGU+PENpdGU+PEF1dGhvcj5TcHJpbmdlcjwvQXV0aG9yPjxZZWFyPjIwMTg8L1llYXI+
PFJlY051bT4xNjMxPC9SZWNOdW0+PERpc3BsYXlUZXh0Pig1KTwvRGlzcGxheVRleHQ+PHJlY29y
ZD48cmVjLW51bWJlcj4xNjMxPC9yZWMtbnVtYmVyPjxmb3JlaWduLWtleXM+PGtleSBhcHA9IkVO
IiBkYi1pZD0idHc1enNhOWZicmY1dG9lZXpwYjV0endhdHZ6dnBzNTVlZWV3IiB0aW1lc3RhbXA9
IjE1NzUyMzg3MDIiPjE2MzE8L2tleT48L2ZvcmVpZ24ta2V5cz48cmVmLXR5cGUgbmFtZT0iSm91
cm5hbCBBcnRpY2xlIj4xNzwvcmVmLXR5cGU+PGNvbnRyaWJ1dG9ycz48YXV0aG9ycz48YXV0aG9y
PlNwcmluZ2VyLCBTLiBBLjwvYXV0aG9yPjxhdXRob3I+RGkgUGFvbGEsIEEuPC9hdXRob3I+PGF1
dGhvcj5CYXJib3VyLCBSLjwvYXV0aG9yPjxhdXRob3I+QXphciwgTS4gTS48L2F1dGhvcj48YXV0
aG9yPkFsdGljZSwgRi4gTC48L2F1dGhvcj48L2F1dGhvcnM+PC9jb250cmlidXRvcnM+PGF1dGgt
YWRkcmVzcz5EZXBhcnRtZW50IG9mIEludGVybmFsIE1lZGljaW5lLCBTZWN0aW9uIG9mIEluZmVj
dGlvdXMgRGlzZWFzZXMsIEFJRFMgUHJvZ3JhbSwgWWFsZSBTY2hvb2wgb2YgTWVkaWNpbmUsIE5l
dyBIYXZlbiwgQ1QuJiN4RDtDZW50ZXIgZm9yIEludGVyZGlzY2lwbGluYXJ5IFJlc2VhcmNoIG9u
IEFJRFMsIFlhbGUgVW5pdmVyc2l0eSBTY2hvb2wgb2YgUHVibGljIEhlYWx0aCwgTmV3IEhhdmVu
LCBDVC4mI3hEO1NjaG9vbCBvZiBQdWJsaWMgSGVhbHRoLCBUaGUgVW5pdmVyc2l0eSBvZiBUZXhh
cyBIZWFsdGggU2NpZW5jZSBDZW50ZXIgYXQgSG91c3RvbiAoVVRIZWFsdGgpLCBIb3VzdG9uLCBU
WC4mI3hEO0RpdmlzaW9uIG9mIEVwaWRlbWlvbG9neSBvZiBNaWNyb2JpYWwgRGlzZWFzZXMsIFlh
bGUgVW5pdmVyc2l0eSBTY2hvb2wgb2YgUHVibGljIEhlYWx0aCwgTmV3IEhhdmVuLCBDVC4mI3hE
O0NlbnRyZSBvZiBFeGNlbGxlbmNlIGluIFJlc2VhcmNoIGluIEFJRFMgKENFUmlBKSwgVW5pdmVy
c2l0eSBvZiBNYWxheWEsIEt1YWxhIEx1bXB1ciwgTWFsYXlzaWEuPC9hdXRoLWFkZHJlc3M+PHRp
dGxlcz48dGl0bGU+RXh0ZW5kZWQtcmVsZWFzZSBOYWx0cmV4b25lIEltcHJvdmVzIFZpcmFsIFN1
cHByZXNzaW9uIEFtb25nIEluY2FyY2VyYXRlZCBQZXJzb25zIExpdmluZyB3aXRoIEhJViBhbmQg
QWxjb2hvbCB1c2UgRGlzb3JkZXJzIFRyYW5zaXRpb25pbmcgdG8gdGhlIENvbW11bml0eTogUmVz
dWx0cyBGcm9tIGEgRG91YmxlLUJsaW5kLCBQbGFjZWJvLUNvbnRyb2xsZWQgVHJpYWw8L3RpdGxl
PjxzZWNvbmRhcnktdGl0bGU+SiBBY3F1aXIgSW1tdW5lIERlZmljIFN5bmRyPC9zZWNvbmRhcnkt
dGl0bGU+PC90aXRsZXM+PHBlcmlvZGljYWw+PGZ1bGwtdGl0bGU+SiBBY3F1aXIgSW1tdW5lIERl
ZmljIFN5bmRyPC9mdWxsLXRpdGxlPjwvcGVyaW9kaWNhbD48cGFnZXM+OTItMTAwPC9wYWdlcz48
dm9sdW1lPjc5PC92b2x1bWU+PG51bWJlcj4xPC9udW1iZXI+PGVkaXRpb24+MjAxOC8wNS8yMjwv
ZWRpdGlvbj48a2V5d29yZHM+PGtleXdvcmQ+QWR1bHQ8L2tleXdvcmQ+PGtleXdvcmQ+QWxjb2hv
bCBEZXRlcnJlbnRzLyphZG1pbmlzdHJhdGlvbiAmYW1wOyBkb3NhZ2U8L2tleXdvcmQ+PGtleXdv
cmQ+QWxjb2hvbGlzbS9jb21wbGljYXRpb25zLypkcnVnIHRoZXJhcHk8L2tleXdvcmQ+PGtleXdv
cmQ+RGVsYXllZC1BY3Rpb24gUHJlcGFyYXRpb25zLyphZG1pbmlzdHJhdGlvbiAmYW1wOyBkb3Nh
Z2U8L2tleXdvcmQ+PGtleXdvcmQ+RG91YmxlLUJsaW5kIE1ldGhvZDwva2V5d29yZD48a2V5d29y
ZD5GZW1hbGU8L2tleXdvcmQ+PGtleXdvcmQ+SElWIEluZmVjdGlvbnMvY29tcGxpY2F0aW9ucy8q
dmlyb2xvZ3k8L2tleXdvcmQ+PGtleXdvcmQ+SElWLTEvZ2VuZXRpY3MvaXNvbGF0aW9uICZhbXA7
IHB1cmlmaWNhdGlvbjwva2V5d29yZD48a2V5d29yZD5IdW1hbnM8L2tleXdvcmQ+PGtleXdvcmQ+
TWFsZTwva2V5d29yZD48a2V5d29yZD5OYWx0cmV4b25lLyphZG1pbmlzdHJhdGlvbiAmYW1wOyBk
b3NhZ2U8L2tleXdvcmQ+PGtleXdvcmQ+TmFyY290aWMgQW50YWdvbmlzdHMvKmFkbWluaXN0cmF0
aW9uICZhbXA7IGRvc2FnZTwva2V5d29yZD48a2V5d29yZD5PcGlvaWQtUmVsYXRlZCBEaXNvcmRl
cnMvY29tcGxpY2F0aW9ucy8qZHJ1ZyB0aGVyYXB5PC9rZXl3b3JkPjxrZXl3b3JkPlBsYWNlYm9z
PC9rZXl3b3JkPjxrZXl3b3JkPipQcmlzb25lcnM8L2tleXdvcmQ+PGtleXdvcmQ+Uk5BLCBWaXJh
bC9ibG9vZDwva2V5d29yZD48a2V5d29yZD4qVmlyYWwgTG9hZDwva2V5d29yZD48L2tleXdvcmRz
PjxkYXRlcz48eWVhcj4yMDE4PC95ZWFyPjxwdWItZGF0ZXM+PGRhdGU+U2VwIDE8L2RhdGU+PC9w
dWItZGF0ZXM+PC9kYXRlcz48aXNibj4xOTQ0LTc4ODQgKEVsZWN0cm9uaWMpJiN4RDsxNTI1LTQx
MzUgKExpbmtpbmcpPC9pc2JuPjxhY2Nlc3Npb24tbnVtPjI5NzgxODg0PC9hY2Nlc3Npb24tbnVt
Pjx1cmxzPjxyZWxhdGVkLXVybHM+PHVybD5odHRwczovL3d3dy5uY2JpLm5sbS5uaWguZ292L3B1
Ym1lZC8yOTc4MTg4NDwvdXJsPjwvcmVsYXRlZC11cmxzPjwvdXJscz48Y3VzdG9tMj5QTUM2MDky
MjIzPC9jdXN0b20yPjxlbGVjdHJvbmljLXJlc291cmNlLW51bT4xMC4xMDk3L1FBSS4wMDAwMDAw
MDAwMDAxNzU5PC9lbGVjdHJvbmljLXJlc291cmNlLW51bT48L3JlY29yZD48L0NpdGU+PC9FbmRO
b3RlPn==
</w:fldData>
        </w:fldChar>
      </w:r>
      <w:r w:rsidR="0033339C">
        <w:rPr>
          <w:rFonts w:ascii="Times New Roman" w:eastAsia="Times New Roman" w:hAnsi="Times New Roman" w:cs="Times New Roman"/>
          <w:sz w:val="24"/>
          <w:szCs w:val="24"/>
        </w:rPr>
        <w:instrText xml:space="preserve"> ADDIN EN.CITE </w:instrText>
      </w:r>
      <w:r w:rsidR="0033339C">
        <w:rPr>
          <w:rFonts w:ascii="Times New Roman" w:eastAsia="Times New Roman" w:hAnsi="Times New Roman" w:cs="Times New Roman"/>
          <w:sz w:val="24"/>
          <w:szCs w:val="24"/>
        </w:rPr>
        <w:fldChar w:fldCharType="begin">
          <w:fldData xml:space="preserve">PEVuZE5vdGU+PENpdGU+PEF1dGhvcj5TcHJpbmdlcjwvQXV0aG9yPjxZZWFyPjIwMTg8L1llYXI+
PFJlY051bT4xNjMxPC9SZWNOdW0+PERpc3BsYXlUZXh0Pig1KTwvRGlzcGxheVRleHQ+PHJlY29y
ZD48cmVjLW51bWJlcj4xNjMxPC9yZWMtbnVtYmVyPjxmb3JlaWduLWtleXM+PGtleSBhcHA9IkVO
IiBkYi1pZD0idHc1enNhOWZicmY1dG9lZXpwYjV0endhdHZ6dnBzNTVlZWV3IiB0aW1lc3RhbXA9
IjE1NzUyMzg3MDIiPjE2MzE8L2tleT48L2ZvcmVpZ24ta2V5cz48cmVmLXR5cGUgbmFtZT0iSm91
cm5hbCBBcnRpY2xlIj4xNzwvcmVmLXR5cGU+PGNvbnRyaWJ1dG9ycz48YXV0aG9ycz48YXV0aG9y
PlNwcmluZ2VyLCBTLiBBLjwvYXV0aG9yPjxhdXRob3I+RGkgUGFvbGEsIEEuPC9hdXRob3I+PGF1
dGhvcj5CYXJib3VyLCBSLjwvYXV0aG9yPjxhdXRob3I+QXphciwgTS4gTS48L2F1dGhvcj48YXV0
aG9yPkFsdGljZSwgRi4gTC48L2F1dGhvcj48L2F1dGhvcnM+PC9jb250cmlidXRvcnM+PGF1dGgt
YWRkcmVzcz5EZXBhcnRtZW50IG9mIEludGVybmFsIE1lZGljaW5lLCBTZWN0aW9uIG9mIEluZmVj
dGlvdXMgRGlzZWFzZXMsIEFJRFMgUHJvZ3JhbSwgWWFsZSBTY2hvb2wgb2YgTWVkaWNpbmUsIE5l
dyBIYXZlbiwgQ1QuJiN4RDtDZW50ZXIgZm9yIEludGVyZGlzY2lwbGluYXJ5IFJlc2VhcmNoIG9u
IEFJRFMsIFlhbGUgVW5pdmVyc2l0eSBTY2hvb2wgb2YgUHVibGljIEhlYWx0aCwgTmV3IEhhdmVu
LCBDVC4mI3hEO1NjaG9vbCBvZiBQdWJsaWMgSGVhbHRoLCBUaGUgVW5pdmVyc2l0eSBvZiBUZXhh
cyBIZWFsdGggU2NpZW5jZSBDZW50ZXIgYXQgSG91c3RvbiAoVVRIZWFsdGgpLCBIb3VzdG9uLCBU
WC4mI3hEO0RpdmlzaW9uIG9mIEVwaWRlbWlvbG9neSBvZiBNaWNyb2JpYWwgRGlzZWFzZXMsIFlh
bGUgVW5pdmVyc2l0eSBTY2hvb2wgb2YgUHVibGljIEhlYWx0aCwgTmV3IEhhdmVuLCBDVC4mI3hE
O0NlbnRyZSBvZiBFeGNlbGxlbmNlIGluIFJlc2VhcmNoIGluIEFJRFMgKENFUmlBKSwgVW5pdmVy
c2l0eSBvZiBNYWxheWEsIEt1YWxhIEx1bXB1ciwgTWFsYXlzaWEuPC9hdXRoLWFkZHJlc3M+PHRp
dGxlcz48dGl0bGU+RXh0ZW5kZWQtcmVsZWFzZSBOYWx0cmV4b25lIEltcHJvdmVzIFZpcmFsIFN1
cHByZXNzaW9uIEFtb25nIEluY2FyY2VyYXRlZCBQZXJzb25zIExpdmluZyB3aXRoIEhJViBhbmQg
QWxjb2hvbCB1c2UgRGlzb3JkZXJzIFRyYW5zaXRpb25pbmcgdG8gdGhlIENvbW11bml0eTogUmVz
dWx0cyBGcm9tIGEgRG91YmxlLUJsaW5kLCBQbGFjZWJvLUNvbnRyb2xsZWQgVHJpYWw8L3RpdGxl
PjxzZWNvbmRhcnktdGl0bGU+SiBBY3F1aXIgSW1tdW5lIERlZmljIFN5bmRyPC9zZWNvbmRhcnkt
dGl0bGU+PC90aXRsZXM+PHBlcmlvZGljYWw+PGZ1bGwtdGl0bGU+SiBBY3F1aXIgSW1tdW5lIERl
ZmljIFN5bmRyPC9mdWxsLXRpdGxlPjwvcGVyaW9kaWNhbD48cGFnZXM+OTItMTAwPC9wYWdlcz48
dm9sdW1lPjc5PC92b2x1bWU+PG51bWJlcj4xPC9udW1iZXI+PGVkaXRpb24+MjAxOC8wNS8yMjwv
ZWRpdGlvbj48a2V5d29yZHM+PGtleXdvcmQ+QWR1bHQ8L2tleXdvcmQ+PGtleXdvcmQ+QWxjb2hv
bCBEZXRlcnJlbnRzLyphZG1pbmlzdHJhdGlvbiAmYW1wOyBkb3NhZ2U8L2tleXdvcmQ+PGtleXdv
cmQ+QWxjb2hvbGlzbS9jb21wbGljYXRpb25zLypkcnVnIHRoZXJhcHk8L2tleXdvcmQ+PGtleXdv
cmQ+RGVsYXllZC1BY3Rpb24gUHJlcGFyYXRpb25zLyphZG1pbmlzdHJhdGlvbiAmYW1wOyBkb3Nh
Z2U8L2tleXdvcmQ+PGtleXdvcmQ+RG91YmxlLUJsaW5kIE1ldGhvZDwva2V5d29yZD48a2V5d29y
ZD5GZW1hbGU8L2tleXdvcmQ+PGtleXdvcmQ+SElWIEluZmVjdGlvbnMvY29tcGxpY2F0aW9ucy8q
dmlyb2xvZ3k8L2tleXdvcmQ+PGtleXdvcmQ+SElWLTEvZ2VuZXRpY3MvaXNvbGF0aW9uICZhbXA7
IHB1cmlmaWNhdGlvbjwva2V5d29yZD48a2V5d29yZD5IdW1hbnM8L2tleXdvcmQ+PGtleXdvcmQ+
TWFsZTwva2V5d29yZD48a2V5d29yZD5OYWx0cmV4b25lLyphZG1pbmlzdHJhdGlvbiAmYW1wOyBk
b3NhZ2U8L2tleXdvcmQ+PGtleXdvcmQ+TmFyY290aWMgQW50YWdvbmlzdHMvKmFkbWluaXN0cmF0
aW9uICZhbXA7IGRvc2FnZTwva2V5d29yZD48a2V5d29yZD5PcGlvaWQtUmVsYXRlZCBEaXNvcmRl
cnMvY29tcGxpY2F0aW9ucy8qZHJ1ZyB0aGVyYXB5PC9rZXl3b3JkPjxrZXl3b3JkPlBsYWNlYm9z
PC9rZXl3b3JkPjxrZXl3b3JkPipQcmlzb25lcnM8L2tleXdvcmQ+PGtleXdvcmQ+Uk5BLCBWaXJh
bC9ibG9vZDwva2V5d29yZD48a2V5d29yZD4qVmlyYWwgTG9hZDwva2V5d29yZD48L2tleXdvcmRz
PjxkYXRlcz48eWVhcj4yMDE4PC95ZWFyPjxwdWItZGF0ZXM+PGRhdGU+U2VwIDE8L2RhdGU+PC9w
dWItZGF0ZXM+PC9kYXRlcz48aXNibj4xOTQ0LTc4ODQgKEVsZWN0cm9uaWMpJiN4RDsxNTI1LTQx
MzUgKExpbmtpbmcpPC9pc2JuPjxhY2Nlc3Npb24tbnVtPjI5NzgxODg0PC9hY2Nlc3Npb24tbnVt
Pjx1cmxzPjxyZWxhdGVkLXVybHM+PHVybD5odHRwczovL3d3dy5uY2JpLm5sbS5uaWguZ292L3B1
Ym1lZC8yOTc4MTg4NDwvdXJsPjwvcmVsYXRlZC11cmxzPjwvdXJscz48Y3VzdG9tMj5QTUM2MDky
MjIzPC9jdXN0b20yPjxlbGVjdHJvbmljLXJlc291cmNlLW51bT4xMC4xMDk3L1FBSS4wMDAwMDAw
MDAwMDAxNzU5PC9lbGVjdHJvbmljLXJlc291cmNlLW51bT48L3JlY29yZD48L0NpdGU+PC9FbmRO
b3RlPn==
</w:fldData>
        </w:fldChar>
      </w:r>
      <w:r w:rsidR="0033339C">
        <w:rPr>
          <w:rFonts w:ascii="Times New Roman" w:eastAsia="Times New Roman" w:hAnsi="Times New Roman" w:cs="Times New Roman"/>
          <w:sz w:val="24"/>
          <w:szCs w:val="24"/>
        </w:rPr>
        <w:instrText xml:space="preserve"> ADDIN EN.CITE.DATA </w:instrText>
      </w:r>
      <w:r w:rsidR="0033339C">
        <w:rPr>
          <w:rFonts w:ascii="Times New Roman" w:eastAsia="Times New Roman" w:hAnsi="Times New Roman" w:cs="Times New Roman"/>
          <w:sz w:val="24"/>
          <w:szCs w:val="24"/>
        </w:rPr>
      </w:r>
      <w:r w:rsidR="0033339C">
        <w:rPr>
          <w:rFonts w:ascii="Times New Roman" w:eastAsia="Times New Roman" w:hAnsi="Times New Roman" w:cs="Times New Roman"/>
          <w:sz w:val="24"/>
          <w:szCs w:val="24"/>
        </w:rPr>
        <w:fldChar w:fldCharType="end"/>
      </w:r>
      <w:r w:rsidR="0033339C">
        <w:rPr>
          <w:rFonts w:ascii="Times New Roman" w:eastAsia="Times New Roman" w:hAnsi="Times New Roman" w:cs="Times New Roman"/>
          <w:sz w:val="24"/>
          <w:szCs w:val="24"/>
        </w:rPr>
        <w:fldChar w:fldCharType="separate"/>
      </w:r>
      <w:r w:rsidR="0033339C">
        <w:rPr>
          <w:rFonts w:ascii="Times New Roman" w:eastAsia="Times New Roman" w:hAnsi="Times New Roman" w:cs="Times New Roman"/>
          <w:noProof/>
          <w:sz w:val="24"/>
          <w:szCs w:val="24"/>
        </w:rPr>
        <w:t>(5)</w:t>
      </w:r>
      <w:r w:rsidR="0033339C">
        <w:rPr>
          <w:rFonts w:ascii="Times New Roman" w:eastAsia="Times New Roman" w:hAnsi="Times New Roman" w:cs="Times New Roman"/>
          <w:sz w:val="24"/>
          <w:szCs w:val="24"/>
        </w:rPr>
        <w:fldChar w:fldCharType="end"/>
      </w:r>
      <w:bookmarkStart w:id="0" w:name="_GoBack"/>
      <w:bookmarkEnd w:id="0"/>
      <w:r w:rsidRPr="00860339">
        <w:rPr>
          <w:rFonts w:ascii="Times New Roman" w:eastAsia="Times New Roman" w:hAnsi="Times New Roman" w:cs="Times New Roman"/>
          <w:sz w:val="24"/>
          <w:szCs w:val="24"/>
        </w:rPr>
        <w:t xml:space="preserve"> examined whether pharmacotherapy to treat alcohol use disorders, extended-release naltrexone (XR-NTX), influences HIV viral suppression (VS) in people living with HIV and alcohol use disorders who are transitioning to the community from prison or jail. They hypothesized that XR-NTX would alleviate the alcohol use, thereby improving adherence to medication and increasing VS.</w:t>
      </w:r>
    </w:p>
    <w:p w14:paraId="16CE191F" w14:textId="77777777" w:rsidR="004A7DCA" w:rsidRPr="00860339" w:rsidRDefault="004A7DCA" w:rsidP="004A7DCA">
      <w:pPr>
        <w:pStyle w:val="Normal1"/>
        <w:spacing w:before="240" w:line="240" w:lineRule="auto"/>
        <w:rPr>
          <w:rFonts w:ascii="Times New Roman" w:eastAsia="Times New Roman" w:hAnsi="Times New Roman" w:cs="Times New Roman"/>
          <w:sz w:val="24"/>
          <w:szCs w:val="24"/>
        </w:rPr>
      </w:pPr>
      <w:r w:rsidRPr="00860339">
        <w:rPr>
          <w:rFonts w:ascii="Times New Roman" w:eastAsia="Times New Roman" w:hAnsi="Times New Roman" w:cs="Times New Roman"/>
          <w:sz w:val="24"/>
          <w:szCs w:val="24"/>
        </w:rPr>
        <w:t>The abstract states:</w:t>
      </w:r>
    </w:p>
    <w:p w14:paraId="7BA67274" w14:textId="77777777" w:rsidR="004A7DCA" w:rsidRPr="00860339" w:rsidRDefault="004A7DCA" w:rsidP="004A7DCA">
      <w:pPr>
        <w:pStyle w:val="Normal1"/>
        <w:spacing w:line="240" w:lineRule="auto"/>
        <w:ind w:left="720"/>
        <w:rPr>
          <w:rFonts w:ascii="Times New Roman" w:eastAsia="Times New Roman" w:hAnsi="Times New Roman" w:cs="Times New Roman"/>
          <w:sz w:val="24"/>
          <w:szCs w:val="24"/>
        </w:rPr>
      </w:pPr>
      <w:r w:rsidRPr="00860339">
        <w:rPr>
          <w:rFonts w:ascii="Times New Roman" w:eastAsia="Times New Roman" w:hAnsi="Times New Roman" w:cs="Times New Roman"/>
          <w:b/>
          <w:bCs/>
          <w:sz w:val="24"/>
          <w:szCs w:val="24"/>
        </w:rPr>
        <w:t>Design</w:t>
      </w:r>
      <w:r w:rsidRPr="00860339">
        <w:rPr>
          <w:rFonts w:ascii="Times New Roman" w:eastAsia="Times New Roman" w:hAnsi="Times New Roman" w:cs="Times New Roman"/>
          <w:sz w:val="24"/>
          <w:szCs w:val="24"/>
        </w:rPr>
        <w:t>—A randomized double-blind, placebo-controlled trial was conducted among incarcerated individuals with HIV and alcohol use disorders transitioning to the community from 2010 through 2016.</w:t>
      </w:r>
    </w:p>
    <w:p w14:paraId="3B81D52F" w14:textId="77777777" w:rsidR="004A7DCA" w:rsidRPr="00860339" w:rsidRDefault="004A7DCA" w:rsidP="004A7DCA">
      <w:pPr>
        <w:pStyle w:val="Normal1"/>
        <w:spacing w:line="240" w:lineRule="auto"/>
        <w:ind w:left="720"/>
        <w:rPr>
          <w:rFonts w:ascii="Times New Roman" w:eastAsia="Times New Roman" w:hAnsi="Times New Roman" w:cs="Times New Roman"/>
          <w:sz w:val="24"/>
          <w:szCs w:val="24"/>
        </w:rPr>
      </w:pPr>
      <w:r w:rsidRPr="00860339">
        <w:rPr>
          <w:rFonts w:ascii="Times New Roman" w:eastAsia="Times New Roman" w:hAnsi="Times New Roman" w:cs="Times New Roman"/>
          <w:b/>
          <w:bCs/>
          <w:sz w:val="24"/>
          <w:szCs w:val="24"/>
        </w:rPr>
        <w:t>Methods</w:t>
      </w:r>
      <w:r w:rsidRPr="00860339">
        <w:rPr>
          <w:rFonts w:ascii="Times New Roman" w:eastAsia="Times New Roman" w:hAnsi="Times New Roman" w:cs="Times New Roman"/>
          <w:sz w:val="24"/>
          <w:szCs w:val="24"/>
        </w:rPr>
        <w:t xml:space="preserve">—Eligible participants (N=100) were randomized 2:1 to receive 6 monthly injections of XR-NTX (n=67) or Placebo (n=33) starting at release and continued for 6 months. The primary and secondary outcomes were the proportion that maintained or improved VS at &lt;200 copies/mL and &lt;50 copies/ml from baseline to 6 months…” </w:t>
      </w:r>
      <w:r w:rsidRPr="00860339">
        <w:rPr>
          <w:rFonts w:ascii="Times New Roman" w:eastAsia="Times New Roman" w:hAnsi="Times New Roman" w:cs="Times New Roman"/>
          <w:sz w:val="24"/>
          <w:szCs w:val="24"/>
          <w:vertAlign w:val="superscript"/>
        </w:rPr>
        <w:t>1</w:t>
      </w:r>
      <w:r w:rsidRPr="00860339">
        <w:rPr>
          <w:rFonts w:ascii="Times New Roman" w:eastAsia="Times New Roman" w:hAnsi="Times New Roman" w:cs="Times New Roman"/>
          <w:sz w:val="24"/>
          <w:szCs w:val="24"/>
        </w:rPr>
        <w:t xml:space="preserve"> </w:t>
      </w:r>
    </w:p>
    <w:p w14:paraId="7EDC4E74" w14:textId="77777777" w:rsidR="004A7DCA" w:rsidRPr="00860339" w:rsidRDefault="004A7DCA" w:rsidP="004A7DCA">
      <w:pPr>
        <w:pStyle w:val="Normal1"/>
        <w:spacing w:line="240" w:lineRule="auto"/>
        <w:rPr>
          <w:rFonts w:ascii="Times New Roman" w:eastAsia="Times New Roman" w:hAnsi="Times New Roman" w:cs="Times New Roman"/>
          <w:sz w:val="24"/>
          <w:szCs w:val="24"/>
        </w:rPr>
      </w:pPr>
    </w:p>
    <w:p w14:paraId="64BAA4EF" w14:textId="77777777" w:rsidR="004A7DCA" w:rsidRPr="00860339" w:rsidRDefault="004A7DCA" w:rsidP="004A7DCA">
      <w:pPr>
        <w:pStyle w:val="Normal1"/>
        <w:spacing w:line="240" w:lineRule="auto"/>
        <w:rPr>
          <w:rFonts w:ascii="Times New Roman" w:eastAsia="Times New Roman" w:hAnsi="Times New Roman" w:cs="Times New Roman"/>
          <w:sz w:val="24"/>
          <w:szCs w:val="24"/>
        </w:rPr>
      </w:pPr>
      <w:r w:rsidRPr="00860339">
        <w:rPr>
          <w:rFonts w:ascii="Times New Roman" w:hAnsi="Times New Roman" w:cs="Times New Roman"/>
          <w:noProof/>
          <w:sz w:val="24"/>
          <w:szCs w:val="24"/>
        </w:rPr>
        <w:drawing>
          <wp:anchor distT="114300" distB="114300" distL="114300" distR="114300" simplePos="0" relativeHeight="251667456" behindDoc="0" locked="0" layoutInCell="1" allowOverlap="1" wp14:anchorId="014C529B" wp14:editId="6809A92C">
            <wp:simplePos x="0" y="0"/>
            <wp:positionH relativeFrom="column">
              <wp:posOffset>247650</wp:posOffset>
            </wp:positionH>
            <wp:positionV relativeFrom="paragraph">
              <wp:posOffset>781050</wp:posOffset>
            </wp:positionV>
            <wp:extent cx="5403850" cy="3346450"/>
            <wp:effectExtent l="0" t="0" r="6350" b="6350"/>
            <wp:wrapTopAndBottom/>
            <wp:docPr id="12" name="image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cstate="print"/>
                    <a:srcRect/>
                    <a:stretch>
                      <a:fillRect/>
                    </a:stretch>
                  </pic:blipFill>
                  <pic:spPr>
                    <a:xfrm>
                      <a:off x="0" y="0"/>
                      <a:ext cx="5403850" cy="3346450"/>
                    </a:xfrm>
                    <a:prstGeom prst="rect">
                      <a:avLst/>
                    </a:prstGeom>
                    <a:ln/>
                  </pic:spPr>
                </pic:pic>
              </a:graphicData>
            </a:graphic>
            <wp14:sizeRelH relativeFrom="margin">
              <wp14:pctWidth>0</wp14:pctWidth>
            </wp14:sizeRelH>
            <wp14:sizeRelV relativeFrom="margin">
              <wp14:pctHeight>0</wp14:pctHeight>
            </wp14:sizeRelV>
          </wp:anchor>
        </w:drawing>
      </w:r>
      <w:r w:rsidRPr="00860339">
        <w:rPr>
          <w:rFonts w:ascii="Times New Roman" w:eastAsia="Times New Roman" w:hAnsi="Times New Roman" w:cs="Times New Roman"/>
          <w:sz w:val="24"/>
          <w:szCs w:val="24"/>
        </w:rPr>
        <w:t xml:space="preserve">In the results section, the authors state that “at six months, compared to placebo, participants who received XR-NTX were also significantly more likely to have VS for both the primary outcome (&lt;200 copies/mL) (64.2% XR-NTX vs. 42.4% placebo; p=0.041) and secondary outcome (&lt;50 copies/mL) (56.7% XR-NTX vs. 30.3% placebo; p = 0.015).” For the purposes of this problem, focus only on the primary outcome. </w:t>
      </w:r>
      <w:r w:rsidRPr="00860339">
        <w:rPr>
          <w:rFonts w:ascii="Times New Roman" w:eastAsia="Times New Roman" w:hAnsi="Times New Roman" w:cs="Times New Roman"/>
          <w:sz w:val="24"/>
          <w:szCs w:val="24"/>
        </w:rPr>
        <w:br/>
      </w:r>
    </w:p>
    <w:p w14:paraId="682A70CD" w14:textId="50AAE859" w:rsidR="004A7DCA" w:rsidRPr="00860339" w:rsidRDefault="004A7DCA" w:rsidP="00420852">
      <w:pPr>
        <w:pStyle w:val="Normal1"/>
        <w:numPr>
          <w:ilvl w:val="1"/>
          <w:numId w:val="44"/>
        </w:numPr>
        <w:spacing w:line="240" w:lineRule="auto"/>
        <w:rPr>
          <w:rFonts w:ascii="Times New Roman" w:eastAsia="Times New Roman" w:hAnsi="Times New Roman" w:cs="Times New Roman"/>
          <w:i/>
          <w:color w:val="0070C0"/>
          <w:sz w:val="24"/>
          <w:szCs w:val="24"/>
        </w:rPr>
      </w:pPr>
      <w:r w:rsidRPr="00860339">
        <w:rPr>
          <w:rFonts w:ascii="Times New Roman" w:eastAsia="Times New Roman" w:hAnsi="Times New Roman" w:cs="Times New Roman"/>
          <w:sz w:val="24"/>
          <w:szCs w:val="24"/>
        </w:rPr>
        <w:lastRenderedPageBreak/>
        <w:t xml:space="preserve">Assume the bad outcome we are trying to prevent is </w:t>
      </w:r>
      <w:r w:rsidRPr="00860339">
        <w:rPr>
          <w:rFonts w:ascii="Times New Roman" w:eastAsia="Times New Roman" w:hAnsi="Times New Roman" w:cs="Times New Roman"/>
          <w:i/>
          <w:iCs/>
          <w:sz w:val="24"/>
          <w:szCs w:val="24"/>
        </w:rPr>
        <w:t xml:space="preserve">lack </w:t>
      </w:r>
      <w:r w:rsidRPr="00860339">
        <w:rPr>
          <w:rFonts w:ascii="Times New Roman" w:eastAsia="Times New Roman" w:hAnsi="Times New Roman" w:cs="Times New Roman"/>
          <w:sz w:val="24"/>
          <w:szCs w:val="24"/>
        </w:rPr>
        <w:t>of viral suppression to &lt; 200 copies/ml at 6 months.  Using conventions recommended in Chapter 8 and looking at the 6-month data only, what are the RR and RRR comparing XR-NTX to placebo for that outcome? [2]</w:t>
      </w:r>
      <w:r w:rsidRPr="00860339">
        <w:rPr>
          <w:rFonts w:ascii="Times New Roman" w:eastAsia="Times New Roman" w:hAnsi="Times New Roman" w:cs="Times New Roman"/>
          <w:sz w:val="24"/>
          <w:szCs w:val="24"/>
        </w:rPr>
        <w:br/>
      </w:r>
      <w:r w:rsidRPr="00860339">
        <w:rPr>
          <w:rFonts w:ascii="Times New Roman" w:eastAsia="Times New Roman" w:hAnsi="Times New Roman" w:cs="Times New Roman"/>
          <w:sz w:val="24"/>
          <w:szCs w:val="24"/>
        </w:rPr>
        <w:br/>
      </w:r>
    </w:p>
    <w:p w14:paraId="3F36520C" w14:textId="77777777" w:rsidR="004A7DCA" w:rsidRPr="00860339" w:rsidRDefault="004A7DCA" w:rsidP="004A7DCA">
      <w:pPr>
        <w:pStyle w:val="Normal1"/>
        <w:numPr>
          <w:ilvl w:val="1"/>
          <w:numId w:val="44"/>
        </w:numPr>
        <w:spacing w:line="240" w:lineRule="auto"/>
        <w:rPr>
          <w:rFonts w:ascii="Times New Roman" w:eastAsia="Times New Roman" w:hAnsi="Times New Roman" w:cs="Times New Roman"/>
          <w:sz w:val="24"/>
          <w:szCs w:val="24"/>
        </w:rPr>
      </w:pPr>
      <w:r w:rsidRPr="00860339">
        <w:rPr>
          <w:rFonts w:ascii="Times New Roman" w:eastAsia="Times New Roman" w:hAnsi="Times New Roman" w:cs="Times New Roman"/>
          <w:sz w:val="24"/>
          <w:szCs w:val="24"/>
        </w:rPr>
        <w:t>Calculate the ARR and the NNT for that same outcome and explain in words what the NNT means.  [2]</w:t>
      </w:r>
    </w:p>
    <w:p w14:paraId="21F66D94" w14:textId="77777777" w:rsidR="004A7DCA" w:rsidRPr="00860339" w:rsidRDefault="004A7DCA" w:rsidP="004A7DCA">
      <w:pPr>
        <w:pStyle w:val="Normal1"/>
        <w:spacing w:line="240" w:lineRule="auto"/>
        <w:rPr>
          <w:rFonts w:ascii="Times New Roman" w:eastAsia="Times New Roman" w:hAnsi="Times New Roman" w:cs="Times New Roman"/>
          <w:sz w:val="24"/>
          <w:szCs w:val="24"/>
        </w:rPr>
      </w:pPr>
    </w:p>
    <w:p w14:paraId="52B627D2" w14:textId="77777777" w:rsidR="004A7DCA" w:rsidRPr="00860339" w:rsidRDefault="004A7DCA" w:rsidP="004A7DCA">
      <w:pPr>
        <w:pStyle w:val="Normal1"/>
        <w:spacing w:line="240" w:lineRule="auto"/>
        <w:ind w:left="720"/>
        <w:rPr>
          <w:rFonts w:ascii="Times New Roman" w:eastAsia="Times New Roman" w:hAnsi="Times New Roman" w:cs="Times New Roman"/>
          <w:b/>
          <w:bCs/>
          <w:i/>
          <w:color w:val="0070C0"/>
          <w:sz w:val="24"/>
          <w:szCs w:val="24"/>
        </w:rPr>
      </w:pPr>
    </w:p>
    <w:p w14:paraId="312285C9" w14:textId="77777777" w:rsidR="004A7DCA" w:rsidRPr="00860339" w:rsidRDefault="004A7DCA" w:rsidP="004A7DCA">
      <w:pPr>
        <w:pStyle w:val="Normal1"/>
        <w:spacing w:line="240" w:lineRule="auto"/>
        <w:ind w:left="720"/>
        <w:rPr>
          <w:rFonts w:ascii="Times New Roman" w:eastAsia="Times New Roman" w:hAnsi="Times New Roman" w:cs="Times New Roman"/>
          <w:b/>
          <w:bCs/>
          <w:i/>
          <w:color w:val="0070C0"/>
          <w:sz w:val="24"/>
          <w:szCs w:val="24"/>
        </w:rPr>
      </w:pPr>
    </w:p>
    <w:p w14:paraId="14732DC3" w14:textId="77777777" w:rsidR="004A7DCA" w:rsidRPr="00860339" w:rsidRDefault="004A7DCA" w:rsidP="004A7DCA">
      <w:pPr>
        <w:pStyle w:val="Normal1"/>
        <w:spacing w:line="240" w:lineRule="auto"/>
        <w:rPr>
          <w:rFonts w:ascii="Times New Roman" w:eastAsia="Times New Roman" w:hAnsi="Times New Roman" w:cs="Times New Roman"/>
          <w:i/>
          <w:color w:val="0070C0"/>
          <w:sz w:val="24"/>
          <w:szCs w:val="24"/>
        </w:rPr>
      </w:pPr>
    </w:p>
    <w:p w14:paraId="21AF5F18" w14:textId="77777777" w:rsidR="004A7DCA" w:rsidRPr="00860339" w:rsidRDefault="004A7DCA" w:rsidP="004A7DCA">
      <w:pPr>
        <w:pStyle w:val="Normal1"/>
        <w:numPr>
          <w:ilvl w:val="1"/>
          <w:numId w:val="44"/>
        </w:numPr>
        <w:spacing w:before="240" w:line="240" w:lineRule="auto"/>
        <w:rPr>
          <w:rFonts w:ascii="Times New Roman" w:eastAsia="Times New Roman" w:hAnsi="Times New Roman" w:cs="Times New Roman"/>
          <w:sz w:val="24"/>
          <w:szCs w:val="24"/>
        </w:rPr>
      </w:pPr>
      <w:r w:rsidRPr="00860339">
        <w:rPr>
          <w:rFonts w:ascii="Times New Roman" w:eastAsia="Times New Roman" w:hAnsi="Times New Roman" w:cs="Times New Roman"/>
          <w:sz w:val="24"/>
          <w:szCs w:val="24"/>
        </w:rPr>
        <w:t xml:space="preserve"> Is the comparison with the P-value of 0.041 in the figure a </w:t>
      </w:r>
      <w:r w:rsidRPr="00860339">
        <w:rPr>
          <w:rFonts w:ascii="Times New Roman" w:eastAsia="Times New Roman" w:hAnsi="Times New Roman" w:cs="Times New Roman"/>
          <w:i/>
          <w:iCs/>
          <w:sz w:val="24"/>
          <w:szCs w:val="24"/>
        </w:rPr>
        <w:t xml:space="preserve">within-groups </w:t>
      </w:r>
      <w:r w:rsidRPr="00860339">
        <w:rPr>
          <w:rFonts w:ascii="Times New Roman" w:eastAsia="Times New Roman" w:hAnsi="Times New Roman" w:cs="Times New Roman"/>
          <w:sz w:val="24"/>
          <w:szCs w:val="24"/>
        </w:rPr>
        <w:t xml:space="preserve">or </w:t>
      </w:r>
      <w:r w:rsidRPr="00860339">
        <w:rPr>
          <w:rFonts w:ascii="Times New Roman" w:eastAsia="Times New Roman" w:hAnsi="Times New Roman" w:cs="Times New Roman"/>
          <w:i/>
          <w:iCs/>
          <w:sz w:val="24"/>
          <w:szCs w:val="24"/>
        </w:rPr>
        <w:t xml:space="preserve">between-groups </w:t>
      </w:r>
      <w:r w:rsidRPr="00860339">
        <w:rPr>
          <w:rFonts w:ascii="Times New Roman" w:eastAsia="Times New Roman" w:hAnsi="Times New Roman" w:cs="Times New Roman"/>
          <w:sz w:val="24"/>
          <w:szCs w:val="24"/>
        </w:rPr>
        <w:t>comparison?  Explain. [2]. (Extra credit +2: How could they have done it better?)</w:t>
      </w:r>
    </w:p>
    <w:p w14:paraId="5FDFD99C" w14:textId="47A08C07" w:rsidR="004A7DCA" w:rsidRPr="00860339" w:rsidRDefault="004A7DCA" w:rsidP="004A7DCA">
      <w:pPr>
        <w:pStyle w:val="Normal1"/>
        <w:spacing w:before="240" w:line="240" w:lineRule="auto"/>
        <w:ind w:left="1440"/>
        <w:rPr>
          <w:rFonts w:ascii="Times New Roman" w:eastAsia="Times New Roman" w:hAnsi="Times New Roman" w:cs="Times New Roman"/>
          <w:b/>
          <w:bCs/>
          <w:i/>
          <w:iCs/>
          <w:sz w:val="24"/>
          <w:szCs w:val="24"/>
        </w:rPr>
      </w:pPr>
      <w:r w:rsidRPr="00860339">
        <w:rPr>
          <w:rFonts w:ascii="Times New Roman" w:eastAsia="Times New Roman" w:hAnsi="Times New Roman" w:cs="Times New Roman"/>
          <w:sz w:val="24"/>
          <w:szCs w:val="24"/>
        </w:rPr>
        <w:br/>
        <w:t xml:space="preserve"> </w:t>
      </w:r>
    </w:p>
    <w:p w14:paraId="29AC10DC" w14:textId="77777777" w:rsidR="004A7DCA" w:rsidRPr="00860339" w:rsidRDefault="004A7DCA" w:rsidP="004A7DCA">
      <w:pPr>
        <w:pStyle w:val="Normal1"/>
        <w:numPr>
          <w:ilvl w:val="1"/>
          <w:numId w:val="44"/>
        </w:numPr>
        <w:spacing w:before="240" w:line="240" w:lineRule="auto"/>
        <w:rPr>
          <w:rFonts w:ascii="Times New Roman" w:eastAsia="Times New Roman" w:hAnsi="Times New Roman" w:cs="Times New Roman"/>
          <w:sz w:val="24"/>
          <w:szCs w:val="24"/>
        </w:rPr>
      </w:pPr>
      <w:r w:rsidRPr="00860339">
        <w:rPr>
          <w:rFonts w:ascii="Times New Roman" w:eastAsia="Times New Roman" w:hAnsi="Times New Roman" w:cs="Times New Roman"/>
          <w:sz w:val="24"/>
          <w:szCs w:val="24"/>
        </w:rPr>
        <w:t xml:space="preserve">The </w:t>
      </w:r>
      <w:r w:rsidRPr="00860339">
        <w:rPr>
          <w:rFonts w:ascii="Times New Roman" w:eastAsia="Times New Roman" w:hAnsi="Times New Roman" w:cs="Times New Roman"/>
          <w:color w:val="222222"/>
          <w:sz w:val="24"/>
          <w:szCs w:val="24"/>
          <w:highlight w:val="white"/>
        </w:rPr>
        <w:t xml:space="preserve">mean cost per XR-NTX injection per person is $704. Calculate the treatment cost per viral non-suppression event prevented using the mean cost per XR-NTX injection and assuming that each patient received 6 injections in six months. </w:t>
      </w:r>
      <w:r w:rsidRPr="00860339">
        <w:rPr>
          <w:rFonts w:ascii="Times New Roman" w:eastAsia="Times New Roman" w:hAnsi="Times New Roman" w:cs="Times New Roman"/>
          <w:color w:val="222222"/>
          <w:sz w:val="24"/>
          <w:szCs w:val="24"/>
        </w:rPr>
        <w:t>[2]</w:t>
      </w:r>
    </w:p>
    <w:p w14:paraId="490FA3EF" w14:textId="77777777" w:rsidR="004A7DCA" w:rsidRPr="00860339" w:rsidRDefault="004A7DCA" w:rsidP="004A7DCA">
      <w:pPr>
        <w:pStyle w:val="Normal1"/>
        <w:spacing w:before="240" w:line="240" w:lineRule="auto"/>
        <w:ind w:left="1080"/>
        <w:rPr>
          <w:rFonts w:ascii="Times New Roman" w:eastAsia="Times New Roman" w:hAnsi="Times New Roman" w:cs="Times New Roman"/>
          <w:sz w:val="24"/>
          <w:szCs w:val="24"/>
        </w:rPr>
      </w:pPr>
    </w:p>
    <w:p w14:paraId="7810E3C2" w14:textId="7528BF62" w:rsidR="004A7DCA" w:rsidRPr="00860339" w:rsidRDefault="004A7DCA" w:rsidP="004A7DCA">
      <w:pPr>
        <w:pStyle w:val="Normal1"/>
        <w:spacing w:line="240" w:lineRule="auto"/>
        <w:ind w:left="1440"/>
        <w:rPr>
          <w:rFonts w:ascii="Times New Roman" w:eastAsia="Times New Roman" w:hAnsi="Times New Roman" w:cs="Times New Roman"/>
          <w:b/>
          <w:bCs/>
          <w:i/>
          <w:color w:val="0070C0"/>
          <w:sz w:val="24"/>
          <w:szCs w:val="24"/>
        </w:rPr>
      </w:pPr>
      <w:r w:rsidRPr="00860339">
        <w:rPr>
          <w:rFonts w:ascii="Times New Roman" w:eastAsia="Times New Roman" w:hAnsi="Times New Roman" w:cs="Times New Roman"/>
          <w:b/>
          <w:bCs/>
          <w:i/>
          <w:color w:val="0070C0"/>
          <w:sz w:val="24"/>
          <w:szCs w:val="24"/>
        </w:rPr>
        <w:br/>
      </w:r>
    </w:p>
    <w:p w14:paraId="3AFE84CF" w14:textId="77777777" w:rsidR="004A7DCA" w:rsidRPr="00860339" w:rsidRDefault="004A7DCA" w:rsidP="004A7DCA">
      <w:pPr>
        <w:pStyle w:val="Normal1"/>
        <w:numPr>
          <w:ilvl w:val="1"/>
          <w:numId w:val="44"/>
        </w:numPr>
        <w:spacing w:line="240" w:lineRule="auto"/>
        <w:rPr>
          <w:rFonts w:ascii="Times New Roman" w:eastAsia="Times New Roman" w:hAnsi="Times New Roman" w:cs="Times New Roman"/>
          <w:sz w:val="24"/>
          <w:szCs w:val="24"/>
        </w:rPr>
      </w:pPr>
      <w:r w:rsidRPr="00860339">
        <w:rPr>
          <w:rFonts w:ascii="Times New Roman" w:eastAsia="Times New Roman" w:hAnsi="Times New Roman" w:cs="Times New Roman"/>
          <w:sz w:val="24"/>
          <w:szCs w:val="24"/>
        </w:rPr>
        <w:t>The authors state that “Overall, 13% of participants who were randomized had missing HIV-1 RNA data 6 months post-release” and were lost-to-follow-up (LTFU). The authors go on to state that “Consequently, we were able to maintain the most conservative standard ITT assumption that missingness from participant attrition equals viral non-suppression (missing = failure).” In short, all those who were LTFU in the treatment and control group had the event of interest (viral non-suppression).   Given how the authors handled losses to follow-up, in which direction would the results of this analysis most likely be biased? [2]</w:t>
      </w:r>
    </w:p>
    <w:p w14:paraId="5139D270" w14:textId="77777777" w:rsidR="004A7DCA" w:rsidRPr="00860339" w:rsidRDefault="004A7DCA" w:rsidP="004A7DCA">
      <w:pPr>
        <w:pStyle w:val="Normal1"/>
        <w:spacing w:line="240" w:lineRule="auto"/>
        <w:ind w:left="1440"/>
        <w:rPr>
          <w:rFonts w:ascii="Times New Roman" w:eastAsia="Times New Roman" w:hAnsi="Times New Roman" w:cs="Times New Roman"/>
          <w:sz w:val="24"/>
          <w:szCs w:val="24"/>
        </w:rPr>
      </w:pPr>
    </w:p>
    <w:p w14:paraId="7DB93D4B" w14:textId="77777777" w:rsidR="004A7DCA" w:rsidRDefault="004A7DCA">
      <w:pPr>
        <w:rPr>
          <w:b/>
        </w:rPr>
      </w:pPr>
      <w:r w:rsidRPr="00860339">
        <w:rPr>
          <w:b/>
        </w:rPr>
        <w:br w:type="page"/>
      </w:r>
    </w:p>
    <w:p w14:paraId="42B4CF25" w14:textId="056EAB16" w:rsidR="00420852" w:rsidRPr="00AD3656" w:rsidRDefault="004A7DCA" w:rsidP="004A7DCA">
      <w:pPr>
        <w:rPr>
          <w:b/>
          <w:bCs/>
        </w:rPr>
      </w:pPr>
      <w:r w:rsidRPr="00AD3656">
        <w:rPr>
          <w:b/>
          <w:bCs/>
        </w:rPr>
        <w:lastRenderedPageBreak/>
        <w:t xml:space="preserve">9.  </w:t>
      </w:r>
      <w:r w:rsidR="00AD3656" w:rsidRPr="00AD3656">
        <w:rPr>
          <w:b/>
          <w:bCs/>
        </w:rPr>
        <w:t>Antibiotics and Length of Stay</w:t>
      </w:r>
      <w:r w:rsidR="00AD3656">
        <w:rPr>
          <w:b/>
          <w:bCs/>
        </w:rPr>
        <w:t xml:space="preserve"> </w:t>
      </w:r>
      <w:r w:rsidR="00AD3656">
        <w:rPr>
          <w:rFonts w:ascii="Helvetica Neue" w:eastAsia="Times New Roman" w:hAnsi="Helvetica Neue"/>
          <w:color w:val="333333"/>
        </w:rPr>
        <w:t>[12 points]</w:t>
      </w:r>
    </w:p>
    <w:p w14:paraId="4671621A" w14:textId="2074FA58" w:rsidR="004A7DCA" w:rsidRPr="007000A2" w:rsidRDefault="004A7DCA" w:rsidP="004A7DCA">
      <w:pPr>
        <w:rPr>
          <w:rFonts w:ascii="Helvetica Neue" w:eastAsia="Times New Roman" w:hAnsi="Helvetica Neue"/>
          <w:color w:val="333333"/>
        </w:rPr>
      </w:pPr>
      <w:r w:rsidRPr="007000A2">
        <w:t>Stefan et al</w:t>
      </w:r>
      <w:r>
        <w:fldChar w:fldCharType="begin">
          <w:fldData xml:space="preserve">PEVuZE5vdGU+PENpdGU+PEF1dGhvcj5TdGVmYW48L0F1dGhvcj48WWVhcj4yMDE5PC9ZZWFyPjxS
ZWNOdW0+MTYzMDwvUmVjTnVtPjxEaXNwbGF5VGV4dD4oNik8L0Rpc3BsYXlUZXh0PjxyZWNvcmQ+
PHJlYy1udW1iZXI+MTYzMDwvcmVjLW51bWJlcj48Zm9yZWlnbi1rZXlzPjxrZXkgYXBwPSJFTiIg
ZGItaWQ9InR3NXpzYTlmYnJmNXRvZWV6cGI1dHp3YXR2enZwczU1ZWVldyIgdGltZXN0YW1wPSIx
NTc0NzI1NTIxIj4xNjMwPC9rZXk+PC9mb3JlaWduLWtleXM+PHJlZi10eXBlIG5hbWU9IkpvdXJu
YWwgQXJ0aWNsZSI+MTc8L3JlZi10eXBlPjxjb250cmlidXRvcnM+PGF1dGhvcnM+PGF1dGhvcj5T
dGVmYW4sIE0uIFMuPC9hdXRob3I+PGF1dGhvcj5TaGllaCwgTS4gUy48L2F1dGhvcj48YXV0aG9y
PlNwaXR6ZXIsIEsuIEEuPC9hdXRob3I+PGF1dGhvcj5QZWtvdywgUC4gUy48L2F1dGhvcj48YXV0
aG9yPktyaXNobmFuLCBKLiBBLjwvYXV0aG9yPjxhdXRob3I+QXUsIEQuIEguPC9hdXRob3I+PGF1
dGhvcj5MaW5kZW5hdWVyLCBQLiBLLjwvYXV0aG9yPjwvYXV0aG9ycz48L2NvbnRyaWJ1dG9ycz48
YXV0aC1hZGRyZXNzPkluc3RpdHV0ZSBmb3IgSGVhbHRoY2FyZSBEZWxpdmVyeSBhbmQgUG9wdWxh
dGlvbiBTY2llbmNlLCBVbml2ZXJzaXR5IG9mIE1hc3NhY2h1c2V0dHMgTWVkaWNhbCBTY2hvb2ws
IEJheXN0YXRlLCBTcHJpbmdmaWVsZC4mI3hEO0RlcGFydG1lbnQgb2YgTWVkaWNpbmUsIEJheXN0
YXRlIE1lZGljYWwgQ2VudGVyLCBTcHJpbmdmaWVsZCwgTWFzc2FjaHVzZXR0cy4mI3hEO1NjaG9v
bCBvZiBQdWJsaWMgSGVhbHRoIGFuZCBIZWFsdGggU2NpZW5jZXMsIFVuaXZlcnNpdHkgb2YgTWFz
c2FjaHVzZXR0cywgQW1oZXJzdC4mI3hEO0RpdmlzaW9uIG9mIFB1bG1vbmFyeSwgQ3JpdGljYWwg
Q2FyZSwgU2xlZXAsIGFuZCBBbGxlcmd5LCBVbml2ZXJzaXR5IG9mIElsbGlub2lzLCBDaGljYWdv
LiYjeEQ7VW5pdmVyc2l0eSBvZiBJbGxpbm9pcyBIb3NwaXRhbCAmYW1wOyBIZWFsdGggU2NpZW5j
ZXMgU3lzdGVtLCBDaGljYWdvLiYjeEQ7SGVhbHRoIFNlcnZpY2VzIFJlc2VhcmNoIGFuZCBEZXZl
bG9wbWVudCBTZXJ2aWNlLCBDZW50ZXIgb2YgSW5ub3ZhdGlvbiBmb3IgVmV0ZXJhbi1DZW50ZXJl
ZCBhbmQgVmFsdWUtRHJpdmVuIENhcmUsIFZldGVyYW5zIEFmZmFpcnMgUHVnZXQgU291bmQgSGVh
bHRoIENhcmUgU3lzdGVtLCBTZWF0dGxlLCBXYXNoaW5ndG9uLiYjeEQ7RGl2aXNpb24gb2YgUHVs
bW9uYXJ5LCBDcml0aWNhbCBDYXJlLCBhbmQgU2xlZXAgTWVkaWNpbmUsIFVuaXZlcnNpdHkgb2Yg
V2FzaGluZ3RvbiwgU2VhdHRsZS4mI3hEO0RlcGFydG1lbnQgb2YgUXVhbnRpdGF0aXZlIEhlYWx0
aCBTY2llbmNlLCBVbml2ZXJzaXR5IG9mIE1hc3NhY2h1c2V0dHMgTWVkaWNhbCBTY2hvb2wsIFdv
cmNlc3Rlci48L2F1dGgtYWRkcmVzcz48dGl0bGVzPjx0aXRsZT5Bc3NvY2lhdGlvbiBvZiBBbnRp
YmlvdGljIFRyZWF0bWVudCBXaXRoIE91dGNvbWVzIGluIFBhdGllbnRzIEhvc3BpdGFsaXplZCBm
b3IgYW4gQXN0aG1hIEV4YWNlcmJhdGlvbiBUcmVhdGVkIFdpdGggU3lzdGVtaWMgQ29ydGljb3N0
ZXJvaWRzPC90aXRsZT48c2Vjb25kYXJ5LXRpdGxlPkpBTUEgSW50ZXJuIE1lZDwvc2Vjb25kYXJ5
LXRpdGxlPjwvdGl0bGVzPjxwZXJpb2RpY2FsPjxmdWxsLXRpdGxlPkpBTUEgSW50ZXJuIE1lZDwv
ZnVsbC10aXRsZT48L3BlcmlvZGljYWw+PHBhZ2VzPjMzMy0zMzk8L3BhZ2VzPjx2b2x1bWU+MTc5
PC92b2x1bWU+PG51bWJlcj4zPC9udW1iZXI+PGVkaXRpb24+MjAxOS8wMS8yOTwvZWRpdGlvbj48
ZGF0ZXM+PHllYXI+MjAxOTwveWVhcj48cHViLWRhdGVzPjxkYXRlPk1hciAxPC9kYXRlPjwvcHVi
LWRhdGVzPjwvZGF0ZXM+PGlzYm4+MjE2OC02MTE0IChFbGVjdHJvbmljKSYjeEQ7MjE2OC02MTA2
IChMaW5raW5nKTwvaXNibj48YWNjZXNzaW9uLW51bT4zMDY4ODk4NjwvYWNjZXNzaW9uLW51bT48
dXJscz48cmVsYXRlZC11cmxzPjx1cmw+aHR0cHM6Ly93d3cubmNiaS5ubG0ubmloLmdvdi9wdWJt
ZWQvMzA2ODg5ODY8L3VybD48L3JlbGF0ZWQtdXJscz48L3VybHM+PGN1c3RvbTI+UE1DNjQzOTcw
MjwvY3VzdG9tMj48ZWxlY3Ryb25pYy1yZXNvdXJjZS1udW0+MTAuMTAwMS9qYW1haW50ZXJubWVk
LjIwMTguNTM5NDwvZWxlY3Ryb25pYy1yZXNvdXJjZS1udW0+PC9yZWNvcmQ+PC9DaXRlPjwvRW5k
Tm90ZT5=
</w:fldData>
        </w:fldChar>
      </w:r>
      <w:r>
        <w:instrText xml:space="preserve"> ADDIN EN.CITE </w:instrText>
      </w:r>
      <w:r>
        <w:fldChar w:fldCharType="begin">
          <w:fldData xml:space="preserve">PEVuZE5vdGU+PENpdGU+PEF1dGhvcj5TdGVmYW48L0F1dGhvcj48WWVhcj4yMDE5PC9ZZWFyPjxS
ZWNOdW0+MTYzMDwvUmVjTnVtPjxEaXNwbGF5VGV4dD4oNik8L0Rpc3BsYXlUZXh0PjxyZWNvcmQ+
PHJlYy1udW1iZXI+MTYzMDwvcmVjLW51bWJlcj48Zm9yZWlnbi1rZXlzPjxrZXkgYXBwPSJFTiIg
ZGItaWQ9InR3NXpzYTlmYnJmNXRvZWV6cGI1dHp3YXR2enZwczU1ZWVldyIgdGltZXN0YW1wPSIx
NTc0NzI1NTIxIj4xNjMwPC9rZXk+PC9mb3JlaWduLWtleXM+PHJlZi10eXBlIG5hbWU9IkpvdXJu
YWwgQXJ0aWNsZSI+MTc8L3JlZi10eXBlPjxjb250cmlidXRvcnM+PGF1dGhvcnM+PGF1dGhvcj5T
dGVmYW4sIE0uIFMuPC9hdXRob3I+PGF1dGhvcj5TaGllaCwgTS4gUy48L2F1dGhvcj48YXV0aG9y
PlNwaXR6ZXIsIEsuIEEuPC9hdXRob3I+PGF1dGhvcj5QZWtvdywgUC4gUy48L2F1dGhvcj48YXV0
aG9yPktyaXNobmFuLCBKLiBBLjwvYXV0aG9yPjxhdXRob3I+QXUsIEQuIEguPC9hdXRob3I+PGF1
dGhvcj5MaW5kZW5hdWVyLCBQLiBLLjwvYXV0aG9yPjwvYXV0aG9ycz48L2NvbnRyaWJ1dG9ycz48
YXV0aC1hZGRyZXNzPkluc3RpdHV0ZSBmb3IgSGVhbHRoY2FyZSBEZWxpdmVyeSBhbmQgUG9wdWxh
dGlvbiBTY2llbmNlLCBVbml2ZXJzaXR5IG9mIE1hc3NhY2h1c2V0dHMgTWVkaWNhbCBTY2hvb2ws
IEJheXN0YXRlLCBTcHJpbmdmaWVsZC4mI3hEO0RlcGFydG1lbnQgb2YgTWVkaWNpbmUsIEJheXN0
YXRlIE1lZGljYWwgQ2VudGVyLCBTcHJpbmdmaWVsZCwgTWFzc2FjaHVzZXR0cy4mI3hEO1NjaG9v
bCBvZiBQdWJsaWMgSGVhbHRoIGFuZCBIZWFsdGggU2NpZW5jZXMsIFVuaXZlcnNpdHkgb2YgTWFz
c2FjaHVzZXR0cywgQW1oZXJzdC4mI3hEO0RpdmlzaW9uIG9mIFB1bG1vbmFyeSwgQ3JpdGljYWwg
Q2FyZSwgU2xlZXAsIGFuZCBBbGxlcmd5LCBVbml2ZXJzaXR5IG9mIElsbGlub2lzLCBDaGljYWdv
LiYjeEQ7VW5pdmVyc2l0eSBvZiBJbGxpbm9pcyBIb3NwaXRhbCAmYW1wOyBIZWFsdGggU2NpZW5j
ZXMgU3lzdGVtLCBDaGljYWdvLiYjeEQ7SGVhbHRoIFNlcnZpY2VzIFJlc2VhcmNoIGFuZCBEZXZl
bG9wbWVudCBTZXJ2aWNlLCBDZW50ZXIgb2YgSW5ub3ZhdGlvbiBmb3IgVmV0ZXJhbi1DZW50ZXJl
ZCBhbmQgVmFsdWUtRHJpdmVuIENhcmUsIFZldGVyYW5zIEFmZmFpcnMgUHVnZXQgU291bmQgSGVh
bHRoIENhcmUgU3lzdGVtLCBTZWF0dGxlLCBXYXNoaW5ndG9uLiYjeEQ7RGl2aXNpb24gb2YgUHVs
bW9uYXJ5LCBDcml0aWNhbCBDYXJlLCBhbmQgU2xlZXAgTWVkaWNpbmUsIFVuaXZlcnNpdHkgb2Yg
V2FzaGluZ3RvbiwgU2VhdHRsZS4mI3hEO0RlcGFydG1lbnQgb2YgUXVhbnRpdGF0aXZlIEhlYWx0
aCBTY2llbmNlLCBVbml2ZXJzaXR5IG9mIE1hc3NhY2h1c2V0dHMgTWVkaWNhbCBTY2hvb2wsIFdv
cmNlc3Rlci48L2F1dGgtYWRkcmVzcz48dGl0bGVzPjx0aXRsZT5Bc3NvY2lhdGlvbiBvZiBBbnRp
YmlvdGljIFRyZWF0bWVudCBXaXRoIE91dGNvbWVzIGluIFBhdGllbnRzIEhvc3BpdGFsaXplZCBm
b3IgYW4gQXN0aG1hIEV4YWNlcmJhdGlvbiBUcmVhdGVkIFdpdGggU3lzdGVtaWMgQ29ydGljb3N0
ZXJvaWRzPC90aXRsZT48c2Vjb25kYXJ5LXRpdGxlPkpBTUEgSW50ZXJuIE1lZDwvc2Vjb25kYXJ5
LXRpdGxlPjwvdGl0bGVzPjxwZXJpb2RpY2FsPjxmdWxsLXRpdGxlPkpBTUEgSW50ZXJuIE1lZDwv
ZnVsbC10aXRsZT48L3BlcmlvZGljYWw+PHBhZ2VzPjMzMy0zMzk8L3BhZ2VzPjx2b2x1bWU+MTc5
PC92b2x1bWU+PG51bWJlcj4zPC9udW1iZXI+PGVkaXRpb24+MjAxOS8wMS8yOTwvZWRpdGlvbj48
ZGF0ZXM+PHllYXI+MjAxOTwveWVhcj48cHViLWRhdGVzPjxkYXRlPk1hciAxPC9kYXRlPjwvcHVi
LWRhdGVzPjwvZGF0ZXM+PGlzYm4+MjE2OC02MTE0IChFbGVjdHJvbmljKSYjeEQ7MjE2OC02MTA2
IChMaW5raW5nKTwvaXNibj48YWNjZXNzaW9uLW51bT4zMDY4ODk4NjwvYWNjZXNzaW9uLW51bT48
dXJscz48cmVsYXRlZC11cmxzPjx1cmw+aHR0cHM6Ly93d3cubmNiaS5ubG0ubmloLmdvdi9wdWJt
ZWQvMzA2ODg5ODY8L3VybD48L3JlbGF0ZWQtdXJscz48L3VybHM+PGN1c3RvbTI+UE1DNjQzOTcw
MjwvY3VzdG9tMj48ZWxlY3Ryb25pYy1yZXNvdXJjZS1udW0+MTAuMTAwMS9qYW1haW50ZXJubWVk
LjIwMTguNTM5NDwvZWxlY3Ryb25pYy1yZXNvdXJjZS1udW0+PC9yZWNvcmQ+PC9DaXRlPjwvRW5k
Tm90ZT5=
</w:fldData>
        </w:fldChar>
      </w:r>
      <w:r>
        <w:instrText xml:space="preserve"> ADDIN EN.CITE.DATA </w:instrText>
      </w:r>
      <w:r>
        <w:fldChar w:fldCharType="end"/>
      </w:r>
      <w:r>
        <w:fldChar w:fldCharType="separate"/>
      </w:r>
      <w:r>
        <w:rPr>
          <w:noProof/>
        </w:rPr>
        <w:t>(6)</w:t>
      </w:r>
      <w:r>
        <w:fldChar w:fldCharType="end"/>
      </w:r>
      <w:r w:rsidRPr="007000A2">
        <w:t xml:space="preserve"> performed a retrospective cohort study using the Premier Inpatient Database to study the effect of antibiotic treatment on length of stay and other outcomes among 19,811 patients hospitalized for asthma and treated with systemic steroids.  From the abstract: “</w:t>
      </w:r>
      <w:r w:rsidRPr="007000A2">
        <w:rPr>
          <w:rFonts w:ascii="Helvetica Neue" w:eastAsia="Times New Roman" w:hAnsi="Helvetica Neue"/>
          <w:color w:val="333333"/>
        </w:rPr>
        <w:t xml:space="preserve">Antibiotics were prescribed for 8788 patients (44.4%)…Those treated with antibiotics had a significantly longer hospital stay (median [IQR], 4 [3-5] vs 3 [2-4] days) and a similar rate of treatment failure (5.4% vs 5.8%).” </w:t>
      </w:r>
      <w:r>
        <w:rPr>
          <w:rFonts w:ascii="Helvetica Neue" w:eastAsia="Times New Roman" w:hAnsi="Helvetica Neue"/>
          <w:color w:val="333333"/>
        </w:rPr>
        <w:t>[12 points]</w:t>
      </w:r>
      <w:r w:rsidRPr="007000A2">
        <w:rPr>
          <w:rFonts w:ascii="Helvetica Neue" w:eastAsia="Times New Roman" w:hAnsi="Helvetica Neue"/>
          <w:color w:val="333333"/>
        </w:rPr>
        <w:t xml:space="preserve"> </w:t>
      </w:r>
    </w:p>
    <w:p w14:paraId="06CD6307" w14:textId="77777777" w:rsidR="004A7DCA" w:rsidRPr="007000A2" w:rsidRDefault="004A7DCA" w:rsidP="004A7DCA">
      <w:pPr>
        <w:rPr>
          <w:rFonts w:ascii="Helvetica Neue" w:eastAsia="Times New Roman" w:hAnsi="Helvetica Neue"/>
          <w:color w:val="333333"/>
        </w:rPr>
      </w:pPr>
    </w:p>
    <w:p w14:paraId="105CC662" w14:textId="01A625AA" w:rsidR="004A7DCA" w:rsidRPr="007000A2" w:rsidRDefault="004A7DCA" w:rsidP="004A7DCA">
      <w:pPr>
        <w:pStyle w:val="ListParagraph"/>
        <w:numPr>
          <w:ilvl w:val="0"/>
          <w:numId w:val="45"/>
        </w:numPr>
        <w:rPr>
          <w:rFonts w:eastAsia="Times New Roman"/>
        </w:rPr>
      </w:pPr>
      <w:r w:rsidRPr="007000A2">
        <w:rPr>
          <w:rFonts w:eastAsia="Times New Roman"/>
        </w:rPr>
        <w:t xml:space="preserve"> The authors mentioned that they needed to address confounding by indication.  In what direction would you expect uncontrolled confounding by indication to affect the length of stay results?  Explain.  [3]</w:t>
      </w:r>
      <w:r w:rsidRPr="007000A2">
        <w:rPr>
          <w:rFonts w:eastAsia="Times New Roman"/>
        </w:rPr>
        <w:br/>
      </w:r>
      <w:r w:rsidRPr="007000A2">
        <w:rPr>
          <w:rFonts w:eastAsia="Times New Roman"/>
        </w:rPr>
        <w:br/>
      </w:r>
    </w:p>
    <w:p w14:paraId="523351FA" w14:textId="77777777" w:rsidR="004A7DCA" w:rsidRPr="007000A2" w:rsidRDefault="004A7DCA" w:rsidP="004A7DCA">
      <w:pPr>
        <w:pStyle w:val="ListParagraph"/>
        <w:numPr>
          <w:ilvl w:val="0"/>
          <w:numId w:val="45"/>
        </w:numPr>
        <w:rPr>
          <w:rFonts w:eastAsia="Times New Roman"/>
        </w:rPr>
      </w:pPr>
      <w:r w:rsidRPr="007000A2">
        <w:rPr>
          <w:rFonts w:eastAsia="Times New Roman"/>
        </w:rPr>
        <w:t>The authors used both propensity matching and an instrumental variable approach to dealing with potential confounding by indication.  For the following two statements, indicate whether it is true or false and explain.</w:t>
      </w:r>
      <w:r w:rsidRPr="007000A2">
        <w:rPr>
          <w:rFonts w:eastAsia="Times New Roman"/>
        </w:rPr>
        <w:br/>
      </w:r>
    </w:p>
    <w:p w14:paraId="15DCBC63" w14:textId="5DFFA6D9" w:rsidR="004A7DCA" w:rsidRPr="007000A2" w:rsidRDefault="004A7DCA" w:rsidP="004A7DCA">
      <w:pPr>
        <w:pStyle w:val="ListParagraph"/>
        <w:numPr>
          <w:ilvl w:val="0"/>
          <w:numId w:val="46"/>
        </w:numPr>
        <w:rPr>
          <w:rFonts w:eastAsia="Times New Roman"/>
        </w:rPr>
      </w:pPr>
      <w:r w:rsidRPr="007000A2">
        <w:rPr>
          <w:rFonts w:eastAsia="Times New Roman"/>
        </w:rPr>
        <w:t>Propensity matching involves matching each subject who received antibiotics to another subject who did not receive antibiotics but had a similar probability of the outcome based on measured covariates. [2]</w:t>
      </w:r>
      <w:r w:rsidRPr="007000A2">
        <w:rPr>
          <w:rFonts w:eastAsia="Times New Roman"/>
        </w:rPr>
        <w:br/>
      </w:r>
      <w:r w:rsidRPr="007000A2">
        <w:rPr>
          <w:rFonts w:eastAsia="Times New Roman"/>
        </w:rPr>
        <w:br/>
      </w:r>
    </w:p>
    <w:p w14:paraId="5033F044" w14:textId="77777777" w:rsidR="004A7DCA" w:rsidRPr="007000A2" w:rsidRDefault="004A7DCA" w:rsidP="004A7DCA">
      <w:pPr>
        <w:pStyle w:val="ListParagraph"/>
        <w:numPr>
          <w:ilvl w:val="0"/>
          <w:numId w:val="46"/>
        </w:numPr>
        <w:rPr>
          <w:rFonts w:eastAsia="Times New Roman"/>
        </w:rPr>
      </w:pPr>
      <w:r w:rsidRPr="007000A2">
        <w:rPr>
          <w:rFonts w:eastAsia="Times New Roman"/>
        </w:rPr>
        <w:t xml:space="preserve">In creating the propensity score, one should avoid including predictors known </w:t>
      </w:r>
      <w:r w:rsidRPr="007000A2">
        <w:rPr>
          <w:rFonts w:eastAsia="Times New Roman"/>
          <w:i/>
          <w:iCs/>
        </w:rPr>
        <w:t>not</w:t>
      </w:r>
      <w:r w:rsidRPr="007000A2">
        <w:rPr>
          <w:rFonts w:eastAsia="Times New Roman"/>
        </w:rPr>
        <w:t xml:space="preserve"> to be independently associated with outcome, even if they are strong predictors of exposure.  [2]</w:t>
      </w:r>
    </w:p>
    <w:p w14:paraId="7395336C" w14:textId="77777777" w:rsidR="004A7DCA" w:rsidRPr="007000A2" w:rsidRDefault="004A7DCA" w:rsidP="004A7DCA">
      <w:pPr>
        <w:rPr>
          <w:rFonts w:eastAsia="Times New Roman"/>
        </w:rPr>
      </w:pPr>
    </w:p>
    <w:p w14:paraId="391614EC" w14:textId="27916BE2" w:rsidR="004A7DCA" w:rsidRPr="00AD3656" w:rsidRDefault="004A7DCA" w:rsidP="00AE16CE">
      <w:pPr>
        <w:pStyle w:val="ListParagraph"/>
        <w:numPr>
          <w:ilvl w:val="0"/>
          <w:numId w:val="46"/>
        </w:numPr>
        <w:rPr>
          <w:rFonts w:eastAsia="Times New Roman"/>
        </w:rPr>
      </w:pPr>
      <w:r w:rsidRPr="00AD3656">
        <w:rPr>
          <w:rFonts w:eastAsia="Times New Roman"/>
        </w:rPr>
        <w:t>Variables like those described in part ii above might make good instrumental variables. [2]</w:t>
      </w:r>
      <w:r w:rsidRPr="00AD3656">
        <w:rPr>
          <w:rFonts w:eastAsia="Times New Roman"/>
        </w:rPr>
        <w:br/>
      </w:r>
      <w:r w:rsidRPr="00AD3656">
        <w:rPr>
          <w:rFonts w:eastAsia="Times New Roman"/>
        </w:rPr>
        <w:br/>
      </w:r>
    </w:p>
    <w:p w14:paraId="1F2D8504" w14:textId="77777777" w:rsidR="004A7DCA" w:rsidRPr="007000A2" w:rsidRDefault="004A7DCA" w:rsidP="004A7DCA">
      <w:pPr>
        <w:pStyle w:val="ListParagraph"/>
        <w:numPr>
          <w:ilvl w:val="0"/>
          <w:numId w:val="45"/>
        </w:numPr>
        <w:rPr>
          <w:rFonts w:eastAsia="Times New Roman"/>
        </w:rPr>
      </w:pPr>
      <w:r w:rsidRPr="007000A2">
        <w:rPr>
          <w:rFonts w:eastAsia="Times New Roman"/>
        </w:rPr>
        <w:t>In the methods section, the definition of antibiotic exposure is as follows: “</w:t>
      </w:r>
      <w:r w:rsidRPr="007000A2">
        <w:rPr>
          <w:rFonts w:ascii="Helvetica Neue" w:eastAsia="Times New Roman" w:hAnsi="Helvetica Neue"/>
          <w:color w:val="333333"/>
        </w:rPr>
        <w:t>Early antibiotic treatment was defined as antibiotic therapy initiated during the first 2 days of hospitalization and prescribed for a minimum of 2 days.</w:t>
      </w:r>
      <w:r w:rsidRPr="007000A2">
        <w:rPr>
          <w:rFonts w:eastAsia="Times New Roman"/>
        </w:rPr>
        <w:t>”</w:t>
      </w:r>
      <w:r w:rsidRPr="007000A2">
        <w:rPr>
          <w:rFonts w:eastAsia="Times New Roman"/>
        </w:rPr>
        <w:br/>
      </w:r>
      <w:r w:rsidRPr="007000A2">
        <w:rPr>
          <w:rFonts w:eastAsia="Times New Roman"/>
        </w:rPr>
        <w:br/>
        <w:t>They don’t describe how they determined that the antibiotic was prescribed for a minimum of 2 days, but with most administrative inpatient databases this would be determined by data indicating that the patient received (or at least was billed for) antibiotics on at least the next 2 calendar days after the first dose.  So, if the first dose was on December 1, there would need to be codes indicating antibiotics were given on December 2 and 3.</w:t>
      </w:r>
    </w:p>
    <w:p w14:paraId="3054B7C8" w14:textId="77777777" w:rsidR="004A7DCA" w:rsidRPr="007000A2" w:rsidRDefault="004A7DCA" w:rsidP="004A7DCA">
      <w:pPr>
        <w:pStyle w:val="ListParagraph"/>
        <w:rPr>
          <w:rFonts w:eastAsia="Times New Roman"/>
        </w:rPr>
      </w:pPr>
    </w:p>
    <w:p w14:paraId="3D1B3884" w14:textId="77777777" w:rsidR="004A7DCA" w:rsidRPr="007000A2" w:rsidRDefault="004A7DCA" w:rsidP="004A7DCA">
      <w:pPr>
        <w:pStyle w:val="ListParagraph"/>
        <w:rPr>
          <w:rFonts w:eastAsia="Times New Roman"/>
        </w:rPr>
      </w:pPr>
      <w:r w:rsidRPr="007000A2">
        <w:rPr>
          <w:rFonts w:eastAsia="Times New Roman"/>
        </w:rPr>
        <w:t xml:space="preserve">Assuming this was the case, and recalling that this is an </w:t>
      </w:r>
      <w:r w:rsidRPr="007000A2">
        <w:rPr>
          <w:rFonts w:eastAsia="Times New Roman"/>
          <w:i/>
          <w:iCs/>
        </w:rPr>
        <w:t>inpatient</w:t>
      </w:r>
      <w:r w:rsidRPr="007000A2">
        <w:rPr>
          <w:rFonts w:eastAsia="Times New Roman"/>
        </w:rPr>
        <w:t xml:space="preserve"> database, could this definition of exposure lead to a biased comparison of length of </w:t>
      </w:r>
      <w:r>
        <w:rPr>
          <w:rFonts w:eastAsia="Times New Roman"/>
        </w:rPr>
        <w:t xml:space="preserve">hospital </w:t>
      </w:r>
      <w:r w:rsidRPr="007000A2">
        <w:rPr>
          <w:rFonts w:eastAsia="Times New Roman"/>
        </w:rPr>
        <w:t>stay between antibiotic exposed and unexposed patients?  Explain.</w:t>
      </w:r>
      <w:r>
        <w:rPr>
          <w:rFonts w:eastAsia="Times New Roman"/>
        </w:rPr>
        <w:t xml:space="preserve"> [3]</w:t>
      </w:r>
    </w:p>
    <w:p w14:paraId="36B171E5" w14:textId="2CA17F70" w:rsidR="004A7DCA" w:rsidRPr="002A725B" w:rsidRDefault="004A7DCA" w:rsidP="004A7DCA">
      <w:pPr>
        <w:rPr>
          <w:rFonts w:ascii="Arial" w:hAnsi="Arial" w:cs="Arial"/>
          <w:sz w:val="22"/>
          <w:szCs w:val="22"/>
        </w:rPr>
      </w:pPr>
      <w:r w:rsidRPr="002A725B">
        <w:rPr>
          <w:rFonts w:ascii="Arial" w:hAnsi="Arial" w:cs="Arial"/>
          <w:sz w:val="22"/>
          <w:szCs w:val="22"/>
        </w:rPr>
        <w:lastRenderedPageBreak/>
        <w:t>10</w:t>
      </w:r>
      <w:r w:rsidR="00AD3656">
        <w:rPr>
          <w:rFonts w:ascii="Arial" w:hAnsi="Arial" w:cs="Arial"/>
          <w:sz w:val="22"/>
          <w:szCs w:val="22"/>
        </w:rPr>
        <w:t>.</w:t>
      </w:r>
      <w:r w:rsidRPr="002A725B">
        <w:rPr>
          <w:rFonts w:ascii="Arial" w:hAnsi="Arial" w:cs="Arial"/>
          <w:sz w:val="22"/>
          <w:szCs w:val="22"/>
        </w:rPr>
        <w:t xml:space="preserve"> Vitamin C for Sepsis</w:t>
      </w:r>
      <w:r w:rsidR="00AD3656">
        <w:rPr>
          <w:rFonts w:ascii="Arial" w:hAnsi="Arial" w:cs="Arial"/>
          <w:sz w:val="22"/>
          <w:szCs w:val="22"/>
        </w:rPr>
        <w:t>. [6 points + 2 bonus]</w:t>
      </w:r>
    </w:p>
    <w:p w14:paraId="506B2AD8" w14:textId="77777777" w:rsidR="004A7DCA" w:rsidRPr="002A725B" w:rsidRDefault="004A7DCA" w:rsidP="004A7DCA">
      <w:pPr>
        <w:rPr>
          <w:rFonts w:ascii="Arial" w:hAnsi="Arial" w:cs="Arial"/>
          <w:sz w:val="22"/>
          <w:szCs w:val="22"/>
        </w:rPr>
      </w:pPr>
    </w:p>
    <w:p w14:paraId="3A577357" w14:textId="25C4281A" w:rsidR="004A7DCA" w:rsidRPr="002A725B" w:rsidRDefault="004A7DCA" w:rsidP="004A7DCA">
      <w:pPr>
        <w:rPr>
          <w:rFonts w:ascii="Arial" w:hAnsi="Arial" w:cs="Arial"/>
          <w:sz w:val="22"/>
          <w:szCs w:val="22"/>
        </w:rPr>
      </w:pPr>
      <w:r w:rsidRPr="002A725B">
        <w:rPr>
          <w:rFonts w:ascii="Arial" w:hAnsi="Arial" w:cs="Arial"/>
          <w:sz w:val="22"/>
          <w:szCs w:val="22"/>
        </w:rPr>
        <w:t>Experimental data suggest that intravenous vitamin C might reduce the inflammation and vascular injury associated with sepsis.  The CITRIS-ALI</w:t>
      </w:r>
      <w:r>
        <w:rPr>
          <w:rFonts w:ascii="Arial" w:hAnsi="Arial" w:cs="Arial"/>
          <w:sz w:val="22"/>
          <w:szCs w:val="22"/>
        </w:rPr>
        <w:t xml:space="preserve"> trial, published last month in JAMA, was a</w:t>
      </w:r>
      <w:r w:rsidRPr="002A725B">
        <w:rPr>
          <w:rFonts w:ascii="Arial" w:hAnsi="Arial" w:cs="Arial"/>
          <w:sz w:val="22"/>
          <w:szCs w:val="22"/>
        </w:rPr>
        <w:t xml:space="preserve"> randomized double-blind trial </w:t>
      </w:r>
      <w:r>
        <w:rPr>
          <w:rFonts w:ascii="Arial" w:hAnsi="Arial" w:cs="Arial"/>
          <w:sz w:val="22"/>
          <w:szCs w:val="22"/>
        </w:rPr>
        <w:t xml:space="preserve">that </w:t>
      </w:r>
      <w:r w:rsidRPr="002A725B">
        <w:rPr>
          <w:rFonts w:ascii="Arial" w:hAnsi="Arial" w:cs="Arial"/>
          <w:sz w:val="22"/>
          <w:szCs w:val="22"/>
        </w:rPr>
        <w:t>compared the effects of intravenous Vitamin C with placebo in 167 patients with sepsis and acute</w:t>
      </w:r>
      <w:r>
        <w:rPr>
          <w:rFonts w:ascii="Arial" w:hAnsi="Arial" w:cs="Arial"/>
          <w:sz w:val="22"/>
          <w:szCs w:val="22"/>
        </w:rPr>
        <w:t xml:space="preserve"> respiratory distress syndrome (ARDS)</w:t>
      </w:r>
      <w:r w:rsidRPr="002A725B">
        <w:rPr>
          <w:rFonts w:ascii="Arial" w:hAnsi="Arial" w:cs="Arial"/>
          <w:sz w:val="22"/>
          <w:szCs w:val="22"/>
        </w:rPr>
        <w:t>.</w:t>
      </w:r>
      <w:r>
        <w:rPr>
          <w:rFonts w:ascii="Arial" w:hAnsi="Arial" w:cs="Arial"/>
          <w:sz w:val="22"/>
          <w:szCs w:val="22"/>
        </w:rPr>
        <w:fldChar w:fldCharType="begin">
          <w:fldData xml:space="preserve">PEVuZE5vdGU+PENpdGU+PEF1dGhvcj5Gb3dsZXI8L0F1dGhvcj48WWVhcj4yMDE5PC9ZZWFyPjxS
ZWNOdW0+MTYyNjwvUmVjTnVtPjxEaXNwbGF5VGV4dD4oNyk8L0Rpc3BsYXlUZXh0PjxyZWNvcmQ+
PHJlYy1udW1iZXI+MTYyNjwvcmVjLW51bWJlcj48Zm9yZWlnbi1rZXlzPjxrZXkgYXBwPSJFTiIg
ZGItaWQ9InR3NXpzYTlmYnJmNXRvZWV6cGI1dHp3YXR2enZwczU1ZWVldyIgdGltZXN0YW1wPSIx
NTc0NjI1MTE5Ij4xNjI2PC9rZXk+PC9mb3JlaWduLWtleXM+PHJlZi10eXBlIG5hbWU9IkpvdXJu
YWwgQXJ0aWNsZSI+MTc8L3JlZi10eXBlPjxjb250cmlidXRvcnM+PGF1dGhvcnM+PGF1dGhvcj5G
b3dsZXIsIEEuIEEuLCAzcmQ8L2F1dGhvcj48YXV0aG9yPlRydXdpdCwgSi4gRC48L2F1dGhvcj48
YXV0aG9yPkhpdGUsIFIuIEQuPC9hdXRob3I+PGF1dGhvcj5Nb3JyaXMsIFAuIEUuPC9hdXRob3I+
PGF1dGhvcj5EZVdpbGRlLCBDLjwvYXV0aG9yPjxhdXRob3I+UHJpZGF5LCBBLjwvYXV0aG9yPjxh
dXRob3I+RmlzaGVyLCBCLjwvYXV0aG9yPjxhdXRob3I+VGhhY2tlciwgTC4gUi4sIDJuZDwvYXV0
aG9yPjxhdXRob3I+TmF0YXJhamFuLCBSLjwvYXV0aG9yPjxhdXRob3I+QnJvcGh5LCBELiBGLjwv
YXV0aG9yPjxhdXRob3I+U2N1bHRob3JwZSwgUi48L2F1dGhvcj48YXV0aG9yPk5hbmNoYWwsIFIu
PC9hdXRob3I+PGF1dGhvcj5TeWVkLCBBLjwvYXV0aG9yPjxhdXRob3I+U3R1cmdpbGwsIEouPC9h
dXRob3I+PGF1dGhvcj5NYXJ0aW4sIEcuIFMuPC9hdXRob3I+PGF1dGhvcj5TZXZyYW5za3ksIEou
PC9hdXRob3I+PGF1dGhvcj5LYXNoaW91cmlzLCBNLjwvYXV0aG9yPjxhdXRob3I+SGFtbWFuLCBT
LjwvYXV0aG9yPjxhdXRob3I+RWdhbiwgSy4gRi48L2F1dGhvcj48YXV0aG9yPkhhc3RpbmdzLCBB
LjwvYXV0aG9yPjxhdXRob3I+U3BlbmNlciwgVy48L2F1dGhvcj48YXV0aG9yPlRlbmNoLCBTLjwv
YXV0aG9yPjxhdXRob3I+TWVoa3JpLCBPLjwvYXV0aG9yPjxhdXRob3I+QmluZGFzLCBKLjwvYXV0
aG9yPjxhdXRob3I+RHVnZ2FsLCBBLjwvYXV0aG9yPjxhdXRob3I+R3JhZiwgSi48L2F1dGhvcj48
YXV0aG9yPlplbGxuZXIsIFMuPC9hdXRob3I+PGF1dGhvcj5ZYW5ueSwgTC48L2F1dGhvcj48YXV0
aG9yPk1jUG9saW4sIEMuPC9hdXRob3I+PGF1dGhvcj5Ib2xscml0aCwgVC48L2F1dGhvcj48YXV0
aG9yPktyYW1lciwgRC48L2F1dGhvcj48YXV0aG9yPk9qaWVsbywgQy48L2F1dGhvcj48YXV0aG9y
PkRhbW0sIFQuPC9hdXRob3I+PGF1dGhvcj5DYXNzaXR5LCBFLjwvYXV0aG9yPjxhdXRob3I+V2ll
bGljemtvLCBBLjwvYXV0aG9yPjxhdXRob3I+SGFscXVpc3QsIE0uPC9hdXRob3I+PC9hdXRob3Jz
PjwvY29udHJpYnV0b3JzPjxhdXRoLWFkZHJlc3M+VmlyZ2luaWEgQ29tbW9ud2VhbHRoIFVuaXZl
cnNpdHksIFJpY2htb25kLiYjeEQ7RnJvZWR0ZXJ0IEhvc3BpdGFsIGFuZCB0aGUgTWVkaWNhbCBD
b2xsZWdlIG9mIFdpc2NvbnNpbiwgTWlsd2F1a2VlLiYjeEQ7Q2xldmVsYW5kIENsaW5pYywgQ2xl
dmVsYW5kLCBPaGlvLiYjeEQ7VW5pdmVyc2l0eSBvZiBLZW50dWNreSwgTGV4aW5ndG9uLiYjeEQ7
RW1vcnkgVW5pdmVyc2l0eSwgQXRsYW50YSwgR2VvcmdpYS4mI3hEO0ZhaXJ2aWV3IEhvc3BpdGFs
LCBDbGV2ZWxhbmQsIE9oaW8uJiN4RDtBdXJvcmEgU3QuIEx1a2UmYXBvcztzIE1lZGljYWwgQ2Vu
dGVyLCBNaWx3YXVrZWUsIFdpc2NvbnNpbi48L2F1dGgtYWRkcmVzcz48dGl0bGVzPjx0aXRsZT5F
ZmZlY3Qgb2YgVml0YW1pbiBDIEluZnVzaW9uIG9uIE9yZ2FuIEZhaWx1cmUgYW5kIEJpb21hcmtl
cnMgb2YgSW5mbGFtbWF0aW9uIGFuZCBWYXNjdWxhciBJbmp1cnkgaW4gUGF0aWVudHMgV2l0aCBT
ZXBzaXMgYW5kIFNldmVyZSBBY3V0ZSBSZXNwaXJhdG9yeSBGYWlsdXJlOiBUaGUgQ0lUUklTLUFM
SSBSYW5kb21pemVkIENsaW5pY2FsIFRyaWFsPC90aXRsZT48c2Vjb25kYXJ5LXRpdGxlPkpBTUE8
L3NlY29uZGFyeS10aXRsZT48L3RpdGxlcz48cGVyaW9kaWNhbD48ZnVsbC10aXRsZT5KQU1BPC9m
dWxsLXRpdGxlPjwvcGVyaW9kaWNhbD48cGFnZXM+MTI2MS0xMjcwPC9wYWdlcz48dm9sdW1lPjMy
Mjwvdm9sdW1lPjxudW1iZXI+MTM8L251bWJlcj48ZWRpdGlvbj4yMDE5LzEwLzAyPC9lZGl0aW9u
PjxrZXl3b3Jkcz48a2V5d29yZD5BZHVsdDwva2V5d29yZD48a2V5d29yZD5BZ2VkPC9rZXl3b3Jk
PjxrZXl3b3JkPkFzY29yYmljIEFjaWQvKmFkbWluaXN0cmF0aW9uICZhbXA7IGRvc2FnZS90aGVy
YXBldXRpYyB1c2U8L2tleXdvcmQ+PGtleXdvcmQ+QmlvbWFya2Vycy9ibG9vZDwva2V5d29yZD48
a2V5d29yZD5DLVJlYWN0aXZlIFByb3RlaW4vYW5hbHlzaXM8L2tleXdvcmQ+PGtleXdvcmQ+RG91
YmxlLUJsaW5kIE1ldGhvZDwva2V5d29yZD48a2V5d29yZD5GZW1hbGU8L2tleXdvcmQ+PGtleXdv
cmQ+SHVtYW5zPC9rZXl3b3JkPjxrZXl3b3JkPkluZnVzaW9ucywgSW50cmF2ZW5vdXM8L2tleXdv
cmQ+PGtleXdvcmQ+SW50ZW5zaXZlIENhcmUgVW5pdHM8L2tleXdvcmQ+PGtleXdvcmQ+TWFsZTwv
a2V5d29yZD48a2V5d29yZD5NaWRkbGUgQWdlZDwva2V5d29yZD48a2V5d29yZD5NdWx0aXBsZSBP
cmdhbiBGYWlsdXJlL2V0aW9sb2d5LypwcmV2ZW50aW9uICZhbXA7IGNvbnRyb2w8L2tleXdvcmQ+
PGtleXdvcmQ+T3JnYW4gRHlzZnVuY3Rpb24gU2NvcmVzPC9rZXl3b3JkPjxrZXl3b3JkPlJlc3Bp
cmF0b3J5IERpc3RyZXNzIFN5bmRyb21lLCBBZHVsdC9jb21wbGljYXRpb25zLypkcnVnIHRoZXJh
cHkvbW9ydGFsaXR5PC9rZXl3b3JkPjxrZXl3b3JkPlNlcHNpcy9jb21wbGljYXRpb25zLypkcnVn
IHRoZXJhcHkvbW9ydGFsaXR5PC9rZXl3b3JkPjxrZXl3b3JkPlRocm9tYm9tb2R1bGluL2Jsb29k
PC9rZXl3b3JkPjxrZXl3b3JkPlZpdGFtaW5zLyphZG1pbmlzdHJhdGlvbiAmYW1wOyBkb3NhZ2Uv
dGhlcmFwZXV0aWMgdXNlPC9rZXl3b3JkPjwva2V5d29yZHM+PGRhdGVzPjx5ZWFyPjIwMTk8L3ll
YXI+PHB1Yi1kYXRlcz48ZGF0ZT5PY3QgMTwvZGF0ZT48L3B1Yi1kYXRlcz48L2RhdGVzPjxpc2Ju
PjE1MzgtMzU5OCAoRWxlY3Ryb25pYykmI3hEOzAwOTgtNzQ4NCAoTGlua2luZyk8L2lzYm4+PGFj
Y2Vzc2lvbi1udW0+MzE1NzM2Mzc8L2FjY2Vzc2lvbi1udW0+PHVybHM+PHJlbGF0ZWQtdXJscz48
dXJsPmh0dHBzOi8vd3d3Lm5jYmkubmxtLm5paC5nb3YvcHVibWVkLzMxNTczNjM3PC91cmw+PC9y
ZWxhdGVkLXVybHM+PC91cmxzPjxjdXN0b20yPlBNQzY3NzcyNjg8L2N1c3RvbTI+PGVsZWN0cm9u
aWMtcmVzb3VyY2UtbnVtPjEwLjEwMDEvamFtYS4yMDE5LjExODI1PC9lbGVjdHJvbmljLXJlc291
cmNlLW51bT48L3JlY29yZD48L0NpdGU+PC9FbmROb3RlPgB=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PEVuZE5vdGU+PENpdGU+PEF1dGhvcj5Gb3dsZXI8L0F1dGhvcj48WWVhcj4yMDE5PC9ZZWFyPjxS
ZWNOdW0+MTYyNjwvUmVjTnVtPjxEaXNwbGF5VGV4dD4oNyk8L0Rpc3BsYXlUZXh0PjxyZWNvcmQ+
PHJlYy1udW1iZXI+MTYyNjwvcmVjLW51bWJlcj48Zm9yZWlnbi1rZXlzPjxrZXkgYXBwPSJFTiIg
ZGItaWQ9InR3NXpzYTlmYnJmNXRvZWV6cGI1dHp3YXR2enZwczU1ZWVldyIgdGltZXN0YW1wPSIx
NTc0NjI1MTE5Ij4xNjI2PC9rZXk+PC9mb3JlaWduLWtleXM+PHJlZi10eXBlIG5hbWU9IkpvdXJu
YWwgQXJ0aWNsZSI+MTc8L3JlZi10eXBlPjxjb250cmlidXRvcnM+PGF1dGhvcnM+PGF1dGhvcj5G
b3dsZXIsIEEuIEEuLCAzcmQ8L2F1dGhvcj48YXV0aG9yPlRydXdpdCwgSi4gRC48L2F1dGhvcj48
YXV0aG9yPkhpdGUsIFIuIEQuPC9hdXRob3I+PGF1dGhvcj5Nb3JyaXMsIFAuIEUuPC9hdXRob3I+
PGF1dGhvcj5EZVdpbGRlLCBDLjwvYXV0aG9yPjxhdXRob3I+UHJpZGF5LCBBLjwvYXV0aG9yPjxh
dXRob3I+RmlzaGVyLCBCLjwvYXV0aG9yPjxhdXRob3I+VGhhY2tlciwgTC4gUi4sIDJuZDwvYXV0
aG9yPjxhdXRob3I+TmF0YXJhamFuLCBSLjwvYXV0aG9yPjxhdXRob3I+QnJvcGh5LCBELiBGLjwv
YXV0aG9yPjxhdXRob3I+U2N1bHRob3JwZSwgUi48L2F1dGhvcj48YXV0aG9yPk5hbmNoYWwsIFIu
PC9hdXRob3I+PGF1dGhvcj5TeWVkLCBBLjwvYXV0aG9yPjxhdXRob3I+U3R1cmdpbGwsIEouPC9h
dXRob3I+PGF1dGhvcj5NYXJ0aW4sIEcuIFMuPC9hdXRob3I+PGF1dGhvcj5TZXZyYW5za3ksIEou
PC9hdXRob3I+PGF1dGhvcj5LYXNoaW91cmlzLCBNLjwvYXV0aG9yPjxhdXRob3I+SGFtbWFuLCBT
LjwvYXV0aG9yPjxhdXRob3I+RWdhbiwgSy4gRi48L2F1dGhvcj48YXV0aG9yPkhhc3RpbmdzLCBB
LjwvYXV0aG9yPjxhdXRob3I+U3BlbmNlciwgVy48L2F1dGhvcj48YXV0aG9yPlRlbmNoLCBTLjwv
YXV0aG9yPjxhdXRob3I+TWVoa3JpLCBPLjwvYXV0aG9yPjxhdXRob3I+QmluZGFzLCBKLjwvYXV0
aG9yPjxhdXRob3I+RHVnZ2FsLCBBLjwvYXV0aG9yPjxhdXRob3I+R3JhZiwgSi48L2F1dGhvcj48
YXV0aG9yPlplbGxuZXIsIFMuPC9hdXRob3I+PGF1dGhvcj5ZYW5ueSwgTC48L2F1dGhvcj48YXV0
aG9yPk1jUG9saW4sIEMuPC9hdXRob3I+PGF1dGhvcj5Ib2xscml0aCwgVC48L2F1dGhvcj48YXV0
aG9yPktyYW1lciwgRC48L2F1dGhvcj48YXV0aG9yPk9qaWVsbywgQy48L2F1dGhvcj48YXV0aG9y
PkRhbW0sIFQuPC9hdXRob3I+PGF1dGhvcj5DYXNzaXR5LCBFLjwvYXV0aG9yPjxhdXRob3I+V2ll
bGljemtvLCBBLjwvYXV0aG9yPjxhdXRob3I+SGFscXVpc3QsIE0uPC9hdXRob3I+PC9hdXRob3Jz
PjwvY29udHJpYnV0b3JzPjxhdXRoLWFkZHJlc3M+VmlyZ2luaWEgQ29tbW9ud2VhbHRoIFVuaXZl
cnNpdHksIFJpY2htb25kLiYjeEQ7RnJvZWR0ZXJ0IEhvc3BpdGFsIGFuZCB0aGUgTWVkaWNhbCBD
b2xsZWdlIG9mIFdpc2NvbnNpbiwgTWlsd2F1a2VlLiYjeEQ7Q2xldmVsYW5kIENsaW5pYywgQ2xl
dmVsYW5kLCBPaGlvLiYjeEQ7VW5pdmVyc2l0eSBvZiBLZW50dWNreSwgTGV4aW5ndG9uLiYjeEQ7
RW1vcnkgVW5pdmVyc2l0eSwgQXRsYW50YSwgR2VvcmdpYS4mI3hEO0ZhaXJ2aWV3IEhvc3BpdGFs
LCBDbGV2ZWxhbmQsIE9oaW8uJiN4RDtBdXJvcmEgU3QuIEx1a2UmYXBvcztzIE1lZGljYWwgQ2Vu
dGVyLCBNaWx3YXVrZWUsIFdpc2NvbnNpbi48L2F1dGgtYWRkcmVzcz48dGl0bGVzPjx0aXRsZT5F
ZmZlY3Qgb2YgVml0YW1pbiBDIEluZnVzaW9uIG9uIE9yZ2FuIEZhaWx1cmUgYW5kIEJpb21hcmtl
cnMgb2YgSW5mbGFtbWF0aW9uIGFuZCBWYXNjdWxhciBJbmp1cnkgaW4gUGF0aWVudHMgV2l0aCBT
ZXBzaXMgYW5kIFNldmVyZSBBY3V0ZSBSZXNwaXJhdG9yeSBGYWlsdXJlOiBUaGUgQ0lUUklTLUFM
SSBSYW5kb21pemVkIENsaW5pY2FsIFRyaWFsPC90aXRsZT48c2Vjb25kYXJ5LXRpdGxlPkpBTUE8
L3NlY29uZGFyeS10aXRsZT48L3RpdGxlcz48cGVyaW9kaWNhbD48ZnVsbC10aXRsZT5KQU1BPC9m
dWxsLXRpdGxlPjwvcGVyaW9kaWNhbD48cGFnZXM+MTI2MS0xMjcwPC9wYWdlcz48dm9sdW1lPjMy
Mjwvdm9sdW1lPjxudW1iZXI+MTM8L251bWJlcj48ZWRpdGlvbj4yMDE5LzEwLzAyPC9lZGl0aW9u
PjxrZXl3b3Jkcz48a2V5d29yZD5BZHVsdDwva2V5d29yZD48a2V5d29yZD5BZ2VkPC9rZXl3b3Jk
PjxrZXl3b3JkPkFzY29yYmljIEFjaWQvKmFkbWluaXN0cmF0aW9uICZhbXA7IGRvc2FnZS90aGVy
YXBldXRpYyB1c2U8L2tleXdvcmQ+PGtleXdvcmQ+QmlvbWFya2Vycy9ibG9vZDwva2V5d29yZD48
a2V5d29yZD5DLVJlYWN0aXZlIFByb3RlaW4vYW5hbHlzaXM8L2tleXdvcmQ+PGtleXdvcmQ+RG91
YmxlLUJsaW5kIE1ldGhvZDwva2V5d29yZD48a2V5d29yZD5GZW1hbGU8L2tleXdvcmQ+PGtleXdv
cmQ+SHVtYW5zPC9rZXl3b3JkPjxrZXl3b3JkPkluZnVzaW9ucywgSW50cmF2ZW5vdXM8L2tleXdv
cmQ+PGtleXdvcmQ+SW50ZW5zaXZlIENhcmUgVW5pdHM8L2tleXdvcmQ+PGtleXdvcmQ+TWFsZTwv
a2V5d29yZD48a2V5d29yZD5NaWRkbGUgQWdlZDwva2V5d29yZD48a2V5d29yZD5NdWx0aXBsZSBP
cmdhbiBGYWlsdXJlL2V0aW9sb2d5LypwcmV2ZW50aW9uICZhbXA7IGNvbnRyb2w8L2tleXdvcmQ+
PGtleXdvcmQ+T3JnYW4gRHlzZnVuY3Rpb24gU2NvcmVzPC9rZXl3b3JkPjxrZXl3b3JkPlJlc3Bp
cmF0b3J5IERpc3RyZXNzIFN5bmRyb21lLCBBZHVsdC9jb21wbGljYXRpb25zLypkcnVnIHRoZXJh
cHkvbW9ydGFsaXR5PC9rZXl3b3JkPjxrZXl3b3JkPlNlcHNpcy9jb21wbGljYXRpb25zLypkcnVn
IHRoZXJhcHkvbW9ydGFsaXR5PC9rZXl3b3JkPjxrZXl3b3JkPlRocm9tYm9tb2R1bGluL2Jsb29k
PC9rZXl3b3JkPjxrZXl3b3JkPlZpdGFtaW5zLyphZG1pbmlzdHJhdGlvbiAmYW1wOyBkb3NhZ2Uv
dGhlcmFwZXV0aWMgdXNlPC9rZXl3b3JkPjwva2V5d29yZHM+PGRhdGVzPjx5ZWFyPjIwMTk8L3ll
YXI+PHB1Yi1kYXRlcz48ZGF0ZT5PY3QgMTwvZGF0ZT48L3B1Yi1kYXRlcz48L2RhdGVzPjxpc2Ju
PjE1MzgtMzU5OCAoRWxlY3Ryb25pYykmI3hEOzAwOTgtNzQ4NCAoTGlua2luZyk8L2lzYm4+PGFj
Y2Vzc2lvbi1udW0+MzE1NzM2Mzc8L2FjY2Vzc2lvbi1udW0+PHVybHM+PHJlbGF0ZWQtdXJscz48
dXJsPmh0dHBzOi8vd3d3Lm5jYmkubmxtLm5paC5nb3YvcHVibWVkLzMxNTczNjM3PC91cmw+PC9y
ZWxhdGVkLXVybHM+PC91cmxzPjxjdXN0b20yPlBNQzY3NzcyNjg8L2N1c3RvbTI+PGVsZWN0cm9u
aWMtcmVzb3VyY2UtbnVtPjEwLjEwMDEvamFtYS4yMDE5LjExODI1PC9lbGVjdHJvbmljLXJlc291
cmNlLW51bT48L3JlY29yZD48L0NpdGU+PC9FbmROb3RlPgB=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(7)</w:t>
      </w:r>
      <w:r>
        <w:rPr>
          <w:rFonts w:ascii="Arial" w:hAnsi="Arial" w:cs="Arial"/>
          <w:sz w:val="22"/>
          <w:szCs w:val="22"/>
        </w:rPr>
        <w:fldChar w:fldCharType="end"/>
      </w:r>
      <w:r w:rsidRPr="002A725B">
        <w:rPr>
          <w:rFonts w:ascii="Arial" w:hAnsi="Arial" w:cs="Arial"/>
          <w:sz w:val="22"/>
          <w:szCs w:val="22"/>
        </w:rPr>
        <w:t>. The primary outcomes were change in an organ failure score and plasma biomarkers of inflammation and vascular injury.</w:t>
      </w:r>
      <w:r>
        <w:rPr>
          <w:rFonts w:ascii="Arial" w:hAnsi="Arial" w:cs="Arial"/>
          <w:sz w:val="22"/>
          <w:szCs w:val="22"/>
        </w:rPr>
        <w:t xml:space="preserve"> </w:t>
      </w:r>
    </w:p>
    <w:p w14:paraId="47F0A666" w14:textId="77777777" w:rsidR="004A7DCA" w:rsidRPr="002A725B" w:rsidRDefault="004A7DCA" w:rsidP="004A7DCA">
      <w:pPr>
        <w:rPr>
          <w:rFonts w:ascii="Arial" w:hAnsi="Arial" w:cs="Arial"/>
          <w:sz w:val="22"/>
          <w:szCs w:val="22"/>
        </w:rPr>
      </w:pPr>
    </w:p>
    <w:p w14:paraId="762C7011" w14:textId="77777777" w:rsidR="004A7DCA" w:rsidRPr="002A725B" w:rsidRDefault="004A7DCA" w:rsidP="004A7DCA">
      <w:pPr>
        <w:rPr>
          <w:rFonts w:ascii="Arial" w:eastAsia="Times New Roman" w:hAnsi="Arial" w:cs="Arial"/>
          <w:color w:val="333333"/>
          <w:sz w:val="22"/>
          <w:szCs w:val="22"/>
        </w:rPr>
      </w:pPr>
      <w:r w:rsidRPr="002A725B">
        <w:rPr>
          <w:rFonts w:eastAsia="Times New Roman"/>
          <w:noProof/>
        </w:rPr>
        <w:drawing>
          <wp:anchor distT="0" distB="0" distL="114300" distR="114300" simplePos="0" relativeHeight="251669504" behindDoc="1" locked="0" layoutInCell="1" allowOverlap="1" wp14:anchorId="0737B363" wp14:editId="7EE98247">
            <wp:simplePos x="0" y="0"/>
            <wp:positionH relativeFrom="column">
              <wp:posOffset>2317750</wp:posOffset>
            </wp:positionH>
            <wp:positionV relativeFrom="paragraph">
              <wp:posOffset>125095</wp:posOffset>
            </wp:positionV>
            <wp:extent cx="3702050" cy="2858014"/>
            <wp:effectExtent l="0" t="0" r="0" b="0"/>
            <wp:wrapTight wrapText="bothSides">
              <wp:wrapPolygon edited="0">
                <wp:start x="0" y="0"/>
                <wp:lineTo x="0" y="21504"/>
                <wp:lineTo x="21489" y="21504"/>
                <wp:lineTo x="21489" y="0"/>
                <wp:lineTo x="0" y="0"/>
              </wp:wrapPolygon>
            </wp:wrapTight>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2050" cy="2858014"/>
                    </a:xfrm>
                    <a:prstGeom prst="rect">
                      <a:avLst/>
                    </a:prstGeom>
                  </pic:spPr>
                </pic:pic>
              </a:graphicData>
            </a:graphic>
            <wp14:sizeRelH relativeFrom="page">
              <wp14:pctWidth>0</wp14:pctWidth>
            </wp14:sizeRelH>
            <wp14:sizeRelV relativeFrom="page">
              <wp14:pctHeight>0</wp14:pctHeight>
            </wp14:sizeRelV>
          </wp:anchor>
        </w:drawing>
      </w:r>
      <w:r w:rsidRPr="002A725B">
        <w:rPr>
          <w:rFonts w:ascii="Arial" w:hAnsi="Arial" w:cs="Arial"/>
          <w:sz w:val="22"/>
          <w:szCs w:val="22"/>
        </w:rPr>
        <w:t xml:space="preserve">The conclusions in the study abstract were: </w:t>
      </w:r>
      <w:r w:rsidRPr="002A725B">
        <w:rPr>
          <w:rFonts w:ascii="Times" w:hAnsi="Times" w:cs="Times"/>
          <w:sz w:val="22"/>
          <w:szCs w:val="22"/>
        </w:rPr>
        <w:t>“</w:t>
      </w:r>
      <w:r w:rsidRPr="002A725B">
        <w:rPr>
          <w:rFonts w:ascii="Times" w:eastAsia="Times New Roman" w:hAnsi="Times" w:cs="Times"/>
          <w:color w:val="333333"/>
          <w:sz w:val="22"/>
          <w:szCs w:val="22"/>
        </w:rPr>
        <w:t>In this preliminary study of patients with sepsis and ARDS, a 96-hour infusion of vitamin C compared with placebo did not significantly improve organ dysfunction scores or alter markers of inflammation and vascular injury. Further research is needed to evaluate the potential role of vitamin C for other outcomes in sepsis and ARDS.”</w:t>
      </w:r>
    </w:p>
    <w:p w14:paraId="21D4344A" w14:textId="77777777" w:rsidR="004A7DCA" w:rsidRPr="002A725B" w:rsidRDefault="004A7DCA" w:rsidP="004A7DCA">
      <w:pPr>
        <w:rPr>
          <w:rFonts w:ascii="Arial" w:eastAsia="Times New Roman" w:hAnsi="Arial" w:cs="Arial"/>
          <w:color w:val="333333"/>
          <w:sz w:val="22"/>
          <w:szCs w:val="22"/>
        </w:rPr>
      </w:pPr>
    </w:p>
    <w:p w14:paraId="64E6B4F3" w14:textId="77777777" w:rsidR="004A7DCA" w:rsidRPr="00430D89" w:rsidRDefault="004A7DCA" w:rsidP="004A7DCA">
      <w:pPr>
        <w:rPr>
          <w:rFonts w:ascii="Arial" w:eastAsia="Times New Roman" w:hAnsi="Arial" w:cs="Arial"/>
          <w:color w:val="333333"/>
          <w:sz w:val="22"/>
          <w:szCs w:val="22"/>
        </w:rPr>
      </w:pPr>
      <w:r w:rsidRPr="002A725B">
        <w:rPr>
          <w:rFonts w:ascii="Arial" w:eastAsia="Times New Roman" w:hAnsi="Arial" w:cs="Arial"/>
          <w:color w:val="333333"/>
          <w:sz w:val="22"/>
          <w:szCs w:val="22"/>
        </w:rPr>
        <w:t xml:space="preserve">Not mentioned in the abstract was an interesting </w:t>
      </w:r>
      <w:r>
        <w:rPr>
          <w:rFonts w:ascii="Arial" w:eastAsia="Times New Roman" w:hAnsi="Arial" w:cs="Arial"/>
          <w:color w:val="333333"/>
          <w:sz w:val="22"/>
          <w:szCs w:val="22"/>
        </w:rPr>
        <w:t xml:space="preserve">statistically significant </w:t>
      </w:r>
      <w:r w:rsidRPr="002A725B">
        <w:rPr>
          <w:rFonts w:ascii="Arial" w:eastAsia="Times New Roman" w:hAnsi="Arial" w:cs="Arial"/>
          <w:color w:val="333333"/>
          <w:sz w:val="22"/>
          <w:szCs w:val="22"/>
        </w:rPr>
        <w:t>result on all-cause mortality, one of the</w:t>
      </w:r>
      <w:r>
        <w:rPr>
          <w:rFonts w:ascii="Arial" w:eastAsia="Times New Roman" w:hAnsi="Arial" w:cs="Arial"/>
          <w:color w:val="333333"/>
          <w:sz w:val="22"/>
          <w:szCs w:val="22"/>
        </w:rPr>
        <w:t>ir</w:t>
      </w:r>
      <w:r w:rsidRPr="002A725B">
        <w:rPr>
          <w:rFonts w:ascii="Arial" w:eastAsia="Times New Roman" w:hAnsi="Arial" w:cs="Arial"/>
          <w:color w:val="333333"/>
          <w:sz w:val="22"/>
          <w:szCs w:val="22"/>
        </w:rPr>
        <w:t xml:space="preserve"> 46 pre-specified secondary outcomes</w:t>
      </w:r>
      <w:r>
        <w:rPr>
          <w:rFonts w:ascii="Arial" w:eastAsia="Times New Roman" w:hAnsi="Arial" w:cs="Arial"/>
          <w:color w:val="333333"/>
          <w:sz w:val="22"/>
          <w:szCs w:val="22"/>
        </w:rPr>
        <w:t xml:space="preserve">.  Per the results section of the paper, </w:t>
      </w:r>
      <w:r w:rsidRPr="00430D89">
        <w:rPr>
          <w:rFonts w:ascii="Times" w:eastAsia="Times New Roman" w:hAnsi="Times" w:cs="Times"/>
          <w:color w:val="333333"/>
          <w:sz w:val="22"/>
          <w:szCs w:val="22"/>
        </w:rPr>
        <w:t>“At day 28, mortality was 46.3% (38/82) in the placebo group vs 29.8% (25/84) in the vitamin C group (χ2</w:t>
      </w:r>
      <w:r w:rsidRPr="00430D89">
        <w:rPr>
          <w:rFonts w:eastAsia="Times New Roman"/>
          <w:color w:val="333333"/>
          <w:sz w:val="22"/>
          <w:szCs w:val="22"/>
        </w:rPr>
        <w:t> </w:t>
      </w:r>
      <w:r w:rsidRPr="00430D89">
        <w:rPr>
          <w:rFonts w:ascii="Times" w:eastAsia="Times New Roman" w:hAnsi="Times" w:cs="Times"/>
          <w:color w:val="333333"/>
          <w:sz w:val="22"/>
          <w:szCs w:val="22"/>
        </w:rPr>
        <w:t>=</w:t>
      </w:r>
      <w:r w:rsidRPr="00430D89">
        <w:rPr>
          <w:rFonts w:eastAsia="Times New Roman"/>
          <w:color w:val="333333"/>
          <w:sz w:val="22"/>
          <w:szCs w:val="22"/>
        </w:rPr>
        <w:t> </w:t>
      </w:r>
      <w:r w:rsidRPr="00430D89">
        <w:rPr>
          <w:rFonts w:ascii="Times" w:eastAsia="Times New Roman" w:hAnsi="Times" w:cs="Times"/>
          <w:color w:val="333333"/>
          <w:sz w:val="22"/>
          <w:szCs w:val="22"/>
        </w:rPr>
        <w:t>4.84; P</w:t>
      </w:r>
      <w:r w:rsidRPr="00430D89">
        <w:rPr>
          <w:rFonts w:eastAsia="Times New Roman"/>
          <w:color w:val="333333"/>
          <w:sz w:val="22"/>
          <w:szCs w:val="22"/>
        </w:rPr>
        <w:t> </w:t>
      </w:r>
      <w:r w:rsidRPr="00430D89">
        <w:rPr>
          <w:rFonts w:ascii="Times" w:eastAsia="Times New Roman" w:hAnsi="Times" w:cs="Times"/>
          <w:color w:val="333333"/>
          <w:sz w:val="22"/>
          <w:szCs w:val="22"/>
        </w:rPr>
        <w:t>=</w:t>
      </w:r>
      <w:r w:rsidRPr="00430D89">
        <w:rPr>
          <w:rFonts w:eastAsia="Times New Roman"/>
          <w:color w:val="333333"/>
          <w:sz w:val="22"/>
          <w:szCs w:val="22"/>
        </w:rPr>
        <w:t> </w:t>
      </w:r>
      <w:r w:rsidRPr="00430D89">
        <w:rPr>
          <w:rFonts w:ascii="Times" w:eastAsia="Times New Roman" w:hAnsi="Times" w:cs="Times"/>
          <w:color w:val="333333"/>
          <w:sz w:val="22"/>
          <w:szCs w:val="22"/>
        </w:rPr>
        <w:t>.03; between-group difference, 16.58% [95% CI, 2% to 31.1%]) (</w:t>
      </w:r>
      <w:hyperlink r:id="rId20" w:anchor="jpc190006f3" w:history="1">
        <w:r w:rsidRPr="00430D89">
          <w:rPr>
            <w:rFonts w:ascii="Times" w:eastAsia="Times New Roman" w:hAnsi="Times" w:cs="Times"/>
            <w:color w:val="333333"/>
            <w:sz w:val="22"/>
            <w:szCs w:val="22"/>
          </w:rPr>
          <w:t>Figure 3</w:t>
        </w:r>
      </w:hyperlink>
      <w:r w:rsidRPr="00430D89">
        <w:rPr>
          <w:rFonts w:ascii="Times" w:eastAsia="Times New Roman" w:hAnsi="Times" w:cs="Times"/>
          <w:color w:val="333333"/>
          <w:sz w:val="22"/>
          <w:szCs w:val="22"/>
        </w:rPr>
        <w:t>).</w:t>
      </w:r>
      <w:r>
        <w:rPr>
          <w:rFonts w:ascii="Times" w:eastAsia="Times New Roman" w:hAnsi="Times" w:cs="Times"/>
          <w:color w:val="333333"/>
          <w:sz w:val="22"/>
          <w:szCs w:val="22"/>
        </w:rPr>
        <w:t xml:space="preserve">”  </w:t>
      </w:r>
      <w:r w:rsidRPr="00430D89">
        <w:rPr>
          <w:rFonts w:ascii="Arial" w:eastAsia="Times New Roman" w:hAnsi="Arial" w:cs="Arial"/>
          <w:color w:val="333333"/>
          <w:sz w:val="22"/>
          <w:szCs w:val="22"/>
        </w:rPr>
        <w:t>Figure 3 is show above.</w:t>
      </w:r>
    </w:p>
    <w:p w14:paraId="01B8C5B8" w14:textId="77777777" w:rsidR="004A7DCA" w:rsidRDefault="004A7DCA" w:rsidP="004A7DCA">
      <w:pPr>
        <w:rPr>
          <w:rFonts w:ascii="Arial" w:eastAsia="Times New Roman" w:hAnsi="Arial" w:cs="Arial"/>
          <w:color w:val="333333"/>
          <w:sz w:val="22"/>
          <w:szCs w:val="22"/>
        </w:rPr>
      </w:pPr>
    </w:p>
    <w:p w14:paraId="2885C57D" w14:textId="77777777" w:rsidR="004A7DCA" w:rsidRPr="002A725B" w:rsidRDefault="004A7DCA" w:rsidP="004A7DCA">
      <w:pPr>
        <w:rPr>
          <w:rFonts w:ascii="Arial" w:hAnsi="Arial" w:cs="Arial"/>
          <w:sz w:val="22"/>
          <w:szCs w:val="22"/>
        </w:rPr>
      </w:pPr>
      <w:r w:rsidRPr="002A725B">
        <w:rPr>
          <w:rFonts w:ascii="Arial" w:hAnsi="Arial" w:cs="Arial"/>
          <w:sz w:val="22"/>
          <w:szCs w:val="22"/>
        </w:rPr>
        <w:t xml:space="preserve">     </w:t>
      </w:r>
    </w:p>
    <w:p w14:paraId="2EF6153F" w14:textId="77777777" w:rsidR="004A7DCA" w:rsidRPr="002A725B" w:rsidRDefault="004A7DCA" w:rsidP="004A7DCA">
      <w:pPr>
        <w:rPr>
          <w:rFonts w:ascii="Arial" w:hAnsi="Arial" w:cs="Arial"/>
          <w:sz w:val="22"/>
          <w:szCs w:val="22"/>
        </w:rPr>
      </w:pPr>
      <w:r w:rsidRPr="002A725B">
        <w:rPr>
          <w:rFonts w:ascii="Arial" w:hAnsi="Arial" w:cs="Arial"/>
          <w:sz w:val="22"/>
          <w:szCs w:val="22"/>
        </w:rPr>
        <w:t>For each of the following, indicate whether the statement is true or false and explain your answer.</w:t>
      </w:r>
    </w:p>
    <w:p w14:paraId="3199CB48" w14:textId="77777777" w:rsidR="004A7DCA" w:rsidRPr="002A725B" w:rsidRDefault="004A7DCA" w:rsidP="004A7DCA">
      <w:pPr>
        <w:rPr>
          <w:rFonts w:ascii="Arial" w:hAnsi="Arial" w:cs="Arial"/>
          <w:sz w:val="22"/>
          <w:szCs w:val="22"/>
        </w:rPr>
      </w:pPr>
    </w:p>
    <w:p w14:paraId="7418683D" w14:textId="77777777" w:rsidR="004A7DCA" w:rsidRDefault="004A7DCA" w:rsidP="004A7DCA">
      <w:pPr>
        <w:pStyle w:val="ListParagraph"/>
        <w:numPr>
          <w:ilvl w:val="0"/>
          <w:numId w:val="47"/>
        </w:numPr>
      </w:pPr>
      <w:r w:rsidRPr="003A2BCA">
        <w:rPr>
          <w:rFonts w:ascii="Arial" w:hAnsi="Arial" w:cs="Arial"/>
          <w:sz w:val="22"/>
          <w:szCs w:val="22"/>
        </w:rPr>
        <w:t>For the total mortality finding, the fact that P=0.03 is consistent with the fact that the 95% confidence interval for the risk difference excludes 0.  [2]</w:t>
      </w:r>
    </w:p>
    <w:p w14:paraId="6763D941" w14:textId="4AA2B232" w:rsidR="004A7DCA" w:rsidRPr="00CC3B20" w:rsidRDefault="004A7DCA" w:rsidP="004A7DCA">
      <w:pPr>
        <w:pStyle w:val="ListParagraph"/>
        <w:ind w:left="1080"/>
        <w:rPr>
          <w:rFonts w:ascii="Arial" w:hAnsi="Arial" w:cs="Arial"/>
          <w:b/>
          <w:bCs/>
          <w:i/>
          <w:iCs/>
          <w:sz w:val="22"/>
          <w:szCs w:val="22"/>
        </w:rPr>
      </w:pPr>
      <w:r>
        <w:rPr>
          <w:rFonts w:ascii="Arial" w:hAnsi="Arial" w:cs="Arial"/>
          <w:sz w:val="22"/>
          <w:szCs w:val="22"/>
        </w:rPr>
        <w:br/>
      </w:r>
    </w:p>
    <w:p w14:paraId="7C927E6F" w14:textId="77777777" w:rsidR="004A7DCA" w:rsidRDefault="004A7DCA" w:rsidP="004A7DCA">
      <w:pPr>
        <w:pStyle w:val="ListParagraph"/>
        <w:ind w:left="1080"/>
        <w:rPr>
          <w:rFonts w:ascii="Arial" w:hAnsi="Arial" w:cs="Arial"/>
          <w:sz w:val="22"/>
          <w:szCs w:val="22"/>
        </w:rPr>
      </w:pPr>
      <w:r>
        <w:rPr>
          <w:rFonts w:ascii="Arial" w:hAnsi="Arial" w:cs="Arial"/>
          <w:sz w:val="22"/>
          <w:szCs w:val="22"/>
        </w:rPr>
        <w:br/>
      </w:r>
    </w:p>
    <w:p w14:paraId="1B0950C7" w14:textId="5E9AFF14" w:rsidR="004A7DCA" w:rsidRDefault="004A7DCA" w:rsidP="004A7DCA">
      <w:pPr>
        <w:pStyle w:val="ListParagraph"/>
        <w:numPr>
          <w:ilvl w:val="0"/>
          <w:numId w:val="47"/>
        </w:numPr>
        <w:rPr>
          <w:rFonts w:ascii="Arial" w:hAnsi="Arial" w:cs="Arial"/>
          <w:sz w:val="22"/>
          <w:szCs w:val="22"/>
        </w:rPr>
      </w:pPr>
      <w:r>
        <w:rPr>
          <w:rFonts w:ascii="Arial" w:hAnsi="Arial" w:cs="Arial"/>
          <w:sz w:val="22"/>
          <w:szCs w:val="22"/>
        </w:rPr>
        <w:t>While we cannot be 95% confident that the confidence interval for the risk difference (from 2% to 31.1%) includes the true value, if we were to repeat this study many times, we would expect 95% of the 95% confidence intervals of those studies to include the mortality risk difference of 16.58% found in this study. [2]</w:t>
      </w:r>
      <w:r>
        <w:rPr>
          <w:rFonts w:ascii="Arial" w:hAnsi="Arial" w:cs="Arial"/>
          <w:sz w:val="22"/>
          <w:szCs w:val="22"/>
        </w:rPr>
        <w:br/>
      </w:r>
      <w:r>
        <w:rPr>
          <w:rFonts w:ascii="Arial" w:hAnsi="Arial" w:cs="Arial"/>
          <w:sz w:val="22"/>
          <w:szCs w:val="22"/>
        </w:rPr>
        <w:br/>
      </w:r>
      <w:r>
        <w:rPr>
          <w:rFonts w:ascii="Arial" w:hAnsi="Arial" w:cs="Arial"/>
          <w:sz w:val="22"/>
          <w:szCs w:val="22"/>
        </w:rPr>
        <w:br/>
      </w:r>
    </w:p>
    <w:p w14:paraId="4F6C9DDC" w14:textId="77777777" w:rsidR="004A7DCA" w:rsidRDefault="004A7DCA" w:rsidP="004A7DCA">
      <w:pPr>
        <w:pStyle w:val="ListParagraph"/>
        <w:numPr>
          <w:ilvl w:val="0"/>
          <w:numId w:val="47"/>
        </w:numPr>
        <w:rPr>
          <w:rFonts w:ascii="Arial" w:hAnsi="Arial" w:cs="Arial"/>
          <w:sz w:val="22"/>
          <w:szCs w:val="22"/>
        </w:rPr>
      </w:pPr>
      <w:r>
        <w:rPr>
          <w:rFonts w:ascii="Arial" w:hAnsi="Arial" w:cs="Arial"/>
          <w:sz w:val="22"/>
          <w:szCs w:val="22"/>
        </w:rPr>
        <w:t>A Bayesian approach to the total mortality finding would consider the prior probability distribution for the total mortality effect rather than the number of secondary outcomes examined. [2]</w:t>
      </w:r>
    </w:p>
    <w:p w14:paraId="14F0EA46" w14:textId="7B389713" w:rsidR="004A7DCA" w:rsidRPr="00CC3B20" w:rsidRDefault="004A7DCA" w:rsidP="004A7DCA">
      <w:pPr>
        <w:pStyle w:val="ListParagraph"/>
        <w:ind w:left="1080"/>
        <w:rPr>
          <w:rFonts w:ascii="Arial" w:hAnsi="Arial" w:cs="Arial"/>
          <w:b/>
          <w:bCs/>
          <w:i/>
          <w:iCs/>
          <w:sz w:val="22"/>
          <w:szCs w:val="22"/>
        </w:rPr>
      </w:pPr>
      <w:r>
        <w:rPr>
          <w:rFonts w:ascii="Arial" w:hAnsi="Arial" w:cs="Arial"/>
          <w:sz w:val="22"/>
          <w:szCs w:val="22"/>
        </w:rPr>
        <w:lastRenderedPageBreak/>
        <w:br/>
      </w:r>
      <w:r w:rsidRPr="00CC3B20">
        <w:rPr>
          <w:rFonts w:ascii="Arial" w:hAnsi="Arial" w:cs="Arial"/>
          <w:b/>
          <w:bCs/>
          <w:i/>
          <w:iCs/>
          <w:sz w:val="22"/>
          <w:szCs w:val="22"/>
        </w:rPr>
        <w:br/>
      </w:r>
    </w:p>
    <w:p w14:paraId="00EB38A4" w14:textId="77777777" w:rsidR="00AD3656" w:rsidRDefault="004A7DCA" w:rsidP="00AE16CE">
      <w:pPr>
        <w:pStyle w:val="ListParagraph"/>
        <w:numPr>
          <w:ilvl w:val="0"/>
          <w:numId w:val="47"/>
        </w:numPr>
        <w:rPr>
          <w:b/>
        </w:rPr>
      </w:pPr>
      <w:r w:rsidRPr="00AD3656">
        <w:rPr>
          <w:rFonts w:ascii="Arial" w:hAnsi="Arial" w:cs="Arial"/>
          <w:sz w:val="22"/>
          <w:szCs w:val="22"/>
        </w:rPr>
        <w:t>The conservative interpretation of the all-cause mortality findings is consistent with excessive concern with avoiding an error related to the first name of the first author of the study. [Bonus +2]</w:t>
      </w:r>
      <w:r w:rsidRPr="00AD3656">
        <w:rPr>
          <w:rFonts w:ascii="Arial" w:hAnsi="Arial" w:cs="Arial"/>
          <w:sz w:val="22"/>
          <w:szCs w:val="22"/>
        </w:rPr>
        <w:br/>
      </w:r>
    </w:p>
    <w:p w14:paraId="5B8E8B6E" w14:textId="77777777" w:rsidR="00AD3656" w:rsidRDefault="00AD3656" w:rsidP="00AD3656">
      <w:pPr>
        <w:rPr>
          <w:b/>
        </w:rPr>
      </w:pPr>
    </w:p>
    <w:p w14:paraId="6CA48D00" w14:textId="0687ED9B" w:rsidR="00690214" w:rsidRPr="00AD3656" w:rsidRDefault="00690214" w:rsidP="00AD3656">
      <w:pPr>
        <w:rPr>
          <w:b/>
        </w:rPr>
      </w:pPr>
    </w:p>
    <w:p w14:paraId="108F3082" w14:textId="77777777" w:rsidR="0033339C" w:rsidRPr="0033339C" w:rsidRDefault="00577C10" w:rsidP="0033339C">
      <w:pPr>
        <w:pStyle w:val="EndNoteBibliographyTitle"/>
        <w:rPr>
          <w:noProof/>
        </w:rPr>
      </w:pPr>
      <w:r>
        <w:fldChar w:fldCharType="begin"/>
      </w:r>
      <w:r>
        <w:instrText xml:space="preserve"> ADDIN EN.REFLIST </w:instrText>
      </w:r>
      <w:r>
        <w:fldChar w:fldCharType="separate"/>
      </w:r>
      <w:r w:rsidR="0033339C" w:rsidRPr="0033339C">
        <w:rPr>
          <w:noProof/>
        </w:rPr>
        <w:t>REFERENCES</w:t>
      </w:r>
    </w:p>
    <w:p w14:paraId="45C81732" w14:textId="77777777" w:rsidR="0033339C" w:rsidRPr="0033339C" w:rsidRDefault="0033339C" w:rsidP="0033339C">
      <w:pPr>
        <w:pStyle w:val="EndNoteBibliographyTitle"/>
        <w:rPr>
          <w:noProof/>
        </w:rPr>
      </w:pPr>
    </w:p>
    <w:p w14:paraId="3EC9D6CB" w14:textId="77777777" w:rsidR="0033339C" w:rsidRPr="0033339C" w:rsidRDefault="0033339C" w:rsidP="0033339C">
      <w:pPr>
        <w:pStyle w:val="EndNoteBibliography"/>
        <w:rPr>
          <w:noProof/>
        </w:rPr>
      </w:pPr>
      <w:r w:rsidRPr="0033339C">
        <w:rPr>
          <w:noProof/>
        </w:rPr>
        <w:t>1.</w:t>
      </w:r>
      <w:r w:rsidRPr="0033339C">
        <w:rPr>
          <w:noProof/>
        </w:rPr>
        <w:tab/>
        <w:t>Gershon CA, Yagapen AN, Lin A, Yanez D, Sun BC. Inter-rater Reliability of the HEART Score. Acad Emerg Med. 2019;26(5):552-5.</w:t>
      </w:r>
    </w:p>
    <w:p w14:paraId="026AC7E6" w14:textId="77777777" w:rsidR="0033339C" w:rsidRPr="0033339C" w:rsidRDefault="0033339C" w:rsidP="0033339C">
      <w:pPr>
        <w:pStyle w:val="EndNoteBibliography"/>
        <w:rPr>
          <w:noProof/>
        </w:rPr>
      </w:pPr>
      <w:r w:rsidRPr="0033339C">
        <w:rPr>
          <w:noProof/>
        </w:rPr>
        <w:t>2.</w:t>
      </w:r>
      <w:r w:rsidRPr="0033339C">
        <w:rPr>
          <w:noProof/>
        </w:rPr>
        <w:tab/>
        <w:t>Malhame I, Hurlburt H, Larson L, Poppas A, Nau C, Bourjeily G, et al. Sensitivity and Specificity of B-Type Natriuretic Peptide in Diagnosing Heart Failure in Pregnancy. Obstet Gynecol. 2019;134(3):440-9.</w:t>
      </w:r>
    </w:p>
    <w:p w14:paraId="4E52405A" w14:textId="77777777" w:rsidR="0033339C" w:rsidRPr="0033339C" w:rsidRDefault="0033339C" w:rsidP="0033339C">
      <w:pPr>
        <w:pStyle w:val="EndNoteBibliography"/>
        <w:rPr>
          <w:noProof/>
        </w:rPr>
      </w:pPr>
      <w:r w:rsidRPr="0033339C">
        <w:rPr>
          <w:noProof/>
        </w:rPr>
        <w:t>3.</w:t>
      </w:r>
      <w:r w:rsidRPr="0033339C">
        <w:rPr>
          <w:noProof/>
        </w:rPr>
        <w:tab/>
        <w:t>McCarthy AM, Guan Z, Welch M, Griffin ME, Sippo DA, Deng Z, et al. Performance of breast cancer risk assessment models in a large mammography cohort. J Natl Cancer Inst. 2019.</w:t>
      </w:r>
    </w:p>
    <w:p w14:paraId="5F9B3AA7" w14:textId="77777777" w:rsidR="0033339C" w:rsidRPr="0033339C" w:rsidRDefault="0033339C" w:rsidP="0033339C">
      <w:pPr>
        <w:pStyle w:val="EndNoteBibliography"/>
        <w:rPr>
          <w:noProof/>
        </w:rPr>
      </w:pPr>
      <w:r w:rsidRPr="0033339C">
        <w:rPr>
          <w:noProof/>
        </w:rPr>
        <w:t>4.</w:t>
      </w:r>
      <w:r w:rsidRPr="0033339C">
        <w:rPr>
          <w:noProof/>
        </w:rPr>
        <w:tab/>
        <w:t>Takada T, Yamamoto Y, Terada K, Ohta M, Mikami W, Yokota H, et al. Diagnostic utility of appetite loss in addition to existing prediction models for community-acquired pneumonia in the elderly: a prospective diagnostic study in acute care hospitals in Japan. BMJ Open. 2017;7(11):e019155.</w:t>
      </w:r>
    </w:p>
    <w:p w14:paraId="6A4EF5EA" w14:textId="77777777" w:rsidR="0033339C" w:rsidRPr="0033339C" w:rsidRDefault="0033339C" w:rsidP="0033339C">
      <w:pPr>
        <w:pStyle w:val="EndNoteBibliography"/>
        <w:rPr>
          <w:noProof/>
        </w:rPr>
      </w:pPr>
      <w:r w:rsidRPr="0033339C">
        <w:rPr>
          <w:noProof/>
        </w:rPr>
        <w:t>5.</w:t>
      </w:r>
      <w:r w:rsidRPr="0033339C">
        <w:rPr>
          <w:noProof/>
        </w:rPr>
        <w:tab/>
        <w:t>Springer SA, Di Paola A, Barbour R, Azar MM, Altice FL. Extended-release Naltrexone Improves Viral Suppression Among Incarcerated Persons Living with HIV and Alcohol use Disorders Transitioning to the Community: Results From a Double-Blind, Placebo-Controlled Trial. J Acquir Immune Defic Syndr. 2018;79(1):92-100.</w:t>
      </w:r>
    </w:p>
    <w:p w14:paraId="0450F522" w14:textId="77777777" w:rsidR="0033339C" w:rsidRPr="0033339C" w:rsidRDefault="0033339C" w:rsidP="0033339C">
      <w:pPr>
        <w:pStyle w:val="EndNoteBibliography"/>
        <w:rPr>
          <w:noProof/>
        </w:rPr>
      </w:pPr>
      <w:r w:rsidRPr="0033339C">
        <w:rPr>
          <w:noProof/>
        </w:rPr>
        <w:t>6.</w:t>
      </w:r>
      <w:r w:rsidRPr="0033339C">
        <w:rPr>
          <w:noProof/>
        </w:rPr>
        <w:tab/>
        <w:t>Stefan MS, Shieh MS, Spitzer KA, Pekow PS, Krishnan JA, Au DH, et al. Association of Antibiotic Treatment With Outcomes in Patients Hospitalized for an Asthma Exacerbation Treated With Systemic Corticosteroids. JAMA Intern Med. 2019;179(3):333-9.</w:t>
      </w:r>
    </w:p>
    <w:p w14:paraId="7CB59315" w14:textId="77777777" w:rsidR="0033339C" w:rsidRPr="0033339C" w:rsidRDefault="0033339C" w:rsidP="0033339C">
      <w:pPr>
        <w:pStyle w:val="EndNoteBibliography"/>
        <w:rPr>
          <w:noProof/>
        </w:rPr>
      </w:pPr>
      <w:r w:rsidRPr="0033339C">
        <w:rPr>
          <w:noProof/>
        </w:rPr>
        <w:t>7.</w:t>
      </w:r>
      <w:r w:rsidRPr="0033339C">
        <w:rPr>
          <w:noProof/>
        </w:rPr>
        <w:tab/>
        <w:t>Fowler AA, 3rd, Truwit JD, Hite RD, Morris PE, DeWilde C, Priday A, et al. Effect of Vitamin C Infusion on Organ Failure and Biomarkers of Inflammation and Vascular Injury in Patients With Sepsis and Severe Acute Respiratory Failure: The CITRIS-ALI Randomized Clinical Trial. JAMA. 2019;322(13):1261-70.</w:t>
      </w:r>
    </w:p>
    <w:p w14:paraId="08A2AF9C" w14:textId="05FAAC6D" w:rsidR="00DB28B4" w:rsidRDefault="00577C10" w:rsidP="00AD63A4">
      <w:pPr>
        <w:rPr>
          <w:rFonts w:ascii="Arial" w:hAnsi="Arial" w:cs="Arial"/>
          <w:b/>
          <w:sz w:val="22"/>
          <w:szCs w:val="22"/>
        </w:rPr>
      </w:pPr>
      <w:r>
        <w:rPr>
          <w:rFonts w:ascii="Arial" w:hAnsi="Arial" w:cs="Arial"/>
          <w:b/>
          <w:sz w:val="22"/>
          <w:szCs w:val="22"/>
        </w:rPr>
        <w:fldChar w:fldCharType="end"/>
      </w:r>
    </w:p>
    <w:sectPr w:rsidR="00DB28B4" w:rsidSect="003051B3">
      <w:headerReference w:type="default" r:id="rId21"/>
      <w:footerReference w:type="default" r:id="rId22"/>
      <w:pgSz w:w="12240" w:h="15840"/>
      <w:pgMar w:top="1296" w:right="1152" w:bottom="1296" w:left="1152"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AB9B5" w14:textId="77777777" w:rsidR="000A0B54" w:rsidRDefault="000A0B54" w:rsidP="00AD63A4">
      <w:r>
        <w:separator/>
      </w:r>
    </w:p>
  </w:endnote>
  <w:endnote w:type="continuationSeparator" w:id="0">
    <w:p w14:paraId="59EE626F" w14:textId="77777777" w:rsidR="000A0B54" w:rsidRDefault="000A0B54" w:rsidP="00AD63A4">
      <w:r>
        <w:continuationSeparator/>
      </w:r>
    </w:p>
  </w:endnote>
  <w:endnote w:type="continuationNotice" w:id="1">
    <w:p w14:paraId="0FE98196" w14:textId="77777777" w:rsidR="000A0B54" w:rsidRDefault="000A0B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MS ??">
    <w:altName w:val="Arial Unicode MS"/>
    <w:charset w:val="80"/>
    <w:family w:val="auto"/>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6BB5E" w14:textId="77777777" w:rsidR="00AE16CE" w:rsidRDefault="00AE16CE" w:rsidP="00AE50A1">
    <w:pPr>
      <w:pStyle w:val="Footer"/>
      <w:jc w:val="center"/>
    </w:pPr>
  </w:p>
  <w:p w14:paraId="597EB57A" w14:textId="77777777" w:rsidR="00AE16CE" w:rsidRDefault="00AE16CE" w:rsidP="00AE50A1">
    <w:pPr>
      <w:pStyle w:val="Footer"/>
      <w:jc w:val="center"/>
    </w:pPr>
  </w:p>
  <w:p w14:paraId="6D04E93A" w14:textId="1E13DE28" w:rsidR="00AE16CE" w:rsidRDefault="00AE16CE" w:rsidP="00AE50A1">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23</w:t>
    </w:r>
    <w:r>
      <w:rPr>
        <w:rStyle w:val="PageNumber"/>
      </w:rPr>
      <w:fldChar w:fldCharType="end"/>
    </w:r>
  </w:p>
  <w:p w14:paraId="70744317" w14:textId="77777777" w:rsidR="00AE16CE" w:rsidRDefault="00AE1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E887E" w14:textId="77777777" w:rsidR="000A0B54" w:rsidRDefault="000A0B54" w:rsidP="00AD63A4">
      <w:r>
        <w:separator/>
      </w:r>
    </w:p>
  </w:footnote>
  <w:footnote w:type="continuationSeparator" w:id="0">
    <w:p w14:paraId="1772A0C8" w14:textId="77777777" w:rsidR="000A0B54" w:rsidRDefault="000A0B54" w:rsidP="00AD63A4">
      <w:r>
        <w:continuationSeparator/>
      </w:r>
    </w:p>
  </w:footnote>
  <w:footnote w:type="continuationNotice" w:id="1">
    <w:p w14:paraId="39313AE7" w14:textId="77777777" w:rsidR="000A0B54" w:rsidRDefault="000A0B54"/>
  </w:footnote>
  <w:footnote w:id="2">
    <w:p w14:paraId="36C237AD" w14:textId="616FB5EC" w:rsidR="00AE16CE" w:rsidRDefault="00AE16CE" w:rsidP="004A7DCA">
      <w:pPr>
        <w:pStyle w:val="FootnoteText"/>
      </w:pPr>
      <w:r>
        <w:rPr>
          <w:rStyle w:val="FootnoteReference"/>
        </w:rPr>
        <w:footnoteRef/>
      </w:r>
      <w:r>
        <w:t xml:space="preserve"> “Non-specific” = non-specific repolarization disturbance: No ST depression but LBBB, LVH, repolarization changes; “Abnormal” = significant ST deviation: ST depression/elevation not due to LBBB, LVH, or digoxin.</w:t>
      </w:r>
    </w:p>
  </w:footnote>
  <w:footnote w:id="3">
    <w:p w14:paraId="53DEB493" w14:textId="77777777" w:rsidR="00AE16CE" w:rsidRDefault="00AE16CE" w:rsidP="004A7DCA">
      <w:pPr>
        <w:pStyle w:val="FootnoteText"/>
      </w:pPr>
      <w:r>
        <w:rPr>
          <w:rStyle w:val="FootnoteReference"/>
        </w:rPr>
        <w:footnoteRef/>
      </w:r>
      <w:r>
        <w:t xml:space="preserve"> The authors did not specify what weights they used.  Truth be told, the 0.52 that they reported was for agreement on the “History” component of the score, but assume that’s what they reported for the ECG component of the score.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45528" w14:textId="487C6F94" w:rsidR="00AE16CE" w:rsidRDefault="00AE16CE" w:rsidP="00AE50A1">
    <w:pPr>
      <w:ind w:right="357"/>
      <w:rPr>
        <w:sz w:val="28"/>
        <w:szCs w:val="28"/>
      </w:rPr>
    </w:pPr>
    <w:r w:rsidRPr="0046686A">
      <w:rPr>
        <w:sz w:val="28"/>
        <w:szCs w:val="28"/>
      </w:rPr>
      <w:t xml:space="preserve">Clinical Epidemiology Final Examination, </w:t>
    </w:r>
  </w:p>
  <w:p w14:paraId="64ED5C67" w14:textId="75ED79C4" w:rsidR="00AE16CE" w:rsidRDefault="00AE16CE" w:rsidP="00AE50A1">
    <w:pPr>
      <w:ind w:right="357"/>
      <w:rPr>
        <w:sz w:val="28"/>
        <w:szCs w:val="28"/>
      </w:rPr>
    </w:pPr>
    <w:r w:rsidRPr="0046686A">
      <w:rPr>
        <w:sz w:val="28"/>
        <w:szCs w:val="28"/>
      </w:rPr>
      <w:t>Fall 201</w:t>
    </w:r>
    <w:r>
      <w:rPr>
        <w:sz w:val="28"/>
        <w:szCs w:val="28"/>
      </w:rPr>
      <w:t>9</w:t>
    </w:r>
  </w:p>
  <w:p w14:paraId="7992575E" w14:textId="7E2EAD00" w:rsidR="00AE16CE" w:rsidRPr="00077F1A" w:rsidRDefault="00AE16CE" w:rsidP="00AE50A1">
    <w:pPr>
      <w:ind w:right="357"/>
      <w:rPr>
        <w:b/>
        <w:sz w:val="28"/>
        <w:szCs w:val="28"/>
      </w:rPr>
    </w:pPr>
    <w:r>
      <w:rPr>
        <w:sz w:val="28"/>
        <w:szCs w:val="28"/>
      </w:rPr>
      <w:t>Name:</w:t>
    </w:r>
  </w:p>
  <w:p w14:paraId="00FED09C" w14:textId="77777777" w:rsidR="00AE16CE" w:rsidRDefault="00AE16CE" w:rsidP="00AE50A1">
    <w:pPr>
      <w:ind w:right="35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500E"/>
    <w:multiLevelType w:val="hybridMultilevel"/>
    <w:tmpl w:val="78AE11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34F7F"/>
    <w:multiLevelType w:val="hybridMultilevel"/>
    <w:tmpl w:val="4F04A0F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61A25"/>
    <w:multiLevelType w:val="hybridMultilevel"/>
    <w:tmpl w:val="7D8E45C0"/>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105EE"/>
    <w:multiLevelType w:val="hybridMultilevel"/>
    <w:tmpl w:val="7454404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0F407A"/>
    <w:multiLevelType w:val="hybridMultilevel"/>
    <w:tmpl w:val="56BAA024"/>
    <w:lvl w:ilvl="0" w:tplc="061007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E4F16"/>
    <w:multiLevelType w:val="hybridMultilevel"/>
    <w:tmpl w:val="C0643EF6"/>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E69D7"/>
    <w:multiLevelType w:val="multilevel"/>
    <w:tmpl w:val="16B8F96E"/>
    <w:lvl w:ilvl="0">
      <w:start w:val="1"/>
      <w:numFmt w:val="decimal"/>
      <w:lvlText w:val="%1."/>
      <w:lvlJc w:val="left"/>
      <w:pPr>
        <w:ind w:left="360" w:hanging="360"/>
      </w:pPr>
      <w:rPr>
        <w:u w:val="none"/>
      </w:rPr>
    </w:lvl>
    <w:lvl w:ilvl="1">
      <w:start w:val="1"/>
      <w:numFmt w:val="lowerLetter"/>
      <w:lvlText w:val="%2."/>
      <w:lvlJc w:val="left"/>
      <w:pPr>
        <w:ind w:left="1440" w:hanging="360"/>
      </w:pPr>
      <w:rPr>
        <w:b/>
        <w:bCs/>
        <w:i w:val="0"/>
        <w:iCs/>
        <w:color w:val="000000" w:themeColor="text1"/>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706B08"/>
    <w:multiLevelType w:val="hybridMultilevel"/>
    <w:tmpl w:val="22683D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E6197"/>
    <w:multiLevelType w:val="hybridMultilevel"/>
    <w:tmpl w:val="AFA4C5B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0C2AB4"/>
    <w:multiLevelType w:val="hybridMultilevel"/>
    <w:tmpl w:val="C25270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027602"/>
    <w:multiLevelType w:val="hybridMultilevel"/>
    <w:tmpl w:val="9FA291D2"/>
    <w:lvl w:ilvl="0" w:tplc="B882CF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5C34BB"/>
    <w:multiLevelType w:val="hybridMultilevel"/>
    <w:tmpl w:val="CB9C9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7E19DF"/>
    <w:multiLevelType w:val="hybridMultilevel"/>
    <w:tmpl w:val="5732816A"/>
    <w:lvl w:ilvl="0" w:tplc="3F96BC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A564BB"/>
    <w:multiLevelType w:val="hybridMultilevel"/>
    <w:tmpl w:val="1E805CB4"/>
    <w:lvl w:ilvl="0" w:tplc="2F70429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9F082E"/>
    <w:multiLevelType w:val="hybridMultilevel"/>
    <w:tmpl w:val="AAF61E9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A10A9C"/>
    <w:multiLevelType w:val="hybridMultilevel"/>
    <w:tmpl w:val="AAF61E9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B9438A"/>
    <w:multiLevelType w:val="hybridMultilevel"/>
    <w:tmpl w:val="077A1040"/>
    <w:lvl w:ilvl="0" w:tplc="04090017">
      <w:start w:val="1"/>
      <w:numFmt w:val="lowerLetter"/>
      <w:lvlText w:val="%1)"/>
      <w:lvlJc w:val="left"/>
      <w:pPr>
        <w:ind w:left="720" w:hanging="360"/>
      </w:pPr>
      <w:rPr>
        <w:rFonts w:hint="default"/>
      </w:rPr>
    </w:lvl>
    <w:lvl w:ilvl="1" w:tplc="05248EAC">
      <w:start w:val="9"/>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F42615"/>
    <w:multiLevelType w:val="hybridMultilevel"/>
    <w:tmpl w:val="27E4CC90"/>
    <w:lvl w:ilvl="0" w:tplc="EED6271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398B4356"/>
    <w:multiLevelType w:val="hybridMultilevel"/>
    <w:tmpl w:val="1534EC7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936D75"/>
    <w:multiLevelType w:val="hybridMultilevel"/>
    <w:tmpl w:val="522A78B6"/>
    <w:lvl w:ilvl="0" w:tplc="ABB617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F53238"/>
    <w:multiLevelType w:val="hybridMultilevel"/>
    <w:tmpl w:val="0D861992"/>
    <w:lvl w:ilvl="0" w:tplc="3D44C11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A424517"/>
    <w:multiLevelType w:val="hybridMultilevel"/>
    <w:tmpl w:val="D72EB1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2C53F4A"/>
    <w:multiLevelType w:val="hybridMultilevel"/>
    <w:tmpl w:val="805247B4"/>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F70771"/>
    <w:multiLevelType w:val="hybridMultilevel"/>
    <w:tmpl w:val="875C6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560507"/>
    <w:multiLevelType w:val="hybridMultilevel"/>
    <w:tmpl w:val="274CEB18"/>
    <w:lvl w:ilvl="0" w:tplc="B7E2CDE0">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88A1F04"/>
    <w:multiLevelType w:val="hybridMultilevel"/>
    <w:tmpl w:val="AB36A680"/>
    <w:lvl w:ilvl="0" w:tplc="158A97B0">
      <w:start w:val="2"/>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4938213A"/>
    <w:multiLevelType w:val="hybridMultilevel"/>
    <w:tmpl w:val="61C8B7D6"/>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D8329A"/>
    <w:multiLevelType w:val="hybridMultilevel"/>
    <w:tmpl w:val="02943D6A"/>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E113BB"/>
    <w:multiLevelType w:val="hybridMultilevel"/>
    <w:tmpl w:val="E0F0E4F2"/>
    <w:lvl w:ilvl="0" w:tplc="AF0842E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63F6EAD"/>
    <w:multiLevelType w:val="hybridMultilevel"/>
    <w:tmpl w:val="7102CDD2"/>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97271F"/>
    <w:multiLevelType w:val="hybridMultilevel"/>
    <w:tmpl w:val="C7BC0DFC"/>
    <w:lvl w:ilvl="0" w:tplc="2E68D6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CE729A"/>
    <w:multiLevelType w:val="hybridMultilevel"/>
    <w:tmpl w:val="C2105A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917426"/>
    <w:multiLevelType w:val="hybridMultilevel"/>
    <w:tmpl w:val="0FA816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A95717"/>
    <w:multiLevelType w:val="multilevel"/>
    <w:tmpl w:val="11DA2B72"/>
    <w:lvl w:ilvl="0">
      <w:start w:val="1"/>
      <w:numFmt w:val="lowerLetter"/>
      <w:lvlText w:val="%1."/>
      <w:lvlJc w:val="left"/>
      <w:pPr>
        <w:ind w:left="450" w:hanging="360"/>
      </w:pPr>
      <w:rPr>
        <w:b/>
        <w:bCs w:val="0"/>
        <w:u w:val="none"/>
      </w:rPr>
    </w:lvl>
    <w:lvl w:ilvl="1">
      <w:start w:val="1"/>
      <w:numFmt w:val="lowerRoman"/>
      <w:lvlText w:val="%2."/>
      <w:lvlJc w:val="right"/>
      <w:pPr>
        <w:ind w:left="1170" w:hanging="360"/>
      </w:pPr>
      <w:rPr>
        <w:u w:val="none"/>
      </w:rPr>
    </w:lvl>
    <w:lvl w:ilvl="2">
      <w:start w:val="1"/>
      <w:numFmt w:val="decimal"/>
      <w:lvlText w:val="%3."/>
      <w:lvlJc w:val="left"/>
      <w:pPr>
        <w:ind w:left="1890" w:hanging="360"/>
      </w:pPr>
      <w:rPr>
        <w:u w:val="none"/>
      </w:rPr>
    </w:lvl>
    <w:lvl w:ilvl="3">
      <w:start w:val="1"/>
      <w:numFmt w:val="lowerLetter"/>
      <w:lvlText w:val="%4."/>
      <w:lvlJc w:val="left"/>
      <w:pPr>
        <w:ind w:left="2610" w:hanging="360"/>
      </w:pPr>
      <w:rPr>
        <w:u w:val="none"/>
      </w:rPr>
    </w:lvl>
    <w:lvl w:ilvl="4">
      <w:start w:val="1"/>
      <w:numFmt w:val="lowerRoman"/>
      <w:lvlText w:val="%5."/>
      <w:lvlJc w:val="right"/>
      <w:pPr>
        <w:ind w:left="3330" w:hanging="360"/>
      </w:pPr>
      <w:rPr>
        <w:u w:val="none"/>
      </w:rPr>
    </w:lvl>
    <w:lvl w:ilvl="5">
      <w:start w:val="1"/>
      <w:numFmt w:val="decimal"/>
      <w:lvlText w:val="%6."/>
      <w:lvlJc w:val="left"/>
      <w:pPr>
        <w:ind w:left="4050" w:hanging="360"/>
      </w:pPr>
      <w:rPr>
        <w:u w:val="none"/>
      </w:rPr>
    </w:lvl>
    <w:lvl w:ilvl="6">
      <w:start w:val="1"/>
      <w:numFmt w:val="lowerLetter"/>
      <w:lvlText w:val="%7."/>
      <w:lvlJc w:val="left"/>
      <w:pPr>
        <w:ind w:left="4770" w:hanging="360"/>
      </w:pPr>
      <w:rPr>
        <w:u w:val="none"/>
      </w:rPr>
    </w:lvl>
    <w:lvl w:ilvl="7">
      <w:start w:val="1"/>
      <w:numFmt w:val="lowerRoman"/>
      <w:lvlText w:val="%8."/>
      <w:lvlJc w:val="right"/>
      <w:pPr>
        <w:ind w:left="5490" w:hanging="360"/>
      </w:pPr>
      <w:rPr>
        <w:u w:val="none"/>
      </w:rPr>
    </w:lvl>
    <w:lvl w:ilvl="8">
      <w:start w:val="1"/>
      <w:numFmt w:val="decimal"/>
      <w:lvlText w:val="%9."/>
      <w:lvlJc w:val="left"/>
      <w:pPr>
        <w:ind w:left="6210" w:hanging="360"/>
      </w:pPr>
      <w:rPr>
        <w:u w:val="none"/>
      </w:rPr>
    </w:lvl>
  </w:abstractNum>
  <w:abstractNum w:abstractNumId="34" w15:restartNumberingAfterBreak="0">
    <w:nsid w:val="5F981E5A"/>
    <w:multiLevelType w:val="hybridMultilevel"/>
    <w:tmpl w:val="4EA8FC4C"/>
    <w:lvl w:ilvl="0" w:tplc="673CC2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B14E2E"/>
    <w:multiLevelType w:val="hybridMultilevel"/>
    <w:tmpl w:val="575002AA"/>
    <w:lvl w:ilvl="0" w:tplc="7020E1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122F0E"/>
    <w:multiLevelType w:val="hybridMultilevel"/>
    <w:tmpl w:val="15FA7BBE"/>
    <w:lvl w:ilvl="0" w:tplc="90B858E0">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6633C8B"/>
    <w:multiLevelType w:val="hybridMultilevel"/>
    <w:tmpl w:val="F7DAEE22"/>
    <w:lvl w:ilvl="0" w:tplc="2E40A3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AA50D3E"/>
    <w:multiLevelType w:val="hybridMultilevel"/>
    <w:tmpl w:val="51D23D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59058B"/>
    <w:multiLevelType w:val="hybridMultilevel"/>
    <w:tmpl w:val="8BB66104"/>
    <w:lvl w:ilvl="0" w:tplc="4856A1FA">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735E56"/>
    <w:multiLevelType w:val="hybridMultilevel"/>
    <w:tmpl w:val="023C202C"/>
    <w:lvl w:ilvl="0" w:tplc="504854AE">
      <w:start w:val="1"/>
      <w:numFmt w:val="lowerLetter"/>
      <w:lvlText w:val="%1."/>
      <w:lvlJc w:val="left"/>
      <w:pPr>
        <w:ind w:left="720" w:hanging="360"/>
      </w:pPr>
      <w:rPr>
        <w:rFonts w:ascii="Helvetica Neue" w:hAnsi="Helvetica Neue" w:hint="default"/>
        <w:color w:val="33333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2B602B"/>
    <w:multiLevelType w:val="multilevel"/>
    <w:tmpl w:val="07E0588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i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32A6F42"/>
    <w:multiLevelType w:val="hybridMultilevel"/>
    <w:tmpl w:val="04C420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CB2A72"/>
    <w:multiLevelType w:val="hybridMultilevel"/>
    <w:tmpl w:val="E3BA1048"/>
    <w:lvl w:ilvl="0" w:tplc="04090017">
      <w:start w:val="7"/>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95D2466"/>
    <w:multiLevelType w:val="hybridMultilevel"/>
    <w:tmpl w:val="08F63DDC"/>
    <w:lvl w:ilvl="0" w:tplc="2592B2F6">
      <w:start w:val="1"/>
      <w:numFmt w:val="lowerLetter"/>
      <w:lvlText w:val="%1.)"/>
      <w:lvlJc w:val="left"/>
      <w:pPr>
        <w:ind w:left="720" w:hanging="360"/>
      </w:pPr>
      <w:rPr>
        <w:rFonts w:hint="default"/>
      </w:rPr>
    </w:lvl>
    <w:lvl w:ilvl="1" w:tplc="04090013">
      <w:start w:val="1"/>
      <w:numFmt w:val="upperRoman"/>
      <w:lvlText w:val="%2."/>
      <w:lvlJc w:val="right"/>
      <w:pPr>
        <w:ind w:left="171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D77152"/>
    <w:multiLevelType w:val="multilevel"/>
    <w:tmpl w:val="456A4672"/>
    <w:lvl w:ilvl="0">
      <w:start w:val="15"/>
      <w:numFmt w:val="decimal"/>
      <w:lvlText w:val="(%1"/>
      <w:lvlJc w:val="left"/>
      <w:pPr>
        <w:ind w:left="504" w:hanging="504"/>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7E7B00FB"/>
    <w:multiLevelType w:val="hybridMultilevel"/>
    <w:tmpl w:val="7412789E"/>
    <w:lvl w:ilvl="0" w:tplc="3A9AA8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45"/>
  </w:num>
  <w:num w:numId="3">
    <w:abstractNumId w:val="22"/>
  </w:num>
  <w:num w:numId="4">
    <w:abstractNumId w:val="3"/>
  </w:num>
  <w:num w:numId="5">
    <w:abstractNumId w:val="17"/>
  </w:num>
  <w:num w:numId="6">
    <w:abstractNumId w:val="25"/>
  </w:num>
  <w:num w:numId="7">
    <w:abstractNumId w:val="38"/>
  </w:num>
  <w:num w:numId="8">
    <w:abstractNumId w:val="31"/>
  </w:num>
  <w:num w:numId="9">
    <w:abstractNumId w:val="41"/>
  </w:num>
  <w:num w:numId="10">
    <w:abstractNumId w:val="5"/>
  </w:num>
  <w:num w:numId="11">
    <w:abstractNumId w:val="13"/>
  </w:num>
  <w:num w:numId="12">
    <w:abstractNumId w:val="1"/>
  </w:num>
  <w:num w:numId="13">
    <w:abstractNumId w:val="2"/>
  </w:num>
  <w:num w:numId="14">
    <w:abstractNumId w:val="28"/>
  </w:num>
  <w:num w:numId="15">
    <w:abstractNumId w:val="20"/>
  </w:num>
  <w:num w:numId="16">
    <w:abstractNumId w:val="21"/>
  </w:num>
  <w:num w:numId="17">
    <w:abstractNumId w:val="39"/>
  </w:num>
  <w:num w:numId="18">
    <w:abstractNumId w:val="43"/>
  </w:num>
  <w:num w:numId="19">
    <w:abstractNumId w:val="23"/>
  </w:num>
  <w:num w:numId="20">
    <w:abstractNumId w:val="37"/>
  </w:num>
  <w:num w:numId="21">
    <w:abstractNumId w:val="11"/>
  </w:num>
  <w:num w:numId="22">
    <w:abstractNumId w:val="0"/>
  </w:num>
  <w:num w:numId="23">
    <w:abstractNumId w:val="42"/>
  </w:num>
  <w:num w:numId="24">
    <w:abstractNumId w:val="8"/>
  </w:num>
  <w:num w:numId="25">
    <w:abstractNumId w:val="29"/>
  </w:num>
  <w:num w:numId="26">
    <w:abstractNumId w:val="30"/>
  </w:num>
  <w:num w:numId="27">
    <w:abstractNumId w:val="15"/>
  </w:num>
  <w:num w:numId="28">
    <w:abstractNumId w:val="14"/>
  </w:num>
  <w:num w:numId="29">
    <w:abstractNumId w:val="19"/>
  </w:num>
  <w:num w:numId="30">
    <w:abstractNumId w:val="34"/>
  </w:num>
  <w:num w:numId="31">
    <w:abstractNumId w:val="24"/>
  </w:num>
  <w:num w:numId="32">
    <w:abstractNumId w:val="9"/>
  </w:num>
  <w:num w:numId="33">
    <w:abstractNumId w:val="18"/>
  </w:num>
  <w:num w:numId="34">
    <w:abstractNumId w:val="33"/>
  </w:num>
  <w:num w:numId="35">
    <w:abstractNumId w:val="7"/>
  </w:num>
  <w:num w:numId="36">
    <w:abstractNumId w:val="26"/>
  </w:num>
  <w:num w:numId="37">
    <w:abstractNumId w:val="32"/>
  </w:num>
  <w:num w:numId="38">
    <w:abstractNumId w:val="4"/>
  </w:num>
  <w:num w:numId="39">
    <w:abstractNumId w:val="10"/>
  </w:num>
  <w:num w:numId="40">
    <w:abstractNumId w:val="16"/>
  </w:num>
  <w:num w:numId="41">
    <w:abstractNumId w:val="27"/>
  </w:num>
  <w:num w:numId="42">
    <w:abstractNumId w:val="44"/>
  </w:num>
  <w:num w:numId="43">
    <w:abstractNumId w:val="36"/>
  </w:num>
  <w:num w:numId="44">
    <w:abstractNumId w:val="6"/>
  </w:num>
  <w:num w:numId="45">
    <w:abstractNumId w:val="40"/>
  </w:num>
  <w:num w:numId="46">
    <w:abstractNumId w:val="12"/>
  </w:num>
  <w:num w:numId="47">
    <w:abstractNumId w:val="4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CA"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da-DK" w:vendorID="64" w:dllVersion="4096" w:nlCheck="1" w:checkStyle="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Vancouver&lt;/Style&gt;&lt;LeftDelim&gt;{&lt;/LeftDelim&gt;&lt;RightDelim&gt;}&lt;/RightDelim&gt;&lt;FontName&gt;Times New Roman&lt;/FontName&gt;&lt;FontSize&gt;10&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5zsa9fbrf5toeezpb5tzwatvzvps55eeew&quot;&gt;EBD-MAK 2019.0102&lt;record-ids&gt;&lt;item&gt;1626&lt;/item&gt;&lt;item&gt;1627&lt;/item&gt;&lt;item&gt;1628&lt;/item&gt;&lt;item&gt;1630&lt;/item&gt;&lt;item&gt;1631&lt;/item&gt;&lt;/record-ids&gt;&lt;/item&gt;&lt;/Libraries&gt;"/>
  </w:docVars>
  <w:rsids>
    <w:rsidRoot w:val="00AD63A4"/>
    <w:rsid w:val="00002AB6"/>
    <w:rsid w:val="00003270"/>
    <w:rsid w:val="00004B5E"/>
    <w:rsid w:val="00007C99"/>
    <w:rsid w:val="00015F33"/>
    <w:rsid w:val="0001635D"/>
    <w:rsid w:val="00017190"/>
    <w:rsid w:val="000212FD"/>
    <w:rsid w:val="000219EA"/>
    <w:rsid w:val="00022E92"/>
    <w:rsid w:val="00023703"/>
    <w:rsid w:val="00025537"/>
    <w:rsid w:val="0002653A"/>
    <w:rsid w:val="000276D3"/>
    <w:rsid w:val="0003363B"/>
    <w:rsid w:val="00033992"/>
    <w:rsid w:val="000347E1"/>
    <w:rsid w:val="00035E3D"/>
    <w:rsid w:val="00035F63"/>
    <w:rsid w:val="00036847"/>
    <w:rsid w:val="00037030"/>
    <w:rsid w:val="000370EB"/>
    <w:rsid w:val="000413BF"/>
    <w:rsid w:val="00041A09"/>
    <w:rsid w:val="00041DB0"/>
    <w:rsid w:val="000425F6"/>
    <w:rsid w:val="000440AC"/>
    <w:rsid w:val="00044412"/>
    <w:rsid w:val="00047AE5"/>
    <w:rsid w:val="00050356"/>
    <w:rsid w:val="00050C21"/>
    <w:rsid w:val="000526A3"/>
    <w:rsid w:val="000526E3"/>
    <w:rsid w:val="000532E5"/>
    <w:rsid w:val="00053F7D"/>
    <w:rsid w:val="00060A13"/>
    <w:rsid w:val="00060A3A"/>
    <w:rsid w:val="0006205F"/>
    <w:rsid w:val="00065A9B"/>
    <w:rsid w:val="00067D89"/>
    <w:rsid w:val="000702F6"/>
    <w:rsid w:val="000728A4"/>
    <w:rsid w:val="0007464E"/>
    <w:rsid w:val="00076116"/>
    <w:rsid w:val="00077F1A"/>
    <w:rsid w:val="0008049E"/>
    <w:rsid w:val="00080FE1"/>
    <w:rsid w:val="00083D39"/>
    <w:rsid w:val="0008412A"/>
    <w:rsid w:val="00084959"/>
    <w:rsid w:val="00084B8F"/>
    <w:rsid w:val="000917B8"/>
    <w:rsid w:val="0009187E"/>
    <w:rsid w:val="00092070"/>
    <w:rsid w:val="0009225E"/>
    <w:rsid w:val="00093D46"/>
    <w:rsid w:val="00094D33"/>
    <w:rsid w:val="00095730"/>
    <w:rsid w:val="00096EF5"/>
    <w:rsid w:val="000A0B54"/>
    <w:rsid w:val="000A1EE2"/>
    <w:rsid w:val="000A2E1B"/>
    <w:rsid w:val="000A3500"/>
    <w:rsid w:val="000A3DAD"/>
    <w:rsid w:val="000A41B3"/>
    <w:rsid w:val="000A471D"/>
    <w:rsid w:val="000A769D"/>
    <w:rsid w:val="000B0659"/>
    <w:rsid w:val="000B08B3"/>
    <w:rsid w:val="000B0906"/>
    <w:rsid w:val="000B097D"/>
    <w:rsid w:val="000B47F1"/>
    <w:rsid w:val="000B5AB5"/>
    <w:rsid w:val="000B6614"/>
    <w:rsid w:val="000C1AF3"/>
    <w:rsid w:val="000C315C"/>
    <w:rsid w:val="000C3FB3"/>
    <w:rsid w:val="000C533F"/>
    <w:rsid w:val="000C5DA4"/>
    <w:rsid w:val="000C6A8E"/>
    <w:rsid w:val="000C6F06"/>
    <w:rsid w:val="000D2685"/>
    <w:rsid w:val="000D3863"/>
    <w:rsid w:val="000D3868"/>
    <w:rsid w:val="000D3ED8"/>
    <w:rsid w:val="000D58ED"/>
    <w:rsid w:val="000D61B5"/>
    <w:rsid w:val="000D6588"/>
    <w:rsid w:val="000E232B"/>
    <w:rsid w:val="000E2C9C"/>
    <w:rsid w:val="000E365B"/>
    <w:rsid w:val="000E39EF"/>
    <w:rsid w:val="000E3B4A"/>
    <w:rsid w:val="000E527F"/>
    <w:rsid w:val="000E67A4"/>
    <w:rsid w:val="000E67D7"/>
    <w:rsid w:val="000E7026"/>
    <w:rsid w:val="000E768A"/>
    <w:rsid w:val="000F298A"/>
    <w:rsid w:val="000F6CF4"/>
    <w:rsid w:val="00100AA7"/>
    <w:rsid w:val="001021FA"/>
    <w:rsid w:val="0010280E"/>
    <w:rsid w:val="00102E92"/>
    <w:rsid w:val="00103779"/>
    <w:rsid w:val="00103B62"/>
    <w:rsid w:val="00103CB8"/>
    <w:rsid w:val="00105285"/>
    <w:rsid w:val="0011116F"/>
    <w:rsid w:val="00112026"/>
    <w:rsid w:val="001135F6"/>
    <w:rsid w:val="001143C8"/>
    <w:rsid w:val="00115265"/>
    <w:rsid w:val="00117BB3"/>
    <w:rsid w:val="001220FB"/>
    <w:rsid w:val="001225A7"/>
    <w:rsid w:val="0012507C"/>
    <w:rsid w:val="00125ADC"/>
    <w:rsid w:val="00126910"/>
    <w:rsid w:val="001269A4"/>
    <w:rsid w:val="00127421"/>
    <w:rsid w:val="00130AD8"/>
    <w:rsid w:val="00131BCC"/>
    <w:rsid w:val="00132757"/>
    <w:rsid w:val="00133D87"/>
    <w:rsid w:val="00134B1F"/>
    <w:rsid w:val="0013510A"/>
    <w:rsid w:val="001351AD"/>
    <w:rsid w:val="00135B59"/>
    <w:rsid w:val="001374B8"/>
    <w:rsid w:val="00137D5A"/>
    <w:rsid w:val="00143AE3"/>
    <w:rsid w:val="001463C8"/>
    <w:rsid w:val="001502A6"/>
    <w:rsid w:val="00153102"/>
    <w:rsid w:val="001553C9"/>
    <w:rsid w:val="00155D54"/>
    <w:rsid w:val="00156636"/>
    <w:rsid w:val="00163A58"/>
    <w:rsid w:val="00163C50"/>
    <w:rsid w:val="00164AAD"/>
    <w:rsid w:val="0016595D"/>
    <w:rsid w:val="00165BB0"/>
    <w:rsid w:val="0016703D"/>
    <w:rsid w:val="001710F4"/>
    <w:rsid w:val="001714DA"/>
    <w:rsid w:val="00174BC0"/>
    <w:rsid w:val="001765B0"/>
    <w:rsid w:val="00180649"/>
    <w:rsid w:val="00181B11"/>
    <w:rsid w:val="00181E78"/>
    <w:rsid w:val="00183D54"/>
    <w:rsid w:val="00184DC9"/>
    <w:rsid w:val="00186166"/>
    <w:rsid w:val="00187118"/>
    <w:rsid w:val="001876CD"/>
    <w:rsid w:val="001904BD"/>
    <w:rsid w:val="001931A8"/>
    <w:rsid w:val="001946DC"/>
    <w:rsid w:val="0019478C"/>
    <w:rsid w:val="00194FB4"/>
    <w:rsid w:val="0019585A"/>
    <w:rsid w:val="001962B9"/>
    <w:rsid w:val="00196C51"/>
    <w:rsid w:val="00196E50"/>
    <w:rsid w:val="001A083B"/>
    <w:rsid w:val="001A18FD"/>
    <w:rsid w:val="001A1936"/>
    <w:rsid w:val="001A3440"/>
    <w:rsid w:val="001A4E71"/>
    <w:rsid w:val="001A74B1"/>
    <w:rsid w:val="001B0050"/>
    <w:rsid w:val="001B0440"/>
    <w:rsid w:val="001B5232"/>
    <w:rsid w:val="001B58CC"/>
    <w:rsid w:val="001B5B0F"/>
    <w:rsid w:val="001B7087"/>
    <w:rsid w:val="001C4848"/>
    <w:rsid w:val="001C7028"/>
    <w:rsid w:val="001C7BF1"/>
    <w:rsid w:val="001D154B"/>
    <w:rsid w:val="001D35B8"/>
    <w:rsid w:val="001D4106"/>
    <w:rsid w:val="001D51D9"/>
    <w:rsid w:val="001D5948"/>
    <w:rsid w:val="001D69AA"/>
    <w:rsid w:val="001D6CD3"/>
    <w:rsid w:val="001D74F3"/>
    <w:rsid w:val="001E069C"/>
    <w:rsid w:val="001E2C81"/>
    <w:rsid w:val="001E5B63"/>
    <w:rsid w:val="001E7D0D"/>
    <w:rsid w:val="001F3B2B"/>
    <w:rsid w:val="0020132F"/>
    <w:rsid w:val="002045EE"/>
    <w:rsid w:val="00205C0B"/>
    <w:rsid w:val="002076BB"/>
    <w:rsid w:val="002115FB"/>
    <w:rsid w:val="002138B9"/>
    <w:rsid w:val="00213C78"/>
    <w:rsid w:val="00220FF9"/>
    <w:rsid w:val="0022106F"/>
    <w:rsid w:val="00221447"/>
    <w:rsid w:val="002218C7"/>
    <w:rsid w:val="0022409C"/>
    <w:rsid w:val="00227783"/>
    <w:rsid w:val="00230AFA"/>
    <w:rsid w:val="002319B9"/>
    <w:rsid w:val="002323B7"/>
    <w:rsid w:val="002329DC"/>
    <w:rsid w:val="0023363A"/>
    <w:rsid w:val="00233E13"/>
    <w:rsid w:val="00237948"/>
    <w:rsid w:val="002400C8"/>
    <w:rsid w:val="00240C03"/>
    <w:rsid w:val="00243F23"/>
    <w:rsid w:val="0024462D"/>
    <w:rsid w:val="00245C5B"/>
    <w:rsid w:val="00246E39"/>
    <w:rsid w:val="00247F0C"/>
    <w:rsid w:val="00253457"/>
    <w:rsid w:val="00254B15"/>
    <w:rsid w:val="00254F21"/>
    <w:rsid w:val="0025663D"/>
    <w:rsid w:val="0025729D"/>
    <w:rsid w:val="00257460"/>
    <w:rsid w:val="002578E4"/>
    <w:rsid w:val="00257B7C"/>
    <w:rsid w:val="002603B2"/>
    <w:rsid w:val="00260EA9"/>
    <w:rsid w:val="0026235A"/>
    <w:rsid w:val="00262701"/>
    <w:rsid w:val="002638F1"/>
    <w:rsid w:val="002656FF"/>
    <w:rsid w:val="00267F19"/>
    <w:rsid w:val="00270E90"/>
    <w:rsid w:val="00272636"/>
    <w:rsid w:val="00272828"/>
    <w:rsid w:val="002735CF"/>
    <w:rsid w:val="00275557"/>
    <w:rsid w:val="00277571"/>
    <w:rsid w:val="002821E1"/>
    <w:rsid w:val="002843A4"/>
    <w:rsid w:val="00285493"/>
    <w:rsid w:val="002873B8"/>
    <w:rsid w:val="0029043E"/>
    <w:rsid w:val="00291C17"/>
    <w:rsid w:val="00291DFE"/>
    <w:rsid w:val="0029446A"/>
    <w:rsid w:val="002945A3"/>
    <w:rsid w:val="00294EDD"/>
    <w:rsid w:val="00296B72"/>
    <w:rsid w:val="00297E28"/>
    <w:rsid w:val="002A2979"/>
    <w:rsid w:val="002A412D"/>
    <w:rsid w:val="002A4C52"/>
    <w:rsid w:val="002A5383"/>
    <w:rsid w:val="002A5887"/>
    <w:rsid w:val="002A5C33"/>
    <w:rsid w:val="002B1BD6"/>
    <w:rsid w:val="002B1CA1"/>
    <w:rsid w:val="002B206F"/>
    <w:rsid w:val="002B54BD"/>
    <w:rsid w:val="002B7545"/>
    <w:rsid w:val="002B785F"/>
    <w:rsid w:val="002C2951"/>
    <w:rsid w:val="002C2BC6"/>
    <w:rsid w:val="002C2CEA"/>
    <w:rsid w:val="002C2F7B"/>
    <w:rsid w:val="002C3679"/>
    <w:rsid w:val="002C4089"/>
    <w:rsid w:val="002D134D"/>
    <w:rsid w:val="002D1797"/>
    <w:rsid w:val="002D2FDB"/>
    <w:rsid w:val="002D3AB1"/>
    <w:rsid w:val="002D7588"/>
    <w:rsid w:val="002D7595"/>
    <w:rsid w:val="002D7A57"/>
    <w:rsid w:val="002E25E8"/>
    <w:rsid w:val="002E3CF9"/>
    <w:rsid w:val="002E4B03"/>
    <w:rsid w:val="002E56BE"/>
    <w:rsid w:val="002E5949"/>
    <w:rsid w:val="002E6392"/>
    <w:rsid w:val="002E69DA"/>
    <w:rsid w:val="002E71BD"/>
    <w:rsid w:val="002F257F"/>
    <w:rsid w:val="002F579D"/>
    <w:rsid w:val="002F731A"/>
    <w:rsid w:val="002F7BF7"/>
    <w:rsid w:val="0030052D"/>
    <w:rsid w:val="00300747"/>
    <w:rsid w:val="00300CFE"/>
    <w:rsid w:val="003051B3"/>
    <w:rsid w:val="003063BC"/>
    <w:rsid w:val="00307EB4"/>
    <w:rsid w:val="003112E9"/>
    <w:rsid w:val="00311EDF"/>
    <w:rsid w:val="00312377"/>
    <w:rsid w:val="00312B2C"/>
    <w:rsid w:val="00312BEC"/>
    <w:rsid w:val="00314E1C"/>
    <w:rsid w:val="003153D3"/>
    <w:rsid w:val="003165C8"/>
    <w:rsid w:val="00317815"/>
    <w:rsid w:val="00322519"/>
    <w:rsid w:val="00322679"/>
    <w:rsid w:val="00324AEB"/>
    <w:rsid w:val="00324BD3"/>
    <w:rsid w:val="00330028"/>
    <w:rsid w:val="00331262"/>
    <w:rsid w:val="0033293A"/>
    <w:rsid w:val="0033339C"/>
    <w:rsid w:val="003337D5"/>
    <w:rsid w:val="00334C37"/>
    <w:rsid w:val="00335D36"/>
    <w:rsid w:val="00340012"/>
    <w:rsid w:val="00344561"/>
    <w:rsid w:val="003462FC"/>
    <w:rsid w:val="003465F3"/>
    <w:rsid w:val="00346724"/>
    <w:rsid w:val="0034673F"/>
    <w:rsid w:val="003478B7"/>
    <w:rsid w:val="00347975"/>
    <w:rsid w:val="00350539"/>
    <w:rsid w:val="003512A1"/>
    <w:rsid w:val="003527EA"/>
    <w:rsid w:val="003528A6"/>
    <w:rsid w:val="00353D19"/>
    <w:rsid w:val="00355C20"/>
    <w:rsid w:val="00355DB2"/>
    <w:rsid w:val="00356F44"/>
    <w:rsid w:val="003606E8"/>
    <w:rsid w:val="00360876"/>
    <w:rsid w:val="00361C7E"/>
    <w:rsid w:val="003645A6"/>
    <w:rsid w:val="0036603D"/>
    <w:rsid w:val="00366BF9"/>
    <w:rsid w:val="00367132"/>
    <w:rsid w:val="00367610"/>
    <w:rsid w:val="00367DB7"/>
    <w:rsid w:val="00370239"/>
    <w:rsid w:val="00370392"/>
    <w:rsid w:val="0037138B"/>
    <w:rsid w:val="00371502"/>
    <w:rsid w:val="00373494"/>
    <w:rsid w:val="00377496"/>
    <w:rsid w:val="00377E33"/>
    <w:rsid w:val="00382E36"/>
    <w:rsid w:val="003832A0"/>
    <w:rsid w:val="00386C50"/>
    <w:rsid w:val="0039058A"/>
    <w:rsid w:val="003909F6"/>
    <w:rsid w:val="00390CAD"/>
    <w:rsid w:val="00392542"/>
    <w:rsid w:val="00393E7A"/>
    <w:rsid w:val="003967FA"/>
    <w:rsid w:val="0039791F"/>
    <w:rsid w:val="003A4B13"/>
    <w:rsid w:val="003A6068"/>
    <w:rsid w:val="003B1806"/>
    <w:rsid w:val="003B2157"/>
    <w:rsid w:val="003B5140"/>
    <w:rsid w:val="003B5C6A"/>
    <w:rsid w:val="003B5F29"/>
    <w:rsid w:val="003B6923"/>
    <w:rsid w:val="003C0A42"/>
    <w:rsid w:val="003C3394"/>
    <w:rsid w:val="003C4E5B"/>
    <w:rsid w:val="003C522B"/>
    <w:rsid w:val="003C60BC"/>
    <w:rsid w:val="003D0011"/>
    <w:rsid w:val="003D2CD5"/>
    <w:rsid w:val="003D2D47"/>
    <w:rsid w:val="003D3BDF"/>
    <w:rsid w:val="003D6CC4"/>
    <w:rsid w:val="003E25EF"/>
    <w:rsid w:val="003E26D3"/>
    <w:rsid w:val="003E3949"/>
    <w:rsid w:val="003E4723"/>
    <w:rsid w:val="003E57AD"/>
    <w:rsid w:val="003E61FE"/>
    <w:rsid w:val="003F15D7"/>
    <w:rsid w:val="003F1E6E"/>
    <w:rsid w:val="003F30E6"/>
    <w:rsid w:val="003F5DF9"/>
    <w:rsid w:val="00400C1F"/>
    <w:rsid w:val="0040104C"/>
    <w:rsid w:val="00401964"/>
    <w:rsid w:val="004021C1"/>
    <w:rsid w:val="004035D0"/>
    <w:rsid w:val="0040592D"/>
    <w:rsid w:val="00405A80"/>
    <w:rsid w:val="00406295"/>
    <w:rsid w:val="0040742E"/>
    <w:rsid w:val="00411C6A"/>
    <w:rsid w:val="0041574B"/>
    <w:rsid w:val="004178CF"/>
    <w:rsid w:val="00420852"/>
    <w:rsid w:val="00420EA3"/>
    <w:rsid w:val="0042290F"/>
    <w:rsid w:val="00422A5B"/>
    <w:rsid w:val="00423B58"/>
    <w:rsid w:val="00426228"/>
    <w:rsid w:val="0042760D"/>
    <w:rsid w:val="00427703"/>
    <w:rsid w:val="004279C6"/>
    <w:rsid w:val="00427BDB"/>
    <w:rsid w:val="00427DC1"/>
    <w:rsid w:val="00430734"/>
    <w:rsid w:val="00432E76"/>
    <w:rsid w:val="0043476C"/>
    <w:rsid w:val="00443E60"/>
    <w:rsid w:val="00454B6E"/>
    <w:rsid w:val="004555AC"/>
    <w:rsid w:val="00460204"/>
    <w:rsid w:val="00462310"/>
    <w:rsid w:val="00464DCC"/>
    <w:rsid w:val="00465D4C"/>
    <w:rsid w:val="0046686A"/>
    <w:rsid w:val="00467996"/>
    <w:rsid w:val="00470331"/>
    <w:rsid w:val="00471818"/>
    <w:rsid w:val="00472369"/>
    <w:rsid w:val="00472B8E"/>
    <w:rsid w:val="00472F45"/>
    <w:rsid w:val="00474437"/>
    <w:rsid w:val="00475272"/>
    <w:rsid w:val="00475E3A"/>
    <w:rsid w:val="00481803"/>
    <w:rsid w:val="00482C1F"/>
    <w:rsid w:val="00483357"/>
    <w:rsid w:val="00483929"/>
    <w:rsid w:val="004842AA"/>
    <w:rsid w:val="00484E8D"/>
    <w:rsid w:val="00486B74"/>
    <w:rsid w:val="0049098E"/>
    <w:rsid w:val="004911FC"/>
    <w:rsid w:val="004923A4"/>
    <w:rsid w:val="00493E13"/>
    <w:rsid w:val="00493EBA"/>
    <w:rsid w:val="00495908"/>
    <w:rsid w:val="00495AD3"/>
    <w:rsid w:val="004975A1"/>
    <w:rsid w:val="00497911"/>
    <w:rsid w:val="004A4293"/>
    <w:rsid w:val="004A7031"/>
    <w:rsid w:val="004A776B"/>
    <w:rsid w:val="004A7DCA"/>
    <w:rsid w:val="004B12E7"/>
    <w:rsid w:val="004B1FA7"/>
    <w:rsid w:val="004B2C8A"/>
    <w:rsid w:val="004B3470"/>
    <w:rsid w:val="004B4C88"/>
    <w:rsid w:val="004B5C4C"/>
    <w:rsid w:val="004B6374"/>
    <w:rsid w:val="004C2629"/>
    <w:rsid w:val="004C2EF5"/>
    <w:rsid w:val="004C35B7"/>
    <w:rsid w:val="004C3B04"/>
    <w:rsid w:val="004C6275"/>
    <w:rsid w:val="004C6E84"/>
    <w:rsid w:val="004C7217"/>
    <w:rsid w:val="004C78DD"/>
    <w:rsid w:val="004C7C00"/>
    <w:rsid w:val="004D2393"/>
    <w:rsid w:val="004D27DC"/>
    <w:rsid w:val="004D2BE8"/>
    <w:rsid w:val="004D6FDD"/>
    <w:rsid w:val="004D72A9"/>
    <w:rsid w:val="004E188F"/>
    <w:rsid w:val="004E1C01"/>
    <w:rsid w:val="004E347B"/>
    <w:rsid w:val="004E4B5F"/>
    <w:rsid w:val="004F06DD"/>
    <w:rsid w:val="004F0EDC"/>
    <w:rsid w:val="004F33A3"/>
    <w:rsid w:val="004F47E4"/>
    <w:rsid w:val="004F5763"/>
    <w:rsid w:val="004F5E65"/>
    <w:rsid w:val="004F5EAC"/>
    <w:rsid w:val="004F6351"/>
    <w:rsid w:val="004F66AA"/>
    <w:rsid w:val="004F7048"/>
    <w:rsid w:val="00500AE0"/>
    <w:rsid w:val="00501166"/>
    <w:rsid w:val="00502023"/>
    <w:rsid w:val="00503482"/>
    <w:rsid w:val="00505056"/>
    <w:rsid w:val="00505F5A"/>
    <w:rsid w:val="00506651"/>
    <w:rsid w:val="00507D96"/>
    <w:rsid w:val="00510EB3"/>
    <w:rsid w:val="00512A48"/>
    <w:rsid w:val="00514AEB"/>
    <w:rsid w:val="005150B4"/>
    <w:rsid w:val="00515B5E"/>
    <w:rsid w:val="00517E13"/>
    <w:rsid w:val="00521BCD"/>
    <w:rsid w:val="00522DBF"/>
    <w:rsid w:val="0052544D"/>
    <w:rsid w:val="005322D7"/>
    <w:rsid w:val="0053301A"/>
    <w:rsid w:val="00533503"/>
    <w:rsid w:val="00536349"/>
    <w:rsid w:val="00537985"/>
    <w:rsid w:val="005412CE"/>
    <w:rsid w:val="0054245D"/>
    <w:rsid w:val="00542AC0"/>
    <w:rsid w:val="00547228"/>
    <w:rsid w:val="005509B2"/>
    <w:rsid w:val="00551C55"/>
    <w:rsid w:val="00551F5A"/>
    <w:rsid w:val="00551F83"/>
    <w:rsid w:val="00552861"/>
    <w:rsid w:val="00553A70"/>
    <w:rsid w:val="005558CC"/>
    <w:rsid w:val="00566FCC"/>
    <w:rsid w:val="00570587"/>
    <w:rsid w:val="005718D5"/>
    <w:rsid w:val="00571C4F"/>
    <w:rsid w:val="00573E4A"/>
    <w:rsid w:val="00574CCB"/>
    <w:rsid w:val="00574E27"/>
    <w:rsid w:val="00575BEF"/>
    <w:rsid w:val="00577C10"/>
    <w:rsid w:val="00577CF6"/>
    <w:rsid w:val="00580153"/>
    <w:rsid w:val="005807FB"/>
    <w:rsid w:val="00581DAE"/>
    <w:rsid w:val="00582E3B"/>
    <w:rsid w:val="005855C4"/>
    <w:rsid w:val="00586502"/>
    <w:rsid w:val="0058708B"/>
    <w:rsid w:val="00587549"/>
    <w:rsid w:val="00587A0D"/>
    <w:rsid w:val="00592596"/>
    <w:rsid w:val="00592FF3"/>
    <w:rsid w:val="00593F81"/>
    <w:rsid w:val="00594CE1"/>
    <w:rsid w:val="00597374"/>
    <w:rsid w:val="005973CF"/>
    <w:rsid w:val="005A1C3D"/>
    <w:rsid w:val="005A3E68"/>
    <w:rsid w:val="005A7D44"/>
    <w:rsid w:val="005A7EFA"/>
    <w:rsid w:val="005B5F1E"/>
    <w:rsid w:val="005B60A3"/>
    <w:rsid w:val="005C1DB0"/>
    <w:rsid w:val="005C3C3C"/>
    <w:rsid w:val="005C5702"/>
    <w:rsid w:val="005C6224"/>
    <w:rsid w:val="005C654E"/>
    <w:rsid w:val="005C6F15"/>
    <w:rsid w:val="005C7078"/>
    <w:rsid w:val="005D1223"/>
    <w:rsid w:val="005D32EB"/>
    <w:rsid w:val="005D3C0C"/>
    <w:rsid w:val="005D43BB"/>
    <w:rsid w:val="005D6B9D"/>
    <w:rsid w:val="005D759F"/>
    <w:rsid w:val="005E1044"/>
    <w:rsid w:val="005E6269"/>
    <w:rsid w:val="005E77B6"/>
    <w:rsid w:val="005F0013"/>
    <w:rsid w:val="005F096C"/>
    <w:rsid w:val="005F1CAA"/>
    <w:rsid w:val="005F291C"/>
    <w:rsid w:val="005F3387"/>
    <w:rsid w:val="005F33C6"/>
    <w:rsid w:val="005F443B"/>
    <w:rsid w:val="005F4561"/>
    <w:rsid w:val="005F46CD"/>
    <w:rsid w:val="005F5A54"/>
    <w:rsid w:val="005F7FD1"/>
    <w:rsid w:val="00600EEB"/>
    <w:rsid w:val="00600FA3"/>
    <w:rsid w:val="00602BC6"/>
    <w:rsid w:val="006032C1"/>
    <w:rsid w:val="006036E8"/>
    <w:rsid w:val="00607CCA"/>
    <w:rsid w:val="006109A2"/>
    <w:rsid w:val="006109FC"/>
    <w:rsid w:val="00610C3B"/>
    <w:rsid w:val="00610D7D"/>
    <w:rsid w:val="006117E8"/>
    <w:rsid w:val="006120FB"/>
    <w:rsid w:val="00613D49"/>
    <w:rsid w:val="00617BD0"/>
    <w:rsid w:val="00617D44"/>
    <w:rsid w:val="00620238"/>
    <w:rsid w:val="006240DE"/>
    <w:rsid w:val="006260FD"/>
    <w:rsid w:val="00627E83"/>
    <w:rsid w:val="0063096E"/>
    <w:rsid w:val="00630ED8"/>
    <w:rsid w:val="00633061"/>
    <w:rsid w:val="0063457A"/>
    <w:rsid w:val="00635BE2"/>
    <w:rsid w:val="00635DEC"/>
    <w:rsid w:val="006360B8"/>
    <w:rsid w:val="00636170"/>
    <w:rsid w:val="00637599"/>
    <w:rsid w:val="0064090D"/>
    <w:rsid w:val="0064485D"/>
    <w:rsid w:val="0064544E"/>
    <w:rsid w:val="00647CA0"/>
    <w:rsid w:val="00650DDD"/>
    <w:rsid w:val="0065158B"/>
    <w:rsid w:val="00651915"/>
    <w:rsid w:val="006522AD"/>
    <w:rsid w:val="00652739"/>
    <w:rsid w:val="00653433"/>
    <w:rsid w:val="0065419F"/>
    <w:rsid w:val="00654809"/>
    <w:rsid w:val="00655374"/>
    <w:rsid w:val="006557AD"/>
    <w:rsid w:val="0065607C"/>
    <w:rsid w:val="00660966"/>
    <w:rsid w:val="00661D18"/>
    <w:rsid w:val="00662077"/>
    <w:rsid w:val="00663E54"/>
    <w:rsid w:val="0066788D"/>
    <w:rsid w:val="006700EC"/>
    <w:rsid w:val="0067034B"/>
    <w:rsid w:val="00671843"/>
    <w:rsid w:val="00673628"/>
    <w:rsid w:val="00674B03"/>
    <w:rsid w:val="00675617"/>
    <w:rsid w:val="00675ED7"/>
    <w:rsid w:val="00676B97"/>
    <w:rsid w:val="00682B1B"/>
    <w:rsid w:val="006854A4"/>
    <w:rsid w:val="0068731D"/>
    <w:rsid w:val="0068765B"/>
    <w:rsid w:val="00687DE1"/>
    <w:rsid w:val="00690214"/>
    <w:rsid w:val="00690B9C"/>
    <w:rsid w:val="0069158E"/>
    <w:rsid w:val="00693905"/>
    <w:rsid w:val="00693BBD"/>
    <w:rsid w:val="006946E4"/>
    <w:rsid w:val="00694CCF"/>
    <w:rsid w:val="00694DF9"/>
    <w:rsid w:val="0069720E"/>
    <w:rsid w:val="006978BB"/>
    <w:rsid w:val="00697C6D"/>
    <w:rsid w:val="006A0979"/>
    <w:rsid w:val="006A2EC8"/>
    <w:rsid w:val="006A3A99"/>
    <w:rsid w:val="006A4B5E"/>
    <w:rsid w:val="006A4CD5"/>
    <w:rsid w:val="006A5AA7"/>
    <w:rsid w:val="006A5DE1"/>
    <w:rsid w:val="006B07B1"/>
    <w:rsid w:val="006B57FD"/>
    <w:rsid w:val="006B67EF"/>
    <w:rsid w:val="006C12E1"/>
    <w:rsid w:val="006C3984"/>
    <w:rsid w:val="006C461F"/>
    <w:rsid w:val="006C5026"/>
    <w:rsid w:val="006C6FD1"/>
    <w:rsid w:val="006C70DF"/>
    <w:rsid w:val="006C71D8"/>
    <w:rsid w:val="006D0492"/>
    <w:rsid w:val="006D0A3D"/>
    <w:rsid w:val="006D15C2"/>
    <w:rsid w:val="006D295F"/>
    <w:rsid w:val="006D3723"/>
    <w:rsid w:val="006D4372"/>
    <w:rsid w:val="006D43A0"/>
    <w:rsid w:val="006D62C9"/>
    <w:rsid w:val="006D64CC"/>
    <w:rsid w:val="006D786F"/>
    <w:rsid w:val="006E0883"/>
    <w:rsid w:val="006E0D3C"/>
    <w:rsid w:val="006E199D"/>
    <w:rsid w:val="006E3753"/>
    <w:rsid w:val="006E3C4D"/>
    <w:rsid w:val="006E3E9B"/>
    <w:rsid w:val="006E47C4"/>
    <w:rsid w:val="006E5F56"/>
    <w:rsid w:val="006E62C7"/>
    <w:rsid w:val="006E7DEC"/>
    <w:rsid w:val="006F3B7C"/>
    <w:rsid w:val="006F408B"/>
    <w:rsid w:val="006F5623"/>
    <w:rsid w:val="006F6599"/>
    <w:rsid w:val="006F7BAC"/>
    <w:rsid w:val="006F7C4C"/>
    <w:rsid w:val="0070060C"/>
    <w:rsid w:val="00701377"/>
    <w:rsid w:val="007025DE"/>
    <w:rsid w:val="00705DF1"/>
    <w:rsid w:val="00706525"/>
    <w:rsid w:val="00707E9D"/>
    <w:rsid w:val="00713727"/>
    <w:rsid w:val="00713D80"/>
    <w:rsid w:val="007143A4"/>
    <w:rsid w:val="00714568"/>
    <w:rsid w:val="007145BB"/>
    <w:rsid w:val="007145F8"/>
    <w:rsid w:val="00714B24"/>
    <w:rsid w:val="00716144"/>
    <w:rsid w:val="007162AA"/>
    <w:rsid w:val="007167A4"/>
    <w:rsid w:val="00716BD1"/>
    <w:rsid w:val="007207C8"/>
    <w:rsid w:val="00725302"/>
    <w:rsid w:val="00725A52"/>
    <w:rsid w:val="007266D0"/>
    <w:rsid w:val="0072702E"/>
    <w:rsid w:val="0073094A"/>
    <w:rsid w:val="007312F9"/>
    <w:rsid w:val="007343D1"/>
    <w:rsid w:val="00741AE0"/>
    <w:rsid w:val="007429F4"/>
    <w:rsid w:val="007516E3"/>
    <w:rsid w:val="007522D1"/>
    <w:rsid w:val="00752588"/>
    <w:rsid w:val="0075386B"/>
    <w:rsid w:val="00760655"/>
    <w:rsid w:val="00760B2B"/>
    <w:rsid w:val="007626CC"/>
    <w:rsid w:val="007627ED"/>
    <w:rsid w:val="007628F4"/>
    <w:rsid w:val="00763DB2"/>
    <w:rsid w:val="0076679C"/>
    <w:rsid w:val="00767327"/>
    <w:rsid w:val="007674F4"/>
    <w:rsid w:val="0077232D"/>
    <w:rsid w:val="0077280B"/>
    <w:rsid w:val="007733B6"/>
    <w:rsid w:val="007750CF"/>
    <w:rsid w:val="00775179"/>
    <w:rsid w:val="0077585B"/>
    <w:rsid w:val="007767DF"/>
    <w:rsid w:val="00777808"/>
    <w:rsid w:val="00777ED6"/>
    <w:rsid w:val="00782668"/>
    <w:rsid w:val="00783E3F"/>
    <w:rsid w:val="007846CA"/>
    <w:rsid w:val="00784B3E"/>
    <w:rsid w:val="00786B05"/>
    <w:rsid w:val="00790812"/>
    <w:rsid w:val="00791B4A"/>
    <w:rsid w:val="007923ED"/>
    <w:rsid w:val="00792E5E"/>
    <w:rsid w:val="00793989"/>
    <w:rsid w:val="00794334"/>
    <w:rsid w:val="0079436C"/>
    <w:rsid w:val="00796329"/>
    <w:rsid w:val="00796339"/>
    <w:rsid w:val="0079688E"/>
    <w:rsid w:val="00796E0C"/>
    <w:rsid w:val="00797629"/>
    <w:rsid w:val="007A1E73"/>
    <w:rsid w:val="007A43FB"/>
    <w:rsid w:val="007A6CF8"/>
    <w:rsid w:val="007B5115"/>
    <w:rsid w:val="007B5961"/>
    <w:rsid w:val="007B5EE5"/>
    <w:rsid w:val="007B7283"/>
    <w:rsid w:val="007C11DD"/>
    <w:rsid w:val="007C27F1"/>
    <w:rsid w:val="007C2B61"/>
    <w:rsid w:val="007C3F7E"/>
    <w:rsid w:val="007C3FDD"/>
    <w:rsid w:val="007C5A00"/>
    <w:rsid w:val="007C7109"/>
    <w:rsid w:val="007C73F6"/>
    <w:rsid w:val="007D0F8A"/>
    <w:rsid w:val="007D1BDF"/>
    <w:rsid w:val="007D2187"/>
    <w:rsid w:val="007D3C85"/>
    <w:rsid w:val="007D7E2D"/>
    <w:rsid w:val="007E0CC8"/>
    <w:rsid w:val="007E136C"/>
    <w:rsid w:val="007E205B"/>
    <w:rsid w:val="007E2B8D"/>
    <w:rsid w:val="007E5CB0"/>
    <w:rsid w:val="007E6F2A"/>
    <w:rsid w:val="007F1287"/>
    <w:rsid w:val="007F1338"/>
    <w:rsid w:val="007F27FF"/>
    <w:rsid w:val="007F3D23"/>
    <w:rsid w:val="007F47C0"/>
    <w:rsid w:val="007F6934"/>
    <w:rsid w:val="00801114"/>
    <w:rsid w:val="008075A7"/>
    <w:rsid w:val="00810960"/>
    <w:rsid w:val="008117C4"/>
    <w:rsid w:val="00812A08"/>
    <w:rsid w:val="00812BBD"/>
    <w:rsid w:val="00813E65"/>
    <w:rsid w:val="008153E2"/>
    <w:rsid w:val="0081566D"/>
    <w:rsid w:val="008156D6"/>
    <w:rsid w:val="008167D1"/>
    <w:rsid w:val="008205DE"/>
    <w:rsid w:val="00820C61"/>
    <w:rsid w:val="00821BA8"/>
    <w:rsid w:val="00823105"/>
    <w:rsid w:val="0082325F"/>
    <w:rsid w:val="008243E0"/>
    <w:rsid w:val="0082442A"/>
    <w:rsid w:val="008244DC"/>
    <w:rsid w:val="00826B03"/>
    <w:rsid w:val="0083219D"/>
    <w:rsid w:val="0083262C"/>
    <w:rsid w:val="008346A2"/>
    <w:rsid w:val="00836880"/>
    <w:rsid w:val="0083747F"/>
    <w:rsid w:val="00837C9B"/>
    <w:rsid w:val="00842976"/>
    <w:rsid w:val="00843431"/>
    <w:rsid w:val="008458FA"/>
    <w:rsid w:val="00846774"/>
    <w:rsid w:val="008472B9"/>
    <w:rsid w:val="008514FB"/>
    <w:rsid w:val="008520D7"/>
    <w:rsid w:val="00852274"/>
    <w:rsid w:val="00852387"/>
    <w:rsid w:val="00854869"/>
    <w:rsid w:val="00855CC7"/>
    <w:rsid w:val="008560C2"/>
    <w:rsid w:val="008567A5"/>
    <w:rsid w:val="00860339"/>
    <w:rsid w:val="00860D99"/>
    <w:rsid w:val="008626BE"/>
    <w:rsid w:val="00863A8A"/>
    <w:rsid w:val="00864501"/>
    <w:rsid w:val="00864964"/>
    <w:rsid w:val="00865C4B"/>
    <w:rsid w:val="008671BC"/>
    <w:rsid w:val="00867D16"/>
    <w:rsid w:val="00867E2D"/>
    <w:rsid w:val="008731BB"/>
    <w:rsid w:val="00873CEA"/>
    <w:rsid w:val="00874453"/>
    <w:rsid w:val="0087491D"/>
    <w:rsid w:val="00874DFA"/>
    <w:rsid w:val="008764F7"/>
    <w:rsid w:val="00876EF0"/>
    <w:rsid w:val="00880DFF"/>
    <w:rsid w:val="00881F87"/>
    <w:rsid w:val="00882A2E"/>
    <w:rsid w:val="00886ED9"/>
    <w:rsid w:val="0088770E"/>
    <w:rsid w:val="00887BCE"/>
    <w:rsid w:val="00892F32"/>
    <w:rsid w:val="00892FE5"/>
    <w:rsid w:val="00893692"/>
    <w:rsid w:val="00893EA4"/>
    <w:rsid w:val="00894E90"/>
    <w:rsid w:val="00894EE1"/>
    <w:rsid w:val="00895586"/>
    <w:rsid w:val="008A06E3"/>
    <w:rsid w:val="008A1F08"/>
    <w:rsid w:val="008A3343"/>
    <w:rsid w:val="008A35EE"/>
    <w:rsid w:val="008A37D4"/>
    <w:rsid w:val="008A4230"/>
    <w:rsid w:val="008A43A9"/>
    <w:rsid w:val="008A6402"/>
    <w:rsid w:val="008A7DA1"/>
    <w:rsid w:val="008B0ED6"/>
    <w:rsid w:val="008B68B1"/>
    <w:rsid w:val="008B6B25"/>
    <w:rsid w:val="008C1B75"/>
    <w:rsid w:val="008C3683"/>
    <w:rsid w:val="008C44A1"/>
    <w:rsid w:val="008C4CB4"/>
    <w:rsid w:val="008C4D00"/>
    <w:rsid w:val="008C4F63"/>
    <w:rsid w:val="008C6A0A"/>
    <w:rsid w:val="008C7D98"/>
    <w:rsid w:val="008D10DF"/>
    <w:rsid w:val="008D2645"/>
    <w:rsid w:val="008D38DA"/>
    <w:rsid w:val="008D7A57"/>
    <w:rsid w:val="008E59C6"/>
    <w:rsid w:val="008E6325"/>
    <w:rsid w:val="008E71DD"/>
    <w:rsid w:val="008F0A5D"/>
    <w:rsid w:val="008F0EC6"/>
    <w:rsid w:val="008F1476"/>
    <w:rsid w:val="008F21CA"/>
    <w:rsid w:val="008F33B6"/>
    <w:rsid w:val="008F74EF"/>
    <w:rsid w:val="00900AE3"/>
    <w:rsid w:val="00900C08"/>
    <w:rsid w:val="00900F03"/>
    <w:rsid w:val="009013EA"/>
    <w:rsid w:val="009026F7"/>
    <w:rsid w:val="0090312B"/>
    <w:rsid w:val="00905018"/>
    <w:rsid w:val="0091016D"/>
    <w:rsid w:val="009122F4"/>
    <w:rsid w:val="0091467D"/>
    <w:rsid w:val="00916098"/>
    <w:rsid w:val="00917184"/>
    <w:rsid w:val="009179F5"/>
    <w:rsid w:val="0092197A"/>
    <w:rsid w:val="00921F75"/>
    <w:rsid w:val="0092582D"/>
    <w:rsid w:val="00926F75"/>
    <w:rsid w:val="00927A89"/>
    <w:rsid w:val="00930AFC"/>
    <w:rsid w:val="00931AA1"/>
    <w:rsid w:val="009350B1"/>
    <w:rsid w:val="009357E8"/>
    <w:rsid w:val="0093610B"/>
    <w:rsid w:val="009372B5"/>
    <w:rsid w:val="00937A9B"/>
    <w:rsid w:val="009404B3"/>
    <w:rsid w:val="00940715"/>
    <w:rsid w:val="00943312"/>
    <w:rsid w:val="009433AB"/>
    <w:rsid w:val="00943A10"/>
    <w:rsid w:val="00943F87"/>
    <w:rsid w:val="009440EF"/>
    <w:rsid w:val="00945BAD"/>
    <w:rsid w:val="00946462"/>
    <w:rsid w:val="00946D26"/>
    <w:rsid w:val="00947ECB"/>
    <w:rsid w:val="00952FE8"/>
    <w:rsid w:val="009547C1"/>
    <w:rsid w:val="0095516D"/>
    <w:rsid w:val="009558C8"/>
    <w:rsid w:val="00955C7E"/>
    <w:rsid w:val="009641D0"/>
    <w:rsid w:val="00970803"/>
    <w:rsid w:val="00971742"/>
    <w:rsid w:val="00973641"/>
    <w:rsid w:val="00974491"/>
    <w:rsid w:val="009747B5"/>
    <w:rsid w:val="009761D0"/>
    <w:rsid w:val="00976E2D"/>
    <w:rsid w:val="009817C1"/>
    <w:rsid w:val="00981873"/>
    <w:rsid w:val="00984630"/>
    <w:rsid w:val="00984D2C"/>
    <w:rsid w:val="009852E8"/>
    <w:rsid w:val="0098545C"/>
    <w:rsid w:val="00986430"/>
    <w:rsid w:val="00986C1E"/>
    <w:rsid w:val="009906BF"/>
    <w:rsid w:val="00990E57"/>
    <w:rsid w:val="00991653"/>
    <w:rsid w:val="00991A38"/>
    <w:rsid w:val="009A0C94"/>
    <w:rsid w:val="009A0DD2"/>
    <w:rsid w:val="009A14FB"/>
    <w:rsid w:val="009A24B2"/>
    <w:rsid w:val="009A34AB"/>
    <w:rsid w:val="009A4937"/>
    <w:rsid w:val="009A5593"/>
    <w:rsid w:val="009A7A72"/>
    <w:rsid w:val="009A7E01"/>
    <w:rsid w:val="009B1383"/>
    <w:rsid w:val="009B1428"/>
    <w:rsid w:val="009B4D8C"/>
    <w:rsid w:val="009B6660"/>
    <w:rsid w:val="009B7618"/>
    <w:rsid w:val="009C2310"/>
    <w:rsid w:val="009C2ED2"/>
    <w:rsid w:val="009C3BBA"/>
    <w:rsid w:val="009C4337"/>
    <w:rsid w:val="009C49CA"/>
    <w:rsid w:val="009C522A"/>
    <w:rsid w:val="009C5990"/>
    <w:rsid w:val="009D0BA5"/>
    <w:rsid w:val="009D3750"/>
    <w:rsid w:val="009D496B"/>
    <w:rsid w:val="009D5181"/>
    <w:rsid w:val="009D5A9C"/>
    <w:rsid w:val="009E2C86"/>
    <w:rsid w:val="009E59D4"/>
    <w:rsid w:val="009E76F3"/>
    <w:rsid w:val="009F0510"/>
    <w:rsid w:val="009F2070"/>
    <w:rsid w:val="009F3A56"/>
    <w:rsid w:val="009F3C9E"/>
    <w:rsid w:val="009F5ECD"/>
    <w:rsid w:val="009F6542"/>
    <w:rsid w:val="009F6BC1"/>
    <w:rsid w:val="009F6F5A"/>
    <w:rsid w:val="00A013C5"/>
    <w:rsid w:val="00A018F4"/>
    <w:rsid w:val="00A01BC8"/>
    <w:rsid w:val="00A04B28"/>
    <w:rsid w:val="00A05FDD"/>
    <w:rsid w:val="00A11504"/>
    <w:rsid w:val="00A11745"/>
    <w:rsid w:val="00A11F2A"/>
    <w:rsid w:val="00A1337E"/>
    <w:rsid w:val="00A16459"/>
    <w:rsid w:val="00A1651A"/>
    <w:rsid w:val="00A176D4"/>
    <w:rsid w:val="00A215F5"/>
    <w:rsid w:val="00A21904"/>
    <w:rsid w:val="00A22092"/>
    <w:rsid w:val="00A22E28"/>
    <w:rsid w:val="00A23D6C"/>
    <w:rsid w:val="00A23F3B"/>
    <w:rsid w:val="00A23F7E"/>
    <w:rsid w:val="00A2464A"/>
    <w:rsid w:val="00A24BB7"/>
    <w:rsid w:val="00A25456"/>
    <w:rsid w:val="00A2560C"/>
    <w:rsid w:val="00A26848"/>
    <w:rsid w:val="00A3042F"/>
    <w:rsid w:val="00A30F6F"/>
    <w:rsid w:val="00A31900"/>
    <w:rsid w:val="00A3458A"/>
    <w:rsid w:val="00A35377"/>
    <w:rsid w:val="00A418CB"/>
    <w:rsid w:val="00A41ABF"/>
    <w:rsid w:val="00A43C1A"/>
    <w:rsid w:val="00A44ED9"/>
    <w:rsid w:val="00A45188"/>
    <w:rsid w:val="00A45E75"/>
    <w:rsid w:val="00A53CBC"/>
    <w:rsid w:val="00A5559B"/>
    <w:rsid w:val="00A56653"/>
    <w:rsid w:val="00A61E19"/>
    <w:rsid w:val="00A633F3"/>
    <w:rsid w:val="00A6451D"/>
    <w:rsid w:val="00A64759"/>
    <w:rsid w:val="00A70A1D"/>
    <w:rsid w:val="00A7295D"/>
    <w:rsid w:val="00A73BBE"/>
    <w:rsid w:val="00A74A9B"/>
    <w:rsid w:val="00A76283"/>
    <w:rsid w:val="00A7638A"/>
    <w:rsid w:val="00A76613"/>
    <w:rsid w:val="00A778C1"/>
    <w:rsid w:val="00A77D36"/>
    <w:rsid w:val="00A8022F"/>
    <w:rsid w:val="00A81A30"/>
    <w:rsid w:val="00A82F48"/>
    <w:rsid w:val="00A83896"/>
    <w:rsid w:val="00A83978"/>
    <w:rsid w:val="00A86034"/>
    <w:rsid w:val="00A8654E"/>
    <w:rsid w:val="00A90565"/>
    <w:rsid w:val="00A9157F"/>
    <w:rsid w:val="00A9165F"/>
    <w:rsid w:val="00A9222E"/>
    <w:rsid w:val="00A92684"/>
    <w:rsid w:val="00A9479A"/>
    <w:rsid w:val="00A94B43"/>
    <w:rsid w:val="00A96A4D"/>
    <w:rsid w:val="00A9747E"/>
    <w:rsid w:val="00AA2BE2"/>
    <w:rsid w:val="00AA6376"/>
    <w:rsid w:val="00AA64CA"/>
    <w:rsid w:val="00AA6FAE"/>
    <w:rsid w:val="00AB0D91"/>
    <w:rsid w:val="00AB1DA8"/>
    <w:rsid w:val="00AB316E"/>
    <w:rsid w:val="00AB36B1"/>
    <w:rsid w:val="00AB5846"/>
    <w:rsid w:val="00AB6E5A"/>
    <w:rsid w:val="00AB70DF"/>
    <w:rsid w:val="00AC0A22"/>
    <w:rsid w:val="00AC1112"/>
    <w:rsid w:val="00AC1527"/>
    <w:rsid w:val="00AC4D18"/>
    <w:rsid w:val="00AC58C6"/>
    <w:rsid w:val="00AC59DD"/>
    <w:rsid w:val="00AD1147"/>
    <w:rsid w:val="00AD1908"/>
    <w:rsid w:val="00AD2CDE"/>
    <w:rsid w:val="00AD3656"/>
    <w:rsid w:val="00AD398E"/>
    <w:rsid w:val="00AD5FFC"/>
    <w:rsid w:val="00AD6115"/>
    <w:rsid w:val="00AD63A4"/>
    <w:rsid w:val="00AD654D"/>
    <w:rsid w:val="00AE0928"/>
    <w:rsid w:val="00AE15F8"/>
    <w:rsid w:val="00AE16CE"/>
    <w:rsid w:val="00AE4EAB"/>
    <w:rsid w:val="00AE50A1"/>
    <w:rsid w:val="00AE63C7"/>
    <w:rsid w:val="00AE6AB4"/>
    <w:rsid w:val="00AE6F3E"/>
    <w:rsid w:val="00AE719A"/>
    <w:rsid w:val="00AF0E9C"/>
    <w:rsid w:val="00AF2197"/>
    <w:rsid w:val="00AF25A5"/>
    <w:rsid w:val="00AF2A0B"/>
    <w:rsid w:val="00AF3055"/>
    <w:rsid w:val="00AF3A07"/>
    <w:rsid w:val="00AF3B0D"/>
    <w:rsid w:val="00AF3DDC"/>
    <w:rsid w:val="00AF4EE7"/>
    <w:rsid w:val="00AF7C1F"/>
    <w:rsid w:val="00B01E1C"/>
    <w:rsid w:val="00B0210A"/>
    <w:rsid w:val="00B02F24"/>
    <w:rsid w:val="00B0585C"/>
    <w:rsid w:val="00B0686F"/>
    <w:rsid w:val="00B07013"/>
    <w:rsid w:val="00B0789E"/>
    <w:rsid w:val="00B07B20"/>
    <w:rsid w:val="00B07E14"/>
    <w:rsid w:val="00B10CDF"/>
    <w:rsid w:val="00B11862"/>
    <w:rsid w:val="00B12219"/>
    <w:rsid w:val="00B133BF"/>
    <w:rsid w:val="00B148F9"/>
    <w:rsid w:val="00B14B2E"/>
    <w:rsid w:val="00B173AA"/>
    <w:rsid w:val="00B17CCD"/>
    <w:rsid w:val="00B20649"/>
    <w:rsid w:val="00B20E91"/>
    <w:rsid w:val="00B21330"/>
    <w:rsid w:val="00B22206"/>
    <w:rsid w:val="00B2227F"/>
    <w:rsid w:val="00B22E30"/>
    <w:rsid w:val="00B25035"/>
    <w:rsid w:val="00B25F01"/>
    <w:rsid w:val="00B26D88"/>
    <w:rsid w:val="00B300BB"/>
    <w:rsid w:val="00B3135E"/>
    <w:rsid w:val="00B31573"/>
    <w:rsid w:val="00B32576"/>
    <w:rsid w:val="00B3335A"/>
    <w:rsid w:val="00B341F5"/>
    <w:rsid w:val="00B36723"/>
    <w:rsid w:val="00B36B14"/>
    <w:rsid w:val="00B404DC"/>
    <w:rsid w:val="00B45187"/>
    <w:rsid w:val="00B451AA"/>
    <w:rsid w:val="00B47CFD"/>
    <w:rsid w:val="00B47F22"/>
    <w:rsid w:val="00B52202"/>
    <w:rsid w:val="00B53304"/>
    <w:rsid w:val="00B54C1B"/>
    <w:rsid w:val="00B57357"/>
    <w:rsid w:val="00B57665"/>
    <w:rsid w:val="00B57A3C"/>
    <w:rsid w:val="00B57CF4"/>
    <w:rsid w:val="00B62E49"/>
    <w:rsid w:val="00B63973"/>
    <w:rsid w:val="00B64C94"/>
    <w:rsid w:val="00B64DA2"/>
    <w:rsid w:val="00B6629A"/>
    <w:rsid w:val="00B705B2"/>
    <w:rsid w:val="00B72D81"/>
    <w:rsid w:val="00B74E26"/>
    <w:rsid w:val="00B750E0"/>
    <w:rsid w:val="00B751AD"/>
    <w:rsid w:val="00B751FE"/>
    <w:rsid w:val="00B76881"/>
    <w:rsid w:val="00B77FCA"/>
    <w:rsid w:val="00B84E26"/>
    <w:rsid w:val="00B85CE3"/>
    <w:rsid w:val="00B8626F"/>
    <w:rsid w:val="00B91E37"/>
    <w:rsid w:val="00B929E0"/>
    <w:rsid w:val="00B940BF"/>
    <w:rsid w:val="00B94AB0"/>
    <w:rsid w:val="00B95E35"/>
    <w:rsid w:val="00B95EB2"/>
    <w:rsid w:val="00B95F47"/>
    <w:rsid w:val="00B973CC"/>
    <w:rsid w:val="00BA0606"/>
    <w:rsid w:val="00BA12A7"/>
    <w:rsid w:val="00BA2E10"/>
    <w:rsid w:val="00BA6282"/>
    <w:rsid w:val="00BB0878"/>
    <w:rsid w:val="00BB0A27"/>
    <w:rsid w:val="00BB0B0F"/>
    <w:rsid w:val="00BB13A5"/>
    <w:rsid w:val="00BB151C"/>
    <w:rsid w:val="00BB2457"/>
    <w:rsid w:val="00BB2B41"/>
    <w:rsid w:val="00BB3C09"/>
    <w:rsid w:val="00BB439A"/>
    <w:rsid w:val="00BB484C"/>
    <w:rsid w:val="00BB4FCF"/>
    <w:rsid w:val="00BB5CAE"/>
    <w:rsid w:val="00BC1166"/>
    <w:rsid w:val="00BC18DD"/>
    <w:rsid w:val="00BC1A47"/>
    <w:rsid w:val="00BC1C14"/>
    <w:rsid w:val="00BC5CB0"/>
    <w:rsid w:val="00BC5E91"/>
    <w:rsid w:val="00BC7315"/>
    <w:rsid w:val="00BC783D"/>
    <w:rsid w:val="00BD1B16"/>
    <w:rsid w:val="00BD3FE0"/>
    <w:rsid w:val="00BD5136"/>
    <w:rsid w:val="00BD6063"/>
    <w:rsid w:val="00BE4336"/>
    <w:rsid w:val="00BE49D0"/>
    <w:rsid w:val="00BE643F"/>
    <w:rsid w:val="00BF204F"/>
    <w:rsid w:val="00BF2A1D"/>
    <w:rsid w:val="00BF51EF"/>
    <w:rsid w:val="00BF688B"/>
    <w:rsid w:val="00C0124E"/>
    <w:rsid w:val="00C01DC8"/>
    <w:rsid w:val="00C02000"/>
    <w:rsid w:val="00C02019"/>
    <w:rsid w:val="00C02AA2"/>
    <w:rsid w:val="00C046A0"/>
    <w:rsid w:val="00C04EE6"/>
    <w:rsid w:val="00C05A69"/>
    <w:rsid w:val="00C06AFF"/>
    <w:rsid w:val="00C06E6F"/>
    <w:rsid w:val="00C117DA"/>
    <w:rsid w:val="00C13654"/>
    <w:rsid w:val="00C16394"/>
    <w:rsid w:val="00C16C53"/>
    <w:rsid w:val="00C17067"/>
    <w:rsid w:val="00C205C3"/>
    <w:rsid w:val="00C217C4"/>
    <w:rsid w:val="00C22594"/>
    <w:rsid w:val="00C22F9E"/>
    <w:rsid w:val="00C2413A"/>
    <w:rsid w:val="00C2430A"/>
    <w:rsid w:val="00C24337"/>
    <w:rsid w:val="00C244DC"/>
    <w:rsid w:val="00C25961"/>
    <w:rsid w:val="00C27283"/>
    <w:rsid w:val="00C30D89"/>
    <w:rsid w:val="00C36A8A"/>
    <w:rsid w:val="00C376FA"/>
    <w:rsid w:val="00C37C6B"/>
    <w:rsid w:val="00C40DF7"/>
    <w:rsid w:val="00C44D7D"/>
    <w:rsid w:val="00C45058"/>
    <w:rsid w:val="00C45618"/>
    <w:rsid w:val="00C45D36"/>
    <w:rsid w:val="00C46B39"/>
    <w:rsid w:val="00C47DEA"/>
    <w:rsid w:val="00C508C7"/>
    <w:rsid w:val="00C51C6E"/>
    <w:rsid w:val="00C537C3"/>
    <w:rsid w:val="00C53924"/>
    <w:rsid w:val="00C53F4B"/>
    <w:rsid w:val="00C540E3"/>
    <w:rsid w:val="00C5441F"/>
    <w:rsid w:val="00C601F9"/>
    <w:rsid w:val="00C60959"/>
    <w:rsid w:val="00C62FBD"/>
    <w:rsid w:val="00C632CF"/>
    <w:rsid w:val="00C6482E"/>
    <w:rsid w:val="00C65D94"/>
    <w:rsid w:val="00C65DCC"/>
    <w:rsid w:val="00C66F3A"/>
    <w:rsid w:val="00C72254"/>
    <w:rsid w:val="00C74227"/>
    <w:rsid w:val="00C76187"/>
    <w:rsid w:val="00C76AF1"/>
    <w:rsid w:val="00C76B4C"/>
    <w:rsid w:val="00C77F1B"/>
    <w:rsid w:val="00C80CED"/>
    <w:rsid w:val="00C80E7F"/>
    <w:rsid w:val="00C82A22"/>
    <w:rsid w:val="00C834A8"/>
    <w:rsid w:val="00C85547"/>
    <w:rsid w:val="00C87C3E"/>
    <w:rsid w:val="00C90592"/>
    <w:rsid w:val="00C91041"/>
    <w:rsid w:val="00C91BA3"/>
    <w:rsid w:val="00C91C92"/>
    <w:rsid w:val="00C946F2"/>
    <w:rsid w:val="00C94863"/>
    <w:rsid w:val="00C95653"/>
    <w:rsid w:val="00C95808"/>
    <w:rsid w:val="00C964B9"/>
    <w:rsid w:val="00CA19D6"/>
    <w:rsid w:val="00CA21A8"/>
    <w:rsid w:val="00CA2AD4"/>
    <w:rsid w:val="00CA3106"/>
    <w:rsid w:val="00CA4A43"/>
    <w:rsid w:val="00CA7183"/>
    <w:rsid w:val="00CA7B1B"/>
    <w:rsid w:val="00CB0F0D"/>
    <w:rsid w:val="00CB1A10"/>
    <w:rsid w:val="00CB26C4"/>
    <w:rsid w:val="00CB392A"/>
    <w:rsid w:val="00CB3EDF"/>
    <w:rsid w:val="00CB4C56"/>
    <w:rsid w:val="00CB6C6B"/>
    <w:rsid w:val="00CC0180"/>
    <w:rsid w:val="00CC11DD"/>
    <w:rsid w:val="00CC3020"/>
    <w:rsid w:val="00CC43C9"/>
    <w:rsid w:val="00CC653B"/>
    <w:rsid w:val="00CD0E88"/>
    <w:rsid w:val="00CD1234"/>
    <w:rsid w:val="00CD2146"/>
    <w:rsid w:val="00CD2546"/>
    <w:rsid w:val="00CD32AB"/>
    <w:rsid w:val="00CD333A"/>
    <w:rsid w:val="00CE01EF"/>
    <w:rsid w:val="00CE0B3C"/>
    <w:rsid w:val="00CE2956"/>
    <w:rsid w:val="00CE2B09"/>
    <w:rsid w:val="00CE3033"/>
    <w:rsid w:val="00CE3FFB"/>
    <w:rsid w:val="00CE41E9"/>
    <w:rsid w:val="00CE76CD"/>
    <w:rsid w:val="00CF042E"/>
    <w:rsid w:val="00CF0D4C"/>
    <w:rsid w:val="00CF1640"/>
    <w:rsid w:val="00CF2ED3"/>
    <w:rsid w:val="00CF34C6"/>
    <w:rsid w:val="00CF357B"/>
    <w:rsid w:val="00CF37DE"/>
    <w:rsid w:val="00CF3C0D"/>
    <w:rsid w:val="00CF6BE8"/>
    <w:rsid w:val="00CF7027"/>
    <w:rsid w:val="00CF7137"/>
    <w:rsid w:val="00D0142A"/>
    <w:rsid w:val="00D01B87"/>
    <w:rsid w:val="00D02A25"/>
    <w:rsid w:val="00D047D1"/>
    <w:rsid w:val="00D0554A"/>
    <w:rsid w:val="00D07645"/>
    <w:rsid w:val="00D132C6"/>
    <w:rsid w:val="00D15237"/>
    <w:rsid w:val="00D17022"/>
    <w:rsid w:val="00D24157"/>
    <w:rsid w:val="00D27C7D"/>
    <w:rsid w:val="00D3106F"/>
    <w:rsid w:val="00D34C7E"/>
    <w:rsid w:val="00D36452"/>
    <w:rsid w:val="00D406E2"/>
    <w:rsid w:val="00D40D23"/>
    <w:rsid w:val="00D417D1"/>
    <w:rsid w:val="00D41C8B"/>
    <w:rsid w:val="00D42271"/>
    <w:rsid w:val="00D438B3"/>
    <w:rsid w:val="00D43F2E"/>
    <w:rsid w:val="00D447B6"/>
    <w:rsid w:val="00D46A12"/>
    <w:rsid w:val="00D46ECF"/>
    <w:rsid w:val="00D474EB"/>
    <w:rsid w:val="00D477B0"/>
    <w:rsid w:val="00D50B23"/>
    <w:rsid w:val="00D530B0"/>
    <w:rsid w:val="00D534FA"/>
    <w:rsid w:val="00D536AF"/>
    <w:rsid w:val="00D5449C"/>
    <w:rsid w:val="00D55B32"/>
    <w:rsid w:val="00D570E5"/>
    <w:rsid w:val="00D57FA5"/>
    <w:rsid w:val="00D6062C"/>
    <w:rsid w:val="00D60B43"/>
    <w:rsid w:val="00D62141"/>
    <w:rsid w:val="00D62796"/>
    <w:rsid w:val="00D636E8"/>
    <w:rsid w:val="00D66226"/>
    <w:rsid w:val="00D662E7"/>
    <w:rsid w:val="00D66D78"/>
    <w:rsid w:val="00D702CF"/>
    <w:rsid w:val="00D74C09"/>
    <w:rsid w:val="00D770F7"/>
    <w:rsid w:val="00D77FA2"/>
    <w:rsid w:val="00D84F51"/>
    <w:rsid w:val="00D859EC"/>
    <w:rsid w:val="00D85AEE"/>
    <w:rsid w:val="00D92516"/>
    <w:rsid w:val="00D928CE"/>
    <w:rsid w:val="00D92E05"/>
    <w:rsid w:val="00D94457"/>
    <w:rsid w:val="00DA1054"/>
    <w:rsid w:val="00DA2183"/>
    <w:rsid w:val="00DA38C5"/>
    <w:rsid w:val="00DA4455"/>
    <w:rsid w:val="00DA5411"/>
    <w:rsid w:val="00DA5DD4"/>
    <w:rsid w:val="00DA6AF6"/>
    <w:rsid w:val="00DB00F5"/>
    <w:rsid w:val="00DB14A3"/>
    <w:rsid w:val="00DB14F8"/>
    <w:rsid w:val="00DB1D58"/>
    <w:rsid w:val="00DB2564"/>
    <w:rsid w:val="00DB28B4"/>
    <w:rsid w:val="00DB3339"/>
    <w:rsid w:val="00DB3B78"/>
    <w:rsid w:val="00DB3D59"/>
    <w:rsid w:val="00DB3FBD"/>
    <w:rsid w:val="00DB5026"/>
    <w:rsid w:val="00DB5350"/>
    <w:rsid w:val="00DB5C1B"/>
    <w:rsid w:val="00DB64DF"/>
    <w:rsid w:val="00DB76C8"/>
    <w:rsid w:val="00DC1A82"/>
    <w:rsid w:val="00DC1CA6"/>
    <w:rsid w:val="00DD2010"/>
    <w:rsid w:val="00DD21A5"/>
    <w:rsid w:val="00DD3B10"/>
    <w:rsid w:val="00DD3C84"/>
    <w:rsid w:val="00DD42C2"/>
    <w:rsid w:val="00DD43CC"/>
    <w:rsid w:val="00DD5230"/>
    <w:rsid w:val="00DD6A89"/>
    <w:rsid w:val="00DE0FCB"/>
    <w:rsid w:val="00DE1DD2"/>
    <w:rsid w:val="00DE2006"/>
    <w:rsid w:val="00DE3A90"/>
    <w:rsid w:val="00DE55BF"/>
    <w:rsid w:val="00DE59D4"/>
    <w:rsid w:val="00DE7337"/>
    <w:rsid w:val="00DF0299"/>
    <w:rsid w:val="00DF4F89"/>
    <w:rsid w:val="00DF70DC"/>
    <w:rsid w:val="00DF71B2"/>
    <w:rsid w:val="00E0002F"/>
    <w:rsid w:val="00E009A6"/>
    <w:rsid w:val="00E04666"/>
    <w:rsid w:val="00E04A0E"/>
    <w:rsid w:val="00E04F6F"/>
    <w:rsid w:val="00E052D2"/>
    <w:rsid w:val="00E05671"/>
    <w:rsid w:val="00E058C3"/>
    <w:rsid w:val="00E1115B"/>
    <w:rsid w:val="00E1145B"/>
    <w:rsid w:val="00E12ECA"/>
    <w:rsid w:val="00E1325B"/>
    <w:rsid w:val="00E13BB6"/>
    <w:rsid w:val="00E13DDC"/>
    <w:rsid w:val="00E16C8F"/>
    <w:rsid w:val="00E1718A"/>
    <w:rsid w:val="00E179C5"/>
    <w:rsid w:val="00E21C91"/>
    <w:rsid w:val="00E22FDE"/>
    <w:rsid w:val="00E24E99"/>
    <w:rsid w:val="00E24FE3"/>
    <w:rsid w:val="00E2761E"/>
    <w:rsid w:val="00E2789D"/>
    <w:rsid w:val="00E27A26"/>
    <w:rsid w:val="00E325C7"/>
    <w:rsid w:val="00E32877"/>
    <w:rsid w:val="00E32A28"/>
    <w:rsid w:val="00E33079"/>
    <w:rsid w:val="00E33627"/>
    <w:rsid w:val="00E33894"/>
    <w:rsid w:val="00E33FCE"/>
    <w:rsid w:val="00E36E6B"/>
    <w:rsid w:val="00E37C0C"/>
    <w:rsid w:val="00E41893"/>
    <w:rsid w:val="00E44139"/>
    <w:rsid w:val="00E449F4"/>
    <w:rsid w:val="00E4631B"/>
    <w:rsid w:val="00E46C60"/>
    <w:rsid w:val="00E50DA5"/>
    <w:rsid w:val="00E51AA2"/>
    <w:rsid w:val="00E527F7"/>
    <w:rsid w:val="00E53937"/>
    <w:rsid w:val="00E55CE3"/>
    <w:rsid w:val="00E61ACC"/>
    <w:rsid w:val="00E61C4B"/>
    <w:rsid w:val="00E624F0"/>
    <w:rsid w:val="00E62A16"/>
    <w:rsid w:val="00E63CF8"/>
    <w:rsid w:val="00E669AB"/>
    <w:rsid w:val="00E674E7"/>
    <w:rsid w:val="00E7100F"/>
    <w:rsid w:val="00E725B8"/>
    <w:rsid w:val="00E73ECB"/>
    <w:rsid w:val="00E7441C"/>
    <w:rsid w:val="00E755E9"/>
    <w:rsid w:val="00E76527"/>
    <w:rsid w:val="00E77F65"/>
    <w:rsid w:val="00E80A2B"/>
    <w:rsid w:val="00E8172F"/>
    <w:rsid w:val="00E830CC"/>
    <w:rsid w:val="00E833D7"/>
    <w:rsid w:val="00E839AA"/>
    <w:rsid w:val="00E841D3"/>
    <w:rsid w:val="00E870EB"/>
    <w:rsid w:val="00E87B6C"/>
    <w:rsid w:val="00E914E1"/>
    <w:rsid w:val="00E92BC1"/>
    <w:rsid w:val="00E95FEB"/>
    <w:rsid w:val="00E97B6B"/>
    <w:rsid w:val="00EA02D1"/>
    <w:rsid w:val="00EA3ABD"/>
    <w:rsid w:val="00EB2145"/>
    <w:rsid w:val="00EB4CD7"/>
    <w:rsid w:val="00EB64B5"/>
    <w:rsid w:val="00EB7498"/>
    <w:rsid w:val="00EB7603"/>
    <w:rsid w:val="00EC5E3D"/>
    <w:rsid w:val="00EC62A9"/>
    <w:rsid w:val="00EC6C82"/>
    <w:rsid w:val="00ED046B"/>
    <w:rsid w:val="00ED4903"/>
    <w:rsid w:val="00ED4FE9"/>
    <w:rsid w:val="00ED755B"/>
    <w:rsid w:val="00EE2C81"/>
    <w:rsid w:val="00EE3723"/>
    <w:rsid w:val="00EE3952"/>
    <w:rsid w:val="00EE6A7D"/>
    <w:rsid w:val="00EE7EEB"/>
    <w:rsid w:val="00EF09AF"/>
    <w:rsid w:val="00EF10A9"/>
    <w:rsid w:val="00EF2CD8"/>
    <w:rsid w:val="00EF44BF"/>
    <w:rsid w:val="00EF5A32"/>
    <w:rsid w:val="00EF5DF1"/>
    <w:rsid w:val="00EF6541"/>
    <w:rsid w:val="00EF7476"/>
    <w:rsid w:val="00EF79F0"/>
    <w:rsid w:val="00F015F4"/>
    <w:rsid w:val="00F02579"/>
    <w:rsid w:val="00F03A52"/>
    <w:rsid w:val="00F06409"/>
    <w:rsid w:val="00F06D6C"/>
    <w:rsid w:val="00F1100A"/>
    <w:rsid w:val="00F11325"/>
    <w:rsid w:val="00F11AA7"/>
    <w:rsid w:val="00F14B92"/>
    <w:rsid w:val="00F14EE1"/>
    <w:rsid w:val="00F17DD8"/>
    <w:rsid w:val="00F2083F"/>
    <w:rsid w:val="00F21088"/>
    <w:rsid w:val="00F21382"/>
    <w:rsid w:val="00F21985"/>
    <w:rsid w:val="00F22294"/>
    <w:rsid w:val="00F22518"/>
    <w:rsid w:val="00F25B21"/>
    <w:rsid w:val="00F260AB"/>
    <w:rsid w:val="00F3072D"/>
    <w:rsid w:val="00F34336"/>
    <w:rsid w:val="00F3577F"/>
    <w:rsid w:val="00F36300"/>
    <w:rsid w:val="00F364C6"/>
    <w:rsid w:val="00F452A7"/>
    <w:rsid w:val="00F458E1"/>
    <w:rsid w:val="00F45EA0"/>
    <w:rsid w:val="00F46CC8"/>
    <w:rsid w:val="00F46E52"/>
    <w:rsid w:val="00F47430"/>
    <w:rsid w:val="00F51209"/>
    <w:rsid w:val="00F535AC"/>
    <w:rsid w:val="00F5552E"/>
    <w:rsid w:val="00F57086"/>
    <w:rsid w:val="00F57AE4"/>
    <w:rsid w:val="00F6119E"/>
    <w:rsid w:val="00F612ED"/>
    <w:rsid w:val="00F632F7"/>
    <w:rsid w:val="00F63EF4"/>
    <w:rsid w:val="00F64E0A"/>
    <w:rsid w:val="00F65B4C"/>
    <w:rsid w:val="00F66529"/>
    <w:rsid w:val="00F669BD"/>
    <w:rsid w:val="00F66B43"/>
    <w:rsid w:val="00F700D6"/>
    <w:rsid w:val="00F7173D"/>
    <w:rsid w:val="00F72622"/>
    <w:rsid w:val="00F72845"/>
    <w:rsid w:val="00F73D60"/>
    <w:rsid w:val="00F74C5D"/>
    <w:rsid w:val="00F75AE8"/>
    <w:rsid w:val="00F76545"/>
    <w:rsid w:val="00F76E84"/>
    <w:rsid w:val="00F82595"/>
    <w:rsid w:val="00F82D42"/>
    <w:rsid w:val="00F850FD"/>
    <w:rsid w:val="00F86C75"/>
    <w:rsid w:val="00F92830"/>
    <w:rsid w:val="00F92AEC"/>
    <w:rsid w:val="00F93130"/>
    <w:rsid w:val="00F948C0"/>
    <w:rsid w:val="00F965F9"/>
    <w:rsid w:val="00F966F0"/>
    <w:rsid w:val="00FA0F04"/>
    <w:rsid w:val="00FA13E6"/>
    <w:rsid w:val="00FA337E"/>
    <w:rsid w:val="00FA3F8E"/>
    <w:rsid w:val="00FA7791"/>
    <w:rsid w:val="00FA7A54"/>
    <w:rsid w:val="00FB0962"/>
    <w:rsid w:val="00FB4158"/>
    <w:rsid w:val="00FB505D"/>
    <w:rsid w:val="00FB5362"/>
    <w:rsid w:val="00FB541C"/>
    <w:rsid w:val="00FB549E"/>
    <w:rsid w:val="00FC0031"/>
    <w:rsid w:val="00FC1F36"/>
    <w:rsid w:val="00FC4010"/>
    <w:rsid w:val="00FC4392"/>
    <w:rsid w:val="00FC60DC"/>
    <w:rsid w:val="00FC73E7"/>
    <w:rsid w:val="00FD0319"/>
    <w:rsid w:val="00FD08C6"/>
    <w:rsid w:val="00FD182B"/>
    <w:rsid w:val="00FD1AAD"/>
    <w:rsid w:val="00FD48D4"/>
    <w:rsid w:val="00FD6C46"/>
    <w:rsid w:val="00FD6EF0"/>
    <w:rsid w:val="00FD76A1"/>
    <w:rsid w:val="00FE0300"/>
    <w:rsid w:val="00FE2621"/>
    <w:rsid w:val="00FE28F2"/>
    <w:rsid w:val="00FE2952"/>
    <w:rsid w:val="00FE3BA2"/>
    <w:rsid w:val="00FE4581"/>
    <w:rsid w:val="00FE53C5"/>
    <w:rsid w:val="00FE5D2D"/>
    <w:rsid w:val="00FE65B4"/>
    <w:rsid w:val="00FE71CA"/>
    <w:rsid w:val="00FE7777"/>
    <w:rsid w:val="00FF0A8C"/>
    <w:rsid w:val="00FF0ED5"/>
    <w:rsid w:val="00FF5DA1"/>
    <w:rsid w:val="00FF6317"/>
    <w:rsid w:val="00FF77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8043A1"/>
  <w14:defaultImageDpi w14:val="300"/>
  <w15:docId w15:val="{12C0C5F0-03BD-4D8D-A277-DEB48584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3A4"/>
    <w:rPr>
      <w:sz w:val="24"/>
      <w:szCs w:val="24"/>
    </w:rPr>
  </w:style>
  <w:style w:type="paragraph" w:styleId="Heading1">
    <w:name w:val="heading 1"/>
    <w:basedOn w:val="Normal"/>
    <w:next w:val="Normal"/>
    <w:link w:val="Heading1Char"/>
    <w:uiPriority w:val="99"/>
    <w:qFormat/>
    <w:rsid w:val="00AD63A4"/>
    <w:pPr>
      <w:keepNext/>
      <w:spacing w:before="240" w:after="60"/>
      <w:outlineLvl w:val="0"/>
    </w:pPr>
    <w:rPr>
      <w:rFonts w:ascii="Arial" w:hAnsi="Arial" w:cs="Arial"/>
      <w:b/>
      <w:bCs/>
      <w:kern w:val="28"/>
      <w:sz w:val="28"/>
      <w:szCs w:val="28"/>
      <w:lang w:bidi="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D63A4"/>
    <w:rPr>
      <w:rFonts w:ascii="Arial" w:hAnsi="Arial" w:cs="Arial"/>
      <w:b/>
      <w:bCs/>
      <w:kern w:val="28"/>
      <w:sz w:val="28"/>
      <w:szCs w:val="28"/>
      <w:lang w:eastAsia="en-US" w:bidi="he-IL"/>
    </w:rPr>
  </w:style>
  <w:style w:type="paragraph" w:styleId="Footer">
    <w:name w:val="footer"/>
    <w:basedOn w:val="Normal"/>
    <w:link w:val="FooterChar"/>
    <w:uiPriority w:val="99"/>
    <w:rsid w:val="00AD63A4"/>
    <w:pPr>
      <w:tabs>
        <w:tab w:val="center" w:pos="4320"/>
        <w:tab w:val="right" w:pos="8640"/>
      </w:tabs>
    </w:pPr>
  </w:style>
  <w:style w:type="character" w:customStyle="1" w:styleId="FooterChar">
    <w:name w:val="Footer Char"/>
    <w:link w:val="Footer"/>
    <w:uiPriority w:val="99"/>
    <w:locked/>
    <w:rsid w:val="00AD63A4"/>
    <w:rPr>
      <w:rFonts w:eastAsia="Times New Roman" w:cs="Times New Roman"/>
      <w:sz w:val="24"/>
      <w:szCs w:val="24"/>
      <w:lang w:eastAsia="en-US"/>
    </w:rPr>
  </w:style>
  <w:style w:type="character" w:styleId="PageNumber">
    <w:name w:val="page number"/>
    <w:uiPriority w:val="99"/>
    <w:rsid w:val="00AD63A4"/>
    <w:rPr>
      <w:rFonts w:cs="Times New Roman"/>
    </w:rPr>
  </w:style>
  <w:style w:type="paragraph" w:styleId="ListParagraph">
    <w:name w:val="List Paragraph"/>
    <w:basedOn w:val="Normal"/>
    <w:uiPriority w:val="34"/>
    <w:qFormat/>
    <w:rsid w:val="00AD63A4"/>
    <w:pPr>
      <w:ind w:left="720"/>
      <w:contextualSpacing/>
    </w:pPr>
  </w:style>
  <w:style w:type="paragraph" w:styleId="NormalWeb">
    <w:name w:val="Normal (Web)"/>
    <w:basedOn w:val="Normal"/>
    <w:uiPriority w:val="99"/>
    <w:rsid w:val="00AD63A4"/>
    <w:pPr>
      <w:spacing w:before="100" w:beforeAutospacing="1" w:after="100" w:afterAutospacing="1"/>
    </w:pPr>
  </w:style>
  <w:style w:type="paragraph" w:styleId="FootnoteText">
    <w:name w:val="footnote text"/>
    <w:basedOn w:val="Normal"/>
    <w:link w:val="FootnoteTextChar"/>
    <w:uiPriority w:val="99"/>
    <w:rsid w:val="00AD63A4"/>
    <w:pPr>
      <w:widowControl w:val="0"/>
    </w:pPr>
    <w:rPr>
      <w:rFonts w:ascii="Courier New" w:hAnsi="Courier New" w:cs="Courier New"/>
      <w:lang w:bidi="he-IL"/>
    </w:rPr>
  </w:style>
  <w:style w:type="character" w:customStyle="1" w:styleId="FootnoteTextChar">
    <w:name w:val="Footnote Text Char"/>
    <w:link w:val="FootnoteText"/>
    <w:uiPriority w:val="99"/>
    <w:locked/>
    <w:rsid w:val="00AD63A4"/>
    <w:rPr>
      <w:rFonts w:ascii="Courier New" w:hAnsi="Courier New" w:cs="Courier New"/>
      <w:sz w:val="24"/>
      <w:szCs w:val="24"/>
      <w:lang w:eastAsia="en-US" w:bidi="he-IL"/>
    </w:rPr>
  </w:style>
  <w:style w:type="character" w:styleId="FootnoteReference">
    <w:name w:val="footnote reference"/>
    <w:uiPriority w:val="99"/>
    <w:rsid w:val="00AD63A4"/>
    <w:rPr>
      <w:rFonts w:cs="Times New Roman"/>
      <w:vertAlign w:val="superscript"/>
    </w:rPr>
  </w:style>
  <w:style w:type="paragraph" w:styleId="NoSpacing">
    <w:name w:val="No Spacing"/>
    <w:uiPriority w:val="99"/>
    <w:qFormat/>
    <w:rsid w:val="00AD63A4"/>
    <w:rPr>
      <w:rFonts w:ascii="Cambria" w:hAnsi="Cambria"/>
      <w:sz w:val="22"/>
      <w:szCs w:val="22"/>
      <w:lang w:val="en-CA"/>
    </w:rPr>
  </w:style>
  <w:style w:type="paragraph" w:styleId="HTMLPreformatted">
    <w:name w:val="HTML Preformatted"/>
    <w:basedOn w:val="Normal"/>
    <w:link w:val="HTMLPreformattedChar"/>
    <w:rsid w:val="00AD6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link w:val="HTMLPreformatted"/>
    <w:locked/>
    <w:rsid w:val="00AD63A4"/>
    <w:rPr>
      <w:rFonts w:ascii="Courier" w:eastAsia="MS ??" w:hAnsi="Courier" w:cs="Courier"/>
      <w:lang w:eastAsia="en-US"/>
    </w:rPr>
  </w:style>
  <w:style w:type="character" w:customStyle="1" w:styleId="paragraph">
    <w:name w:val="paragraph"/>
    <w:uiPriority w:val="99"/>
    <w:rsid w:val="00AD63A4"/>
  </w:style>
  <w:style w:type="paragraph" w:styleId="BalloonText">
    <w:name w:val="Balloon Text"/>
    <w:basedOn w:val="Normal"/>
    <w:link w:val="BalloonTextChar"/>
    <w:uiPriority w:val="99"/>
    <w:semiHidden/>
    <w:rsid w:val="00077F1A"/>
    <w:rPr>
      <w:rFonts w:ascii="Lucida Grande" w:hAnsi="Lucida Grande" w:cs="Lucida Grande"/>
      <w:sz w:val="18"/>
      <w:szCs w:val="18"/>
    </w:rPr>
  </w:style>
  <w:style w:type="character" w:customStyle="1" w:styleId="BalloonTextChar">
    <w:name w:val="Balloon Text Char"/>
    <w:link w:val="BalloonText"/>
    <w:uiPriority w:val="99"/>
    <w:semiHidden/>
    <w:locked/>
    <w:rsid w:val="00077F1A"/>
    <w:rPr>
      <w:rFonts w:ascii="Lucida Grande" w:hAnsi="Lucida Grande" w:cs="Lucida Grande"/>
      <w:sz w:val="18"/>
      <w:szCs w:val="18"/>
      <w:lang w:eastAsia="en-US"/>
    </w:rPr>
  </w:style>
  <w:style w:type="paragraph" w:styleId="Header">
    <w:name w:val="header"/>
    <w:basedOn w:val="Normal"/>
    <w:link w:val="HeaderChar"/>
    <w:uiPriority w:val="99"/>
    <w:rsid w:val="00077F1A"/>
    <w:pPr>
      <w:tabs>
        <w:tab w:val="center" w:pos="4320"/>
        <w:tab w:val="right" w:pos="8640"/>
      </w:tabs>
    </w:pPr>
  </w:style>
  <w:style w:type="character" w:customStyle="1" w:styleId="HeaderChar">
    <w:name w:val="Header Char"/>
    <w:link w:val="Header"/>
    <w:uiPriority w:val="99"/>
    <w:locked/>
    <w:rsid w:val="00077F1A"/>
    <w:rPr>
      <w:rFonts w:eastAsia="Times New Roman" w:cs="Times New Roman"/>
      <w:sz w:val="24"/>
      <w:szCs w:val="24"/>
      <w:lang w:eastAsia="en-US"/>
    </w:rPr>
  </w:style>
  <w:style w:type="character" w:styleId="CommentReference">
    <w:name w:val="annotation reference"/>
    <w:uiPriority w:val="99"/>
    <w:semiHidden/>
    <w:rsid w:val="00C6482E"/>
    <w:rPr>
      <w:rFonts w:cs="Times New Roman"/>
      <w:sz w:val="16"/>
      <w:szCs w:val="16"/>
    </w:rPr>
  </w:style>
  <w:style w:type="paragraph" w:styleId="CommentText">
    <w:name w:val="annotation text"/>
    <w:basedOn w:val="Normal"/>
    <w:link w:val="CommentTextChar"/>
    <w:uiPriority w:val="99"/>
    <w:semiHidden/>
    <w:rsid w:val="00C6482E"/>
    <w:rPr>
      <w:sz w:val="20"/>
      <w:szCs w:val="20"/>
    </w:rPr>
  </w:style>
  <w:style w:type="character" w:customStyle="1" w:styleId="CommentTextChar">
    <w:name w:val="Comment Text Char"/>
    <w:link w:val="CommentText"/>
    <w:uiPriority w:val="99"/>
    <w:semiHidden/>
    <w:rsid w:val="006E25C6"/>
    <w:rPr>
      <w:sz w:val="20"/>
      <w:szCs w:val="20"/>
    </w:rPr>
  </w:style>
  <w:style w:type="paragraph" w:styleId="CommentSubject">
    <w:name w:val="annotation subject"/>
    <w:basedOn w:val="CommentText"/>
    <w:next w:val="CommentText"/>
    <w:link w:val="CommentSubjectChar"/>
    <w:uiPriority w:val="99"/>
    <w:semiHidden/>
    <w:rsid w:val="00C6482E"/>
    <w:rPr>
      <w:b/>
      <w:bCs/>
    </w:rPr>
  </w:style>
  <w:style w:type="character" w:customStyle="1" w:styleId="CommentSubjectChar">
    <w:name w:val="Comment Subject Char"/>
    <w:link w:val="CommentSubject"/>
    <w:uiPriority w:val="99"/>
    <w:semiHidden/>
    <w:rsid w:val="006E25C6"/>
    <w:rPr>
      <w:b/>
      <w:bCs/>
      <w:sz w:val="20"/>
      <w:szCs w:val="20"/>
    </w:rPr>
  </w:style>
  <w:style w:type="paragraph" w:styleId="PlainText">
    <w:name w:val="Plain Text"/>
    <w:basedOn w:val="Normal"/>
    <w:link w:val="PlainTextChar"/>
    <w:uiPriority w:val="99"/>
    <w:unhideWhenUsed/>
    <w:rsid w:val="00C76B4C"/>
    <w:rPr>
      <w:rFonts w:ascii="Courier" w:eastAsia="MS Mincho" w:hAnsi="Courier"/>
      <w:sz w:val="21"/>
      <w:szCs w:val="21"/>
    </w:rPr>
  </w:style>
  <w:style w:type="character" w:customStyle="1" w:styleId="PlainTextChar">
    <w:name w:val="Plain Text Char"/>
    <w:link w:val="PlainText"/>
    <w:uiPriority w:val="99"/>
    <w:rsid w:val="00C76B4C"/>
    <w:rPr>
      <w:rFonts w:ascii="Courier" w:eastAsia="MS Mincho" w:hAnsi="Courier"/>
      <w:sz w:val="21"/>
      <w:szCs w:val="21"/>
    </w:rPr>
  </w:style>
  <w:style w:type="paragraph" w:styleId="Revision">
    <w:name w:val="Revision"/>
    <w:hidden/>
    <w:uiPriority w:val="99"/>
    <w:semiHidden/>
    <w:rsid w:val="00DE59D4"/>
    <w:rPr>
      <w:sz w:val="24"/>
      <w:szCs w:val="24"/>
    </w:rPr>
  </w:style>
  <w:style w:type="character" w:styleId="Hyperlink">
    <w:name w:val="Hyperlink"/>
    <w:rsid w:val="008520D7"/>
    <w:rPr>
      <w:color w:val="0000FF"/>
      <w:u w:val="single"/>
    </w:rPr>
  </w:style>
  <w:style w:type="character" w:styleId="EndnoteReference">
    <w:name w:val="endnote reference"/>
    <w:uiPriority w:val="99"/>
    <w:rsid w:val="008520D7"/>
    <w:rPr>
      <w:vertAlign w:val="superscript"/>
    </w:rPr>
  </w:style>
  <w:style w:type="table" w:styleId="TableGrid">
    <w:name w:val="Table Grid"/>
    <w:basedOn w:val="TableNormal"/>
    <w:uiPriority w:val="59"/>
    <w:locked/>
    <w:rsid w:val="00694DF9"/>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F2A0B"/>
    <w:pPr>
      <w:jc w:val="center"/>
    </w:pPr>
    <w:rPr>
      <w:sz w:val="20"/>
    </w:rPr>
  </w:style>
  <w:style w:type="paragraph" w:customStyle="1" w:styleId="EndNoteBibliography">
    <w:name w:val="EndNote Bibliography"/>
    <w:basedOn w:val="Normal"/>
    <w:link w:val="EndNoteBibliography0"/>
    <w:rsid w:val="00AF2A0B"/>
    <w:rPr>
      <w:sz w:val="20"/>
    </w:rPr>
  </w:style>
  <w:style w:type="character" w:customStyle="1" w:styleId="EndNoteBibliography0">
    <w:name w:val="EndNote Bibliography 字元"/>
    <w:basedOn w:val="DefaultParagraphFont"/>
    <w:link w:val="EndNoteBibliography"/>
    <w:rsid w:val="00044412"/>
    <w:rPr>
      <w:szCs w:val="24"/>
    </w:rPr>
  </w:style>
  <w:style w:type="paragraph" w:styleId="Caption">
    <w:name w:val="caption"/>
    <w:basedOn w:val="Normal"/>
    <w:next w:val="Normal"/>
    <w:unhideWhenUsed/>
    <w:qFormat/>
    <w:locked/>
    <w:rsid w:val="00F535AC"/>
    <w:rPr>
      <w:rFonts w:ascii="Cambria" w:eastAsia="MS Mincho" w:hAnsi="Cambria"/>
      <w:b/>
      <w:bCs/>
      <w:sz w:val="20"/>
      <w:szCs w:val="20"/>
      <w:lang w:eastAsia="ja-JP"/>
    </w:rPr>
  </w:style>
  <w:style w:type="paragraph" w:customStyle="1" w:styleId="Normal1">
    <w:name w:val="Normal1"/>
    <w:link w:val="Normal1Char"/>
    <w:rsid w:val="005A7EFA"/>
    <w:pPr>
      <w:spacing w:line="276" w:lineRule="auto"/>
    </w:pPr>
    <w:rPr>
      <w:rFonts w:ascii="Arial" w:eastAsia="Arial" w:hAnsi="Arial" w:cs="Arial"/>
      <w:color w:val="000000"/>
      <w:sz w:val="22"/>
      <w:szCs w:val="22"/>
    </w:rPr>
  </w:style>
  <w:style w:type="paragraph" w:styleId="BodyText3">
    <w:name w:val="Body Text 3"/>
    <w:basedOn w:val="Normal"/>
    <w:link w:val="BodyText3Char"/>
    <w:rsid w:val="00A22092"/>
    <w:pPr>
      <w:widowControl w:val="0"/>
      <w:spacing w:after="120"/>
    </w:pPr>
    <w:rPr>
      <w:rFonts w:ascii="Courier New" w:eastAsia="Times New Roman" w:hAnsi="Courier New"/>
      <w:snapToGrid w:val="0"/>
      <w:sz w:val="16"/>
      <w:szCs w:val="16"/>
    </w:rPr>
  </w:style>
  <w:style w:type="character" w:customStyle="1" w:styleId="BodyText3Char">
    <w:name w:val="Body Text 3 Char"/>
    <w:basedOn w:val="DefaultParagraphFont"/>
    <w:link w:val="BodyText3"/>
    <w:rsid w:val="00A22092"/>
    <w:rPr>
      <w:rFonts w:ascii="Courier New" w:eastAsia="Times New Roman" w:hAnsi="Courier New"/>
      <w:snapToGrid w:val="0"/>
      <w:sz w:val="16"/>
      <w:szCs w:val="16"/>
    </w:rPr>
  </w:style>
  <w:style w:type="paragraph" w:customStyle="1" w:styleId="ColorfulList-Accent11">
    <w:name w:val="Colorful List - Accent 11"/>
    <w:basedOn w:val="Normal"/>
    <w:uiPriority w:val="34"/>
    <w:qFormat/>
    <w:rsid w:val="004F6351"/>
    <w:pPr>
      <w:ind w:left="720"/>
      <w:contextualSpacing/>
    </w:pPr>
  </w:style>
  <w:style w:type="character" w:customStyle="1" w:styleId="EndNoteBibliographyChar">
    <w:name w:val="EndNote Bibliography Char"/>
    <w:basedOn w:val="DefaultParagraphFont"/>
    <w:rsid w:val="0083747F"/>
    <w:rPr>
      <w:rFonts w:ascii="Calibri" w:hAnsi="Calibri"/>
      <w:noProof/>
      <w:sz w:val="22"/>
      <w:szCs w:val="22"/>
    </w:rPr>
  </w:style>
  <w:style w:type="paragraph" w:styleId="EndnoteText">
    <w:name w:val="endnote text"/>
    <w:basedOn w:val="Normal"/>
    <w:link w:val="EndnoteTextChar"/>
    <w:uiPriority w:val="99"/>
    <w:semiHidden/>
    <w:unhideWhenUsed/>
    <w:rsid w:val="0083747F"/>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83747F"/>
    <w:rPr>
      <w:rFonts w:asciiTheme="minorHAnsi" w:eastAsiaTheme="minorHAnsi" w:hAnsiTheme="minorHAnsi" w:cstheme="minorBidi"/>
    </w:rPr>
  </w:style>
  <w:style w:type="character" w:customStyle="1" w:styleId="EndNoteBibliographyTitleChar">
    <w:name w:val="EndNote Bibliography Title Char"/>
    <w:basedOn w:val="DefaultParagraphFont"/>
    <w:link w:val="EndNoteBibliographyTitle"/>
    <w:rsid w:val="00DD21A5"/>
    <w:rPr>
      <w:szCs w:val="24"/>
    </w:rPr>
  </w:style>
  <w:style w:type="paragraph" w:styleId="BodyText">
    <w:name w:val="Body Text"/>
    <w:basedOn w:val="Normal"/>
    <w:link w:val="BodyTextChar"/>
    <w:uiPriority w:val="99"/>
    <w:semiHidden/>
    <w:unhideWhenUsed/>
    <w:rsid w:val="00DD21A5"/>
    <w:pPr>
      <w:spacing w:after="120"/>
    </w:pPr>
  </w:style>
  <w:style w:type="character" w:customStyle="1" w:styleId="BodyTextChar">
    <w:name w:val="Body Text Char"/>
    <w:basedOn w:val="DefaultParagraphFont"/>
    <w:link w:val="BodyText"/>
    <w:uiPriority w:val="99"/>
    <w:semiHidden/>
    <w:rsid w:val="00DD21A5"/>
    <w:rPr>
      <w:sz w:val="24"/>
      <w:szCs w:val="24"/>
    </w:rPr>
  </w:style>
  <w:style w:type="character" w:customStyle="1" w:styleId="ja50-ce-para8">
    <w:name w:val="ja50-ce-para8"/>
    <w:basedOn w:val="DefaultParagraphFont"/>
    <w:rsid w:val="00F92830"/>
  </w:style>
  <w:style w:type="paragraph" w:customStyle="1" w:styleId="Body">
    <w:name w:val="Body"/>
    <w:rsid w:val="004A7DCA"/>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rPr>
  </w:style>
  <w:style w:type="character" w:customStyle="1" w:styleId="None">
    <w:name w:val="None"/>
    <w:rsid w:val="004A7DCA"/>
  </w:style>
  <w:style w:type="character" w:customStyle="1" w:styleId="Hyperlink0">
    <w:name w:val="Hyperlink.0"/>
    <w:basedOn w:val="None"/>
    <w:rsid w:val="004A7DCA"/>
    <w:rPr>
      <w:color w:val="1155CC"/>
      <w:sz w:val="20"/>
      <w:szCs w:val="20"/>
      <w:u w:val="single" w:color="1155CC"/>
    </w:rPr>
  </w:style>
  <w:style w:type="character" w:customStyle="1" w:styleId="Normal1Char">
    <w:name w:val="Normal1 Char"/>
    <w:basedOn w:val="DefaultParagraphFont"/>
    <w:link w:val="Normal1"/>
    <w:rsid w:val="004A7DCA"/>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00070">
      <w:bodyDiv w:val="1"/>
      <w:marLeft w:val="0"/>
      <w:marRight w:val="0"/>
      <w:marTop w:val="0"/>
      <w:marBottom w:val="0"/>
      <w:divBdr>
        <w:top w:val="none" w:sz="0" w:space="0" w:color="auto"/>
        <w:left w:val="none" w:sz="0" w:space="0" w:color="auto"/>
        <w:bottom w:val="none" w:sz="0" w:space="0" w:color="auto"/>
        <w:right w:val="none" w:sz="0" w:space="0" w:color="auto"/>
      </w:divBdr>
    </w:div>
    <w:div w:id="250748457">
      <w:bodyDiv w:val="1"/>
      <w:marLeft w:val="0"/>
      <w:marRight w:val="0"/>
      <w:marTop w:val="0"/>
      <w:marBottom w:val="0"/>
      <w:divBdr>
        <w:top w:val="none" w:sz="0" w:space="0" w:color="auto"/>
        <w:left w:val="none" w:sz="0" w:space="0" w:color="auto"/>
        <w:bottom w:val="none" w:sz="0" w:space="0" w:color="auto"/>
        <w:right w:val="none" w:sz="0" w:space="0" w:color="auto"/>
      </w:divBdr>
    </w:div>
    <w:div w:id="363478237">
      <w:bodyDiv w:val="1"/>
      <w:marLeft w:val="0"/>
      <w:marRight w:val="0"/>
      <w:marTop w:val="0"/>
      <w:marBottom w:val="0"/>
      <w:divBdr>
        <w:top w:val="none" w:sz="0" w:space="0" w:color="auto"/>
        <w:left w:val="none" w:sz="0" w:space="0" w:color="auto"/>
        <w:bottom w:val="none" w:sz="0" w:space="0" w:color="auto"/>
        <w:right w:val="none" w:sz="0" w:space="0" w:color="auto"/>
      </w:divBdr>
    </w:div>
    <w:div w:id="475411210">
      <w:bodyDiv w:val="1"/>
      <w:marLeft w:val="0"/>
      <w:marRight w:val="0"/>
      <w:marTop w:val="0"/>
      <w:marBottom w:val="0"/>
      <w:divBdr>
        <w:top w:val="none" w:sz="0" w:space="0" w:color="auto"/>
        <w:left w:val="none" w:sz="0" w:space="0" w:color="auto"/>
        <w:bottom w:val="none" w:sz="0" w:space="0" w:color="auto"/>
        <w:right w:val="none" w:sz="0" w:space="0" w:color="auto"/>
      </w:divBdr>
    </w:div>
    <w:div w:id="493881946">
      <w:bodyDiv w:val="1"/>
      <w:marLeft w:val="0"/>
      <w:marRight w:val="0"/>
      <w:marTop w:val="0"/>
      <w:marBottom w:val="0"/>
      <w:divBdr>
        <w:top w:val="none" w:sz="0" w:space="0" w:color="auto"/>
        <w:left w:val="none" w:sz="0" w:space="0" w:color="auto"/>
        <w:bottom w:val="none" w:sz="0" w:space="0" w:color="auto"/>
        <w:right w:val="none" w:sz="0" w:space="0" w:color="auto"/>
      </w:divBdr>
    </w:div>
    <w:div w:id="496073512">
      <w:bodyDiv w:val="1"/>
      <w:marLeft w:val="0"/>
      <w:marRight w:val="0"/>
      <w:marTop w:val="0"/>
      <w:marBottom w:val="0"/>
      <w:divBdr>
        <w:top w:val="none" w:sz="0" w:space="0" w:color="auto"/>
        <w:left w:val="none" w:sz="0" w:space="0" w:color="auto"/>
        <w:bottom w:val="none" w:sz="0" w:space="0" w:color="auto"/>
        <w:right w:val="none" w:sz="0" w:space="0" w:color="auto"/>
      </w:divBdr>
    </w:div>
    <w:div w:id="611666394">
      <w:bodyDiv w:val="1"/>
      <w:marLeft w:val="0"/>
      <w:marRight w:val="0"/>
      <w:marTop w:val="0"/>
      <w:marBottom w:val="0"/>
      <w:divBdr>
        <w:top w:val="none" w:sz="0" w:space="0" w:color="auto"/>
        <w:left w:val="none" w:sz="0" w:space="0" w:color="auto"/>
        <w:bottom w:val="none" w:sz="0" w:space="0" w:color="auto"/>
        <w:right w:val="none" w:sz="0" w:space="0" w:color="auto"/>
      </w:divBdr>
    </w:div>
    <w:div w:id="660154582">
      <w:bodyDiv w:val="1"/>
      <w:marLeft w:val="0"/>
      <w:marRight w:val="0"/>
      <w:marTop w:val="0"/>
      <w:marBottom w:val="0"/>
      <w:divBdr>
        <w:top w:val="none" w:sz="0" w:space="0" w:color="auto"/>
        <w:left w:val="none" w:sz="0" w:space="0" w:color="auto"/>
        <w:bottom w:val="none" w:sz="0" w:space="0" w:color="auto"/>
        <w:right w:val="none" w:sz="0" w:space="0" w:color="auto"/>
      </w:divBdr>
    </w:div>
    <w:div w:id="796486479">
      <w:bodyDiv w:val="1"/>
      <w:marLeft w:val="0"/>
      <w:marRight w:val="0"/>
      <w:marTop w:val="0"/>
      <w:marBottom w:val="0"/>
      <w:divBdr>
        <w:top w:val="none" w:sz="0" w:space="0" w:color="auto"/>
        <w:left w:val="none" w:sz="0" w:space="0" w:color="auto"/>
        <w:bottom w:val="none" w:sz="0" w:space="0" w:color="auto"/>
        <w:right w:val="none" w:sz="0" w:space="0" w:color="auto"/>
      </w:divBdr>
    </w:div>
    <w:div w:id="916551212">
      <w:bodyDiv w:val="1"/>
      <w:marLeft w:val="0"/>
      <w:marRight w:val="0"/>
      <w:marTop w:val="0"/>
      <w:marBottom w:val="0"/>
      <w:divBdr>
        <w:top w:val="none" w:sz="0" w:space="0" w:color="auto"/>
        <w:left w:val="none" w:sz="0" w:space="0" w:color="auto"/>
        <w:bottom w:val="none" w:sz="0" w:space="0" w:color="auto"/>
        <w:right w:val="none" w:sz="0" w:space="0" w:color="auto"/>
      </w:divBdr>
    </w:div>
    <w:div w:id="983125925">
      <w:bodyDiv w:val="1"/>
      <w:marLeft w:val="0"/>
      <w:marRight w:val="0"/>
      <w:marTop w:val="0"/>
      <w:marBottom w:val="0"/>
      <w:divBdr>
        <w:top w:val="none" w:sz="0" w:space="0" w:color="auto"/>
        <w:left w:val="none" w:sz="0" w:space="0" w:color="auto"/>
        <w:bottom w:val="none" w:sz="0" w:space="0" w:color="auto"/>
        <w:right w:val="none" w:sz="0" w:space="0" w:color="auto"/>
      </w:divBdr>
    </w:div>
    <w:div w:id="995262415">
      <w:bodyDiv w:val="1"/>
      <w:marLeft w:val="0"/>
      <w:marRight w:val="0"/>
      <w:marTop w:val="0"/>
      <w:marBottom w:val="0"/>
      <w:divBdr>
        <w:top w:val="none" w:sz="0" w:space="0" w:color="auto"/>
        <w:left w:val="none" w:sz="0" w:space="0" w:color="auto"/>
        <w:bottom w:val="none" w:sz="0" w:space="0" w:color="auto"/>
        <w:right w:val="none" w:sz="0" w:space="0" w:color="auto"/>
      </w:divBdr>
    </w:div>
    <w:div w:id="1020277257">
      <w:bodyDiv w:val="1"/>
      <w:marLeft w:val="0"/>
      <w:marRight w:val="0"/>
      <w:marTop w:val="0"/>
      <w:marBottom w:val="0"/>
      <w:divBdr>
        <w:top w:val="none" w:sz="0" w:space="0" w:color="auto"/>
        <w:left w:val="none" w:sz="0" w:space="0" w:color="auto"/>
        <w:bottom w:val="none" w:sz="0" w:space="0" w:color="auto"/>
        <w:right w:val="none" w:sz="0" w:space="0" w:color="auto"/>
      </w:divBdr>
    </w:div>
    <w:div w:id="1056470890">
      <w:bodyDiv w:val="1"/>
      <w:marLeft w:val="0"/>
      <w:marRight w:val="0"/>
      <w:marTop w:val="0"/>
      <w:marBottom w:val="0"/>
      <w:divBdr>
        <w:top w:val="none" w:sz="0" w:space="0" w:color="auto"/>
        <w:left w:val="none" w:sz="0" w:space="0" w:color="auto"/>
        <w:bottom w:val="none" w:sz="0" w:space="0" w:color="auto"/>
        <w:right w:val="none" w:sz="0" w:space="0" w:color="auto"/>
      </w:divBdr>
    </w:div>
    <w:div w:id="1100761108">
      <w:bodyDiv w:val="1"/>
      <w:marLeft w:val="0"/>
      <w:marRight w:val="0"/>
      <w:marTop w:val="0"/>
      <w:marBottom w:val="0"/>
      <w:divBdr>
        <w:top w:val="none" w:sz="0" w:space="0" w:color="auto"/>
        <w:left w:val="none" w:sz="0" w:space="0" w:color="auto"/>
        <w:bottom w:val="none" w:sz="0" w:space="0" w:color="auto"/>
        <w:right w:val="none" w:sz="0" w:space="0" w:color="auto"/>
      </w:divBdr>
    </w:div>
    <w:div w:id="1193223185">
      <w:bodyDiv w:val="1"/>
      <w:marLeft w:val="0"/>
      <w:marRight w:val="0"/>
      <w:marTop w:val="0"/>
      <w:marBottom w:val="0"/>
      <w:divBdr>
        <w:top w:val="none" w:sz="0" w:space="0" w:color="auto"/>
        <w:left w:val="none" w:sz="0" w:space="0" w:color="auto"/>
        <w:bottom w:val="none" w:sz="0" w:space="0" w:color="auto"/>
        <w:right w:val="none" w:sz="0" w:space="0" w:color="auto"/>
      </w:divBdr>
    </w:div>
    <w:div w:id="1204444353">
      <w:marLeft w:val="0"/>
      <w:marRight w:val="0"/>
      <w:marTop w:val="0"/>
      <w:marBottom w:val="0"/>
      <w:divBdr>
        <w:top w:val="none" w:sz="0" w:space="0" w:color="auto"/>
        <w:left w:val="none" w:sz="0" w:space="0" w:color="auto"/>
        <w:bottom w:val="none" w:sz="0" w:space="0" w:color="auto"/>
        <w:right w:val="none" w:sz="0" w:space="0" w:color="auto"/>
      </w:divBdr>
    </w:div>
    <w:div w:id="1204444354">
      <w:marLeft w:val="0"/>
      <w:marRight w:val="0"/>
      <w:marTop w:val="0"/>
      <w:marBottom w:val="0"/>
      <w:divBdr>
        <w:top w:val="none" w:sz="0" w:space="0" w:color="auto"/>
        <w:left w:val="none" w:sz="0" w:space="0" w:color="auto"/>
        <w:bottom w:val="none" w:sz="0" w:space="0" w:color="auto"/>
        <w:right w:val="none" w:sz="0" w:space="0" w:color="auto"/>
      </w:divBdr>
    </w:div>
    <w:div w:id="1204444355">
      <w:marLeft w:val="0"/>
      <w:marRight w:val="0"/>
      <w:marTop w:val="0"/>
      <w:marBottom w:val="0"/>
      <w:divBdr>
        <w:top w:val="none" w:sz="0" w:space="0" w:color="auto"/>
        <w:left w:val="none" w:sz="0" w:space="0" w:color="auto"/>
        <w:bottom w:val="none" w:sz="0" w:space="0" w:color="auto"/>
        <w:right w:val="none" w:sz="0" w:space="0" w:color="auto"/>
      </w:divBdr>
    </w:div>
    <w:div w:id="1325665950">
      <w:bodyDiv w:val="1"/>
      <w:marLeft w:val="0"/>
      <w:marRight w:val="0"/>
      <w:marTop w:val="0"/>
      <w:marBottom w:val="0"/>
      <w:divBdr>
        <w:top w:val="none" w:sz="0" w:space="0" w:color="auto"/>
        <w:left w:val="none" w:sz="0" w:space="0" w:color="auto"/>
        <w:bottom w:val="none" w:sz="0" w:space="0" w:color="auto"/>
        <w:right w:val="none" w:sz="0" w:space="0" w:color="auto"/>
      </w:divBdr>
    </w:div>
    <w:div w:id="1497113047">
      <w:bodyDiv w:val="1"/>
      <w:marLeft w:val="0"/>
      <w:marRight w:val="0"/>
      <w:marTop w:val="0"/>
      <w:marBottom w:val="0"/>
      <w:divBdr>
        <w:top w:val="none" w:sz="0" w:space="0" w:color="auto"/>
        <w:left w:val="none" w:sz="0" w:space="0" w:color="auto"/>
        <w:bottom w:val="none" w:sz="0" w:space="0" w:color="auto"/>
        <w:right w:val="none" w:sz="0" w:space="0" w:color="auto"/>
      </w:divBdr>
    </w:div>
    <w:div w:id="1521360486">
      <w:bodyDiv w:val="1"/>
      <w:marLeft w:val="0"/>
      <w:marRight w:val="0"/>
      <w:marTop w:val="0"/>
      <w:marBottom w:val="0"/>
      <w:divBdr>
        <w:top w:val="none" w:sz="0" w:space="0" w:color="auto"/>
        <w:left w:val="none" w:sz="0" w:space="0" w:color="auto"/>
        <w:bottom w:val="none" w:sz="0" w:space="0" w:color="auto"/>
        <w:right w:val="none" w:sz="0" w:space="0" w:color="auto"/>
      </w:divBdr>
    </w:div>
    <w:div w:id="1601598876">
      <w:bodyDiv w:val="1"/>
      <w:marLeft w:val="0"/>
      <w:marRight w:val="0"/>
      <w:marTop w:val="0"/>
      <w:marBottom w:val="0"/>
      <w:divBdr>
        <w:top w:val="none" w:sz="0" w:space="0" w:color="auto"/>
        <w:left w:val="none" w:sz="0" w:space="0" w:color="auto"/>
        <w:bottom w:val="none" w:sz="0" w:space="0" w:color="auto"/>
        <w:right w:val="none" w:sz="0" w:space="0" w:color="auto"/>
      </w:divBdr>
    </w:div>
    <w:div w:id="1672830103">
      <w:bodyDiv w:val="1"/>
      <w:marLeft w:val="0"/>
      <w:marRight w:val="0"/>
      <w:marTop w:val="0"/>
      <w:marBottom w:val="0"/>
      <w:divBdr>
        <w:top w:val="none" w:sz="0" w:space="0" w:color="auto"/>
        <w:left w:val="none" w:sz="0" w:space="0" w:color="auto"/>
        <w:bottom w:val="none" w:sz="0" w:space="0" w:color="auto"/>
        <w:right w:val="none" w:sz="0" w:space="0" w:color="auto"/>
      </w:divBdr>
    </w:div>
    <w:div w:id="1700467590">
      <w:bodyDiv w:val="1"/>
      <w:marLeft w:val="0"/>
      <w:marRight w:val="0"/>
      <w:marTop w:val="0"/>
      <w:marBottom w:val="0"/>
      <w:divBdr>
        <w:top w:val="none" w:sz="0" w:space="0" w:color="auto"/>
        <w:left w:val="none" w:sz="0" w:space="0" w:color="auto"/>
        <w:bottom w:val="none" w:sz="0" w:space="0" w:color="auto"/>
        <w:right w:val="none" w:sz="0" w:space="0" w:color="auto"/>
      </w:divBdr>
    </w:div>
    <w:div w:id="1885215287">
      <w:bodyDiv w:val="1"/>
      <w:marLeft w:val="0"/>
      <w:marRight w:val="0"/>
      <w:marTop w:val="0"/>
      <w:marBottom w:val="0"/>
      <w:divBdr>
        <w:top w:val="none" w:sz="0" w:space="0" w:color="auto"/>
        <w:left w:val="none" w:sz="0" w:space="0" w:color="auto"/>
        <w:bottom w:val="none" w:sz="0" w:space="0" w:color="auto"/>
        <w:right w:val="none" w:sz="0" w:space="0" w:color="auto"/>
      </w:divBdr>
    </w:div>
    <w:div w:id="2045255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prenuvo.com/physician/cancer-screening" TargetMode="External"/><Relationship Id="rId2" Type="http://schemas.openxmlformats.org/officeDocument/2006/relationships/numbering" Target="numbering.xml"/><Relationship Id="rId16" Type="http://schemas.openxmlformats.org/officeDocument/2006/relationships/hyperlink" Target="https://www.prenuvo.com/" TargetMode="External"/><Relationship Id="rId20" Type="http://schemas.openxmlformats.org/officeDocument/2006/relationships/hyperlink" Target="https://jamanetwork-com.ucsf.idm.oclc.org/journals/jama/fullarticle/27520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witter.com/awilkinson/status/1187102985148461056"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3A019-DEED-4811-BDC9-B5ADD0954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5147</Words>
  <Characters>29342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vt:lpstr>
    </vt:vector>
  </TitlesOfParts>
  <Company>UCSF, Dept of Epidemiology</Company>
  <LinksUpToDate>false</LinksUpToDate>
  <CharactersWithSpaces>34421</CharactersWithSpaces>
  <SharedDoc>false</SharedDoc>
  <HLinks>
    <vt:vector size="12" baseType="variant">
      <vt:variant>
        <vt:i4>5242933</vt:i4>
      </vt:variant>
      <vt:variant>
        <vt:i4>3</vt:i4>
      </vt:variant>
      <vt:variant>
        <vt:i4>0</vt:i4>
      </vt:variant>
      <vt:variant>
        <vt:i4>5</vt:i4>
      </vt:variant>
      <vt:variant>
        <vt:lpwstr>http://my.americanheart.org/professional/StatementsGuidelines/PreventionGuidelines/Prevention-Guidelines_UCM_457698_SubHomePage.jsp</vt:lpwstr>
      </vt:variant>
      <vt:variant>
        <vt:lpwstr/>
      </vt:variant>
      <vt:variant>
        <vt:i4>851991</vt:i4>
      </vt:variant>
      <vt:variant>
        <vt:i4>0</vt:i4>
      </vt:variant>
      <vt:variant>
        <vt:i4>0</vt:i4>
      </vt:variant>
      <vt:variant>
        <vt:i4>5</vt:i4>
      </vt:variant>
      <vt:variant>
        <vt:lpwstr>http://health.nytimes.com/health/guides/nutrition/cholesterol/overview.html?inline=nyt-classifier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Tom Newman</dc:creator>
  <cp:keywords/>
  <dc:description/>
  <cp:lastModifiedBy>Michael A. Kohn</cp:lastModifiedBy>
  <cp:revision>3</cp:revision>
  <cp:lastPrinted>2015-12-03T18:25:00Z</cp:lastPrinted>
  <dcterms:created xsi:type="dcterms:W3CDTF">2019-12-01T22:25:00Z</dcterms:created>
  <dcterms:modified xsi:type="dcterms:W3CDTF">2019-12-01T22:27:00Z</dcterms:modified>
</cp:coreProperties>
</file>