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841" w:rsidRPr="00482DB5"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b/>
        <w:t xml:space="preserve"> </w:t>
      </w:r>
    </w:p>
    <w:p w:rsidR="00F25841" w:rsidRPr="00011BA6"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w:hAnsi="Courier" w:cs="Helvetica"/>
          <w:sz w:val="18"/>
          <w:szCs w:val="36"/>
        </w:rPr>
      </w:pPr>
    </w:p>
    <w:p w:rsidR="00F25841" w:rsidRPr="000B1838"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u w:val="single"/>
        </w:rPr>
      </w:pPr>
      <w:r w:rsidRPr="000B1838">
        <w:rPr>
          <w:rFonts w:ascii="Times New Roman" w:hAnsi="Times New Roman" w:cs="Helvetica"/>
          <w:b/>
          <w:szCs w:val="36"/>
          <w:u w:val="single"/>
        </w:rPr>
        <w:t>Modeling Misclassification</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szCs w:val="36"/>
        </w:rPr>
      </w:pPr>
      <w:r>
        <w:rPr>
          <w:rFonts w:ascii="Times New Roman" w:hAnsi="Times New Roman" w:cs="Helvetica"/>
          <w:b/>
          <w:szCs w:val="36"/>
        </w:rPr>
        <w:t>A.  Sensitivity and Specificity</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b/>
          <w:szCs w:val="36"/>
        </w:rPr>
        <w:tab/>
      </w:r>
      <w:r w:rsidR="005061A8">
        <w:rPr>
          <w:rFonts w:ascii="Times New Roman" w:hAnsi="Times New Roman" w:cs="Helvetica"/>
          <w:szCs w:val="36"/>
        </w:rPr>
        <w:t>T</w:t>
      </w:r>
      <w:r>
        <w:rPr>
          <w:rFonts w:ascii="Times New Roman" w:hAnsi="Times New Roman" w:cs="Helvetica"/>
          <w:szCs w:val="36"/>
        </w:rPr>
        <w:t>he measurements we collect or use in our analyses are subject to measurement error.  For classification tasks, or measurement of dichotomous variables, there is a special vocabulary available to describe the possible types of error.</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b/>
        <w:t xml:space="preserve">For example, assume the task is to measure or assess exposure for a set of subjects and to label each subject “exposed” or “not exposed”.  Let the variable </w:t>
      </w:r>
      <w:proofErr w:type="spellStart"/>
      <w:r w:rsidRPr="00A03711">
        <w:rPr>
          <w:rFonts w:ascii="Times New Roman" w:hAnsi="Times New Roman" w:cs="Helvetica"/>
          <w:i/>
          <w:szCs w:val="36"/>
        </w:rPr>
        <w:t>E</w:t>
      </w:r>
      <w:r w:rsidRPr="00A03711">
        <w:rPr>
          <w:rFonts w:ascii="Times New Roman" w:hAnsi="Times New Roman" w:cs="Helvetica"/>
          <w:i/>
          <w:szCs w:val="36"/>
          <w:vertAlign w:val="subscript"/>
        </w:rPr>
        <w:t>i</w:t>
      </w:r>
      <w:proofErr w:type="spellEnd"/>
      <w:r>
        <w:rPr>
          <w:rFonts w:ascii="Times New Roman" w:hAnsi="Times New Roman" w:cs="Helvetica"/>
          <w:szCs w:val="36"/>
        </w:rPr>
        <w:t xml:space="preserve"> represent the true exposure status for subject </w:t>
      </w:r>
      <w:proofErr w:type="spellStart"/>
      <w:r w:rsidRPr="009832E9">
        <w:rPr>
          <w:rFonts w:ascii="Times New Roman" w:hAnsi="Times New Roman" w:cs="Helvetica"/>
          <w:i/>
          <w:szCs w:val="36"/>
        </w:rPr>
        <w:t>i</w:t>
      </w:r>
      <w:proofErr w:type="spellEnd"/>
      <w:r>
        <w:rPr>
          <w:rFonts w:ascii="Times New Roman" w:hAnsi="Times New Roman" w:cs="Helvetica"/>
          <w:szCs w:val="36"/>
        </w:rPr>
        <w:t xml:space="preserve">, with </w:t>
      </w:r>
      <w:proofErr w:type="spellStart"/>
      <w:r w:rsidRPr="00A03711">
        <w:rPr>
          <w:rFonts w:ascii="Times New Roman" w:hAnsi="Times New Roman" w:cs="Helvetica"/>
          <w:i/>
          <w:szCs w:val="36"/>
        </w:rPr>
        <w:t>E</w:t>
      </w:r>
      <w:r w:rsidRPr="00A03711">
        <w:rPr>
          <w:rFonts w:ascii="Times New Roman" w:hAnsi="Times New Roman" w:cs="Helvetica"/>
          <w:i/>
          <w:szCs w:val="36"/>
          <w:vertAlign w:val="subscript"/>
        </w:rPr>
        <w:t>i</w:t>
      </w:r>
      <w:proofErr w:type="spellEnd"/>
      <w:r w:rsidRPr="00A03711">
        <w:rPr>
          <w:rFonts w:ascii="Times New Roman" w:hAnsi="Times New Roman" w:cs="Helvetica"/>
          <w:i/>
          <w:szCs w:val="36"/>
        </w:rPr>
        <w:t>=1</w:t>
      </w:r>
      <w:r>
        <w:rPr>
          <w:rFonts w:ascii="Times New Roman" w:hAnsi="Times New Roman" w:cs="Helvetica"/>
          <w:szCs w:val="36"/>
        </w:rPr>
        <w:t xml:space="preserve"> if subject </w:t>
      </w:r>
      <w:proofErr w:type="spellStart"/>
      <w:r w:rsidRPr="009832E9">
        <w:rPr>
          <w:rFonts w:ascii="Times New Roman" w:hAnsi="Times New Roman" w:cs="Helvetica"/>
          <w:i/>
          <w:szCs w:val="36"/>
        </w:rPr>
        <w:t>i</w:t>
      </w:r>
      <w:proofErr w:type="spellEnd"/>
      <w:r>
        <w:rPr>
          <w:rFonts w:ascii="Times New Roman" w:hAnsi="Times New Roman" w:cs="Helvetica"/>
          <w:szCs w:val="36"/>
        </w:rPr>
        <w:t xml:space="preserve"> is exposed, and </w:t>
      </w:r>
      <w:proofErr w:type="spellStart"/>
      <w:r w:rsidRPr="00A03711">
        <w:rPr>
          <w:rFonts w:ascii="Times New Roman" w:hAnsi="Times New Roman" w:cs="Helvetica"/>
          <w:i/>
          <w:szCs w:val="36"/>
        </w:rPr>
        <w:t>E</w:t>
      </w:r>
      <w:r w:rsidRPr="00A03711">
        <w:rPr>
          <w:rFonts w:ascii="Times New Roman" w:hAnsi="Times New Roman" w:cs="Helvetica"/>
          <w:i/>
          <w:szCs w:val="36"/>
          <w:vertAlign w:val="subscript"/>
        </w:rPr>
        <w:t>i</w:t>
      </w:r>
      <w:proofErr w:type="spellEnd"/>
      <w:r w:rsidRPr="00A03711">
        <w:rPr>
          <w:rFonts w:ascii="Times New Roman" w:hAnsi="Times New Roman" w:cs="Helvetica"/>
          <w:i/>
          <w:szCs w:val="36"/>
        </w:rPr>
        <w:t>=0</w:t>
      </w:r>
      <w:r>
        <w:rPr>
          <w:rFonts w:ascii="Times New Roman" w:hAnsi="Times New Roman" w:cs="Helvetica"/>
          <w:szCs w:val="36"/>
        </w:rPr>
        <w:t xml:space="preserve"> if subject </w:t>
      </w:r>
      <w:proofErr w:type="spellStart"/>
      <w:r w:rsidRPr="009832E9">
        <w:rPr>
          <w:rFonts w:ascii="Times New Roman" w:hAnsi="Times New Roman" w:cs="Helvetica"/>
          <w:i/>
          <w:szCs w:val="36"/>
        </w:rPr>
        <w:t>i</w:t>
      </w:r>
      <w:proofErr w:type="spellEnd"/>
      <w:r>
        <w:rPr>
          <w:rFonts w:ascii="Times New Roman" w:hAnsi="Times New Roman" w:cs="Helvetica"/>
          <w:szCs w:val="36"/>
        </w:rPr>
        <w:t xml:space="preserve"> is not exposed.  After examining each subject, we record or report whether or not each subject has been exposed.  Let </w:t>
      </w:r>
      <w:proofErr w:type="spellStart"/>
      <w:r w:rsidRPr="00A03711">
        <w:rPr>
          <w:rFonts w:ascii="Times New Roman" w:hAnsi="Times New Roman" w:cs="Helvetica"/>
          <w:i/>
          <w:szCs w:val="36"/>
        </w:rPr>
        <w:t>e</w:t>
      </w:r>
      <w:r w:rsidRPr="00A03711">
        <w:rPr>
          <w:rFonts w:ascii="Times New Roman" w:hAnsi="Times New Roman" w:cs="Helvetica"/>
          <w:i/>
          <w:szCs w:val="36"/>
          <w:vertAlign w:val="subscript"/>
        </w:rPr>
        <w:t>i</w:t>
      </w:r>
      <w:proofErr w:type="spellEnd"/>
      <w:r w:rsidRPr="00A03711">
        <w:rPr>
          <w:rFonts w:ascii="Times New Roman" w:hAnsi="Times New Roman" w:cs="Helvetica"/>
          <w:i/>
          <w:szCs w:val="36"/>
        </w:rPr>
        <w:t>=1</w:t>
      </w:r>
      <w:r>
        <w:rPr>
          <w:rFonts w:ascii="Times New Roman" w:hAnsi="Times New Roman" w:cs="Helvetica"/>
          <w:szCs w:val="36"/>
        </w:rPr>
        <w:t xml:space="preserve"> if subject </w:t>
      </w:r>
      <w:proofErr w:type="spellStart"/>
      <w:r w:rsidRPr="009832E9">
        <w:rPr>
          <w:rFonts w:ascii="Times New Roman" w:hAnsi="Times New Roman" w:cs="Helvetica"/>
          <w:i/>
          <w:szCs w:val="36"/>
        </w:rPr>
        <w:t>i</w:t>
      </w:r>
      <w:proofErr w:type="spellEnd"/>
      <w:r>
        <w:rPr>
          <w:rFonts w:ascii="Times New Roman" w:hAnsi="Times New Roman" w:cs="Helvetica"/>
          <w:szCs w:val="36"/>
        </w:rPr>
        <w:t xml:space="preserve"> is reported to be exposed, and </w:t>
      </w:r>
      <w:proofErr w:type="spellStart"/>
      <w:r w:rsidRPr="00A03711">
        <w:rPr>
          <w:rFonts w:ascii="Times New Roman" w:hAnsi="Times New Roman" w:cs="Helvetica"/>
          <w:i/>
          <w:szCs w:val="36"/>
        </w:rPr>
        <w:t>e</w:t>
      </w:r>
      <w:r w:rsidRPr="00A03711">
        <w:rPr>
          <w:rFonts w:ascii="Times New Roman" w:hAnsi="Times New Roman" w:cs="Helvetica"/>
          <w:i/>
          <w:szCs w:val="36"/>
          <w:vertAlign w:val="subscript"/>
        </w:rPr>
        <w:t>i</w:t>
      </w:r>
      <w:proofErr w:type="spellEnd"/>
      <w:r w:rsidRPr="00A03711">
        <w:rPr>
          <w:rFonts w:ascii="Times New Roman" w:hAnsi="Times New Roman" w:cs="Helvetica"/>
          <w:i/>
          <w:szCs w:val="36"/>
        </w:rPr>
        <w:t>=0</w:t>
      </w:r>
      <w:r>
        <w:rPr>
          <w:rFonts w:ascii="Times New Roman" w:hAnsi="Times New Roman" w:cs="Helvetica"/>
          <w:szCs w:val="36"/>
        </w:rPr>
        <w:t xml:space="preserve"> if subject </w:t>
      </w:r>
      <w:proofErr w:type="spellStart"/>
      <w:r w:rsidRPr="009832E9">
        <w:rPr>
          <w:rFonts w:ascii="Times New Roman" w:hAnsi="Times New Roman" w:cs="Helvetica"/>
          <w:i/>
          <w:szCs w:val="36"/>
        </w:rPr>
        <w:t>i</w:t>
      </w:r>
      <w:proofErr w:type="spellEnd"/>
      <w:r>
        <w:rPr>
          <w:rFonts w:ascii="Times New Roman" w:hAnsi="Times New Roman" w:cs="Helvetica"/>
          <w:szCs w:val="36"/>
        </w:rPr>
        <w:t xml:space="preserve"> is recorded as “not exposed”.  </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b/>
        <w:t xml:space="preserve">Ideally, </w:t>
      </w:r>
      <w:proofErr w:type="spellStart"/>
      <w:r w:rsidRPr="00A03711">
        <w:rPr>
          <w:rFonts w:ascii="Times New Roman" w:hAnsi="Times New Roman" w:cs="Helvetica"/>
          <w:i/>
          <w:szCs w:val="36"/>
        </w:rPr>
        <w:t>E</w:t>
      </w:r>
      <w:r w:rsidRPr="00A03711">
        <w:rPr>
          <w:rFonts w:ascii="Times New Roman" w:hAnsi="Times New Roman" w:cs="Helvetica"/>
          <w:i/>
          <w:szCs w:val="36"/>
          <w:vertAlign w:val="subscript"/>
        </w:rPr>
        <w:t>i</w:t>
      </w:r>
      <w:proofErr w:type="spellEnd"/>
      <w:r w:rsidRPr="00A03711">
        <w:rPr>
          <w:rFonts w:ascii="Times New Roman" w:hAnsi="Times New Roman" w:cs="Helvetica"/>
          <w:i/>
          <w:szCs w:val="36"/>
        </w:rPr>
        <w:t xml:space="preserve"> = </w:t>
      </w:r>
      <w:proofErr w:type="spellStart"/>
      <w:r w:rsidRPr="00A03711">
        <w:rPr>
          <w:rFonts w:ascii="Times New Roman" w:hAnsi="Times New Roman" w:cs="Helvetica"/>
          <w:i/>
          <w:szCs w:val="36"/>
        </w:rPr>
        <w:t>e</w:t>
      </w:r>
      <w:r w:rsidRPr="00A03711">
        <w:rPr>
          <w:rFonts w:ascii="Times New Roman" w:hAnsi="Times New Roman" w:cs="Helvetica"/>
          <w:i/>
          <w:szCs w:val="36"/>
          <w:vertAlign w:val="subscript"/>
        </w:rPr>
        <w:t>i</w:t>
      </w:r>
      <w:proofErr w:type="spellEnd"/>
      <w:r>
        <w:rPr>
          <w:rFonts w:ascii="Times New Roman" w:hAnsi="Times New Roman" w:cs="Helvetica"/>
          <w:szCs w:val="36"/>
        </w:rPr>
        <w:t xml:space="preserve"> for all subjects </w:t>
      </w:r>
      <w:proofErr w:type="spellStart"/>
      <w:r w:rsidRPr="009832E9">
        <w:rPr>
          <w:rFonts w:ascii="Times New Roman" w:hAnsi="Times New Roman" w:cs="Helvetica"/>
          <w:i/>
          <w:szCs w:val="36"/>
        </w:rPr>
        <w:t>i</w:t>
      </w:r>
      <w:proofErr w:type="spellEnd"/>
      <w:r>
        <w:rPr>
          <w:rFonts w:ascii="Times New Roman" w:hAnsi="Times New Roman" w:cs="Helvetica"/>
          <w:szCs w:val="36"/>
        </w:rPr>
        <w:t xml:space="preserve">.  However, there may be some variability in the method for detecting exposure, leading to misclassification, </w:t>
      </w:r>
      <w:r w:rsidR="005061A8">
        <w:rPr>
          <w:rFonts w:ascii="Times New Roman" w:hAnsi="Times New Roman" w:cs="Helvetica"/>
          <w:i/>
          <w:szCs w:val="36"/>
        </w:rPr>
        <w:t xml:space="preserve">E not </w:t>
      </w:r>
      <w:r w:rsidRPr="00A03711">
        <w:rPr>
          <w:rFonts w:ascii="Times New Roman" w:hAnsi="Times New Roman" w:cs="Helvetica"/>
          <w:i/>
          <w:szCs w:val="36"/>
        </w:rPr>
        <w:t>= e</w:t>
      </w:r>
      <w:r>
        <w:rPr>
          <w:rFonts w:ascii="Times New Roman" w:hAnsi="Times New Roman" w:cs="Helvetica"/>
          <w:szCs w:val="36"/>
        </w:rPr>
        <w:t>, for some subjects.</w:t>
      </w:r>
      <w:r>
        <w:rPr>
          <w:rFonts w:ascii="Times New Roman" w:hAnsi="Times New Roman" w:cs="Helvetica"/>
          <w:b/>
          <w:szCs w:val="36"/>
        </w:rPr>
        <w:t xml:space="preserve">  </w:t>
      </w:r>
      <w:r>
        <w:rPr>
          <w:rFonts w:ascii="Times New Roman" w:hAnsi="Times New Roman" w:cs="Helvetica"/>
          <w:szCs w:val="36"/>
        </w:rPr>
        <w:t>A typical way to describe the probabilities of misclassification is by stating the sensitivity and specificity for the classification method used to assess exposure.</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b/>
        <w:t xml:space="preserve">Sensitivity for exposure is the probability that a subject who is truly exposed will be reported as exposed.  In the notation used above, sensitivity for exposure is </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roofErr w:type="spellStart"/>
      <w:proofErr w:type="gramStart"/>
      <w:r w:rsidRPr="00A03711">
        <w:rPr>
          <w:rFonts w:ascii="Times New Roman" w:hAnsi="Times New Roman" w:cs="Helvetica"/>
          <w:i/>
          <w:szCs w:val="36"/>
        </w:rPr>
        <w:t>Pr</w:t>
      </w:r>
      <w:proofErr w:type="spellEnd"/>
      <w:r w:rsidRPr="00A03711">
        <w:rPr>
          <w:rFonts w:ascii="Times New Roman" w:hAnsi="Times New Roman" w:cs="Helvetica"/>
          <w:i/>
          <w:szCs w:val="36"/>
        </w:rPr>
        <w:t>(</w:t>
      </w:r>
      <w:proofErr w:type="gramEnd"/>
      <w:r w:rsidRPr="00A03711">
        <w:rPr>
          <w:rFonts w:ascii="Times New Roman" w:hAnsi="Times New Roman" w:cs="Helvetica"/>
          <w:i/>
          <w:szCs w:val="36"/>
        </w:rPr>
        <w:t>e=1 | E=1)</w:t>
      </w:r>
      <w:r>
        <w:rPr>
          <w:rFonts w:ascii="Times New Roman" w:hAnsi="Times New Roman" w:cs="Helvetica"/>
          <w:szCs w:val="36"/>
        </w:rPr>
        <w:t>.</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b/>
        <w:t xml:space="preserve">Specificity for exposure is the probability that a subject who is truly not exposed will be reported as not exposed: specificity for exposure = </w:t>
      </w:r>
      <w:proofErr w:type="spellStart"/>
      <w:proofErr w:type="gramStart"/>
      <w:r w:rsidRPr="00A03711">
        <w:rPr>
          <w:rFonts w:ascii="Times New Roman" w:hAnsi="Times New Roman" w:cs="Helvetica"/>
          <w:i/>
          <w:szCs w:val="36"/>
        </w:rPr>
        <w:t>Pr</w:t>
      </w:r>
      <w:proofErr w:type="spellEnd"/>
      <w:r w:rsidRPr="00A03711">
        <w:rPr>
          <w:rFonts w:ascii="Times New Roman" w:hAnsi="Times New Roman" w:cs="Helvetica"/>
          <w:i/>
          <w:szCs w:val="36"/>
        </w:rPr>
        <w:t>(</w:t>
      </w:r>
      <w:proofErr w:type="gramEnd"/>
      <w:r w:rsidRPr="00A03711">
        <w:rPr>
          <w:rFonts w:ascii="Times New Roman" w:hAnsi="Times New Roman" w:cs="Helvetica"/>
          <w:i/>
          <w:szCs w:val="36"/>
        </w:rPr>
        <w:t>e=0 | E=0)</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b/>
        <w:t xml:space="preserve">Sensitivity and specificity can describe any test or measurement of a variable with two possible values.  In particular, these measures can describe the reliability of the assessments of disease status.  Let </w:t>
      </w:r>
      <w:r w:rsidRPr="00A03711">
        <w:rPr>
          <w:rFonts w:ascii="Times New Roman" w:hAnsi="Times New Roman" w:cs="Helvetica"/>
          <w:i/>
          <w:szCs w:val="36"/>
        </w:rPr>
        <w:t>Y</w:t>
      </w:r>
      <w:r>
        <w:rPr>
          <w:rFonts w:ascii="Times New Roman" w:hAnsi="Times New Roman" w:cs="Helvetica"/>
          <w:szCs w:val="36"/>
        </w:rPr>
        <w:t xml:space="preserve"> represent true disease status, with </w:t>
      </w:r>
      <w:r w:rsidRPr="00A03711">
        <w:rPr>
          <w:rFonts w:ascii="Times New Roman" w:hAnsi="Times New Roman" w:cs="Helvetica"/>
          <w:i/>
          <w:szCs w:val="36"/>
        </w:rPr>
        <w:t>Y=1</w:t>
      </w:r>
      <w:r>
        <w:rPr>
          <w:rFonts w:ascii="Times New Roman" w:hAnsi="Times New Roman" w:cs="Helvetica"/>
          <w:szCs w:val="36"/>
        </w:rPr>
        <w:t xml:space="preserve"> for cases and </w:t>
      </w:r>
      <w:r w:rsidRPr="00A03711">
        <w:rPr>
          <w:rFonts w:ascii="Times New Roman" w:hAnsi="Times New Roman" w:cs="Helvetica"/>
          <w:i/>
          <w:szCs w:val="36"/>
        </w:rPr>
        <w:t>Y=0</w:t>
      </w:r>
      <w:r>
        <w:rPr>
          <w:rFonts w:ascii="Times New Roman" w:hAnsi="Times New Roman" w:cs="Helvetica"/>
          <w:szCs w:val="36"/>
        </w:rPr>
        <w:t xml:space="preserve"> for controls.  Let y represent measured disease status, with </w:t>
      </w:r>
      <w:r w:rsidRPr="00A03711">
        <w:rPr>
          <w:rFonts w:ascii="Times New Roman" w:hAnsi="Times New Roman" w:cs="Helvetica"/>
          <w:i/>
          <w:szCs w:val="36"/>
        </w:rPr>
        <w:t>y=1</w:t>
      </w:r>
      <w:r>
        <w:rPr>
          <w:rFonts w:ascii="Times New Roman" w:hAnsi="Times New Roman" w:cs="Helvetica"/>
          <w:szCs w:val="36"/>
        </w:rPr>
        <w:t xml:space="preserve"> for subjects reported to be cases and </w:t>
      </w:r>
      <w:r w:rsidRPr="00A03711">
        <w:rPr>
          <w:rFonts w:ascii="Times New Roman" w:hAnsi="Times New Roman" w:cs="Helvetica"/>
          <w:i/>
          <w:szCs w:val="36"/>
        </w:rPr>
        <w:t>y=0</w:t>
      </w:r>
      <w:r>
        <w:rPr>
          <w:rFonts w:ascii="Times New Roman" w:hAnsi="Times New Roman" w:cs="Helvetica"/>
          <w:szCs w:val="36"/>
        </w:rPr>
        <w:t xml:space="preserve"> </w:t>
      </w:r>
      <w:r w:rsidR="00AB7F99">
        <w:rPr>
          <w:rFonts w:ascii="Times New Roman" w:hAnsi="Times New Roman" w:cs="Helvetica"/>
          <w:szCs w:val="36"/>
        </w:rPr>
        <w:t xml:space="preserve">for subjects </w:t>
      </w:r>
      <w:r>
        <w:rPr>
          <w:rFonts w:ascii="Times New Roman" w:hAnsi="Times New Roman" w:cs="Helvetica"/>
          <w:szCs w:val="36"/>
        </w:rPr>
        <w:t xml:space="preserve">reported to be controls.  Then the sensitivity of the method used for detecting disease is </w:t>
      </w:r>
      <w:proofErr w:type="spellStart"/>
      <w:r w:rsidRPr="00A03711">
        <w:rPr>
          <w:rFonts w:ascii="Times New Roman" w:hAnsi="Times New Roman" w:cs="Helvetica"/>
          <w:i/>
          <w:szCs w:val="36"/>
        </w:rPr>
        <w:t>Pr</w:t>
      </w:r>
      <w:proofErr w:type="spellEnd"/>
      <w:r w:rsidRPr="00A03711">
        <w:rPr>
          <w:rFonts w:ascii="Times New Roman" w:hAnsi="Times New Roman" w:cs="Helvetica"/>
          <w:i/>
          <w:szCs w:val="36"/>
        </w:rPr>
        <w:t>(y=1 | Y=1)</w:t>
      </w:r>
      <w:r>
        <w:rPr>
          <w:rFonts w:ascii="Times New Roman" w:hAnsi="Times New Roman" w:cs="Helvetica"/>
          <w:szCs w:val="36"/>
        </w:rPr>
        <w:t xml:space="preserve">; and the specificity of the method used for detecting disease is </w:t>
      </w:r>
      <w:proofErr w:type="spellStart"/>
      <w:r w:rsidRPr="00A03711">
        <w:rPr>
          <w:rFonts w:ascii="Times New Roman" w:hAnsi="Times New Roman" w:cs="Helvetica"/>
          <w:i/>
          <w:szCs w:val="36"/>
        </w:rPr>
        <w:t>Pr</w:t>
      </w:r>
      <w:proofErr w:type="spellEnd"/>
      <w:r w:rsidRPr="00A03711">
        <w:rPr>
          <w:rFonts w:ascii="Times New Roman" w:hAnsi="Times New Roman" w:cs="Helvetica"/>
          <w:i/>
          <w:szCs w:val="36"/>
        </w:rPr>
        <w:t>(y=0 | Y=0)</w:t>
      </w:r>
      <w:r>
        <w:rPr>
          <w:rFonts w:ascii="Times New Roman" w:hAnsi="Times New Roman" w:cs="Helvetica"/>
          <w:szCs w:val="36"/>
        </w:rPr>
        <w:t>.</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Pr="00B07006"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szCs w:val="36"/>
        </w:rPr>
      </w:pPr>
      <w:r w:rsidRPr="00B07006">
        <w:rPr>
          <w:rFonts w:ascii="Times New Roman" w:hAnsi="Times New Roman" w:cs="Helvetica"/>
          <w:b/>
          <w:szCs w:val="36"/>
        </w:rPr>
        <w:t>B.  Tools for Misclassification Bias Analysis</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There is a book that provides a quantitative analys</w:t>
      </w:r>
      <w:r w:rsidR="005061A8">
        <w:rPr>
          <w:rFonts w:ascii="Times New Roman" w:hAnsi="Times New Roman" w:cs="Helvetica"/>
          <w:szCs w:val="36"/>
        </w:rPr>
        <w:t xml:space="preserve">is of how measurement and classification errors can </w:t>
      </w:r>
      <w:r>
        <w:rPr>
          <w:rFonts w:ascii="Times New Roman" w:hAnsi="Times New Roman" w:cs="Helvetica"/>
          <w:szCs w:val="36"/>
        </w:rPr>
        <w:t xml:space="preserve">corrupt data and affect epidemiological analyses.  </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Lash TL, Fox MP, Fink AK (2009)</w:t>
      </w:r>
      <w:r w:rsidRPr="00B07006">
        <w:rPr>
          <w:rFonts w:ascii="Times New Roman" w:hAnsi="Times New Roman" w:cs="Helvetica"/>
          <w:szCs w:val="36"/>
        </w:rPr>
        <w:t xml:space="preserve"> </w:t>
      </w:r>
      <w:r w:rsidRPr="00B07006">
        <w:rPr>
          <w:rFonts w:ascii="Times New Roman" w:hAnsi="Times New Roman" w:cs="Helvetica"/>
          <w:i/>
          <w:szCs w:val="36"/>
        </w:rPr>
        <w:t>Applying Quantitative Bias Analysis to Epidemiologic Data</w:t>
      </w:r>
      <w:r w:rsidRPr="00B07006">
        <w:rPr>
          <w:rFonts w:ascii="Times New Roman" w:hAnsi="Times New Roman" w:cs="Helvetica"/>
          <w:szCs w:val="36"/>
        </w:rPr>
        <w:t>. Springer</w:t>
      </w:r>
      <w:r>
        <w:rPr>
          <w:rFonts w:ascii="Times New Roman" w:hAnsi="Times New Roman" w:cs="Helvetica"/>
          <w:szCs w:val="36"/>
        </w:rPr>
        <w:t xml:space="preserve"> </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Pr="00B07006"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Associated with the book, there is a web-site where SAS programs and Excel workbooks are available to allow easy access to calculations covered in the book:</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sidRPr="00B07006">
        <w:rPr>
          <w:rFonts w:ascii="Times New Roman" w:hAnsi="Times New Roman" w:cs="Helvetica"/>
          <w:szCs w:val="36"/>
        </w:rPr>
        <w:t>https://sites.google.com/site/biasanalysis/</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Pr="00B07006"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Among these resources is an Excel worksheet that may be used to examine the effects of misclassification errors:</w:t>
      </w:r>
    </w:p>
    <w:p w:rsidR="00F25841" w:rsidRPr="00B07006"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sidRPr="00B07006">
        <w:rPr>
          <w:rFonts w:ascii="Times New Roman" w:hAnsi="Times New Roman" w:cs="Helvetica"/>
          <w:szCs w:val="36"/>
        </w:rPr>
        <w:t>Ch6_Misclassification_201</w:t>
      </w:r>
      <w:r w:rsidR="00DB59BC">
        <w:rPr>
          <w:rFonts w:ascii="Times New Roman" w:hAnsi="Times New Roman" w:cs="Helvetica"/>
          <w:szCs w:val="36"/>
        </w:rPr>
        <w:t>3</w:t>
      </w:r>
      <w:r w:rsidRPr="00B07006">
        <w:rPr>
          <w:rFonts w:ascii="Times New Roman" w:hAnsi="Times New Roman" w:cs="Helvetica"/>
          <w:szCs w:val="36"/>
        </w:rPr>
        <w:t>_0</w:t>
      </w:r>
      <w:r w:rsidR="00DB59BC">
        <w:rPr>
          <w:rFonts w:ascii="Times New Roman" w:hAnsi="Times New Roman" w:cs="Helvetica"/>
          <w:szCs w:val="36"/>
        </w:rPr>
        <w:t>1</w:t>
      </w:r>
      <w:r w:rsidRPr="00B07006">
        <w:rPr>
          <w:rFonts w:ascii="Times New Roman" w:hAnsi="Times New Roman" w:cs="Helvetica"/>
          <w:szCs w:val="36"/>
        </w:rPr>
        <w:t>_</w:t>
      </w:r>
      <w:r w:rsidR="00DB59BC">
        <w:rPr>
          <w:rFonts w:ascii="Times New Roman" w:hAnsi="Times New Roman" w:cs="Helvetica"/>
          <w:szCs w:val="36"/>
        </w:rPr>
        <w:t>31</w:t>
      </w:r>
      <w:r w:rsidRPr="00B07006">
        <w:rPr>
          <w:rFonts w:ascii="Times New Roman" w:hAnsi="Times New Roman" w:cs="Helvetica"/>
          <w:szCs w:val="36"/>
        </w:rPr>
        <w:t>.xls</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0B1838" w:rsidRDefault="000B1838"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0B1838" w:rsidRDefault="000B1838"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Pr="00B07006"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szCs w:val="36"/>
        </w:rPr>
      </w:pPr>
      <w:r w:rsidRPr="00B07006">
        <w:rPr>
          <w:rFonts w:ascii="Times New Roman" w:hAnsi="Times New Roman" w:cs="Helvetica"/>
          <w:b/>
          <w:szCs w:val="36"/>
        </w:rPr>
        <w:t>C.  Exposure Misclassification in 2x2 Tables</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iCs/>
          <w:szCs w:val="36"/>
        </w:rPr>
        <w:t xml:space="preserve">The “Exposure </w:t>
      </w:r>
      <w:proofErr w:type="spellStart"/>
      <w:r>
        <w:rPr>
          <w:rFonts w:ascii="Times New Roman" w:hAnsi="Times New Roman" w:cs="Helvetica"/>
          <w:iCs/>
          <w:szCs w:val="36"/>
        </w:rPr>
        <w:t>Misc</w:t>
      </w:r>
      <w:proofErr w:type="spellEnd"/>
      <w:r>
        <w:rPr>
          <w:rFonts w:ascii="Times New Roman" w:hAnsi="Times New Roman" w:cs="Helvetica"/>
          <w:iCs/>
          <w:szCs w:val="36"/>
        </w:rPr>
        <w:t xml:space="preserve">” worksheet of the </w:t>
      </w:r>
      <w:r w:rsidRPr="00B07006">
        <w:rPr>
          <w:rFonts w:ascii="Times New Roman" w:hAnsi="Times New Roman" w:cs="Helvetica"/>
          <w:szCs w:val="36"/>
        </w:rPr>
        <w:t>Ch6_Misclassification_201</w:t>
      </w:r>
      <w:r w:rsidR="00DB59BC">
        <w:rPr>
          <w:rFonts w:ascii="Times New Roman" w:hAnsi="Times New Roman" w:cs="Helvetica"/>
          <w:szCs w:val="36"/>
        </w:rPr>
        <w:t>3</w:t>
      </w:r>
      <w:r w:rsidRPr="00B07006">
        <w:rPr>
          <w:rFonts w:ascii="Times New Roman" w:hAnsi="Times New Roman" w:cs="Helvetica"/>
          <w:szCs w:val="36"/>
        </w:rPr>
        <w:t>_</w:t>
      </w:r>
      <w:r w:rsidR="00DB59BC">
        <w:rPr>
          <w:rFonts w:ascii="Times New Roman" w:hAnsi="Times New Roman" w:cs="Helvetica"/>
          <w:szCs w:val="36"/>
        </w:rPr>
        <w:t>01</w:t>
      </w:r>
      <w:r w:rsidRPr="00B07006">
        <w:rPr>
          <w:rFonts w:ascii="Times New Roman" w:hAnsi="Times New Roman" w:cs="Helvetica"/>
          <w:szCs w:val="36"/>
        </w:rPr>
        <w:t>_</w:t>
      </w:r>
      <w:r w:rsidR="00DB59BC">
        <w:rPr>
          <w:rFonts w:ascii="Times New Roman" w:hAnsi="Times New Roman" w:cs="Helvetica"/>
          <w:szCs w:val="36"/>
        </w:rPr>
        <w:t>31</w:t>
      </w:r>
      <w:r w:rsidRPr="00B07006">
        <w:rPr>
          <w:rFonts w:ascii="Times New Roman" w:hAnsi="Times New Roman" w:cs="Helvetica"/>
          <w:szCs w:val="36"/>
        </w:rPr>
        <w:t>.xls</w:t>
      </w:r>
      <w:r>
        <w:rPr>
          <w:rFonts w:ascii="Times New Roman" w:hAnsi="Times New Roman" w:cs="Helvetica"/>
          <w:szCs w:val="36"/>
        </w:rPr>
        <w:t xml:space="preserve"> workbook is a tool that can be used to estimate what the true cell counts in a 2x2 table could be, given some observed data and assumptions about the exposure misclassification rates, as characterized by the sensitivities and specificities for classifying an observation to the “exposed” group.</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r>
        <w:rPr>
          <w:rFonts w:ascii="Times New Roman" w:hAnsi="Times New Roman" w:cs="Helvetica"/>
          <w:szCs w:val="36"/>
        </w:rPr>
        <w:t>When you first open this worksheet, the 2x2 table for observed data will be filled with example cell counts taken from the following paper:</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r w:rsidRPr="00B07006">
        <w:rPr>
          <w:rFonts w:ascii="Times New Roman" w:hAnsi="Times New Roman" w:cs="Helvetica"/>
          <w:iCs/>
          <w:szCs w:val="36"/>
        </w:rPr>
        <w:t xml:space="preserve">Fink AK, </w:t>
      </w:r>
      <w:r>
        <w:rPr>
          <w:rFonts w:ascii="Times New Roman" w:hAnsi="Times New Roman" w:cs="Helvetica"/>
          <w:iCs/>
          <w:szCs w:val="36"/>
        </w:rPr>
        <w:t xml:space="preserve">Lash TL. </w:t>
      </w:r>
      <w:r w:rsidRPr="00B07006">
        <w:rPr>
          <w:rFonts w:ascii="Times New Roman" w:hAnsi="Times New Roman" w:cs="Helvetica"/>
          <w:iCs/>
          <w:szCs w:val="36"/>
        </w:rPr>
        <w:t xml:space="preserve">(2003) A null association between smoking during pregnancy and breast cancer using Massachusetts registry data (United States). </w:t>
      </w:r>
      <w:r w:rsidRPr="00B07006">
        <w:rPr>
          <w:rFonts w:ascii="Times New Roman" w:hAnsi="Times New Roman" w:cs="Helvetica"/>
          <w:i/>
          <w:iCs/>
          <w:szCs w:val="36"/>
        </w:rPr>
        <w:t xml:space="preserve">Cancer Causes </w:t>
      </w:r>
      <w:proofErr w:type="gramStart"/>
      <w:r w:rsidRPr="00B07006">
        <w:rPr>
          <w:rFonts w:ascii="Times New Roman" w:hAnsi="Times New Roman" w:cs="Helvetica"/>
          <w:i/>
          <w:iCs/>
          <w:szCs w:val="36"/>
        </w:rPr>
        <w:t>Control</w:t>
      </w:r>
      <w:r w:rsidRPr="00B07006">
        <w:rPr>
          <w:rFonts w:ascii="Times New Roman" w:hAnsi="Times New Roman" w:cs="Helvetica"/>
          <w:iCs/>
          <w:szCs w:val="36"/>
        </w:rPr>
        <w:t xml:space="preserve">  14:497</w:t>
      </w:r>
      <w:proofErr w:type="gramEnd"/>
      <w:r w:rsidRPr="00B07006">
        <w:rPr>
          <w:rFonts w:ascii="Times New Roman" w:hAnsi="Times New Roman" w:cs="Helvetica"/>
          <w:iCs/>
          <w:szCs w:val="36"/>
        </w:rPr>
        <w:t>-503.</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r>
        <w:rPr>
          <w:rFonts w:ascii="Times New Roman" w:hAnsi="Times New Roman" w:cs="Helvetica"/>
          <w:iCs/>
          <w:szCs w:val="36"/>
        </w:rPr>
        <w:t>The use of this worksheet will be covered in the exercises section.</w:t>
      </w:r>
    </w:p>
    <w:p w:rsidR="00F25841" w:rsidRPr="00B07006"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p>
    <w:p w:rsidR="00F25841" w:rsidRDefault="00B43360"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
          <w:iCs/>
          <w:szCs w:val="36"/>
        </w:rPr>
      </w:pPr>
      <w:r>
        <w:rPr>
          <w:rFonts w:ascii="Times New Roman" w:hAnsi="Times New Roman" w:cs="Helvetica"/>
          <w:i/>
          <w:iCs/>
          <w:noProof/>
          <w:szCs w:val="36"/>
        </w:rPr>
        <w:drawing>
          <wp:inline distT="0" distB="0" distL="0" distR="0">
            <wp:extent cx="5467350" cy="4146550"/>
            <wp:effectExtent l="25400" t="0" r="0" b="0"/>
            <wp:docPr id="2" name="Picture 2" descr="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8"/>
                    <pic:cNvPicPr>
                      <a:picLocks noChangeAspect="1" noChangeArrowheads="1"/>
                    </pic:cNvPicPr>
                  </pic:nvPicPr>
                  <pic:blipFill>
                    <a:blip r:embed="rId8"/>
                    <a:srcRect/>
                    <a:stretch>
                      <a:fillRect/>
                    </a:stretch>
                  </pic:blipFill>
                  <pic:spPr bwMode="auto">
                    <a:xfrm>
                      <a:off x="0" y="0"/>
                      <a:ext cx="5467350" cy="4146550"/>
                    </a:xfrm>
                    <a:prstGeom prst="rect">
                      <a:avLst/>
                    </a:prstGeom>
                    <a:noFill/>
                    <a:ln w="9525">
                      <a:noFill/>
                      <a:miter lim="800000"/>
                      <a:headEnd/>
                      <a:tailEnd/>
                    </a:ln>
                  </pic:spPr>
                </pic:pic>
              </a:graphicData>
            </a:graphic>
          </wp:inline>
        </w:drawing>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Pr="00B07006"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szCs w:val="36"/>
        </w:rPr>
      </w:pPr>
      <w:r w:rsidRPr="00B07006">
        <w:rPr>
          <w:rFonts w:ascii="Times New Roman" w:hAnsi="Times New Roman" w:cs="Helvetica"/>
          <w:b/>
          <w:szCs w:val="36"/>
        </w:rPr>
        <w:t>D.  Outcome Misclassification in 2x2 Tables</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iCs/>
          <w:szCs w:val="36"/>
        </w:rPr>
        <w:t xml:space="preserve">The “Outcome </w:t>
      </w:r>
      <w:proofErr w:type="spellStart"/>
      <w:r>
        <w:rPr>
          <w:rFonts w:ascii="Times New Roman" w:hAnsi="Times New Roman" w:cs="Helvetica"/>
          <w:iCs/>
          <w:szCs w:val="36"/>
        </w:rPr>
        <w:t>Misc</w:t>
      </w:r>
      <w:proofErr w:type="spellEnd"/>
      <w:r>
        <w:rPr>
          <w:rFonts w:ascii="Times New Roman" w:hAnsi="Times New Roman" w:cs="Helvetica"/>
          <w:iCs/>
          <w:szCs w:val="36"/>
        </w:rPr>
        <w:t xml:space="preserve">” worksheet of the </w:t>
      </w:r>
      <w:r w:rsidRPr="00B07006">
        <w:rPr>
          <w:rFonts w:ascii="Times New Roman" w:hAnsi="Times New Roman" w:cs="Helvetica"/>
          <w:szCs w:val="36"/>
        </w:rPr>
        <w:t>Ch6_Misclassification_201</w:t>
      </w:r>
      <w:r w:rsidR="00DB59BC">
        <w:rPr>
          <w:rFonts w:ascii="Times New Roman" w:hAnsi="Times New Roman" w:cs="Helvetica"/>
          <w:szCs w:val="36"/>
        </w:rPr>
        <w:t>3</w:t>
      </w:r>
      <w:r w:rsidRPr="00B07006">
        <w:rPr>
          <w:rFonts w:ascii="Times New Roman" w:hAnsi="Times New Roman" w:cs="Helvetica"/>
          <w:szCs w:val="36"/>
        </w:rPr>
        <w:t>_0</w:t>
      </w:r>
      <w:r w:rsidR="00DB59BC">
        <w:rPr>
          <w:rFonts w:ascii="Times New Roman" w:hAnsi="Times New Roman" w:cs="Helvetica"/>
          <w:szCs w:val="36"/>
        </w:rPr>
        <w:t>1_31</w:t>
      </w:r>
      <w:r w:rsidRPr="00B07006">
        <w:rPr>
          <w:rFonts w:ascii="Times New Roman" w:hAnsi="Times New Roman" w:cs="Helvetica"/>
          <w:szCs w:val="36"/>
        </w:rPr>
        <w:t>.xls</w:t>
      </w:r>
      <w:r>
        <w:rPr>
          <w:rFonts w:ascii="Times New Roman" w:hAnsi="Times New Roman" w:cs="Helvetica"/>
          <w:szCs w:val="36"/>
        </w:rPr>
        <w:t xml:space="preserve"> workbook </w:t>
      </w:r>
      <w:r>
        <w:rPr>
          <w:rFonts w:ascii="Times New Roman" w:hAnsi="Times New Roman" w:cs="Helvetica"/>
          <w:szCs w:val="36"/>
        </w:rPr>
        <w:lastRenderedPageBreak/>
        <w:t>is a tool that can be used to estimate what the true cell counts in a 2x2 table could be, given some observed data and assumptions about the outcome misclassification rates, as characterized by the sensitivities and specificities for classifying an observation to the “Case” group.</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r>
        <w:rPr>
          <w:rFonts w:ascii="Times New Roman" w:hAnsi="Times New Roman" w:cs="Helvetica"/>
          <w:szCs w:val="36"/>
        </w:rPr>
        <w:t xml:space="preserve"> </w:t>
      </w:r>
    </w:p>
    <w:p w:rsidR="00F25841" w:rsidRPr="00A27DEA"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r>
        <w:rPr>
          <w:rFonts w:ascii="Times New Roman" w:hAnsi="Times New Roman" w:cs="Helvetica"/>
          <w:szCs w:val="36"/>
        </w:rPr>
        <w:t>When you first open this worksheet, the 2x2 table for observed data will be filled with example cell counts taken from the following paper:</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roofErr w:type="gramStart"/>
      <w:r>
        <w:rPr>
          <w:rFonts w:ascii="Times New Roman" w:hAnsi="Times New Roman" w:cs="Helvetica"/>
          <w:szCs w:val="36"/>
        </w:rPr>
        <w:t xml:space="preserve">De </w:t>
      </w:r>
      <w:proofErr w:type="spellStart"/>
      <w:r>
        <w:rPr>
          <w:rFonts w:ascii="Times New Roman" w:hAnsi="Times New Roman" w:cs="Helvetica"/>
          <w:szCs w:val="36"/>
        </w:rPr>
        <w:t>Henauw</w:t>
      </w:r>
      <w:proofErr w:type="spellEnd"/>
      <w:r>
        <w:rPr>
          <w:rFonts w:ascii="Times New Roman" w:hAnsi="Times New Roman" w:cs="Helvetica"/>
          <w:szCs w:val="36"/>
        </w:rPr>
        <w:t xml:space="preserve"> S et al. (1998) Misclassification of coronary heart disease in mortality statistics.</w:t>
      </w:r>
      <w:proofErr w:type="gramEnd"/>
      <w:r>
        <w:rPr>
          <w:rFonts w:ascii="Times New Roman" w:hAnsi="Times New Roman" w:cs="Helvetica"/>
          <w:szCs w:val="36"/>
        </w:rPr>
        <w:t xml:space="preserve">   </w:t>
      </w:r>
      <w:proofErr w:type="gramStart"/>
      <w:r>
        <w:rPr>
          <w:rFonts w:ascii="Times New Roman" w:hAnsi="Times New Roman" w:cs="Helvetica"/>
          <w:szCs w:val="36"/>
        </w:rPr>
        <w:t>Evidence from the WHO_MONICA</w:t>
      </w:r>
      <w:r w:rsidR="003A35C7">
        <w:rPr>
          <w:rFonts w:ascii="Times New Roman" w:hAnsi="Times New Roman" w:cs="Helvetica"/>
          <w:szCs w:val="36"/>
        </w:rPr>
        <w:t xml:space="preserve"> Ghent-</w:t>
      </w:r>
      <w:proofErr w:type="spellStart"/>
      <w:r w:rsidR="003A35C7">
        <w:rPr>
          <w:rFonts w:ascii="Times New Roman" w:hAnsi="Times New Roman" w:cs="Helvetica"/>
          <w:szCs w:val="36"/>
        </w:rPr>
        <w:t>Charloroi</w:t>
      </w:r>
      <w:proofErr w:type="spellEnd"/>
      <w:r w:rsidR="003A35C7">
        <w:rPr>
          <w:rFonts w:ascii="Times New Roman" w:hAnsi="Times New Roman" w:cs="Helvetica"/>
          <w:szCs w:val="36"/>
        </w:rPr>
        <w:t xml:space="preserve"> Study in Belgi</w:t>
      </w:r>
      <w:r>
        <w:rPr>
          <w:rFonts w:ascii="Times New Roman" w:hAnsi="Times New Roman" w:cs="Helvetica"/>
          <w:szCs w:val="36"/>
        </w:rPr>
        <w:t>um</w:t>
      </w:r>
      <w:r w:rsidRPr="00B07006">
        <w:rPr>
          <w:rFonts w:ascii="Times New Roman" w:hAnsi="Times New Roman" w:cs="Helvetica"/>
          <w:i/>
          <w:szCs w:val="36"/>
        </w:rPr>
        <w:t>.</w:t>
      </w:r>
      <w:proofErr w:type="gramEnd"/>
      <w:r w:rsidRPr="00B07006">
        <w:rPr>
          <w:rFonts w:ascii="Times New Roman" w:hAnsi="Times New Roman" w:cs="Helvetica"/>
          <w:i/>
          <w:szCs w:val="36"/>
        </w:rPr>
        <w:t xml:space="preserve">  J </w:t>
      </w:r>
      <w:proofErr w:type="spellStart"/>
      <w:r w:rsidRPr="00B07006">
        <w:rPr>
          <w:rFonts w:ascii="Times New Roman" w:hAnsi="Times New Roman" w:cs="Helvetica"/>
          <w:i/>
          <w:szCs w:val="36"/>
        </w:rPr>
        <w:t>Epidemiol</w:t>
      </w:r>
      <w:proofErr w:type="spellEnd"/>
      <w:r w:rsidRPr="00B07006">
        <w:rPr>
          <w:rFonts w:ascii="Times New Roman" w:hAnsi="Times New Roman" w:cs="Helvetica"/>
          <w:i/>
          <w:szCs w:val="36"/>
        </w:rPr>
        <w:t xml:space="preserve"> Com Health</w:t>
      </w:r>
      <w:r>
        <w:rPr>
          <w:rFonts w:ascii="Times New Roman" w:hAnsi="Times New Roman" w:cs="Helvetica"/>
          <w:szCs w:val="36"/>
        </w:rPr>
        <w:t xml:space="preserve"> 52: 513-1519.</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iCs/>
          <w:szCs w:val="36"/>
        </w:rPr>
      </w:pPr>
      <w:r>
        <w:rPr>
          <w:rFonts w:ascii="Times New Roman" w:hAnsi="Times New Roman" w:cs="Helvetica"/>
          <w:iCs/>
          <w:szCs w:val="36"/>
        </w:rPr>
        <w:t>The use of this worksheet will be covered in the exercises section.</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Default="00B43360"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noProof/>
          <w:szCs w:val="36"/>
        </w:rPr>
        <w:drawing>
          <wp:inline distT="0" distB="0" distL="0" distR="0">
            <wp:extent cx="5480050" cy="4191000"/>
            <wp:effectExtent l="25400" t="0" r="6350" b="0"/>
            <wp:docPr id="3" name="Picture 3"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7"/>
                    <pic:cNvPicPr>
                      <a:picLocks noChangeAspect="1" noChangeArrowheads="1"/>
                    </pic:cNvPicPr>
                  </pic:nvPicPr>
                  <pic:blipFill>
                    <a:blip r:embed="rId9"/>
                    <a:srcRect/>
                    <a:stretch>
                      <a:fillRect/>
                    </a:stretch>
                  </pic:blipFill>
                  <pic:spPr bwMode="auto">
                    <a:xfrm>
                      <a:off x="0" y="0"/>
                      <a:ext cx="5480050" cy="4191000"/>
                    </a:xfrm>
                    <a:prstGeom prst="rect">
                      <a:avLst/>
                    </a:prstGeom>
                    <a:noFill/>
                    <a:ln w="9525">
                      <a:noFill/>
                      <a:miter lim="800000"/>
                      <a:headEnd/>
                      <a:tailEnd/>
                    </a:ln>
                  </pic:spPr>
                </pic:pic>
              </a:graphicData>
            </a:graphic>
          </wp:inline>
        </w:drawing>
      </w:r>
    </w:p>
    <w:p w:rsidR="000B1838" w:rsidRDefault="000B1838"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Pr="00993D8B"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szCs w:val="36"/>
        </w:rPr>
      </w:pPr>
      <w:r w:rsidRPr="00993D8B">
        <w:rPr>
          <w:rFonts w:ascii="Times New Roman" w:hAnsi="Times New Roman" w:cs="Helvetica"/>
          <w:b/>
          <w:szCs w:val="36"/>
        </w:rPr>
        <w:t>E.  Complicated Misclassification Scenarios</w:t>
      </w:r>
      <w:r w:rsidRPr="00993D8B">
        <w:rPr>
          <w:rFonts w:ascii="Times New Roman" w:hAnsi="Times New Roman" w:cs="Helvetica"/>
          <w:b/>
          <w:szCs w:val="36"/>
        </w:rPr>
        <w:tab/>
        <w:t xml:space="preserve"> </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b/>
          <w:szCs w:val="36"/>
        </w:rPr>
        <w:tab/>
      </w:r>
      <w:r>
        <w:rPr>
          <w:rFonts w:ascii="Times New Roman" w:hAnsi="Times New Roman" w:cs="Helvetica"/>
          <w:szCs w:val="36"/>
        </w:rPr>
        <w:t xml:space="preserve">The two worksheets above may be used to examine the effects of EITHER exposure misclassification OR outcome misclassification.  Of course, there can be misclassification of both exposure and outcome for a single observation.  The situation becomes more complicated to analyze or even just describe when there can be misclassification of both exposure and outcome, because one would need to specify </w:t>
      </w:r>
      <w:r>
        <w:rPr>
          <w:rFonts w:ascii="Times New Roman" w:hAnsi="Times New Roman" w:cs="Helvetica"/>
          <w:szCs w:val="36"/>
        </w:rPr>
        <w:lastRenderedPageBreak/>
        <w:t xml:space="preserve">whether the two types of misclassification are independent or not; and if not one has to specify what type of dependence they have.  </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r>
        <w:rPr>
          <w:rFonts w:ascii="Times New Roman" w:hAnsi="Times New Roman" w:cs="Helvetica"/>
          <w:szCs w:val="36"/>
        </w:rPr>
        <w:tab/>
        <w:t xml:space="preserve">Misclassification analysis can also consider additional covariates besides the exposure variable.  For example misclassification rates for the outcome or the exposure of interest may vary across different levels of the additional covariate.  And then the additional covariate may be misclassified.  </w:t>
      </w:r>
    </w:p>
    <w:p w:rsidR="00F25841" w:rsidRDefault="00F25841" w:rsidP="00F258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szCs w:val="36"/>
        </w:rPr>
      </w:pPr>
    </w:p>
    <w:p w:rsidR="00F25841" w:rsidRPr="006A24F0" w:rsidRDefault="00F25841" w:rsidP="000B18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rPr>
      </w:pPr>
      <w:r>
        <w:rPr>
          <w:rFonts w:ascii="Times New Roman" w:hAnsi="Times New Roman" w:cs="Helvetica"/>
          <w:szCs w:val="36"/>
        </w:rPr>
        <w:tab/>
      </w:r>
      <w:bookmarkStart w:id="0" w:name="_GoBack"/>
      <w:bookmarkEnd w:id="0"/>
    </w:p>
    <w:sectPr w:rsidR="00F25841" w:rsidRPr="006A24F0" w:rsidSect="00F25841">
      <w:headerReference w:type="default" r:id="rId10"/>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E9" w:rsidRDefault="00086FE9">
      <w:r>
        <w:separator/>
      </w:r>
    </w:p>
  </w:endnote>
  <w:endnote w:type="continuationSeparator" w:id="0">
    <w:p w:rsidR="00086FE9" w:rsidRDefault="0008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6C" w:rsidRDefault="00036950" w:rsidP="00F25841">
    <w:pPr>
      <w:pStyle w:val="Footer"/>
      <w:framePr w:wrap="around" w:vAnchor="text" w:hAnchor="margin" w:xAlign="right" w:y="1"/>
      <w:rPr>
        <w:rStyle w:val="PageNumber"/>
      </w:rPr>
    </w:pPr>
    <w:r>
      <w:rPr>
        <w:rStyle w:val="PageNumber"/>
      </w:rPr>
      <w:fldChar w:fldCharType="begin"/>
    </w:r>
    <w:r w:rsidR="009D536C">
      <w:rPr>
        <w:rStyle w:val="PageNumber"/>
      </w:rPr>
      <w:instrText xml:space="preserve">PAGE  </w:instrText>
    </w:r>
    <w:r>
      <w:rPr>
        <w:rStyle w:val="PageNumber"/>
      </w:rPr>
      <w:fldChar w:fldCharType="end"/>
    </w:r>
  </w:p>
  <w:p w:rsidR="009D536C" w:rsidRDefault="009D536C" w:rsidP="00F258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6C" w:rsidRPr="000B1838" w:rsidRDefault="00036950" w:rsidP="00F25841">
    <w:pPr>
      <w:pStyle w:val="Footer"/>
      <w:framePr w:wrap="around" w:vAnchor="text" w:hAnchor="margin" w:xAlign="right" w:y="1"/>
      <w:rPr>
        <w:rStyle w:val="PageNumber"/>
        <w:rFonts w:ascii="Times New Roman" w:hAnsi="Times New Roman"/>
      </w:rPr>
    </w:pPr>
    <w:r w:rsidRPr="000B1838">
      <w:rPr>
        <w:rStyle w:val="PageNumber"/>
        <w:rFonts w:ascii="Times New Roman" w:hAnsi="Times New Roman"/>
      </w:rPr>
      <w:fldChar w:fldCharType="begin"/>
    </w:r>
    <w:r w:rsidR="009D536C" w:rsidRPr="000B1838">
      <w:rPr>
        <w:rStyle w:val="PageNumber"/>
        <w:rFonts w:ascii="Times New Roman" w:hAnsi="Times New Roman"/>
      </w:rPr>
      <w:instrText xml:space="preserve">PAGE  </w:instrText>
    </w:r>
    <w:r w:rsidRPr="000B1838">
      <w:rPr>
        <w:rStyle w:val="PageNumber"/>
        <w:rFonts w:ascii="Times New Roman" w:hAnsi="Times New Roman"/>
      </w:rPr>
      <w:fldChar w:fldCharType="separate"/>
    </w:r>
    <w:r w:rsidR="000B1838">
      <w:rPr>
        <w:rStyle w:val="PageNumber"/>
        <w:rFonts w:ascii="Times New Roman" w:hAnsi="Times New Roman"/>
        <w:noProof/>
      </w:rPr>
      <w:t>4</w:t>
    </w:r>
    <w:r w:rsidRPr="000B1838">
      <w:rPr>
        <w:rStyle w:val="PageNumber"/>
        <w:rFonts w:ascii="Times New Roman" w:hAnsi="Times New Roman"/>
      </w:rPr>
      <w:fldChar w:fldCharType="end"/>
    </w:r>
  </w:p>
  <w:p w:rsidR="009D536C" w:rsidRDefault="009D536C" w:rsidP="00F258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E9" w:rsidRDefault="00086FE9">
      <w:r>
        <w:separator/>
      </w:r>
    </w:p>
  </w:footnote>
  <w:footnote w:type="continuationSeparator" w:id="0">
    <w:p w:rsidR="00086FE9" w:rsidRDefault="00086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6C" w:rsidRPr="004E3A5F" w:rsidRDefault="009D536C" w:rsidP="004E3A5F">
    <w:pPr>
      <w:pStyle w:val="Header"/>
      <w:tabs>
        <w:tab w:val="clear" w:pos="8640"/>
      </w:tabs>
      <w:jc w:val="right"/>
      <w:rPr>
        <w:rFonts w:ascii="Times New Roman" w:hAnsi="Times New Roman"/>
      </w:rPr>
    </w:pPr>
    <w:r>
      <w:t xml:space="preserve"> </w:t>
    </w:r>
    <w:r>
      <w:tab/>
      <w:t xml:space="preserve"> </w:t>
    </w:r>
    <w:r>
      <w:tab/>
    </w:r>
    <w:r>
      <w:tab/>
      <w:t xml:space="preserve">    </w:t>
    </w:r>
    <w:r w:rsidRPr="004E3A5F">
      <w:rPr>
        <w:rFonts w:ascii="Times New Roman" w:hAnsi="Times New Roman"/>
      </w:rPr>
      <w:t>Epidemiologic Methods II</w:t>
    </w:r>
  </w:p>
  <w:p w:rsidR="004E3A5F" w:rsidRDefault="005061A8" w:rsidP="004E3A5F">
    <w:pPr>
      <w:pStyle w:val="Header"/>
      <w:jc w:val="right"/>
      <w:rPr>
        <w:rFonts w:ascii="Times New Roman" w:hAnsi="Times New Roman"/>
      </w:rPr>
    </w:pPr>
    <w:r w:rsidRPr="004E3A5F">
      <w:rPr>
        <w:rFonts w:ascii="Times New Roman" w:hAnsi="Times New Roman"/>
      </w:rPr>
      <w:tab/>
    </w:r>
    <w:r w:rsidRPr="004E3A5F">
      <w:rPr>
        <w:rFonts w:ascii="Times New Roman" w:hAnsi="Times New Roman"/>
      </w:rPr>
      <w:tab/>
      <w:t>Winter 201</w:t>
    </w:r>
    <w:r w:rsidR="004E3A5F">
      <w:rPr>
        <w:rFonts w:ascii="Times New Roman" w:hAnsi="Times New Roman"/>
      </w:rPr>
      <w:t>4</w:t>
    </w:r>
  </w:p>
  <w:p w:rsidR="009D536C" w:rsidRDefault="00701498" w:rsidP="004E3A5F">
    <w:pPr>
      <w:pStyle w:val="Header"/>
      <w:jc w:val="right"/>
      <w:rPr>
        <w:rFonts w:ascii="Times New Roman" w:hAnsi="Times New Roman"/>
      </w:rPr>
    </w:pPr>
    <w:r w:rsidRPr="004E3A5F">
      <w:rPr>
        <w:rFonts w:ascii="Times New Roman" w:hAnsi="Times New Roman"/>
      </w:rPr>
      <w:t xml:space="preserve">Misclassification tutorial </w:t>
    </w:r>
    <w:r w:rsidR="004E3A5F" w:rsidRPr="004E3A5F">
      <w:rPr>
        <w:rFonts w:ascii="Times New Roman" w:hAnsi="Times New Roman"/>
      </w:rPr>
      <w:t>for homework for week #</w:t>
    </w:r>
    <w:r w:rsidR="004E3A5F">
      <w:rPr>
        <w:rFonts w:ascii="Times New Roman" w:hAnsi="Times New Roman"/>
      </w:rPr>
      <w:t>4</w:t>
    </w:r>
  </w:p>
  <w:p w:rsidR="000B1838" w:rsidRDefault="000B1838" w:rsidP="004E3A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05514"/>
    <w:multiLevelType w:val="hybridMultilevel"/>
    <w:tmpl w:val="AD40DBF0"/>
    <w:lvl w:ilvl="0" w:tplc="0409000F">
      <w:start w:val="1"/>
      <w:numFmt w:val="decimal"/>
      <w:lvlText w:val="%1."/>
      <w:lvlJc w:val="left"/>
      <w:pPr>
        <w:tabs>
          <w:tab w:val="num" w:pos="360"/>
        </w:tabs>
        <w:ind w:left="360" w:hanging="360"/>
      </w:pPr>
      <w:rPr>
        <w:rFonts w:cs="Times New Roman"/>
      </w:rPr>
    </w:lvl>
    <w:lvl w:ilvl="1" w:tplc="C67C2726">
      <w:start w:val="1"/>
      <w:numFmt w:val="lowerLetter"/>
      <w:lvlText w:val="%2."/>
      <w:lvlJc w:val="left"/>
      <w:pPr>
        <w:tabs>
          <w:tab w:val="num" w:pos="360"/>
        </w:tabs>
        <w:ind w:left="648" w:hanging="288"/>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45E475A4"/>
    <w:multiLevelType w:val="hybridMultilevel"/>
    <w:tmpl w:val="93000A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B2665B"/>
    <w:multiLevelType w:val="hybridMultilevel"/>
    <w:tmpl w:val="AF0A8466"/>
    <w:lvl w:ilvl="0" w:tplc="36ACAE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5DBA"/>
    <w:rsid w:val="00020633"/>
    <w:rsid w:val="00036950"/>
    <w:rsid w:val="00086FE9"/>
    <w:rsid w:val="000B1838"/>
    <w:rsid w:val="000F5DBA"/>
    <w:rsid w:val="00122BE7"/>
    <w:rsid w:val="001468FC"/>
    <w:rsid w:val="003A35C7"/>
    <w:rsid w:val="00432503"/>
    <w:rsid w:val="00482DB5"/>
    <w:rsid w:val="004E3A5F"/>
    <w:rsid w:val="005061A8"/>
    <w:rsid w:val="00693E6E"/>
    <w:rsid w:val="00701498"/>
    <w:rsid w:val="007D3C1A"/>
    <w:rsid w:val="0084441F"/>
    <w:rsid w:val="009D536C"/>
    <w:rsid w:val="00AB7F99"/>
    <w:rsid w:val="00AC1701"/>
    <w:rsid w:val="00B43360"/>
    <w:rsid w:val="00B90433"/>
    <w:rsid w:val="00BF5C04"/>
    <w:rsid w:val="00CB76DC"/>
    <w:rsid w:val="00DB59BC"/>
    <w:rsid w:val="00EB6C39"/>
    <w:rsid w:val="00F1137C"/>
    <w:rsid w:val="00F258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1421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A30"/>
    <w:pPr>
      <w:tabs>
        <w:tab w:val="center" w:pos="4320"/>
        <w:tab w:val="right" w:pos="8640"/>
      </w:tabs>
    </w:pPr>
  </w:style>
  <w:style w:type="character" w:customStyle="1" w:styleId="HeaderChar">
    <w:name w:val="Header Char"/>
    <w:basedOn w:val="DefaultParagraphFont"/>
    <w:link w:val="Header"/>
    <w:uiPriority w:val="99"/>
    <w:rsid w:val="00F70A30"/>
  </w:style>
  <w:style w:type="paragraph" w:styleId="Footer">
    <w:name w:val="footer"/>
    <w:basedOn w:val="Normal"/>
    <w:link w:val="FooterChar"/>
    <w:uiPriority w:val="99"/>
    <w:unhideWhenUsed/>
    <w:rsid w:val="00F70A30"/>
    <w:pPr>
      <w:tabs>
        <w:tab w:val="center" w:pos="4320"/>
        <w:tab w:val="right" w:pos="8640"/>
      </w:tabs>
    </w:pPr>
  </w:style>
  <w:style w:type="character" w:customStyle="1" w:styleId="FooterChar">
    <w:name w:val="Footer Char"/>
    <w:basedOn w:val="DefaultParagraphFont"/>
    <w:link w:val="Footer"/>
    <w:uiPriority w:val="99"/>
    <w:rsid w:val="00F70A30"/>
  </w:style>
  <w:style w:type="character" w:styleId="PageNumber">
    <w:name w:val="page number"/>
    <w:basedOn w:val="DefaultParagraphFont"/>
    <w:uiPriority w:val="99"/>
    <w:semiHidden/>
    <w:unhideWhenUsed/>
    <w:rsid w:val="00F70A30"/>
  </w:style>
  <w:style w:type="character" w:styleId="Hyperlink">
    <w:name w:val="Hyperlink"/>
    <w:uiPriority w:val="99"/>
    <w:semiHidden/>
    <w:unhideWhenUsed/>
    <w:rsid w:val="00E24FC9"/>
    <w:rPr>
      <w:color w:val="0000FF"/>
      <w:u w:val="single"/>
    </w:rPr>
  </w:style>
  <w:style w:type="character" w:styleId="CommentReference">
    <w:name w:val="annotation reference"/>
    <w:uiPriority w:val="99"/>
    <w:semiHidden/>
    <w:unhideWhenUsed/>
    <w:rsid w:val="00522518"/>
    <w:rPr>
      <w:sz w:val="16"/>
      <w:szCs w:val="16"/>
    </w:rPr>
  </w:style>
  <w:style w:type="paragraph" w:styleId="CommentText">
    <w:name w:val="annotation text"/>
    <w:basedOn w:val="Normal"/>
    <w:link w:val="CommentTextChar"/>
    <w:uiPriority w:val="99"/>
    <w:semiHidden/>
    <w:unhideWhenUsed/>
    <w:rsid w:val="00522518"/>
    <w:rPr>
      <w:sz w:val="20"/>
      <w:szCs w:val="20"/>
    </w:rPr>
  </w:style>
  <w:style w:type="character" w:customStyle="1" w:styleId="CommentTextChar">
    <w:name w:val="Comment Text Char"/>
    <w:basedOn w:val="DefaultParagraphFont"/>
    <w:link w:val="CommentText"/>
    <w:uiPriority w:val="99"/>
    <w:semiHidden/>
    <w:rsid w:val="00522518"/>
  </w:style>
  <w:style w:type="paragraph" w:styleId="CommentSubject">
    <w:name w:val="annotation subject"/>
    <w:basedOn w:val="CommentText"/>
    <w:next w:val="CommentText"/>
    <w:link w:val="CommentSubjectChar"/>
    <w:uiPriority w:val="99"/>
    <w:semiHidden/>
    <w:unhideWhenUsed/>
    <w:rsid w:val="00522518"/>
    <w:rPr>
      <w:b/>
      <w:bCs/>
    </w:rPr>
  </w:style>
  <w:style w:type="character" w:customStyle="1" w:styleId="CommentSubjectChar">
    <w:name w:val="Comment Subject Char"/>
    <w:link w:val="CommentSubject"/>
    <w:uiPriority w:val="99"/>
    <w:semiHidden/>
    <w:rsid w:val="00522518"/>
    <w:rPr>
      <w:b/>
      <w:bCs/>
    </w:rPr>
  </w:style>
  <w:style w:type="paragraph" w:styleId="Revision">
    <w:name w:val="Revision"/>
    <w:hidden/>
    <w:uiPriority w:val="71"/>
    <w:rsid w:val="00522518"/>
    <w:rPr>
      <w:sz w:val="24"/>
      <w:szCs w:val="24"/>
    </w:rPr>
  </w:style>
  <w:style w:type="paragraph" w:styleId="BalloonText">
    <w:name w:val="Balloon Text"/>
    <w:basedOn w:val="Normal"/>
    <w:link w:val="BalloonTextChar"/>
    <w:uiPriority w:val="99"/>
    <w:semiHidden/>
    <w:unhideWhenUsed/>
    <w:rsid w:val="00522518"/>
    <w:rPr>
      <w:rFonts w:ascii="Tahoma" w:hAnsi="Tahoma"/>
      <w:sz w:val="16"/>
      <w:szCs w:val="16"/>
    </w:rPr>
  </w:style>
  <w:style w:type="character" w:customStyle="1" w:styleId="BalloonTextChar">
    <w:name w:val="Balloon Text Char"/>
    <w:link w:val="BalloonText"/>
    <w:uiPriority w:val="99"/>
    <w:semiHidden/>
    <w:rsid w:val="00522518"/>
    <w:rPr>
      <w:rFonts w:ascii="Tahoma" w:hAnsi="Tahoma" w:cs="Tahoma"/>
      <w:sz w:val="16"/>
      <w:szCs w:val="16"/>
    </w:rPr>
  </w:style>
  <w:style w:type="paragraph" w:styleId="ListParagraph">
    <w:name w:val="List Paragraph"/>
    <w:basedOn w:val="Normal"/>
    <w:rsid w:val="000B18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9876">
      <w:bodyDiv w:val="1"/>
      <w:marLeft w:val="0"/>
      <w:marRight w:val="0"/>
      <w:marTop w:val="0"/>
      <w:marBottom w:val="0"/>
      <w:divBdr>
        <w:top w:val="none" w:sz="0" w:space="0" w:color="auto"/>
        <w:left w:val="none" w:sz="0" w:space="0" w:color="auto"/>
        <w:bottom w:val="none" w:sz="0" w:space="0" w:color="auto"/>
        <w:right w:val="none" w:sz="0" w:space="0" w:color="auto"/>
      </w:divBdr>
    </w:div>
    <w:div w:id="196286093">
      <w:bodyDiv w:val="1"/>
      <w:marLeft w:val="0"/>
      <w:marRight w:val="0"/>
      <w:marTop w:val="0"/>
      <w:marBottom w:val="0"/>
      <w:divBdr>
        <w:top w:val="none" w:sz="0" w:space="0" w:color="auto"/>
        <w:left w:val="none" w:sz="0" w:space="0" w:color="auto"/>
        <w:bottom w:val="none" w:sz="0" w:space="0" w:color="auto"/>
        <w:right w:val="none" w:sz="0" w:space="0" w:color="auto"/>
      </w:divBdr>
    </w:div>
    <w:div w:id="241060864">
      <w:bodyDiv w:val="1"/>
      <w:marLeft w:val="0"/>
      <w:marRight w:val="0"/>
      <w:marTop w:val="0"/>
      <w:marBottom w:val="0"/>
      <w:divBdr>
        <w:top w:val="none" w:sz="0" w:space="0" w:color="auto"/>
        <w:left w:val="none" w:sz="0" w:space="0" w:color="auto"/>
        <w:bottom w:val="none" w:sz="0" w:space="0" w:color="auto"/>
        <w:right w:val="none" w:sz="0" w:space="0" w:color="auto"/>
      </w:divBdr>
    </w:div>
    <w:div w:id="626198636">
      <w:bodyDiv w:val="1"/>
      <w:marLeft w:val="0"/>
      <w:marRight w:val="0"/>
      <w:marTop w:val="0"/>
      <w:marBottom w:val="0"/>
      <w:divBdr>
        <w:top w:val="none" w:sz="0" w:space="0" w:color="auto"/>
        <w:left w:val="none" w:sz="0" w:space="0" w:color="auto"/>
        <w:bottom w:val="none" w:sz="0" w:space="0" w:color="auto"/>
        <w:right w:val="none" w:sz="0" w:space="0" w:color="auto"/>
      </w:divBdr>
    </w:div>
    <w:div w:id="651300792">
      <w:bodyDiv w:val="1"/>
      <w:marLeft w:val="0"/>
      <w:marRight w:val="0"/>
      <w:marTop w:val="0"/>
      <w:marBottom w:val="0"/>
      <w:divBdr>
        <w:top w:val="none" w:sz="0" w:space="0" w:color="auto"/>
        <w:left w:val="none" w:sz="0" w:space="0" w:color="auto"/>
        <w:bottom w:val="none" w:sz="0" w:space="0" w:color="auto"/>
        <w:right w:val="none" w:sz="0" w:space="0" w:color="auto"/>
      </w:divBdr>
    </w:div>
    <w:div w:id="815949023">
      <w:bodyDiv w:val="1"/>
      <w:marLeft w:val="0"/>
      <w:marRight w:val="0"/>
      <w:marTop w:val="0"/>
      <w:marBottom w:val="0"/>
      <w:divBdr>
        <w:top w:val="none" w:sz="0" w:space="0" w:color="auto"/>
        <w:left w:val="none" w:sz="0" w:space="0" w:color="auto"/>
        <w:bottom w:val="none" w:sz="0" w:space="0" w:color="auto"/>
        <w:right w:val="none" w:sz="0" w:space="0" w:color="auto"/>
      </w:divBdr>
    </w:div>
    <w:div w:id="1324316374">
      <w:bodyDiv w:val="1"/>
      <w:marLeft w:val="0"/>
      <w:marRight w:val="0"/>
      <w:marTop w:val="0"/>
      <w:marBottom w:val="0"/>
      <w:divBdr>
        <w:top w:val="none" w:sz="0" w:space="0" w:color="auto"/>
        <w:left w:val="none" w:sz="0" w:space="0" w:color="auto"/>
        <w:bottom w:val="none" w:sz="0" w:space="0" w:color="auto"/>
        <w:right w:val="none" w:sz="0" w:space="0" w:color="auto"/>
      </w:divBdr>
    </w:div>
    <w:div w:id="1344668463">
      <w:bodyDiv w:val="1"/>
      <w:marLeft w:val="0"/>
      <w:marRight w:val="0"/>
      <w:marTop w:val="0"/>
      <w:marBottom w:val="0"/>
      <w:divBdr>
        <w:top w:val="none" w:sz="0" w:space="0" w:color="auto"/>
        <w:left w:val="none" w:sz="0" w:space="0" w:color="auto"/>
        <w:bottom w:val="none" w:sz="0" w:space="0" w:color="auto"/>
        <w:right w:val="none" w:sz="0" w:space="0" w:color="auto"/>
      </w:divBdr>
    </w:div>
    <w:div w:id="1854033060">
      <w:bodyDiv w:val="1"/>
      <w:marLeft w:val="0"/>
      <w:marRight w:val="0"/>
      <w:marTop w:val="0"/>
      <w:marBottom w:val="0"/>
      <w:divBdr>
        <w:top w:val="none" w:sz="0" w:space="0" w:color="auto"/>
        <w:left w:val="none" w:sz="0" w:space="0" w:color="auto"/>
        <w:bottom w:val="none" w:sz="0" w:space="0" w:color="auto"/>
        <w:right w:val="none" w:sz="0" w:space="0" w:color="auto"/>
      </w:divBdr>
    </w:div>
    <w:div w:id="1879124527">
      <w:bodyDiv w:val="1"/>
      <w:marLeft w:val="0"/>
      <w:marRight w:val="0"/>
      <w:marTop w:val="0"/>
      <w:marBottom w:val="0"/>
      <w:divBdr>
        <w:top w:val="none" w:sz="0" w:space="0" w:color="auto"/>
        <w:left w:val="none" w:sz="0" w:space="0" w:color="auto"/>
        <w:bottom w:val="none" w:sz="0" w:space="0" w:color="auto"/>
        <w:right w:val="none" w:sz="0" w:space="0" w:color="auto"/>
      </w:divBdr>
    </w:div>
    <w:div w:id="1895382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5207</CharactersWithSpaces>
  <SharedDoc>false</SharedDoc>
  <HLinks>
    <vt:vector size="114" baseType="variant">
      <vt:variant>
        <vt:i4>5177403</vt:i4>
      </vt:variant>
      <vt:variant>
        <vt:i4>11297</vt:i4>
      </vt:variant>
      <vt:variant>
        <vt:i4>1026</vt:i4>
      </vt:variant>
      <vt:variant>
        <vt:i4>1</vt:i4>
      </vt:variant>
      <vt:variant>
        <vt:lpwstr>Picture 8</vt:lpwstr>
      </vt:variant>
      <vt:variant>
        <vt:lpwstr/>
      </vt:variant>
      <vt:variant>
        <vt:i4>5177396</vt:i4>
      </vt:variant>
      <vt:variant>
        <vt:i4>12121</vt:i4>
      </vt:variant>
      <vt:variant>
        <vt:i4>1027</vt:i4>
      </vt:variant>
      <vt:variant>
        <vt:i4>1</vt:i4>
      </vt:variant>
      <vt:variant>
        <vt:lpwstr>Picture 7</vt:lpwstr>
      </vt:variant>
      <vt:variant>
        <vt:lpwstr/>
      </vt:variant>
      <vt:variant>
        <vt:i4>5177393</vt:i4>
      </vt:variant>
      <vt:variant>
        <vt:i4>16516</vt:i4>
      </vt:variant>
      <vt:variant>
        <vt:i4>1029</vt:i4>
      </vt:variant>
      <vt:variant>
        <vt:i4>1</vt:i4>
      </vt:variant>
      <vt:variant>
        <vt:lpwstr>Picture 2</vt:lpwstr>
      </vt:variant>
      <vt:variant>
        <vt:lpwstr/>
      </vt:variant>
      <vt:variant>
        <vt:i4>5177392</vt:i4>
      </vt:variant>
      <vt:variant>
        <vt:i4>25800</vt:i4>
      </vt:variant>
      <vt:variant>
        <vt:i4>1030</vt:i4>
      </vt:variant>
      <vt:variant>
        <vt:i4>1</vt:i4>
      </vt:variant>
      <vt:variant>
        <vt:lpwstr>Picture 3</vt:lpwstr>
      </vt:variant>
      <vt:variant>
        <vt:lpwstr/>
      </vt:variant>
      <vt:variant>
        <vt:i4>5177398</vt:i4>
      </vt:variant>
      <vt:variant>
        <vt:i4>27621</vt:i4>
      </vt:variant>
      <vt:variant>
        <vt:i4>1031</vt:i4>
      </vt:variant>
      <vt:variant>
        <vt:i4>1</vt:i4>
      </vt:variant>
      <vt:variant>
        <vt:lpwstr>Picture 5</vt:lpwstr>
      </vt:variant>
      <vt:variant>
        <vt:lpwstr/>
      </vt:variant>
      <vt:variant>
        <vt:i4>5177397</vt:i4>
      </vt:variant>
      <vt:variant>
        <vt:i4>28902</vt:i4>
      </vt:variant>
      <vt:variant>
        <vt:i4>1032</vt:i4>
      </vt:variant>
      <vt:variant>
        <vt:i4>1</vt:i4>
      </vt:variant>
      <vt:variant>
        <vt:lpwstr>Picture 6</vt:lpwstr>
      </vt:variant>
      <vt:variant>
        <vt:lpwstr/>
      </vt:variant>
      <vt:variant>
        <vt:i4>5177396</vt:i4>
      </vt:variant>
      <vt:variant>
        <vt:i4>29555</vt:i4>
      </vt:variant>
      <vt:variant>
        <vt:i4>1033</vt:i4>
      </vt:variant>
      <vt:variant>
        <vt:i4>1</vt:i4>
      </vt:variant>
      <vt:variant>
        <vt:lpwstr>Picture 7</vt:lpwstr>
      </vt:variant>
      <vt:variant>
        <vt:lpwstr/>
      </vt:variant>
      <vt:variant>
        <vt:i4>5177403</vt:i4>
      </vt:variant>
      <vt:variant>
        <vt:i4>31795</vt:i4>
      </vt:variant>
      <vt:variant>
        <vt:i4>1034</vt:i4>
      </vt:variant>
      <vt:variant>
        <vt:i4>1</vt:i4>
      </vt:variant>
      <vt:variant>
        <vt:lpwstr>Picture 8</vt:lpwstr>
      </vt:variant>
      <vt:variant>
        <vt:lpwstr/>
      </vt:variant>
      <vt:variant>
        <vt:i4>5177402</vt:i4>
      </vt:variant>
      <vt:variant>
        <vt:i4>32679</vt:i4>
      </vt:variant>
      <vt:variant>
        <vt:i4>1035</vt:i4>
      </vt:variant>
      <vt:variant>
        <vt:i4>1</vt:i4>
      </vt:variant>
      <vt:variant>
        <vt:lpwstr>Picture 9</vt:lpwstr>
      </vt:variant>
      <vt:variant>
        <vt:lpwstr/>
      </vt:variant>
      <vt:variant>
        <vt:i4>5177394</vt:i4>
      </vt:variant>
      <vt:variant>
        <vt:i4>33365</vt:i4>
      </vt:variant>
      <vt:variant>
        <vt:i4>1036</vt:i4>
      </vt:variant>
      <vt:variant>
        <vt:i4>1</vt:i4>
      </vt:variant>
      <vt:variant>
        <vt:lpwstr>Picture 1</vt:lpwstr>
      </vt:variant>
      <vt:variant>
        <vt:lpwstr/>
      </vt:variant>
      <vt:variant>
        <vt:i4>5177393</vt:i4>
      </vt:variant>
      <vt:variant>
        <vt:i4>34547</vt:i4>
      </vt:variant>
      <vt:variant>
        <vt:i4>1037</vt:i4>
      </vt:variant>
      <vt:variant>
        <vt:i4>1</vt:i4>
      </vt:variant>
      <vt:variant>
        <vt:lpwstr>Picture 2</vt:lpwstr>
      </vt:variant>
      <vt:variant>
        <vt:lpwstr/>
      </vt:variant>
      <vt:variant>
        <vt:i4>5177399</vt:i4>
      </vt:variant>
      <vt:variant>
        <vt:i4>39045</vt:i4>
      </vt:variant>
      <vt:variant>
        <vt:i4>1038</vt:i4>
      </vt:variant>
      <vt:variant>
        <vt:i4>1</vt:i4>
      </vt:variant>
      <vt:variant>
        <vt:lpwstr>Picture 4</vt:lpwstr>
      </vt:variant>
      <vt:variant>
        <vt:lpwstr/>
      </vt:variant>
      <vt:variant>
        <vt:i4>5177394</vt:i4>
      </vt:variant>
      <vt:variant>
        <vt:i4>40026</vt:i4>
      </vt:variant>
      <vt:variant>
        <vt:i4>1039</vt:i4>
      </vt:variant>
      <vt:variant>
        <vt:i4>1</vt:i4>
      </vt:variant>
      <vt:variant>
        <vt:lpwstr>Picture 1</vt:lpwstr>
      </vt:variant>
      <vt:variant>
        <vt:lpwstr/>
      </vt:variant>
      <vt:variant>
        <vt:i4>5177394</vt:i4>
      </vt:variant>
      <vt:variant>
        <vt:i4>41016</vt:i4>
      </vt:variant>
      <vt:variant>
        <vt:i4>1040</vt:i4>
      </vt:variant>
      <vt:variant>
        <vt:i4>1</vt:i4>
      </vt:variant>
      <vt:variant>
        <vt:lpwstr>Picture 1</vt:lpwstr>
      </vt:variant>
      <vt:variant>
        <vt:lpwstr/>
      </vt:variant>
      <vt:variant>
        <vt:i4>5177393</vt:i4>
      </vt:variant>
      <vt:variant>
        <vt:i4>41802</vt:i4>
      </vt:variant>
      <vt:variant>
        <vt:i4>1041</vt:i4>
      </vt:variant>
      <vt:variant>
        <vt:i4>1</vt:i4>
      </vt:variant>
      <vt:variant>
        <vt:lpwstr>Picture 2</vt:lpwstr>
      </vt:variant>
      <vt:variant>
        <vt:lpwstr/>
      </vt:variant>
      <vt:variant>
        <vt:i4>5177394</vt:i4>
      </vt:variant>
      <vt:variant>
        <vt:i4>42852</vt:i4>
      </vt:variant>
      <vt:variant>
        <vt:i4>1042</vt:i4>
      </vt:variant>
      <vt:variant>
        <vt:i4>1</vt:i4>
      </vt:variant>
      <vt:variant>
        <vt:lpwstr>Picture 1</vt:lpwstr>
      </vt:variant>
      <vt:variant>
        <vt:lpwstr/>
      </vt:variant>
      <vt:variant>
        <vt:i4>5177393</vt:i4>
      </vt:variant>
      <vt:variant>
        <vt:i4>43763</vt:i4>
      </vt:variant>
      <vt:variant>
        <vt:i4>1043</vt:i4>
      </vt:variant>
      <vt:variant>
        <vt:i4>1</vt:i4>
      </vt:variant>
      <vt:variant>
        <vt:lpwstr>Picture 2</vt:lpwstr>
      </vt:variant>
      <vt:variant>
        <vt:lpwstr/>
      </vt:variant>
      <vt:variant>
        <vt:i4>5177392</vt:i4>
      </vt:variant>
      <vt:variant>
        <vt:i4>44674</vt:i4>
      </vt:variant>
      <vt:variant>
        <vt:i4>1044</vt:i4>
      </vt:variant>
      <vt:variant>
        <vt:i4>1</vt:i4>
      </vt:variant>
      <vt:variant>
        <vt:lpwstr>Picture 3</vt:lpwstr>
      </vt:variant>
      <vt:variant>
        <vt:lpwstr/>
      </vt:variant>
      <vt:variant>
        <vt:i4>5177394</vt:i4>
      </vt:variant>
      <vt:variant>
        <vt:i4>45679</vt:i4>
      </vt:variant>
      <vt:variant>
        <vt:i4>1045</vt:i4>
      </vt:variant>
      <vt:variant>
        <vt:i4>1</vt:i4>
      </vt:variant>
      <vt:variant>
        <vt:lpwstr>Picture 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cp:lastModifiedBy>Lydia Zablotska</cp:lastModifiedBy>
  <cp:revision>10</cp:revision>
  <dcterms:created xsi:type="dcterms:W3CDTF">2012-01-21T01:10:00Z</dcterms:created>
  <dcterms:modified xsi:type="dcterms:W3CDTF">2014-01-11T19:30:00Z</dcterms:modified>
</cp:coreProperties>
</file>