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64BE" w14:textId="77777777" w:rsidR="007A2578" w:rsidRPr="00B346D7" w:rsidRDefault="00A47648">
      <w:pPr>
        <w:rPr>
          <w:rFonts w:ascii="Times New Roman" w:hAnsi="Times New Roman" w:cs="Times New Roman"/>
          <w:b/>
          <w:sz w:val="24"/>
          <w:szCs w:val="24"/>
        </w:rPr>
      </w:pPr>
      <w:r w:rsidRPr="00B346D7">
        <w:rPr>
          <w:rFonts w:ascii="Times New Roman" w:hAnsi="Times New Roman" w:cs="Times New Roman"/>
          <w:b/>
          <w:sz w:val="24"/>
          <w:szCs w:val="24"/>
        </w:rPr>
        <w:t xml:space="preserve">The Prevention </w:t>
      </w:r>
      <w:proofErr w:type="gramStart"/>
      <w:r w:rsidRPr="00B346D7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B346D7">
        <w:rPr>
          <w:rFonts w:ascii="Times New Roman" w:hAnsi="Times New Roman" w:cs="Times New Roman"/>
          <w:b/>
          <w:sz w:val="24"/>
          <w:szCs w:val="24"/>
        </w:rPr>
        <w:t xml:space="preserve"> Premature Atherosclerosis in Young Adults (POPAYA) Trial</w:t>
      </w:r>
    </w:p>
    <w:p w14:paraId="75E564BF" w14:textId="77777777" w:rsidR="00F666FF" w:rsidRDefault="00273935" w:rsidP="00B346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 Size Justification</w:t>
      </w:r>
    </w:p>
    <w:p w14:paraId="75E564C0" w14:textId="77777777" w:rsidR="00F666FF" w:rsidRDefault="00F666FF" w:rsidP="00F66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Null Hypothesis</w:t>
      </w:r>
      <w:r>
        <w:rPr>
          <w:rFonts w:ascii="Times New Roman" w:hAnsi="Times New Roman" w:cs="Times New Roman"/>
          <w:sz w:val="24"/>
          <w:szCs w:val="24"/>
        </w:rPr>
        <w:t xml:space="preserve">: Atorvastatin 10 mg pills, taken daily (versus placebo) will not be associated with the prevalence of coronary calcification 5 years after initiation among young adults </w:t>
      </w:r>
      <w:r w:rsidR="00273935">
        <w:rPr>
          <w:rFonts w:ascii="Times New Roman" w:hAnsi="Times New Roman" w:cs="Times New Roman"/>
          <w:sz w:val="24"/>
          <w:szCs w:val="24"/>
        </w:rPr>
        <w:t xml:space="preserve">(Men aged 30-40 years or women aged 40-50 years) with </w:t>
      </w:r>
      <w:r>
        <w:rPr>
          <w:rFonts w:ascii="Times New Roman" w:hAnsi="Times New Roman" w:cs="Times New Roman"/>
          <w:sz w:val="24"/>
          <w:szCs w:val="24"/>
        </w:rPr>
        <w:t>low-density lipoprotein (LDL) cholesterol levels between 130-189 mg/dl</w:t>
      </w:r>
    </w:p>
    <w:p w14:paraId="75E564C1" w14:textId="77777777" w:rsidR="00244F5A" w:rsidRDefault="00464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464162">
        <w:rPr>
          <w:rFonts w:ascii="Times New Roman" w:hAnsi="Times New Roman" w:cs="Times New Roman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(Probability of CAC with placebo)</w:t>
      </w:r>
      <w:r w:rsidRPr="00464162">
        <w:rPr>
          <w:rFonts w:ascii="Times New Roman" w:hAnsi="Times New Roman" w:cs="Times New Roman"/>
          <w:sz w:val="24"/>
          <w:szCs w:val="24"/>
        </w:rPr>
        <w:t xml:space="preserve">: </w:t>
      </w:r>
      <w:r w:rsidR="006C76C1">
        <w:rPr>
          <w:rFonts w:ascii="Times New Roman" w:hAnsi="Times New Roman" w:cs="Times New Roman"/>
          <w:sz w:val="24"/>
          <w:szCs w:val="24"/>
        </w:rPr>
        <w:t>11%</w:t>
      </w:r>
    </w:p>
    <w:p w14:paraId="75E564C2" w14:textId="77777777" w:rsidR="006C76C1" w:rsidRDefault="006C76C1" w:rsidP="006C7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(Probability of CAC with Atorvastatin)</w:t>
      </w:r>
      <w:r w:rsidRPr="004641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8%</w:t>
      </w:r>
    </w:p>
    <w:p w14:paraId="75E564C3" w14:textId="74CFEEC5" w:rsidR="006C76C1" w:rsidRDefault="006C76C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Alpha</w:t>
      </w:r>
      <w:r w:rsidRPr="006C76C1">
        <w:rPr>
          <w:rFonts w:ascii="Times New Roman" w:hAnsi="Times New Roman" w:cs="Times New Roman"/>
          <w:sz w:val="24"/>
          <w:szCs w:val="24"/>
        </w:rPr>
        <w:t xml:space="preserve"> = 0.05</w:t>
      </w:r>
      <w:r w:rsidR="003C0613">
        <w:rPr>
          <w:rFonts w:ascii="Times New Roman" w:hAnsi="Times New Roman" w:cs="Times New Roman"/>
          <w:sz w:val="24"/>
          <w:szCs w:val="24"/>
        </w:rPr>
        <w:t xml:space="preserve"> (2-sided)</w:t>
      </w:r>
      <w:r w:rsidRPr="006C76C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u w:val="single"/>
        </w:rPr>
        <w:t>Beta</w:t>
      </w:r>
      <w:r w:rsidRPr="006C76C1">
        <w:rPr>
          <w:rFonts w:ascii="Times New Roman" w:hAnsi="Times New Roman" w:cs="Times New Roman"/>
          <w:sz w:val="24"/>
          <w:szCs w:val="24"/>
        </w:rPr>
        <w:t xml:space="preserve"> = 0.10 (9</w:t>
      </w:r>
      <w:r w:rsidR="00DA343F">
        <w:rPr>
          <w:rFonts w:ascii="Times New Roman" w:hAnsi="Times New Roman" w:cs="Times New Roman"/>
          <w:sz w:val="24"/>
          <w:szCs w:val="24"/>
        </w:rPr>
        <w:t>0</w:t>
      </w:r>
      <w:r w:rsidRPr="006C76C1">
        <w:rPr>
          <w:rFonts w:ascii="Times New Roman" w:hAnsi="Times New Roman" w:cs="Times New Roman"/>
          <w:sz w:val="24"/>
          <w:szCs w:val="24"/>
        </w:rPr>
        <w:t>% power)</w:t>
      </w:r>
    </w:p>
    <w:p w14:paraId="75E564C4" w14:textId="77777777" w:rsidR="003C0613" w:rsidRPr="003C0613" w:rsidRDefault="00F666F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Sample Size</w:t>
      </w:r>
      <w:r w:rsidRPr="00F666FF">
        <w:rPr>
          <w:rFonts w:ascii="Times New Roman" w:hAnsi="Times New Roman" w:cs="Times New Roman"/>
          <w:sz w:val="24"/>
          <w:szCs w:val="24"/>
        </w:rPr>
        <w:t>: 2072 per group = 4144 overall</w:t>
      </w:r>
    </w:p>
    <w:p w14:paraId="75E564C5" w14:textId="77777777" w:rsidR="006F4005" w:rsidRDefault="003C0613">
      <w:pPr>
        <w:rPr>
          <w:rFonts w:ascii="Times New Roman" w:hAnsi="Times New Roman" w:cs="Times New Roman"/>
          <w:sz w:val="24"/>
          <w:szCs w:val="24"/>
        </w:rPr>
      </w:pPr>
      <w:r w:rsidRPr="003C0613">
        <w:rPr>
          <w:rFonts w:ascii="Times New Roman" w:hAnsi="Times New Roman" w:cs="Times New Roman"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4005" w:rsidRPr="006F4005">
        <w:rPr>
          <w:rFonts w:ascii="Times New Roman" w:hAnsi="Times New Roman" w:cs="Times New Roman"/>
          <w:sz w:val="24"/>
          <w:szCs w:val="24"/>
        </w:rPr>
        <w:t>Assum</w:t>
      </w:r>
      <w:r w:rsidR="006F4005">
        <w:rPr>
          <w:rFonts w:ascii="Times New Roman" w:hAnsi="Times New Roman" w:cs="Times New Roman"/>
          <w:sz w:val="24"/>
          <w:szCs w:val="24"/>
        </w:rPr>
        <w:t>i</w:t>
      </w:r>
      <w:r w:rsidR="006F4005" w:rsidRPr="006F4005">
        <w:rPr>
          <w:rFonts w:ascii="Times New Roman" w:hAnsi="Times New Roman" w:cs="Times New Roman"/>
          <w:sz w:val="24"/>
          <w:szCs w:val="24"/>
        </w:rPr>
        <w:t xml:space="preserve">ng </w:t>
      </w:r>
      <w:r w:rsidR="006F4005">
        <w:rPr>
          <w:rFonts w:ascii="Times New Roman" w:hAnsi="Times New Roman" w:cs="Times New Roman"/>
          <w:sz w:val="24"/>
          <w:szCs w:val="24"/>
        </w:rPr>
        <w:t xml:space="preserve">the prevalence of coronary calcification among participants 5 years after enrollment will be 11% in the placebo group, </w:t>
      </w:r>
      <w:r w:rsidR="003F0A48">
        <w:rPr>
          <w:rFonts w:ascii="Times New Roman" w:hAnsi="Times New Roman" w:cs="Times New Roman"/>
          <w:sz w:val="24"/>
          <w:szCs w:val="24"/>
        </w:rPr>
        <w:t>a total sample size of 4144</w:t>
      </w:r>
      <w:r w:rsidR="006F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3F0A48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90% power to detect a </w:t>
      </w:r>
      <w:r w:rsidR="006F4005">
        <w:rPr>
          <w:rFonts w:ascii="Times New Roman" w:hAnsi="Times New Roman" w:cs="Times New Roman"/>
          <w:sz w:val="24"/>
          <w:szCs w:val="24"/>
        </w:rPr>
        <w:t xml:space="preserve">statistically significant effect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6F4005">
        <w:rPr>
          <w:rFonts w:ascii="Times New Roman" w:hAnsi="Times New Roman" w:cs="Times New Roman"/>
          <w:sz w:val="24"/>
          <w:szCs w:val="24"/>
        </w:rPr>
        <w:t xml:space="preserve"> taking atorvastatin </w:t>
      </w:r>
      <w:r>
        <w:rPr>
          <w:rFonts w:ascii="Times New Roman" w:hAnsi="Times New Roman" w:cs="Times New Roman"/>
          <w:sz w:val="24"/>
          <w:szCs w:val="24"/>
        </w:rPr>
        <w:t xml:space="preserve">(with 2-sided alpha error set at 0.05) if the true effect </w:t>
      </w:r>
      <w:r w:rsidR="003F0A48">
        <w:rPr>
          <w:rFonts w:ascii="Times New Roman" w:hAnsi="Times New Roman" w:cs="Times New Roman"/>
          <w:sz w:val="24"/>
          <w:szCs w:val="24"/>
        </w:rPr>
        <w:t xml:space="preserve">size </w:t>
      </w:r>
      <w:r>
        <w:rPr>
          <w:rFonts w:ascii="Times New Roman" w:hAnsi="Times New Roman" w:cs="Times New Roman"/>
          <w:sz w:val="24"/>
          <w:szCs w:val="24"/>
        </w:rPr>
        <w:t>is a 3% reduction in prevalence to 8% in the atorvastatin group</w:t>
      </w:r>
      <w:r w:rsidR="0023419A">
        <w:rPr>
          <w:rFonts w:ascii="Times New Roman" w:hAnsi="Times New Roman" w:cs="Times New Roman"/>
          <w:sz w:val="24"/>
          <w:szCs w:val="24"/>
        </w:rPr>
        <w:t xml:space="preserve"> (relative risk = .08/.11 = </w:t>
      </w:r>
      <w:r w:rsidR="00ED2376">
        <w:rPr>
          <w:rFonts w:ascii="Times New Roman" w:hAnsi="Times New Roman" w:cs="Times New Roman"/>
          <w:sz w:val="24"/>
          <w:szCs w:val="24"/>
        </w:rPr>
        <w:t>0.73)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E564C6" w14:textId="6807E331" w:rsidR="00153155" w:rsidRDefault="003C0613" w:rsidP="0023419A">
      <w:pPr>
        <w:rPr>
          <w:rFonts w:ascii="Times New Roman" w:hAnsi="Times New Roman" w:cs="Times New Roman"/>
          <w:sz w:val="24"/>
          <w:szCs w:val="24"/>
        </w:rPr>
      </w:pPr>
      <w:r w:rsidRPr="003C0613">
        <w:rPr>
          <w:rFonts w:ascii="Times New Roman" w:hAnsi="Times New Roman" w:cs="Times New Roman"/>
          <w:sz w:val="24"/>
          <w:szCs w:val="24"/>
          <w:u w:val="single"/>
        </w:rPr>
        <w:t>Justification</w:t>
      </w:r>
      <w:r w:rsidR="00273935">
        <w:rPr>
          <w:rFonts w:ascii="Times New Roman" w:hAnsi="Times New Roman" w:cs="Times New Roman"/>
          <w:sz w:val="24"/>
          <w:szCs w:val="24"/>
          <w:u w:val="single"/>
        </w:rPr>
        <w:t xml:space="preserve"> of Critical Assumptions</w:t>
      </w:r>
      <w:r>
        <w:rPr>
          <w:rFonts w:ascii="Times New Roman" w:hAnsi="Times New Roman" w:cs="Times New Roman"/>
          <w:sz w:val="24"/>
          <w:szCs w:val="24"/>
        </w:rPr>
        <w:t>: The sample size</w:t>
      </w:r>
      <w:r w:rsidR="00273935">
        <w:rPr>
          <w:rFonts w:ascii="Times New Roman" w:hAnsi="Times New Roman" w:cs="Times New Roman"/>
          <w:sz w:val="24"/>
          <w:szCs w:val="24"/>
        </w:rPr>
        <w:t xml:space="preserve"> for POPAYA</w:t>
      </w:r>
      <w:r>
        <w:rPr>
          <w:rFonts w:ascii="Times New Roman" w:hAnsi="Times New Roman" w:cs="Times New Roman"/>
          <w:sz w:val="24"/>
          <w:szCs w:val="24"/>
        </w:rPr>
        <w:t xml:space="preserve"> is critically dependent on the prevalence of coronary calcification in these young adults.  Though limited information is available on coronary calcification in young adulthood, we can estimate prevalence using a model of coronary calcium scores derived from the M</w:t>
      </w:r>
      <w:r w:rsidR="00273935">
        <w:rPr>
          <w:rFonts w:ascii="Times New Roman" w:hAnsi="Times New Roman" w:cs="Times New Roman"/>
          <w:sz w:val="24"/>
          <w:szCs w:val="24"/>
        </w:rPr>
        <w:t>ulti-Ethnic Study of Atherosclerosis</w:t>
      </w:r>
      <w:r w:rsidR="00153155">
        <w:rPr>
          <w:rFonts w:ascii="Times New Roman" w:hAnsi="Times New Roman" w:cs="Times New Roman"/>
          <w:sz w:val="24"/>
          <w:szCs w:val="24"/>
        </w:rPr>
        <w:fldChar w:fldCharType="begin"/>
      </w:r>
      <w:r w:rsidR="0015315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&lt;EndNote&gt;&lt;Cite&gt;&lt;Author&gt;Pletcher&lt;/Author&gt;&lt;Year&gt;2013&lt;/Year&gt;&lt;RecNum&gt;674&lt;/RecNum&gt;&lt;DisplayText&gt;&lt;style face="superscript"&gt;1&lt;/style&gt;&lt;/DisplayText&gt;&lt;record&gt;&lt;rec-number&gt;674&lt;/rec-number&gt;&lt;foreign-keys&gt;&lt;key app="EN" db-id="9a0e9df5bdr5x8e99fpxr0eltwxvzavtexsw" timestamp="0"&gt;674&lt;/key&gt;&lt;/foreign-keys&gt;&lt;ref-type name="Journal Article"&gt;17&lt;/ref-type&gt;&lt;contributors&gt;&lt;authors&gt;&lt;author&gt;Pletcher, M. J.&lt;/author&gt;&lt;author&gt;Sibley, C.&lt;/author&gt;&lt;author&gt;Pignone, M.&lt;/author&gt;&lt;author&gt;Vittinghoff, E.&lt;/author&gt;&lt;author&gt;Greenland, P.&lt;/author&gt;&lt;/authors&gt;&lt;/contributors&gt;&lt;titles&gt;&lt;title&gt;Interpretation of the Coronary Artery Calcium Score in Combination with Conventional Cardiovascular Risk Factors: The Multi-Ethnic Study of Atherosclerosis (MESA)&lt;/title&gt;&lt;secondary-title&gt;Circulation&lt;/secondary-title&gt;&lt;/titles&gt;&lt;periodical&gt;&lt;full-title&gt;Circulation&lt;/full-title&gt;&lt;/periodical&gt;&lt;pages&gt;1076-84&lt;/pages&gt;&lt;volume&gt;128&lt;/volume&gt;&lt;number&gt;10&lt;/number&gt;&lt;dates&gt;&lt;year&gt;2013&lt;/year&gt;&lt;/dates&gt;&lt;accession-num&gt;23884352&lt;/accession-num&gt;&lt;urls&gt;&lt;related-urls&gt;&lt;url&gt;http://www.ncbi.nlm.nih.gov/entrez/query.fcgi?cmd=Retrieve&amp;amp;db=PubMed&amp;amp;dopt=Citation&amp;amp;list_uids=23884352&lt;/url&gt;&lt;/related-urls&gt;&lt;/urls&gt;&lt;/record&gt;&lt;/Cite&gt;&lt;/EndNote&gt;</w:instrText>
      </w:r>
      <w:r w:rsidR="00153155">
        <w:rPr>
          <w:rFonts w:ascii="Times New Roman" w:hAnsi="Times New Roman" w:cs="Times New Roman"/>
          <w:sz w:val="24"/>
          <w:szCs w:val="24"/>
        </w:rPr>
        <w:fldChar w:fldCharType="separate"/>
      </w:r>
      <w:r w:rsidR="00153155" w:rsidRPr="00153155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153155">
        <w:rPr>
          <w:rFonts w:ascii="Times New Roman" w:hAnsi="Times New Roman" w:cs="Times New Roman"/>
          <w:sz w:val="24"/>
          <w:szCs w:val="24"/>
        </w:rPr>
        <w:fldChar w:fldCharType="end"/>
      </w:r>
      <w:r w:rsidR="00273935">
        <w:rPr>
          <w:rFonts w:ascii="Times New Roman" w:hAnsi="Times New Roman" w:cs="Times New Roman"/>
          <w:sz w:val="24"/>
          <w:szCs w:val="24"/>
        </w:rPr>
        <w:t xml:space="preserve"> (for women age 45</w:t>
      </w:r>
      <w:r w:rsidR="00BC455F">
        <w:rPr>
          <w:rFonts w:ascii="Times New Roman" w:hAnsi="Times New Roman" w:cs="Times New Roman"/>
          <w:sz w:val="24"/>
          <w:szCs w:val="24"/>
        </w:rPr>
        <w:t>, see Table 2</w:t>
      </w:r>
      <w:r w:rsidR="00273935">
        <w:rPr>
          <w:rFonts w:ascii="Times New Roman" w:hAnsi="Times New Roman" w:cs="Times New Roman"/>
          <w:sz w:val="24"/>
          <w:szCs w:val="24"/>
        </w:rPr>
        <w:t xml:space="preserve">) and assuming that men develop coronary calcification to the </w:t>
      </w:r>
      <w:bookmarkStart w:id="0" w:name="_GoBack"/>
      <w:bookmarkEnd w:id="0"/>
      <w:r w:rsidR="00273935">
        <w:rPr>
          <w:rFonts w:ascii="Times New Roman" w:hAnsi="Times New Roman" w:cs="Times New Roman"/>
          <w:sz w:val="24"/>
          <w:szCs w:val="24"/>
        </w:rPr>
        <w:t>same degree approximately 10 years earlier in life.</w:t>
      </w:r>
    </w:p>
    <w:p w14:paraId="75E564C7" w14:textId="77777777" w:rsidR="00153155" w:rsidRDefault="00153155" w:rsidP="0023419A">
      <w:pPr>
        <w:rPr>
          <w:rFonts w:ascii="Times New Roman" w:hAnsi="Times New Roman" w:cs="Times New Roman"/>
          <w:sz w:val="24"/>
          <w:szCs w:val="24"/>
        </w:rPr>
      </w:pPr>
    </w:p>
    <w:p w14:paraId="75E564C8" w14:textId="77777777"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14:paraId="75E564C9" w14:textId="77777777"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14:paraId="75E564CA" w14:textId="77777777"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14:paraId="75E564CB" w14:textId="77777777"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14:paraId="75E564CC" w14:textId="77777777"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14:paraId="75E564CD" w14:textId="77777777"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14:paraId="75E564CE" w14:textId="77777777" w:rsidR="00094DC2" w:rsidRPr="00094DC2" w:rsidRDefault="00094DC2" w:rsidP="002341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4DC2">
        <w:rPr>
          <w:rFonts w:ascii="Times New Roman" w:hAnsi="Times New Roman" w:cs="Times New Roman"/>
          <w:sz w:val="24"/>
          <w:szCs w:val="24"/>
          <w:u w:val="single"/>
        </w:rPr>
        <w:t>Reference</w:t>
      </w:r>
    </w:p>
    <w:p w14:paraId="75E564CF" w14:textId="77777777" w:rsidR="00153155" w:rsidRPr="00153155" w:rsidRDefault="00153155" w:rsidP="00153155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153155">
        <w:rPr>
          <w:rFonts w:ascii="Times New Roman" w:hAnsi="Times New Roman" w:cs="Times New Roman"/>
          <w:sz w:val="24"/>
          <w:szCs w:val="24"/>
        </w:rPr>
        <w:fldChar w:fldCharType="begin"/>
      </w:r>
      <w:r w:rsidRPr="00153155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153155">
        <w:rPr>
          <w:rFonts w:ascii="Times New Roman" w:hAnsi="Times New Roman" w:cs="Times New Roman"/>
          <w:sz w:val="24"/>
          <w:szCs w:val="24"/>
        </w:rPr>
        <w:fldChar w:fldCharType="separate"/>
      </w:r>
      <w:r w:rsidRPr="00153155">
        <w:rPr>
          <w:rFonts w:ascii="Times New Roman" w:hAnsi="Times New Roman" w:cs="Times New Roman"/>
          <w:sz w:val="24"/>
          <w:szCs w:val="24"/>
        </w:rPr>
        <w:t>1.</w:t>
      </w:r>
      <w:r w:rsidRPr="00153155">
        <w:rPr>
          <w:rFonts w:ascii="Times New Roman" w:hAnsi="Times New Roman" w:cs="Times New Roman"/>
          <w:sz w:val="24"/>
          <w:szCs w:val="24"/>
        </w:rPr>
        <w:tab/>
        <w:t xml:space="preserve">Pletcher MJ, Sibley C, Pignone M, Vittinghoff E and Greenland P. Interpretation of the Coronary Artery Calcium Score in Combination with Conventional Cardiovascular Risk Factors: The Multi-Ethnic Study of Atherosclerosis (MESA). </w:t>
      </w:r>
      <w:r w:rsidRPr="00153155">
        <w:rPr>
          <w:rFonts w:ascii="Times New Roman" w:hAnsi="Times New Roman" w:cs="Times New Roman"/>
          <w:i/>
          <w:sz w:val="24"/>
          <w:szCs w:val="24"/>
        </w:rPr>
        <w:t>Circulation</w:t>
      </w:r>
      <w:r w:rsidRPr="00153155">
        <w:rPr>
          <w:rFonts w:ascii="Times New Roman" w:hAnsi="Times New Roman" w:cs="Times New Roman"/>
          <w:sz w:val="24"/>
          <w:szCs w:val="24"/>
        </w:rPr>
        <w:t>. 2013;128:1076-84.</w:t>
      </w:r>
    </w:p>
    <w:p w14:paraId="75E564D0" w14:textId="77777777" w:rsidR="00C77F94" w:rsidRPr="0023419A" w:rsidRDefault="00153155" w:rsidP="0023419A">
      <w:pPr>
        <w:rPr>
          <w:rFonts w:ascii="Times New Roman" w:hAnsi="Times New Roman" w:cs="Times New Roman"/>
          <w:sz w:val="24"/>
          <w:szCs w:val="24"/>
        </w:rPr>
      </w:pPr>
      <w:r w:rsidRPr="00153155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C77F94" w:rsidRPr="002341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564D3" w14:textId="77777777" w:rsidR="00A47648" w:rsidRDefault="00A47648" w:rsidP="00A47648">
      <w:pPr>
        <w:spacing w:after="0" w:line="240" w:lineRule="auto"/>
      </w:pPr>
      <w:r>
        <w:separator/>
      </w:r>
    </w:p>
  </w:endnote>
  <w:endnote w:type="continuationSeparator" w:id="0">
    <w:p w14:paraId="75E564D4" w14:textId="77777777" w:rsidR="00A47648" w:rsidRDefault="00A47648" w:rsidP="00A4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564D1" w14:textId="77777777" w:rsidR="00A47648" w:rsidRDefault="00A47648" w:rsidP="00A47648">
      <w:pPr>
        <w:spacing w:after="0" w:line="240" w:lineRule="auto"/>
      </w:pPr>
      <w:r>
        <w:separator/>
      </w:r>
    </w:p>
  </w:footnote>
  <w:footnote w:type="continuationSeparator" w:id="0">
    <w:p w14:paraId="75E564D2" w14:textId="77777777" w:rsidR="00A47648" w:rsidRDefault="00A47648" w:rsidP="00A4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64D5" w14:textId="77777777" w:rsidR="00A47648" w:rsidRPr="00A47648" w:rsidRDefault="00391C0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Mark </w:t>
    </w:r>
    <w:r w:rsidR="00244F5A">
      <w:rPr>
        <w:rFonts w:ascii="Times New Roman" w:hAnsi="Times New Roman" w:cs="Times New Roman"/>
        <w:sz w:val="24"/>
        <w:szCs w:val="24"/>
      </w:rPr>
      <w:t>Pletcher, Assignment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8213D"/>
    <w:multiLevelType w:val="hybridMultilevel"/>
    <w:tmpl w:val="4330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7967"/>
    <w:multiLevelType w:val="hybridMultilevel"/>
    <w:tmpl w:val="658E9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177F"/>
    <w:multiLevelType w:val="hybridMultilevel"/>
    <w:tmpl w:val="56403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0e9df5bdr5x8e99fpxr0eltwxvzavtexsw&quot;&gt;Prevention of CVD&lt;record-ids&gt;&lt;item&gt;674&lt;/item&gt;&lt;/record-ids&gt;&lt;/item&gt;&lt;/Libraries&gt;"/>
  </w:docVars>
  <w:rsids>
    <w:rsidRoot w:val="00DD3CD1"/>
    <w:rsid w:val="00094DC2"/>
    <w:rsid w:val="00153155"/>
    <w:rsid w:val="00161062"/>
    <w:rsid w:val="00161809"/>
    <w:rsid w:val="00194C8A"/>
    <w:rsid w:val="00194D5C"/>
    <w:rsid w:val="001E1EC2"/>
    <w:rsid w:val="0023419A"/>
    <w:rsid w:val="00236B1D"/>
    <w:rsid w:val="00244F5A"/>
    <w:rsid w:val="00247E3C"/>
    <w:rsid w:val="00273935"/>
    <w:rsid w:val="002A27BE"/>
    <w:rsid w:val="002C09DC"/>
    <w:rsid w:val="002D5378"/>
    <w:rsid w:val="00314FA5"/>
    <w:rsid w:val="00344BF3"/>
    <w:rsid w:val="00354198"/>
    <w:rsid w:val="00364034"/>
    <w:rsid w:val="00365A53"/>
    <w:rsid w:val="00386F16"/>
    <w:rsid w:val="00391C02"/>
    <w:rsid w:val="003A227E"/>
    <w:rsid w:val="003B0CAD"/>
    <w:rsid w:val="003C0613"/>
    <w:rsid w:val="003F0A48"/>
    <w:rsid w:val="00464162"/>
    <w:rsid w:val="004701D6"/>
    <w:rsid w:val="0049604B"/>
    <w:rsid w:val="0058450D"/>
    <w:rsid w:val="005E7B5C"/>
    <w:rsid w:val="006C76C1"/>
    <w:rsid w:val="006E06D1"/>
    <w:rsid w:val="006F4005"/>
    <w:rsid w:val="007167F9"/>
    <w:rsid w:val="00763E2F"/>
    <w:rsid w:val="00775236"/>
    <w:rsid w:val="007A2578"/>
    <w:rsid w:val="007C2B64"/>
    <w:rsid w:val="00844A70"/>
    <w:rsid w:val="008E1F15"/>
    <w:rsid w:val="009148A0"/>
    <w:rsid w:val="009637CE"/>
    <w:rsid w:val="00A0663C"/>
    <w:rsid w:val="00A324D6"/>
    <w:rsid w:val="00A47648"/>
    <w:rsid w:val="00A93D89"/>
    <w:rsid w:val="00AE6ACA"/>
    <w:rsid w:val="00B0281B"/>
    <w:rsid w:val="00B04686"/>
    <w:rsid w:val="00B346D7"/>
    <w:rsid w:val="00B9223D"/>
    <w:rsid w:val="00BC455F"/>
    <w:rsid w:val="00C77F94"/>
    <w:rsid w:val="00CF4BD9"/>
    <w:rsid w:val="00D346D5"/>
    <w:rsid w:val="00D6080A"/>
    <w:rsid w:val="00DA343F"/>
    <w:rsid w:val="00DB4339"/>
    <w:rsid w:val="00DC05BB"/>
    <w:rsid w:val="00DD3CD1"/>
    <w:rsid w:val="00DD3E11"/>
    <w:rsid w:val="00DD7FF0"/>
    <w:rsid w:val="00DE51A9"/>
    <w:rsid w:val="00EA1315"/>
    <w:rsid w:val="00EA1FC7"/>
    <w:rsid w:val="00ED2376"/>
    <w:rsid w:val="00ED67E0"/>
    <w:rsid w:val="00F200BB"/>
    <w:rsid w:val="00F416B2"/>
    <w:rsid w:val="00F6117C"/>
    <w:rsid w:val="00F666FF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64BE"/>
  <w15:chartTrackingRefBased/>
  <w15:docId w15:val="{129D586F-1481-401C-B81E-59F7FDA9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48"/>
  </w:style>
  <w:style w:type="paragraph" w:styleId="Footer">
    <w:name w:val="footer"/>
    <w:basedOn w:val="Normal"/>
    <w:link w:val="FooterChar"/>
    <w:uiPriority w:val="99"/>
    <w:unhideWhenUsed/>
    <w:rsid w:val="00A4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48"/>
  </w:style>
  <w:style w:type="paragraph" w:customStyle="1" w:styleId="EndNoteBibliographyTitle">
    <w:name w:val="EndNote Bibliography Title"/>
    <w:basedOn w:val="Normal"/>
    <w:link w:val="EndNoteBibliographyTitleChar"/>
    <w:rsid w:val="00DE51A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51A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E51A9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51A9"/>
    <w:rPr>
      <w:rFonts w:ascii="Calibri" w:hAnsi="Calibri"/>
      <w:noProof/>
    </w:rPr>
  </w:style>
  <w:style w:type="paragraph" w:customStyle="1" w:styleId="BodyTextIndent21">
    <w:name w:val="Body Text Indent 21"/>
    <w:basedOn w:val="Normal"/>
    <w:rsid w:val="00364034"/>
    <w:pPr>
      <w:spacing w:after="0" w:line="240" w:lineRule="auto"/>
      <w:ind w:left="1008"/>
    </w:pPr>
    <w:rPr>
      <w:rFonts w:ascii="Times" w:eastAsia="Times New Roman" w:hAnsi="Times" w:cs="Times New Roman"/>
      <w:sz w:val="24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F418-05C6-45F2-B8A4-79348075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SFCC\UCSF-DEB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dc:description/>
  <cp:lastModifiedBy>Pletcher, Mark</cp:lastModifiedBy>
  <cp:revision>10</cp:revision>
  <dcterms:created xsi:type="dcterms:W3CDTF">2016-08-07T15:43:00Z</dcterms:created>
  <dcterms:modified xsi:type="dcterms:W3CDTF">2020-08-11T05:35:00Z</dcterms:modified>
</cp:coreProperties>
</file>