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E618F" w14:textId="77777777" w:rsidR="00C26D89" w:rsidRDefault="00C26D89" w:rsidP="00C26D89">
      <w:pPr>
        <w:jc w:val="right"/>
        <w:rPr>
          <w:rFonts w:ascii="Arial" w:hAnsi="Arial" w:cs="Arial"/>
        </w:rPr>
      </w:pPr>
    </w:p>
    <w:p w14:paraId="356193B3" w14:textId="65B175C6" w:rsidR="00C26D89" w:rsidRPr="00E001BF" w:rsidRDefault="00C26D89" w:rsidP="00C26D89">
      <w:pPr>
        <w:jc w:val="right"/>
        <w:rPr>
          <w:rFonts w:ascii="Arial" w:hAnsi="Arial" w:cs="Arial"/>
        </w:rPr>
      </w:pPr>
      <w:r w:rsidRPr="00E001BF">
        <w:rPr>
          <w:rFonts w:ascii="Arial" w:hAnsi="Arial" w:cs="Arial"/>
        </w:rPr>
        <w:t>Assignment #</w:t>
      </w:r>
      <w:r w:rsidR="0013127D">
        <w:rPr>
          <w:rFonts w:ascii="Arial" w:hAnsi="Arial" w:cs="Arial"/>
        </w:rPr>
        <w:t>5</w:t>
      </w:r>
    </w:p>
    <w:p w14:paraId="7B6C1151" w14:textId="77777777" w:rsidR="00C26D89" w:rsidRPr="00561845" w:rsidRDefault="00C26D89" w:rsidP="00C26D89">
      <w:pPr>
        <w:ind w:firstLine="720"/>
        <w:jc w:val="right"/>
        <w:rPr>
          <w:rFonts w:ascii="Arial" w:hAnsi="Arial" w:cs="Arial"/>
        </w:rPr>
      </w:pPr>
      <w:proofErr w:type="spellStart"/>
      <w:r w:rsidRPr="00E001BF">
        <w:rPr>
          <w:rFonts w:ascii="Arial" w:hAnsi="Arial" w:cs="Arial"/>
        </w:rPr>
        <w:t>Biostat</w:t>
      </w:r>
      <w:proofErr w:type="spellEnd"/>
      <w:r w:rsidRPr="00E001BF">
        <w:rPr>
          <w:rFonts w:ascii="Arial" w:hAnsi="Arial" w:cs="Arial"/>
        </w:rPr>
        <w:t xml:space="preserve"> 202</w:t>
      </w:r>
    </w:p>
    <w:p w14:paraId="7BE141B7" w14:textId="77777777" w:rsidR="00C26D89" w:rsidRPr="00E001BF" w:rsidRDefault="00C26D89" w:rsidP="00C26D89">
      <w:pPr>
        <w:jc w:val="center"/>
        <w:rPr>
          <w:rFonts w:ascii="Arial" w:hAnsi="Arial" w:cs="Arial"/>
        </w:rPr>
      </w:pPr>
    </w:p>
    <w:p w14:paraId="1119B736" w14:textId="3AB5E64D" w:rsidR="00641F8F" w:rsidRDefault="0013127D" w:rsidP="00641F8F">
      <w:pPr>
        <w:jc w:val="center"/>
        <w:rPr>
          <w:rFonts w:ascii="Arial" w:hAnsi="Arial" w:cs="Arial"/>
          <w:b/>
          <w:bCs/>
          <w:sz w:val="28"/>
          <w:szCs w:val="28"/>
        </w:rPr>
      </w:pPr>
      <w:r>
        <w:rPr>
          <w:rFonts w:ascii="Arial" w:hAnsi="Arial" w:cs="Arial"/>
          <w:b/>
          <w:bCs/>
          <w:sz w:val="28"/>
          <w:szCs w:val="28"/>
        </w:rPr>
        <w:t>Unsupervised Machine Learning – Clustering and Dimension Reduction</w:t>
      </w:r>
    </w:p>
    <w:p w14:paraId="0BA2FBE6" w14:textId="17A56341" w:rsidR="00C26D89" w:rsidRPr="00E001BF" w:rsidRDefault="00C26D89" w:rsidP="00641F8F">
      <w:pPr>
        <w:jc w:val="center"/>
        <w:rPr>
          <w:rFonts w:ascii="Arial" w:hAnsi="Arial" w:cs="Arial"/>
          <w:b/>
          <w:bCs/>
          <w:sz w:val="28"/>
          <w:szCs w:val="28"/>
        </w:rPr>
      </w:pPr>
      <w:r w:rsidRPr="00E001BF">
        <w:rPr>
          <w:rFonts w:ascii="Arial" w:hAnsi="Arial" w:cs="Arial"/>
          <w:b/>
          <w:bCs/>
          <w:sz w:val="28"/>
          <w:szCs w:val="28"/>
        </w:rPr>
        <w:t>(</w:t>
      </w:r>
      <w:proofErr w:type="gramStart"/>
      <w:r w:rsidRPr="00E001BF">
        <w:rPr>
          <w:rFonts w:ascii="Arial" w:hAnsi="Arial" w:cs="Arial"/>
          <w:b/>
          <w:bCs/>
          <w:sz w:val="28"/>
          <w:szCs w:val="28"/>
        </w:rPr>
        <w:t>due</w:t>
      </w:r>
      <w:proofErr w:type="gramEnd"/>
      <w:r w:rsidRPr="00E001BF">
        <w:rPr>
          <w:rFonts w:ascii="Arial" w:hAnsi="Arial" w:cs="Arial"/>
          <w:b/>
          <w:bCs/>
          <w:sz w:val="28"/>
          <w:szCs w:val="28"/>
        </w:rPr>
        <w:t xml:space="preserve"> </w:t>
      </w:r>
      <w:r w:rsidR="00825E29">
        <w:rPr>
          <w:rFonts w:ascii="Arial" w:hAnsi="Arial" w:cs="Arial"/>
          <w:b/>
          <w:bCs/>
          <w:sz w:val="28"/>
          <w:szCs w:val="28"/>
        </w:rPr>
        <w:t>8</w:t>
      </w:r>
      <w:r w:rsidRPr="00E001BF">
        <w:rPr>
          <w:rFonts w:ascii="Arial" w:hAnsi="Arial" w:cs="Arial"/>
          <w:b/>
          <w:bCs/>
          <w:sz w:val="28"/>
          <w:szCs w:val="28"/>
        </w:rPr>
        <w:t>/</w:t>
      </w:r>
      <w:r w:rsidR="00825E29">
        <w:rPr>
          <w:rFonts w:ascii="Arial" w:hAnsi="Arial" w:cs="Arial"/>
          <w:b/>
          <w:bCs/>
          <w:sz w:val="28"/>
          <w:szCs w:val="28"/>
        </w:rPr>
        <w:t>26</w:t>
      </w:r>
      <w:r w:rsidRPr="00E001BF">
        <w:rPr>
          <w:rFonts w:ascii="Arial" w:hAnsi="Arial" w:cs="Arial"/>
          <w:b/>
          <w:bCs/>
          <w:sz w:val="28"/>
          <w:szCs w:val="28"/>
        </w:rPr>
        <w:t>/202</w:t>
      </w:r>
      <w:r w:rsidR="00825E29">
        <w:rPr>
          <w:rFonts w:ascii="Arial" w:hAnsi="Arial" w:cs="Arial"/>
          <w:b/>
          <w:bCs/>
          <w:sz w:val="28"/>
          <w:szCs w:val="28"/>
        </w:rPr>
        <w:t>1</w:t>
      </w:r>
      <w:r w:rsidRPr="00E001BF">
        <w:rPr>
          <w:rFonts w:ascii="Arial" w:hAnsi="Arial" w:cs="Arial"/>
          <w:b/>
          <w:bCs/>
          <w:sz w:val="28"/>
          <w:szCs w:val="28"/>
        </w:rPr>
        <w:t xml:space="preserve"> at 11:55 PM)</w:t>
      </w:r>
    </w:p>
    <w:p w14:paraId="06A6681F" w14:textId="77777777" w:rsidR="00C26D89" w:rsidRPr="00E001BF" w:rsidRDefault="00C26D89" w:rsidP="00C26D89">
      <w:pPr>
        <w:rPr>
          <w:rFonts w:ascii="Arial" w:hAnsi="Arial" w:cs="Arial"/>
        </w:rPr>
      </w:pPr>
    </w:p>
    <w:p w14:paraId="015AAC5F" w14:textId="687C993E" w:rsidR="0013127D" w:rsidRPr="0013127D" w:rsidRDefault="00C26D89" w:rsidP="0013127D">
      <w:pPr>
        <w:rPr>
          <w:rFonts w:ascii="Arial" w:hAnsi="Arial" w:cs="Arial"/>
          <w:color w:val="000000" w:themeColor="text1"/>
        </w:rPr>
      </w:pPr>
      <w:r w:rsidRPr="00E001BF">
        <w:rPr>
          <w:rFonts w:ascii="Arial" w:hAnsi="Arial" w:cs="Arial"/>
          <w:b/>
          <w:bCs/>
        </w:rPr>
        <w:t xml:space="preserve">Description: </w:t>
      </w:r>
      <w:r w:rsidR="0013127D" w:rsidRPr="0013127D">
        <w:rPr>
          <w:rFonts w:ascii="Arial" w:hAnsi="Arial" w:cs="Arial"/>
          <w:color w:val="000000" w:themeColor="text1"/>
        </w:rPr>
        <w:t xml:space="preserve">For this </w:t>
      </w:r>
      <w:r w:rsidR="0013127D">
        <w:rPr>
          <w:rFonts w:ascii="Arial" w:hAnsi="Arial" w:cs="Arial"/>
          <w:color w:val="000000" w:themeColor="text1"/>
        </w:rPr>
        <w:t>assignment</w:t>
      </w:r>
      <w:r w:rsidR="0013127D" w:rsidRPr="0013127D">
        <w:rPr>
          <w:rFonts w:ascii="Arial" w:hAnsi="Arial" w:cs="Arial"/>
          <w:color w:val="000000" w:themeColor="text1"/>
        </w:rPr>
        <w:t xml:space="preserve"> we will use the “breastcancer.csv” dataset available on the CLE. The Wisconsin Diagnostic Breast Cancer (WDBC) dataset contains features that are computed from a digitized image of a fine needle aspirate (FNA) of a breast mass.  The features describe characteristics of the cell nuclei present in the image. </w:t>
      </w:r>
    </w:p>
    <w:p w14:paraId="2E96E89A" w14:textId="77777777" w:rsidR="00C26D89" w:rsidRPr="00E001BF" w:rsidRDefault="00C26D89" w:rsidP="00C26D89">
      <w:pPr>
        <w:rPr>
          <w:rFonts w:ascii="Arial" w:hAnsi="Arial" w:cs="Arial"/>
        </w:rPr>
      </w:pPr>
    </w:p>
    <w:p w14:paraId="6E6623E0" w14:textId="77777777" w:rsidR="00C26D89" w:rsidRPr="00E001BF" w:rsidRDefault="00C26D89" w:rsidP="00C26D89">
      <w:pPr>
        <w:rPr>
          <w:rFonts w:ascii="Arial" w:hAnsi="Arial" w:cs="Arial"/>
          <w:b/>
          <w:bCs/>
        </w:rPr>
      </w:pPr>
      <w:r w:rsidRPr="00E001BF">
        <w:rPr>
          <w:rFonts w:ascii="Arial" w:hAnsi="Arial" w:cs="Arial"/>
          <w:b/>
          <w:bCs/>
        </w:rPr>
        <w:t>Skills:</w:t>
      </w:r>
    </w:p>
    <w:p w14:paraId="5F7B3099" w14:textId="77777777" w:rsidR="00C26D89" w:rsidRPr="00E001BF" w:rsidRDefault="00C26D89" w:rsidP="00C26D89">
      <w:pPr>
        <w:rPr>
          <w:rFonts w:ascii="Arial" w:hAnsi="Arial" w:cs="Arial"/>
        </w:rPr>
      </w:pPr>
    </w:p>
    <w:p w14:paraId="70B08031" w14:textId="73DD9647" w:rsidR="00641F8F" w:rsidRDefault="0013127D" w:rsidP="00C26D89">
      <w:pPr>
        <w:pStyle w:val="ListParagraph"/>
        <w:numPr>
          <w:ilvl w:val="0"/>
          <w:numId w:val="11"/>
        </w:numPr>
        <w:rPr>
          <w:rFonts w:ascii="Arial" w:hAnsi="Arial" w:cs="Arial"/>
        </w:rPr>
      </w:pPr>
      <w:r>
        <w:rPr>
          <w:rFonts w:ascii="Arial" w:hAnsi="Arial" w:cs="Arial"/>
        </w:rPr>
        <w:t>Perform k-means and hierarchical clustering</w:t>
      </w:r>
    </w:p>
    <w:p w14:paraId="16DB0706" w14:textId="5E578B75" w:rsidR="0013127D" w:rsidRDefault="0013127D" w:rsidP="00C26D89">
      <w:pPr>
        <w:pStyle w:val="ListParagraph"/>
        <w:numPr>
          <w:ilvl w:val="0"/>
          <w:numId w:val="11"/>
        </w:numPr>
        <w:rPr>
          <w:rFonts w:ascii="Arial" w:hAnsi="Arial" w:cs="Arial"/>
        </w:rPr>
      </w:pPr>
      <w:r>
        <w:rPr>
          <w:rFonts w:ascii="Arial" w:hAnsi="Arial" w:cs="Arial"/>
        </w:rPr>
        <w:t>Perform principal components analysis dimension reduction</w:t>
      </w:r>
    </w:p>
    <w:p w14:paraId="3D2F702E" w14:textId="0A95CEC6" w:rsidR="00C26D89" w:rsidRDefault="0013127D" w:rsidP="00C26D89">
      <w:pPr>
        <w:pStyle w:val="ListParagraph"/>
        <w:numPr>
          <w:ilvl w:val="0"/>
          <w:numId w:val="11"/>
        </w:numPr>
        <w:rPr>
          <w:rFonts w:ascii="Arial" w:hAnsi="Arial" w:cs="Arial"/>
        </w:rPr>
      </w:pPr>
      <w:r>
        <w:rPr>
          <w:rFonts w:ascii="Arial" w:hAnsi="Arial" w:cs="Arial"/>
        </w:rPr>
        <w:t>Perform t-distributed stochastic neighborhood embedding dimension reduction</w:t>
      </w:r>
    </w:p>
    <w:p w14:paraId="302A30B0" w14:textId="77777777" w:rsidR="00A5464D" w:rsidRPr="00A5464D" w:rsidRDefault="00A5464D" w:rsidP="00A5464D">
      <w:pPr>
        <w:pStyle w:val="ListParagraph"/>
        <w:rPr>
          <w:rFonts w:ascii="Arial" w:hAnsi="Arial" w:cs="Arial"/>
        </w:rPr>
      </w:pPr>
    </w:p>
    <w:p w14:paraId="5FEF664E" w14:textId="77777777" w:rsidR="00C26D89" w:rsidRPr="000268E0" w:rsidRDefault="00C26D89" w:rsidP="00C26D89">
      <w:pPr>
        <w:rPr>
          <w:rFonts w:ascii="Arial" w:hAnsi="Arial" w:cs="Arial"/>
        </w:rPr>
      </w:pPr>
      <w:r>
        <w:rPr>
          <w:rFonts w:ascii="Arial" w:hAnsi="Arial" w:cs="Arial"/>
          <w:b/>
          <w:bCs/>
        </w:rPr>
        <w:t xml:space="preserve">File: </w:t>
      </w:r>
      <w:r>
        <w:rPr>
          <w:rFonts w:ascii="Arial" w:hAnsi="Arial" w:cs="Arial"/>
        </w:rPr>
        <w:t>download from CLE</w:t>
      </w:r>
    </w:p>
    <w:p w14:paraId="7E34B71E" w14:textId="77777777" w:rsidR="00C26D89" w:rsidRDefault="00C26D89" w:rsidP="00C26D89">
      <w:pPr>
        <w:rPr>
          <w:rFonts w:ascii="Arial" w:hAnsi="Arial" w:cs="Arial"/>
          <w:b/>
          <w:bCs/>
        </w:rPr>
      </w:pPr>
    </w:p>
    <w:p w14:paraId="3F4EA018" w14:textId="433B7CE0" w:rsidR="00C26D89" w:rsidRPr="000268E0" w:rsidRDefault="0013127D" w:rsidP="00C26D89">
      <w:pPr>
        <w:pStyle w:val="ListParagraph"/>
        <w:numPr>
          <w:ilvl w:val="0"/>
          <w:numId w:val="12"/>
        </w:numPr>
        <w:rPr>
          <w:rFonts w:ascii="Arial" w:hAnsi="Arial" w:cs="Arial"/>
          <w:b/>
          <w:bCs/>
        </w:rPr>
      </w:pPr>
      <w:r>
        <w:rPr>
          <w:rFonts w:ascii="Arial" w:hAnsi="Arial" w:cs="Arial"/>
        </w:rPr>
        <w:t>breastcancer</w:t>
      </w:r>
      <w:r w:rsidR="00641F8F">
        <w:rPr>
          <w:rFonts w:ascii="Arial" w:hAnsi="Arial" w:cs="Arial"/>
        </w:rPr>
        <w:t>.csv</w:t>
      </w:r>
    </w:p>
    <w:p w14:paraId="466083B9" w14:textId="77777777" w:rsidR="00C26D89" w:rsidRPr="00E001BF" w:rsidRDefault="00C26D89" w:rsidP="00C26D89">
      <w:pPr>
        <w:rPr>
          <w:rFonts w:ascii="Arial" w:hAnsi="Arial" w:cs="Arial"/>
        </w:rPr>
      </w:pPr>
    </w:p>
    <w:p w14:paraId="3599550C" w14:textId="21BE0078" w:rsidR="00B8742E" w:rsidRPr="009F3AAC" w:rsidRDefault="00C26D89" w:rsidP="00B8742E">
      <w:pPr>
        <w:rPr>
          <w:rFonts w:ascii="Arial" w:hAnsi="Arial" w:cs="Arial"/>
          <w:b/>
          <w:bCs/>
        </w:rPr>
      </w:pPr>
      <w:r w:rsidRPr="00E001BF">
        <w:rPr>
          <w:rFonts w:ascii="Arial" w:hAnsi="Arial" w:cs="Arial"/>
          <w:b/>
          <w:bCs/>
        </w:rPr>
        <w:t>Steps:</w:t>
      </w:r>
      <w:r>
        <w:rPr>
          <w:rFonts w:ascii="Arial" w:hAnsi="Arial" w:cs="Arial"/>
          <w:b/>
          <w:bCs/>
        </w:rPr>
        <w:t xml:space="preserve"> </w:t>
      </w:r>
      <w:r w:rsidRPr="00E001BF">
        <w:rPr>
          <w:rFonts w:ascii="Arial" w:hAnsi="Arial" w:cs="Arial"/>
          <w:i/>
          <w:iCs/>
        </w:rPr>
        <w:t xml:space="preserve">Please follow the steps below and answer questions marked in </w:t>
      </w:r>
      <w:r w:rsidRPr="00E001BF">
        <w:rPr>
          <w:rFonts w:ascii="Arial" w:hAnsi="Arial" w:cs="Arial"/>
          <w:b/>
          <w:bCs/>
          <w:i/>
          <w:iCs/>
        </w:rPr>
        <w:t>bold</w:t>
      </w:r>
      <w:r>
        <w:rPr>
          <w:rFonts w:ascii="Arial" w:hAnsi="Arial" w:cs="Arial"/>
          <w:b/>
          <w:bCs/>
          <w:i/>
          <w:iCs/>
        </w:rPr>
        <w:t xml:space="preserve"> in a separate document</w:t>
      </w:r>
      <w:r w:rsidRPr="00E001BF">
        <w:rPr>
          <w:rFonts w:ascii="Arial" w:hAnsi="Arial" w:cs="Arial"/>
          <w:i/>
          <w:iCs/>
        </w:rPr>
        <w:t xml:space="preserve">. Include a screenshot of your final workflow. </w:t>
      </w:r>
    </w:p>
    <w:p w14:paraId="5B5E1E54" w14:textId="77777777" w:rsidR="00CC111A" w:rsidRPr="00C26D89" w:rsidRDefault="00CC111A" w:rsidP="001B53AD">
      <w:pPr>
        <w:rPr>
          <w:rFonts w:ascii="Arial" w:hAnsi="Arial" w:cs="Arial"/>
          <w:color w:val="000000" w:themeColor="text1"/>
        </w:rPr>
      </w:pPr>
    </w:p>
    <w:p w14:paraId="5108720D" w14:textId="6D4AF4F9" w:rsidR="00705854" w:rsidRPr="0013127D" w:rsidRDefault="00733603" w:rsidP="00E317CE">
      <w:pPr>
        <w:rPr>
          <w:rFonts w:ascii="Arial" w:hAnsi="Arial" w:cs="Arial"/>
          <w:color w:val="000000" w:themeColor="text1"/>
          <w:u w:val="single"/>
        </w:rPr>
      </w:pPr>
      <w:r w:rsidRPr="00C26D89">
        <w:rPr>
          <w:rFonts w:ascii="Arial" w:hAnsi="Arial" w:cs="Arial"/>
          <w:b/>
          <w:bCs/>
          <w:color w:val="000000" w:themeColor="text1"/>
          <w:u w:val="single"/>
        </w:rPr>
        <w:t>Data description</w:t>
      </w:r>
      <w:r w:rsidR="0013127D">
        <w:rPr>
          <w:rFonts w:ascii="Arial" w:hAnsi="Arial" w:cs="Arial"/>
          <w:color w:val="000000" w:themeColor="text1"/>
          <w:u w:val="single"/>
        </w:rPr>
        <w:t>:</w:t>
      </w:r>
      <w:r w:rsidR="0013127D">
        <w:rPr>
          <w:rFonts w:ascii="Arial" w:hAnsi="Arial" w:cs="Arial"/>
          <w:color w:val="000000" w:themeColor="text1"/>
        </w:rPr>
        <w:t xml:space="preserve"> </w:t>
      </w:r>
      <w:r w:rsidR="0013127D" w:rsidRPr="0013127D">
        <w:rPr>
          <w:rFonts w:ascii="Arial" w:hAnsi="Arial" w:cs="Arial"/>
          <w:bCs/>
          <w:color w:val="000000" w:themeColor="text1"/>
        </w:rPr>
        <w:t>The dataset consists of a Record ID (</w:t>
      </w:r>
      <w:proofErr w:type="spellStart"/>
      <w:r w:rsidR="0013127D" w:rsidRPr="0013127D">
        <w:rPr>
          <w:rFonts w:ascii="Arial" w:hAnsi="Arial" w:cs="Arial"/>
          <w:bCs/>
          <w:color w:val="000000" w:themeColor="text1"/>
        </w:rPr>
        <w:t>idno</w:t>
      </w:r>
      <w:proofErr w:type="spellEnd"/>
      <w:r w:rsidR="0013127D" w:rsidRPr="0013127D">
        <w:rPr>
          <w:rFonts w:ascii="Arial" w:hAnsi="Arial" w:cs="Arial"/>
          <w:bCs/>
          <w:color w:val="000000" w:themeColor="text1"/>
        </w:rPr>
        <w:t xml:space="preserve">) in the first column followed by image features each graded from 1 to 10: </w:t>
      </w:r>
      <w:proofErr w:type="spellStart"/>
      <w:r w:rsidR="0013127D" w:rsidRPr="0013127D">
        <w:rPr>
          <w:rFonts w:ascii="Arial" w:hAnsi="Arial" w:cs="Arial"/>
          <w:bCs/>
          <w:i/>
          <w:iCs/>
          <w:color w:val="000000" w:themeColor="text1"/>
        </w:rPr>
        <w:t>ClumpThickness</w:t>
      </w:r>
      <w:proofErr w:type="spellEnd"/>
      <w:r w:rsidR="0013127D" w:rsidRPr="0013127D">
        <w:rPr>
          <w:rFonts w:ascii="Arial" w:hAnsi="Arial" w:cs="Arial"/>
          <w:bCs/>
          <w:i/>
          <w:iCs/>
          <w:color w:val="000000" w:themeColor="text1"/>
        </w:rPr>
        <w:t xml:space="preserve">, </w:t>
      </w:r>
      <w:proofErr w:type="spellStart"/>
      <w:r w:rsidR="0013127D" w:rsidRPr="0013127D">
        <w:rPr>
          <w:rFonts w:ascii="Arial" w:hAnsi="Arial" w:cs="Arial"/>
          <w:bCs/>
          <w:i/>
          <w:iCs/>
          <w:color w:val="000000" w:themeColor="text1"/>
        </w:rPr>
        <w:t>CellSizeUniformity</w:t>
      </w:r>
      <w:proofErr w:type="spellEnd"/>
      <w:r w:rsidR="0013127D" w:rsidRPr="0013127D">
        <w:rPr>
          <w:rFonts w:ascii="Arial" w:hAnsi="Arial" w:cs="Arial"/>
          <w:bCs/>
          <w:i/>
          <w:iCs/>
          <w:color w:val="000000" w:themeColor="text1"/>
        </w:rPr>
        <w:t xml:space="preserve">, </w:t>
      </w:r>
      <w:proofErr w:type="spellStart"/>
      <w:r w:rsidR="0013127D" w:rsidRPr="0013127D">
        <w:rPr>
          <w:rFonts w:ascii="Arial" w:hAnsi="Arial" w:cs="Arial"/>
          <w:bCs/>
          <w:i/>
          <w:iCs/>
          <w:color w:val="000000" w:themeColor="text1"/>
        </w:rPr>
        <w:t>CellShapeUniformity</w:t>
      </w:r>
      <w:proofErr w:type="spellEnd"/>
      <w:r w:rsidR="0013127D" w:rsidRPr="0013127D">
        <w:rPr>
          <w:rFonts w:ascii="Arial" w:hAnsi="Arial" w:cs="Arial"/>
          <w:bCs/>
          <w:i/>
          <w:iCs/>
          <w:color w:val="000000" w:themeColor="text1"/>
        </w:rPr>
        <w:t xml:space="preserve">, </w:t>
      </w:r>
      <w:proofErr w:type="spellStart"/>
      <w:r w:rsidR="0013127D" w:rsidRPr="0013127D">
        <w:rPr>
          <w:rFonts w:ascii="Arial" w:hAnsi="Arial" w:cs="Arial"/>
          <w:bCs/>
          <w:i/>
          <w:iCs/>
          <w:color w:val="000000" w:themeColor="text1"/>
        </w:rPr>
        <w:t>MarginalAdhesion</w:t>
      </w:r>
      <w:proofErr w:type="spellEnd"/>
      <w:r w:rsidR="0013127D" w:rsidRPr="0013127D">
        <w:rPr>
          <w:rFonts w:ascii="Arial" w:hAnsi="Arial" w:cs="Arial"/>
          <w:bCs/>
          <w:i/>
          <w:iCs/>
          <w:color w:val="000000" w:themeColor="text1"/>
        </w:rPr>
        <w:t xml:space="preserve">, </w:t>
      </w:r>
      <w:proofErr w:type="spellStart"/>
      <w:r w:rsidR="0013127D" w:rsidRPr="0013127D">
        <w:rPr>
          <w:rFonts w:ascii="Arial" w:hAnsi="Arial" w:cs="Arial"/>
          <w:bCs/>
          <w:i/>
          <w:iCs/>
          <w:color w:val="000000" w:themeColor="text1"/>
        </w:rPr>
        <w:t>SingleEpithelialCellSize</w:t>
      </w:r>
      <w:proofErr w:type="spellEnd"/>
      <w:r w:rsidR="0013127D" w:rsidRPr="0013127D">
        <w:rPr>
          <w:rFonts w:ascii="Arial" w:hAnsi="Arial" w:cs="Arial"/>
          <w:bCs/>
          <w:i/>
          <w:iCs/>
          <w:color w:val="000000" w:themeColor="text1"/>
        </w:rPr>
        <w:t xml:space="preserve">, </w:t>
      </w:r>
      <w:proofErr w:type="spellStart"/>
      <w:r w:rsidR="0013127D" w:rsidRPr="0013127D">
        <w:rPr>
          <w:rFonts w:ascii="Arial" w:hAnsi="Arial" w:cs="Arial"/>
          <w:bCs/>
          <w:i/>
          <w:iCs/>
          <w:color w:val="000000" w:themeColor="text1"/>
        </w:rPr>
        <w:t>BareNuclei</w:t>
      </w:r>
      <w:proofErr w:type="spellEnd"/>
      <w:r w:rsidR="0013127D" w:rsidRPr="0013127D">
        <w:rPr>
          <w:rFonts w:ascii="Arial" w:hAnsi="Arial" w:cs="Arial"/>
          <w:bCs/>
          <w:i/>
          <w:iCs/>
          <w:color w:val="000000" w:themeColor="text1"/>
        </w:rPr>
        <w:t xml:space="preserve">, </w:t>
      </w:r>
      <w:proofErr w:type="spellStart"/>
      <w:r w:rsidR="0013127D" w:rsidRPr="0013127D">
        <w:rPr>
          <w:rFonts w:ascii="Arial" w:hAnsi="Arial" w:cs="Arial"/>
          <w:bCs/>
          <w:i/>
          <w:iCs/>
          <w:color w:val="000000" w:themeColor="text1"/>
        </w:rPr>
        <w:t>BlanChromatin</w:t>
      </w:r>
      <w:proofErr w:type="spellEnd"/>
      <w:r w:rsidR="0013127D" w:rsidRPr="0013127D">
        <w:rPr>
          <w:rFonts w:ascii="Arial" w:hAnsi="Arial" w:cs="Arial"/>
          <w:bCs/>
          <w:i/>
          <w:iCs/>
          <w:color w:val="000000" w:themeColor="text1"/>
        </w:rPr>
        <w:t xml:space="preserve">, </w:t>
      </w:r>
      <w:proofErr w:type="spellStart"/>
      <w:r w:rsidR="0013127D" w:rsidRPr="0013127D">
        <w:rPr>
          <w:rFonts w:ascii="Arial" w:hAnsi="Arial" w:cs="Arial"/>
          <w:bCs/>
          <w:i/>
          <w:iCs/>
          <w:color w:val="000000" w:themeColor="text1"/>
        </w:rPr>
        <w:t>NormalNucleoli</w:t>
      </w:r>
      <w:proofErr w:type="spellEnd"/>
      <w:r w:rsidR="0013127D" w:rsidRPr="0013127D">
        <w:rPr>
          <w:rFonts w:ascii="Arial" w:hAnsi="Arial" w:cs="Arial"/>
          <w:bCs/>
          <w:i/>
          <w:iCs/>
          <w:color w:val="000000" w:themeColor="text1"/>
        </w:rPr>
        <w:t>, Mitoses</w:t>
      </w:r>
      <w:r w:rsidR="0013127D" w:rsidRPr="0013127D">
        <w:rPr>
          <w:rFonts w:ascii="Arial" w:hAnsi="Arial" w:cs="Arial"/>
          <w:bCs/>
          <w:color w:val="000000" w:themeColor="text1"/>
        </w:rPr>
        <w:t xml:space="preserve">. The final variable indicates the diagnosis </w:t>
      </w:r>
      <w:r w:rsidR="0013127D" w:rsidRPr="0013127D">
        <w:rPr>
          <w:rFonts w:ascii="Arial" w:hAnsi="Arial" w:cs="Arial"/>
          <w:bCs/>
          <w:i/>
          <w:iCs/>
          <w:color w:val="000000" w:themeColor="text1"/>
        </w:rPr>
        <w:t>Class</w:t>
      </w:r>
      <w:r w:rsidR="0013127D" w:rsidRPr="0013127D">
        <w:rPr>
          <w:rFonts w:ascii="Arial" w:hAnsi="Arial" w:cs="Arial"/>
          <w:bCs/>
          <w:color w:val="000000" w:themeColor="text1"/>
        </w:rPr>
        <w:t xml:space="preserve"> as to whether the sample is “benign” or “malignant”.</w:t>
      </w:r>
    </w:p>
    <w:p w14:paraId="165F5C79" w14:textId="77777777" w:rsidR="0013127D" w:rsidRPr="00C26D89" w:rsidRDefault="0013127D" w:rsidP="00E317CE">
      <w:pPr>
        <w:rPr>
          <w:rFonts w:ascii="Arial" w:hAnsi="Arial" w:cs="Arial"/>
          <w:bCs/>
          <w:color w:val="000000" w:themeColor="text1"/>
        </w:rPr>
      </w:pPr>
    </w:p>
    <w:p w14:paraId="0B2E88A5" w14:textId="70859540" w:rsidR="00705854" w:rsidRPr="009F3AAC" w:rsidRDefault="009F3AAC" w:rsidP="00E317CE">
      <w:pPr>
        <w:rPr>
          <w:rFonts w:ascii="Arial" w:hAnsi="Arial" w:cs="Arial"/>
          <w:bCs/>
          <w:color w:val="000000" w:themeColor="text1"/>
          <w:u w:val="single"/>
        </w:rPr>
      </w:pPr>
      <w:r w:rsidRPr="009F3AAC">
        <w:rPr>
          <w:rFonts w:ascii="Arial" w:hAnsi="Arial" w:cs="Arial"/>
          <w:bCs/>
          <w:color w:val="000000" w:themeColor="text1"/>
          <w:u w:val="single"/>
        </w:rPr>
        <w:t>Data Impor</w:t>
      </w:r>
      <w:r w:rsidR="009D67AE">
        <w:rPr>
          <w:rFonts w:ascii="Arial" w:hAnsi="Arial" w:cs="Arial"/>
          <w:bCs/>
          <w:color w:val="000000" w:themeColor="text1"/>
          <w:u w:val="single"/>
        </w:rPr>
        <w:t>t</w:t>
      </w:r>
    </w:p>
    <w:p w14:paraId="45E1C2D5" w14:textId="66ADA90D" w:rsidR="00E317CE" w:rsidRPr="00C26D89" w:rsidRDefault="00E317CE" w:rsidP="00733603">
      <w:pPr>
        <w:rPr>
          <w:rFonts w:ascii="Arial" w:hAnsi="Arial" w:cs="Arial"/>
          <w:bCs/>
          <w:color w:val="000000" w:themeColor="text1"/>
        </w:rPr>
      </w:pPr>
    </w:p>
    <w:p w14:paraId="0C4D999F" w14:textId="207D4833" w:rsidR="009F3AAC" w:rsidRDefault="009F3AAC" w:rsidP="009F3AAC">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Import the </w:t>
      </w:r>
      <w:r w:rsidR="0013127D">
        <w:rPr>
          <w:rFonts w:ascii="Arial" w:hAnsi="Arial" w:cs="Arial"/>
          <w:bCs/>
          <w:color w:val="000000" w:themeColor="text1"/>
        </w:rPr>
        <w:t xml:space="preserve">breastcancer.csv file and set </w:t>
      </w:r>
      <w:proofErr w:type="spellStart"/>
      <w:r w:rsidR="0013127D">
        <w:rPr>
          <w:rFonts w:ascii="Arial" w:hAnsi="Arial" w:cs="Arial"/>
          <w:bCs/>
          <w:i/>
          <w:iCs/>
          <w:color w:val="000000" w:themeColor="text1"/>
        </w:rPr>
        <w:t>idno</w:t>
      </w:r>
      <w:proofErr w:type="spellEnd"/>
      <w:r w:rsidR="0013127D">
        <w:rPr>
          <w:rFonts w:ascii="Arial" w:hAnsi="Arial" w:cs="Arial"/>
          <w:bCs/>
          <w:i/>
          <w:iCs/>
          <w:color w:val="000000" w:themeColor="text1"/>
        </w:rPr>
        <w:t xml:space="preserve"> </w:t>
      </w:r>
      <w:r w:rsidR="0013127D">
        <w:rPr>
          <w:rFonts w:ascii="Arial" w:hAnsi="Arial" w:cs="Arial"/>
          <w:bCs/>
          <w:color w:val="000000" w:themeColor="text1"/>
        </w:rPr>
        <w:t xml:space="preserve">and </w:t>
      </w:r>
      <w:r w:rsidR="0013127D">
        <w:rPr>
          <w:rFonts w:ascii="Arial" w:hAnsi="Arial" w:cs="Arial"/>
          <w:bCs/>
          <w:i/>
          <w:iCs/>
          <w:color w:val="000000" w:themeColor="text1"/>
        </w:rPr>
        <w:t>Class</w:t>
      </w:r>
      <w:r w:rsidR="0013127D">
        <w:rPr>
          <w:rFonts w:ascii="Arial" w:hAnsi="Arial" w:cs="Arial"/>
          <w:bCs/>
          <w:color w:val="000000" w:themeColor="text1"/>
        </w:rPr>
        <w:t xml:space="preserve"> as meta. For the moment we do not want to directly model the tumor status (benign or malignant). Rather, we want to learn substructures that might me related to this outcome later. The remaining variables should all be numeric features.</w:t>
      </w:r>
    </w:p>
    <w:p w14:paraId="01479C41" w14:textId="2908067D" w:rsidR="0013127D" w:rsidRDefault="0013127D" w:rsidP="0013127D">
      <w:pPr>
        <w:spacing w:after="120"/>
        <w:rPr>
          <w:rFonts w:ascii="Arial" w:hAnsi="Arial" w:cs="Arial"/>
          <w:bCs/>
          <w:color w:val="000000" w:themeColor="text1"/>
        </w:rPr>
      </w:pPr>
    </w:p>
    <w:p w14:paraId="33EDB623" w14:textId="0CA44115" w:rsidR="0013127D" w:rsidRDefault="0013127D" w:rsidP="0013127D">
      <w:pPr>
        <w:spacing w:after="120"/>
        <w:rPr>
          <w:rFonts w:ascii="Arial" w:hAnsi="Arial" w:cs="Arial"/>
          <w:bCs/>
          <w:color w:val="000000" w:themeColor="text1"/>
          <w:u w:val="single"/>
        </w:rPr>
      </w:pPr>
      <w:r w:rsidRPr="0013127D">
        <w:rPr>
          <w:rFonts w:ascii="Arial" w:hAnsi="Arial" w:cs="Arial"/>
          <w:bCs/>
          <w:color w:val="000000" w:themeColor="text1"/>
          <w:u w:val="single"/>
        </w:rPr>
        <w:t>Clustering</w:t>
      </w:r>
    </w:p>
    <w:p w14:paraId="178443E3" w14:textId="2D64C3FD" w:rsidR="004C1EE4" w:rsidRPr="004C1EE4" w:rsidRDefault="0013127D"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Attach a “k-</w:t>
      </w:r>
      <w:r w:rsidR="004C1EE4">
        <w:rPr>
          <w:rFonts w:ascii="Arial" w:hAnsi="Arial" w:cs="Arial"/>
          <w:bCs/>
          <w:color w:val="000000" w:themeColor="text1"/>
        </w:rPr>
        <w:t>M</w:t>
      </w:r>
      <w:r>
        <w:rPr>
          <w:rFonts w:ascii="Arial" w:hAnsi="Arial" w:cs="Arial"/>
          <w:bCs/>
          <w:color w:val="000000" w:themeColor="text1"/>
        </w:rPr>
        <w:t xml:space="preserve">eans” widget to the data and </w:t>
      </w:r>
      <w:r w:rsidR="00A5464D">
        <w:rPr>
          <w:rFonts w:ascii="Arial" w:hAnsi="Arial" w:cs="Arial"/>
          <w:bCs/>
          <w:color w:val="000000" w:themeColor="text1"/>
        </w:rPr>
        <w:t>Select “Normalize columns”. A</w:t>
      </w:r>
      <w:r>
        <w:rPr>
          <w:rFonts w:ascii="Arial" w:hAnsi="Arial" w:cs="Arial"/>
          <w:bCs/>
          <w:color w:val="000000" w:themeColor="text1"/>
        </w:rPr>
        <w:t>ssess the Silhouette measure for cluster sizes ranging from 2 to 8</w:t>
      </w:r>
      <w:r w:rsidR="004C1EE4">
        <w:rPr>
          <w:rFonts w:ascii="Arial" w:hAnsi="Arial" w:cs="Arial"/>
          <w:bCs/>
          <w:color w:val="000000" w:themeColor="text1"/>
        </w:rPr>
        <w:t>.</w:t>
      </w:r>
      <w:r>
        <w:rPr>
          <w:rFonts w:ascii="Arial" w:hAnsi="Arial" w:cs="Arial"/>
          <w:bCs/>
          <w:color w:val="000000" w:themeColor="text1"/>
        </w:rPr>
        <w:t xml:space="preserve"> </w:t>
      </w:r>
      <w:r w:rsidR="004C1EE4" w:rsidRPr="004C1EE4">
        <w:rPr>
          <w:rFonts w:ascii="Arial" w:hAnsi="Arial" w:cs="Arial"/>
          <w:b/>
          <w:color w:val="000000" w:themeColor="text1"/>
        </w:rPr>
        <w:t>Q1:</w:t>
      </w:r>
      <w:r w:rsidR="004C1EE4">
        <w:rPr>
          <w:rFonts w:ascii="Arial" w:hAnsi="Arial" w:cs="Arial"/>
          <w:bCs/>
          <w:color w:val="000000" w:themeColor="text1"/>
        </w:rPr>
        <w:t xml:space="preserve"> </w:t>
      </w:r>
      <w:r>
        <w:rPr>
          <w:rFonts w:ascii="Arial" w:hAnsi="Arial" w:cs="Arial"/>
          <w:b/>
          <w:color w:val="000000" w:themeColor="text1"/>
        </w:rPr>
        <w:t xml:space="preserve">Which number of clusters produces the </w:t>
      </w:r>
      <w:r w:rsidR="004C1EE4">
        <w:rPr>
          <w:rFonts w:ascii="Arial" w:hAnsi="Arial" w:cs="Arial"/>
          <w:b/>
          <w:color w:val="000000" w:themeColor="text1"/>
        </w:rPr>
        <w:t>b</w:t>
      </w:r>
      <w:r>
        <w:rPr>
          <w:rFonts w:ascii="Arial" w:hAnsi="Arial" w:cs="Arial"/>
          <w:b/>
          <w:color w:val="000000" w:themeColor="text1"/>
        </w:rPr>
        <w:t xml:space="preserve">est silhouette </w:t>
      </w:r>
      <w:r w:rsidRPr="0013127D">
        <w:rPr>
          <w:rFonts w:ascii="Arial" w:hAnsi="Arial" w:cs="Arial"/>
          <w:b/>
          <w:color w:val="000000" w:themeColor="text1"/>
        </w:rPr>
        <w:t>measure (recall higher is better)?</w:t>
      </w:r>
      <w:r w:rsidR="004C1EE4">
        <w:rPr>
          <w:rFonts w:ascii="Arial" w:hAnsi="Arial" w:cs="Arial"/>
          <w:b/>
          <w:color w:val="000000" w:themeColor="text1"/>
        </w:rPr>
        <w:t xml:space="preserve"> How can you use the silhouette measure to select the optimal number of </w:t>
      </w:r>
      <w:r w:rsidR="004C1EE4">
        <w:rPr>
          <w:rFonts w:ascii="Arial" w:hAnsi="Arial" w:cs="Arial"/>
          <w:b/>
          <w:color w:val="000000" w:themeColor="text1"/>
        </w:rPr>
        <w:lastRenderedPageBreak/>
        <w:t>clusters?</w:t>
      </w:r>
      <w:r w:rsidR="004C1EE4">
        <w:rPr>
          <w:rFonts w:ascii="Arial" w:hAnsi="Arial" w:cs="Arial"/>
          <w:bCs/>
          <w:color w:val="000000" w:themeColor="text1"/>
        </w:rPr>
        <w:t xml:space="preserve"> Select the optimal number of clusters once you have settled on an answer (you can select sub-optimal cluster numbers later if you wish). </w:t>
      </w:r>
    </w:p>
    <w:p w14:paraId="73570E59" w14:textId="77777777" w:rsidR="004C1EE4" w:rsidRPr="004C1EE4" w:rsidRDefault="004C1EE4" w:rsidP="004C1EE4">
      <w:pPr>
        <w:pStyle w:val="ListParagraph"/>
        <w:spacing w:after="120"/>
        <w:rPr>
          <w:rFonts w:ascii="Arial" w:hAnsi="Arial" w:cs="Arial"/>
          <w:bCs/>
          <w:color w:val="000000" w:themeColor="text1"/>
        </w:rPr>
      </w:pPr>
    </w:p>
    <w:p w14:paraId="14BD94D5" w14:textId="32808375" w:rsidR="004C1EE4" w:rsidRDefault="004C1EE4"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Attach a “Silhouette Plot” widget to the “k-Means” widget. You can visualize the silhouette scores for the individual patients. These are aggregated to form the average silhouette scores you inspected in Q1. </w:t>
      </w:r>
    </w:p>
    <w:p w14:paraId="073FE258" w14:textId="77777777" w:rsidR="004C1EE4" w:rsidRPr="004C1EE4" w:rsidRDefault="004C1EE4" w:rsidP="004C1EE4">
      <w:pPr>
        <w:spacing w:after="120"/>
        <w:rPr>
          <w:rFonts w:ascii="Arial" w:hAnsi="Arial" w:cs="Arial"/>
          <w:bCs/>
          <w:color w:val="000000" w:themeColor="text1"/>
        </w:rPr>
      </w:pPr>
    </w:p>
    <w:p w14:paraId="760EE963" w14:textId="32F3383E" w:rsidR="0013127D" w:rsidRPr="004C1EE4" w:rsidRDefault="004C1EE4" w:rsidP="0013127D">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Attach a “Scatter Plot” widget to the “k-Means” widget. Select Cluster as the Color variable and select “Find Informative Projections” and click “Start”. Orange will try to find the pair of variables that best explain the cluster behavior. Select the highest ranked projection in the Score Plot window that excludes </w:t>
      </w:r>
      <w:proofErr w:type="spellStart"/>
      <w:r>
        <w:rPr>
          <w:rFonts w:ascii="Arial" w:hAnsi="Arial" w:cs="Arial"/>
          <w:bCs/>
          <w:i/>
          <w:iCs/>
          <w:color w:val="000000" w:themeColor="text1"/>
        </w:rPr>
        <w:t>Sihouette</w:t>
      </w:r>
      <w:proofErr w:type="spellEnd"/>
      <w:r>
        <w:rPr>
          <w:rFonts w:ascii="Arial" w:hAnsi="Arial" w:cs="Arial"/>
          <w:bCs/>
          <w:color w:val="000000" w:themeColor="text1"/>
        </w:rPr>
        <w:t xml:space="preserve"> (the </w:t>
      </w:r>
      <w:proofErr w:type="spellStart"/>
      <w:r w:rsidR="00257944">
        <w:rPr>
          <w:rFonts w:ascii="Arial" w:hAnsi="Arial" w:cs="Arial"/>
          <w:bCs/>
          <w:color w:val="000000" w:themeColor="text1"/>
        </w:rPr>
        <w:t>S</w:t>
      </w:r>
      <w:r>
        <w:rPr>
          <w:rFonts w:ascii="Arial" w:hAnsi="Arial" w:cs="Arial"/>
          <w:bCs/>
          <w:color w:val="000000" w:themeColor="text1"/>
        </w:rPr>
        <w:t>ilhoutte</w:t>
      </w:r>
      <w:proofErr w:type="spellEnd"/>
      <w:r>
        <w:rPr>
          <w:rFonts w:ascii="Arial" w:hAnsi="Arial" w:cs="Arial"/>
          <w:bCs/>
          <w:color w:val="000000" w:themeColor="text1"/>
        </w:rPr>
        <w:t xml:space="preserve"> measure is output with your data but should not be considered a feature of the cancer data). </w:t>
      </w:r>
      <w:r>
        <w:rPr>
          <w:rFonts w:ascii="Arial" w:hAnsi="Arial" w:cs="Arial"/>
          <w:b/>
          <w:color w:val="000000" w:themeColor="text1"/>
        </w:rPr>
        <w:t xml:space="preserve">Q2: Which pair of variables are identified as the most informative for the cluster assignment in the Score Plots window? Describe how these two variables behave with respect to the clusters and take a screenshot. </w:t>
      </w:r>
      <w:r>
        <w:rPr>
          <w:rFonts w:ascii="Arial" w:hAnsi="Arial" w:cs="Arial"/>
          <w:bCs/>
          <w:color w:val="000000" w:themeColor="text1"/>
        </w:rPr>
        <w:t xml:space="preserve">My example is shown below. </w:t>
      </w:r>
      <w:r>
        <w:rPr>
          <w:rFonts w:ascii="Arial" w:hAnsi="Arial" w:cs="Arial"/>
          <w:b/>
          <w:color w:val="000000" w:themeColor="text1"/>
        </w:rPr>
        <w:t xml:space="preserve"> </w:t>
      </w:r>
    </w:p>
    <w:p w14:paraId="3C9B27B8" w14:textId="77777777" w:rsidR="004C1EE4" w:rsidRPr="004C1EE4" w:rsidRDefault="004C1EE4" w:rsidP="004C1EE4">
      <w:pPr>
        <w:pStyle w:val="ListParagraph"/>
        <w:rPr>
          <w:rFonts w:ascii="Arial" w:hAnsi="Arial" w:cs="Arial"/>
          <w:bCs/>
          <w:color w:val="000000" w:themeColor="text1"/>
        </w:rPr>
      </w:pPr>
    </w:p>
    <w:p w14:paraId="306C0F7E" w14:textId="2FEB655D" w:rsidR="004C1EE4" w:rsidRPr="004C1EE4" w:rsidRDefault="004C1EE4" w:rsidP="004C1EE4">
      <w:pPr>
        <w:spacing w:after="120"/>
        <w:jc w:val="center"/>
        <w:rPr>
          <w:rFonts w:ascii="Arial" w:hAnsi="Arial" w:cs="Arial"/>
          <w:bCs/>
          <w:color w:val="000000" w:themeColor="text1"/>
        </w:rPr>
      </w:pPr>
      <w:r>
        <w:rPr>
          <w:noProof/>
        </w:rPr>
        <w:drawing>
          <wp:inline distT="0" distB="0" distL="0" distR="0" wp14:anchorId="749C700E" wp14:editId="58007186">
            <wp:extent cx="5943600" cy="306578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7"/>
                    <a:stretch>
                      <a:fillRect/>
                    </a:stretch>
                  </pic:blipFill>
                  <pic:spPr>
                    <a:xfrm>
                      <a:off x="0" y="0"/>
                      <a:ext cx="5943600" cy="3065780"/>
                    </a:xfrm>
                    <a:prstGeom prst="rect">
                      <a:avLst/>
                    </a:prstGeom>
                  </pic:spPr>
                </pic:pic>
              </a:graphicData>
            </a:graphic>
          </wp:inline>
        </w:drawing>
      </w:r>
    </w:p>
    <w:p w14:paraId="0EC45146" w14:textId="77777777" w:rsidR="004C1EE4" w:rsidRPr="004C1EE4" w:rsidRDefault="004C1EE4" w:rsidP="004C1EE4">
      <w:pPr>
        <w:pStyle w:val="ListParagraph"/>
        <w:rPr>
          <w:rFonts w:ascii="Arial" w:hAnsi="Arial" w:cs="Arial"/>
          <w:bCs/>
          <w:color w:val="000000" w:themeColor="text1"/>
        </w:rPr>
      </w:pPr>
    </w:p>
    <w:p w14:paraId="3F05D33E" w14:textId="1484401B" w:rsidR="004C1EE4" w:rsidRDefault="004C1EE4"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Lastly, attach a “Distribution” widget to the “k-Means” widget and examine the relationship between cluster assignment and the </w:t>
      </w:r>
      <w:r>
        <w:rPr>
          <w:rFonts w:ascii="Arial" w:hAnsi="Arial" w:cs="Arial"/>
          <w:bCs/>
          <w:i/>
          <w:iCs/>
          <w:color w:val="000000" w:themeColor="text1"/>
        </w:rPr>
        <w:t>Class</w:t>
      </w:r>
      <w:r>
        <w:rPr>
          <w:rFonts w:ascii="Arial" w:hAnsi="Arial" w:cs="Arial"/>
          <w:bCs/>
          <w:color w:val="000000" w:themeColor="text1"/>
        </w:rPr>
        <w:t xml:space="preserve"> variable. </w:t>
      </w:r>
      <w:r>
        <w:rPr>
          <w:rFonts w:ascii="Arial" w:hAnsi="Arial" w:cs="Arial"/>
          <w:b/>
          <w:color w:val="000000" w:themeColor="text1"/>
        </w:rPr>
        <w:t>Q3: Does the assigned cluster structure reflect a latent characteristic that is related to tumor status (i.e. benign or malignant)?</w:t>
      </w:r>
      <w:r>
        <w:rPr>
          <w:rFonts w:ascii="Arial" w:hAnsi="Arial" w:cs="Arial"/>
          <w:bCs/>
          <w:color w:val="000000" w:themeColor="text1"/>
        </w:rPr>
        <w:t xml:space="preserve"> It is essential that you perform your unsupervised clustering WITHOUT variables that might be future outcomes of interest. Otherwise it is difficult to argue that the outcome variables are reflected in some latent structure.</w:t>
      </w:r>
    </w:p>
    <w:p w14:paraId="309C068E" w14:textId="77777777" w:rsidR="004C1EE4" w:rsidRDefault="004C1EE4" w:rsidP="004C1EE4">
      <w:pPr>
        <w:pStyle w:val="ListParagraph"/>
        <w:spacing w:after="120"/>
        <w:rPr>
          <w:rFonts w:ascii="Arial" w:hAnsi="Arial" w:cs="Arial"/>
          <w:bCs/>
          <w:color w:val="000000" w:themeColor="text1"/>
        </w:rPr>
      </w:pPr>
    </w:p>
    <w:p w14:paraId="61BB368B" w14:textId="6DC62C48" w:rsidR="004C1EE4" w:rsidRDefault="004C1EE4"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My workflow looks like this so far:</w:t>
      </w:r>
    </w:p>
    <w:p w14:paraId="4979FB17" w14:textId="77777777" w:rsidR="004C1EE4" w:rsidRPr="004C1EE4" w:rsidRDefault="004C1EE4" w:rsidP="004C1EE4">
      <w:pPr>
        <w:pStyle w:val="ListParagraph"/>
        <w:rPr>
          <w:rFonts w:ascii="Arial" w:hAnsi="Arial" w:cs="Arial"/>
          <w:bCs/>
          <w:color w:val="000000" w:themeColor="text1"/>
        </w:rPr>
      </w:pPr>
    </w:p>
    <w:p w14:paraId="669DA96F" w14:textId="41C33A7D" w:rsidR="004C1EE4" w:rsidRPr="004C1EE4" w:rsidRDefault="004C1EE4" w:rsidP="004C1EE4">
      <w:pPr>
        <w:spacing w:after="120"/>
        <w:jc w:val="center"/>
        <w:rPr>
          <w:rFonts w:ascii="Arial" w:hAnsi="Arial" w:cs="Arial"/>
          <w:bCs/>
          <w:color w:val="000000" w:themeColor="text1"/>
        </w:rPr>
      </w:pPr>
      <w:r>
        <w:rPr>
          <w:noProof/>
        </w:rPr>
        <w:lastRenderedPageBreak/>
        <w:drawing>
          <wp:inline distT="0" distB="0" distL="0" distR="0" wp14:anchorId="79A7B0C3" wp14:editId="25A548B5">
            <wp:extent cx="3949411" cy="2483150"/>
            <wp:effectExtent l="0" t="0" r="635" b="635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a:blip r:embed="rId8"/>
                    <a:stretch>
                      <a:fillRect/>
                    </a:stretch>
                  </pic:blipFill>
                  <pic:spPr>
                    <a:xfrm>
                      <a:off x="0" y="0"/>
                      <a:ext cx="3968902" cy="2495404"/>
                    </a:xfrm>
                    <a:prstGeom prst="rect">
                      <a:avLst/>
                    </a:prstGeom>
                  </pic:spPr>
                </pic:pic>
              </a:graphicData>
            </a:graphic>
          </wp:inline>
        </w:drawing>
      </w:r>
    </w:p>
    <w:p w14:paraId="0F13382B" w14:textId="77777777" w:rsidR="004C1EE4" w:rsidRPr="004C1EE4" w:rsidRDefault="004C1EE4" w:rsidP="004C1EE4">
      <w:pPr>
        <w:pStyle w:val="ListParagraph"/>
        <w:rPr>
          <w:rFonts w:ascii="Arial" w:hAnsi="Arial" w:cs="Arial"/>
          <w:bCs/>
          <w:color w:val="000000" w:themeColor="text1"/>
        </w:rPr>
      </w:pPr>
    </w:p>
    <w:p w14:paraId="377260EB" w14:textId="5F147BCE" w:rsidR="004C1EE4" w:rsidRDefault="004C1EE4" w:rsidP="0013127D">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Next, we will perform hierarchical clustering. To do this, we first need to calculate distances among our observations using the “Distance” widget which you can attach to your “File” widget. Because we wish to calculate distances between our observations for subsequent clustering, select Distances between Rows and use a normalized Euclidean distance metric.</w:t>
      </w:r>
    </w:p>
    <w:p w14:paraId="3B290D60" w14:textId="77777777" w:rsidR="004C1EE4" w:rsidRPr="004C1EE4" w:rsidRDefault="004C1EE4" w:rsidP="004C1EE4">
      <w:pPr>
        <w:pStyle w:val="ListParagraph"/>
        <w:rPr>
          <w:rFonts w:ascii="Arial" w:hAnsi="Arial" w:cs="Arial"/>
          <w:bCs/>
          <w:color w:val="000000" w:themeColor="text1"/>
        </w:rPr>
      </w:pPr>
    </w:p>
    <w:p w14:paraId="7046E378" w14:textId="26D35CB9" w:rsidR="004C1EE4" w:rsidRDefault="004C1EE4" w:rsidP="0013127D">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Attach a “Hierarchical Clustering” widget to your “Distance” widget. Clusters are formed in an agglomerative manner (i.e. right to left). The resulting </w:t>
      </w:r>
      <w:proofErr w:type="spellStart"/>
      <w:r>
        <w:rPr>
          <w:rFonts w:ascii="Arial" w:hAnsi="Arial" w:cs="Arial"/>
          <w:bCs/>
          <w:color w:val="000000" w:themeColor="text1"/>
        </w:rPr>
        <w:t>denodgram</w:t>
      </w:r>
      <w:proofErr w:type="spellEnd"/>
      <w:r>
        <w:rPr>
          <w:rFonts w:ascii="Arial" w:hAnsi="Arial" w:cs="Arial"/>
          <w:bCs/>
          <w:color w:val="000000" w:themeColor="text1"/>
        </w:rPr>
        <w:t xml:space="preserve"> shows how subclusters are merged to form larger and larger groupings of the data. Final cluster assignment is determined by drawing a vertical line in the </w:t>
      </w:r>
      <w:proofErr w:type="spellStart"/>
      <w:r>
        <w:rPr>
          <w:rFonts w:ascii="Arial" w:hAnsi="Arial" w:cs="Arial"/>
          <w:bCs/>
          <w:color w:val="000000" w:themeColor="text1"/>
        </w:rPr>
        <w:t>dendogram</w:t>
      </w:r>
      <w:proofErr w:type="spellEnd"/>
      <w:r>
        <w:rPr>
          <w:rFonts w:ascii="Arial" w:hAnsi="Arial" w:cs="Arial"/>
          <w:bCs/>
          <w:color w:val="000000" w:themeColor="text1"/>
        </w:rPr>
        <w:t xml:space="preserve">. You can do this by clicking on the </w:t>
      </w:r>
      <w:proofErr w:type="spellStart"/>
      <w:r>
        <w:rPr>
          <w:rFonts w:ascii="Arial" w:hAnsi="Arial" w:cs="Arial"/>
          <w:bCs/>
          <w:color w:val="000000" w:themeColor="text1"/>
        </w:rPr>
        <w:t>dendogram</w:t>
      </w:r>
      <w:proofErr w:type="spellEnd"/>
      <w:r>
        <w:rPr>
          <w:rFonts w:ascii="Arial" w:hAnsi="Arial" w:cs="Arial"/>
          <w:bCs/>
          <w:color w:val="000000" w:themeColor="text1"/>
        </w:rPr>
        <w:t xml:space="preserve"> directly. Find the vertical cut that forms </w:t>
      </w:r>
      <w:r w:rsidR="00CE1F19">
        <w:rPr>
          <w:rFonts w:ascii="Arial" w:hAnsi="Arial" w:cs="Arial"/>
          <w:bCs/>
          <w:color w:val="000000" w:themeColor="text1"/>
        </w:rPr>
        <w:t>two</w:t>
      </w:r>
      <w:r>
        <w:rPr>
          <w:rFonts w:ascii="Arial" w:hAnsi="Arial" w:cs="Arial"/>
          <w:bCs/>
          <w:color w:val="000000" w:themeColor="text1"/>
        </w:rPr>
        <w:t xml:space="preserve"> clusters.</w:t>
      </w:r>
    </w:p>
    <w:p w14:paraId="1BF1E1AA" w14:textId="77777777" w:rsidR="004C1EE4" w:rsidRPr="004C1EE4" w:rsidRDefault="004C1EE4" w:rsidP="004C1EE4">
      <w:pPr>
        <w:pStyle w:val="ListParagraph"/>
        <w:rPr>
          <w:rFonts w:ascii="Arial" w:hAnsi="Arial" w:cs="Arial"/>
          <w:bCs/>
          <w:color w:val="000000" w:themeColor="text1"/>
        </w:rPr>
      </w:pPr>
    </w:p>
    <w:p w14:paraId="2B3C482A" w14:textId="396E85AC" w:rsidR="008425D0" w:rsidRPr="004C1EE4" w:rsidRDefault="004C1EE4" w:rsidP="00C02C43">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Repeat the “Scatter Plot” and “Distribution” widget procedures you applied for k-means above. </w:t>
      </w:r>
      <w:r>
        <w:rPr>
          <w:rFonts w:ascii="Arial" w:hAnsi="Arial" w:cs="Arial"/>
          <w:b/>
          <w:color w:val="000000" w:themeColor="text1"/>
        </w:rPr>
        <w:t xml:space="preserve">Q4: Repeat your evaluations performed in Q2/Q3. </w:t>
      </w:r>
    </w:p>
    <w:p w14:paraId="1C26EDDD" w14:textId="77777777" w:rsidR="004C1EE4" w:rsidRPr="004C1EE4" w:rsidRDefault="004C1EE4" w:rsidP="004C1EE4">
      <w:pPr>
        <w:pStyle w:val="ListParagraph"/>
        <w:rPr>
          <w:rFonts w:ascii="Arial" w:hAnsi="Arial" w:cs="Arial"/>
          <w:bCs/>
          <w:color w:val="000000" w:themeColor="text1"/>
        </w:rPr>
      </w:pPr>
    </w:p>
    <w:p w14:paraId="600ADF57" w14:textId="7880AC42" w:rsidR="004C1EE4" w:rsidRDefault="004C1EE4" w:rsidP="004C1EE4">
      <w:pPr>
        <w:spacing w:after="120"/>
        <w:rPr>
          <w:rFonts w:ascii="Arial" w:hAnsi="Arial" w:cs="Arial"/>
          <w:bCs/>
          <w:color w:val="000000" w:themeColor="text1"/>
        </w:rPr>
      </w:pPr>
    </w:p>
    <w:p w14:paraId="7B5D5C81" w14:textId="3BD65B93" w:rsidR="004C1EE4" w:rsidRDefault="004C1EE4" w:rsidP="004C1EE4">
      <w:pPr>
        <w:spacing w:after="120"/>
        <w:rPr>
          <w:rFonts w:ascii="Arial" w:hAnsi="Arial" w:cs="Arial"/>
          <w:bCs/>
          <w:color w:val="000000" w:themeColor="text1"/>
          <w:u w:val="single"/>
        </w:rPr>
      </w:pPr>
      <w:r>
        <w:rPr>
          <w:rFonts w:ascii="Arial" w:hAnsi="Arial" w:cs="Arial"/>
          <w:bCs/>
          <w:color w:val="000000" w:themeColor="text1"/>
          <w:u w:val="single"/>
        </w:rPr>
        <w:t>Dimension Reduction</w:t>
      </w:r>
    </w:p>
    <w:p w14:paraId="2983EAEC" w14:textId="44D83561" w:rsidR="004C1EE4" w:rsidRDefault="004C1EE4" w:rsidP="004C1EE4">
      <w:pPr>
        <w:spacing w:after="120"/>
        <w:rPr>
          <w:rFonts w:ascii="Arial" w:hAnsi="Arial" w:cs="Arial"/>
          <w:bCs/>
          <w:color w:val="000000" w:themeColor="text1"/>
          <w:u w:val="single"/>
        </w:rPr>
      </w:pPr>
    </w:p>
    <w:p w14:paraId="35849551" w14:textId="658C9EEE" w:rsidR="004C1EE4" w:rsidRDefault="004C1EE4"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 The </w:t>
      </w:r>
      <w:proofErr w:type="gramStart"/>
      <w:r>
        <w:rPr>
          <w:rFonts w:ascii="Arial" w:hAnsi="Arial" w:cs="Arial"/>
          <w:bCs/>
          <w:color w:val="000000" w:themeColor="text1"/>
        </w:rPr>
        <w:t>first dimension</w:t>
      </w:r>
      <w:proofErr w:type="gramEnd"/>
      <w:r>
        <w:rPr>
          <w:rFonts w:ascii="Arial" w:hAnsi="Arial" w:cs="Arial"/>
          <w:bCs/>
          <w:color w:val="000000" w:themeColor="text1"/>
        </w:rPr>
        <w:t xml:space="preserve"> reduction technique we will explore is principal components analysis (PCA). Add a “PCA” widget to the “File” widget. When you open the widget, you will see a proportion of variance plot with the ordered principal components labeled on the x-axis. The components are ordered by the proportion of variance (information) they explain in the data. </w:t>
      </w:r>
      <w:r>
        <w:rPr>
          <w:rFonts w:ascii="Arial" w:hAnsi="Arial" w:cs="Arial"/>
          <w:b/>
          <w:color w:val="000000" w:themeColor="text1"/>
        </w:rPr>
        <w:t xml:space="preserve">Q5: How much variation is explained in the first component, second component and in six components? </w:t>
      </w:r>
      <w:r>
        <w:rPr>
          <w:rFonts w:ascii="Arial" w:hAnsi="Arial" w:cs="Arial"/>
          <w:bCs/>
          <w:color w:val="000000" w:themeColor="text1"/>
        </w:rPr>
        <w:t>Select components that explain at least 90% of the variation in the data and close the widget.</w:t>
      </w:r>
    </w:p>
    <w:p w14:paraId="5EBA0C2A" w14:textId="77777777" w:rsidR="004C1EE4" w:rsidRDefault="004C1EE4" w:rsidP="004C1EE4">
      <w:pPr>
        <w:pStyle w:val="ListParagraph"/>
        <w:spacing w:after="120"/>
        <w:rPr>
          <w:rFonts w:ascii="Arial" w:hAnsi="Arial" w:cs="Arial"/>
          <w:bCs/>
          <w:color w:val="000000" w:themeColor="text1"/>
        </w:rPr>
      </w:pPr>
    </w:p>
    <w:p w14:paraId="568C75B6" w14:textId="4B73DD03" w:rsidR="004C1EE4" w:rsidRDefault="004C1EE4"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Add a “Data Table” widget</w:t>
      </w:r>
      <w:r w:rsidR="00F977D1">
        <w:rPr>
          <w:rFonts w:ascii="Arial" w:hAnsi="Arial" w:cs="Arial"/>
          <w:bCs/>
          <w:color w:val="000000" w:themeColor="text1"/>
        </w:rPr>
        <w:t xml:space="preserve"> to the “PCA” widget</w:t>
      </w:r>
      <w:r>
        <w:rPr>
          <w:rFonts w:ascii="Arial" w:hAnsi="Arial" w:cs="Arial"/>
          <w:bCs/>
          <w:color w:val="000000" w:themeColor="text1"/>
        </w:rPr>
        <w:t>. Look inside. You will see all the original variables along with columns labeled “PC”. These</w:t>
      </w:r>
      <w:r w:rsidR="009B127A">
        <w:rPr>
          <w:rFonts w:ascii="Arial" w:hAnsi="Arial" w:cs="Arial"/>
          <w:bCs/>
          <w:color w:val="000000" w:themeColor="text1"/>
        </w:rPr>
        <w:t xml:space="preserve"> PC scores</w:t>
      </w:r>
      <w:r>
        <w:rPr>
          <w:rFonts w:ascii="Arial" w:hAnsi="Arial" w:cs="Arial"/>
          <w:bCs/>
          <w:color w:val="000000" w:themeColor="text1"/>
        </w:rPr>
        <w:t xml:space="preserve"> are the </w:t>
      </w:r>
      <w:r>
        <w:rPr>
          <w:rFonts w:ascii="Arial" w:hAnsi="Arial" w:cs="Arial"/>
          <w:bCs/>
          <w:color w:val="000000" w:themeColor="text1"/>
        </w:rPr>
        <w:lastRenderedPageBreak/>
        <w:t xml:space="preserve">coordinates of our data in the transformed principal component space. These coordinates on longer relate to individual features of the cancer data but summarize the information in lower dimensions. Add a “Scatter Plot” widget and select </w:t>
      </w:r>
      <w:r>
        <w:rPr>
          <w:rFonts w:ascii="Arial" w:hAnsi="Arial" w:cs="Arial"/>
          <w:bCs/>
          <w:i/>
          <w:iCs/>
          <w:color w:val="000000" w:themeColor="text1"/>
        </w:rPr>
        <w:t xml:space="preserve">Class </w:t>
      </w:r>
      <w:r>
        <w:rPr>
          <w:rFonts w:ascii="Arial" w:hAnsi="Arial" w:cs="Arial"/>
          <w:bCs/>
          <w:color w:val="000000" w:themeColor="text1"/>
        </w:rPr>
        <w:t xml:space="preserve">for color. Select “Find Informative Projections” and click Start. </w:t>
      </w:r>
      <w:r>
        <w:rPr>
          <w:rFonts w:ascii="Arial" w:hAnsi="Arial" w:cs="Arial"/>
          <w:b/>
          <w:color w:val="000000" w:themeColor="text1"/>
        </w:rPr>
        <w:t xml:space="preserve">Q6: How many of the top variable pairing contain principal component scores? </w:t>
      </w:r>
      <w:r>
        <w:rPr>
          <w:rFonts w:ascii="Arial" w:hAnsi="Arial" w:cs="Arial"/>
          <w:bCs/>
          <w:color w:val="000000" w:themeColor="text1"/>
        </w:rPr>
        <w:t xml:space="preserve">While not always the case, it is not surprising that the </w:t>
      </w:r>
      <w:proofErr w:type="gramStart"/>
      <w:r>
        <w:rPr>
          <w:rFonts w:ascii="Arial" w:hAnsi="Arial" w:cs="Arial"/>
          <w:bCs/>
          <w:color w:val="000000" w:themeColor="text1"/>
        </w:rPr>
        <w:t>principle</w:t>
      </w:r>
      <w:proofErr w:type="gramEnd"/>
      <w:r>
        <w:rPr>
          <w:rFonts w:ascii="Arial" w:hAnsi="Arial" w:cs="Arial"/>
          <w:bCs/>
          <w:color w:val="000000" w:themeColor="text1"/>
        </w:rPr>
        <w:t xml:space="preserve"> directions of variation encoded in these principal component scores contain </w:t>
      </w:r>
      <w:r w:rsidR="009B127A">
        <w:rPr>
          <w:rFonts w:ascii="Arial" w:hAnsi="Arial" w:cs="Arial"/>
          <w:bCs/>
          <w:color w:val="000000" w:themeColor="text1"/>
        </w:rPr>
        <w:t xml:space="preserve">highly relevant </w:t>
      </w:r>
      <w:r>
        <w:rPr>
          <w:rFonts w:ascii="Arial" w:hAnsi="Arial" w:cs="Arial"/>
          <w:bCs/>
          <w:color w:val="000000" w:themeColor="text1"/>
        </w:rPr>
        <w:t>information related to tumor class.</w:t>
      </w:r>
    </w:p>
    <w:p w14:paraId="50B6A0DB" w14:textId="77777777" w:rsidR="004C1EE4" w:rsidRPr="004C1EE4" w:rsidRDefault="004C1EE4" w:rsidP="004C1EE4">
      <w:pPr>
        <w:pStyle w:val="ListParagraph"/>
        <w:rPr>
          <w:rFonts w:ascii="Arial" w:hAnsi="Arial" w:cs="Arial"/>
          <w:bCs/>
          <w:color w:val="000000" w:themeColor="text1"/>
        </w:rPr>
      </w:pPr>
    </w:p>
    <w:p w14:paraId="09099C1C" w14:textId="6DA583EE" w:rsidR="004C1EE4" w:rsidRDefault="004C1EE4"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We will now explore another dimension reduction technique called t-distributed stochastic neighborhood embedding (t-SNE). Add a “t-SNE” widget to the “File” widget. Unlike PCA, t-SNE has many parameters that can be tuned and is semi-random in its performance. We will ignore much of these with the exception of the following: select “Preserve global structure” and “</w:t>
      </w:r>
      <w:proofErr w:type="spellStart"/>
      <w:r>
        <w:rPr>
          <w:rFonts w:ascii="Arial" w:hAnsi="Arial" w:cs="Arial"/>
          <w:bCs/>
          <w:color w:val="000000" w:themeColor="text1"/>
        </w:rPr>
        <w:t>Nomralize</w:t>
      </w:r>
      <w:proofErr w:type="spellEnd"/>
      <w:r>
        <w:rPr>
          <w:rFonts w:ascii="Arial" w:hAnsi="Arial" w:cs="Arial"/>
          <w:bCs/>
          <w:color w:val="000000" w:themeColor="text1"/>
        </w:rPr>
        <w:t xml:space="preserve">” data, select hit start. t-SNE will now find a two-dimensional embedding that preserves the high dimensional neighborhood structure as best as possible (i.e. with high probability). </w:t>
      </w:r>
    </w:p>
    <w:p w14:paraId="36205D87" w14:textId="77777777" w:rsidR="00E145B8" w:rsidRPr="00E145B8" w:rsidRDefault="00E145B8" w:rsidP="00E145B8">
      <w:pPr>
        <w:pStyle w:val="ListParagraph"/>
        <w:rPr>
          <w:rFonts w:ascii="Arial" w:hAnsi="Arial" w:cs="Arial"/>
          <w:bCs/>
          <w:color w:val="000000" w:themeColor="text1"/>
        </w:rPr>
      </w:pPr>
    </w:p>
    <w:p w14:paraId="01C322F2" w14:textId="7288A20F" w:rsidR="00E145B8" w:rsidRDefault="00E145B8"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In Orange, t-SNE will allow us to represent our high-dimensional data in a two-dimensional space. View this by adding a “Data Table” to the “t-SNE” widget. Add a “Scatter Plot” widget and color by </w:t>
      </w:r>
      <w:r>
        <w:rPr>
          <w:rFonts w:ascii="Arial" w:hAnsi="Arial" w:cs="Arial"/>
          <w:bCs/>
          <w:i/>
          <w:iCs/>
          <w:color w:val="000000" w:themeColor="text1"/>
        </w:rPr>
        <w:t>Class</w:t>
      </w:r>
      <w:r>
        <w:rPr>
          <w:rFonts w:ascii="Arial" w:hAnsi="Arial" w:cs="Arial"/>
          <w:bCs/>
          <w:color w:val="000000" w:themeColor="text1"/>
        </w:rPr>
        <w:t xml:space="preserve">. </w:t>
      </w:r>
      <w:r>
        <w:rPr>
          <w:rFonts w:ascii="Arial" w:hAnsi="Arial" w:cs="Arial"/>
          <w:b/>
          <w:color w:val="000000" w:themeColor="text1"/>
        </w:rPr>
        <w:t>Q7: Do the two tumor classes stratify well in the t-SNE space?</w:t>
      </w:r>
    </w:p>
    <w:p w14:paraId="72655584" w14:textId="4B734EED" w:rsidR="00E145B8" w:rsidRDefault="00E145B8" w:rsidP="00E145B8">
      <w:pPr>
        <w:pStyle w:val="ListParagraph"/>
        <w:rPr>
          <w:rFonts w:ascii="Arial" w:hAnsi="Arial" w:cs="Arial"/>
          <w:bCs/>
          <w:color w:val="000000" w:themeColor="text1"/>
        </w:rPr>
      </w:pPr>
    </w:p>
    <w:p w14:paraId="21A7BAD5" w14:textId="057F212C" w:rsidR="001F3896" w:rsidRDefault="001F3896" w:rsidP="00E145B8">
      <w:pPr>
        <w:pStyle w:val="ListParagraph"/>
        <w:rPr>
          <w:rFonts w:ascii="Arial" w:hAnsi="Arial" w:cs="Arial"/>
          <w:bCs/>
          <w:color w:val="000000" w:themeColor="text1"/>
        </w:rPr>
      </w:pPr>
      <w:r>
        <w:rPr>
          <w:rFonts w:ascii="Arial" w:hAnsi="Arial" w:cs="Arial"/>
          <w:bCs/>
          <w:color w:val="000000" w:themeColor="text1"/>
        </w:rPr>
        <w:t>***OPTIONAL***</w:t>
      </w:r>
    </w:p>
    <w:p w14:paraId="23B71241" w14:textId="77777777" w:rsidR="001F3896" w:rsidRPr="00E145B8" w:rsidRDefault="001F3896" w:rsidP="00E145B8">
      <w:pPr>
        <w:pStyle w:val="ListParagraph"/>
        <w:rPr>
          <w:rFonts w:ascii="Arial" w:hAnsi="Arial" w:cs="Arial"/>
          <w:bCs/>
          <w:color w:val="000000" w:themeColor="text1"/>
        </w:rPr>
      </w:pPr>
    </w:p>
    <w:p w14:paraId="0438A1ED" w14:textId="477C98BA" w:rsidR="00E145B8" w:rsidRDefault="00E145B8"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Now let’s merge our t-SNE and PCA data reduc</w:t>
      </w:r>
      <w:r w:rsidR="001C0291">
        <w:rPr>
          <w:rFonts w:ascii="Arial" w:hAnsi="Arial" w:cs="Arial"/>
          <w:bCs/>
          <w:color w:val="000000" w:themeColor="text1"/>
        </w:rPr>
        <w:t>ed</w:t>
      </w:r>
      <w:r>
        <w:rPr>
          <w:rFonts w:ascii="Arial" w:hAnsi="Arial" w:cs="Arial"/>
          <w:bCs/>
          <w:color w:val="000000" w:themeColor="text1"/>
        </w:rPr>
        <w:t xml:space="preserve"> data sets using a “Merge” widget. Use a “Select Column” widget to identify the original features, PC components, and t-SNE components as features and </w:t>
      </w:r>
      <w:r>
        <w:rPr>
          <w:rFonts w:ascii="Arial" w:hAnsi="Arial" w:cs="Arial"/>
          <w:bCs/>
          <w:i/>
          <w:iCs/>
          <w:color w:val="000000" w:themeColor="text1"/>
        </w:rPr>
        <w:t>Class</w:t>
      </w:r>
      <w:r>
        <w:rPr>
          <w:rFonts w:ascii="Arial" w:hAnsi="Arial" w:cs="Arial"/>
          <w:bCs/>
          <w:color w:val="000000" w:themeColor="text1"/>
        </w:rPr>
        <w:t xml:space="preserve"> as the target. Everything else should be a meta variable.</w:t>
      </w:r>
    </w:p>
    <w:p w14:paraId="71069046" w14:textId="77777777" w:rsidR="00E145B8" w:rsidRPr="00E145B8" w:rsidRDefault="00E145B8" w:rsidP="00E145B8">
      <w:pPr>
        <w:pStyle w:val="ListParagraph"/>
        <w:rPr>
          <w:rFonts w:ascii="Arial" w:hAnsi="Arial" w:cs="Arial"/>
          <w:bCs/>
          <w:color w:val="000000" w:themeColor="text1"/>
        </w:rPr>
      </w:pPr>
    </w:p>
    <w:p w14:paraId="6668B8B7" w14:textId="574C695C" w:rsidR="00E145B8" w:rsidRDefault="00E145B8"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Rank all the measures now using some of our feature importance metric</w:t>
      </w:r>
      <w:r w:rsidR="001C0291">
        <w:rPr>
          <w:rFonts w:ascii="Arial" w:hAnsi="Arial" w:cs="Arial"/>
          <w:bCs/>
          <w:color w:val="000000" w:themeColor="text1"/>
        </w:rPr>
        <w:t xml:space="preserve">s we discussed in the “Rank” widget. </w:t>
      </w:r>
      <w:r w:rsidR="001C0291">
        <w:rPr>
          <w:rFonts w:ascii="Arial" w:hAnsi="Arial" w:cs="Arial"/>
          <w:b/>
          <w:color w:val="000000" w:themeColor="text1"/>
        </w:rPr>
        <w:t xml:space="preserve">Q8: What features are ranked highest? Are you surprised? </w:t>
      </w:r>
    </w:p>
    <w:p w14:paraId="74F9BC48" w14:textId="73AE0100" w:rsidR="001C0291" w:rsidRDefault="001C0291" w:rsidP="001C0291">
      <w:pPr>
        <w:pStyle w:val="ListParagraph"/>
        <w:rPr>
          <w:rFonts w:ascii="Arial" w:hAnsi="Arial" w:cs="Arial"/>
          <w:bCs/>
          <w:color w:val="000000" w:themeColor="text1"/>
        </w:rPr>
      </w:pPr>
    </w:p>
    <w:p w14:paraId="756954CF" w14:textId="64E7741F" w:rsidR="001C0291" w:rsidRDefault="001C0291" w:rsidP="001C0291">
      <w:pPr>
        <w:pStyle w:val="ListParagraph"/>
        <w:rPr>
          <w:rFonts w:ascii="Arial" w:hAnsi="Arial" w:cs="Arial"/>
          <w:bCs/>
          <w:color w:val="000000" w:themeColor="text1"/>
        </w:rPr>
      </w:pPr>
    </w:p>
    <w:p w14:paraId="1E5EAAE5" w14:textId="30CEE0AB" w:rsidR="001C0291" w:rsidRDefault="001C0291" w:rsidP="001C0291">
      <w:pPr>
        <w:pStyle w:val="ListParagraph"/>
        <w:rPr>
          <w:rFonts w:ascii="Arial" w:hAnsi="Arial" w:cs="Arial"/>
          <w:bCs/>
          <w:color w:val="000000" w:themeColor="text1"/>
        </w:rPr>
      </w:pPr>
    </w:p>
    <w:p w14:paraId="0B8DD2EC" w14:textId="5AE15032" w:rsidR="001C0291" w:rsidRDefault="001C0291" w:rsidP="001C0291">
      <w:pPr>
        <w:pStyle w:val="ListParagraph"/>
        <w:rPr>
          <w:rFonts w:ascii="Arial" w:hAnsi="Arial" w:cs="Arial"/>
          <w:bCs/>
          <w:color w:val="000000" w:themeColor="text1"/>
        </w:rPr>
      </w:pPr>
    </w:p>
    <w:p w14:paraId="10CE6B4E" w14:textId="59F73A58" w:rsidR="001C0291" w:rsidRDefault="001C0291" w:rsidP="001C0291">
      <w:pPr>
        <w:pStyle w:val="ListParagraph"/>
        <w:rPr>
          <w:rFonts w:ascii="Arial" w:hAnsi="Arial" w:cs="Arial"/>
          <w:bCs/>
          <w:color w:val="000000" w:themeColor="text1"/>
        </w:rPr>
      </w:pPr>
    </w:p>
    <w:p w14:paraId="7C8625D8" w14:textId="4166D48B" w:rsidR="001C0291" w:rsidRDefault="001C0291" w:rsidP="001C0291">
      <w:pPr>
        <w:pStyle w:val="ListParagraph"/>
        <w:rPr>
          <w:rFonts w:ascii="Arial" w:hAnsi="Arial" w:cs="Arial"/>
          <w:bCs/>
          <w:color w:val="000000" w:themeColor="text1"/>
        </w:rPr>
      </w:pPr>
    </w:p>
    <w:p w14:paraId="20F4A2C1" w14:textId="641479D0" w:rsidR="001C0291" w:rsidRDefault="001C0291" w:rsidP="001C0291">
      <w:pPr>
        <w:pStyle w:val="ListParagraph"/>
        <w:rPr>
          <w:rFonts w:ascii="Arial" w:hAnsi="Arial" w:cs="Arial"/>
          <w:bCs/>
          <w:color w:val="000000" w:themeColor="text1"/>
        </w:rPr>
      </w:pPr>
    </w:p>
    <w:p w14:paraId="00920725" w14:textId="7D28BD1A" w:rsidR="001C0291" w:rsidRDefault="001C0291" w:rsidP="001C0291">
      <w:pPr>
        <w:pStyle w:val="ListParagraph"/>
        <w:rPr>
          <w:rFonts w:ascii="Arial" w:hAnsi="Arial" w:cs="Arial"/>
          <w:bCs/>
          <w:color w:val="000000" w:themeColor="text1"/>
        </w:rPr>
      </w:pPr>
    </w:p>
    <w:p w14:paraId="1EEB8429" w14:textId="411C5B2D" w:rsidR="001C0291" w:rsidRDefault="001C0291" w:rsidP="001C0291">
      <w:pPr>
        <w:pStyle w:val="ListParagraph"/>
        <w:rPr>
          <w:rFonts w:ascii="Arial" w:hAnsi="Arial" w:cs="Arial"/>
          <w:bCs/>
          <w:color w:val="000000" w:themeColor="text1"/>
        </w:rPr>
      </w:pPr>
    </w:p>
    <w:p w14:paraId="77E2A4DC" w14:textId="4CDB921E" w:rsidR="002914DB" w:rsidRDefault="002914DB" w:rsidP="001C0291">
      <w:pPr>
        <w:pStyle w:val="ListParagraph"/>
        <w:rPr>
          <w:rFonts w:ascii="Arial" w:hAnsi="Arial" w:cs="Arial"/>
          <w:bCs/>
          <w:color w:val="000000" w:themeColor="text1"/>
        </w:rPr>
      </w:pPr>
    </w:p>
    <w:p w14:paraId="1E816F07" w14:textId="668D291F" w:rsidR="002914DB" w:rsidRDefault="002914DB" w:rsidP="001C0291">
      <w:pPr>
        <w:pStyle w:val="ListParagraph"/>
        <w:rPr>
          <w:rFonts w:ascii="Arial" w:hAnsi="Arial" w:cs="Arial"/>
          <w:bCs/>
          <w:color w:val="000000" w:themeColor="text1"/>
        </w:rPr>
      </w:pPr>
    </w:p>
    <w:p w14:paraId="506F7256" w14:textId="5E82328B" w:rsidR="002914DB" w:rsidRDefault="002914DB" w:rsidP="001C0291">
      <w:pPr>
        <w:pStyle w:val="ListParagraph"/>
        <w:rPr>
          <w:rFonts w:ascii="Arial" w:hAnsi="Arial" w:cs="Arial"/>
          <w:bCs/>
          <w:color w:val="000000" w:themeColor="text1"/>
        </w:rPr>
      </w:pPr>
    </w:p>
    <w:p w14:paraId="43D9EE84" w14:textId="1AA006A3" w:rsidR="002914DB" w:rsidRDefault="002914DB" w:rsidP="001C0291">
      <w:pPr>
        <w:pStyle w:val="ListParagraph"/>
        <w:rPr>
          <w:rFonts w:ascii="Arial" w:hAnsi="Arial" w:cs="Arial"/>
          <w:bCs/>
          <w:color w:val="000000" w:themeColor="text1"/>
        </w:rPr>
      </w:pPr>
    </w:p>
    <w:p w14:paraId="082B560A" w14:textId="77777777" w:rsidR="002914DB" w:rsidRDefault="002914DB" w:rsidP="001C0291">
      <w:pPr>
        <w:pStyle w:val="ListParagraph"/>
        <w:rPr>
          <w:rFonts w:ascii="Arial" w:hAnsi="Arial" w:cs="Arial"/>
          <w:bCs/>
          <w:color w:val="000000" w:themeColor="text1"/>
        </w:rPr>
      </w:pPr>
    </w:p>
    <w:p w14:paraId="642DBE78" w14:textId="49F0F582" w:rsidR="001C0291" w:rsidRDefault="001C0291" w:rsidP="001C0291">
      <w:pPr>
        <w:pStyle w:val="ListParagraph"/>
        <w:rPr>
          <w:rFonts w:ascii="Arial" w:hAnsi="Arial" w:cs="Arial"/>
          <w:bCs/>
          <w:color w:val="000000" w:themeColor="text1"/>
        </w:rPr>
      </w:pPr>
    </w:p>
    <w:p w14:paraId="3C0755FE" w14:textId="77777777" w:rsidR="001C0291" w:rsidRPr="001C0291" w:rsidRDefault="001C0291" w:rsidP="001C0291">
      <w:pPr>
        <w:pStyle w:val="ListParagraph"/>
        <w:rPr>
          <w:rFonts w:ascii="Arial" w:hAnsi="Arial" w:cs="Arial"/>
          <w:bCs/>
          <w:color w:val="000000" w:themeColor="text1"/>
        </w:rPr>
      </w:pPr>
    </w:p>
    <w:p w14:paraId="3B7AE6EC" w14:textId="2972CD0F" w:rsidR="001C0291" w:rsidRDefault="001C0291" w:rsidP="001C0291">
      <w:pPr>
        <w:spacing w:after="120"/>
        <w:rPr>
          <w:rFonts w:ascii="Arial" w:hAnsi="Arial" w:cs="Arial"/>
          <w:bCs/>
          <w:color w:val="000000" w:themeColor="text1"/>
        </w:rPr>
      </w:pPr>
      <w:r>
        <w:rPr>
          <w:rFonts w:ascii="Arial" w:hAnsi="Arial" w:cs="Arial"/>
          <w:bCs/>
          <w:color w:val="000000" w:themeColor="text1"/>
        </w:rPr>
        <w:t>My final workflow looks like this:</w:t>
      </w:r>
    </w:p>
    <w:p w14:paraId="582C89E2" w14:textId="41CB490B" w:rsidR="001C0291" w:rsidRPr="001C0291" w:rsidRDefault="001C0291" w:rsidP="001C0291">
      <w:pPr>
        <w:spacing w:after="120"/>
        <w:jc w:val="center"/>
        <w:rPr>
          <w:rFonts w:ascii="Arial" w:hAnsi="Arial" w:cs="Arial"/>
          <w:bCs/>
          <w:color w:val="000000" w:themeColor="text1"/>
        </w:rPr>
      </w:pPr>
      <w:r>
        <w:rPr>
          <w:rFonts w:ascii="Arial" w:hAnsi="Arial" w:cs="Arial"/>
          <w:bCs/>
          <w:noProof/>
          <w:color w:val="000000" w:themeColor="text1"/>
        </w:rPr>
        <w:drawing>
          <wp:inline distT="0" distB="0" distL="0" distR="0" wp14:anchorId="2EBE10AD" wp14:editId="1175EA66">
            <wp:extent cx="5108090" cy="4057548"/>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map&#10;&#10;Description automatically generated"/>
                    <pic:cNvPicPr/>
                  </pic:nvPicPr>
                  <pic:blipFill>
                    <a:blip r:embed="rId9"/>
                    <a:stretch>
                      <a:fillRect/>
                    </a:stretch>
                  </pic:blipFill>
                  <pic:spPr>
                    <a:xfrm>
                      <a:off x="0" y="0"/>
                      <a:ext cx="5115535" cy="4063462"/>
                    </a:xfrm>
                    <a:prstGeom prst="rect">
                      <a:avLst/>
                    </a:prstGeom>
                  </pic:spPr>
                </pic:pic>
              </a:graphicData>
            </a:graphic>
          </wp:inline>
        </w:drawing>
      </w:r>
    </w:p>
    <w:sectPr w:rsidR="001C0291" w:rsidRPr="001C0291" w:rsidSect="009B212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77A77" w14:textId="77777777" w:rsidR="006063E3" w:rsidRDefault="006063E3" w:rsidP="00EB129F">
      <w:r>
        <w:separator/>
      </w:r>
    </w:p>
  </w:endnote>
  <w:endnote w:type="continuationSeparator" w:id="0">
    <w:p w14:paraId="2C42C73C" w14:textId="77777777" w:rsidR="006063E3" w:rsidRDefault="006063E3" w:rsidP="00EB1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179D7" w14:textId="77777777" w:rsidR="00EB129F" w:rsidRDefault="00EB12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BAAE" w14:textId="77777777" w:rsidR="00EB129F" w:rsidRDefault="00EB12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8C4E7" w14:textId="77777777" w:rsidR="00EB129F" w:rsidRDefault="00EB1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92FBB" w14:textId="77777777" w:rsidR="006063E3" w:rsidRDefault="006063E3" w:rsidP="00EB129F">
      <w:r>
        <w:separator/>
      </w:r>
    </w:p>
  </w:footnote>
  <w:footnote w:type="continuationSeparator" w:id="0">
    <w:p w14:paraId="59D1B12C" w14:textId="77777777" w:rsidR="006063E3" w:rsidRDefault="006063E3" w:rsidP="00EB1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D962C" w14:textId="77777777" w:rsidR="00EB129F" w:rsidRDefault="00EB12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F494" w14:textId="77777777" w:rsidR="00EB129F" w:rsidRDefault="00EB12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EF7F4" w14:textId="77777777" w:rsidR="00EB129F" w:rsidRDefault="00EB12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37650"/>
    <w:multiLevelType w:val="hybridMultilevel"/>
    <w:tmpl w:val="A7AE3B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35119"/>
    <w:multiLevelType w:val="hybridMultilevel"/>
    <w:tmpl w:val="F54052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696573"/>
    <w:multiLevelType w:val="hybridMultilevel"/>
    <w:tmpl w:val="8B70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0710A"/>
    <w:multiLevelType w:val="hybridMultilevel"/>
    <w:tmpl w:val="D024981A"/>
    <w:lvl w:ilvl="0" w:tplc="2EC0F16E">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5549D8"/>
    <w:multiLevelType w:val="hybridMultilevel"/>
    <w:tmpl w:val="A7AE3B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D33BB3"/>
    <w:multiLevelType w:val="hybridMultilevel"/>
    <w:tmpl w:val="25CC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3D146B"/>
    <w:multiLevelType w:val="hybridMultilevel"/>
    <w:tmpl w:val="44AE3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DA22CF"/>
    <w:multiLevelType w:val="hybridMultilevel"/>
    <w:tmpl w:val="661487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8860DC"/>
    <w:multiLevelType w:val="hybridMultilevel"/>
    <w:tmpl w:val="4CE8E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603AD8"/>
    <w:multiLevelType w:val="hybridMultilevel"/>
    <w:tmpl w:val="496C04B8"/>
    <w:lvl w:ilvl="0" w:tplc="2EC0F16E">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0F48A1"/>
    <w:multiLevelType w:val="hybridMultilevel"/>
    <w:tmpl w:val="F46A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4E2697"/>
    <w:multiLevelType w:val="hybridMultilevel"/>
    <w:tmpl w:val="74706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FF00A6"/>
    <w:multiLevelType w:val="hybridMultilevel"/>
    <w:tmpl w:val="0CE0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5F4F5F"/>
    <w:multiLevelType w:val="hybridMultilevel"/>
    <w:tmpl w:val="8B5C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EB254A"/>
    <w:multiLevelType w:val="hybridMultilevel"/>
    <w:tmpl w:val="D8D03216"/>
    <w:lvl w:ilvl="0" w:tplc="B5CAB09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3F15C4"/>
    <w:multiLevelType w:val="hybridMultilevel"/>
    <w:tmpl w:val="95349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3"/>
  </w:num>
  <w:num w:numId="4">
    <w:abstractNumId w:val="11"/>
  </w:num>
  <w:num w:numId="5">
    <w:abstractNumId w:val="1"/>
  </w:num>
  <w:num w:numId="6">
    <w:abstractNumId w:val="13"/>
  </w:num>
  <w:num w:numId="7">
    <w:abstractNumId w:val="7"/>
  </w:num>
  <w:num w:numId="8">
    <w:abstractNumId w:val="8"/>
  </w:num>
  <w:num w:numId="9">
    <w:abstractNumId w:val="0"/>
  </w:num>
  <w:num w:numId="10">
    <w:abstractNumId w:val="5"/>
  </w:num>
  <w:num w:numId="11">
    <w:abstractNumId w:val="12"/>
  </w:num>
  <w:num w:numId="12">
    <w:abstractNumId w:val="16"/>
  </w:num>
  <w:num w:numId="13">
    <w:abstractNumId w:val="9"/>
  </w:num>
  <w:num w:numId="14">
    <w:abstractNumId w:val="4"/>
  </w:num>
  <w:num w:numId="15">
    <w:abstractNumId w:val="15"/>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318"/>
    <w:rsid w:val="00024DE5"/>
    <w:rsid w:val="0002796A"/>
    <w:rsid w:val="000302F9"/>
    <w:rsid w:val="00037634"/>
    <w:rsid w:val="00051359"/>
    <w:rsid w:val="00055A0B"/>
    <w:rsid w:val="00071662"/>
    <w:rsid w:val="0007541A"/>
    <w:rsid w:val="00093573"/>
    <w:rsid w:val="000961FB"/>
    <w:rsid w:val="000B620B"/>
    <w:rsid w:val="000F2B3F"/>
    <w:rsid w:val="00107269"/>
    <w:rsid w:val="0013127D"/>
    <w:rsid w:val="00151365"/>
    <w:rsid w:val="001856AA"/>
    <w:rsid w:val="0019056A"/>
    <w:rsid w:val="0019677B"/>
    <w:rsid w:val="001B53AD"/>
    <w:rsid w:val="001B73C4"/>
    <w:rsid w:val="001C0291"/>
    <w:rsid w:val="001E218E"/>
    <w:rsid w:val="001F06FD"/>
    <w:rsid w:val="001F3896"/>
    <w:rsid w:val="001F38B2"/>
    <w:rsid w:val="002000E2"/>
    <w:rsid w:val="00206965"/>
    <w:rsid w:val="00215EB4"/>
    <w:rsid w:val="002212DB"/>
    <w:rsid w:val="00245CFA"/>
    <w:rsid w:val="00257944"/>
    <w:rsid w:val="00266879"/>
    <w:rsid w:val="00275243"/>
    <w:rsid w:val="002914DB"/>
    <w:rsid w:val="002A1DC9"/>
    <w:rsid w:val="002C2709"/>
    <w:rsid w:val="002E6BB6"/>
    <w:rsid w:val="002F1C98"/>
    <w:rsid w:val="00300528"/>
    <w:rsid w:val="003030D6"/>
    <w:rsid w:val="00311677"/>
    <w:rsid w:val="003227A5"/>
    <w:rsid w:val="0033528C"/>
    <w:rsid w:val="00343A21"/>
    <w:rsid w:val="0035137B"/>
    <w:rsid w:val="00357297"/>
    <w:rsid w:val="0036311E"/>
    <w:rsid w:val="003640DE"/>
    <w:rsid w:val="003829E4"/>
    <w:rsid w:val="003A1F2F"/>
    <w:rsid w:val="003A20F5"/>
    <w:rsid w:val="003B79B8"/>
    <w:rsid w:val="003D02A3"/>
    <w:rsid w:val="003F207F"/>
    <w:rsid w:val="0040282B"/>
    <w:rsid w:val="00406C21"/>
    <w:rsid w:val="00414F28"/>
    <w:rsid w:val="004401A0"/>
    <w:rsid w:val="004520D8"/>
    <w:rsid w:val="00463131"/>
    <w:rsid w:val="00486D33"/>
    <w:rsid w:val="004927AB"/>
    <w:rsid w:val="004C1EE4"/>
    <w:rsid w:val="004C5DDB"/>
    <w:rsid w:val="004E0E39"/>
    <w:rsid w:val="004E5AFE"/>
    <w:rsid w:val="0050146F"/>
    <w:rsid w:val="0050675A"/>
    <w:rsid w:val="00522BA5"/>
    <w:rsid w:val="005376A2"/>
    <w:rsid w:val="00554841"/>
    <w:rsid w:val="005548C9"/>
    <w:rsid w:val="00563E7C"/>
    <w:rsid w:val="00565634"/>
    <w:rsid w:val="0058108B"/>
    <w:rsid w:val="005C39AF"/>
    <w:rsid w:val="005E00B5"/>
    <w:rsid w:val="005E3F94"/>
    <w:rsid w:val="005F5360"/>
    <w:rsid w:val="006063E3"/>
    <w:rsid w:val="006236E6"/>
    <w:rsid w:val="00635770"/>
    <w:rsid w:val="00640AF3"/>
    <w:rsid w:val="00641F8F"/>
    <w:rsid w:val="00642AB6"/>
    <w:rsid w:val="00646D17"/>
    <w:rsid w:val="0066325B"/>
    <w:rsid w:val="00676B5A"/>
    <w:rsid w:val="0069531D"/>
    <w:rsid w:val="006A2522"/>
    <w:rsid w:val="006B2008"/>
    <w:rsid w:val="006B3B6D"/>
    <w:rsid w:val="006F02C5"/>
    <w:rsid w:val="006F2162"/>
    <w:rsid w:val="00705854"/>
    <w:rsid w:val="0072565C"/>
    <w:rsid w:val="00733603"/>
    <w:rsid w:val="00781A01"/>
    <w:rsid w:val="007844BC"/>
    <w:rsid w:val="007916EA"/>
    <w:rsid w:val="007B45E2"/>
    <w:rsid w:val="00802EA2"/>
    <w:rsid w:val="00814719"/>
    <w:rsid w:val="00825E29"/>
    <w:rsid w:val="008425D0"/>
    <w:rsid w:val="00845452"/>
    <w:rsid w:val="0086425D"/>
    <w:rsid w:val="008809F6"/>
    <w:rsid w:val="0089063C"/>
    <w:rsid w:val="00890C2A"/>
    <w:rsid w:val="008A2FDF"/>
    <w:rsid w:val="008C3F5B"/>
    <w:rsid w:val="008C6CF3"/>
    <w:rsid w:val="009003AF"/>
    <w:rsid w:val="00905858"/>
    <w:rsid w:val="009642E5"/>
    <w:rsid w:val="0097123C"/>
    <w:rsid w:val="009A0FF5"/>
    <w:rsid w:val="009B127A"/>
    <w:rsid w:val="009B212B"/>
    <w:rsid w:val="009D441E"/>
    <w:rsid w:val="009D67AE"/>
    <w:rsid w:val="009E4BA4"/>
    <w:rsid w:val="009F3AAC"/>
    <w:rsid w:val="00A05ACD"/>
    <w:rsid w:val="00A1343A"/>
    <w:rsid w:val="00A23470"/>
    <w:rsid w:val="00A273E2"/>
    <w:rsid w:val="00A53245"/>
    <w:rsid w:val="00A5464D"/>
    <w:rsid w:val="00A60666"/>
    <w:rsid w:val="00AA6318"/>
    <w:rsid w:val="00AB7FA4"/>
    <w:rsid w:val="00AD320D"/>
    <w:rsid w:val="00AF70C8"/>
    <w:rsid w:val="00B12D35"/>
    <w:rsid w:val="00B4612D"/>
    <w:rsid w:val="00B643E3"/>
    <w:rsid w:val="00B76268"/>
    <w:rsid w:val="00B8742E"/>
    <w:rsid w:val="00B95529"/>
    <w:rsid w:val="00BB71E9"/>
    <w:rsid w:val="00BC1E21"/>
    <w:rsid w:val="00BE26B6"/>
    <w:rsid w:val="00BE6A3C"/>
    <w:rsid w:val="00C02C43"/>
    <w:rsid w:val="00C048DA"/>
    <w:rsid w:val="00C26D89"/>
    <w:rsid w:val="00C3513E"/>
    <w:rsid w:val="00C4798D"/>
    <w:rsid w:val="00C67E4A"/>
    <w:rsid w:val="00C82ACD"/>
    <w:rsid w:val="00C9376F"/>
    <w:rsid w:val="00C93D63"/>
    <w:rsid w:val="00C97146"/>
    <w:rsid w:val="00CA1D2E"/>
    <w:rsid w:val="00CB4540"/>
    <w:rsid w:val="00CC111A"/>
    <w:rsid w:val="00CC70EF"/>
    <w:rsid w:val="00CE1F19"/>
    <w:rsid w:val="00D051AE"/>
    <w:rsid w:val="00D109B2"/>
    <w:rsid w:val="00D172D8"/>
    <w:rsid w:val="00D2517D"/>
    <w:rsid w:val="00D81F5E"/>
    <w:rsid w:val="00D85DA8"/>
    <w:rsid w:val="00D947CB"/>
    <w:rsid w:val="00D957D7"/>
    <w:rsid w:val="00DC6B4F"/>
    <w:rsid w:val="00DE50F5"/>
    <w:rsid w:val="00E145B8"/>
    <w:rsid w:val="00E317CE"/>
    <w:rsid w:val="00E35336"/>
    <w:rsid w:val="00E5509D"/>
    <w:rsid w:val="00E83653"/>
    <w:rsid w:val="00EB129F"/>
    <w:rsid w:val="00EC7475"/>
    <w:rsid w:val="00ED277E"/>
    <w:rsid w:val="00EF488A"/>
    <w:rsid w:val="00F02766"/>
    <w:rsid w:val="00F16002"/>
    <w:rsid w:val="00F53159"/>
    <w:rsid w:val="00F63DFE"/>
    <w:rsid w:val="00F84905"/>
    <w:rsid w:val="00F92BC6"/>
    <w:rsid w:val="00F977D1"/>
    <w:rsid w:val="00FA5D3E"/>
    <w:rsid w:val="00FB1EAD"/>
    <w:rsid w:val="00FC7D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2D7D3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742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42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8742E"/>
    <w:pPr>
      <w:ind w:left="720"/>
      <w:contextualSpacing/>
    </w:pPr>
  </w:style>
  <w:style w:type="paragraph" w:styleId="BalloonText">
    <w:name w:val="Balloon Text"/>
    <w:basedOn w:val="Normal"/>
    <w:link w:val="BalloonTextChar"/>
    <w:uiPriority w:val="99"/>
    <w:semiHidden/>
    <w:unhideWhenUsed/>
    <w:rsid w:val="00F02766"/>
    <w:rPr>
      <w:rFonts w:ascii="Tahoma" w:hAnsi="Tahoma" w:cs="Tahoma"/>
      <w:sz w:val="16"/>
      <w:szCs w:val="16"/>
    </w:rPr>
  </w:style>
  <w:style w:type="character" w:customStyle="1" w:styleId="BalloonTextChar">
    <w:name w:val="Balloon Text Char"/>
    <w:basedOn w:val="DefaultParagraphFont"/>
    <w:link w:val="BalloonText"/>
    <w:uiPriority w:val="99"/>
    <w:semiHidden/>
    <w:rsid w:val="00F02766"/>
    <w:rPr>
      <w:rFonts w:ascii="Tahoma" w:hAnsi="Tahoma" w:cs="Tahoma"/>
      <w:sz w:val="16"/>
      <w:szCs w:val="16"/>
    </w:rPr>
  </w:style>
  <w:style w:type="character" w:styleId="CommentReference">
    <w:name w:val="annotation reference"/>
    <w:basedOn w:val="DefaultParagraphFont"/>
    <w:uiPriority w:val="99"/>
    <w:semiHidden/>
    <w:unhideWhenUsed/>
    <w:rsid w:val="00F02766"/>
    <w:rPr>
      <w:sz w:val="16"/>
      <w:szCs w:val="16"/>
    </w:rPr>
  </w:style>
  <w:style w:type="paragraph" w:styleId="CommentText">
    <w:name w:val="annotation text"/>
    <w:basedOn w:val="Normal"/>
    <w:link w:val="CommentTextChar"/>
    <w:uiPriority w:val="99"/>
    <w:semiHidden/>
    <w:unhideWhenUsed/>
    <w:rsid w:val="00F02766"/>
    <w:rPr>
      <w:sz w:val="20"/>
      <w:szCs w:val="20"/>
    </w:rPr>
  </w:style>
  <w:style w:type="character" w:customStyle="1" w:styleId="CommentTextChar">
    <w:name w:val="Comment Text Char"/>
    <w:basedOn w:val="DefaultParagraphFont"/>
    <w:link w:val="CommentText"/>
    <w:uiPriority w:val="99"/>
    <w:semiHidden/>
    <w:rsid w:val="00F02766"/>
    <w:rPr>
      <w:sz w:val="20"/>
      <w:szCs w:val="20"/>
    </w:rPr>
  </w:style>
  <w:style w:type="paragraph" w:styleId="CommentSubject">
    <w:name w:val="annotation subject"/>
    <w:basedOn w:val="CommentText"/>
    <w:next w:val="CommentText"/>
    <w:link w:val="CommentSubjectChar"/>
    <w:uiPriority w:val="99"/>
    <w:semiHidden/>
    <w:unhideWhenUsed/>
    <w:rsid w:val="00F02766"/>
    <w:rPr>
      <w:b/>
      <w:bCs/>
    </w:rPr>
  </w:style>
  <w:style w:type="character" w:customStyle="1" w:styleId="CommentSubjectChar">
    <w:name w:val="Comment Subject Char"/>
    <w:basedOn w:val="CommentTextChar"/>
    <w:link w:val="CommentSubject"/>
    <w:uiPriority w:val="99"/>
    <w:semiHidden/>
    <w:rsid w:val="00F02766"/>
    <w:rPr>
      <w:b/>
      <w:bCs/>
      <w:sz w:val="20"/>
      <w:szCs w:val="20"/>
    </w:rPr>
  </w:style>
  <w:style w:type="character" w:styleId="Hyperlink">
    <w:name w:val="Hyperlink"/>
    <w:basedOn w:val="DefaultParagraphFont"/>
    <w:uiPriority w:val="99"/>
    <w:unhideWhenUsed/>
    <w:rsid w:val="002A1DC9"/>
    <w:rPr>
      <w:color w:val="0563C1" w:themeColor="hyperlink"/>
      <w:u w:val="single"/>
    </w:rPr>
  </w:style>
  <w:style w:type="character" w:styleId="FollowedHyperlink">
    <w:name w:val="FollowedHyperlink"/>
    <w:basedOn w:val="DefaultParagraphFont"/>
    <w:uiPriority w:val="99"/>
    <w:semiHidden/>
    <w:unhideWhenUsed/>
    <w:rsid w:val="002A1DC9"/>
    <w:rPr>
      <w:color w:val="954F72" w:themeColor="followedHyperlink"/>
      <w:u w:val="single"/>
    </w:rPr>
  </w:style>
  <w:style w:type="character" w:styleId="UnresolvedMention">
    <w:name w:val="Unresolved Mention"/>
    <w:basedOn w:val="DefaultParagraphFont"/>
    <w:uiPriority w:val="99"/>
    <w:rsid w:val="00705854"/>
    <w:rPr>
      <w:color w:val="605E5C"/>
      <w:shd w:val="clear" w:color="auto" w:fill="E1DFDD"/>
    </w:rPr>
  </w:style>
  <w:style w:type="paragraph" w:styleId="Header">
    <w:name w:val="header"/>
    <w:basedOn w:val="Normal"/>
    <w:link w:val="HeaderChar"/>
    <w:uiPriority w:val="99"/>
    <w:unhideWhenUsed/>
    <w:rsid w:val="00EB129F"/>
    <w:pPr>
      <w:tabs>
        <w:tab w:val="center" w:pos="4680"/>
        <w:tab w:val="right" w:pos="9360"/>
      </w:tabs>
    </w:pPr>
  </w:style>
  <w:style w:type="character" w:customStyle="1" w:styleId="HeaderChar">
    <w:name w:val="Header Char"/>
    <w:basedOn w:val="DefaultParagraphFont"/>
    <w:link w:val="Header"/>
    <w:uiPriority w:val="99"/>
    <w:rsid w:val="00EB129F"/>
  </w:style>
  <w:style w:type="paragraph" w:styleId="Footer">
    <w:name w:val="footer"/>
    <w:basedOn w:val="Normal"/>
    <w:link w:val="FooterChar"/>
    <w:uiPriority w:val="99"/>
    <w:unhideWhenUsed/>
    <w:rsid w:val="00EB129F"/>
    <w:pPr>
      <w:tabs>
        <w:tab w:val="center" w:pos="4680"/>
        <w:tab w:val="right" w:pos="9360"/>
      </w:tabs>
    </w:pPr>
  </w:style>
  <w:style w:type="character" w:customStyle="1" w:styleId="FooterChar">
    <w:name w:val="Footer Char"/>
    <w:basedOn w:val="DefaultParagraphFont"/>
    <w:link w:val="Footer"/>
    <w:uiPriority w:val="99"/>
    <w:rsid w:val="00EB129F"/>
  </w:style>
  <w:style w:type="table" w:styleId="TableGrid">
    <w:name w:val="Table Grid"/>
    <w:basedOn w:val="TableNormal"/>
    <w:uiPriority w:val="39"/>
    <w:rsid w:val="00452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84727">
      <w:bodyDiv w:val="1"/>
      <w:marLeft w:val="0"/>
      <w:marRight w:val="0"/>
      <w:marTop w:val="0"/>
      <w:marBottom w:val="0"/>
      <w:divBdr>
        <w:top w:val="none" w:sz="0" w:space="0" w:color="auto"/>
        <w:left w:val="none" w:sz="0" w:space="0" w:color="auto"/>
        <w:bottom w:val="none" w:sz="0" w:space="0" w:color="auto"/>
        <w:right w:val="none" w:sz="0" w:space="0" w:color="auto"/>
      </w:divBdr>
    </w:div>
    <w:div w:id="254285379">
      <w:bodyDiv w:val="1"/>
      <w:marLeft w:val="0"/>
      <w:marRight w:val="0"/>
      <w:marTop w:val="0"/>
      <w:marBottom w:val="0"/>
      <w:divBdr>
        <w:top w:val="none" w:sz="0" w:space="0" w:color="auto"/>
        <w:left w:val="none" w:sz="0" w:space="0" w:color="auto"/>
        <w:bottom w:val="none" w:sz="0" w:space="0" w:color="auto"/>
        <w:right w:val="none" w:sz="0" w:space="0" w:color="auto"/>
      </w:divBdr>
    </w:div>
    <w:div w:id="915284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5</Pages>
  <Words>1046</Words>
  <Characters>5968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Kornak</dc:creator>
  <cp:lastModifiedBy>Scheffler, Aaron</cp:lastModifiedBy>
  <cp:revision>19</cp:revision>
  <cp:lastPrinted>2019-08-16T19:44:00Z</cp:lastPrinted>
  <dcterms:created xsi:type="dcterms:W3CDTF">2020-08-27T15:10:00Z</dcterms:created>
  <dcterms:modified xsi:type="dcterms:W3CDTF">2021-08-19T15:33:00Z</dcterms:modified>
</cp:coreProperties>
</file>