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69D4B" w14:textId="28D5F1B5" w:rsidR="00696478" w:rsidRDefault="004F02E5" w:rsidP="00B52CF4">
      <w:r w:rsidRPr="00B52CF4">
        <w:t>Chapter 1</w:t>
      </w:r>
      <w:r w:rsidR="00BC262E">
        <w:t>9</w:t>
      </w:r>
    </w:p>
    <w:p w14:paraId="476D2C13" w14:textId="32A68459" w:rsidR="00696478" w:rsidRDefault="004F02E5" w:rsidP="00493427">
      <w:r w:rsidRPr="00493427">
        <w:t>&lt;TITLE&gt; Data Management</w:t>
      </w:r>
    </w:p>
    <w:p w14:paraId="4240A8F9" w14:textId="77777777" w:rsidR="00696478" w:rsidRDefault="004F02E5" w:rsidP="00493427">
      <w:r w:rsidRPr="00493427">
        <w:t>Michael A. Kohn</w:t>
      </w:r>
    </w:p>
    <w:p w14:paraId="459F2AA7" w14:textId="5145B619" w:rsidR="00696478" w:rsidRPr="00493427" w:rsidRDefault="004F02E5" w:rsidP="00493427">
      <w:r w:rsidRPr="00493427">
        <w:t>Thomas B. Newman</w:t>
      </w:r>
    </w:p>
    <w:p w14:paraId="7A67CAEC" w14:textId="77777777" w:rsidR="003F1E2F" w:rsidRDefault="003F1E2F" w:rsidP="00493427"/>
    <w:p w14:paraId="1A9AF5B3" w14:textId="77777777" w:rsidR="00696478" w:rsidRDefault="004F02E5" w:rsidP="003A36D0">
      <w:pPr>
        <w:pStyle w:val="Heading1"/>
      </w:pPr>
      <w:r>
        <w:rPr>
          <w:rFonts w:ascii="Times New Roman" w:hAnsi="Times New Roman"/>
          <w:sz w:val="24"/>
        </w:rPr>
        <w:t>&lt;H1&gt;Introduction</w:t>
      </w:r>
    </w:p>
    <w:p w14:paraId="327E92BC" w14:textId="0F6DA0C1" w:rsidR="00BF2BA0" w:rsidRPr="00493427" w:rsidRDefault="00C74508" w:rsidP="00493427">
      <w:r>
        <w:t>U</w:t>
      </w:r>
      <w:r w:rsidR="004F02E5" w:rsidRPr="00493427">
        <w:t xml:space="preserve">ndertaking a clinical research project requires choosing a study design, defining the </w:t>
      </w:r>
      <w:r>
        <w:t xml:space="preserve">target </w:t>
      </w:r>
      <w:r w:rsidR="004F02E5" w:rsidRPr="00493427">
        <w:t xml:space="preserve">population, and specifying the predictor and outcome variables. Ultimately, most information about the </w:t>
      </w:r>
      <w:r>
        <w:t>participant</w:t>
      </w:r>
      <w:r w:rsidR="004F02E5" w:rsidRPr="00493427">
        <w:t xml:space="preserve">s and variables will reside in a </w:t>
      </w:r>
      <w:r w:rsidR="004F02E5" w:rsidRPr="006A6CC1">
        <w:rPr>
          <w:rStyle w:val="red"/>
          <w:iCs/>
          <w:color w:val="000000" w:themeColor="text1"/>
        </w:rPr>
        <w:t>database</w:t>
      </w:r>
      <w:r w:rsidR="008F625F">
        <w:rPr>
          <w:rStyle w:val="red"/>
        </w:rPr>
        <w:t xml:space="preserve"> </w:t>
      </w:r>
      <w:r w:rsidR="004F02E5" w:rsidRPr="00493427">
        <w:t xml:space="preserve">that will be used to store, update, and monitor the data, as well as format </w:t>
      </w:r>
      <w:r w:rsidR="008F4B23">
        <w:t>it</w:t>
      </w:r>
      <w:r w:rsidR="004F02E5" w:rsidRPr="00493427">
        <w:t xml:space="preserve"> for statistical analysis. </w:t>
      </w:r>
      <w:r w:rsidR="00BF2BA0" w:rsidRPr="00493427">
        <w:t xml:space="preserve">The study database may also store </w:t>
      </w:r>
      <w:r w:rsidR="00BF2BA0" w:rsidRPr="006A6CC1">
        <w:rPr>
          <w:rStyle w:val="red"/>
          <w:iCs/>
          <w:color w:val="000000" w:themeColor="text1"/>
        </w:rPr>
        <w:t>administrative data</w:t>
      </w:r>
      <w:r w:rsidR="00BF2BA0" w:rsidRPr="00C74508">
        <w:rPr>
          <w:rStyle w:val="red"/>
          <w:iCs/>
          <w:color w:val="000000" w:themeColor="text1"/>
        </w:rPr>
        <w:t>,</w:t>
      </w:r>
      <w:r w:rsidR="00BF2BA0">
        <w:rPr>
          <w:rStyle w:val="red"/>
        </w:rPr>
        <w:t xml:space="preserve"> </w:t>
      </w:r>
      <w:r w:rsidR="00BF2BA0" w:rsidRPr="00493427">
        <w:t xml:space="preserve">such as call logs, visit schedules, and reimbursement records.  </w:t>
      </w:r>
    </w:p>
    <w:p w14:paraId="7C69E903" w14:textId="77777777" w:rsidR="00A606CB" w:rsidRPr="00493427" w:rsidRDefault="00A606CB" w:rsidP="00493427"/>
    <w:p w14:paraId="573B5A95" w14:textId="180177ED" w:rsidR="00DB2E0C" w:rsidRPr="00493427" w:rsidRDefault="00BF2BA0" w:rsidP="00493427">
      <w:r w:rsidRPr="00493427">
        <w:t xml:space="preserve">In </w:t>
      </w:r>
      <w:r w:rsidR="00C74508">
        <w:t>many</w:t>
      </w:r>
      <w:r w:rsidR="00C74508" w:rsidRPr="00493427">
        <w:t xml:space="preserve"> </w:t>
      </w:r>
      <w:r w:rsidRPr="00493427">
        <w:t xml:space="preserve">clinical trials, especially </w:t>
      </w:r>
      <w:r w:rsidR="00C74508">
        <w:t>those</w:t>
      </w:r>
      <w:r w:rsidR="00C74508" w:rsidRPr="00493427">
        <w:t xml:space="preserve"> </w:t>
      </w:r>
      <w:r w:rsidRPr="00493427">
        <w:t xml:space="preserve">preparatory to application for regulatory approval of a drug or device, the specialists who create data entry forms, manage and monitor the data collection process, and format and extract the data for analysis are referred to as </w:t>
      </w:r>
      <w:r w:rsidRPr="008F625F">
        <w:rPr>
          <w:rStyle w:val="red"/>
        </w:rPr>
        <w:t>clinical data managers</w:t>
      </w:r>
      <w:r>
        <w:rPr>
          <w:rStyle w:val="red"/>
        </w:rPr>
        <w:t xml:space="preserve"> </w:t>
      </w:r>
      <w:r w:rsidRPr="00493427">
        <w:t xml:space="preserve">(1). </w:t>
      </w:r>
      <w:r w:rsidR="00C74508">
        <w:t>P</w:t>
      </w:r>
      <w:r w:rsidRPr="00493427">
        <w:t xml:space="preserve">harmaceutical companies devote </w:t>
      </w:r>
      <w:r w:rsidR="00C74508">
        <w:t>substantial</w:t>
      </w:r>
      <w:r w:rsidR="00C74508" w:rsidRPr="00493427">
        <w:t xml:space="preserve"> </w:t>
      </w:r>
      <w:r w:rsidRPr="00493427">
        <w:t xml:space="preserve">resources and personnel to clinical data management. Although the scale is smaller, beginning investigators also need to attend to data management issues. After all, </w:t>
      </w:r>
      <w:r w:rsidR="00DB2E0C" w:rsidRPr="00493427">
        <w:t xml:space="preserve">the conclusions of </w:t>
      </w:r>
      <w:r w:rsidRPr="00493427">
        <w:t xml:space="preserve">a </w:t>
      </w:r>
      <w:r w:rsidR="00DB2E0C" w:rsidRPr="00493427">
        <w:t>stud</w:t>
      </w:r>
      <w:r w:rsidRPr="00493427">
        <w:t>y</w:t>
      </w:r>
      <w:r w:rsidR="00DB2E0C" w:rsidRPr="00493427">
        <w:t xml:space="preserve"> depend</w:t>
      </w:r>
      <w:r w:rsidR="00FA7596">
        <w:t xml:space="preserve"> </w:t>
      </w:r>
      <w:r w:rsidR="00DB2E0C" w:rsidRPr="00493427">
        <w:t>on the accuracy, completeness, and security of the study data.</w:t>
      </w:r>
    </w:p>
    <w:p w14:paraId="310450B8" w14:textId="77777777" w:rsidR="00A606CB" w:rsidRPr="00493427" w:rsidRDefault="00A606CB" w:rsidP="00493427"/>
    <w:p w14:paraId="6FF3231B" w14:textId="7606C409" w:rsidR="00696478" w:rsidRPr="00C74508" w:rsidRDefault="007854EC" w:rsidP="00493427">
      <w:r>
        <w:t>A s</w:t>
      </w:r>
      <w:r w:rsidR="004F02E5">
        <w:t>imple</w:t>
      </w:r>
      <w:r w:rsidR="004F02E5" w:rsidRPr="00493427">
        <w:t xml:space="preserve"> study </w:t>
      </w:r>
      <w:r w:rsidR="004F02E5">
        <w:t>database</w:t>
      </w:r>
      <w:r w:rsidR="004F02E5" w:rsidRPr="00493427">
        <w:t xml:space="preserve"> consisting of </w:t>
      </w:r>
      <w:r>
        <w:t>a single</w:t>
      </w:r>
      <w:r w:rsidRPr="00493427">
        <w:t xml:space="preserve"> </w:t>
      </w:r>
      <w:r w:rsidR="004F02E5" w:rsidRPr="00493427">
        <w:t xml:space="preserve">data </w:t>
      </w:r>
      <w:r w:rsidR="004F02E5">
        <w:t>table</w:t>
      </w:r>
      <w:r w:rsidR="004F02E5" w:rsidRPr="00493427">
        <w:t xml:space="preserve"> can be maintained using</w:t>
      </w:r>
      <w:r w:rsidR="008F625F" w:rsidRPr="00493427">
        <w:t xml:space="preserve"> </w:t>
      </w:r>
      <w:r w:rsidR="00FE7850">
        <w:t xml:space="preserve">a </w:t>
      </w:r>
      <w:r w:rsidR="004F02E5" w:rsidRPr="006A6CC1">
        <w:rPr>
          <w:rStyle w:val="red"/>
          <w:color w:val="auto"/>
        </w:rPr>
        <w:t>spreadsheet</w:t>
      </w:r>
      <w:r w:rsidR="004F02E5" w:rsidRPr="00C74508">
        <w:t xml:space="preserve"> </w:t>
      </w:r>
      <w:r w:rsidR="004F02E5" w:rsidRPr="00493427">
        <w:t xml:space="preserve">or </w:t>
      </w:r>
      <w:r w:rsidR="004F02E5" w:rsidRPr="00C74508">
        <w:rPr>
          <w:rStyle w:val="red"/>
        </w:rPr>
        <w:t xml:space="preserve">statistical </w:t>
      </w:r>
      <w:r w:rsidR="00FE7850" w:rsidRPr="00C74508">
        <w:rPr>
          <w:rStyle w:val="red"/>
        </w:rPr>
        <w:t>program</w:t>
      </w:r>
      <w:r w:rsidR="004F02E5" w:rsidRPr="00646BEE">
        <w:rPr>
          <w:rStyle w:val="red"/>
        </w:rPr>
        <w:t>.</w:t>
      </w:r>
      <w:r w:rsidR="004F02E5" w:rsidRPr="00493427">
        <w:t xml:space="preserve"> More complex databases </w:t>
      </w:r>
      <w:r w:rsidR="00C74508">
        <w:t>use</w:t>
      </w:r>
      <w:r w:rsidR="00C74508" w:rsidRPr="00493427">
        <w:t xml:space="preserve"> </w:t>
      </w:r>
      <w:r w:rsidR="004F02E5" w:rsidRPr="00DD3DDB">
        <w:rPr>
          <w:rStyle w:val="red"/>
        </w:rPr>
        <w:t>database management software</w:t>
      </w:r>
      <w:r w:rsidR="004F02E5" w:rsidRPr="005D2DCD">
        <w:rPr>
          <w:color w:val="FF0000"/>
        </w:rPr>
        <w:t xml:space="preserve"> </w:t>
      </w:r>
      <w:r w:rsidR="00C74508">
        <w:t xml:space="preserve">to </w:t>
      </w:r>
      <w:r w:rsidR="004F02E5" w:rsidRPr="00493427">
        <w:t>defin</w:t>
      </w:r>
      <w:r w:rsidR="00FA7596">
        <w:t>e</w:t>
      </w:r>
      <w:r w:rsidR="004F02E5" w:rsidRPr="00493427">
        <w:t xml:space="preserve"> the</w:t>
      </w:r>
      <w:r w:rsidR="008F625F" w:rsidRPr="00493427">
        <w:t xml:space="preserve"> </w:t>
      </w:r>
      <w:r w:rsidR="004F02E5" w:rsidRPr="008F625F">
        <w:rPr>
          <w:rStyle w:val="red"/>
        </w:rPr>
        <w:t>data tabl</w:t>
      </w:r>
      <w:r w:rsidR="004F02E5" w:rsidRPr="00DD3DDB">
        <w:rPr>
          <w:rStyle w:val="red"/>
        </w:rPr>
        <w:t>e</w:t>
      </w:r>
      <w:r w:rsidR="00C74508" w:rsidRPr="006A6CC1">
        <w:rPr>
          <w:color w:val="FF0000"/>
        </w:rPr>
        <w:t>s</w:t>
      </w:r>
      <w:r w:rsidR="00C74508">
        <w:t xml:space="preserve">, </w:t>
      </w:r>
      <w:r w:rsidR="004F02E5" w:rsidRPr="00493427">
        <w:t>develop</w:t>
      </w:r>
      <w:r w:rsidR="00FA7596">
        <w:t xml:space="preserve"> </w:t>
      </w:r>
      <w:r w:rsidR="004F02E5" w:rsidRPr="00493427">
        <w:t>the</w:t>
      </w:r>
      <w:r w:rsidR="008F625F" w:rsidRPr="00493427">
        <w:t xml:space="preserve"> </w:t>
      </w:r>
      <w:r w:rsidR="004F02E5" w:rsidRPr="00DD3DDB">
        <w:rPr>
          <w:rStyle w:val="red"/>
        </w:rPr>
        <w:t>data entry</w:t>
      </w:r>
      <w:r w:rsidR="008F625F" w:rsidRPr="00DD3DDB">
        <w:rPr>
          <w:rStyle w:val="red"/>
        </w:rPr>
        <w:t xml:space="preserve"> </w:t>
      </w:r>
      <w:r w:rsidR="004F02E5" w:rsidRPr="00DD3DDB">
        <w:rPr>
          <w:rStyle w:val="red"/>
        </w:rPr>
        <w:t>system</w:t>
      </w:r>
      <w:r w:rsidR="004F02E5" w:rsidRPr="00646BEE">
        <w:rPr>
          <w:rStyle w:val="red"/>
        </w:rPr>
        <w:t>,</w:t>
      </w:r>
      <w:r w:rsidR="004F02E5" w:rsidRPr="00493427">
        <w:t xml:space="preserve"> </w:t>
      </w:r>
      <w:r w:rsidR="004F02E5" w:rsidRPr="00C74508">
        <w:t>and</w:t>
      </w:r>
      <w:r w:rsidR="008F625F" w:rsidRPr="00C74508">
        <w:t xml:space="preserve"> </w:t>
      </w:r>
      <w:r w:rsidR="00DD3DDB">
        <w:t xml:space="preserve">monitor </w:t>
      </w:r>
      <w:r w:rsidR="004F02E5" w:rsidRPr="00C74508">
        <w:t>the data.</w:t>
      </w:r>
      <w:r w:rsidR="008F625F" w:rsidRPr="00C74508">
        <w:rPr>
          <w:rStyle w:val="red"/>
        </w:rPr>
        <w:t xml:space="preserve"> </w:t>
      </w:r>
    </w:p>
    <w:p w14:paraId="5D96ACE8" w14:textId="77777777" w:rsidR="00696478" w:rsidRDefault="004F02E5" w:rsidP="00766FA8">
      <w:pPr>
        <w:pStyle w:val="Heading1"/>
      </w:pPr>
      <w:r>
        <w:rPr>
          <w:rFonts w:ascii="Times New Roman" w:hAnsi="Times New Roman"/>
          <w:sz w:val="24"/>
        </w:rPr>
        <w:t>&lt;H1&gt;Data Tables</w:t>
      </w:r>
    </w:p>
    <w:p w14:paraId="787421E9" w14:textId="26B672BE" w:rsidR="00696478" w:rsidRDefault="004F02E5" w:rsidP="00493427">
      <w:r w:rsidRPr="00493427">
        <w:t xml:space="preserve">All computer databases consist of data tables </w:t>
      </w:r>
      <w:r w:rsidR="00DD3DDB">
        <w:t>with</w:t>
      </w:r>
      <w:r w:rsidR="008F625F" w:rsidRPr="00493427">
        <w:t xml:space="preserve"> </w:t>
      </w:r>
      <w:r w:rsidRPr="006A6CC1">
        <w:rPr>
          <w:rStyle w:val="red"/>
          <w:iCs/>
          <w:color w:val="000000" w:themeColor="text1"/>
        </w:rPr>
        <w:t>rows</w:t>
      </w:r>
      <w:r w:rsidR="00DD3DDB">
        <w:rPr>
          <w:rStyle w:val="red"/>
          <w:iCs/>
          <w:color w:val="000000" w:themeColor="text1"/>
        </w:rPr>
        <w:t xml:space="preserve"> that</w:t>
      </w:r>
      <w:r w:rsidR="008F625F" w:rsidRPr="00646BEE">
        <w:rPr>
          <w:rStyle w:val="red"/>
          <w:i/>
          <w:color w:val="000000" w:themeColor="text1"/>
        </w:rPr>
        <w:t xml:space="preserve"> </w:t>
      </w:r>
      <w:r w:rsidRPr="00493427">
        <w:t>correspond to individual</w:t>
      </w:r>
      <w:r w:rsidR="008F625F" w:rsidRPr="00493427">
        <w:t xml:space="preserve"> </w:t>
      </w:r>
      <w:r w:rsidRPr="00646BEE">
        <w:rPr>
          <w:rStyle w:val="red"/>
          <w:i/>
          <w:color w:val="000000" w:themeColor="text1"/>
        </w:rPr>
        <w:t>records</w:t>
      </w:r>
      <w:r w:rsidR="008F625F">
        <w:rPr>
          <w:rStyle w:val="red"/>
        </w:rPr>
        <w:t xml:space="preserve"> </w:t>
      </w:r>
      <w:r w:rsidRPr="00493427">
        <w:t xml:space="preserve">(which may represent </w:t>
      </w:r>
      <w:r w:rsidR="00C74508">
        <w:t>participant</w:t>
      </w:r>
      <w:r w:rsidRPr="00493427">
        <w:t xml:space="preserve">s, events, or transactions) and </w:t>
      </w:r>
      <w:r w:rsidRPr="006A6CC1">
        <w:rPr>
          <w:rStyle w:val="red"/>
          <w:iCs/>
          <w:color w:val="000000" w:themeColor="text1"/>
        </w:rPr>
        <w:t>columns</w:t>
      </w:r>
      <w:r w:rsidRPr="00646BEE">
        <w:rPr>
          <w:rStyle w:val="red"/>
          <w:i/>
          <w:color w:val="000000" w:themeColor="text1"/>
        </w:rPr>
        <w:t xml:space="preserve"> </w:t>
      </w:r>
      <w:r w:rsidR="00DD3DDB" w:rsidRPr="006A6CC1">
        <w:rPr>
          <w:rStyle w:val="red"/>
          <w:iCs/>
          <w:color w:val="000000" w:themeColor="text1"/>
        </w:rPr>
        <w:t>that</w:t>
      </w:r>
      <w:r w:rsidR="00DD3DDB">
        <w:rPr>
          <w:rStyle w:val="red"/>
          <w:i/>
          <w:color w:val="000000" w:themeColor="text1"/>
        </w:rPr>
        <w:t xml:space="preserve"> </w:t>
      </w:r>
      <w:r w:rsidRPr="00493427">
        <w:t xml:space="preserve">correspond to </w:t>
      </w:r>
      <w:r w:rsidRPr="00646BEE">
        <w:rPr>
          <w:rStyle w:val="red"/>
          <w:i/>
          <w:color w:val="000000" w:themeColor="text1"/>
        </w:rPr>
        <w:t>fields</w:t>
      </w:r>
      <w:r w:rsidR="008F625F">
        <w:rPr>
          <w:rStyle w:val="red"/>
        </w:rPr>
        <w:t xml:space="preserve"> </w:t>
      </w:r>
      <w:r w:rsidRPr="00493427">
        <w:t>(attributes of th</w:t>
      </w:r>
      <w:r w:rsidR="00FA7596">
        <w:t>os</w:t>
      </w:r>
      <w:r w:rsidRPr="00493427">
        <w:t>e records). For example, the simplest study database</w:t>
      </w:r>
      <w:r w:rsidR="00FA7596">
        <w:t xml:space="preserve"> </w:t>
      </w:r>
      <w:r w:rsidRPr="00493427">
        <w:t>consist</w:t>
      </w:r>
      <w:r w:rsidR="00FA7596">
        <w:t>s</w:t>
      </w:r>
      <w:r w:rsidRPr="00493427">
        <w:t xml:space="preserve"> of a single table in which each row </w:t>
      </w:r>
      <w:r w:rsidR="00DD3DDB">
        <w:t>represents</w:t>
      </w:r>
      <w:r w:rsidRPr="00493427">
        <w:t xml:space="preserve"> a study </w:t>
      </w:r>
      <w:r w:rsidR="00C74508">
        <w:t>participant</w:t>
      </w:r>
      <w:r w:rsidRPr="00493427">
        <w:t xml:space="preserve"> and each column </w:t>
      </w:r>
      <w:r w:rsidR="00DD3DDB">
        <w:t>contains</w:t>
      </w:r>
      <w:r w:rsidR="00DD3DDB" w:rsidRPr="00493427">
        <w:t xml:space="preserve"> </w:t>
      </w:r>
      <w:r w:rsidRPr="00493427">
        <w:t xml:space="preserve">a </w:t>
      </w:r>
      <w:r w:rsidR="00C74508">
        <w:t>participant</w:t>
      </w:r>
      <w:r w:rsidRPr="00493427">
        <w:t>-specific attribute</w:t>
      </w:r>
      <w:r w:rsidR="00DD3DDB">
        <w:t>,</w:t>
      </w:r>
      <w:r w:rsidRPr="00493427">
        <w:t xml:space="preserve"> such as name, date of birth, sex, and outcome status. In general, the first column </w:t>
      </w:r>
      <w:r w:rsidR="00DD3DDB">
        <w:t xml:space="preserve">in a data table </w:t>
      </w:r>
      <w:r w:rsidRPr="00493427">
        <w:t xml:space="preserve">is a unique </w:t>
      </w:r>
      <w:r w:rsidR="00C74508">
        <w:rPr>
          <w:rStyle w:val="red"/>
        </w:rPr>
        <w:t>participant</w:t>
      </w:r>
      <w:r w:rsidRPr="00BA6983">
        <w:rPr>
          <w:rStyle w:val="red"/>
        </w:rPr>
        <w:t xml:space="preserve"> identification number</w:t>
      </w:r>
      <w:r w:rsidRPr="00646BEE">
        <w:rPr>
          <w:color w:val="FF0000"/>
        </w:rPr>
        <w:t xml:space="preserve"> </w:t>
      </w:r>
      <w:r>
        <w:t>(</w:t>
      </w:r>
      <w:r w:rsidR="00DD3DDB">
        <w:t xml:space="preserve">such as </w:t>
      </w:r>
      <w:r>
        <w:t>“</w:t>
      </w:r>
      <w:r w:rsidR="00C74508">
        <w:t>Participant</w:t>
      </w:r>
      <w:r>
        <w:t>ID”).</w:t>
      </w:r>
      <w:r w:rsidRPr="00493427">
        <w:t xml:space="preserve"> </w:t>
      </w:r>
      <w:r w:rsidR="007C3423">
        <w:t xml:space="preserve">Assigning each participant a </w:t>
      </w:r>
      <w:r w:rsidRPr="00493427">
        <w:t>unique identifier</w:t>
      </w:r>
      <w:r w:rsidR="00FA7596">
        <w:t>, such as sequential integers (</w:t>
      </w:r>
      <w:r w:rsidR="008F4B23">
        <w:t>e.g.</w:t>
      </w:r>
      <w:r w:rsidR="00FA7596">
        <w:t>, 1, 2 ,3…),</w:t>
      </w:r>
      <w:r w:rsidRPr="00493427">
        <w:t xml:space="preserve"> </w:t>
      </w:r>
      <w:r w:rsidR="007C3423">
        <w:t>with</w:t>
      </w:r>
      <w:r w:rsidRPr="00493427">
        <w:t xml:space="preserve"> no </w:t>
      </w:r>
      <w:r w:rsidR="00FA7596">
        <w:t xml:space="preserve">intrinsic </w:t>
      </w:r>
      <w:r w:rsidRPr="00493427">
        <w:t xml:space="preserve">meaning </w:t>
      </w:r>
      <w:r w:rsidR="00DD3DDB">
        <w:t>makes it easier to</w:t>
      </w:r>
      <w:r w:rsidRPr="00493427">
        <w:t xml:space="preserve"> </w:t>
      </w:r>
      <w:r w:rsidR="00FA7596" w:rsidRPr="00493427">
        <w:t>maintain</w:t>
      </w:r>
      <w:r w:rsidR="00DD3DDB">
        <w:t xml:space="preserve"> </w:t>
      </w:r>
      <w:r w:rsidR="00FA7596">
        <w:t>participant</w:t>
      </w:r>
      <w:r w:rsidR="007C3423">
        <w:t xml:space="preserve"> confidentiality</w:t>
      </w:r>
      <w:r w:rsidR="00FA7596">
        <w:t>.</w:t>
      </w:r>
      <w:r w:rsidRPr="00493427">
        <w:t xml:space="preserve"> </w:t>
      </w:r>
    </w:p>
    <w:p w14:paraId="25EAF1EB" w14:textId="77777777" w:rsidR="007C3423" w:rsidRDefault="007C3423" w:rsidP="00493427"/>
    <w:p w14:paraId="1A45DB7C" w14:textId="2A6C6137" w:rsidR="00696478" w:rsidRDefault="009E360B" w:rsidP="00493427">
      <w:r>
        <w:t>Figure 19.</w:t>
      </w:r>
      <w:r w:rsidR="004F02E5" w:rsidRPr="00493427">
        <w:t xml:space="preserve">1 shows a simplified data table for a hypothetical cohort study (inspired by a real study </w:t>
      </w:r>
      <w:r w:rsidR="007854EC">
        <w:t>(</w:t>
      </w:r>
      <w:r w:rsidR="004F02E5" w:rsidRPr="00493427">
        <w:t>2</w:t>
      </w:r>
      <w:r w:rsidR="007854EC">
        <w:t>)</w:t>
      </w:r>
      <w:r w:rsidR="004F02E5">
        <w:t>)</w:t>
      </w:r>
      <w:r w:rsidR="004F02E5" w:rsidRPr="00493427">
        <w:t xml:space="preserve"> of the association between </w:t>
      </w:r>
      <w:r w:rsidR="00FA7596">
        <w:t xml:space="preserve">elevated </w:t>
      </w:r>
      <w:r w:rsidR="004F02E5" w:rsidRPr="00493427">
        <w:t xml:space="preserve">neonatal </w:t>
      </w:r>
      <w:r w:rsidR="00FA7596">
        <w:t>bilirubin levels</w:t>
      </w:r>
      <w:r w:rsidR="00FA7596" w:rsidRPr="00493427">
        <w:t xml:space="preserve"> </w:t>
      </w:r>
      <w:r w:rsidR="004F02E5" w:rsidRPr="00493427">
        <w:t xml:space="preserve">and IQ score at </w:t>
      </w:r>
      <w:r w:rsidR="00FA7596">
        <w:t xml:space="preserve">5 years of </w:t>
      </w:r>
      <w:r w:rsidR="004F02E5" w:rsidRPr="00493427">
        <w:t xml:space="preserve">age. Each row in the table corresponds to a study </w:t>
      </w:r>
      <w:r w:rsidR="00C74508">
        <w:t>participant</w:t>
      </w:r>
      <w:r w:rsidR="007C3423">
        <w:t xml:space="preserve"> </w:t>
      </w:r>
      <w:r w:rsidR="004F02E5" w:rsidRPr="00493427">
        <w:t xml:space="preserve">and each column corresponds to an attribute of that </w:t>
      </w:r>
      <w:r w:rsidR="00C74508">
        <w:t>participant</w:t>
      </w:r>
      <w:r w:rsidR="004F02E5" w:rsidRPr="00493427">
        <w:t xml:space="preserve">. The </w:t>
      </w:r>
      <w:r w:rsidR="00F21714" w:rsidRPr="00493427">
        <w:t>binary</w:t>
      </w:r>
      <w:r w:rsidR="004F02E5" w:rsidRPr="00493427">
        <w:t xml:space="preserve"> predictor is whether the </w:t>
      </w:r>
      <w:r w:rsidR="00C74508">
        <w:t>participant</w:t>
      </w:r>
      <w:r w:rsidR="004F02E5" w:rsidRPr="00493427">
        <w:t xml:space="preserve"> had </w:t>
      </w:r>
      <w:r w:rsidR="008E35BF" w:rsidRPr="00493427">
        <w:t>hyperbilirubinemia (“</w:t>
      </w:r>
      <w:r w:rsidR="002B397A">
        <w:t>H</w:t>
      </w:r>
      <w:r w:rsidR="002B397A" w:rsidRPr="00493427">
        <w:t>yperbili</w:t>
      </w:r>
      <w:r w:rsidR="008E35BF" w:rsidRPr="00493427">
        <w:t>_ind”)</w:t>
      </w:r>
      <w:r w:rsidR="004F02E5" w:rsidRPr="00493427">
        <w:t xml:space="preserve">, and the continuous outcome is “IQ,” which is the </w:t>
      </w:r>
      <w:r w:rsidR="00C74508">
        <w:t>participant</w:t>
      </w:r>
      <w:r w:rsidR="004F02E5" w:rsidRPr="00493427">
        <w:t xml:space="preserve">'s IQ </w:t>
      </w:r>
      <w:r w:rsidR="008E35BF" w:rsidRPr="00493427">
        <w:t xml:space="preserve">on exam </w:t>
      </w:r>
      <w:r w:rsidR="004F02E5" w:rsidRPr="00493427">
        <w:t>at age 5.</w:t>
      </w:r>
      <w:r w:rsidR="00FA7596">
        <w:t xml:space="preserve"> </w:t>
      </w:r>
    </w:p>
    <w:p w14:paraId="796BE707" w14:textId="18F1F652" w:rsidR="008E35BF" w:rsidRPr="00493427" w:rsidRDefault="00C45FEF" w:rsidP="00493427">
      <w:r w:rsidRPr="00C45FEF">
        <w:rPr>
          <w:noProof/>
        </w:rPr>
        <w:lastRenderedPageBreak/>
        <w:drawing>
          <wp:inline distT="0" distB="0" distL="0" distR="0" wp14:anchorId="15835580" wp14:editId="766965DF">
            <wp:extent cx="5731510" cy="20847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stretch>
                      <a:fillRect/>
                    </a:stretch>
                  </pic:blipFill>
                  <pic:spPr>
                    <a:xfrm>
                      <a:off x="0" y="0"/>
                      <a:ext cx="5731510" cy="2084705"/>
                    </a:xfrm>
                    <a:prstGeom prst="rect">
                      <a:avLst/>
                    </a:prstGeom>
                  </pic:spPr>
                </pic:pic>
              </a:graphicData>
            </a:graphic>
          </wp:inline>
        </w:drawing>
      </w:r>
    </w:p>
    <w:p w14:paraId="5BE21C7B" w14:textId="1ADA3E32" w:rsidR="008E35BF" w:rsidRPr="00493427" w:rsidRDefault="009E360B" w:rsidP="00493427">
      <w:pPr>
        <w:rPr>
          <w:rFonts w:ascii="Arial" w:hAnsi="Arial"/>
        </w:rPr>
      </w:pPr>
      <w:r>
        <w:rPr>
          <w:b/>
        </w:rPr>
        <w:t>Figure 19.</w:t>
      </w:r>
      <w:r w:rsidR="00F21714" w:rsidRPr="00493427">
        <w:rPr>
          <w:b/>
        </w:rPr>
        <w:t>1</w:t>
      </w:r>
      <w:r w:rsidR="00F21714" w:rsidRPr="00493427">
        <w:t xml:space="preserve"> </w:t>
      </w:r>
      <w:r w:rsidR="00F21714" w:rsidRPr="00493427">
        <w:rPr>
          <w:rFonts w:ascii="Arial" w:hAnsi="Arial"/>
        </w:rPr>
        <w:t xml:space="preserve">Simplified data table </w:t>
      </w:r>
      <w:r w:rsidR="002109AE">
        <w:rPr>
          <w:rFonts w:ascii="Arial" w:hAnsi="Arial"/>
        </w:rPr>
        <w:t xml:space="preserve">in “datasheet view” </w:t>
      </w:r>
      <w:r w:rsidR="00F21714" w:rsidRPr="00493427">
        <w:rPr>
          <w:rFonts w:ascii="Arial" w:hAnsi="Arial"/>
        </w:rPr>
        <w:t>for a cohort study of the association between neonatal hyperbilirubinemia and IQ score at age 5.  The binary predictor is “</w:t>
      </w:r>
      <w:r w:rsidR="00C45FEF">
        <w:rPr>
          <w:rFonts w:ascii="Arial" w:hAnsi="Arial"/>
        </w:rPr>
        <w:t>H</w:t>
      </w:r>
      <w:r w:rsidR="00F21714" w:rsidRPr="00493427">
        <w:rPr>
          <w:rFonts w:ascii="Arial" w:hAnsi="Arial"/>
        </w:rPr>
        <w:t xml:space="preserve">yperbili_ind”, defined as whether the total bilirubin rose to 25 mg/dL or more in the first </w:t>
      </w:r>
      <w:r w:rsidR="005768F5">
        <w:rPr>
          <w:rFonts w:ascii="Arial" w:hAnsi="Arial" w:cs="Arial"/>
        </w:rPr>
        <w:t>10</w:t>
      </w:r>
      <w:r w:rsidR="00684DBE" w:rsidRPr="00A04C8F">
        <w:rPr>
          <w:rFonts w:ascii="Arial" w:hAnsi="Arial" w:cs="Arial"/>
        </w:rPr>
        <w:t xml:space="preserve"> </w:t>
      </w:r>
      <w:r w:rsidR="00F21714" w:rsidRPr="00493427">
        <w:rPr>
          <w:rFonts w:ascii="Arial" w:hAnsi="Arial"/>
        </w:rPr>
        <w:t>days after birth, and the continuous outcome is “IQ”, t</w:t>
      </w:r>
      <w:r w:rsidR="001A3506" w:rsidRPr="00493427">
        <w:rPr>
          <w:rFonts w:ascii="Arial" w:hAnsi="Arial"/>
        </w:rPr>
        <w:t>h</w:t>
      </w:r>
      <w:r w:rsidR="00F21714" w:rsidRPr="00493427">
        <w:rPr>
          <w:rFonts w:ascii="Arial" w:hAnsi="Arial"/>
        </w:rPr>
        <w:t xml:space="preserve">e </w:t>
      </w:r>
      <w:r w:rsidR="00C74508">
        <w:rPr>
          <w:rFonts w:ascii="Arial" w:hAnsi="Arial"/>
        </w:rPr>
        <w:t>participant</w:t>
      </w:r>
      <w:r w:rsidR="00F21714" w:rsidRPr="00493427">
        <w:rPr>
          <w:rFonts w:ascii="Arial" w:hAnsi="Arial"/>
        </w:rPr>
        <w:t xml:space="preserve">’s IQ score at age 5.  </w:t>
      </w:r>
      <w:r w:rsidR="00C74508">
        <w:rPr>
          <w:rFonts w:ascii="Arial" w:hAnsi="Arial"/>
        </w:rPr>
        <w:t>Participant</w:t>
      </w:r>
      <w:r w:rsidR="00F21714" w:rsidRPr="00493427">
        <w:rPr>
          <w:rFonts w:ascii="Arial" w:hAnsi="Arial"/>
        </w:rPr>
        <w:t>s 2390, 2819, 3374, and 3901 were not examined at age 5.</w:t>
      </w:r>
      <w:r w:rsidR="007C3423">
        <w:rPr>
          <w:rFonts w:ascii="Arial" w:hAnsi="Arial"/>
        </w:rPr>
        <w:t xml:space="preserve">  </w:t>
      </w:r>
      <w:r w:rsidR="00684DBE" w:rsidRPr="00493427">
        <w:rPr>
          <w:rFonts w:ascii="Arial" w:hAnsi="Arial"/>
        </w:rPr>
        <w:br/>
      </w:r>
    </w:p>
    <w:p w14:paraId="376D4B09" w14:textId="43DE94AA" w:rsidR="00696478" w:rsidRDefault="004F02E5" w:rsidP="00493427">
      <w:pPr>
        <w:rPr>
          <w:rStyle w:val="red"/>
        </w:rPr>
      </w:pPr>
      <w:r w:rsidRPr="00493427">
        <w:t xml:space="preserve">If the study data </w:t>
      </w:r>
      <w:r w:rsidR="00B71BAD">
        <w:t>are</w:t>
      </w:r>
      <w:r w:rsidR="00B71BAD" w:rsidRPr="00493427">
        <w:t xml:space="preserve"> </w:t>
      </w:r>
      <w:r w:rsidRPr="00493427">
        <w:t xml:space="preserve">limited to a </w:t>
      </w:r>
      <w:r w:rsidRPr="006A6CC1">
        <w:rPr>
          <w:rStyle w:val="red"/>
          <w:iCs/>
          <w:color w:val="000000" w:themeColor="text1"/>
        </w:rPr>
        <w:t>single</w:t>
      </w:r>
      <w:r w:rsidR="00B71BAD">
        <w:rPr>
          <w:rStyle w:val="red"/>
          <w:iCs/>
          <w:color w:val="000000" w:themeColor="text1"/>
        </w:rPr>
        <w:t xml:space="preserve"> two-dimensional</w:t>
      </w:r>
      <w:r w:rsidRPr="006A6CC1">
        <w:rPr>
          <w:rStyle w:val="red"/>
          <w:iCs/>
          <w:color w:val="000000" w:themeColor="text1"/>
        </w:rPr>
        <w:t xml:space="preserve"> table</w:t>
      </w:r>
      <w:r w:rsidR="00B71BAD">
        <w:t xml:space="preserve">, </w:t>
      </w:r>
      <w:r w:rsidR="00B71BAD">
        <w:rPr>
          <w:rStyle w:val="red"/>
          <w:color w:val="000000" w:themeColor="text1"/>
        </w:rPr>
        <w:t>like the one</w:t>
      </w:r>
      <w:r w:rsidRPr="00493427">
        <w:t xml:space="preserve"> in </w:t>
      </w:r>
      <w:r w:rsidR="009E360B">
        <w:t>Figure 19.</w:t>
      </w:r>
      <w:r w:rsidRPr="00493427">
        <w:t xml:space="preserve">1, </w:t>
      </w:r>
      <w:r w:rsidR="00B71BAD">
        <w:t>they are</w:t>
      </w:r>
      <w:r w:rsidRPr="00493427">
        <w:t xml:space="preserve"> easily accommodated in a spreadsheet or statistical package</w:t>
      </w:r>
      <w:r w:rsidR="00B71BAD">
        <w:t xml:space="preserve">, and often referred to </w:t>
      </w:r>
      <w:r w:rsidRPr="00493427">
        <w:t>as a</w:t>
      </w:r>
      <w:r w:rsidR="00B71BAD">
        <w:t xml:space="preserve"> </w:t>
      </w:r>
      <w:r w:rsidRPr="006A6CC1">
        <w:rPr>
          <w:rStyle w:val="red"/>
          <w:color w:val="auto"/>
        </w:rPr>
        <w:t>flat file</w:t>
      </w:r>
      <w:r w:rsidRPr="008F625F">
        <w:rPr>
          <w:rStyle w:val="red"/>
        </w:rPr>
        <w:t>.</w:t>
      </w:r>
    </w:p>
    <w:p w14:paraId="4CFA0BFC" w14:textId="77777777" w:rsidR="003F32B8" w:rsidRDefault="003F32B8" w:rsidP="00493427">
      <w:pPr>
        <w:rPr>
          <w:rStyle w:val="red"/>
        </w:rPr>
      </w:pPr>
    </w:p>
    <w:p w14:paraId="4D87A410" w14:textId="77777777" w:rsidR="000950DD" w:rsidRDefault="000950DD" w:rsidP="000950DD">
      <w:r w:rsidRPr="003F32B8">
        <w:t>Database tables should store raw data fields, not calculated values.  For example, the database should store birthdate and exam date, not age at exam -- height and weight, not BMI.  Database queries (see below) can calculate values based on the raw data fields.  Given birthdate and exam date, the database can calculate age at exam in years, months, weeks, or days.  But given age in years, it can’t calculate age in months, weeks, or days.   Correcting an error in the exam date will automatically correct the calculated age at exam.  Similarly, if the database stores weight and height but calculates BMI, correcting an erroneous weight automatically corrects the erroneous BMI.</w:t>
      </w:r>
    </w:p>
    <w:p w14:paraId="4ABC592F" w14:textId="4C9EC1CD" w:rsidR="000950DD" w:rsidRDefault="000950DD" w:rsidP="00493427"/>
    <w:p w14:paraId="76E46D29" w14:textId="6AD06970" w:rsidR="00696478" w:rsidRDefault="00B71BAD" w:rsidP="00493427">
      <w:pPr>
        <w:rPr>
          <w:rStyle w:val="red"/>
        </w:rPr>
      </w:pPr>
      <w:r>
        <w:t>If</w:t>
      </w:r>
      <w:r w:rsidRPr="00493427">
        <w:t xml:space="preserve"> </w:t>
      </w:r>
      <w:r>
        <w:t>a</w:t>
      </w:r>
      <w:r w:rsidRPr="00493427">
        <w:t xml:space="preserve"> study tracks multiple lab results, medications, or other repeated measurements </w:t>
      </w:r>
      <w:r>
        <w:t>for each</w:t>
      </w:r>
      <w:r w:rsidRPr="00493427">
        <w:t xml:space="preserve"> </w:t>
      </w:r>
      <w:r>
        <w:t xml:space="preserve">participant, a single data table will not be adequate. Rather, </w:t>
      </w:r>
      <w:r w:rsidR="004F02E5" w:rsidRPr="00493427">
        <w:t>data management softwar</w:t>
      </w:r>
      <w:r>
        <w:t xml:space="preserve">e will </w:t>
      </w:r>
      <w:r w:rsidR="00871EB3">
        <w:t>be required</w:t>
      </w:r>
      <w:r>
        <w:t xml:space="preserve"> to</w:t>
      </w:r>
      <w:r w:rsidR="004F02E5" w:rsidRPr="00493427">
        <w:t xml:space="preserve"> store </w:t>
      </w:r>
      <w:r>
        <w:t>those</w:t>
      </w:r>
      <w:r w:rsidR="004F02E5" w:rsidRPr="00493427">
        <w:t xml:space="preserve"> repeated measurements in separate tables distinct from the table of study </w:t>
      </w:r>
      <w:r w:rsidR="00C74508">
        <w:t>participant</w:t>
      </w:r>
      <w:r w:rsidR="004F02E5" w:rsidRPr="00493427">
        <w:t xml:space="preserve">s. </w:t>
      </w:r>
      <w:r>
        <w:t>Each</w:t>
      </w:r>
      <w:r w:rsidRPr="00493427">
        <w:t xml:space="preserve"> </w:t>
      </w:r>
      <w:r w:rsidR="004F02E5" w:rsidRPr="00493427">
        <w:t>row in one of these separate tables corresponds to an individual measurement includin</w:t>
      </w:r>
      <w:r>
        <w:t>g what was measured</w:t>
      </w:r>
      <w:r w:rsidR="004F02E5" w:rsidRPr="00493427">
        <w:t xml:space="preserve">, </w:t>
      </w:r>
      <w:r w:rsidR="00C542A7" w:rsidRPr="00493427">
        <w:t>its</w:t>
      </w:r>
      <w:r w:rsidR="004F02E5" w:rsidRPr="00493427">
        <w:t xml:space="preserve"> date</w:t>
      </w:r>
      <w:r w:rsidR="00C542A7" w:rsidRPr="00493427">
        <w:t xml:space="preserve"> and </w:t>
      </w:r>
      <w:r w:rsidR="004F02E5" w:rsidRPr="00493427">
        <w:t xml:space="preserve">time, and </w:t>
      </w:r>
      <w:r w:rsidR="004F02E5">
        <w:t>the result</w:t>
      </w:r>
      <w:r>
        <w:t>.</w:t>
      </w:r>
      <w:r w:rsidR="004F02E5" w:rsidRPr="00493427">
        <w:t xml:space="preserve"> One field in the row include</w:t>
      </w:r>
      <w:r>
        <w:t>s</w:t>
      </w:r>
      <w:r w:rsidR="004F02E5" w:rsidRPr="00493427">
        <w:t xml:space="preserve"> the </w:t>
      </w:r>
      <w:r w:rsidR="00C74508">
        <w:t>participant</w:t>
      </w:r>
      <w:r w:rsidR="004F02E5" w:rsidRPr="00493427">
        <w:t xml:space="preserve"> identification number to link the measurement back to </w:t>
      </w:r>
      <w:r>
        <w:t xml:space="preserve">the </w:t>
      </w:r>
      <w:r w:rsidR="00C74508">
        <w:t>participant</w:t>
      </w:r>
      <w:r w:rsidR="009057AF" w:rsidRPr="00493427">
        <w:t xml:space="preserve"> table</w:t>
      </w:r>
      <w:r w:rsidR="004F02E5" w:rsidRPr="00493427">
        <w:t xml:space="preserve">. In this </w:t>
      </w:r>
      <w:r w:rsidR="004F02E5" w:rsidRPr="008F625F">
        <w:rPr>
          <w:rStyle w:val="red"/>
        </w:rPr>
        <w:t>relational database</w:t>
      </w:r>
      <w:r w:rsidR="00CA136E" w:rsidRPr="00493427">
        <w:t xml:space="preserve">, </w:t>
      </w:r>
      <w:r w:rsidR="00D75074" w:rsidRPr="00493427">
        <w:t xml:space="preserve">since one </w:t>
      </w:r>
      <w:r w:rsidR="00C74508">
        <w:t>participant</w:t>
      </w:r>
      <w:r w:rsidR="00D75074" w:rsidRPr="00493427">
        <w:t xml:space="preserve"> can have many measurements, </w:t>
      </w:r>
      <w:r w:rsidR="004F02E5" w:rsidRPr="00493427">
        <w:t xml:space="preserve">the relationship between the </w:t>
      </w:r>
      <w:r w:rsidR="00D571CE">
        <w:t>p</w:t>
      </w:r>
      <w:r w:rsidR="00C74508">
        <w:t>articipant</w:t>
      </w:r>
      <w:r w:rsidR="009057AF">
        <w:t xml:space="preserve"> </w:t>
      </w:r>
      <w:r w:rsidR="00766FA8">
        <w:t>t</w:t>
      </w:r>
      <w:r w:rsidR="009057AF">
        <w:t>able</w:t>
      </w:r>
      <w:r w:rsidR="004F02E5" w:rsidRPr="00493427">
        <w:t xml:space="preserve"> and the </w:t>
      </w:r>
      <w:r w:rsidR="00D571CE">
        <w:t>m</w:t>
      </w:r>
      <w:r w:rsidR="009057AF">
        <w:t>easurement</w:t>
      </w:r>
      <w:r w:rsidR="00766FA8">
        <w:t xml:space="preserve"> </w:t>
      </w:r>
      <w:r w:rsidR="004F02E5">
        <w:t>table</w:t>
      </w:r>
      <w:r w:rsidR="004F02E5" w:rsidRPr="00493427">
        <w:t xml:space="preserve"> is termed </w:t>
      </w:r>
      <w:r w:rsidR="004F02E5" w:rsidRPr="00DD3DDB">
        <w:rPr>
          <w:rStyle w:val="red"/>
        </w:rPr>
        <w:t>one-to-many</w:t>
      </w:r>
      <w:r w:rsidR="004F02E5" w:rsidRPr="008F625F">
        <w:rPr>
          <w:rStyle w:val="red"/>
        </w:rPr>
        <w:t>.</w:t>
      </w:r>
      <w:r w:rsidR="00646619">
        <w:rPr>
          <w:rStyle w:val="red"/>
        </w:rPr>
        <w:t xml:space="preserve"> </w:t>
      </w:r>
      <w:r w:rsidR="007C3423">
        <w:t>The</w:t>
      </w:r>
      <w:r w:rsidR="007C3423" w:rsidRPr="00493427">
        <w:t xml:space="preserve"> first column in each of the</w:t>
      </w:r>
      <w:r w:rsidR="007C3423">
        <w:t xml:space="preserve"> measurement</w:t>
      </w:r>
      <w:r w:rsidR="007C3423" w:rsidRPr="00493427">
        <w:t xml:space="preserve"> tables should be a unique record identifier</w:t>
      </w:r>
      <w:r w:rsidR="007C3423">
        <w:t xml:space="preserve">, </w:t>
      </w:r>
      <w:r w:rsidR="007C3423" w:rsidRPr="00493427">
        <w:t xml:space="preserve">called the table's </w:t>
      </w:r>
      <w:r w:rsidR="007C3423" w:rsidRPr="008F625F">
        <w:rPr>
          <w:rStyle w:val="red"/>
        </w:rPr>
        <w:t>primary key</w:t>
      </w:r>
      <w:r w:rsidR="007C3423" w:rsidRPr="00493427">
        <w:t>.</w:t>
      </w:r>
      <w:r w:rsidR="007C3423">
        <w:t xml:space="preserve"> In </w:t>
      </w:r>
      <w:r w:rsidR="009E360B">
        <w:t>Figure 19.</w:t>
      </w:r>
      <w:r w:rsidR="007C3423">
        <w:t>2, the primary key is ExamID.</w:t>
      </w:r>
    </w:p>
    <w:p w14:paraId="662B59E1" w14:textId="77777777" w:rsidR="004B779F" w:rsidRDefault="004B779F" w:rsidP="00493427"/>
    <w:p w14:paraId="23552DC9" w14:textId="6E4584C7" w:rsidR="001428A0" w:rsidRPr="005D2DCD" w:rsidRDefault="004F02E5" w:rsidP="00493427">
      <w:pPr>
        <w:rPr>
          <w:rStyle w:val="red"/>
          <w:color w:val="auto"/>
        </w:rPr>
      </w:pPr>
      <w:r w:rsidRPr="00493427">
        <w:t xml:space="preserve">Although the </w:t>
      </w:r>
      <w:r w:rsidR="00C74508">
        <w:t>participant</w:t>
      </w:r>
      <w:r w:rsidRPr="00493427">
        <w:t xml:space="preserve">s in </w:t>
      </w:r>
      <w:r w:rsidR="00B71BAD">
        <w:t>the</w:t>
      </w:r>
      <w:r w:rsidR="00B71BAD" w:rsidRPr="00493427">
        <w:t xml:space="preserve"> </w:t>
      </w:r>
      <w:r w:rsidRPr="00493427">
        <w:t xml:space="preserve">infant jaundice study </w:t>
      </w:r>
      <w:r w:rsidR="00B71BAD">
        <w:t>had only one</w:t>
      </w:r>
      <w:r w:rsidRPr="00493427">
        <w:t xml:space="preserve"> IQ</w:t>
      </w:r>
      <w:r w:rsidR="00B71BAD">
        <w:t xml:space="preserve"> </w:t>
      </w:r>
      <w:r w:rsidR="00D571CE">
        <w:t>test</w:t>
      </w:r>
      <w:r w:rsidRPr="00493427">
        <w:t>, most had other examinations during which</w:t>
      </w:r>
      <w:r w:rsidR="00B71BAD">
        <w:t xml:space="preserve">, for example, </w:t>
      </w:r>
      <w:r w:rsidRPr="00493427">
        <w:t>height and weight were assessed</w:t>
      </w:r>
      <w:r w:rsidR="00B71BAD">
        <w:t xml:space="preserve"> and </w:t>
      </w:r>
      <w:r w:rsidRPr="00493427">
        <w:t>used to calculate BMI</w:t>
      </w:r>
      <w:r w:rsidR="00372DA3">
        <w:t xml:space="preserve"> </w:t>
      </w:r>
      <w:r w:rsidRPr="00493427">
        <w:t xml:space="preserve">and growth curve percentiles. (See “Extracting Data [Queries]” later in this chapter.) </w:t>
      </w:r>
      <w:r w:rsidR="00D571CE">
        <w:t>This type of</w:t>
      </w:r>
      <w:r w:rsidRPr="00493427">
        <w:t xml:space="preserve"> data </w:t>
      </w:r>
      <w:r w:rsidR="00D571CE">
        <w:t>is best accommodated in</w:t>
      </w:r>
      <w:r w:rsidRPr="00493427">
        <w:t xml:space="preserve"> a separate </w:t>
      </w:r>
      <w:r w:rsidR="00D571CE">
        <w:t xml:space="preserve">Exam </w:t>
      </w:r>
      <w:r w:rsidRPr="00493427">
        <w:t>table in which each row corresponds to a discrete examination</w:t>
      </w:r>
      <w:r w:rsidR="00D571CE">
        <w:t xml:space="preserve"> </w:t>
      </w:r>
      <w:r w:rsidRPr="00493427">
        <w:t xml:space="preserve">and the columns represent examination date, examination results, and the </w:t>
      </w:r>
      <w:r w:rsidR="00C74508">
        <w:t>participant</w:t>
      </w:r>
      <w:r w:rsidRPr="00493427">
        <w:t xml:space="preserve"> identification number</w:t>
      </w:r>
      <w:r w:rsidR="00D571CE">
        <w:t xml:space="preserve"> </w:t>
      </w:r>
      <w:r w:rsidRPr="00493427">
        <w:t>(</w:t>
      </w:r>
      <w:r w:rsidR="009E360B">
        <w:t>Figure 19.</w:t>
      </w:r>
      <w:r w:rsidRPr="00493427">
        <w:t xml:space="preserve">2). </w:t>
      </w:r>
      <w:r w:rsidR="00C22001" w:rsidRPr="00493427">
        <w:t xml:space="preserve">Since a </w:t>
      </w:r>
      <w:r w:rsidR="00C74508">
        <w:t>participant</w:t>
      </w:r>
      <w:r w:rsidR="00C22001" w:rsidRPr="00493427">
        <w:t xml:space="preserve"> can have </w:t>
      </w:r>
      <w:r w:rsidR="00D571CE">
        <w:t>several</w:t>
      </w:r>
      <w:r w:rsidR="00D571CE" w:rsidRPr="00493427">
        <w:t xml:space="preserve"> </w:t>
      </w:r>
      <w:r w:rsidR="00C22001" w:rsidRPr="00493427">
        <w:t xml:space="preserve">examinations, the relationship between </w:t>
      </w:r>
      <w:r w:rsidR="00D571CE">
        <w:t>p</w:t>
      </w:r>
      <w:r w:rsidR="00C74508">
        <w:t>articipant</w:t>
      </w:r>
      <w:r w:rsidR="00C22001" w:rsidRPr="00493427">
        <w:t xml:space="preserve"> and </w:t>
      </w:r>
      <w:r w:rsidR="00D571CE">
        <w:t>e</w:t>
      </w:r>
      <w:r w:rsidR="00C22001" w:rsidRPr="00493427">
        <w:t xml:space="preserve">xam </w:t>
      </w:r>
      <w:r w:rsidR="00C22001" w:rsidRPr="00493427">
        <w:lastRenderedPageBreak/>
        <w:t xml:space="preserve">tables is one-to-many. </w:t>
      </w:r>
      <w:r w:rsidR="00C22001" w:rsidRPr="00C22001">
        <w:t>The field</w:t>
      </w:r>
      <w:r w:rsidR="007C3423">
        <w:t xml:space="preserve"> that </w:t>
      </w:r>
      <w:r w:rsidR="00C22001" w:rsidRPr="00C22001">
        <w:t xml:space="preserve">links the exam-specific data to the </w:t>
      </w:r>
      <w:r w:rsidR="00C74508">
        <w:t>participant</w:t>
      </w:r>
      <w:r w:rsidR="00C22001" w:rsidRPr="00C22001">
        <w:t>-specific data</w:t>
      </w:r>
      <w:r w:rsidR="00D571CE">
        <w:t xml:space="preserve"> </w:t>
      </w:r>
      <w:r w:rsidR="00C22001">
        <w:t xml:space="preserve">is called a </w:t>
      </w:r>
      <w:r w:rsidR="00C22001">
        <w:rPr>
          <w:rStyle w:val="red"/>
        </w:rPr>
        <w:t>foreign key</w:t>
      </w:r>
      <w:r w:rsidR="007C3423">
        <w:rPr>
          <w:rStyle w:val="red"/>
          <w:color w:val="auto"/>
        </w:rPr>
        <w:t>; i</w:t>
      </w:r>
      <w:r w:rsidR="007C3423" w:rsidRPr="005D2DCD">
        <w:rPr>
          <w:rStyle w:val="red"/>
          <w:color w:val="auto"/>
        </w:rPr>
        <w:t xml:space="preserve">n the Exam Table of </w:t>
      </w:r>
      <w:r w:rsidR="009E360B">
        <w:rPr>
          <w:rStyle w:val="red"/>
          <w:color w:val="auto"/>
        </w:rPr>
        <w:t>Figure 19.</w:t>
      </w:r>
      <w:r w:rsidR="007C3423" w:rsidRPr="005D2DCD">
        <w:rPr>
          <w:rStyle w:val="red"/>
          <w:color w:val="auto"/>
        </w:rPr>
        <w:t xml:space="preserve">2, </w:t>
      </w:r>
      <w:r w:rsidR="007C3423">
        <w:t>Participant</w:t>
      </w:r>
      <w:r w:rsidR="007C3423" w:rsidRPr="00C22001">
        <w:t>ID</w:t>
      </w:r>
      <w:r w:rsidR="007C3423">
        <w:t xml:space="preserve"> serves as the foreign key that </w:t>
      </w:r>
      <w:r w:rsidR="00871EB3">
        <w:t xml:space="preserve">links </w:t>
      </w:r>
      <w:r w:rsidR="007C3423">
        <w:t>each measurement to a specific participant.</w:t>
      </w:r>
    </w:p>
    <w:p w14:paraId="1A49E561" w14:textId="305E8D48" w:rsidR="00C22001" w:rsidRDefault="00C22001" w:rsidP="008106F6"/>
    <w:p w14:paraId="343CB661" w14:textId="3E54DFF2" w:rsidR="00696478" w:rsidRPr="00493427" w:rsidRDefault="004F02E5" w:rsidP="00493427">
      <w:r>
        <w:t xml:space="preserve">In </w:t>
      </w:r>
      <w:r w:rsidR="00D571CE">
        <w:t xml:space="preserve">a </w:t>
      </w:r>
      <w:r>
        <w:t>two-table database structure</w:t>
      </w:r>
      <w:r w:rsidR="000221C3">
        <w:t xml:space="preserve"> with a </w:t>
      </w:r>
      <w:r w:rsidR="00C74508">
        <w:t>participant</w:t>
      </w:r>
      <w:r w:rsidR="000221C3">
        <w:t xml:space="preserve"> and an exam table</w:t>
      </w:r>
      <w:r w:rsidRPr="00493427">
        <w:t xml:space="preserve">, </w:t>
      </w:r>
      <w:r w:rsidR="002D2D95">
        <w:t>locating</w:t>
      </w:r>
      <w:r w:rsidRPr="00493427">
        <w:t xml:space="preserve"> all exams performed within a time period requires searching</w:t>
      </w:r>
      <w:r w:rsidR="002D2D95">
        <w:t xml:space="preserve"> just</w:t>
      </w:r>
      <w:r w:rsidRPr="00493427">
        <w:t xml:space="preserve"> a single exam date column. </w:t>
      </w:r>
      <w:r w:rsidR="00D571CE">
        <w:t>Changes</w:t>
      </w:r>
      <w:r w:rsidRPr="00493427">
        <w:t xml:space="preserve"> to a </w:t>
      </w:r>
      <w:r w:rsidR="00C74508">
        <w:t>participant</w:t>
      </w:r>
      <w:r w:rsidRPr="00493427">
        <w:t>-specific field</w:t>
      </w:r>
      <w:r w:rsidR="00D571CE">
        <w:t>,</w:t>
      </w:r>
      <w:r w:rsidRPr="00493427">
        <w:t xml:space="preserve"> like date of birth</w:t>
      </w:r>
      <w:r w:rsidR="00D571CE">
        <w:t>, are</w:t>
      </w:r>
      <w:r w:rsidRPr="00493427">
        <w:t xml:space="preserve"> made in one place, and consistency is preserved. Fields holding personal identifiers</w:t>
      </w:r>
      <w:r w:rsidR="00D571CE">
        <w:t>,</w:t>
      </w:r>
      <w:r w:rsidRPr="00493427">
        <w:t xml:space="preserve"> such as name and date of birth appear</w:t>
      </w:r>
      <w:r w:rsidR="00D571CE">
        <w:t>,</w:t>
      </w:r>
      <w:r w:rsidRPr="00493427">
        <w:t xml:space="preserve"> only in the </w:t>
      </w:r>
      <w:r w:rsidR="00D571CE">
        <w:t>p</w:t>
      </w:r>
      <w:r w:rsidR="00C74508">
        <w:t>articipant</w:t>
      </w:r>
      <w:r w:rsidRPr="00493427">
        <w:t xml:space="preserve"> table</w:t>
      </w:r>
      <w:r w:rsidR="00D571CE">
        <w:t>; t</w:t>
      </w:r>
      <w:r w:rsidRPr="00493427">
        <w:t xml:space="preserve">he </w:t>
      </w:r>
      <w:r w:rsidR="00D571CE">
        <w:t>exam</w:t>
      </w:r>
      <w:r w:rsidR="00D571CE" w:rsidRPr="00493427">
        <w:t xml:space="preserve"> </w:t>
      </w:r>
      <w:r w:rsidRPr="00493427">
        <w:t>table</w:t>
      </w:r>
      <w:r w:rsidR="004C0A88">
        <w:t xml:space="preserve"> </w:t>
      </w:r>
      <w:r>
        <w:t>link</w:t>
      </w:r>
      <w:r w:rsidR="004C0A88">
        <w:t>s</w:t>
      </w:r>
      <w:r w:rsidRPr="00493427">
        <w:t xml:space="preserve"> back to this information via the </w:t>
      </w:r>
      <w:r w:rsidR="00C74508">
        <w:t>Participant</w:t>
      </w:r>
      <w:r>
        <w:t>ID</w:t>
      </w:r>
      <w:r w:rsidRPr="00493427">
        <w:t xml:space="preserve">. The database can still accommodate </w:t>
      </w:r>
      <w:r w:rsidR="00C74508">
        <w:t>participant</w:t>
      </w:r>
      <w:r w:rsidRPr="00493427">
        <w:t>s (such as Alejandro, Ryan, Zachary, and Jackson) who have no exams.</w:t>
      </w:r>
    </w:p>
    <w:p w14:paraId="2587217B" w14:textId="77777777" w:rsidR="00675F25" w:rsidRDefault="00675F25" w:rsidP="00493427"/>
    <w:p w14:paraId="427102D6" w14:textId="13113232" w:rsidR="00FB5674" w:rsidRPr="00493427" w:rsidRDefault="00AB2AB5" w:rsidP="00493427">
      <w:r w:rsidRPr="00AB2AB5">
        <w:rPr>
          <w:noProof/>
        </w:rPr>
        <w:t xml:space="preserve"> </w:t>
      </w:r>
      <w:r w:rsidR="004C5220" w:rsidRPr="004C5220">
        <w:rPr>
          <w:noProof/>
        </w:rPr>
        <w:drawing>
          <wp:inline distT="0" distB="0" distL="0" distR="0" wp14:anchorId="15BF756B" wp14:editId="6E116277">
            <wp:extent cx="5731510" cy="2806065"/>
            <wp:effectExtent l="0" t="0" r="0" b="63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9"/>
                    <a:stretch>
                      <a:fillRect/>
                    </a:stretch>
                  </pic:blipFill>
                  <pic:spPr>
                    <a:xfrm>
                      <a:off x="0" y="0"/>
                      <a:ext cx="5731510" cy="2806065"/>
                    </a:xfrm>
                    <a:prstGeom prst="rect">
                      <a:avLst/>
                    </a:prstGeom>
                  </pic:spPr>
                </pic:pic>
              </a:graphicData>
            </a:graphic>
          </wp:inline>
        </w:drawing>
      </w:r>
    </w:p>
    <w:p w14:paraId="4D938F5C" w14:textId="6278C206" w:rsidR="00E74737" w:rsidRDefault="009E360B" w:rsidP="00493427">
      <w:pPr>
        <w:rPr>
          <w:rFonts w:ascii="Arial" w:hAnsi="Arial" w:cs="Arial"/>
        </w:rPr>
      </w:pPr>
      <w:r>
        <w:rPr>
          <w:rFonts w:ascii="Arial" w:hAnsi="Arial" w:cs="Arial"/>
          <w:b/>
          <w:bCs/>
        </w:rPr>
        <w:t>Figure 19.</w:t>
      </w:r>
      <w:r w:rsidR="00E651D5" w:rsidRPr="001A3506">
        <w:rPr>
          <w:rFonts w:ascii="Arial" w:hAnsi="Arial" w:cs="Arial"/>
          <w:b/>
          <w:bCs/>
        </w:rPr>
        <w:t>2</w:t>
      </w:r>
      <w:r w:rsidR="00E651D5" w:rsidRPr="001A3506">
        <w:rPr>
          <w:rFonts w:ascii="Arial" w:hAnsi="Arial" w:cs="Arial"/>
        </w:rPr>
        <w:t xml:space="preserve"> </w:t>
      </w:r>
      <w:r w:rsidR="00D571CE">
        <w:rPr>
          <w:rFonts w:ascii="Arial" w:hAnsi="Arial" w:cs="Arial"/>
        </w:rPr>
        <w:t>A</w:t>
      </w:r>
      <w:r w:rsidR="00D571CE" w:rsidRPr="001A3506">
        <w:rPr>
          <w:rFonts w:ascii="Arial" w:hAnsi="Arial" w:cs="Arial"/>
        </w:rPr>
        <w:t xml:space="preserve"> </w:t>
      </w:r>
      <w:r w:rsidR="00E651D5" w:rsidRPr="001A3506">
        <w:rPr>
          <w:rFonts w:ascii="Arial" w:hAnsi="Arial" w:cs="Arial"/>
        </w:rPr>
        <w:t xml:space="preserve">two-table infant jaundice study database </w:t>
      </w:r>
      <w:r w:rsidR="00D571CE">
        <w:rPr>
          <w:rFonts w:ascii="Arial" w:hAnsi="Arial" w:cs="Arial"/>
        </w:rPr>
        <w:t>with</w:t>
      </w:r>
      <w:r w:rsidR="00D571CE" w:rsidRPr="001A3506">
        <w:rPr>
          <w:rFonts w:ascii="Arial" w:hAnsi="Arial" w:cs="Arial"/>
        </w:rPr>
        <w:t xml:space="preserve"> </w:t>
      </w:r>
      <w:r w:rsidR="00E651D5" w:rsidRPr="001A3506">
        <w:rPr>
          <w:rFonts w:ascii="Arial" w:hAnsi="Arial" w:cs="Arial"/>
        </w:rPr>
        <w:t xml:space="preserve">a table of study </w:t>
      </w:r>
      <w:r w:rsidR="00C74508">
        <w:rPr>
          <w:rFonts w:ascii="Arial" w:hAnsi="Arial" w:cs="Arial"/>
        </w:rPr>
        <w:t>participant</w:t>
      </w:r>
      <w:r w:rsidR="00E651D5" w:rsidRPr="001A3506">
        <w:rPr>
          <w:rFonts w:ascii="Arial" w:hAnsi="Arial" w:cs="Arial"/>
        </w:rPr>
        <w:t>s</w:t>
      </w:r>
      <w:r w:rsidR="00D571CE">
        <w:rPr>
          <w:rFonts w:ascii="Arial" w:hAnsi="Arial" w:cs="Arial"/>
        </w:rPr>
        <w:t xml:space="preserve"> (in </w:t>
      </w:r>
      <w:r w:rsidR="00E651D5" w:rsidRPr="001A3506">
        <w:rPr>
          <w:rFonts w:ascii="Arial" w:hAnsi="Arial" w:cs="Arial"/>
        </w:rPr>
        <w:t xml:space="preserve">which each row corresponds to a single study </w:t>
      </w:r>
      <w:r w:rsidR="00C74508">
        <w:rPr>
          <w:rFonts w:ascii="Arial" w:hAnsi="Arial" w:cs="Arial"/>
        </w:rPr>
        <w:t>participant</w:t>
      </w:r>
      <w:r w:rsidR="00D571CE">
        <w:rPr>
          <w:rFonts w:ascii="Arial" w:hAnsi="Arial" w:cs="Arial"/>
        </w:rPr>
        <w:t xml:space="preserve">) and </w:t>
      </w:r>
      <w:r w:rsidR="00E651D5" w:rsidRPr="001A3506">
        <w:rPr>
          <w:rFonts w:ascii="Arial" w:hAnsi="Arial" w:cs="Arial"/>
        </w:rPr>
        <w:t>a table of examinations</w:t>
      </w:r>
      <w:r w:rsidR="00D571CE">
        <w:rPr>
          <w:rFonts w:ascii="Arial" w:hAnsi="Arial" w:cs="Arial"/>
        </w:rPr>
        <w:t xml:space="preserve"> (</w:t>
      </w:r>
      <w:r w:rsidR="00E651D5" w:rsidRPr="001A3506">
        <w:rPr>
          <w:rFonts w:ascii="Arial" w:hAnsi="Arial" w:cs="Arial"/>
        </w:rPr>
        <w:t xml:space="preserve">in which each row corresponds to </w:t>
      </w:r>
      <w:r w:rsidR="00FE0E8B">
        <w:rPr>
          <w:rFonts w:ascii="Arial" w:hAnsi="Arial" w:cs="Arial"/>
        </w:rPr>
        <w:t xml:space="preserve">a </w:t>
      </w:r>
      <w:r w:rsidR="00E651D5" w:rsidRPr="001A3506">
        <w:rPr>
          <w:rFonts w:ascii="Arial" w:hAnsi="Arial" w:cs="Arial"/>
        </w:rPr>
        <w:t>particular examination</w:t>
      </w:r>
      <w:r w:rsidR="00D571CE">
        <w:rPr>
          <w:rFonts w:ascii="Arial" w:hAnsi="Arial" w:cs="Arial"/>
        </w:rPr>
        <w:t>)</w:t>
      </w:r>
      <w:r w:rsidR="00E651D5" w:rsidRPr="001A3506">
        <w:rPr>
          <w:rFonts w:ascii="Arial" w:hAnsi="Arial" w:cs="Arial"/>
        </w:rPr>
        <w:t xml:space="preserve">.  For example, </w:t>
      </w:r>
      <w:r w:rsidR="00C74508">
        <w:rPr>
          <w:rFonts w:ascii="Arial" w:hAnsi="Arial" w:cs="Arial"/>
        </w:rPr>
        <w:t>Participant</w:t>
      </w:r>
      <w:r w:rsidR="00E651D5" w:rsidRPr="001A3506">
        <w:rPr>
          <w:rFonts w:ascii="Arial" w:hAnsi="Arial" w:cs="Arial"/>
        </w:rPr>
        <w:t xml:space="preserve"> 2322 is identified as Helen, date of birth 1/6/2010, in the first table, and </w:t>
      </w:r>
      <w:r w:rsidR="00D571CE">
        <w:rPr>
          <w:rFonts w:ascii="Arial" w:hAnsi="Arial" w:cs="Arial"/>
        </w:rPr>
        <w:t>has</w:t>
      </w:r>
      <w:r w:rsidR="00C22001">
        <w:rPr>
          <w:rFonts w:ascii="Arial" w:hAnsi="Arial" w:cs="Arial"/>
        </w:rPr>
        <w:t xml:space="preserve"> </w:t>
      </w:r>
      <w:r w:rsidR="00E651D5" w:rsidRPr="001A3506">
        <w:rPr>
          <w:rFonts w:ascii="Arial" w:hAnsi="Arial" w:cs="Arial"/>
        </w:rPr>
        <w:t xml:space="preserve">3 exams in the anonymous second table. </w:t>
      </w:r>
      <w:r w:rsidR="002000F3" w:rsidRPr="001A3506">
        <w:rPr>
          <w:rFonts w:ascii="Arial" w:hAnsi="Arial" w:cs="Arial"/>
        </w:rPr>
        <w:t xml:space="preserve">Note that ExWght and ExHght are entered in the </w:t>
      </w:r>
      <w:r w:rsidR="00D571CE">
        <w:rPr>
          <w:rFonts w:ascii="Arial" w:hAnsi="Arial" w:cs="Arial"/>
        </w:rPr>
        <w:t>e</w:t>
      </w:r>
      <w:r w:rsidR="002000F3" w:rsidRPr="001A3506">
        <w:rPr>
          <w:rFonts w:ascii="Arial" w:hAnsi="Arial" w:cs="Arial"/>
        </w:rPr>
        <w:t>xam table</w:t>
      </w:r>
      <w:r w:rsidR="00D571CE">
        <w:rPr>
          <w:rFonts w:ascii="Arial" w:hAnsi="Arial" w:cs="Arial"/>
        </w:rPr>
        <w:t xml:space="preserve">, </w:t>
      </w:r>
      <w:r w:rsidR="00D571CE" w:rsidRPr="001A3506">
        <w:rPr>
          <w:rFonts w:ascii="Arial" w:hAnsi="Arial" w:cs="Arial"/>
        </w:rPr>
        <w:t>no</w:t>
      </w:r>
      <w:r w:rsidR="00D571CE">
        <w:rPr>
          <w:rFonts w:ascii="Arial" w:hAnsi="Arial" w:cs="Arial"/>
        </w:rPr>
        <w:t>t</w:t>
      </w:r>
      <w:r w:rsidR="00D571CE" w:rsidRPr="001A3506">
        <w:rPr>
          <w:rFonts w:ascii="Arial" w:hAnsi="Arial" w:cs="Arial"/>
        </w:rPr>
        <w:t xml:space="preserve"> the </w:t>
      </w:r>
      <w:r w:rsidR="00D571CE">
        <w:rPr>
          <w:rFonts w:ascii="Arial" w:hAnsi="Arial" w:cs="Arial"/>
        </w:rPr>
        <w:t>participant</w:t>
      </w:r>
      <w:r w:rsidR="00D571CE" w:rsidRPr="001A3506">
        <w:rPr>
          <w:rFonts w:ascii="Arial" w:hAnsi="Arial" w:cs="Arial"/>
        </w:rPr>
        <w:t xml:space="preserve"> tabl</w:t>
      </w:r>
      <w:r w:rsidR="00D571CE">
        <w:rPr>
          <w:rFonts w:ascii="Arial" w:hAnsi="Arial" w:cs="Arial"/>
        </w:rPr>
        <w:t>e.</w:t>
      </w:r>
      <w:r w:rsidR="007C3423">
        <w:rPr>
          <w:rFonts w:ascii="Arial" w:hAnsi="Arial" w:cs="Arial"/>
        </w:rPr>
        <w:t xml:space="preserve"> </w:t>
      </w:r>
    </w:p>
    <w:p w14:paraId="6F120BFC" w14:textId="77777777" w:rsidR="00675F25" w:rsidRPr="001A3506" w:rsidRDefault="00675F25" w:rsidP="00493427">
      <w:pPr>
        <w:rPr>
          <w:rFonts w:ascii="Arial" w:hAnsi="Arial" w:cs="Arial"/>
        </w:rPr>
      </w:pPr>
    </w:p>
    <w:p w14:paraId="33FE571F" w14:textId="66AF421B" w:rsidR="00D4540E" w:rsidRDefault="004F02E5" w:rsidP="00493427">
      <w:r w:rsidRPr="00493427">
        <w:t xml:space="preserve">Detailed tracking of lab results </w:t>
      </w:r>
      <w:r w:rsidR="00D4540E">
        <w:t>would</w:t>
      </w:r>
      <w:r w:rsidR="00D4540E" w:rsidRPr="00493427">
        <w:t xml:space="preserve"> </w:t>
      </w:r>
      <w:r w:rsidRPr="00493427">
        <w:t>require a separate table.</w:t>
      </w:r>
      <w:r w:rsidR="00D4540E">
        <w:t xml:space="preserve"> For example, i</w:t>
      </w:r>
      <w:r w:rsidRPr="00493427">
        <w:t>f the investigators need</w:t>
      </w:r>
      <w:r w:rsidR="00D4540E">
        <w:t>ed</w:t>
      </w:r>
      <w:r w:rsidRPr="00493427">
        <w:t xml:space="preserve"> the entire trajectory of bilirubin levels after birth, then the database should include a separate lab result table with one record per lab result and fields for date/time of lab test, lab test type (total bilirubin), test result (bilirubin level), and </w:t>
      </w:r>
      <w:r w:rsidR="00C74508">
        <w:t>Participant</w:t>
      </w:r>
      <w:r>
        <w:t>ID</w:t>
      </w:r>
      <w:r w:rsidR="00D4540E">
        <w:t>,</w:t>
      </w:r>
      <w:r w:rsidR="00F27EF4">
        <w:t xml:space="preserve"> the foreign key</w:t>
      </w:r>
      <w:r w:rsidR="00F27EF4" w:rsidRPr="00493427">
        <w:t xml:space="preserve"> </w:t>
      </w:r>
      <w:r w:rsidRPr="00493427">
        <w:t xml:space="preserve">for linking back to the </w:t>
      </w:r>
      <w:r w:rsidR="00C74508">
        <w:t>participant</w:t>
      </w:r>
      <w:r w:rsidRPr="00493427">
        <w:t>-specific information</w:t>
      </w:r>
      <w:r w:rsidR="000E4603">
        <w:t>, as in</w:t>
      </w:r>
      <w:r w:rsidR="000221C3" w:rsidRPr="00493427">
        <w:t xml:space="preserve"> </w:t>
      </w:r>
      <w:r w:rsidR="009E360B">
        <w:t>Figure 19.</w:t>
      </w:r>
      <w:r w:rsidRPr="00493427">
        <w:t>3.</w:t>
      </w:r>
      <w:r w:rsidR="00F23215" w:rsidRPr="00493427">
        <w:t xml:space="preserve"> </w:t>
      </w:r>
    </w:p>
    <w:p w14:paraId="2530A8C4" w14:textId="6F51430C" w:rsidR="00696478" w:rsidRDefault="004C5220" w:rsidP="00493427">
      <w:r w:rsidRPr="004C5220">
        <w:rPr>
          <w:noProof/>
        </w:rPr>
        <w:lastRenderedPageBreak/>
        <w:t xml:space="preserve"> </w:t>
      </w:r>
      <w:r w:rsidRPr="004C5220">
        <w:rPr>
          <w:noProof/>
        </w:rPr>
        <w:drawing>
          <wp:inline distT="0" distB="0" distL="0" distR="0" wp14:anchorId="1DD1987F" wp14:editId="12EB7E19">
            <wp:extent cx="5731510" cy="3082925"/>
            <wp:effectExtent l="0" t="0" r="0" b="3175"/>
            <wp:docPr id="11" name="Picture 1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able&#10;&#10;Description automatically generated"/>
                    <pic:cNvPicPr/>
                  </pic:nvPicPr>
                  <pic:blipFill>
                    <a:blip r:embed="rId10"/>
                    <a:stretch>
                      <a:fillRect/>
                    </a:stretch>
                  </pic:blipFill>
                  <pic:spPr>
                    <a:xfrm>
                      <a:off x="0" y="0"/>
                      <a:ext cx="5731510" cy="3082925"/>
                    </a:xfrm>
                    <a:prstGeom prst="rect">
                      <a:avLst/>
                    </a:prstGeom>
                  </pic:spPr>
                </pic:pic>
              </a:graphicData>
            </a:graphic>
          </wp:inline>
        </w:drawing>
      </w:r>
    </w:p>
    <w:p w14:paraId="4794588E" w14:textId="6C87F1DA" w:rsidR="00F23215" w:rsidRPr="004C5220" w:rsidRDefault="009E360B" w:rsidP="00493427">
      <w:pPr>
        <w:rPr>
          <w:rFonts w:ascii="Arial" w:hAnsi="Arial" w:cs="Arial"/>
        </w:rPr>
      </w:pPr>
      <w:r>
        <w:rPr>
          <w:rFonts w:ascii="Arial" w:hAnsi="Arial" w:cs="Arial"/>
          <w:b/>
        </w:rPr>
        <w:t>Figure 19.</w:t>
      </w:r>
      <w:r w:rsidR="00F23215" w:rsidRPr="004C5220">
        <w:rPr>
          <w:rFonts w:ascii="Arial" w:hAnsi="Arial" w:cs="Arial"/>
          <w:b/>
        </w:rPr>
        <w:t xml:space="preserve">3.  </w:t>
      </w:r>
      <w:r w:rsidR="00F23215" w:rsidRPr="004C5220">
        <w:rPr>
          <w:rFonts w:ascii="Arial" w:hAnsi="Arial" w:cs="Arial"/>
        </w:rPr>
        <w:t xml:space="preserve">The linkage between the table of </w:t>
      </w:r>
      <w:r w:rsidR="00C74508" w:rsidRPr="004C5220">
        <w:rPr>
          <w:rFonts w:ascii="Arial" w:hAnsi="Arial" w:cs="Arial"/>
        </w:rPr>
        <w:t>participant</w:t>
      </w:r>
      <w:r w:rsidR="00F23215" w:rsidRPr="004C5220">
        <w:rPr>
          <w:rFonts w:ascii="Arial" w:hAnsi="Arial" w:cs="Arial"/>
        </w:rPr>
        <w:t>s and the table of lab results. The lab results capture the trajectory of Amy’s total bilirubin</w:t>
      </w:r>
      <w:r w:rsidR="00D4540E" w:rsidRPr="004C5220">
        <w:rPr>
          <w:rFonts w:ascii="Arial" w:hAnsi="Arial" w:cs="Arial"/>
        </w:rPr>
        <w:t xml:space="preserve"> levels</w:t>
      </w:r>
      <w:r w:rsidR="00F23215" w:rsidRPr="004C5220">
        <w:rPr>
          <w:rFonts w:ascii="Arial" w:hAnsi="Arial" w:cs="Arial"/>
        </w:rPr>
        <w:t xml:space="preserve"> </w:t>
      </w:r>
      <w:r w:rsidR="00D4540E" w:rsidRPr="004C5220">
        <w:rPr>
          <w:rFonts w:ascii="Arial" w:hAnsi="Arial" w:cs="Arial"/>
        </w:rPr>
        <w:t>during the</w:t>
      </w:r>
      <w:r w:rsidR="00F23215" w:rsidRPr="004C5220">
        <w:rPr>
          <w:rFonts w:ascii="Arial" w:hAnsi="Arial" w:cs="Arial"/>
        </w:rPr>
        <w:t xml:space="preserve"> first </w:t>
      </w:r>
      <w:r w:rsidR="000221C3" w:rsidRPr="004C5220">
        <w:rPr>
          <w:rFonts w:ascii="Arial" w:hAnsi="Arial" w:cs="Arial"/>
        </w:rPr>
        <w:t>4</w:t>
      </w:r>
      <w:r w:rsidR="00F23215" w:rsidRPr="004C5220">
        <w:rPr>
          <w:rFonts w:ascii="Arial" w:hAnsi="Arial" w:cs="Arial"/>
        </w:rPr>
        <w:t xml:space="preserve"> days after birth.</w:t>
      </w:r>
    </w:p>
    <w:p w14:paraId="4029C4D7" w14:textId="77777777" w:rsidR="00675F25" w:rsidRPr="00493427" w:rsidRDefault="00675F25" w:rsidP="00493427"/>
    <w:p w14:paraId="56C73534" w14:textId="01BD05BE" w:rsidR="00696478" w:rsidRPr="00493427" w:rsidRDefault="004F02E5" w:rsidP="00493427">
      <w:r w:rsidRPr="00493427">
        <w:t>A study's administrative data</w:t>
      </w:r>
      <w:r w:rsidR="00D4540E">
        <w:t>,</w:t>
      </w:r>
      <w:r w:rsidRPr="00493427">
        <w:t xml:space="preserve"> such as call logs, visit schedules, and reimbursement records</w:t>
      </w:r>
      <w:r w:rsidR="00D4540E">
        <w:t>,</w:t>
      </w:r>
      <w:r w:rsidRPr="00493427">
        <w:t xml:space="preserve"> also require separate tables. In the infant jaundice study,</w:t>
      </w:r>
      <w:r w:rsidR="00BB5A43">
        <w:t xml:space="preserve"> just a few</w:t>
      </w:r>
      <w:r w:rsidRPr="00493427">
        <w:t xml:space="preserve"> calls were made to the parents of </w:t>
      </w:r>
      <w:r w:rsidR="00BB5A43">
        <w:t>some</w:t>
      </w:r>
      <w:r w:rsidR="00BB5A43" w:rsidRPr="00493427">
        <w:t xml:space="preserve"> </w:t>
      </w:r>
      <w:r w:rsidRPr="00493427">
        <w:t xml:space="preserve">study </w:t>
      </w:r>
      <w:r w:rsidR="00C74508">
        <w:t>participant</w:t>
      </w:r>
      <w:r w:rsidR="00BB5A43">
        <w:t xml:space="preserve">s, </w:t>
      </w:r>
      <w:r w:rsidR="00D4540E">
        <w:t>but</w:t>
      </w:r>
      <w:r w:rsidR="00BB5A43">
        <w:t xml:space="preserve"> 50 or more </w:t>
      </w:r>
      <w:r w:rsidR="0066437D">
        <w:t xml:space="preserve">calls were made </w:t>
      </w:r>
      <w:r w:rsidR="00BB5A43">
        <w:t xml:space="preserve">to </w:t>
      </w:r>
      <w:r w:rsidR="00D4540E">
        <w:t xml:space="preserve">those </w:t>
      </w:r>
      <w:r w:rsidR="00BB5A43">
        <w:t>who were harder to reach</w:t>
      </w:r>
      <w:r w:rsidRPr="00493427">
        <w:t>. It would be difficult</w:t>
      </w:r>
      <w:r w:rsidR="00426332">
        <w:t xml:space="preserve"> </w:t>
      </w:r>
      <w:r w:rsidRPr="00493427">
        <w:t xml:space="preserve">to track these calls in a data table with one row per study </w:t>
      </w:r>
      <w:r w:rsidR="00C74508">
        <w:t>participant</w:t>
      </w:r>
      <w:r w:rsidR="00426332">
        <w:t xml:space="preserve">, because </w:t>
      </w:r>
      <w:r w:rsidR="004419B4">
        <w:t xml:space="preserve">such a table would need to have enough columns to accommodate the </w:t>
      </w:r>
      <w:r w:rsidR="00C74508">
        <w:t>participant</w:t>
      </w:r>
      <w:r w:rsidR="004419B4">
        <w:t xml:space="preserve"> with the highest number of calls, and those columns would be empty for most </w:t>
      </w:r>
      <w:r w:rsidR="00C74508">
        <w:t>participant</w:t>
      </w:r>
      <w:r w:rsidR="004419B4">
        <w:t>s</w:t>
      </w:r>
      <w:r w:rsidR="0066437D">
        <w:t>.</w:t>
      </w:r>
      <w:r w:rsidR="004403A5">
        <w:t xml:space="preserve"> </w:t>
      </w:r>
      <w:r w:rsidR="00D4540E">
        <w:t xml:space="preserve">It is much easier to have </w:t>
      </w:r>
      <w:r w:rsidRPr="00493427">
        <w:t xml:space="preserve">a separate table </w:t>
      </w:r>
      <w:r w:rsidR="00D4540E">
        <w:t>with</w:t>
      </w:r>
      <w:r w:rsidR="00D4540E" w:rsidRPr="00493427">
        <w:t xml:space="preserve"> </w:t>
      </w:r>
      <w:r w:rsidRPr="00D4540E">
        <w:t>one row per call</w:t>
      </w:r>
      <w:r w:rsidR="00D4540E">
        <w:t>;</w:t>
      </w:r>
      <w:r w:rsidRPr="00493427">
        <w:t xml:space="preserve"> </w:t>
      </w:r>
      <w:r w:rsidR="00C74508">
        <w:t>Participant</w:t>
      </w:r>
      <w:r>
        <w:t>ID</w:t>
      </w:r>
      <w:r w:rsidRPr="00493427">
        <w:t xml:space="preserve"> link</w:t>
      </w:r>
      <w:r w:rsidR="00D4540E">
        <w:t>s</w:t>
      </w:r>
      <w:r w:rsidRPr="00493427">
        <w:t xml:space="preserve"> </w:t>
      </w:r>
      <w:r w:rsidR="00D4540E">
        <w:t xml:space="preserve">the data </w:t>
      </w:r>
      <w:r w:rsidRPr="00493427">
        <w:t xml:space="preserve">to the study </w:t>
      </w:r>
      <w:r w:rsidR="00C74508">
        <w:t>participant</w:t>
      </w:r>
      <w:r w:rsidRPr="00493427">
        <w:t xml:space="preserve"> about whom the call was made.</w:t>
      </w:r>
    </w:p>
    <w:p w14:paraId="1FA32EEC" w14:textId="77777777" w:rsidR="00675F25" w:rsidRDefault="00675F25" w:rsidP="00493427"/>
    <w:p w14:paraId="3350E91A" w14:textId="3A2DA474" w:rsidR="00696478" w:rsidRDefault="007854EC" w:rsidP="00493427">
      <w:r>
        <w:rPr>
          <w:rStyle w:val="red"/>
          <w:color w:val="000000" w:themeColor="text1"/>
        </w:rPr>
        <w:t xml:space="preserve">The process of </w:t>
      </w:r>
      <w:r w:rsidR="00862121">
        <w:rPr>
          <w:rStyle w:val="red"/>
          <w:color w:val="000000" w:themeColor="text1"/>
        </w:rPr>
        <w:t>putting</w:t>
      </w:r>
      <w:r w:rsidR="00FE35B7">
        <w:rPr>
          <w:rStyle w:val="red"/>
          <w:color w:val="000000" w:themeColor="text1"/>
        </w:rPr>
        <w:t xml:space="preserve"> </w:t>
      </w:r>
      <w:r w:rsidR="003E4748">
        <w:rPr>
          <w:rStyle w:val="red"/>
          <w:color w:val="000000" w:themeColor="text1"/>
        </w:rPr>
        <w:t>fields</w:t>
      </w:r>
      <w:r w:rsidR="00FE35B7">
        <w:rPr>
          <w:rStyle w:val="red"/>
          <w:color w:val="000000" w:themeColor="text1"/>
        </w:rPr>
        <w:t xml:space="preserve"> for which each </w:t>
      </w:r>
      <w:r w:rsidR="00C74508">
        <w:rPr>
          <w:rStyle w:val="red"/>
          <w:color w:val="000000" w:themeColor="text1"/>
        </w:rPr>
        <w:t>participant</w:t>
      </w:r>
      <w:r w:rsidR="00FE35B7">
        <w:rPr>
          <w:rStyle w:val="red"/>
          <w:color w:val="000000" w:themeColor="text1"/>
        </w:rPr>
        <w:t xml:space="preserve"> has </w:t>
      </w:r>
      <w:r w:rsidR="00F7505C">
        <w:rPr>
          <w:rStyle w:val="red"/>
          <w:color w:val="000000" w:themeColor="text1"/>
        </w:rPr>
        <w:t xml:space="preserve">only a </w:t>
      </w:r>
      <w:r w:rsidR="00FE35B7">
        <w:rPr>
          <w:rStyle w:val="red"/>
          <w:color w:val="000000" w:themeColor="text1"/>
        </w:rPr>
        <w:t>single value</w:t>
      </w:r>
      <w:r w:rsidR="001F257E">
        <w:rPr>
          <w:rStyle w:val="red"/>
          <w:color w:val="000000" w:themeColor="text1"/>
        </w:rPr>
        <w:t xml:space="preserve"> in one table</w:t>
      </w:r>
      <w:r w:rsidR="00FE35B7">
        <w:rPr>
          <w:rStyle w:val="red"/>
          <w:color w:val="000000" w:themeColor="text1"/>
        </w:rPr>
        <w:t xml:space="preserve"> (such as </w:t>
      </w:r>
      <w:r w:rsidR="000B7F40">
        <w:rPr>
          <w:rStyle w:val="red"/>
          <w:color w:val="000000" w:themeColor="text1"/>
        </w:rPr>
        <w:t>birth date, birth weight</w:t>
      </w:r>
      <w:r w:rsidR="00F7505C">
        <w:rPr>
          <w:rStyle w:val="red"/>
          <w:color w:val="000000" w:themeColor="text1"/>
        </w:rPr>
        <w:t xml:space="preserve"> and sex assigned at birth</w:t>
      </w:r>
      <w:r w:rsidR="001F257E">
        <w:rPr>
          <w:rStyle w:val="red"/>
          <w:color w:val="000000" w:themeColor="text1"/>
        </w:rPr>
        <w:t>)</w:t>
      </w:r>
      <w:r w:rsidR="00862121">
        <w:rPr>
          <w:rStyle w:val="red"/>
          <w:color w:val="000000" w:themeColor="text1"/>
        </w:rPr>
        <w:t xml:space="preserve"> and </w:t>
      </w:r>
      <w:r w:rsidR="003E4748">
        <w:rPr>
          <w:rStyle w:val="red"/>
          <w:color w:val="000000" w:themeColor="text1"/>
        </w:rPr>
        <w:t>fields</w:t>
      </w:r>
      <w:r w:rsidR="00F7505C">
        <w:rPr>
          <w:rStyle w:val="red"/>
          <w:color w:val="000000" w:themeColor="text1"/>
        </w:rPr>
        <w:t xml:space="preserve"> that take on </w:t>
      </w:r>
      <w:r w:rsidR="00FF4609">
        <w:rPr>
          <w:rStyle w:val="red"/>
          <w:color w:val="000000" w:themeColor="text1"/>
        </w:rPr>
        <w:t xml:space="preserve">multiple and variable numbers of values per </w:t>
      </w:r>
      <w:r w:rsidR="00C74508">
        <w:rPr>
          <w:rStyle w:val="red"/>
          <w:color w:val="000000" w:themeColor="text1"/>
        </w:rPr>
        <w:t>participant</w:t>
      </w:r>
      <w:r w:rsidR="001F257E">
        <w:rPr>
          <w:rStyle w:val="red"/>
          <w:color w:val="000000" w:themeColor="text1"/>
        </w:rPr>
        <w:t xml:space="preserve"> in another table</w:t>
      </w:r>
      <w:r w:rsidR="00FF4609">
        <w:rPr>
          <w:rStyle w:val="red"/>
          <w:color w:val="000000" w:themeColor="text1"/>
        </w:rPr>
        <w:t xml:space="preserve"> (such as phone calls or bilirubin level</w:t>
      </w:r>
      <w:r w:rsidR="00D2018F">
        <w:rPr>
          <w:rStyle w:val="red"/>
          <w:color w:val="000000" w:themeColor="text1"/>
        </w:rPr>
        <w:t>s</w:t>
      </w:r>
      <w:r w:rsidR="00FF4609">
        <w:rPr>
          <w:rStyle w:val="red"/>
          <w:color w:val="000000" w:themeColor="text1"/>
        </w:rPr>
        <w:t>)</w:t>
      </w:r>
      <w:r w:rsidR="003E4748">
        <w:rPr>
          <w:rStyle w:val="red"/>
          <w:color w:val="000000" w:themeColor="text1"/>
        </w:rPr>
        <w:t xml:space="preserve"> </w:t>
      </w:r>
      <w:r w:rsidR="00182330">
        <w:rPr>
          <w:rStyle w:val="red"/>
          <w:color w:val="000000" w:themeColor="text1"/>
        </w:rPr>
        <w:t xml:space="preserve">is </w:t>
      </w:r>
      <w:r w:rsidR="00CE7BC9">
        <w:rPr>
          <w:rStyle w:val="red"/>
          <w:color w:val="000000" w:themeColor="text1"/>
        </w:rPr>
        <w:t xml:space="preserve">part of </w:t>
      </w:r>
      <w:r w:rsidR="00D4540E">
        <w:rPr>
          <w:rStyle w:val="red"/>
          <w:color w:val="000000" w:themeColor="text1"/>
        </w:rPr>
        <w:t xml:space="preserve">database </w:t>
      </w:r>
      <w:r w:rsidR="00182330" w:rsidRPr="008F625F">
        <w:rPr>
          <w:rStyle w:val="red"/>
        </w:rPr>
        <w:t>normalization</w:t>
      </w:r>
      <w:r>
        <w:rPr>
          <w:rStyle w:val="red"/>
          <w:color w:val="000000" w:themeColor="text1"/>
        </w:rPr>
        <w:t xml:space="preserve">. </w:t>
      </w:r>
      <w:r w:rsidR="006E60FB">
        <w:rPr>
          <w:rStyle w:val="red"/>
          <w:color w:val="000000" w:themeColor="text1"/>
        </w:rPr>
        <w:t>A key feature of normalization is that t</w:t>
      </w:r>
      <w:r w:rsidR="004C0A88">
        <w:rPr>
          <w:rStyle w:val="red"/>
          <w:color w:val="000000" w:themeColor="text1"/>
        </w:rPr>
        <w:t xml:space="preserve">he only </w:t>
      </w:r>
      <w:r w:rsidR="00C74508">
        <w:rPr>
          <w:rStyle w:val="red"/>
          <w:color w:val="000000" w:themeColor="text1"/>
        </w:rPr>
        <w:t>participant</w:t>
      </w:r>
      <w:r w:rsidR="004C0A88">
        <w:rPr>
          <w:rStyle w:val="red"/>
          <w:color w:val="000000" w:themeColor="text1"/>
        </w:rPr>
        <w:t>-</w:t>
      </w:r>
      <w:r>
        <w:rPr>
          <w:rStyle w:val="red"/>
          <w:color w:val="000000" w:themeColor="text1"/>
        </w:rPr>
        <w:t xml:space="preserve">specific </w:t>
      </w:r>
      <w:r w:rsidR="004C0A88">
        <w:rPr>
          <w:rStyle w:val="red"/>
          <w:color w:val="000000" w:themeColor="text1"/>
        </w:rPr>
        <w:t>field in new table</w:t>
      </w:r>
      <w:r w:rsidR="00D4540E">
        <w:rPr>
          <w:rStyle w:val="red"/>
          <w:color w:val="000000" w:themeColor="text1"/>
        </w:rPr>
        <w:t>s</w:t>
      </w:r>
      <w:r w:rsidR="004C0A88">
        <w:rPr>
          <w:rStyle w:val="red"/>
          <w:color w:val="000000" w:themeColor="text1"/>
        </w:rPr>
        <w:t xml:space="preserve"> </w:t>
      </w:r>
      <w:r w:rsidR="006E60FB">
        <w:rPr>
          <w:rStyle w:val="red"/>
          <w:color w:val="000000" w:themeColor="text1"/>
        </w:rPr>
        <w:t xml:space="preserve">should </w:t>
      </w:r>
      <w:r w:rsidR="004C0A88">
        <w:rPr>
          <w:rStyle w:val="red"/>
          <w:color w:val="000000" w:themeColor="text1"/>
        </w:rPr>
        <w:t xml:space="preserve">be the </w:t>
      </w:r>
      <w:r w:rsidR="00C74508">
        <w:rPr>
          <w:rStyle w:val="red"/>
          <w:color w:val="000000" w:themeColor="text1"/>
        </w:rPr>
        <w:t>Participant</w:t>
      </w:r>
      <w:r w:rsidR="004C0A88">
        <w:rPr>
          <w:rStyle w:val="red"/>
          <w:color w:val="000000" w:themeColor="text1"/>
        </w:rPr>
        <w:t xml:space="preserve">ID to link back to the </w:t>
      </w:r>
      <w:r w:rsidR="00C74508">
        <w:rPr>
          <w:rStyle w:val="red"/>
          <w:color w:val="000000" w:themeColor="text1"/>
        </w:rPr>
        <w:t>participant</w:t>
      </w:r>
      <w:r w:rsidR="004C0A88">
        <w:rPr>
          <w:rStyle w:val="red"/>
          <w:color w:val="000000" w:themeColor="text1"/>
        </w:rPr>
        <w:t xml:space="preserve"> record. </w:t>
      </w:r>
      <w:r w:rsidR="004C0A88" w:rsidRPr="00D4540E">
        <w:rPr>
          <w:rStyle w:val="red"/>
          <w:color w:val="000000" w:themeColor="text1"/>
        </w:rPr>
        <w:t xml:space="preserve">All other </w:t>
      </w:r>
      <w:r w:rsidR="00C74508" w:rsidRPr="005D2DCD">
        <w:rPr>
          <w:rStyle w:val="red"/>
          <w:color w:val="000000" w:themeColor="text1"/>
        </w:rPr>
        <w:t>participant</w:t>
      </w:r>
      <w:r w:rsidR="004C0A88" w:rsidRPr="00D4540E">
        <w:rPr>
          <w:rStyle w:val="red"/>
          <w:color w:val="000000" w:themeColor="text1"/>
        </w:rPr>
        <w:t xml:space="preserve">-specific fields </w:t>
      </w:r>
      <w:r w:rsidR="004058E9" w:rsidRPr="00D4540E">
        <w:rPr>
          <w:rStyle w:val="red"/>
          <w:color w:val="000000" w:themeColor="text1"/>
        </w:rPr>
        <w:t xml:space="preserve">(such as </w:t>
      </w:r>
      <w:r w:rsidR="00D4540E">
        <w:rPr>
          <w:rStyle w:val="red"/>
          <w:color w:val="000000" w:themeColor="text1"/>
        </w:rPr>
        <w:t>date of birth</w:t>
      </w:r>
      <w:r w:rsidR="00D4540E" w:rsidRPr="00D4540E">
        <w:rPr>
          <w:rStyle w:val="red"/>
          <w:color w:val="000000" w:themeColor="text1"/>
        </w:rPr>
        <w:t xml:space="preserve"> </w:t>
      </w:r>
      <w:r w:rsidR="004058E9" w:rsidRPr="00D4540E">
        <w:rPr>
          <w:rStyle w:val="red"/>
          <w:color w:val="000000" w:themeColor="text1"/>
        </w:rPr>
        <w:t>and sex)</w:t>
      </w:r>
      <w:r w:rsidRPr="00D4540E">
        <w:rPr>
          <w:rStyle w:val="red"/>
          <w:color w:val="000000" w:themeColor="text1"/>
        </w:rPr>
        <w:t xml:space="preserve"> </w:t>
      </w:r>
      <w:r w:rsidR="00D4540E">
        <w:rPr>
          <w:rStyle w:val="red"/>
          <w:color w:val="000000" w:themeColor="text1"/>
        </w:rPr>
        <w:t>are stored</w:t>
      </w:r>
      <w:r w:rsidR="00D4540E" w:rsidRPr="00D4540E">
        <w:rPr>
          <w:rStyle w:val="red"/>
          <w:color w:val="000000" w:themeColor="text1"/>
        </w:rPr>
        <w:t xml:space="preserve"> </w:t>
      </w:r>
      <w:r w:rsidRPr="00D4540E">
        <w:rPr>
          <w:rStyle w:val="red"/>
          <w:color w:val="000000" w:themeColor="text1"/>
        </w:rPr>
        <w:t xml:space="preserve">in a table with only one record per </w:t>
      </w:r>
      <w:r w:rsidR="00C74508" w:rsidRPr="005D2DCD">
        <w:rPr>
          <w:rStyle w:val="red"/>
          <w:color w:val="000000" w:themeColor="text1"/>
        </w:rPr>
        <w:t>participant</w:t>
      </w:r>
      <w:r w:rsidRPr="00D4540E">
        <w:rPr>
          <w:rStyle w:val="red"/>
          <w:color w:val="000000" w:themeColor="text1"/>
        </w:rPr>
        <w:t>.</w:t>
      </w:r>
      <w:r w:rsidR="00182330">
        <w:rPr>
          <w:rStyle w:val="red"/>
          <w:color w:val="000000" w:themeColor="text1"/>
        </w:rPr>
        <w:t xml:space="preserve"> </w:t>
      </w:r>
      <w:r w:rsidR="00182330" w:rsidRPr="00274C95">
        <w:rPr>
          <w:rStyle w:val="red"/>
          <w:color w:val="000000" w:themeColor="text1"/>
        </w:rPr>
        <w:t xml:space="preserve"> </w:t>
      </w:r>
      <w:r w:rsidR="004F02E5" w:rsidRPr="00493427">
        <w:t xml:space="preserve">Normalization eliminates redundant storage and the opportunity for inconsistencies. Relational database software can be set to maintain </w:t>
      </w:r>
      <w:r w:rsidR="004F02E5" w:rsidRPr="008F625F">
        <w:rPr>
          <w:rStyle w:val="red"/>
        </w:rPr>
        <w:t>referential integrity</w:t>
      </w:r>
      <w:r w:rsidR="004F02E5" w:rsidRPr="00493427">
        <w:t xml:space="preserve"> that will not allow creation of an exam, lab</w:t>
      </w:r>
      <w:r w:rsidR="00D4540E">
        <w:t xml:space="preserve"> </w:t>
      </w:r>
      <w:r w:rsidR="004F02E5" w:rsidRPr="00493427">
        <w:t xml:space="preserve">result, or call record for </w:t>
      </w:r>
      <w:r w:rsidR="00D4540E">
        <w:t>someone</w:t>
      </w:r>
      <w:r w:rsidR="004F02E5" w:rsidRPr="00493427">
        <w:t xml:space="preserve"> who </w:t>
      </w:r>
      <w:r w:rsidR="00D4540E">
        <w:t xml:space="preserve">is </w:t>
      </w:r>
      <w:r w:rsidR="004F02E5" w:rsidRPr="00493427">
        <w:t xml:space="preserve">not </w:t>
      </w:r>
      <w:r w:rsidR="00D4540E">
        <w:t>already listed</w:t>
      </w:r>
      <w:r w:rsidR="004F02E5" w:rsidRPr="00493427">
        <w:t xml:space="preserve"> in the </w:t>
      </w:r>
      <w:r w:rsidR="00C74508">
        <w:t>participant</w:t>
      </w:r>
      <w:r w:rsidR="004F02E5" w:rsidRPr="00493427">
        <w:t xml:space="preserve"> table. Similarly, it prevents deletion of a </w:t>
      </w:r>
      <w:r w:rsidR="00C74508">
        <w:t>participant</w:t>
      </w:r>
      <w:r w:rsidR="004F02E5" w:rsidRPr="00493427">
        <w:t xml:space="preserve"> unless </w:t>
      </w:r>
      <w:r w:rsidR="00FE0E8B" w:rsidRPr="00493427">
        <w:t>all</w:t>
      </w:r>
      <w:r w:rsidR="004F02E5" w:rsidRPr="00493427">
        <w:t xml:space="preserve"> that </w:t>
      </w:r>
      <w:r w:rsidR="00C74508">
        <w:t>participant</w:t>
      </w:r>
      <w:r w:rsidR="004F02E5" w:rsidRPr="00493427">
        <w:t>'s exams, lab results, and calls have also been deleted.</w:t>
      </w:r>
    </w:p>
    <w:p w14:paraId="040AC2B9" w14:textId="2BDCD8BF" w:rsidR="002F6851" w:rsidRDefault="002F6851" w:rsidP="00493427"/>
    <w:p w14:paraId="49D998C7" w14:textId="751592A9" w:rsidR="00696478" w:rsidRDefault="004F02E5" w:rsidP="001B1C5F">
      <w:pPr>
        <w:pStyle w:val="Heading2"/>
      </w:pPr>
      <w:r>
        <w:rPr>
          <w:rFonts w:ascii="Times New Roman" w:hAnsi="Times New Roman"/>
          <w:sz w:val="24"/>
        </w:rPr>
        <w:t>&lt;H2&gt;Data Dictionaries, Data Types, and Domains</w:t>
      </w:r>
    </w:p>
    <w:p w14:paraId="4D130ED6" w14:textId="3656358D" w:rsidR="000E448F" w:rsidRDefault="004F02E5" w:rsidP="00493427">
      <w:r w:rsidRPr="00493427">
        <w:t xml:space="preserve">Each column or field </w:t>
      </w:r>
      <w:r w:rsidR="00D4540E">
        <w:t>in a database must have</w:t>
      </w:r>
      <w:r w:rsidR="00D4540E" w:rsidRPr="00493427">
        <w:t xml:space="preserve"> </w:t>
      </w:r>
      <w:r w:rsidRPr="00493427">
        <w:t>a name</w:t>
      </w:r>
      <w:r w:rsidR="00D4540E">
        <w:t xml:space="preserve">, </w:t>
      </w:r>
      <w:r w:rsidRPr="00D4540E">
        <w:t>data type</w:t>
      </w:r>
      <w:r w:rsidR="00D4540E" w:rsidRPr="00D4540E">
        <w:t>,</w:t>
      </w:r>
      <w:r w:rsidR="00D4540E">
        <w:t xml:space="preserve"> </w:t>
      </w:r>
      <w:r w:rsidRPr="00D4540E">
        <w:t>and</w:t>
      </w:r>
      <w:r w:rsidRPr="00493427">
        <w:t xml:space="preserve"> definition. </w:t>
      </w:r>
      <w:r w:rsidR="000E448F">
        <w:t>For example, i</w:t>
      </w:r>
      <w:r w:rsidRPr="00493427">
        <w:t xml:space="preserve">n the </w:t>
      </w:r>
      <w:r w:rsidR="000E448F">
        <w:t>p</w:t>
      </w:r>
      <w:r w:rsidR="00C74508">
        <w:t>articipant</w:t>
      </w:r>
      <w:r w:rsidRPr="00493427">
        <w:t xml:space="preserve"> table of </w:t>
      </w:r>
      <w:r w:rsidR="009E360B">
        <w:t>Figure 19.</w:t>
      </w:r>
      <w:r w:rsidRPr="00493427">
        <w:t xml:space="preserve">2, </w:t>
      </w:r>
      <w:r w:rsidR="005D19C4" w:rsidRPr="00493427">
        <w:t>“</w:t>
      </w:r>
      <w:r w:rsidRPr="00493427">
        <w:t xml:space="preserve">FName” is a </w:t>
      </w:r>
      <w:r w:rsidRPr="005D2DCD">
        <w:rPr>
          <w:i/>
          <w:iCs/>
        </w:rPr>
        <w:t>text</w:t>
      </w:r>
      <w:r w:rsidRPr="00493427">
        <w:t xml:space="preserve"> field that contains the </w:t>
      </w:r>
      <w:r w:rsidR="00C74508">
        <w:t>participant</w:t>
      </w:r>
      <w:r w:rsidRPr="00493427">
        <w:t>'s first name</w:t>
      </w:r>
      <w:r w:rsidR="000E448F">
        <w:t>,</w:t>
      </w:r>
      <w:r w:rsidRPr="00493427">
        <w:t xml:space="preserve"> “DOB” is a </w:t>
      </w:r>
      <w:r w:rsidRPr="005D2DCD">
        <w:rPr>
          <w:i/>
          <w:iCs/>
        </w:rPr>
        <w:t>date</w:t>
      </w:r>
      <w:r w:rsidRPr="00493427">
        <w:t xml:space="preserve"> field that contains the </w:t>
      </w:r>
      <w:r w:rsidR="00C74508">
        <w:t>participant</w:t>
      </w:r>
      <w:r w:rsidRPr="00493427">
        <w:t>'s birth date, and “</w:t>
      </w:r>
      <w:r w:rsidR="00E96673" w:rsidRPr="00493427">
        <w:t>Hyperbili_ind</w:t>
      </w:r>
      <w:r w:rsidRPr="00493427">
        <w:t xml:space="preserve">” is a </w:t>
      </w:r>
      <w:r w:rsidRPr="005D2DCD">
        <w:rPr>
          <w:i/>
          <w:iCs/>
        </w:rPr>
        <w:t>yes/no</w:t>
      </w:r>
      <w:r w:rsidRPr="00493427">
        <w:t xml:space="preserve"> field that indicates whether the bilirubin exceeded 25 mg/</w:t>
      </w:r>
      <w:r w:rsidR="000E448F">
        <w:t>dL</w:t>
      </w:r>
      <w:r w:rsidRPr="00493427">
        <w:t xml:space="preserve">. In </w:t>
      </w:r>
      <w:r w:rsidRPr="00493427">
        <w:lastRenderedPageBreak/>
        <w:t xml:space="preserve">the </w:t>
      </w:r>
      <w:r w:rsidR="000E448F">
        <w:t>e</w:t>
      </w:r>
      <w:r w:rsidRPr="00493427">
        <w:t>xam table, “</w:t>
      </w:r>
      <w:r w:rsidR="00E96673" w:rsidRPr="00493427">
        <w:t>Ex</w:t>
      </w:r>
      <w:r w:rsidRPr="00493427">
        <w:t xml:space="preserve">Wght” is a </w:t>
      </w:r>
      <w:r w:rsidR="00657B0A" w:rsidRPr="00493427">
        <w:t>(continuous</w:t>
      </w:r>
      <w:r w:rsidR="0069405A" w:rsidRPr="00493427">
        <w:t>)</w:t>
      </w:r>
      <w:r w:rsidR="00432C27">
        <w:rPr>
          <w:i/>
          <w:iCs/>
        </w:rPr>
        <w:t xml:space="preserve"> </w:t>
      </w:r>
      <w:r w:rsidR="005D19C4" w:rsidRPr="005D2DCD">
        <w:rPr>
          <w:i/>
          <w:iCs/>
        </w:rPr>
        <w:t>number</w:t>
      </w:r>
      <w:r w:rsidR="005D19C4">
        <w:t xml:space="preserve"> </w:t>
      </w:r>
      <w:r w:rsidR="00F1250C">
        <w:t xml:space="preserve">field </w:t>
      </w:r>
      <w:r w:rsidR="000E448F">
        <w:t>for</w:t>
      </w:r>
      <w:r w:rsidR="00F1250C">
        <w:t xml:space="preserve"> </w:t>
      </w:r>
      <w:r w:rsidRPr="00493427">
        <w:t>weight in kilograms and “IQ” is a</w:t>
      </w:r>
      <w:r w:rsidR="0069405A" w:rsidRPr="00493427">
        <w:t xml:space="preserve"> (discrete)</w:t>
      </w:r>
      <w:r w:rsidRPr="00493427">
        <w:t xml:space="preserve"> </w:t>
      </w:r>
      <w:r w:rsidRPr="005D2DCD">
        <w:rPr>
          <w:i/>
          <w:iCs/>
        </w:rPr>
        <w:t>integer</w:t>
      </w:r>
      <w:r w:rsidRPr="00493427">
        <w:t xml:space="preserve"> IQ score. </w:t>
      </w:r>
      <w:r w:rsidR="000E448F">
        <w:t>T</w:t>
      </w:r>
      <w:r w:rsidR="000E448F" w:rsidRPr="00493427">
        <w:t xml:space="preserve">he </w:t>
      </w:r>
      <w:r w:rsidR="000E448F">
        <w:t xml:space="preserve">data types and </w:t>
      </w:r>
      <w:r w:rsidR="000E448F" w:rsidRPr="00493427">
        <w:t xml:space="preserve">definitions </w:t>
      </w:r>
      <w:r w:rsidR="000E448F">
        <w:t xml:space="preserve">should </w:t>
      </w:r>
      <w:r w:rsidR="00C0452D">
        <w:t xml:space="preserve">be </w:t>
      </w:r>
      <w:r w:rsidR="000E448F">
        <w:t xml:space="preserve">made explicit for every </w:t>
      </w:r>
      <w:r w:rsidR="00C0452D">
        <w:t>field</w:t>
      </w:r>
      <w:r w:rsidR="000E448F">
        <w:t xml:space="preserve"> in </w:t>
      </w:r>
      <w:r w:rsidR="00AB2C62">
        <w:t>a</w:t>
      </w:r>
      <w:r w:rsidR="000E448F">
        <w:t xml:space="preserve"> </w:t>
      </w:r>
      <w:r w:rsidRPr="008F625F">
        <w:rPr>
          <w:rStyle w:val="red"/>
        </w:rPr>
        <w:t>data dictionary</w:t>
      </w:r>
      <w:r w:rsidRPr="00493427">
        <w:t xml:space="preserve">. </w:t>
      </w:r>
      <w:r w:rsidR="000E448F">
        <w:t>T</w:t>
      </w:r>
      <w:r w:rsidR="000E448F" w:rsidRPr="00493427">
        <w:t xml:space="preserve">he data dictionary is referred to as </w:t>
      </w:r>
      <w:r w:rsidR="000E448F" w:rsidRPr="000E448F">
        <w:rPr>
          <w:rStyle w:val="red"/>
          <w:i/>
          <w:color w:val="000000" w:themeColor="text1"/>
        </w:rPr>
        <w:t>metadata</w:t>
      </w:r>
      <w:r w:rsidR="000E448F" w:rsidRPr="003D2B1D">
        <w:rPr>
          <w:rStyle w:val="red"/>
          <w:iCs/>
          <w:color w:val="000000" w:themeColor="text1"/>
        </w:rPr>
        <w:t xml:space="preserve">, since it contains information about the </w:t>
      </w:r>
      <w:r w:rsidR="000E448F" w:rsidRPr="000E448F">
        <w:rPr>
          <w:rStyle w:val="red"/>
          <w:iCs/>
          <w:color w:val="000000" w:themeColor="text1"/>
        </w:rPr>
        <w:t>database</w:t>
      </w:r>
      <w:r w:rsidR="000E448F" w:rsidRPr="003D2B1D">
        <w:rPr>
          <w:rStyle w:val="red"/>
          <w:iCs/>
          <w:color w:val="000000" w:themeColor="text1"/>
        </w:rPr>
        <w:t xml:space="preserve"> itself</w:t>
      </w:r>
      <w:r w:rsidR="000E448F" w:rsidRPr="000E448F">
        <w:rPr>
          <w:iCs/>
        </w:rPr>
        <w:t>.</w:t>
      </w:r>
    </w:p>
    <w:p w14:paraId="7DA4C470" w14:textId="77777777" w:rsidR="000E448F" w:rsidRDefault="000E448F" w:rsidP="00493427"/>
    <w:p w14:paraId="1BF75DDC" w14:textId="245137B8" w:rsidR="000E448F" w:rsidRDefault="009E360B" w:rsidP="000E448F">
      <w:r>
        <w:t>Figure 19.</w:t>
      </w:r>
      <w:r w:rsidR="004F02E5" w:rsidRPr="00493427">
        <w:t xml:space="preserve">4 shows the </w:t>
      </w:r>
      <w:r w:rsidR="000E448F">
        <w:t>p</w:t>
      </w:r>
      <w:r w:rsidR="00C74508">
        <w:t>articipant</w:t>
      </w:r>
      <w:r w:rsidR="00675F25" w:rsidRPr="00493427">
        <w:t xml:space="preserve"> </w:t>
      </w:r>
      <w:r w:rsidR="004F02E5" w:rsidRPr="00493427">
        <w:t xml:space="preserve">and </w:t>
      </w:r>
      <w:r w:rsidR="000E448F">
        <w:t>e</w:t>
      </w:r>
      <w:r w:rsidR="00675F25" w:rsidRPr="00493427">
        <w:t xml:space="preserve">xam </w:t>
      </w:r>
      <w:r w:rsidR="004F02E5" w:rsidRPr="00493427">
        <w:t>tables in table design (or “data dictionary”) view.</w:t>
      </w:r>
      <w:r w:rsidR="000E448F">
        <w:t xml:space="preserve"> Th</w:t>
      </w:r>
      <w:r w:rsidR="004F02E5" w:rsidRPr="00493427">
        <w:t>e data dictionary is itself a table</w:t>
      </w:r>
      <w:r w:rsidR="000E448F">
        <w:t xml:space="preserve">, </w:t>
      </w:r>
      <w:r w:rsidR="004F02E5" w:rsidRPr="00493427">
        <w:t>with row</w:t>
      </w:r>
      <w:r w:rsidR="00AB2C62">
        <w:t>s</w:t>
      </w:r>
      <w:r w:rsidR="000E448F">
        <w:t xml:space="preserve"> for each</w:t>
      </w:r>
      <w:r w:rsidR="000E448F" w:rsidRPr="00493427">
        <w:t xml:space="preserve"> </w:t>
      </w:r>
      <w:r w:rsidR="004F02E5" w:rsidRPr="00493427">
        <w:t xml:space="preserve">field and columns for </w:t>
      </w:r>
      <w:r w:rsidR="000E448F">
        <w:t xml:space="preserve">the </w:t>
      </w:r>
      <w:r w:rsidR="004F02E5" w:rsidRPr="00493427">
        <w:t>field name, data type,</w:t>
      </w:r>
      <w:r w:rsidR="00AB2C62">
        <w:t xml:space="preserve"> and</w:t>
      </w:r>
      <w:r w:rsidR="004F02E5" w:rsidRPr="00493427">
        <w:t xml:space="preserve"> field description</w:t>
      </w:r>
      <w:r w:rsidR="000E448F">
        <w:t xml:space="preserve">, </w:t>
      </w:r>
      <w:r w:rsidR="00AB2C62">
        <w:t>as well as a</w:t>
      </w:r>
      <w:r w:rsidR="000E448F">
        <w:t xml:space="preserve"> range of allowed values</w:t>
      </w:r>
      <w:r w:rsidR="004F02E5" w:rsidRPr="00493427">
        <w:t xml:space="preserve">. </w:t>
      </w:r>
      <w:r w:rsidR="000E448F" w:rsidRPr="00493427">
        <w:t xml:space="preserve">For example, </w:t>
      </w:r>
      <w:r w:rsidR="000E448F">
        <w:t xml:space="preserve">in the infant jaundice database, </w:t>
      </w:r>
      <w:r w:rsidR="000E448F" w:rsidRPr="00493427">
        <w:t xml:space="preserve">the allowed values for the “Sex” field </w:t>
      </w:r>
      <w:r w:rsidR="000E448F">
        <w:t>we</w:t>
      </w:r>
      <w:r w:rsidR="000E448F" w:rsidRPr="00493427">
        <w:t>re “M” and “F”</w:t>
      </w:r>
      <w:r w:rsidR="00AB2C62">
        <w:t>; other values cannot be entered</w:t>
      </w:r>
      <w:r w:rsidR="00AB2C62" w:rsidRPr="00493427">
        <w:t xml:space="preserve"> in this field</w:t>
      </w:r>
      <w:r w:rsidR="000E448F" w:rsidRPr="00493427">
        <w:t>.</w:t>
      </w:r>
      <w:r w:rsidR="000E448F" w:rsidRPr="00493427">
        <w:rPr>
          <w:rStyle w:val="FootnoteReference"/>
        </w:rPr>
        <w:footnoteReference w:id="2"/>
      </w:r>
      <w:r w:rsidR="000E448F" w:rsidRPr="00493427">
        <w:t xml:space="preserve">  Similarly</w:t>
      </w:r>
      <w:r w:rsidR="00AB2C62">
        <w:t>,</w:t>
      </w:r>
      <w:r w:rsidR="000E448F" w:rsidRPr="00493427">
        <w:t xml:space="preserve"> the “IQ” field allow</w:t>
      </w:r>
      <w:r w:rsidR="00AB2C62">
        <w:t>ed</w:t>
      </w:r>
      <w:r w:rsidR="000E448F" w:rsidRPr="00493427">
        <w:t xml:space="preserve"> only integers between 40 and 200. Data managers </w:t>
      </w:r>
      <w:r w:rsidR="00AB2C62">
        <w:t>often</w:t>
      </w:r>
      <w:r w:rsidR="000E448F" w:rsidRPr="00493427">
        <w:t xml:space="preserve"> refer to validation rules as “edit checks” (1)</w:t>
      </w:r>
      <w:r w:rsidR="00AB2C62">
        <w:t>, since</w:t>
      </w:r>
      <w:r w:rsidR="000E448F" w:rsidRPr="00493427">
        <w:t xml:space="preserve"> </w:t>
      </w:r>
      <w:r w:rsidR="00AB2C62">
        <w:t>they</w:t>
      </w:r>
      <w:r w:rsidR="000E448F" w:rsidRPr="00493427">
        <w:t xml:space="preserve"> afford some protection against data entry errors. Some data types come with automatic validation rules</w:t>
      </w:r>
      <w:r w:rsidR="00AB2C62">
        <w:t>; f</w:t>
      </w:r>
      <w:r w:rsidR="000E448F" w:rsidRPr="00493427">
        <w:t>or example, database software will always reject a date of April 31.</w:t>
      </w:r>
    </w:p>
    <w:p w14:paraId="3BC6E961" w14:textId="10B0F2CD" w:rsidR="00696478" w:rsidRDefault="00696478" w:rsidP="00493427">
      <w:pPr>
        <w:rPr>
          <w:iCs/>
        </w:rPr>
      </w:pPr>
    </w:p>
    <w:p w14:paraId="2D3F8D97" w14:textId="77777777" w:rsidR="000E448F" w:rsidRPr="00493427" w:rsidRDefault="000E448F" w:rsidP="00493427"/>
    <w:p w14:paraId="5C3BF6ED" w14:textId="6F5F6023" w:rsidR="00877169" w:rsidRDefault="00556BE4" w:rsidP="00493427">
      <w:r w:rsidRPr="00556BE4">
        <w:rPr>
          <w:noProof/>
        </w:rPr>
        <w:t xml:space="preserve"> </w:t>
      </w:r>
      <w:r w:rsidRPr="00556BE4">
        <w:rPr>
          <w:noProof/>
        </w:rPr>
        <w:drawing>
          <wp:inline distT="0" distB="0" distL="0" distR="0" wp14:anchorId="7D008309" wp14:editId="59108FBE">
            <wp:extent cx="5731510" cy="4031615"/>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1"/>
                    <a:stretch>
                      <a:fillRect/>
                    </a:stretch>
                  </pic:blipFill>
                  <pic:spPr>
                    <a:xfrm>
                      <a:off x="0" y="0"/>
                      <a:ext cx="5731510" cy="4031615"/>
                    </a:xfrm>
                    <a:prstGeom prst="rect">
                      <a:avLst/>
                    </a:prstGeom>
                  </pic:spPr>
                </pic:pic>
              </a:graphicData>
            </a:graphic>
          </wp:inline>
        </w:drawing>
      </w:r>
    </w:p>
    <w:p w14:paraId="5C3EF018" w14:textId="5AD34AFC" w:rsidR="00877169" w:rsidRPr="005D2DCD" w:rsidRDefault="009E360B" w:rsidP="00493427">
      <w:pPr>
        <w:rPr>
          <w:rFonts w:ascii="Arial" w:hAnsi="Arial" w:cs="Arial"/>
        </w:rPr>
      </w:pPr>
      <w:r>
        <w:rPr>
          <w:rFonts w:ascii="Arial" w:hAnsi="Arial" w:cs="Arial"/>
        </w:rPr>
        <w:t>Figure 19.</w:t>
      </w:r>
      <w:r w:rsidR="00877169" w:rsidRPr="005D2DCD">
        <w:rPr>
          <w:rFonts w:ascii="Arial" w:hAnsi="Arial" w:cs="Arial"/>
        </w:rPr>
        <w:t xml:space="preserve">4. Table of study </w:t>
      </w:r>
      <w:r w:rsidR="00C74508" w:rsidRPr="005D2DCD">
        <w:rPr>
          <w:rFonts w:ascii="Arial" w:hAnsi="Arial" w:cs="Arial"/>
        </w:rPr>
        <w:t>participant</w:t>
      </w:r>
      <w:r w:rsidR="00877169" w:rsidRPr="005D2DCD">
        <w:rPr>
          <w:rFonts w:ascii="Arial" w:hAnsi="Arial" w:cs="Arial"/>
        </w:rPr>
        <w:t>s (“</w:t>
      </w:r>
      <w:r w:rsidR="00C74508" w:rsidRPr="005D2DCD">
        <w:rPr>
          <w:rFonts w:ascii="Arial" w:hAnsi="Arial" w:cs="Arial"/>
        </w:rPr>
        <w:t>Participant</w:t>
      </w:r>
      <w:r w:rsidR="00877169" w:rsidRPr="005D2DCD">
        <w:rPr>
          <w:rFonts w:ascii="Arial" w:hAnsi="Arial" w:cs="Arial"/>
        </w:rPr>
        <w:t xml:space="preserve">”) and the table of measurements (“Exam”) in </w:t>
      </w:r>
      <w:r w:rsidR="002109AE" w:rsidRPr="005D2DCD">
        <w:rPr>
          <w:rFonts w:ascii="Arial" w:hAnsi="Arial" w:cs="Arial"/>
        </w:rPr>
        <w:t>“</w:t>
      </w:r>
      <w:r w:rsidR="00877169" w:rsidRPr="005D2DCD">
        <w:rPr>
          <w:rFonts w:ascii="Arial" w:hAnsi="Arial" w:cs="Arial"/>
        </w:rPr>
        <w:t>data dictionary view.</w:t>
      </w:r>
      <w:r w:rsidR="002109AE" w:rsidRPr="005D2DCD">
        <w:rPr>
          <w:rFonts w:ascii="Arial" w:hAnsi="Arial" w:cs="Arial"/>
        </w:rPr>
        <w:t>”</w:t>
      </w:r>
      <w:r w:rsidR="00877169" w:rsidRPr="005D2DCD">
        <w:rPr>
          <w:rFonts w:ascii="Arial" w:hAnsi="Arial" w:cs="Arial"/>
        </w:rPr>
        <w:t xml:space="preserve">  Each variable has a name, a data type, a description, and a domain or set of allowed values.</w:t>
      </w:r>
    </w:p>
    <w:p w14:paraId="64854D23" w14:textId="77777777" w:rsidR="007D3C2F" w:rsidRDefault="007D3C2F" w:rsidP="00493427"/>
    <w:p w14:paraId="2209B9EB" w14:textId="43FC4C30" w:rsidR="00696478" w:rsidRDefault="004F02E5" w:rsidP="003833B3">
      <w:pPr>
        <w:pStyle w:val="Heading2"/>
      </w:pPr>
      <w:r>
        <w:rPr>
          <w:rFonts w:ascii="Times New Roman" w:hAnsi="Times New Roman"/>
          <w:sz w:val="24"/>
        </w:rPr>
        <w:t>&lt;H2&gt;Variable Names</w:t>
      </w:r>
      <w:r w:rsidR="00136353">
        <w:rPr>
          <w:rFonts w:ascii="Times New Roman" w:hAnsi="Times New Roman"/>
          <w:sz w:val="24"/>
        </w:rPr>
        <w:t xml:space="preserve"> and Coding Conventions</w:t>
      </w:r>
    </w:p>
    <w:p w14:paraId="6A2E2E75" w14:textId="23E61475" w:rsidR="00696478" w:rsidRPr="00493427" w:rsidRDefault="00AB2C62" w:rsidP="00493427">
      <w:r>
        <w:t>V</w:t>
      </w:r>
      <w:r w:rsidR="004F02E5" w:rsidRPr="00493427">
        <w:t xml:space="preserve">ariable names </w:t>
      </w:r>
      <w:r>
        <w:t>should be</w:t>
      </w:r>
      <w:r w:rsidR="004F02E5" w:rsidRPr="00493427">
        <w:t xml:space="preserve"> short enough to type quickly, but long enough to be self-explanatory</w:t>
      </w:r>
      <w:r>
        <w:t>. Avoi</w:t>
      </w:r>
      <w:r w:rsidR="008F4B23">
        <w:t xml:space="preserve">d using </w:t>
      </w:r>
      <w:r w:rsidR="004F02E5" w:rsidRPr="00493427">
        <w:t>spaces and special characters</w:t>
      </w:r>
      <w:r>
        <w:t>; s</w:t>
      </w:r>
      <w:r w:rsidR="004F02E5" w:rsidRPr="00493427">
        <w:t>eparate</w:t>
      </w:r>
      <w:r w:rsidR="002109AE">
        <w:t xml:space="preserve"> the</w:t>
      </w:r>
      <w:r w:rsidR="004F02E5" w:rsidRPr="00493427">
        <w:t xml:space="preserve"> words in a variable name </w:t>
      </w:r>
      <w:r w:rsidR="002109AE">
        <w:lastRenderedPageBreak/>
        <w:t xml:space="preserve">either </w:t>
      </w:r>
      <w:r w:rsidR="004F02E5" w:rsidRPr="00493427">
        <w:t xml:space="preserve">by using </w:t>
      </w:r>
      <w:r w:rsidR="002109AE">
        <w:t>(</w:t>
      </w:r>
      <w:r w:rsidR="004F02E5" w:rsidRPr="00493427">
        <w:t>aptly named</w:t>
      </w:r>
      <w:r w:rsidR="002109AE">
        <w:t>)</w:t>
      </w:r>
      <w:r w:rsidR="004F02E5" w:rsidRPr="00493427">
        <w:t xml:space="preserve"> “InterCaps” </w:t>
      </w:r>
      <w:r w:rsidR="002C0292" w:rsidRPr="00493427">
        <w:t xml:space="preserve">or </w:t>
      </w:r>
      <w:r w:rsidR="002C0292">
        <w:t>“camelCase</w:t>
      </w:r>
      <w:r>
        <w:t>,</w:t>
      </w:r>
      <w:r w:rsidR="002C0292">
        <w:t xml:space="preserve">” </w:t>
      </w:r>
      <w:r w:rsidR="00877169">
        <w:t xml:space="preserve">or </w:t>
      </w:r>
      <w:r w:rsidR="00F41CC3">
        <w:t>with</w:t>
      </w:r>
      <w:r w:rsidR="004F02E5" w:rsidRPr="00493427">
        <w:t xml:space="preserve"> </w:t>
      </w:r>
      <w:r w:rsidR="002109AE">
        <w:t>an</w:t>
      </w:r>
      <w:r w:rsidR="002109AE" w:rsidRPr="00493427">
        <w:t xml:space="preserve"> </w:t>
      </w:r>
      <w:r w:rsidR="004F02E5" w:rsidRPr="00493427">
        <w:t>underscore character</w:t>
      </w:r>
      <w:r w:rsidR="00473743" w:rsidRPr="00493427">
        <w:t xml:space="preserve">. </w:t>
      </w:r>
      <w:r w:rsidR="00473743">
        <w:t xml:space="preserve"> </w:t>
      </w:r>
      <w:r>
        <w:t xml:space="preserve"> </w:t>
      </w:r>
      <w:r w:rsidR="002109AE">
        <w:t>B</w:t>
      </w:r>
      <w:r w:rsidR="00877169" w:rsidRPr="00493427">
        <w:t>inary indicator variables</w:t>
      </w:r>
      <w:r w:rsidR="002109AE">
        <w:t xml:space="preserve"> </w:t>
      </w:r>
      <w:r w:rsidR="00877169" w:rsidRPr="00493427">
        <w:t xml:space="preserve">should be </w:t>
      </w:r>
      <w:r w:rsidR="00BE0AEB" w:rsidRPr="00493427">
        <w:t xml:space="preserve">named for the </w:t>
      </w:r>
      <w:r w:rsidR="00A13835" w:rsidRPr="00493427">
        <w:rPr>
          <w:i/>
        </w:rPr>
        <w:t>yes</w:t>
      </w:r>
      <w:r w:rsidR="00BE0AEB" w:rsidRPr="00493427">
        <w:t xml:space="preserve"> or </w:t>
      </w:r>
      <w:r w:rsidR="00A13835" w:rsidRPr="00493427">
        <w:rPr>
          <w:i/>
        </w:rPr>
        <w:t>present</w:t>
      </w:r>
      <w:r w:rsidR="00BE0AEB" w:rsidRPr="00493427">
        <w:t xml:space="preserve"> condition </w:t>
      </w:r>
      <w:r>
        <w:t>(e.g., “</w:t>
      </w:r>
      <w:r w:rsidR="00F41CC3">
        <w:t>EverSmoker</w:t>
      </w:r>
      <w:r>
        <w:t xml:space="preserve">_ind”) </w:t>
      </w:r>
      <w:r w:rsidR="00BE0AEB" w:rsidRPr="00493427">
        <w:t>and</w:t>
      </w:r>
      <w:r>
        <w:t xml:space="preserve"> value</w:t>
      </w:r>
      <w:r w:rsidR="000403A7">
        <w:t>d</w:t>
      </w:r>
      <w:r>
        <w:t xml:space="preserve"> as</w:t>
      </w:r>
      <w:r w:rsidR="00BE0AEB" w:rsidRPr="00493427">
        <w:t xml:space="preserve"> </w:t>
      </w:r>
      <w:r w:rsidRPr="00493427">
        <w:t xml:space="preserve">1 for </w:t>
      </w:r>
      <w:r w:rsidRPr="00493427">
        <w:rPr>
          <w:i/>
        </w:rPr>
        <w:t>yes</w:t>
      </w:r>
      <w:r w:rsidRPr="00493427">
        <w:t xml:space="preserve"> or </w:t>
      </w:r>
      <w:r w:rsidRPr="00493427">
        <w:rPr>
          <w:i/>
        </w:rPr>
        <w:t>present</w:t>
      </w:r>
      <w:r>
        <w:t xml:space="preserve"> and </w:t>
      </w:r>
      <w:r w:rsidR="00877169" w:rsidRPr="00493427">
        <w:t xml:space="preserve">0 for </w:t>
      </w:r>
      <w:r w:rsidR="00A13835" w:rsidRPr="00493427">
        <w:rPr>
          <w:i/>
        </w:rPr>
        <w:t>no</w:t>
      </w:r>
      <w:r w:rsidR="00877169" w:rsidRPr="00493427">
        <w:t xml:space="preserve"> or </w:t>
      </w:r>
      <w:r w:rsidR="00A13835" w:rsidRPr="00493427">
        <w:rPr>
          <w:i/>
        </w:rPr>
        <w:t>absent</w:t>
      </w:r>
      <w:r>
        <w:rPr>
          <w:i/>
        </w:rPr>
        <w:t xml:space="preserve">. </w:t>
      </w:r>
      <w:r w:rsidR="00877169" w:rsidRPr="00493427">
        <w:t xml:space="preserve"> </w:t>
      </w:r>
      <w:r w:rsidR="00A13835" w:rsidRPr="00493427">
        <w:t xml:space="preserve">With this coding, the average value of the variable is </w:t>
      </w:r>
      <w:r>
        <w:t>simply</w:t>
      </w:r>
      <w:r w:rsidR="00A13835" w:rsidRPr="00493427">
        <w:t xml:space="preserve"> the proportion with the attribute</w:t>
      </w:r>
      <w:r w:rsidR="00F41CC3">
        <w:t xml:space="preserve">. </w:t>
      </w:r>
      <w:r w:rsidR="002109AE">
        <w:t>Appending “_ind” to b</w:t>
      </w:r>
      <w:r w:rsidR="002109AE" w:rsidRPr="00493427">
        <w:t>inary indicator variables</w:t>
      </w:r>
      <w:r w:rsidR="002109AE">
        <w:t xml:space="preserve"> allows them to be identified readily. </w:t>
      </w:r>
      <w:r w:rsidR="004F02E5" w:rsidRPr="00493427">
        <w:t xml:space="preserve">Most software packages allow users to designate a longer, more descriptive, and easier to read </w:t>
      </w:r>
      <w:r w:rsidR="004F02E5" w:rsidRPr="00C055BF">
        <w:rPr>
          <w:rStyle w:val="red"/>
          <w:i/>
          <w:color w:val="000000" w:themeColor="text1"/>
        </w:rPr>
        <w:t>variable label</w:t>
      </w:r>
      <w:r w:rsidR="004F02E5" w:rsidRPr="00C055BF">
        <w:rPr>
          <w:rStyle w:val="red"/>
          <w:color w:val="000000" w:themeColor="text1"/>
        </w:rPr>
        <w:t xml:space="preserve"> </w:t>
      </w:r>
      <w:r w:rsidR="004F02E5" w:rsidRPr="00493427">
        <w:t>to use on data entry forms and reports instead of the compact variable name.</w:t>
      </w:r>
    </w:p>
    <w:p w14:paraId="0445CDB1" w14:textId="77777777" w:rsidR="00082716" w:rsidRDefault="00082716" w:rsidP="00082716"/>
    <w:p w14:paraId="24B9E89E" w14:textId="37168035" w:rsidR="009C6C94" w:rsidRPr="00AE5AAE" w:rsidRDefault="00082716" w:rsidP="005D2DCD">
      <w:pPr>
        <w:pStyle w:val="Normal1"/>
      </w:pPr>
      <w:r>
        <w:rPr>
          <w:sz w:val="24"/>
        </w:rPr>
        <w:t xml:space="preserve">In coding response options, </w:t>
      </w:r>
      <w:r w:rsidR="00F41CC3">
        <w:rPr>
          <w:sz w:val="24"/>
        </w:rPr>
        <w:t xml:space="preserve">one convention is to use </w:t>
      </w:r>
      <w:r>
        <w:rPr>
          <w:sz w:val="24"/>
          <w:szCs w:val="24"/>
        </w:rPr>
        <w:t xml:space="preserve">the digit 9 </w:t>
      </w:r>
      <w:r w:rsidR="00F41CC3">
        <w:rPr>
          <w:sz w:val="24"/>
          <w:szCs w:val="24"/>
        </w:rPr>
        <w:t>(or 99) for</w:t>
      </w:r>
      <w:r>
        <w:rPr>
          <w:sz w:val="24"/>
          <w:szCs w:val="24"/>
        </w:rPr>
        <w:t xml:space="preserve"> “Unknown</w:t>
      </w:r>
      <w:r w:rsidR="00F41CC3">
        <w:rPr>
          <w:sz w:val="24"/>
          <w:szCs w:val="24"/>
        </w:rPr>
        <w:t>,</w:t>
      </w:r>
      <w:r>
        <w:rPr>
          <w:sz w:val="24"/>
          <w:szCs w:val="24"/>
        </w:rPr>
        <w:t>”</w:t>
      </w:r>
      <w:r w:rsidR="00F41CC3">
        <w:rPr>
          <w:sz w:val="24"/>
          <w:szCs w:val="24"/>
        </w:rPr>
        <w:t xml:space="preserve"> </w:t>
      </w:r>
      <w:r>
        <w:rPr>
          <w:sz w:val="24"/>
          <w:szCs w:val="24"/>
        </w:rPr>
        <w:t>“Does Not Apply</w:t>
      </w:r>
      <w:r w:rsidR="00F41CC3">
        <w:rPr>
          <w:sz w:val="24"/>
          <w:szCs w:val="24"/>
        </w:rPr>
        <w:t>,</w:t>
      </w:r>
      <w:r>
        <w:rPr>
          <w:sz w:val="24"/>
          <w:szCs w:val="24"/>
        </w:rPr>
        <w:t>”</w:t>
      </w:r>
      <w:r w:rsidR="00F41CC3">
        <w:rPr>
          <w:sz w:val="24"/>
          <w:szCs w:val="24"/>
        </w:rPr>
        <w:t xml:space="preserve"> </w:t>
      </w:r>
      <w:r>
        <w:rPr>
          <w:sz w:val="24"/>
          <w:szCs w:val="24"/>
        </w:rPr>
        <w:t>“Not Answered</w:t>
      </w:r>
      <w:r w:rsidR="00F41CC3">
        <w:rPr>
          <w:sz w:val="24"/>
          <w:szCs w:val="24"/>
        </w:rPr>
        <w:t>,</w:t>
      </w:r>
      <w:r>
        <w:rPr>
          <w:sz w:val="24"/>
          <w:szCs w:val="24"/>
        </w:rPr>
        <w:t xml:space="preserve">” etc. </w:t>
      </w:r>
      <w:r w:rsidR="00F41CC3">
        <w:rPr>
          <w:sz w:val="24"/>
          <w:szCs w:val="24"/>
        </w:rPr>
        <w:t xml:space="preserve">and </w:t>
      </w:r>
      <w:r>
        <w:rPr>
          <w:sz w:val="24"/>
          <w:szCs w:val="24"/>
        </w:rPr>
        <w:t>8</w:t>
      </w:r>
      <w:r w:rsidR="00F41CC3">
        <w:rPr>
          <w:sz w:val="24"/>
          <w:szCs w:val="24"/>
        </w:rPr>
        <w:t xml:space="preserve"> (or 88)</w:t>
      </w:r>
      <w:r>
        <w:rPr>
          <w:sz w:val="24"/>
          <w:szCs w:val="24"/>
        </w:rPr>
        <w:t xml:space="preserve"> for “Other (Specify)</w:t>
      </w:r>
      <w:r w:rsidR="00F41CC3">
        <w:rPr>
          <w:sz w:val="24"/>
          <w:szCs w:val="24"/>
        </w:rPr>
        <w:t>.” C</w:t>
      </w:r>
      <w:r w:rsidR="00837AB1" w:rsidRPr="005D2DCD">
        <w:rPr>
          <w:sz w:val="24"/>
          <w:szCs w:val="24"/>
        </w:rPr>
        <w:t>oding</w:t>
      </w:r>
      <w:r w:rsidR="00A53C3E" w:rsidRPr="005D2DCD">
        <w:rPr>
          <w:sz w:val="24"/>
          <w:szCs w:val="24"/>
        </w:rPr>
        <w:t xml:space="preserve"> </w:t>
      </w:r>
      <w:r w:rsidR="009C6C94" w:rsidRPr="005D2DCD">
        <w:rPr>
          <w:sz w:val="24"/>
          <w:szCs w:val="24"/>
        </w:rPr>
        <w:t xml:space="preserve">sex, </w:t>
      </w:r>
      <w:r w:rsidR="00A53C3E" w:rsidRPr="005D2DCD">
        <w:rPr>
          <w:sz w:val="24"/>
          <w:szCs w:val="24"/>
        </w:rPr>
        <w:t>ethnicity</w:t>
      </w:r>
      <w:r w:rsidR="009C6C94" w:rsidRPr="005D2DCD">
        <w:rPr>
          <w:sz w:val="24"/>
          <w:szCs w:val="24"/>
        </w:rPr>
        <w:t>,</w:t>
      </w:r>
      <w:r w:rsidR="00A53C3E" w:rsidRPr="005D2DCD">
        <w:rPr>
          <w:sz w:val="24"/>
          <w:szCs w:val="24"/>
        </w:rPr>
        <w:t xml:space="preserve"> and </w:t>
      </w:r>
      <w:r w:rsidR="00837AB1" w:rsidRPr="005D2DCD">
        <w:rPr>
          <w:sz w:val="24"/>
          <w:szCs w:val="24"/>
        </w:rPr>
        <w:t>race</w:t>
      </w:r>
      <w:r w:rsidR="00F41CC3">
        <w:rPr>
          <w:sz w:val="24"/>
          <w:szCs w:val="24"/>
        </w:rPr>
        <w:t xml:space="preserve"> often use</w:t>
      </w:r>
      <w:r w:rsidR="000403A7">
        <w:rPr>
          <w:sz w:val="24"/>
          <w:szCs w:val="24"/>
        </w:rPr>
        <w:t>s</w:t>
      </w:r>
      <w:r w:rsidR="00F41CC3">
        <w:rPr>
          <w:sz w:val="24"/>
          <w:szCs w:val="24"/>
        </w:rPr>
        <w:t xml:space="preserve"> the approach of</w:t>
      </w:r>
      <w:r w:rsidR="00837AB1" w:rsidRPr="005D2DCD">
        <w:rPr>
          <w:sz w:val="24"/>
          <w:szCs w:val="24"/>
        </w:rPr>
        <w:t xml:space="preserve"> </w:t>
      </w:r>
      <w:r w:rsidR="00F41CC3" w:rsidRPr="00E7089A">
        <w:rPr>
          <w:sz w:val="24"/>
          <w:szCs w:val="24"/>
        </w:rPr>
        <w:t>the National Center for Health Statistics</w:t>
      </w:r>
      <w:r w:rsidR="00F41CC3">
        <w:rPr>
          <w:sz w:val="24"/>
          <w:szCs w:val="24"/>
        </w:rPr>
        <w:t xml:space="preserve"> (5), which has been incorporated into </w:t>
      </w:r>
      <w:r w:rsidR="00FE0E8B">
        <w:rPr>
          <w:sz w:val="24"/>
          <w:szCs w:val="24"/>
        </w:rPr>
        <w:t xml:space="preserve">several </w:t>
      </w:r>
      <w:r w:rsidR="00FE0E8B" w:rsidRPr="00F41CC3" w:rsidDel="00F41CC3">
        <w:rPr>
          <w:sz w:val="24"/>
          <w:szCs w:val="24"/>
        </w:rPr>
        <w:t>electronic</w:t>
      </w:r>
      <w:r w:rsidR="009C6C94" w:rsidRPr="005D2DCD">
        <w:rPr>
          <w:sz w:val="24"/>
          <w:szCs w:val="24"/>
        </w:rPr>
        <w:t xml:space="preserve"> health record</w:t>
      </w:r>
      <w:r w:rsidR="00F41CC3">
        <w:rPr>
          <w:sz w:val="24"/>
          <w:szCs w:val="24"/>
        </w:rPr>
        <w:t xml:space="preserve">s. </w:t>
      </w:r>
    </w:p>
    <w:p w14:paraId="3417BF0A" w14:textId="0E08BCF6" w:rsidR="009C6C94" w:rsidRDefault="009C6C94" w:rsidP="00A53C3E"/>
    <w:p w14:paraId="0045EECB" w14:textId="3DE6270A" w:rsidR="009C6C94" w:rsidRDefault="009C6C94" w:rsidP="00A53C3E">
      <w:r>
        <w:t xml:space="preserve">For </w:t>
      </w:r>
      <w:r w:rsidR="00082716">
        <w:t>s</w:t>
      </w:r>
      <w:r>
        <w:t xml:space="preserve">ex, use the following </w:t>
      </w:r>
      <w:r w:rsidR="00F41CC3">
        <w:t xml:space="preserve">standard </w:t>
      </w:r>
      <w:r>
        <w:t>codes:</w:t>
      </w:r>
    </w:p>
    <w:p w14:paraId="5904EF8A" w14:textId="2D665C52" w:rsidR="009C6C94" w:rsidRDefault="009C6C94" w:rsidP="00A53C3E"/>
    <w:p w14:paraId="3903F8D1" w14:textId="77777777" w:rsidR="009C6C94" w:rsidRDefault="009C6C94" w:rsidP="009C6C94">
      <w:pPr>
        <w:ind w:left="720"/>
      </w:pPr>
      <w:r>
        <w:t>0              Female</w:t>
      </w:r>
    </w:p>
    <w:p w14:paraId="686D3813" w14:textId="77777777" w:rsidR="009C6C94" w:rsidRDefault="009C6C94" w:rsidP="009C6C94">
      <w:pPr>
        <w:ind w:left="720"/>
      </w:pPr>
      <w:r>
        <w:t>1              Male</w:t>
      </w:r>
    </w:p>
    <w:p w14:paraId="410D1C0D" w14:textId="77777777" w:rsidR="009C6C94" w:rsidRDefault="009C6C94" w:rsidP="009C6C94">
      <w:pPr>
        <w:ind w:left="720"/>
      </w:pPr>
      <w:r>
        <w:t>4              Transgender Female to Male</w:t>
      </w:r>
    </w:p>
    <w:p w14:paraId="2EF9EED3" w14:textId="77777777" w:rsidR="009C6C94" w:rsidRDefault="009C6C94" w:rsidP="009C6C94">
      <w:pPr>
        <w:ind w:left="720"/>
      </w:pPr>
      <w:r>
        <w:t>5              Transgender Male to Female</w:t>
      </w:r>
    </w:p>
    <w:p w14:paraId="454BCECC" w14:textId="77777777" w:rsidR="009C6C94" w:rsidRDefault="009C6C94" w:rsidP="009C6C94">
      <w:pPr>
        <w:ind w:left="720"/>
      </w:pPr>
      <w:r>
        <w:t>8              Non-binary</w:t>
      </w:r>
    </w:p>
    <w:p w14:paraId="08494027" w14:textId="77777777" w:rsidR="009C6C94" w:rsidRDefault="009C6C94" w:rsidP="009C6C94">
      <w:pPr>
        <w:ind w:left="720"/>
      </w:pPr>
      <w:r>
        <w:t>9              Unknown</w:t>
      </w:r>
    </w:p>
    <w:p w14:paraId="4AF091CD" w14:textId="2B42D88E" w:rsidR="009C6C94" w:rsidRDefault="009C6C94" w:rsidP="00A53C3E"/>
    <w:p w14:paraId="675BF1F4" w14:textId="2F7DB6F2" w:rsidR="00A53C3E" w:rsidRDefault="009C6C94" w:rsidP="00A53C3E">
      <w:r>
        <w:t>For ethnicity and race, t</w:t>
      </w:r>
      <w:r w:rsidR="00A53C3E">
        <w:t>he standardized approach is to ask two questions:</w:t>
      </w:r>
    </w:p>
    <w:p w14:paraId="58EA9998" w14:textId="3B135108" w:rsidR="00A53C3E" w:rsidRDefault="00A53C3E" w:rsidP="00A53C3E"/>
    <w:p w14:paraId="195536A8" w14:textId="6C6DAB15" w:rsidR="00A53C3E" w:rsidRDefault="00A53C3E" w:rsidP="00A53C3E">
      <w:pPr>
        <w:pStyle w:val="CM49"/>
        <w:spacing w:after="285" w:line="280" w:lineRule="atLeast"/>
        <w:ind w:left="720" w:right="1370"/>
        <w:rPr>
          <w:color w:val="000000"/>
          <w:sz w:val="23"/>
          <w:szCs w:val="23"/>
        </w:rPr>
      </w:pPr>
      <w:r>
        <w:rPr>
          <w:b/>
          <w:bCs/>
          <w:color w:val="000000"/>
          <w:sz w:val="23"/>
          <w:szCs w:val="23"/>
        </w:rPr>
        <w:t>Question 1</w:t>
      </w:r>
      <w:r w:rsidR="00856DD8">
        <w:rPr>
          <w:b/>
          <w:bCs/>
          <w:color w:val="000000"/>
          <w:sz w:val="23"/>
          <w:szCs w:val="23"/>
        </w:rPr>
        <w:t xml:space="preserve">: </w:t>
      </w:r>
      <w:r>
        <w:rPr>
          <w:color w:val="000000"/>
          <w:sz w:val="23"/>
          <w:szCs w:val="23"/>
        </w:rPr>
        <w:t xml:space="preserve">Do you consider yourself Hispanic/Latino? </w:t>
      </w:r>
    </w:p>
    <w:p w14:paraId="6F188090" w14:textId="0743A70D" w:rsidR="00A53C3E" w:rsidRDefault="00A53C3E" w:rsidP="00A53C3E">
      <w:pPr>
        <w:ind w:left="720"/>
        <w:rPr>
          <w:color w:val="000000"/>
          <w:sz w:val="23"/>
          <w:szCs w:val="23"/>
        </w:rPr>
      </w:pPr>
      <w:r>
        <w:rPr>
          <w:b/>
          <w:bCs/>
          <w:color w:val="000000"/>
          <w:sz w:val="23"/>
          <w:szCs w:val="23"/>
        </w:rPr>
        <w:t>Question 2</w:t>
      </w:r>
      <w:r w:rsidR="00856DD8">
        <w:rPr>
          <w:b/>
          <w:bCs/>
          <w:color w:val="000000"/>
          <w:sz w:val="23"/>
          <w:szCs w:val="23"/>
        </w:rPr>
        <w:t xml:space="preserve">: </w:t>
      </w:r>
      <w:r>
        <w:rPr>
          <w:color w:val="000000"/>
          <w:sz w:val="23"/>
          <w:szCs w:val="23"/>
        </w:rPr>
        <w:t>Which of the following five racial designations best describes you?</w:t>
      </w:r>
    </w:p>
    <w:p w14:paraId="496C4BF4" w14:textId="5AAAAC40" w:rsidR="00856DD8" w:rsidRDefault="00856DD8" w:rsidP="00A53C3E">
      <w:pPr>
        <w:ind w:left="720"/>
      </w:pPr>
    </w:p>
    <w:p w14:paraId="5DF0DB51" w14:textId="77777777" w:rsidR="00856DD8" w:rsidRDefault="00856DD8" w:rsidP="00856DD8">
      <w:pPr>
        <w:pStyle w:val="CM49"/>
        <w:ind w:left="1440" w:right="675"/>
        <w:rPr>
          <w:color w:val="000000"/>
          <w:sz w:val="23"/>
          <w:szCs w:val="23"/>
        </w:rPr>
      </w:pPr>
      <w:r w:rsidRPr="00856DD8">
        <w:rPr>
          <w:color w:val="000000"/>
          <w:sz w:val="23"/>
          <w:szCs w:val="23"/>
        </w:rPr>
        <w:t xml:space="preserve">American Indian or Alaska Native </w:t>
      </w:r>
    </w:p>
    <w:p w14:paraId="488F594D" w14:textId="797D7B51" w:rsidR="00856DD8" w:rsidRPr="00856DD8" w:rsidRDefault="00856DD8" w:rsidP="00856DD8">
      <w:pPr>
        <w:pStyle w:val="CM49"/>
        <w:ind w:left="1440" w:right="675"/>
        <w:rPr>
          <w:color w:val="000000"/>
          <w:sz w:val="23"/>
          <w:szCs w:val="23"/>
        </w:rPr>
      </w:pPr>
      <w:r w:rsidRPr="00856DD8">
        <w:rPr>
          <w:color w:val="000000"/>
          <w:sz w:val="23"/>
          <w:szCs w:val="23"/>
        </w:rPr>
        <w:t xml:space="preserve">Asian </w:t>
      </w:r>
    </w:p>
    <w:p w14:paraId="3E61AB53" w14:textId="108AF332" w:rsidR="00856DD8" w:rsidRPr="00856DD8" w:rsidRDefault="00856DD8" w:rsidP="00856DD8">
      <w:pPr>
        <w:pStyle w:val="CM49"/>
        <w:ind w:left="1440" w:right="1162"/>
        <w:rPr>
          <w:color w:val="000000"/>
          <w:sz w:val="23"/>
          <w:szCs w:val="23"/>
        </w:rPr>
      </w:pPr>
      <w:r w:rsidRPr="00856DD8">
        <w:rPr>
          <w:color w:val="000000"/>
          <w:sz w:val="23"/>
          <w:szCs w:val="23"/>
        </w:rPr>
        <w:t xml:space="preserve">Black or African American </w:t>
      </w:r>
    </w:p>
    <w:p w14:paraId="43F66C83" w14:textId="4FF54CAA" w:rsidR="00856DD8" w:rsidRPr="00856DD8" w:rsidRDefault="00856DD8" w:rsidP="00856DD8">
      <w:pPr>
        <w:pStyle w:val="CM49"/>
        <w:ind w:left="1440" w:right="787"/>
        <w:rPr>
          <w:color w:val="000000"/>
          <w:sz w:val="23"/>
          <w:szCs w:val="23"/>
        </w:rPr>
      </w:pPr>
      <w:r w:rsidRPr="00856DD8">
        <w:rPr>
          <w:color w:val="000000"/>
          <w:sz w:val="23"/>
          <w:szCs w:val="23"/>
        </w:rPr>
        <w:t xml:space="preserve">Native Hawaiian or Other Pacific Islander </w:t>
      </w:r>
    </w:p>
    <w:p w14:paraId="609F0092" w14:textId="3DA08C0C" w:rsidR="00856DD8" w:rsidRDefault="00856DD8" w:rsidP="00856DD8">
      <w:pPr>
        <w:ind w:left="1440"/>
      </w:pPr>
      <w:r w:rsidRPr="00856DD8">
        <w:rPr>
          <w:color w:val="000000"/>
          <w:sz w:val="23"/>
          <w:szCs w:val="23"/>
        </w:rPr>
        <w:t>White</w:t>
      </w:r>
    </w:p>
    <w:p w14:paraId="5F984C68" w14:textId="3755CEBA" w:rsidR="00837AB1" w:rsidRDefault="00837AB1" w:rsidP="008106F6"/>
    <w:p w14:paraId="69D49A85" w14:textId="76F087C6" w:rsidR="004304A0" w:rsidRDefault="004304A0" w:rsidP="008106F6">
      <w:r>
        <w:t>Th</w:t>
      </w:r>
      <w:r w:rsidR="00F41CC3">
        <w:t xml:space="preserve">is </w:t>
      </w:r>
      <w:r>
        <w:t>approach allows multiple responses to Question 2</w:t>
      </w:r>
      <w:r w:rsidR="00136353">
        <w:t xml:space="preserve"> (</w:t>
      </w:r>
      <w:r w:rsidR="009E360B">
        <w:t>Figure 19.</w:t>
      </w:r>
      <w:r w:rsidR="00136353">
        <w:t>5)</w:t>
      </w:r>
      <w:r w:rsidR="00F41CC3">
        <w:t xml:space="preserve">; it is also possible to </w:t>
      </w:r>
      <w:r w:rsidR="00A2723E">
        <w:t>add options for “Other (includes more than one race)” and “Unknown/Not Reported</w:t>
      </w:r>
      <w:r w:rsidR="00F41CC3">
        <w:t>,</w:t>
      </w:r>
      <w:r w:rsidR="00A2723E">
        <w:t xml:space="preserve">” and </w:t>
      </w:r>
      <w:r w:rsidR="00F41CC3">
        <w:t xml:space="preserve">then </w:t>
      </w:r>
      <w:r w:rsidR="00A2723E">
        <w:t>allow only one response.</w:t>
      </w:r>
    </w:p>
    <w:p w14:paraId="251A4BD2" w14:textId="1C9DD6E6" w:rsidR="00A2723E" w:rsidRDefault="00A2723E" w:rsidP="008106F6"/>
    <w:p w14:paraId="6E49F787" w14:textId="15F92E83" w:rsidR="00136353" w:rsidRDefault="00136353" w:rsidP="008106F6">
      <w:r w:rsidRPr="00136353">
        <w:rPr>
          <w:noProof/>
        </w:rPr>
        <w:drawing>
          <wp:inline distT="0" distB="0" distL="0" distR="0" wp14:anchorId="473CE6FE" wp14:editId="3B28595E">
            <wp:extent cx="5731510" cy="1032510"/>
            <wp:effectExtent l="0" t="0" r="0" b="0"/>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pic:nvPicPr>
                  <pic:blipFill>
                    <a:blip r:embed="rId12"/>
                    <a:stretch>
                      <a:fillRect/>
                    </a:stretch>
                  </pic:blipFill>
                  <pic:spPr>
                    <a:xfrm>
                      <a:off x="0" y="0"/>
                      <a:ext cx="5731510" cy="1032510"/>
                    </a:xfrm>
                    <a:prstGeom prst="rect">
                      <a:avLst/>
                    </a:prstGeom>
                  </pic:spPr>
                </pic:pic>
              </a:graphicData>
            </a:graphic>
          </wp:inline>
        </w:drawing>
      </w:r>
    </w:p>
    <w:p w14:paraId="137A1662" w14:textId="0495BC28" w:rsidR="00136353" w:rsidRDefault="009E360B" w:rsidP="008106F6">
      <w:r>
        <w:rPr>
          <w:b/>
          <w:bCs/>
        </w:rPr>
        <w:t>Figure 19.</w:t>
      </w:r>
      <w:r w:rsidR="00136353" w:rsidRPr="00DE53EC">
        <w:rPr>
          <w:b/>
          <w:bCs/>
        </w:rPr>
        <w:t>5.</w:t>
      </w:r>
      <w:r w:rsidR="00136353">
        <w:t xml:space="preserve"> Coding of Race on the National Hospital Ambulatory Medical Care Survey (6) of the National Center for Health Statistics.</w:t>
      </w:r>
    </w:p>
    <w:p w14:paraId="5E187609" w14:textId="77777777" w:rsidR="00136353" w:rsidRDefault="00136353" w:rsidP="008106F6"/>
    <w:p w14:paraId="4E349C75" w14:textId="3182336A" w:rsidR="00481D2C" w:rsidRDefault="00864433" w:rsidP="008106F6">
      <w:r>
        <w:t>T</w:t>
      </w:r>
      <w:r w:rsidR="00856DD8">
        <w:t>he ethnicity field</w:t>
      </w:r>
      <w:r w:rsidR="00136353">
        <w:t xml:space="preserve"> </w:t>
      </w:r>
      <w:r w:rsidR="00856DD8">
        <w:t>“</w:t>
      </w:r>
      <w:proofErr w:type="spellStart"/>
      <w:r w:rsidR="00856DD8">
        <w:t>EthnLatino_ind</w:t>
      </w:r>
      <w:proofErr w:type="spellEnd"/>
      <w:r>
        <w:t>,</w:t>
      </w:r>
      <w:r w:rsidR="00856DD8">
        <w:t xml:space="preserve">” </w:t>
      </w:r>
      <w:r>
        <w:t xml:space="preserve">has </w:t>
      </w:r>
      <w:r w:rsidR="00856DD8">
        <w:t xml:space="preserve">allowed values </w:t>
      </w:r>
      <w:r>
        <w:t>of 0 (</w:t>
      </w:r>
      <w:r w:rsidR="00856DD8">
        <w:t>no</w:t>
      </w:r>
      <w:r w:rsidR="00136353">
        <w:t>t Hispanic/Latino</w:t>
      </w:r>
      <w:r>
        <w:t>)</w:t>
      </w:r>
      <w:r w:rsidR="00856DD8">
        <w:t xml:space="preserve">, 1 </w:t>
      </w:r>
      <w:r>
        <w:t>(</w:t>
      </w:r>
      <w:r w:rsidR="00136353">
        <w:t>Hispanic/Latino</w:t>
      </w:r>
      <w:r>
        <w:t>),</w:t>
      </w:r>
      <w:r w:rsidR="00856DD8">
        <w:t xml:space="preserve"> and 9 </w:t>
      </w:r>
      <w:r>
        <w:t>(</w:t>
      </w:r>
      <w:r w:rsidR="00136353">
        <w:t>U</w:t>
      </w:r>
      <w:r w:rsidR="00856DD8">
        <w:t>nknown/</w:t>
      </w:r>
      <w:r w:rsidR="00136353">
        <w:t>D</w:t>
      </w:r>
      <w:r w:rsidR="00856DD8">
        <w:t>ecline to state</w:t>
      </w:r>
      <w:r>
        <w:t>).</w:t>
      </w:r>
      <w:r w:rsidR="00856DD8">
        <w:t xml:space="preserve">  </w:t>
      </w:r>
      <w:r w:rsidR="00A2723E">
        <w:t xml:space="preserve">For </w:t>
      </w:r>
      <w:r w:rsidR="00856DD8">
        <w:t xml:space="preserve">the race field, “Race” </w:t>
      </w:r>
      <w:r>
        <w:t xml:space="preserve">has </w:t>
      </w:r>
      <w:r w:rsidR="00A2723E">
        <w:t xml:space="preserve">the </w:t>
      </w:r>
      <w:r w:rsidR="00481D2C">
        <w:t>following codes</w:t>
      </w:r>
      <w:r>
        <w:t>:</w:t>
      </w:r>
    </w:p>
    <w:p w14:paraId="18C2C7CF" w14:textId="77777777" w:rsidR="00481D2C" w:rsidRDefault="00481D2C" w:rsidP="008106F6"/>
    <w:p w14:paraId="037813A4" w14:textId="06E77F59" w:rsidR="00481D2C" w:rsidRDefault="00481D2C" w:rsidP="005D2DCD">
      <w:pPr>
        <w:pStyle w:val="Normal1"/>
        <w:numPr>
          <w:ilvl w:val="0"/>
          <w:numId w:val="6"/>
        </w:numPr>
        <w:rPr>
          <w:sz w:val="24"/>
          <w:szCs w:val="24"/>
        </w:rPr>
      </w:pPr>
      <w:r>
        <w:rPr>
          <w:sz w:val="24"/>
          <w:szCs w:val="24"/>
        </w:rPr>
        <w:t>White</w:t>
      </w:r>
    </w:p>
    <w:p w14:paraId="309619F9" w14:textId="7A0D3C51" w:rsidR="00481D2C" w:rsidRDefault="00481D2C" w:rsidP="005D2DCD">
      <w:pPr>
        <w:pStyle w:val="Normal1"/>
        <w:numPr>
          <w:ilvl w:val="0"/>
          <w:numId w:val="6"/>
        </w:numPr>
        <w:rPr>
          <w:sz w:val="24"/>
          <w:szCs w:val="24"/>
        </w:rPr>
      </w:pPr>
      <w:r>
        <w:rPr>
          <w:sz w:val="24"/>
          <w:szCs w:val="24"/>
        </w:rPr>
        <w:t>Black or African American</w:t>
      </w:r>
    </w:p>
    <w:p w14:paraId="096F436C" w14:textId="68CFD819" w:rsidR="00481D2C" w:rsidRDefault="00481D2C" w:rsidP="005D2DCD">
      <w:pPr>
        <w:pStyle w:val="Normal1"/>
        <w:numPr>
          <w:ilvl w:val="0"/>
          <w:numId w:val="6"/>
        </w:numPr>
        <w:rPr>
          <w:sz w:val="24"/>
          <w:szCs w:val="24"/>
        </w:rPr>
      </w:pPr>
      <w:r>
        <w:rPr>
          <w:sz w:val="24"/>
          <w:szCs w:val="24"/>
        </w:rPr>
        <w:t>Asian</w:t>
      </w:r>
    </w:p>
    <w:p w14:paraId="0C7A312C" w14:textId="08A22DD9" w:rsidR="00481D2C" w:rsidRDefault="00481D2C" w:rsidP="005D2DCD">
      <w:pPr>
        <w:pStyle w:val="Normal1"/>
        <w:numPr>
          <w:ilvl w:val="0"/>
          <w:numId w:val="6"/>
        </w:numPr>
        <w:rPr>
          <w:sz w:val="24"/>
          <w:szCs w:val="24"/>
        </w:rPr>
      </w:pPr>
      <w:r>
        <w:rPr>
          <w:sz w:val="24"/>
          <w:szCs w:val="24"/>
        </w:rPr>
        <w:t>Native Hawaiian or Other Pacific Islander</w:t>
      </w:r>
    </w:p>
    <w:p w14:paraId="46BD1B88" w14:textId="50C58D7C" w:rsidR="00481D2C" w:rsidRDefault="00481D2C" w:rsidP="005D2DCD">
      <w:pPr>
        <w:pStyle w:val="Normal1"/>
        <w:numPr>
          <w:ilvl w:val="0"/>
          <w:numId w:val="6"/>
        </w:numPr>
        <w:rPr>
          <w:sz w:val="24"/>
          <w:szCs w:val="24"/>
        </w:rPr>
      </w:pPr>
      <w:r>
        <w:rPr>
          <w:sz w:val="24"/>
          <w:szCs w:val="24"/>
        </w:rPr>
        <w:t>American Indian or Alaska Native</w:t>
      </w:r>
    </w:p>
    <w:p w14:paraId="5FD6133C" w14:textId="45D1BBF7" w:rsidR="00481D2C" w:rsidRDefault="00481D2C" w:rsidP="00481D2C">
      <w:pPr>
        <w:pStyle w:val="Normal1"/>
        <w:ind w:left="720"/>
        <w:rPr>
          <w:sz w:val="24"/>
          <w:szCs w:val="24"/>
        </w:rPr>
      </w:pPr>
      <w:r>
        <w:rPr>
          <w:sz w:val="24"/>
          <w:szCs w:val="24"/>
        </w:rPr>
        <w:t>8</w:t>
      </w:r>
      <w:r w:rsidR="00864433">
        <w:rPr>
          <w:sz w:val="24"/>
          <w:szCs w:val="24"/>
        </w:rPr>
        <w:t xml:space="preserve">. </w:t>
      </w:r>
      <w:r w:rsidR="00C0452D">
        <w:rPr>
          <w:sz w:val="24"/>
          <w:szCs w:val="24"/>
        </w:rPr>
        <w:t xml:space="preserve">  </w:t>
      </w:r>
      <w:r>
        <w:rPr>
          <w:sz w:val="24"/>
          <w:szCs w:val="24"/>
        </w:rPr>
        <w:t>Other (includes more than one race)</w:t>
      </w:r>
    </w:p>
    <w:p w14:paraId="71E88B23" w14:textId="1A24DE7B" w:rsidR="00856DD8" w:rsidRDefault="00481D2C" w:rsidP="00481D2C">
      <w:pPr>
        <w:ind w:firstLine="720"/>
      </w:pPr>
      <w:r>
        <w:t>9</w:t>
      </w:r>
      <w:r w:rsidR="00864433">
        <w:t xml:space="preserve">. </w:t>
      </w:r>
      <w:r w:rsidR="00C0452D">
        <w:t xml:space="preserve">  </w:t>
      </w:r>
      <w:r>
        <w:t>Unknown/Not Reported</w:t>
      </w:r>
    </w:p>
    <w:p w14:paraId="1C21EDC1" w14:textId="77777777" w:rsidR="00A2723E" w:rsidRDefault="00A2723E" w:rsidP="008106F6"/>
    <w:p w14:paraId="41186BEF" w14:textId="77777777" w:rsidR="00696478" w:rsidRDefault="004F02E5" w:rsidP="003833B3">
      <w:pPr>
        <w:pStyle w:val="Heading2"/>
      </w:pPr>
      <w:r>
        <w:rPr>
          <w:rFonts w:ascii="Times New Roman" w:hAnsi="Times New Roman"/>
          <w:sz w:val="24"/>
        </w:rPr>
        <w:t>&lt;H2&gt;Common Data Elements</w:t>
      </w:r>
    </w:p>
    <w:p w14:paraId="60F17A60" w14:textId="6122CF97" w:rsidR="00696478" w:rsidRDefault="004F02E5" w:rsidP="008106F6">
      <w:r w:rsidRPr="00493427">
        <w:t>Several funding and regulatory organizations</w:t>
      </w:r>
      <w:r w:rsidR="00496C12">
        <w:t>, including</w:t>
      </w:r>
      <w:r w:rsidRPr="00493427">
        <w:t xml:space="preserve"> the National Institute for Neurologic Disorders and Stroke</w:t>
      </w:r>
      <w:r w:rsidR="00FF32BF" w:rsidRPr="00493427">
        <w:t xml:space="preserve"> (</w:t>
      </w:r>
      <w:r w:rsidR="00FF32BF">
        <w:t>NINDS)</w:t>
      </w:r>
      <w:r>
        <w:t xml:space="preserve"> (</w:t>
      </w:r>
      <w:r w:rsidR="00082716">
        <w:t>7</w:t>
      </w:r>
      <w:r w:rsidRPr="00493427">
        <w:t>), the National Cancer Institute (</w:t>
      </w:r>
      <w:r w:rsidR="00082716">
        <w:t>8</w:t>
      </w:r>
      <w:r w:rsidRPr="00493427">
        <w:t>), the United States Food and Drug Administration (</w:t>
      </w:r>
      <w:r w:rsidR="00082716">
        <w:t>9</w:t>
      </w:r>
      <w:r w:rsidRPr="00493427">
        <w:t>), the European Medicines Agency</w:t>
      </w:r>
      <w:r w:rsidR="00B07048">
        <w:t>.</w:t>
      </w:r>
      <w:r w:rsidRPr="00493427">
        <w:t xml:space="preserve"> and nongovernmental, nonprofit associations such as the Clinical Data Interchange Standards Consortium (CDISC</w:t>
      </w:r>
      <w:r>
        <w:t>) (</w:t>
      </w:r>
      <w:r w:rsidR="00082716">
        <w:t>10</w:t>
      </w:r>
      <w:r>
        <w:t>)</w:t>
      </w:r>
      <w:r w:rsidR="00496C12">
        <w:t xml:space="preserve"> </w:t>
      </w:r>
      <w:r w:rsidR="00496C12" w:rsidRPr="00493427">
        <w:t>have launched initiatives to develop common data elements for study databases</w:t>
      </w:r>
      <w:r w:rsidR="00496C12">
        <w:t>.</w:t>
      </w:r>
    </w:p>
    <w:p w14:paraId="2AF0AAD0" w14:textId="29AECEE6" w:rsidR="00696478" w:rsidRDefault="004F02E5" w:rsidP="00496C12">
      <w:r w:rsidRPr="00493427">
        <w:t xml:space="preserve">Standardizing record structures, field names/definitions, data types/formats, and data collection forms (case report forms) will eliminate the problem of “reinventing the wheel” </w:t>
      </w:r>
      <w:r w:rsidR="00496C12">
        <w:t xml:space="preserve">for every new study, </w:t>
      </w:r>
      <w:r w:rsidRPr="00493427">
        <w:t xml:space="preserve">and enable sharing and combining data across studies. This entails establishing a data dictionary and a set of data collection instruments with accompanying instructions that all investigators in a particular area of research are encouraged to use. </w:t>
      </w:r>
    </w:p>
    <w:p w14:paraId="6DD5C3A7" w14:textId="77777777" w:rsidR="00696478" w:rsidRDefault="004F02E5" w:rsidP="003833B3">
      <w:pPr>
        <w:pStyle w:val="Heading1"/>
      </w:pPr>
      <w:r>
        <w:rPr>
          <w:rFonts w:ascii="Times New Roman" w:hAnsi="Times New Roman"/>
          <w:sz w:val="24"/>
        </w:rPr>
        <w:t>&lt;H1&gt;Data Entry</w:t>
      </w:r>
    </w:p>
    <w:p w14:paraId="4C0C7A56" w14:textId="5C614B8D" w:rsidR="00696478" w:rsidRPr="00493427" w:rsidRDefault="004F02E5" w:rsidP="00493427">
      <w:r w:rsidRPr="00493427">
        <w:t>Whether the study database consists of one or many tables</w:t>
      </w:r>
      <w:r w:rsidR="00496C12">
        <w:t>,</w:t>
      </w:r>
      <w:r w:rsidRPr="00493427">
        <w:t xml:space="preserve"> </w:t>
      </w:r>
      <w:r w:rsidR="00496C12">
        <w:t>or</w:t>
      </w:r>
      <w:r w:rsidR="00496C12" w:rsidRPr="00493427">
        <w:t xml:space="preserve"> </w:t>
      </w:r>
      <w:r w:rsidRPr="00493427">
        <w:t xml:space="preserve">whether it uses spreadsheet, statistical, or database management software, a </w:t>
      </w:r>
      <w:r w:rsidR="00496C12">
        <w:t>way to</w:t>
      </w:r>
      <w:r w:rsidRPr="00493427">
        <w:t xml:space="preserve"> </w:t>
      </w:r>
      <w:r w:rsidRPr="005D2DCD">
        <w:rPr>
          <w:bCs/>
        </w:rPr>
        <w:t>populat</w:t>
      </w:r>
      <w:r w:rsidR="00496C12">
        <w:rPr>
          <w:bCs/>
        </w:rPr>
        <w:t>e</w:t>
      </w:r>
      <w:r w:rsidRPr="005D2DCD">
        <w:rPr>
          <w:bCs/>
        </w:rPr>
        <w:t xml:space="preserve"> the data tables</w:t>
      </w:r>
      <w:r w:rsidRPr="00493427">
        <w:t xml:space="preserve"> (enter the data) is </w:t>
      </w:r>
      <w:r w:rsidR="00496C12">
        <w:t>needed</w:t>
      </w:r>
      <w:r w:rsidRPr="00493427">
        <w:t>.</w:t>
      </w:r>
      <w:r w:rsidR="00496C12">
        <w:t xml:space="preserve"> </w:t>
      </w:r>
      <w:r w:rsidR="008B2AA0">
        <w:t>In the past, t</w:t>
      </w:r>
      <w:r w:rsidRPr="00493427">
        <w:t>he</w:t>
      </w:r>
      <w:r w:rsidR="00496C12">
        <w:t xml:space="preserve"> most</w:t>
      </w:r>
      <w:r w:rsidRPr="00493427">
        <w:t xml:space="preserve"> common method for populating a study database </w:t>
      </w:r>
      <w:r w:rsidR="008B2AA0">
        <w:t xml:space="preserve">was </w:t>
      </w:r>
      <w:r w:rsidRPr="00493427">
        <w:t>to collect data on</w:t>
      </w:r>
      <w:r w:rsidR="008F625F" w:rsidRPr="00493427">
        <w:t xml:space="preserve"> </w:t>
      </w:r>
      <w:r w:rsidR="00496C12">
        <w:t xml:space="preserve">a </w:t>
      </w:r>
      <w:r w:rsidRPr="005D2DCD">
        <w:rPr>
          <w:rStyle w:val="red"/>
          <w:color w:val="auto"/>
        </w:rPr>
        <w:t>paper form</w:t>
      </w:r>
      <w:r w:rsidR="00496C12">
        <w:rPr>
          <w:rStyle w:val="red"/>
          <w:color w:val="auto"/>
        </w:rPr>
        <w:t xml:space="preserve">, called </w:t>
      </w:r>
      <w:r w:rsidR="00496C12" w:rsidRPr="00496C12">
        <w:t xml:space="preserve">a </w:t>
      </w:r>
      <w:r w:rsidR="00496C12" w:rsidRPr="005D2DCD">
        <w:rPr>
          <w:rStyle w:val="red"/>
          <w:i/>
          <w:iCs/>
          <w:color w:val="auto"/>
        </w:rPr>
        <w:t xml:space="preserve">case report form </w:t>
      </w:r>
      <w:r w:rsidR="00496C12" w:rsidRPr="005D2DCD">
        <w:rPr>
          <w:i/>
          <w:iCs/>
        </w:rPr>
        <w:t>(</w:t>
      </w:r>
      <w:r w:rsidR="00496C12" w:rsidRPr="005D2DCD">
        <w:rPr>
          <w:rStyle w:val="red"/>
          <w:i/>
          <w:iCs/>
          <w:color w:val="auto"/>
        </w:rPr>
        <w:t>CRF)</w:t>
      </w:r>
      <w:r w:rsidR="00496C12">
        <w:rPr>
          <w:rStyle w:val="red"/>
          <w:color w:val="auto"/>
        </w:rPr>
        <w:t xml:space="preserve"> </w:t>
      </w:r>
      <w:r w:rsidR="00496C12">
        <w:t>i</w:t>
      </w:r>
      <w:r w:rsidRPr="00496C12">
        <w:t>n clinical trials</w:t>
      </w:r>
      <w:r w:rsidR="00496C12">
        <w:t xml:space="preserve">. </w:t>
      </w:r>
      <w:r w:rsidRPr="00493427">
        <w:t>Study personnel then transcribe</w:t>
      </w:r>
      <w:r w:rsidR="00496C12">
        <w:t>d</w:t>
      </w:r>
      <w:r w:rsidRPr="00493427">
        <w:t xml:space="preserve"> the </w:t>
      </w:r>
      <w:r w:rsidR="00496C12">
        <w:t>information</w:t>
      </w:r>
      <w:r w:rsidRPr="00493427">
        <w:t xml:space="preserve"> into computer tables</w:t>
      </w:r>
      <w:r w:rsidR="00496C12">
        <w:t>, preferably</w:t>
      </w:r>
      <w:r w:rsidRPr="00493427">
        <w:t xml:space="preserve"> </w:t>
      </w:r>
      <w:r w:rsidR="00496C12">
        <w:t>using</w:t>
      </w:r>
      <w:r w:rsidR="00B07048" w:rsidRPr="00493427">
        <w:t xml:space="preserve"> </w:t>
      </w:r>
      <w:r w:rsidRPr="00493427">
        <w:t xml:space="preserve">on-screen forms </w:t>
      </w:r>
      <w:r w:rsidR="00496C12">
        <w:t>that</w:t>
      </w:r>
      <w:r w:rsidRPr="00493427">
        <w:t xml:space="preserve"> make data entry easier and includ</w:t>
      </w:r>
      <w:r w:rsidR="00496C12">
        <w:t>e</w:t>
      </w:r>
      <w:r w:rsidRPr="00493427">
        <w:t xml:space="preserve"> automatic data validation checks. </w:t>
      </w:r>
    </w:p>
    <w:p w14:paraId="5E728BB3" w14:textId="77777777" w:rsidR="00696478" w:rsidRDefault="004F02E5" w:rsidP="003833B3">
      <w:pPr>
        <w:pStyle w:val="Heading2"/>
      </w:pPr>
      <w:r>
        <w:rPr>
          <w:rFonts w:ascii="Times New Roman" w:hAnsi="Times New Roman"/>
          <w:sz w:val="24"/>
        </w:rPr>
        <w:t>&lt;H2&gt;Electronic Data Capture</w:t>
      </w:r>
    </w:p>
    <w:p w14:paraId="6B66324F" w14:textId="5D02AC29" w:rsidR="00696478" w:rsidRPr="001363C7" w:rsidRDefault="003D103C" w:rsidP="008106F6">
      <w:r>
        <w:t>Hand-</w:t>
      </w:r>
      <w:r w:rsidRPr="00493427">
        <w:t>writing</w:t>
      </w:r>
      <w:r w:rsidR="004F02E5" w:rsidRPr="00493427">
        <w:t xml:space="preserve"> data onto a paper form is increasingly rare. In general, research studies should collect data primarily using </w:t>
      </w:r>
      <w:r w:rsidR="004F02E5" w:rsidRPr="005D2DCD">
        <w:rPr>
          <w:rStyle w:val="red"/>
          <w:color w:val="auto"/>
        </w:rPr>
        <w:t>online forms</w:t>
      </w:r>
      <w:r w:rsidR="001363C7">
        <w:rPr>
          <w:rStyle w:val="red"/>
          <w:color w:val="auto"/>
        </w:rPr>
        <w:t xml:space="preserve">, </w:t>
      </w:r>
      <w:r w:rsidR="001363C7">
        <w:t>i</w:t>
      </w:r>
      <w:r w:rsidR="004F02E5" w:rsidRPr="001363C7">
        <w:t>n clinical trials called electronic case report forms</w:t>
      </w:r>
      <w:r w:rsidR="008F625F" w:rsidRPr="001363C7">
        <w:t xml:space="preserve"> </w:t>
      </w:r>
      <w:r w:rsidR="004F02E5" w:rsidRPr="005D2DCD">
        <w:rPr>
          <w:rStyle w:val="red"/>
          <w:color w:val="auto"/>
        </w:rPr>
        <w:t>(eCRFs).</w:t>
      </w:r>
      <w:r w:rsidR="008F625F" w:rsidRPr="005D2DCD">
        <w:rPr>
          <w:rStyle w:val="red"/>
          <w:color w:val="auto"/>
        </w:rPr>
        <w:t xml:space="preserve"> </w:t>
      </w:r>
      <w:r w:rsidR="00AD72D5" w:rsidRPr="005D2DCD">
        <w:rPr>
          <w:rStyle w:val="red"/>
          <w:color w:val="auto"/>
        </w:rPr>
        <w:t xml:space="preserve"> Online forms </w:t>
      </w:r>
      <w:r w:rsidR="00AD72D5" w:rsidRPr="001363C7">
        <w:t>may be viewed</w:t>
      </w:r>
      <w:r w:rsidR="00024761">
        <w:t>,</w:t>
      </w:r>
      <w:r w:rsidR="00AD72D5" w:rsidRPr="001363C7">
        <w:t xml:space="preserve"> and data entered on </w:t>
      </w:r>
      <w:r w:rsidR="00AD72D5" w:rsidRPr="005D2DCD">
        <w:rPr>
          <w:rStyle w:val="green"/>
          <w:color w:val="auto"/>
        </w:rPr>
        <w:t xml:space="preserve">portable, wireless devices </w:t>
      </w:r>
      <w:r w:rsidR="00AD72D5" w:rsidRPr="001363C7">
        <w:t>such as a tablet (iPad), smartphone, or notebook computer.</w:t>
      </w:r>
      <w:r w:rsidR="001363C7">
        <w:t xml:space="preserve"> </w:t>
      </w:r>
      <w:r w:rsidR="004F02E5" w:rsidRPr="001363C7">
        <w:t>Data entry via online forms has many advantages:</w:t>
      </w:r>
    </w:p>
    <w:p w14:paraId="55D9F7E5" w14:textId="77777777" w:rsidR="00BA1EE4" w:rsidRDefault="00BA1EE4" w:rsidP="00493427"/>
    <w:p w14:paraId="4AA4EA33" w14:textId="0C441958" w:rsidR="00696478" w:rsidRPr="001363C7" w:rsidRDefault="004F02E5" w:rsidP="00493427">
      <w:pPr>
        <w:numPr>
          <w:ilvl w:val="0"/>
          <w:numId w:val="1"/>
        </w:numPr>
        <w:ind w:left="357" w:hanging="357"/>
      </w:pPr>
      <w:r w:rsidRPr="001363C7">
        <w:t xml:space="preserve">The data </w:t>
      </w:r>
      <w:r w:rsidR="001363C7">
        <w:t>are</w:t>
      </w:r>
      <w:r w:rsidR="001363C7" w:rsidRPr="001363C7">
        <w:t xml:space="preserve"> </w:t>
      </w:r>
      <w:r w:rsidRPr="005D2DCD">
        <w:rPr>
          <w:rStyle w:val="green"/>
          <w:color w:val="auto"/>
        </w:rPr>
        <w:t>keyed directly</w:t>
      </w:r>
      <w:r w:rsidR="00B2675F" w:rsidRPr="001363C7">
        <w:t xml:space="preserve"> </w:t>
      </w:r>
      <w:r w:rsidRPr="001363C7">
        <w:t>into the data tables without a second transcription step, removing that source of error.</w:t>
      </w:r>
    </w:p>
    <w:p w14:paraId="33B976C7" w14:textId="77777777" w:rsidR="00696478" w:rsidRPr="001363C7" w:rsidRDefault="004F02E5" w:rsidP="00493427">
      <w:pPr>
        <w:numPr>
          <w:ilvl w:val="0"/>
          <w:numId w:val="1"/>
        </w:numPr>
        <w:ind w:left="357" w:hanging="357"/>
      </w:pPr>
      <w:r w:rsidRPr="001363C7">
        <w:t>The computer form can include</w:t>
      </w:r>
      <w:r w:rsidR="008F625F" w:rsidRPr="001363C7">
        <w:t xml:space="preserve"> </w:t>
      </w:r>
      <w:r w:rsidRPr="005D2DCD">
        <w:rPr>
          <w:rStyle w:val="green"/>
          <w:color w:val="auto"/>
        </w:rPr>
        <w:t>validation checks</w:t>
      </w:r>
      <w:r w:rsidR="008F625F" w:rsidRPr="005D2DCD">
        <w:rPr>
          <w:rStyle w:val="green"/>
          <w:color w:val="auto"/>
        </w:rPr>
        <w:t xml:space="preserve"> </w:t>
      </w:r>
      <w:r w:rsidRPr="001363C7">
        <w:t>and provide immediate feedback when an entered value is out of range.</w:t>
      </w:r>
    </w:p>
    <w:p w14:paraId="6D0E785F" w14:textId="2B8D0509" w:rsidR="00696478" w:rsidRPr="001363C7" w:rsidRDefault="004F02E5" w:rsidP="00493427">
      <w:pPr>
        <w:numPr>
          <w:ilvl w:val="0"/>
          <w:numId w:val="1"/>
        </w:numPr>
        <w:ind w:left="357" w:hanging="357"/>
      </w:pPr>
      <w:r w:rsidRPr="001363C7">
        <w:t>The computer form can also incorporate</w:t>
      </w:r>
      <w:r w:rsidR="008F625F" w:rsidRPr="001363C7">
        <w:t xml:space="preserve"> </w:t>
      </w:r>
      <w:r w:rsidRPr="005D2DCD">
        <w:rPr>
          <w:rStyle w:val="green"/>
          <w:color w:val="auto"/>
        </w:rPr>
        <w:t>skip logic.</w:t>
      </w:r>
      <w:r w:rsidR="008F625F" w:rsidRPr="005D2DCD">
        <w:rPr>
          <w:rStyle w:val="green"/>
          <w:color w:val="auto"/>
        </w:rPr>
        <w:t xml:space="preserve"> </w:t>
      </w:r>
      <w:r w:rsidRPr="001363C7">
        <w:t xml:space="preserve">For example, a question about packs per day appears only if the </w:t>
      </w:r>
      <w:r w:rsidR="00C74508" w:rsidRPr="001363C7">
        <w:t>participant</w:t>
      </w:r>
      <w:r w:rsidRPr="001363C7">
        <w:t xml:space="preserve"> answered “yes” to a question about cigarette smoking.</w:t>
      </w:r>
    </w:p>
    <w:p w14:paraId="175E5A99" w14:textId="77777777" w:rsidR="00BA1EE4" w:rsidRPr="001363C7" w:rsidRDefault="00BA1EE4" w:rsidP="00837AB1">
      <w:pPr>
        <w:ind w:left="357"/>
      </w:pPr>
    </w:p>
    <w:p w14:paraId="5468138E" w14:textId="274C0554" w:rsidR="00696478" w:rsidRDefault="004F02E5" w:rsidP="00493427">
      <w:r w:rsidRPr="00493427">
        <w:t>When using online forms for electronic data capture, it sometimes makes sense to print a paper record of the data immediately after collection</w:t>
      </w:r>
      <w:r w:rsidR="001363C7">
        <w:t xml:space="preserve"> that</w:t>
      </w:r>
      <w:r w:rsidRPr="00493427">
        <w:t xml:space="preserve"> </w:t>
      </w:r>
      <w:r w:rsidR="00282DE6" w:rsidRPr="00493427">
        <w:t xml:space="preserve">can be </w:t>
      </w:r>
      <w:r w:rsidR="004C734D" w:rsidRPr="00493427">
        <w:t xml:space="preserve">verified by </w:t>
      </w:r>
      <w:r w:rsidR="00282DE6" w:rsidRPr="00493427">
        <w:t xml:space="preserve">the study </w:t>
      </w:r>
      <w:r w:rsidR="00C74508">
        <w:t>participant</w:t>
      </w:r>
      <w:r w:rsidR="001363C7">
        <w:t xml:space="preserve">. </w:t>
      </w:r>
      <w:r w:rsidR="00282DE6" w:rsidRPr="00493427">
        <w:t xml:space="preserve"> </w:t>
      </w:r>
      <w:r w:rsidR="001363C7">
        <w:t>It</w:t>
      </w:r>
      <w:r w:rsidR="001363C7" w:rsidRPr="00493427">
        <w:t xml:space="preserve"> </w:t>
      </w:r>
      <w:r w:rsidRPr="00493427">
        <w:t>may be used as the original or source document if a paper version is required</w:t>
      </w:r>
      <w:r w:rsidR="00AD72D5">
        <w:t xml:space="preserve"> for auditing purposes</w:t>
      </w:r>
      <w:r w:rsidRPr="00493427">
        <w:t>.</w:t>
      </w:r>
    </w:p>
    <w:p w14:paraId="22B8F5A0" w14:textId="58E08450" w:rsidR="003D5C86" w:rsidRPr="00493427" w:rsidRDefault="003D5C86" w:rsidP="00493427"/>
    <w:p w14:paraId="3D3966DF" w14:textId="6F45F58A" w:rsidR="00240781" w:rsidRDefault="00240781" w:rsidP="00493427">
      <w:r w:rsidRPr="003F32B8">
        <w:t>Although the online form should prevent invalid entries, it should allow user</w:t>
      </w:r>
      <w:r w:rsidR="00426C3B" w:rsidRPr="003F32B8">
        <w:t>s</w:t>
      </w:r>
      <w:r w:rsidRPr="003F32B8">
        <w:t xml:space="preserve"> to save </w:t>
      </w:r>
      <w:r w:rsidR="00DE426F" w:rsidRPr="003F32B8">
        <w:t xml:space="preserve">an </w:t>
      </w:r>
      <w:r w:rsidRPr="003F32B8">
        <w:t xml:space="preserve">incomplete record. </w:t>
      </w:r>
      <w:r w:rsidR="00196EA3" w:rsidRPr="003F32B8">
        <w:t>To</w:t>
      </w:r>
      <w:r w:rsidR="00680B2C" w:rsidRPr="003F32B8">
        <w:t xml:space="preserve"> prevent missing data, s</w:t>
      </w:r>
      <w:r w:rsidRPr="003F32B8">
        <w:t xml:space="preserve">ome </w:t>
      </w:r>
      <w:r w:rsidR="00426C3B" w:rsidRPr="003F32B8">
        <w:t>database managers</w:t>
      </w:r>
      <w:r w:rsidRPr="003F32B8">
        <w:t xml:space="preserve"> create required fields and “hard stops” that prevent saving a record if </w:t>
      </w:r>
      <w:r w:rsidR="00426C3B" w:rsidRPr="003F32B8">
        <w:t xml:space="preserve">even a single </w:t>
      </w:r>
      <w:r w:rsidRPr="003F32B8">
        <w:t xml:space="preserve">value is missing. </w:t>
      </w:r>
      <w:r w:rsidR="008620C2" w:rsidRPr="003F32B8">
        <w:t>The result, however, is that</w:t>
      </w:r>
      <w:r w:rsidR="00680B2C" w:rsidRPr="003F32B8">
        <w:t xml:space="preserve"> a user who has entered </w:t>
      </w:r>
      <w:r w:rsidR="00426C3B" w:rsidRPr="003F32B8">
        <w:t>nine</w:t>
      </w:r>
      <w:r w:rsidR="00680B2C" w:rsidRPr="003F32B8">
        <w:t xml:space="preserve"> values</w:t>
      </w:r>
      <w:r w:rsidR="008620C2" w:rsidRPr="003F32B8">
        <w:t xml:space="preserve"> </w:t>
      </w:r>
      <w:r w:rsidR="00680B2C" w:rsidRPr="003F32B8">
        <w:t xml:space="preserve">will lose them all </w:t>
      </w:r>
      <w:r w:rsidR="00372DA3" w:rsidRPr="003F32B8">
        <w:t>if</w:t>
      </w:r>
      <w:r w:rsidR="00680B2C" w:rsidRPr="003F32B8">
        <w:t xml:space="preserve"> the </w:t>
      </w:r>
      <w:r w:rsidR="00426C3B" w:rsidRPr="003F32B8">
        <w:t>tenth</w:t>
      </w:r>
      <w:r w:rsidR="00680B2C" w:rsidRPr="003F32B8">
        <w:t xml:space="preserve"> isn’t available</w:t>
      </w:r>
      <w:r w:rsidR="00426C3B" w:rsidRPr="003F32B8">
        <w:t>—</w:t>
      </w:r>
      <w:r w:rsidR="008620C2" w:rsidRPr="003F32B8">
        <w:t xml:space="preserve">and </w:t>
      </w:r>
      <w:r w:rsidR="00426C3B" w:rsidRPr="003F32B8">
        <w:t>may decide to</w:t>
      </w:r>
      <w:r w:rsidR="00680B2C" w:rsidRPr="003F32B8">
        <w:t xml:space="preserve"> fabricate </w:t>
      </w:r>
      <w:r w:rsidR="00196EA3" w:rsidRPr="003F32B8">
        <w:t xml:space="preserve">or approximate </w:t>
      </w:r>
      <w:r w:rsidR="00680B2C" w:rsidRPr="003F32B8">
        <w:t>th</w:t>
      </w:r>
      <w:r w:rsidR="00426C3B" w:rsidRPr="003F32B8">
        <w:t>at last</w:t>
      </w:r>
      <w:r w:rsidR="00196EA3" w:rsidRPr="003F32B8">
        <w:t xml:space="preserve"> </w:t>
      </w:r>
      <w:r w:rsidR="00680B2C" w:rsidRPr="003F32B8">
        <w:t>valu</w:t>
      </w:r>
      <w:r w:rsidR="00196EA3" w:rsidRPr="003F32B8">
        <w:t>e</w:t>
      </w:r>
      <w:r w:rsidR="008620C2" w:rsidRPr="003F32B8">
        <w:t xml:space="preserve">. </w:t>
      </w:r>
      <w:r w:rsidR="00196EA3" w:rsidRPr="003F32B8">
        <w:t>R</w:t>
      </w:r>
      <w:r w:rsidR="00680B2C" w:rsidRPr="003F32B8">
        <w:t>equir</w:t>
      </w:r>
      <w:r w:rsidR="008620C2" w:rsidRPr="003F32B8">
        <w:t>ed fields</w:t>
      </w:r>
      <w:r w:rsidR="00680B2C" w:rsidRPr="003F32B8">
        <w:t xml:space="preserve"> </w:t>
      </w:r>
      <w:r w:rsidR="00370D87" w:rsidRPr="003F32B8">
        <w:t xml:space="preserve">prevent </w:t>
      </w:r>
      <w:r w:rsidR="00680B2C" w:rsidRPr="003F32B8">
        <w:t xml:space="preserve">missing data </w:t>
      </w:r>
      <w:r w:rsidR="00370D87" w:rsidRPr="003F32B8">
        <w:t>but increase the risk of invalid data</w:t>
      </w:r>
      <w:r w:rsidR="00680B2C" w:rsidRPr="003F32B8">
        <w:t xml:space="preserve">. </w:t>
      </w:r>
      <w:r w:rsidRPr="003F32B8">
        <w:t xml:space="preserve">The only missing fields that should prevent saving </w:t>
      </w:r>
      <w:r w:rsidR="00426C3B" w:rsidRPr="003F32B8">
        <w:t>a</w:t>
      </w:r>
      <w:r w:rsidR="00DE426F" w:rsidRPr="003F32B8">
        <w:t xml:space="preserve"> record </w:t>
      </w:r>
      <w:r w:rsidRPr="003F32B8">
        <w:t xml:space="preserve">are </w:t>
      </w:r>
      <w:r w:rsidR="008620C2" w:rsidRPr="003F32B8">
        <w:t xml:space="preserve">those (like </w:t>
      </w:r>
      <w:proofErr w:type="spellStart"/>
      <w:r w:rsidR="008620C2" w:rsidRPr="003F32B8">
        <w:t>ParticipantID</w:t>
      </w:r>
      <w:proofErr w:type="spellEnd"/>
      <w:r w:rsidR="008620C2" w:rsidRPr="003F32B8">
        <w:t>) that identify it.</w:t>
      </w:r>
      <w:r w:rsidRPr="003F32B8">
        <w:t xml:space="preserve"> </w:t>
      </w:r>
      <w:r w:rsidR="00426C3B" w:rsidRPr="003F32B8">
        <w:t>A</w:t>
      </w:r>
      <w:r w:rsidR="00DE426F" w:rsidRPr="003F32B8">
        <w:t xml:space="preserve"> form should </w:t>
      </w:r>
      <w:r w:rsidR="00196EA3" w:rsidRPr="003F32B8">
        <w:t xml:space="preserve">also </w:t>
      </w:r>
      <w:r w:rsidR="00DE426F" w:rsidRPr="003F32B8">
        <w:t>include a “Complete?” field that triggers an automatic error checking routine.</w:t>
      </w:r>
    </w:p>
    <w:p w14:paraId="5DB2CAF5" w14:textId="2F210F78" w:rsidR="004F3522" w:rsidRDefault="004F3522" w:rsidP="00493427"/>
    <w:p w14:paraId="225B28BE" w14:textId="20E31157" w:rsidR="004F3522" w:rsidRDefault="004F3522" w:rsidP="00493427">
      <w:r>
        <w:t>If the person entering data needs to know a calculated value based on entered fields (e.g., age in months or BMI), then the form should calculate and display it.  As mentioned above, data tables should store raw data fields, not calculated values.</w:t>
      </w:r>
    </w:p>
    <w:p w14:paraId="66143F9F" w14:textId="77777777" w:rsidR="00240781" w:rsidRDefault="00240781" w:rsidP="00493427"/>
    <w:p w14:paraId="02FF2DDD" w14:textId="60732AAF" w:rsidR="00696478" w:rsidRPr="00493427" w:rsidRDefault="004F02E5" w:rsidP="00493427">
      <w:r w:rsidRPr="00493427">
        <w:t xml:space="preserve">Online data collection forms provide </w:t>
      </w:r>
      <w:r w:rsidR="003D5C86" w:rsidRPr="00493427">
        <w:t xml:space="preserve">two main </w:t>
      </w:r>
      <w:r w:rsidRPr="00493427">
        <w:t xml:space="preserve">formats for displaying </w:t>
      </w:r>
      <w:r w:rsidRPr="005D2DCD">
        <w:rPr>
          <w:i/>
          <w:iCs/>
        </w:rPr>
        <w:t>mutually exclusive</w:t>
      </w:r>
      <w:r w:rsidRPr="00493427">
        <w:t xml:space="preserve"> </w:t>
      </w:r>
      <w:r w:rsidR="007E1D8E">
        <w:t xml:space="preserve">(no overlap) </w:t>
      </w:r>
      <w:r w:rsidRPr="00493427">
        <w:t xml:space="preserve">and </w:t>
      </w:r>
      <w:r w:rsidRPr="005D2DCD">
        <w:rPr>
          <w:i/>
          <w:iCs/>
        </w:rPr>
        <w:t>collectively exhaustive</w:t>
      </w:r>
      <w:r w:rsidR="007E1D8E">
        <w:t xml:space="preserve"> (all-encompassing)</w:t>
      </w:r>
      <w:r w:rsidRPr="00493427">
        <w:t xml:space="preserve"> response options: drop-down list</w:t>
      </w:r>
      <w:r w:rsidR="003D5C86" w:rsidRPr="00493427">
        <w:t xml:space="preserve"> </w:t>
      </w:r>
      <w:r w:rsidRPr="00493427">
        <w:t>or option group (</w:t>
      </w:r>
      <w:r w:rsidR="009E360B">
        <w:t>Figure 19.</w:t>
      </w:r>
      <w:r w:rsidR="001363C7">
        <w:t>6</w:t>
      </w:r>
      <w:r w:rsidR="007E1D8E">
        <w:t xml:space="preserve"> A and B</w:t>
      </w:r>
      <w:r w:rsidRPr="00493427">
        <w:t xml:space="preserve">). These formats will be familiar to any research </w:t>
      </w:r>
      <w:r w:rsidR="00C74508">
        <w:t>participant</w:t>
      </w:r>
      <w:r w:rsidRPr="00493427">
        <w:t xml:space="preserve"> or data entry person who has worked with an online form. </w:t>
      </w:r>
    </w:p>
    <w:p w14:paraId="2492E883" w14:textId="77777777" w:rsidR="00082716" w:rsidRDefault="00082716" w:rsidP="008106F6"/>
    <w:p w14:paraId="48A0DC14" w14:textId="22E5DEA9" w:rsidR="00432EA0" w:rsidRDefault="00432EA0" w:rsidP="008106F6">
      <w:r w:rsidRPr="00493427">
        <w:t>A</w:t>
      </w:r>
    </w:p>
    <w:p w14:paraId="7A5D9912" w14:textId="0C8D178D" w:rsidR="00250B7A" w:rsidRDefault="000E215F" w:rsidP="008106F6">
      <w:r w:rsidRPr="000E215F">
        <w:rPr>
          <w:noProof/>
        </w:rPr>
        <w:drawing>
          <wp:inline distT="0" distB="0" distL="0" distR="0" wp14:anchorId="1BCD3C70" wp14:editId="5FB849B6">
            <wp:extent cx="5731510" cy="3220720"/>
            <wp:effectExtent l="0" t="0" r="0" b="508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3"/>
                    <a:stretch>
                      <a:fillRect/>
                    </a:stretch>
                  </pic:blipFill>
                  <pic:spPr>
                    <a:xfrm>
                      <a:off x="0" y="0"/>
                      <a:ext cx="5731510" cy="3220720"/>
                    </a:xfrm>
                    <a:prstGeom prst="rect">
                      <a:avLst/>
                    </a:prstGeom>
                  </pic:spPr>
                </pic:pic>
              </a:graphicData>
            </a:graphic>
          </wp:inline>
        </w:drawing>
      </w:r>
    </w:p>
    <w:p w14:paraId="65AAC647" w14:textId="77777777" w:rsidR="00250B7A" w:rsidRPr="00493427" w:rsidRDefault="00250B7A" w:rsidP="00493427"/>
    <w:p w14:paraId="27D210FC" w14:textId="40E248AC" w:rsidR="00432EA0" w:rsidRPr="00493427" w:rsidRDefault="00432EA0" w:rsidP="00493427">
      <w:r w:rsidRPr="00493427">
        <w:t>B</w:t>
      </w:r>
    </w:p>
    <w:p w14:paraId="3F757C7E" w14:textId="62179D51" w:rsidR="001517E0" w:rsidRDefault="00362BAC" w:rsidP="008106F6">
      <w:r w:rsidRPr="00362BAC">
        <w:rPr>
          <w:noProof/>
        </w:rPr>
        <w:drawing>
          <wp:inline distT="0" distB="0" distL="0" distR="0" wp14:anchorId="3EFB285C" wp14:editId="1D28911C">
            <wp:extent cx="5731510" cy="1574800"/>
            <wp:effectExtent l="0" t="0" r="0" b="0"/>
            <wp:docPr id="13" name="Picture 13"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rectangle&#10;&#10;Description automatically generated"/>
                    <pic:cNvPicPr/>
                  </pic:nvPicPr>
                  <pic:blipFill>
                    <a:blip r:embed="rId14"/>
                    <a:stretch>
                      <a:fillRect/>
                    </a:stretch>
                  </pic:blipFill>
                  <pic:spPr>
                    <a:xfrm>
                      <a:off x="0" y="0"/>
                      <a:ext cx="5731510" cy="1574800"/>
                    </a:xfrm>
                    <a:prstGeom prst="rect">
                      <a:avLst/>
                    </a:prstGeom>
                  </pic:spPr>
                </pic:pic>
              </a:graphicData>
            </a:graphic>
          </wp:inline>
        </w:drawing>
      </w:r>
    </w:p>
    <w:p w14:paraId="3F009978" w14:textId="77777777" w:rsidR="000E215F" w:rsidRDefault="000E215F" w:rsidP="008106F6"/>
    <w:p w14:paraId="7C96332D" w14:textId="7637C134" w:rsidR="00432EA0" w:rsidRDefault="009E360B" w:rsidP="00493427">
      <w:pPr>
        <w:rPr>
          <w:rFonts w:ascii="Arial" w:hAnsi="Arial" w:cs="Arial"/>
        </w:rPr>
      </w:pPr>
      <w:r>
        <w:rPr>
          <w:rFonts w:ascii="Arial" w:hAnsi="Arial" w:cs="Arial"/>
          <w:b/>
        </w:rPr>
        <w:lastRenderedPageBreak/>
        <w:t>Figure 19.</w:t>
      </w:r>
      <w:r w:rsidR="00DE53EC">
        <w:rPr>
          <w:rFonts w:ascii="Arial" w:hAnsi="Arial" w:cs="Arial"/>
          <w:b/>
        </w:rPr>
        <w:t>6</w:t>
      </w:r>
      <w:r w:rsidR="00432EA0" w:rsidRPr="00432EA0">
        <w:rPr>
          <w:rFonts w:ascii="Arial" w:hAnsi="Arial" w:cs="Arial"/>
          <w:b/>
        </w:rPr>
        <w:t xml:space="preserve">. </w:t>
      </w:r>
      <w:r w:rsidR="00432EA0" w:rsidRPr="00432EA0">
        <w:rPr>
          <w:rFonts w:ascii="Arial" w:hAnsi="Arial" w:cs="Arial"/>
        </w:rPr>
        <w:t>Formats for entering from a mutually exclusive, collectively exhaustive list of responses. The drop-down list (A; dropped down in lower panel) saves screen space but will not work if the screen form will be printed to paper for data collection. The option group (B) requires more screen space, but will work if printed.</w:t>
      </w:r>
    </w:p>
    <w:p w14:paraId="364220FF" w14:textId="77777777" w:rsidR="00093745" w:rsidRPr="00432EA0" w:rsidRDefault="00093745" w:rsidP="00493427">
      <w:pPr>
        <w:rPr>
          <w:rFonts w:ascii="Arial" w:hAnsi="Arial" w:cs="Arial"/>
        </w:rPr>
      </w:pPr>
    </w:p>
    <w:p w14:paraId="128F1855" w14:textId="54460ACE" w:rsidR="00696478" w:rsidRDefault="004F02E5" w:rsidP="00493427">
      <w:r w:rsidRPr="00493427">
        <w:t>A question with a set of mutually exclusive responses corresponds to a single field in the data table. In contrast, the responses to an “All that apply” question are not mutually exclusive</w:t>
      </w:r>
      <w:r w:rsidR="007E1D8E">
        <w:t>; rather, t</w:t>
      </w:r>
      <w:r w:rsidRPr="00493427">
        <w:t xml:space="preserve">hey correspond to as many yes/no fields as there are possible responses. By convention, response options for “All that apply” questions use </w:t>
      </w:r>
      <w:r w:rsidRPr="005D2DCD">
        <w:rPr>
          <w:i/>
          <w:iCs/>
        </w:rPr>
        <w:t>square</w:t>
      </w:r>
      <w:r w:rsidRPr="00493427">
        <w:t xml:space="preserve"> check boxes rather than the </w:t>
      </w:r>
      <w:r w:rsidRPr="005D2DCD">
        <w:rPr>
          <w:i/>
          <w:iCs/>
        </w:rPr>
        <w:t>round</w:t>
      </w:r>
      <w:r w:rsidRPr="00493427">
        <w:t xml:space="preserve"> radio buttons used for mutually exclusive responses. “All that apply” questions </w:t>
      </w:r>
      <w:r w:rsidR="007E1D8E">
        <w:t xml:space="preserve">should be avoided; requiring </w:t>
      </w:r>
      <w:r w:rsidRPr="00493427">
        <w:t>a yes or no response to each item</w:t>
      </w:r>
      <w:r w:rsidR="007E1D8E">
        <w:t xml:space="preserve"> is preferable</w:t>
      </w:r>
      <w:r w:rsidRPr="00493427">
        <w:t xml:space="preserve">. Otherwise an unmarked response could either mean “does not apply” or “not answered.” </w:t>
      </w:r>
    </w:p>
    <w:p w14:paraId="16A52C55" w14:textId="77777777" w:rsidR="00696478" w:rsidRDefault="004F02E5" w:rsidP="00B76E58">
      <w:pPr>
        <w:pStyle w:val="Heading2"/>
      </w:pPr>
      <w:r>
        <w:rPr>
          <w:rFonts w:ascii="Times New Roman" w:hAnsi="Times New Roman"/>
          <w:sz w:val="24"/>
        </w:rPr>
        <w:t>&lt;H2&gt;Importing Measurements and Laboratory Results</w:t>
      </w:r>
    </w:p>
    <w:p w14:paraId="59A26CE1" w14:textId="69E9A7FD" w:rsidR="00696478" w:rsidRDefault="004F02E5" w:rsidP="00493427">
      <w:r w:rsidRPr="00493427">
        <w:t>Much study information, such as baseline demographic information</w:t>
      </w:r>
      <w:r w:rsidR="008719A2">
        <w:t xml:space="preserve">, </w:t>
      </w:r>
      <w:r w:rsidRPr="00493427">
        <w:t xml:space="preserve">lab results, and measurements made by dual energy x-ray absorptiometry (DEXA) scanners and Holter monitors, is </w:t>
      </w:r>
      <w:r w:rsidR="008719A2">
        <w:t xml:space="preserve">often </w:t>
      </w:r>
      <w:r w:rsidRPr="00493427">
        <w:t>already in digital format. Whe</w:t>
      </w:r>
      <w:r w:rsidR="008719A2">
        <w:t xml:space="preserve">never </w:t>
      </w:r>
      <w:r w:rsidRPr="00493427">
        <w:t xml:space="preserve">possible, </w:t>
      </w:r>
      <w:r w:rsidR="008719A2">
        <w:t>these</w:t>
      </w:r>
      <w:r w:rsidR="008719A2" w:rsidRPr="00493427">
        <w:t xml:space="preserve"> </w:t>
      </w:r>
      <w:r w:rsidRPr="00493427">
        <w:t xml:space="preserve">data should be imported directly into the study database to avoid the </w:t>
      </w:r>
      <w:r w:rsidR="008719A2">
        <w:t>cost</w:t>
      </w:r>
      <w:r w:rsidR="008719A2" w:rsidRPr="00493427">
        <w:t xml:space="preserve"> </w:t>
      </w:r>
      <w:r w:rsidRPr="00493427">
        <w:t xml:space="preserve">and potential transcription errors </w:t>
      </w:r>
      <w:r w:rsidR="008719A2">
        <w:t>of</w:t>
      </w:r>
      <w:r w:rsidRPr="00493427">
        <w:t xml:space="preserve"> re-entering data. Computer systems can almost always produce </w:t>
      </w:r>
      <w:r w:rsidR="0040474F" w:rsidRPr="00493427">
        <w:t>comma</w:t>
      </w:r>
      <w:r w:rsidRPr="00493427">
        <w:t>-</w:t>
      </w:r>
      <w:r w:rsidR="0040474F" w:rsidRPr="00493427">
        <w:t xml:space="preserve">separated-value (csv) files </w:t>
      </w:r>
      <w:r w:rsidRPr="00493427">
        <w:t>or fixed-column-width text files that the database software can import. In clinical trials, this type of batch-uploaded information is referred to as “non-CRF data” (1).</w:t>
      </w:r>
    </w:p>
    <w:p w14:paraId="4737CFD3" w14:textId="77777777" w:rsidR="00696478" w:rsidRDefault="004F02E5" w:rsidP="00B76E58">
      <w:pPr>
        <w:pStyle w:val="Heading2"/>
      </w:pPr>
      <w:r>
        <w:rPr>
          <w:rFonts w:ascii="Times New Roman" w:hAnsi="Times New Roman"/>
          <w:sz w:val="24"/>
        </w:rPr>
        <w:t>&lt;H2&gt;Data Management Software</w:t>
      </w:r>
    </w:p>
    <w:p w14:paraId="432CB48F" w14:textId="78BF4B15" w:rsidR="00696478" w:rsidRDefault="004F02E5" w:rsidP="00493427">
      <w:r w:rsidRPr="00493427">
        <w:t xml:space="preserve">The </w:t>
      </w:r>
      <w:r w:rsidRPr="00B81CC5">
        <w:rPr>
          <w:rStyle w:val="red"/>
          <w:i/>
          <w:color w:val="000000" w:themeColor="text1"/>
        </w:rPr>
        <w:t>back end</w:t>
      </w:r>
      <w:r w:rsidRPr="00B81CC5">
        <w:rPr>
          <w:color w:val="000000" w:themeColor="text1"/>
        </w:rPr>
        <w:t xml:space="preserve"> </w:t>
      </w:r>
      <w:r w:rsidR="008719A2">
        <w:t>of a study database c</w:t>
      </w:r>
      <w:r w:rsidRPr="00493427">
        <w:t>onsists of the data tables themselves. The</w:t>
      </w:r>
      <w:r w:rsidR="008F625F" w:rsidRPr="00493427">
        <w:t xml:space="preserve"> </w:t>
      </w:r>
      <w:r w:rsidRPr="00B81CC5">
        <w:rPr>
          <w:rStyle w:val="red"/>
          <w:i/>
          <w:color w:val="000000" w:themeColor="text1"/>
        </w:rPr>
        <w:t>front end</w:t>
      </w:r>
      <w:r w:rsidRPr="00B81CC5">
        <w:rPr>
          <w:color w:val="000000" w:themeColor="text1"/>
        </w:rPr>
        <w:t xml:space="preserve"> </w:t>
      </w:r>
      <w:r w:rsidR="008719A2">
        <w:rPr>
          <w:color w:val="000000" w:themeColor="text1"/>
        </w:rPr>
        <w:t>(</w:t>
      </w:r>
      <w:r w:rsidRPr="00493427">
        <w:t>or interface</w:t>
      </w:r>
      <w:r w:rsidR="008719A2">
        <w:t>)</w:t>
      </w:r>
      <w:r w:rsidRPr="00493427">
        <w:t xml:space="preserve"> consists of the online forms used for entering, viewing, and editing the data. </w:t>
      </w:r>
      <w:r w:rsidR="00B76E58">
        <w:t>Study</w:t>
      </w:r>
      <w:r w:rsidR="00B76E58" w:rsidRPr="00493427">
        <w:t xml:space="preserve"> d</w:t>
      </w:r>
      <w:r w:rsidRPr="00493427">
        <w:t xml:space="preserve">atabases consisting of multiple data tables require relational database software </w:t>
      </w:r>
      <w:r w:rsidR="008719A2">
        <w:t xml:space="preserve">(Table 16.1) </w:t>
      </w:r>
      <w:r w:rsidRPr="00493427">
        <w:t>to maintain the back-end data tables. If the data are collected on paper forms, entering the data will require transcription into online forms.</w:t>
      </w:r>
    </w:p>
    <w:p w14:paraId="58B7D9A5" w14:textId="77777777" w:rsidR="0030616D" w:rsidRDefault="0030616D" w:rsidP="008106F6"/>
    <w:p w14:paraId="2517A2CC" w14:textId="5DB062A8" w:rsidR="00696478" w:rsidRDefault="004F02E5" w:rsidP="00493427">
      <w:r w:rsidRPr="00493427">
        <w:t>&lt;TAB16.1&gt;</w:t>
      </w:r>
    </w:p>
    <w:p w14:paraId="19909EB8" w14:textId="77777777" w:rsidR="00B76E58" w:rsidRDefault="00B76E58" w:rsidP="008106F6"/>
    <w:p w14:paraId="5BF2ED98" w14:textId="5BB43817" w:rsidR="00696478" w:rsidRPr="00493427" w:rsidRDefault="004F02E5" w:rsidP="00493427">
      <w:r w:rsidRPr="00493427">
        <w:t xml:space="preserve">As discussed in </w:t>
      </w:r>
      <w:r w:rsidR="003F1E2F" w:rsidRPr="00493427">
        <w:t>Chapter 17</w:t>
      </w:r>
      <w:r w:rsidRPr="00493427">
        <w:t xml:space="preserve">, </w:t>
      </w:r>
      <w:r w:rsidR="008719A2">
        <w:t xml:space="preserve">there are </w:t>
      </w:r>
      <w:r w:rsidRPr="00493427">
        <w:t>several tools, including SurveyMonkey, Zoomerang, Qualtrics,</w:t>
      </w:r>
      <w:r>
        <w:t xml:space="preserve"> </w:t>
      </w:r>
      <w:r w:rsidR="0041783F">
        <w:t>QuesGen, and REDCap</w:t>
      </w:r>
      <w:r w:rsidR="0041783F" w:rsidRPr="00493427">
        <w:t xml:space="preserve"> </w:t>
      </w:r>
      <w:r w:rsidRPr="00493427">
        <w:t xml:space="preserve">for developing online surveys </w:t>
      </w:r>
      <w:r w:rsidR="008719A2">
        <w:t>to</w:t>
      </w:r>
      <w:r w:rsidRPr="00493427">
        <w:t xml:space="preserve"> e-mail to study participants or post on </w:t>
      </w:r>
      <w:r w:rsidR="008719A2">
        <w:t>a</w:t>
      </w:r>
      <w:r w:rsidR="008719A2" w:rsidRPr="00493427">
        <w:t xml:space="preserve"> </w:t>
      </w:r>
      <w:r w:rsidRPr="00493427">
        <w:t xml:space="preserve">website. </w:t>
      </w:r>
      <w:r w:rsidR="008F4B23" w:rsidRPr="00493427">
        <w:t>All</w:t>
      </w:r>
      <w:r w:rsidRPr="00493427">
        <w:t xml:space="preserve"> these tools provide </w:t>
      </w:r>
      <w:r w:rsidR="008719A2">
        <w:t>several</w:t>
      </w:r>
      <w:r w:rsidR="008719A2" w:rsidRPr="00493427">
        <w:t xml:space="preserve"> </w:t>
      </w:r>
      <w:r w:rsidRPr="00493427">
        <w:t>question format options, skip logic, and the capability to aggregate, report on, and export survey results.</w:t>
      </w:r>
      <w:r w:rsidR="00171CF1" w:rsidRPr="00493427">
        <w:t xml:space="preserve">  </w:t>
      </w:r>
      <w:r w:rsidRPr="00493427">
        <w:t xml:space="preserve">Some </w:t>
      </w:r>
      <w:r w:rsidRPr="00B81CC5">
        <w:rPr>
          <w:rStyle w:val="red"/>
          <w:color w:val="000000" w:themeColor="text1"/>
        </w:rPr>
        <w:t>statistical packages</w:t>
      </w:r>
      <w:r w:rsidRPr="00493427">
        <w:t xml:space="preserve">, such as SAS, have developed data entry modules. </w:t>
      </w:r>
      <w:r w:rsidRPr="005D2DCD">
        <w:rPr>
          <w:rStyle w:val="red"/>
          <w:iCs/>
          <w:color w:val="000000" w:themeColor="text1"/>
        </w:rPr>
        <w:t>Integrated desktop database</w:t>
      </w:r>
      <w:r w:rsidRPr="008719A2">
        <w:rPr>
          <w:iCs/>
          <w:color w:val="000000" w:themeColor="text1"/>
        </w:rPr>
        <w:t xml:space="preserve"> </w:t>
      </w:r>
      <w:r w:rsidRPr="00493427">
        <w:t>programs, such as Microsoft Access and Filemaker Pro, also provide extensive tools for the development of on-screen forms.</w:t>
      </w:r>
    </w:p>
    <w:p w14:paraId="15AB8DEF" w14:textId="77777777" w:rsidR="00171CF1" w:rsidRDefault="00171CF1" w:rsidP="00493427"/>
    <w:p w14:paraId="1191CE37" w14:textId="6CEEA3D4" w:rsidR="00696478" w:rsidRPr="00493427" w:rsidRDefault="008719A2" w:rsidP="00493427">
      <w:r>
        <w:t>Many r</w:t>
      </w:r>
      <w:r w:rsidR="004F02E5" w:rsidRPr="00493427">
        <w:t>esearch studies use integrated, Web-enabled, research data management platforms</w:t>
      </w:r>
      <w:r>
        <w:t xml:space="preserve">, such as </w:t>
      </w:r>
      <w:r w:rsidR="004F02E5" w:rsidRPr="005D2DCD">
        <w:rPr>
          <w:rStyle w:val="red"/>
          <w:color w:val="auto"/>
        </w:rPr>
        <w:t>REDCap</w:t>
      </w:r>
      <w:r w:rsidR="008F625F">
        <w:rPr>
          <w:rStyle w:val="red"/>
        </w:rPr>
        <w:t xml:space="preserve"> </w:t>
      </w:r>
      <w:r w:rsidR="004F02E5" w:rsidRPr="00493427">
        <w:t>(Research Electronic Data Capture)</w:t>
      </w:r>
      <w:r>
        <w:t>, which was</w:t>
      </w:r>
      <w:r w:rsidR="004F02E5" w:rsidRPr="00493427">
        <w:t xml:space="preserve"> </w:t>
      </w:r>
      <w:r w:rsidR="0041783F">
        <w:t>designed specifically for clinical research</w:t>
      </w:r>
      <w:r w:rsidR="004F02E5" w:rsidRPr="00493427">
        <w:t xml:space="preserve"> by an academic consortium based at Vanderbilt University. It enables researchers to build data entry forms, surveys, and surveys with attached data entry forms. REDCap</w:t>
      </w:r>
      <w:r w:rsidR="009F1BAB">
        <w:t>, which</w:t>
      </w:r>
      <w:r w:rsidR="004F02E5" w:rsidRPr="00493427">
        <w:t xml:space="preserve"> is available</w:t>
      </w:r>
      <w:r>
        <w:t xml:space="preserve"> </w:t>
      </w:r>
      <w:r w:rsidR="004F02E5" w:rsidRPr="00493427">
        <w:t xml:space="preserve">to investigators </w:t>
      </w:r>
      <w:r w:rsidR="009F1BAB">
        <w:t>at</w:t>
      </w:r>
      <w:r>
        <w:t xml:space="preserve"> </w:t>
      </w:r>
      <w:r w:rsidR="009F1BAB">
        <w:t>many</w:t>
      </w:r>
      <w:r>
        <w:t xml:space="preserve"> </w:t>
      </w:r>
      <w:r w:rsidR="009F1BAB" w:rsidRPr="00493427">
        <w:t>academic</w:t>
      </w:r>
      <w:r w:rsidR="009F1BAB">
        <w:t xml:space="preserve"> </w:t>
      </w:r>
      <w:r w:rsidR="004F02E5" w:rsidRPr="00493427">
        <w:t>institution</w:t>
      </w:r>
      <w:r>
        <w:t>s</w:t>
      </w:r>
      <w:r w:rsidR="009F1BAB">
        <w:t>,</w:t>
      </w:r>
      <w:r w:rsidR="004F02E5" w:rsidRPr="00493427">
        <w:t xml:space="preserve"> is an outstanding “do-it-yourself” tool for beginning investigators</w:t>
      </w:r>
      <w:r w:rsidR="009F1BAB">
        <w:t>.</w:t>
      </w:r>
      <w:r w:rsidR="004F02E5" w:rsidRPr="00493427">
        <w:t xml:space="preserve"> It also provides access to a repository of data collection instruments. </w:t>
      </w:r>
      <w:r w:rsidR="009F1BAB">
        <w:t>However</w:t>
      </w:r>
      <w:r w:rsidR="004F02E5" w:rsidRPr="00493427">
        <w:t xml:space="preserve">, options for customization and advanced functionality are limited. A REDCap database consists of a single table </w:t>
      </w:r>
      <w:r w:rsidR="003D5C86" w:rsidRPr="00493427">
        <w:t>with one column for every field in the database and one row for every data collection event</w:t>
      </w:r>
      <w:r w:rsidR="009F1BAB">
        <w:t>, and can be exported easily</w:t>
      </w:r>
      <w:r w:rsidR="003D5C86" w:rsidRPr="00493427">
        <w:t xml:space="preserve"> </w:t>
      </w:r>
      <w:r w:rsidR="009F1BAB" w:rsidRPr="00493427">
        <w:t>into statistical packages</w:t>
      </w:r>
      <w:r w:rsidR="009F1BAB">
        <w:t xml:space="preserve">. </w:t>
      </w:r>
      <w:r w:rsidR="009A0F6B" w:rsidRPr="00493427">
        <w:t xml:space="preserve">REDCap </w:t>
      </w:r>
      <w:r w:rsidR="004F02E5" w:rsidRPr="00493427">
        <w:t xml:space="preserve">does not permit detailed tracking of a large and variable </w:t>
      </w:r>
      <w:r w:rsidR="004F02E5" w:rsidRPr="00493427">
        <w:lastRenderedPageBreak/>
        <w:t xml:space="preserve">number of repeated measurements per study </w:t>
      </w:r>
      <w:r w:rsidR="00C74508">
        <w:t>participant</w:t>
      </w:r>
      <w:r w:rsidR="009F1BAB">
        <w:t xml:space="preserve">, and it </w:t>
      </w:r>
      <w:r w:rsidR="004F02E5" w:rsidRPr="00493427">
        <w:t>cannot do sophisticated data validation</w:t>
      </w:r>
      <w:r w:rsidR="00DD3DDB">
        <w:t xml:space="preserve"> </w:t>
      </w:r>
      <w:r w:rsidR="004F02E5" w:rsidRPr="00493427">
        <w:t>or reporting</w:t>
      </w:r>
      <w:r w:rsidR="00DD3DDB">
        <w:t xml:space="preserve">, nor </w:t>
      </w:r>
      <w:r w:rsidR="00C04225">
        <w:t xml:space="preserve">can it be queried </w:t>
      </w:r>
      <w:r w:rsidR="000378A3">
        <w:t>as a relational database can (see below).</w:t>
      </w:r>
    </w:p>
    <w:p w14:paraId="6905C3E9" w14:textId="77777777" w:rsidR="00730913" w:rsidRDefault="00730913" w:rsidP="00493427"/>
    <w:p w14:paraId="21A0E056" w14:textId="3DE57B63" w:rsidR="00696478" w:rsidRDefault="004F02E5" w:rsidP="00493427">
      <w:r w:rsidRPr="00493427">
        <w:t>Full-featured, Web-based research data management platforms</w:t>
      </w:r>
      <w:r w:rsidR="009F1BAB">
        <w:t>,</w:t>
      </w:r>
      <w:r w:rsidRPr="00493427">
        <w:t xml:space="preserve"> such as </w:t>
      </w:r>
      <w:r w:rsidRPr="005D2DCD">
        <w:rPr>
          <w:rStyle w:val="red"/>
          <w:color w:val="000000" w:themeColor="text1"/>
        </w:rPr>
        <w:t>QuesGen, MediData RAVE,</w:t>
      </w:r>
      <w:r w:rsidR="008F625F" w:rsidRPr="005D2DCD">
        <w:rPr>
          <w:rStyle w:val="red"/>
          <w:color w:val="000000" w:themeColor="text1"/>
        </w:rPr>
        <w:t xml:space="preserve"> </w:t>
      </w:r>
      <w:r w:rsidRPr="005D2DCD">
        <w:rPr>
          <w:color w:val="000000" w:themeColor="text1"/>
        </w:rPr>
        <w:t xml:space="preserve">or </w:t>
      </w:r>
      <w:r w:rsidRPr="005D2DCD">
        <w:rPr>
          <w:rStyle w:val="red"/>
          <w:color w:val="000000" w:themeColor="text1"/>
        </w:rPr>
        <w:t>Oracle InForm</w:t>
      </w:r>
      <w:r w:rsidR="009F1BAB">
        <w:rPr>
          <w:rStyle w:val="red"/>
          <w:color w:val="000000" w:themeColor="text1"/>
        </w:rPr>
        <w:t>,</w:t>
      </w:r>
      <w:r w:rsidR="008F625F">
        <w:rPr>
          <w:rStyle w:val="red"/>
        </w:rPr>
        <w:t xml:space="preserve"> </w:t>
      </w:r>
      <w:r w:rsidRPr="00493427">
        <w:t xml:space="preserve">can accommodate complex data structures and provide sophisticated data validation, querying, and reporting. The companies that provide these tools also provide support and configuration assistance. </w:t>
      </w:r>
    </w:p>
    <w:p w14:paraId="33CAFA3E" w14:textId="77777777" w:rsidR="00696478" w:rsidRDefault="004F02E5" w:rsidP="00B76E58">
      <w:pPr>
        <w:pStyle w:val="Heading1"/>
      </w:pPr>
      <w:r>
        <w:rPr>
          <w:rFonts w:ascii="Times New Roman" w:hAnsi="Times New Roman"/>
          <w:sz w:val="24"/>
        </w:rPr>
        <w:t>&lt;H1&gt;Extracting Data (Queries)</w:t>
      </w:r>
      <w:r w:rsidR="00A23157">
        <w:rPr>
          <w:rFonts w:ascii="Times New Roman" w:hAnsi="Times New Roman"/>
          <w:sz w:val="24"/>
        </w:rPr>
        <w:t xml:space="preserve"> </w:t>
      </w:r>
    </w:p>
    <w:p w14:paraId="0CEEDC71" w14:textId="5815418A" w:rsidR="00696478" w:rsidRPr="00493427" w:rsidRDefault="004F02E5" w:rsidP="00493427">
      <w:r w:rsidRPr="00493427">
        <w:t xml:space="preserve">Once the database has been created and </w:t>
      </w:r>
      <w:r w:rsidR="000A207C">
        <w:t xml:space="preserve">the </w:t>
      </w:r>
      <w:r w:rsidRPr="00493427">
        <w:t xml:space="preserve">data entered, the investigator will want to </w:t>
      </w:r>
      <w:r w:rsidRPr="005D2DCD">
        <w:rPr>
          <w:rStyle w:val="red"/>
          <w:iCs/>
          <w:color w:val="000000" w:themeColor="text1"/>
        </w:rPr>
        <w:t>organize</w:t>
      </w:r>
      <w:r w:rsidRPr="000A207C">
        <w:rPr>
          <w:rStyle w:val="red"/>
          <w:iCs/>
        </w:rPr>
        <w:t xml:space="preserve">, </w:t>
      </w:r>
      <w:r w:rsidRPr="005D2DCD">
        <w:rPr>
          <w:rStyle w:val="red"/>
          <w:iCs/>
          <w:color w:val="000000" w:themeColor="text1"/>
        </w:rPr>
        <w:t>sort</w:t>
      </w:r>
      <w:r w:rsidRPr="000A207C">
        <w:rPr>
          <w:rStyle w:val="red"/>
          <w:iCs/>
          <w:color w:val="000000" w:themeColor="text1"/>
        </w:rPr>
        <w:t xml:space="preserve">, </w:t>
      </w:r>
      <w:r w:rsidRPr="005D2DCD">
        <w:rPr>
          <w:rStyle w:val="red"/>
          <w:iCs/>
          <w:color w:val="000000" w:themeColor="text1"/>
        </w:rPr>
        <w:t>filter</w:t>
      </w:r>
      <w:r w:rsidRPr="000A207C">
        <w:rPr>
          <w:rStyle w:val="red"/>
          <w:iCs/>
          <w:color w:val="000000" w:themeColor="text1"/>
        </w:rPr>
        <w:t>,</w:t>
      </w:r>
      <w:r w:rsidR="008F625F" w:rsidRPr="000A207C">
        <w:rPr>
          <w:rStyle w:val="red"/>
          <w:iCs/>
          <w:color w:val="000000" w:themeColor="text1"/>
        </w:rPr>
        <w:t xml:space="preserve"> </w:t>
      </w:r>
      <w:r w:rsidRPr="000A207C">
        <w:rPr>
          <w:iCs/>
          <w:color w:val="000000" w:themeColor="text1"/>
        </w:rPr>
        <w:t xml:space="preserve">and </w:t>
      </w:r>
      <w:r w:rsidRPr="005D2DCD">
        <w:rPr>
          <w:rStyle w:val="red"/>
          <w:iCs/>
          <w:color w:val="000000" w:themeColor="text1"/>
        </w:rPr>
        <w:t>view</w:t>
      </w:r>
      <w:r w:rsidR="008F625F" w:rsidRPr="00C25297">
        <w:rPr>
          <w:rStyle w:val="red"/>
          <w:color w:val="000000" w:themeColor="text1"/>
        </w:rPr>
        <w:t xml:space="preserve"> </w:t>
      </w:r>
      <w:r w:rsidRPr="00493427">
        <w:t xml:space="preserve">(“query”) the data. </w:t>
      </w:r>
      <w:r w:rsidR="001043AE" w:rsidRPr="00ED2808">
        <w:rPr>
          <w:i/>
          <w:iCs/>
          <w:color w:val="FF0000"/>
        </w:rPr>
        <w:t>Database q</w:t>
      </w:r>
      <w:r w:rsidRPr="00ED2808">
        <w:rPr>
          <w:rStyle w:val="red"/>
          <w:i/>
          <w:iCs/>
        </w:rPr>
        <w:t>ueries</w:t>
      </w:r>
      <w:r w:rsidR="008F625F" w:rsidRPr="00ED2808">
        <w:rPr>
          <w:rStyle w:val="red"/>
        </w:rPr>
        <w:t xml:space="preserve"> </w:t>
      </w:r>
      <w:r w:rsidRPr="00493427">
        <w:t xml:space="preserve">are used for monitoring data entry, reporting study progress, and analyzing the results. The standard language for manipulating data in a </w:t>
      </w:r>
      <w:r w:rsidRPr="005D2DCD">
        <w:rPr>
          <w:rStyle w:val="red"/>
          <w:color w:val="auto"/>
        </w:rPr>
        <w:t>relational database</w:t>
      </w:r>
      <w:r w:rsidRPr="000A207C">
        <w:t xml:space="preserve"> </w:t>
      </w:r>
      <w:r w:rsidRPr="00493427">
        <w:t xml:space="preserve">is called Structured Query Language or </w:t>
      </w:r>
      <w:r w:rsidRPr="005D2DCD">
        <w:rPr>
          <w:rStyle w:val="red"/>
          <w:color w:val="auto"/>
        </w:rPr>
        <w:t>SQL</w:t>
      </w:r>
      <w:r w:rsidR="008F625F" w:rsidRPr="005D2DCD">
        <w:rPr>
          <w:rStyle w:val="red"/>
          <w:color w:val="auto"/>
        </w:rPr>
        <w:t xml:space="preserve"> </w:t>
      </w:r>
      <w:r w:rsidRPr="000A207C">
        <w:t>(pronounced “</w:t>
      </w:r>
      <w:r w:rsidRPr="005D2DCD">
        <w:rPr>
          <w:rStyle w:val="red"/>
          <w:color w:val="auto"/>
        </w:rPr>
        <w:t>sequel</w:t>
      </w:r>
      <w:r w:rsidRPr="000A207C">
        <w:t xml:space="preserve">”). </w:t>
      </w:r>
      <w:r w:rsidR="000A207C">
        <w:t>Many</w:t>
      </w:r>
      <w:r w:rsidR="000A207C" w:rsidRPr="000A207C">
        <w:t xml:space="preserve"> </w:t>
      </w:r>
      <w:r w:rsidRPr="000A207C">
        <w:t xml:space="preserve">relational database </w:t>
      </w:r>
      <w:r w:rsidR="00266D4F">
        <w:t xml:space="preserve">programs </w:t>
      </w:r>
      <w:r w:rsidR="000A207C">
        <w:t>also</w:t>
      </w:r>
      <w:r w:rsidRPr="000A207C">
        <w:t xml:space="preserve"> provide a graphical interface f</w:t>
      </w:r>
      <w:r w:rsidRPr="00493427">
        <w:t>or building queries.</w:t>
      </w:r>
      <w:r w:rsidR="00B11DAB">
        <w:t xml:space="preserve"> The R statistical program supports SQL but also offers an alternative set of commands in the dplyr </w:t>
      </w:r>
      <w:r w:rsidR="004923B0">
        <w:t>library</w:t>
      </w:r>
      <w:r w:rsidR="00B11DAB">
        <w:t xml:space="preserve"> (11).</w:t>
      </w:r>
    </w:p>
    <w:p w14:paraId="2E152DE7" w14:textId="77777777" w:rsidR="00F447FA" w:rsidRDefault="00F447FA" w:rsidP="00493427"/>
    <w:p w14:paraId="428B8C34" w14:textId="424EB46F" w:rsidR="00696478" w:rsidRPr="00493427" w:rsidRDefault="004F02E5" w:rsidP="00493427">
      <w:r w:rsidRPr="00493427">
        <w:t xml:space="preserve">A query can </w:t>
      </w:r>
      <w:r w:rsidRPr="005D2DCD">
        <w:rPr>
          <w:rStyle w:val="red"/>
          <w:color w:val="auto"/>
        </w:rPr>
        <w:t>join</w:t>
      </w:r>
      <w:r w:rsidRPr="000A207C">
        <w:t xml:space="preserve"> </w:t>
      </w:r>
      <w:r w:rsidRPr="00493427">
        <w:t xml:space="preserve">data from two or more tables, display only selected fields, and filter for records that meet certain criteria. Queries can also calculate values based on raw data fields from the tables. </w:t>
      </w:r>
      <w:r w:rsidR="009E360B">
        <w:t>Figure 19.</w:t>
      </w:r>
      <w:r w:rsidR="002109AE">
        <w:t>7</w:t>
      </w:r>
      <w:r w:rsidRPr="00493427">
        <w:t xml:space="preserve"> shows the results of a query on </w:t>
      </w:r>
      <w:r w:rsidR="000A207C">
        <w:t>the</w:t>
      </w:r>
      <w:r w:rsidR="000A207C" w:rsidRPr="00493427">
        <w:t xml:space="preserve"> </w:t>
      </w:r>
      <w:r w:rsidRPr="00493427">
        <w:t>infant jaundice database that filter</w:t>
      </w:r>
      <w:r w:rsidR="000A207C">
        <w:t>ed</w:t>
      </w:r>
      <w:r w:rsidRPr="00493427">
        <w:t xml:space="preserve"> for boys examined in February and calculate</w:t>
      </w:r>
      <w:r w:rsidR="000A207C">
        <w:t>d</w:t>
      </w:r>
      <w:r w:rsidRPr="00493427">
        <w:t xml:space="preserve"> age in months and BMI. </w:t>
      </w:r>
      <w:r w:rsidR="002109AE">
        <w:t>(</w:t>
      </w:r>
      <w:r w:rsidRPr="00493427">
        <w:t>The query also use</w:t>
      </w:r>
      <w:r w:rsidR="000A207C">
        <w:t>d</w:t>
      </w:r>
      <w:r w:rsidRPr="00493427">
        <w:t xml:space="preserve"> a sophisticated table-lookup function to calculate growth curve percentile values for the child's BMI</w:t>
      </w:r>
      <w:r w:rsidR="002109AE">
        <w:t xml:space="preserve">). </w:t>
      </w:r>
      <w:r w:rsidR="000A207C" w:rsidRPr="00493427">
        <w:t>One of the tenets of the relational database model is that operations on tables produce table-like results</w:t>
      </w:r>
      <w:r w:rsidR="000A207C">
        <w:t xml:space="preserve">; </w:t>
      </w:r>
      <w:r w:rsidR="00FE0E8B">
        <w:t>thus,</w:t>
      </w:r>
      <w:r w:rsidR="000A207C">
        <w:t xml:space="preserve"> the </w:t>
      </w:r>
      <w:r w:rsidRPr="00493427">
        <w:t xml:space="preserve">result of a query that joins two tables, displays only certain fields, selects rows based on special criteria, and calculates certain values still looks like a table. The data in </w:t>
      </w:r>
      <w:r w:rsidR="009E360B">
        <w:t>Figure 19.</w:t>
      </w:r>
      <w:r w:rsidR="00DE53EC">
        <w:t>7</w:t>
      </w:r>
      <w:r w:rsidRPr="00493427">
        <w:t xml:space="preserve"> are easily exported to a statistical analysis package. </w:t>
      </w:r>
    </w:p>
    <w:p w14:paraId="69E8BFC9" w14:textId="77777777" w:rsidR="00F447FA" w:rsidRPr="00493427" w:rsidRDefault="00F447FA" w:rsidP="00493427"/>
    <w:p w14:paraId="1CF4BCD3" w14:textId="4C66F258" w:rsidR="001517E0" w:rsidRDefault="006112DF" w:rsidP="00493427">
      <w:r w:rsidRPr="006112DF">
        <w:rPr>
          <w:noProof/>
        </w:rPr>
        <w:drawing>
          <wp:inline distT="0" distB="0" distL="0" distR="0" wp14:anchorId="246C02A5" wp14:editId="355536C2">
            <wp:extent cx="5731510" cy="1623060"/>
            <wp:effectExtent l="0" t="0" r="0" b="254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5"/>
                    <a:stretch>
                      <a:fillRect/>
                    </a:stretch>
                  </pic:blipFill>
                  <pic:spPr>
                    <a:xfrm>
                      <a:off x="0" y="0"/>
                      <a:ext cx="5731510" cy="1623060"/>
                    </a:xfrm>
                    <a:prstGeom prst="rect">
                      <a:avLst/>
                    </a:prstGeom>
                  </pic:spPr>
                </pic:pic>
              </a:graphicData>
            </a:graphic>
          </wp:inline>
        </w:drawing>
      </w:r>
    </w:p>
    <w:p w14:paraId="1110CFD2" w14:textId="2BE23D59" w:rsidR="001517E0" w:rsidRPr="001517E0" w:rsidRDefault="009E360B" w:rsidP="00493427">
      <w:pPr>
        <w:rPr>
          <w:rFonts w:ascii="Arial" w:hAnsi="Arial" w:cs="Arial"/>
        </w:rPr>
      </w:pPr>
      <w:r>
        <w:rPr>
          <w:rFonts w:ascii="Arial" w:hAnsi="Arial" w:cs="Arial"/>
          <w:b/>
        </w:rPr>
        <w:t>Figure 19.</w:t>
      </w:r>
      <w:r w:rsidR="00DE53EC">
        <w:rPr>
          <w:rFonts w:ascii="Arial" w:hAnsi="Arial" w:cs="Arial"/>
          <w:b/>
        </w:rPr>
        <w:t>7</w:t>
      </w:r>
      <w:r w:rsidR="001517E0" w:rsidRPr="001517E0">
        <w:rPr>
          <w:rFonts w:ascii="Arial" w:hAnsi="Arial" w:cs="Arial"/>
          <w:b/>
        </w:rPr>
        <w:t xml:space="preserve">. </w:t>
      </w:r>
      <w:r w:rsidR="001517E0" w:rsidRPr="001517E0">
        <w:rPr>
          <w:rFonts w:ascii="Arial" w:hAnsi="Arial" w:cs="Arial"/>
        </w:rPr>
        <w:t>A query in datasheet view that filter</w:t>
      </w:r>
      <w:r w:rsidR="002109AE">
        <w:rPr>
          <w:rFonts w:ascii="Arial" w:hAnsi="Arial" w:cs="Arial"/>
        </w:rPr>
        <w:t>ed</w:t>
      </w:r>
      <w:r w:rsidR="001517E0" w:rsidRPr="001517E0">
        <w:rPr>
          <w:rFonts w:ascii="Arial" w:hAnsi="Arial" w:cs="Arial"/>
        </w:rPr>
        <w:t xml:space="preserve"> for boys examined in February and calculate</w:t>
      </w:r>
      <w:r w:rsidR="002109AE">
        <w:rPr>
          <w:rFonts w:ascii="Arial" w:hAnsi="Arial" w:cs="Arial"/>
        </w:rPr>
        <w:t>d</w:t>
      </w:r>
      <w:r w:rsidR="001517E0" w:rsidRPr="001517E0">
        <w:rPr>
          <w:rFonts w:ascii="Arial" w:hAnsi="Arial" w:cs="Arial"/>
        </w:rPr>
        <w:t xml:space="preserve"> age in months </w:t>
      </w:r>
      <w:r w:rsidR="002109AE">
        <w:rPr>
          <w:rFonts w:ascii="Arial" w:hAnsi="Arial" w:cs="Arial"/>
        </w:rPr>
        <w:t xml:space="preserve">and </w:t>
      </w:r>
      <w:r w:rsidR="001517E0" w:rsidRPr="001517E0">
        <w:rPr>
          <w:rFonts w:ascii="Arial" w:hAnsi="Arial" w:cs="Arial"/>
        </w:rPr>
        <w:t>BMI. The query also use</w:t>
      </w:r>
      <w:r w:rsidR="002109AE">
        <w:rPr>
          <w:rFonts w:ascii="Arial" w:hAnsi="Arial" w:cs="Arial"/>
        </w:rPr>
        <w:t>d</w:t>
      </w:r>
      <w:r w:rsidR="001517E0" w:rsidRPr="001517E0">
        <w:rPr>
          <w:rFonts w:ascii="Arial" w:hAnsi="Arial" w:cs="Arial"/>
        </w:rPr>
        <w:t xml:space="preserve"> a sophisticated table-lookup function to calculate growth curve percentile values for the child's BMI. For </w:t>
      </w:r>
      <w:r w:rsidR="00C74508">
        <w:rPr>
          <w:rFonts w:ascii="Arial" w:hAnsi="Arial" w:cs="Arial"/>
        </w:rPr>
        <w:t>Participant</w:t>
      </w:r>
      <w:r w:rsidR="001517E0" w:rsidRPr="001517E0">
        <w:rPr>
          <w:rFonts w:ascii="Arial" w:hAnsi="Arial" w:cs="Arial"/>
        </w:rPr>
        <w:t xml:space="preserve">ID 4430, the 100th percentile value associated with the BMI of </w:t>
      </w:r>
      <w:r w:rsidR="001517E0">
        <w:rPr>
          <w:rFonts w:ascii="Arial" w:hAnsi="Arial" w:cs="Arial"/>
        </w:rPr>
        <w:t xml:space="preserve">31.75 </w:t>
      </w:r>
      <w:r w:rsidR="001517E0" w:rsidRPr="001517E0">
        <w:rPr>
          <w:rFonts w:ascii="Arial" w:hAnsi="Arial" w:cs="Arial"/>
        </w:rPr>
        <w:t>should</w:t>
      </w:r>
      <w:r w:rsidR="002109AE">
        <w:rPr>
          <w:rFonts w:ascii="Arial" w:hAnsi="Arial" w:cs="Arial"/>
        </w:rPr>
        <w:t xml:space="preserve"> have</w:t>
      </w:r>
      <w:r w:rsidR="001517E0" w:rsidRPr="001517E0">
        <w:rPr>
          <w:rFonts w:ascii="Arial" w:hAnsi="Arial" w:cs="Arial"/>
        </w:rPr>
        <w:t xml:space="preserve"> trigger</w:t>
      </w:r>
      <w:r w:rsidR="002109AE">
        <w:rPr>
          <w:rFonts w:ascii="Arial" w:hAnsi="Arial" w:cs="Arial"/>
        </w:rPr>
        <w:t>ed</w:t>
      </w:r>
      <w:r w:rsidR="001517E0" w:rsidRPr="001517E0">
        <w:rPr>
          <w:rFonts w:ascii="Arial" w:hAnsi="Arial" w:cs="Arial"/>
        </w:rPr>
        <w:t xml:space="preserve"> investigation of the outlier as a possible data entry error.</w:t>
      </w:r>
    </w:p>
    <w:p w14:paraId="24A8F21B" w14:textId="77777777" w:rsidR="001517E0" w:rsidRDefault="001517E0" w:rsidP="00493427"/>
    <w:p w14:paraId="7E8E86B8" w14:textId="77777777" w:rsidR="00696478" w:rsidRDefault="004F02E5" w:rsidP="00B76E58">
      <w:pPr>
        <w:pStyle w:val="Heading2"/>
      </w:pPr>
      <w:r>
        <w:rPr>
          <w:rFonts w:ascii="Times New Roman" w:hAnsi="Times New Roman"/>
          <w:sz w:val="24"/>
        </w:rPr>
        <w:t>&lt;H2&gt;Identifying and Correcting Errors in the Data</w:t>
      </w:r>
    </w:p>
    <w:p w14:paraId="3CD34D43" w14:textId="46FC4759" w:rsidR="00696478" w:rsidRDefault="004F02E5" w:rsidP="00493427">
      <w:r w:rsidRPr="00493427">
        <w:t xml:space="preserve">The entire </w:t>
      </w:r>
      <w:r w:rsidR="002109AE">
        <w:t xml:space="preserve">data management </w:t>
      </w:r>
      <w:r w:rsidRPr="00493427">
        <w:t>system (data tables, data entry forms, and queries) should be tested using dummy data. For clinical trials that will be used in an FDA submission, this is a regulatory requirement (</w:t>
      </w:r>
      <w:r w:rsidR="00DE53EC">
        <w:t>12</w:t>
      </w:r>
      <w:r w:rsidRPr="00493427">
        <w:t>).</w:t>
      </w:r>
    </w:p>
    <w:p w14:paraId="04655F6E" w14:textId="1E781464" w:rsidR="00DE53EC" w:rsidRDefault="00DE53EC" w:rsidP="00493427"/>
    <w:p w14:paraId="08796946" w14:textId="0B74B0E6" w:rsidR="00E11CDB" w:rsidRDefault="002109AE" w:rsidP="00E11CDB">
      <w:r>
        <w:lastRenderedPageBreak/>
        <w:t>O</w:t>
      </w:r>
      <w:r w:rsidR="004F02E5" w:rsidRPr="00493427">
        <w:t>nce data collection begins</w:t>
      </w:r>
      <w:r>
        <w:t>, v</w:t>
      </w:r>
      <w:r w:rsidR="004F02E5" w:rsidRPr="00493427">
        <w:t xml:space="preserve">alues that are outside the </w:t>
      </w:r>
      <w:r>
        <w:t xml:space="preserve">pre-set </w:t>
      </w:r>
      <w:r w:rsidR="004F02E5" w:rsidRPr="00493427">
        <w:t>permissible range should not get past the data entry process. However, the database should also be queried for missing values and outliers (extreme values that are nevertheless within the range of allowed values</w:t>
      </w:r>
      <w:r w:rsidR="00E11CDB">
        <w:t xml:space="preserve">). </w:t>
      </w:r>
      <w:r w:rsidR="00E11CDB" w:rsidRPr="00493427">
        <w:t xml:space="preserve">If data </w:t>
      </w:r>
      <w:r w:rsidR="00E11CDB">
        <w:t>are</w:t>
      </w:r>
      <w:r w:rsidR="00E11CDB" w:rsidRPr="00493427">
        <w:t xml:space="preserve"> collected by investigators </w:t>
      </w:r>
      <w:r w:rsidR="00E11CDB">
        <w:t>at</w:t>
      </w:r>
      <w:r w:rsidR="00E11CDB" w:rsidRPr="00493427">
        <w:t xml:space="preserve"> different </w:t>
      </w:r>
      <w:r w:rsidR="00E11CDB">
        <w:t>locations</w:t>
      </w:r>
      <w:r w:rsidR="00E11CDB" w:rsidRPr="00493427">
        <w:t>, means and medians should be compared across investigators and sites. Substantial differences by investigator or site can indicate systematic differences in measurement or data collection.</w:t>
      </w:r>
    </w:p>
    <w:p w14:paraId="4B3DF0B6" w14:textId="77777777" w:rsidR="00E11CDB" w:rsidRDefault="00E11CDB" w:rsidP="00493427"/>
    <w:p w14:paraId="0987A738" w14:textId="76FAC75F" w:rsidR="00696478" w:rsidRDefault="004F02E5" w:rsidP="00493427">
      <w:r w:rsidRPr="00493427">
        <w:t>Many data entry systems are incapable of doing cross-field validation, which means that the data tables may contain field values that are within the allowed ranges but inconsistent with one another. For example, it would be highly unlikely for a 5-year-old</w:t>
      </w:r>
      <w:r w:rsidR="00E11CDB">
        <w:t xml:space="preserve"> who weighed </w:t>
      </w:r>
      <w:r w:rsidR="00E11CDB" w:rsidRPr="00493427">
        <w:t>35 kg</w:t>
      </w:r>
      <w:r w:rsidRPr="00493427">
        <w:t xml:space="preserve"> to </w:t>
      </w:r>
      <w:r w:rsidR="00E11CDB">
        <w:t>be only</w:t>
      </w:r>
      <w:r w:rsidRPr="00493427">
        <w:t xml:space="preserve"> 10</w:t>
      </w:r>
      <w:r w:rsidR="00F30AFA" w:rsidRPr="00493427">
        <w:t>5</w:t>
      </w:r>
      <w:r w:rsidRPr="00493427">
        <w:t xml:space="preserve"> cm</w:t>
      </w:r>
      <w:r w:rsidR="00E11CDB">
        <w:t xml:space="preserve"> tall</w:t>
      </w:r>
      <w:r w:rsidRPr="00493427">
        <w:t xml:space="preserve">. While the weight and height values are both within the allowed ranges, the weight (extremely high for a 5-year-old) is inconsistent with the height (extremely low for a 5-year-old). Such an inconsistency can be </w:t>
      </w:r>
      <w:r w:rsidR="00E11CDB">
        <w:t>identified</w:t>
      </w:r>
      <w:r w:rsidR="00E11CDB" w:rsidRPr="00493427">
        <w:t xml:space="preserve"> </w:t>
      </w:r>
      <w:r w:rsidRPr="00493427">
        <w:t xml:space="preserve">using a query like the one in </w:t>
      </w:r>
      <w:r w:rsidR="009E360B">
        <w:t>Figure 19.</w:t>
      </w:r>
      <w:r w:rsidR="00DE53EC">
        <w:t>7</w:t>
      </w:r>
      <w:r w:rsidRPr="00493427">
        <w:t>.</w:t>
      </w:r>
    </w:p>
    <w:p w14:paraId="64CD8702" w14:textId="77777777" w:rsidR="00E11CDB" w:rsidRDefault="00E11CDB" w:rsidP="00493427"/>
    <w:p w14:paraId="3426C5AB" w14:textId="05F8EF62" w:rsidR="00696478" w:rsidRPr="00493427" w:rsidRDefault="004F02E5" w:rsidP="00493427">
      <w:r w:rsidRPr="00493427">
        <w:t xml:space="preserve">Missing values, outliers, inconsistencies, and other data problems </w:t>
      </w:r>
      <w:r w:rsidR="00E11CDB">
        <w:t xml:space="preserve">that </w:t>
      </w:r>
      <w:r w:rsidRPr="00493427">
        <w:t xml:space="preserve">are identified </w:t>
      </w:r>
      <w:r w:rsidR="00E11CDB">
        <w:t>by</w:t>
      </w:r>
      <w:r w:rsidR="00E11CDB" w:rsidRPr="00493427">
        <w:t xml:space="preserve"> </w:t>
      </w:r>
      <w:r w:rsidRPr="00493427">
        <w:t xml:space="preserve">queries </w:t>
      </w:r>
      <w:r w:rsidR="00E11CDB">
        <w:t>should be</w:t>
      </w:r>
      <w:r w:rsidR="00E11CDB" w:rsidRPr="00493427">
        <w:t xml:space="preserve"> </w:t>
      </w:r>
      <w:r w:rsidRPr="00493427">
        <w:t>communicated to the study staff, who can respond by checking original source documents, interviewing the participant, or repeating the measurement. If the study relies on paper source documents, any resulting changes to the data should be highlighted (e.g., in red ink), dated, and signed. As discussed later in this chapter, electronic databases should maintain an audit log of all data changes.</w:t>
      </w:r>
    </w:p>
    <w:p w14:paraId="3322B8E0" w14:textId="77777777" w:rsidR="00775449" w:rsidRDefault="00775449" w:rsidP="00493427"/>
    <w:p w14:paraId="393A459A" w14:textId="1E04F78C" w:rsidR="00696478" w:rsidRDefault="004F02E5" w:rsidP="00493427">
      <w:r w:rsidRPr="00493427">
        <w:t>Data editing is an iterative process; after errors are identified and corrected, editing procedures should be repeated until very few important errors are identified. At this point, for some studies, the edited database may be declared final or “</w:t>
      </w:r>
      <w:r w:rsidRPr="004F5920">
        <w:rPr>
          <w:rStyle w:val="red"/>
          <w:color w:val="000000" w:themeColor="text1"/>
        </w:rPr>
        <w:t>locked</w:t>
      </w:r>
      <w:r>
        <w:t>”</w:t>
      </w:r>
      <w:r w:rsidRPr="00493427">
        <w:t xml:space="preserve"> </w:t>
      </w:r>
      <w:r w:rsidR="00E11CDB">
        <w:t>and</w:t>
      </w:r>
      <w:r w:rsidRPr="00493427">
        <w:t xml:space="preserve"> no further changes are permitted (1).</w:t>
      </w:r>
    </w:p>
    <w:p w14:paraId="0B8D0169" w14:textId="19F0E123" w:rsidR="00696478" w:rsidRDefault="004F02E5" w:rsidP="00B76E58">
      <w:pPr>
        <w:pStyle w:val="Heading1"/>
      </w:pPr>
      <w:r>
        <w:rPr>
          <w:rFonts w:ascii="Times New Roman" w:hAnsi="Times New Roman"/>
          <w:sz w:val="24"/>
        </w:rPr>
        <w:t xml:space="preserve">&lt;H1&gt;Analysis </w:t>
      </w:r>
      <w:r w:rsidR="00E11CDB">
        <w:rPr>
          <w:rFonts w:ascii="Times New Roman" w:hAnsi="Times New Roman"/>
          <w:sz w:val="24"/>
        </w:rPr>
        <w:t>of</w:t>
      </w:r>
      <w:r>
        <w:rPr>
          <w:rFonts w:ascii="Times New Roman" w:hAnsi="Times New Roman"/>
          <w:sz w:val="24"/>
        </w:rPr>
        <w:t xml:space="preserve"> </w:t>
      </w:r>
      <w:r w:rsidR="00E11CDB">
        <w:rPr>
          <w:rFonts w:ascii="Times New Roman" w:hAnsi="Times New Roman"/>
          <w:sz w:val="24"/>
        </w:rPr>
        <w:t>t</w:t>
      </w:r>
      <w:r>
        <w:rPr>
          <w:rFonts w:ascii="Times New Roman" w:hAnsi="Times New Roman"/>
          <w:sz w:val="24"/>
        </w:rPr>
        <w:t>he Data</w:t>
      </w:r>
    </w:p>
    <w:p w14:paraId="3B7BD22A" w14:textId="70CCCBB4" w:rsidR="00696478" w:rsidRDefault="004F02E5" w:rsidP="00493427">
      <w:r w:rsidRPr="00493427">
        <w:t>Analyzing the data often requires creating derived variables based on the raw values in the data</w:t>
      </w:r>
      <w:r w:rsidR="00E11CDB">
        <w:t>base</w:t>
      </w:r>
      <w:r w:rsidRPr="00493427">
        <w:t xml:space="preserve">. For example, continuous variables may be made dichotomous (e.g., </w:t>
      </w:r>
      <w:r w:rsidR="00E11CDB">
        <w:t xml:space="preserve">a new variable called “overweight” can be defined as a </w:t>
      </w:r>
      <w:r w:rsidRPr="00493427">
        <w:t xml:space="preserve">BMI &gt; 25 </w:t>
      </w:r>
      <w:r w:rsidR="00E11CDB">
        <w:t>kg/m</w:t>
      </w:r>
      <w:r w:rsidR="00E11CDB" w:rsidRPr="005D2DCD">
        <w:rPr>
          <w:vertAlign w:val="superscript"/>
        </w:rPr>
        <w:t>2</w:t>
      </w:r>
      <w:r w:rsidRPr="00493427">
        <w:t>), new categories created (</w:t>
      </w:r>
      <w:r w:rsidR="00E11CDB">
        <w:t xml:space="preserve">e.g., </w:t>
      </w:r>
      <w:r w:rsidRPr="00493427">
        <w:t>antibiotics</w:t>
      </w:r>
      <w:r w:rsidR="00E11CDB">
        <w:t xml:space="preserve"> grouped by type</w:t>
      </w:r>
      <w:r w:rsidRPr="00493427">
        <w:t>), and calculations made (</w:t>
      </w:r>
      <w:r w:rsidR="00E11CDB">
        <w:t xml:space="preserve">e.g., pack years defined as </w:t>
      </w:r>
      <w:r w:rsidRPr="00493427">
        <w:t>number of packs of cigarettes per day</w:t>
      </w:r>
      <w:r w:rsidR="00E11CDB">
        <w:t xml:space="preserve"> </w:t>
      </w:r>
      <w:r w:rsidR="00E11CDB" w:rsidRPr="00493427">
        <w:t>×</w:t>
      </w:r>
      <w:r w:rsidRPr="00493427">
        <w:t xml:space="preserve"> </w:t>
      </w:r>
      <w:r w:rsidR="00E11CDB" w:rsidRPr="00493427">
        <w:t>years of smoking</w:t>
      </w:r>
      <w:r w:rsidRPr="00493427">
        <w:t xml:space="preserve">). Missing data should be handled consistently. “Don’t know” may be recoded as a special category, combined with “no,” or excluded as missing. If the study uses database software, queries can be used to derive the new variables prior to export to a statistical analysis package. </w:t>
      </w:r>
      <w:r w:rsidR="00E11CDB">
        <w:t>That said, m</w:t>
      </w:r>
      <w:r w:rsidRPr="00493427">
        <w:t>any investigators are more familiar with statistical packages than database programs</w:t>
      </w:r>
      <w:r w:rsidR="00E11CDB">
        <w:t>,</w:t>
      </w:r>
      <w:r w:rsidRPr="00493427">
        <w:t xml:space="preserve"> and prefer to calculate derived variables after export.</w:t>
      </w:r>
    </w:p>
    <w:p w14:paraId="183A77DE" w14:textId="7BAFAA21" w:rsidR="00696478" w:rsidRDefault="004F02E5" w:rsidP="00B76E58">
      <w:pPr>
        <w:pStyle w:val="Heading1"/>
      </w:pPr>
      <w:r>
        <w:rPr>
          <w:rFonts w:ascii="Times New Roman" w:hAnsi="Times New Roman"/>
          <w:sz w:val="24"/>
        </w:rPr>
        <w:t xml:space="preserve">&lt;H1&gt;Confidentiality </w:t>
      </w:r>
      <w:r w:rsidR="00E11CDB">
        <w:rPr>
          <w:rFonts w:ascii="Times New Roman" w:hAnsi="Times New Roman"/>
          <w:sz w:val="24"/>
        </w:rPr>
        <w:t>a</w:t>
      </w:r>
      <w:r>
        <w:rPr>
          <w:rFonts w:ascii="Times New Roman" w:hAnsi="Times New Roman"/>
          <w:sz w:val="24"/>
        </w:rPr>
        <w:t>nd Security</w:t>
      </w:r>
    </w:p>
    <w:p w14:paraId="1B8187B7" w14:textId="4B914FBB" w:rsidR="00C4239A" w:rsidRDefault="00E0765A" w:rsidP="00493427">
      <w:r>
        <w:t>An</w:t>
      </w:r>
      <w:r w:rsidR="004F02E5" w:rsidRPr="00493427">
        <w:t xml:space="preserve"> investigator is obligated ethically and legally to protect </w:t>
      </w:r>
      <w:r>
        <w:t>participant</w:t>
      </w:r>
      <w:r w:rsidRPr="00493427">
        <w:t>s</w:t>
      </w:r>
      <w:r>
        <w:t>’</w:t>
      </w:r>
      <w:r w:rsidRPr="00493427">
        <w:t xml:space="preserve"> </w:t>
      </w:r>
      <w:r w:rsidR="004F02E5" w:rsidRPr="00493427">
        <w:t xml:space="preserve">confidentiality. </w:t>
      </w:r>
      <w:r w:rsidRPr="00493427">
        <w:t xml:space="preserve">If </w:t>
      </w:r>
      <w:r>
        <w:t>participant</w:t>
      </w:r>
      <w:r w:rsidRPr="00493427">
        <w:t xml:space="preserve">s are clinic or hospital patients, their identifying information is </w:t>
      </w:r>
      <w:r>
        <w:t xml:space="preserve">also </w:t>
      </w:r>
      <w:r w:rsidRPr="00493427">
        <w:t>protected under the Privacy Rule of the Health Insurance Portability and Accountability Act (</w:t>
      </w:r>
      <w:r w:rsidRPr="00613D6D">
        <w:rPr>
          <w:rStyle w:val="red"/>
          <w:color w:val="000000" w:themeColor="text1"/>
        </w:rPr>
        <w:t>HIPAA</w:t>
      </w:r>
      <w:r>
        <w:t xml:space="preserve">).  </w:t>
      </w:r>
      <w:r w:rsidR="004F02E5" w:rsidRPr="00493427">
        <w:t>T</w:t>
      </w:r>
      <w:r w:rsidR="00C4239A">
        <w:t>o ensure confidentiality, t</w:t>
      </w:r>
      <w:r w:rsidR="004F02E5" w:rsidRPr="00493427">
        <w:t xml:space="preserve">he database should assign each </w:t>
      </w:r>
      <w:r w:rsidR="00C74508">
        <w:t>participant</w:t>
      </w:r>
      <w:r w:rsidR="004F02E5" w:rsidRPr="00493427">
        <w:t xml:space="preserve"> a unique </w:t>
      </w:r>
      <w:r w:rsidR="00C74508">
        <w:t>participant</w:t>
      </w:r>
      <w:r w:rsidR="004F02E5" w:rsidRPr="00493427">
        <w:t xml:space="preserve"> identifier (</w:t>
      </w:r>
      <w:r w:rsidR="00C4239A">
        <w:t xml:space="preserve">e.g., </w:t>
      </w:r>
      <w:r w:rsidR="00C74508">
        <w:t>Participant</w:t>
      </w:r>
      <w:r w:rsidR="004F02E5">
        <w:t>ID</w:t>
      </w:r>
      <w:r w:rsidR="004F02E5" w:rsidRPr="00493427">
        <w:t>) that has no meaning external to the study database (i.e</w:t>
      </w:r>
      <w:r w:rsidR="00C4239A">
        <w:t>., it</w:t>
      </w:r>
      <w:r w:rsidR="004F02E5" w:rsidRPr="00493427">
        <w:t xml:space="preserve"> should not incorporate the </w:t>
      </w:r>
      <w:r w:rsidR="00C74508">
        <w:t>participant</w:t>
      </w:r>
      <w:r w:rsidR="004F02E5" w:rsidRPr="00493427">
        <w:t>'s name, initials, birth date, or medical record number)</w:t>
      </w:r>
      <w:r w:rsidR="00C4239A">
        <w:t>—and thus cannot be used on its own to identify the participant</w:t>
      </w:r>
      <w:r w:rsidR="004F02E5" w:rsidRPr="00493427">
        <w:t xml:space="preserve">. If </w:t>
      </w:r>
      <w:r w:rsidR="00C4239A">
        <w:t>a</w:t>
      </w:r>
      <w:r w:rsidR="00C4239A" w:rsidRPr="00493427">
        <w:t xml:space="preserve"> </w:t>
      </w:r>
      <w:r w:rsidR="004F02E5" w:rsidRPr="00493427">
        <w:t xml:space="preserve">database </w:t>
      </w:r>
      <w:r w:rsidR="00C4239A">
        <w:t>has</w:t>
      </w:r>
      <w:r w:rsidR="00C4239A" w:rsidRPr="00493427">
        <w:t xml:space="preserve"> </w:t>
      </w:r>
      <w:r w:rsidR="004F02E5" w:rsidRPr="00493427">
        <w:t xml:space="preserve">multiple tables, personal identifiers </w:t>
      </w:r>
      <w:r w:rsidR="00C4239A">
        <w:t>should</w:t>
      </w:r>
      <w:r w:rsidR="00C4239A" w:rsidRPr="00493427">
        <w:t xml:space="preserve"> </w:t>
      </w:r>
      <w:r w:rsidR="004F02E5" w:rsidRPr="00493427">
        <w:t xml:space="preserve">be kept in a separate table. </w:t>
      </w:r>
    </w:p>
    <w:p w14:paraId="3F22AF0A" w14:textId="77777777" w:rsidR="00C4239A" w:rsidRDefault="00C4239A" w:rsidP="00493427"/>
    <w:p w14:paraId="161534A0" w14:textId="20ACA3DC" w:rsidR="00696478" w:rsidRPr="00493427" w:rsidRDefault="004F02E5" w:rsidP="00493427">
      <w:r w:rsidRPr="00493427">
        <w:t xml:space="preserve">Study databases that contain personal identifiers must be maintained on secure servers accessible only to authorized members of the research team, each of whom will have a user ID and password. </w:t>
      </w:r>
      <w:r w:rsidR="00C4239A">
        <w:t>D</w:t>
      </w:r>
      <w:r w:rsidR="00C4239A" w:rsidRPr="00493427">
        <w:t xml:space="preserve">atabase fields that do contain personal identifiers should </w:t>
      </w:r>
      <w:r w:rsidR="00C4239A">
        <w:t xml:space="preserve">not be exported. </w:t>
      </w:r>
      <w:r w:rsidRPr="00493427">
        <w:t xml:space="preserve">Dedicated Web-based research data management platforms such as REDCap and QuesGen allow designation of fields containing </w:t>
      </w:r>
      <w:r w:rsidR="00C74508">
        <w:t>participant</w:t>
      </w:r>
      <w:r w:rsidRPr="00493427">
        <w:t xml:space="preserve"> identifiers. Different user roles can allow or prohibit exporting, changing, or even viewing these specially designated fields.</w:t>
      </w:r>
    </w:p>
    <w:p w14:paraId="6B706EDF" w14:textId="77777777" w:rsidR="00775449" w:rsidRDefault="00775449" w:rsidP="00493427"/>
    <w:p w14:paraId="7F5CA350" w14:textId="3E4C4586" w:rsidR="009E7616" w:rsidRDefault="004F02E5" w:rsidP="00493427">
      <w:r w:rsidRPr="00493427">
        <w:t xml:space="preserve">The database system should </w:t>
      </w:r>
      <w:r w:rsidRPr="005D2DCD">
        <w:rPr>
          <w:rStyle w:val="red"/>
          <w:iCs/>
          <w:color w:val="000000" w:themeColor="text1"/>
        </w:rPr>
        <w:t>audit</w:t>
      </w:r>
      <w:r w:rsidRPr="00493427">
        <w:t xml:space="preserve"> all </w:t>
      </w:r>
      <w:r w:rsidRPr="00613D6D">
        <w:rPr>
          <w:rStyle w:val="red"/>
          <w:color w:val="000000" w:themeColor="text1"/>
        </w:rPr>
        <w:t>data entry and editing</w:t>
      </w:r>
      <w:r w:rsidRPr="00493427">
        <w:t xml:space="preserve">. Auditing allows determination of when a data element was changed, who made the change, and what change was made. </w:t>
      </w:r>
      <w:r w:rsidR="00C4239A">
        <w:t>T</w:t>
      </w:r>
      <w:r w:rsidR="00C4239A" w:rsidRPr="00493427">
        <w:t xml:space="preserve">his is a regulatory requirement </w:t>
      </w:r>
      <w:r w:rsidR="00C4239A">
        <w:t>f</w:t>
      </w:r>
      <w:r w:rsidRPr="00493427">
        <w:t xml:space="preserve">or </w:t>
      </w:r>
      <w:r w:rsidR="00C4239A">
        <w:t xml:space="preserve">pharmaceutical and device trials </w:t>
      </w:r>
      <w:r w:rsidRPr="00493427">
        <w:t>(</w:t>
      </w:r>
      <w:r w:rsidR="0090149B">
        <w:t>12</w:t>
      </w:r>
      <w:r w:rsidRPr="00493427">
        <w:t>).</w:t>
      </w:r>
      <w:r w:rsidR="00C4239A">
        <w:t xml:space="preserve"> </w:t>
      </w:r>
      <w:r w:rsidRPr="00493427">
        <w:t>The study database</w:t>
      </w:r>
      <w:r w:rsidR="00C4239A">
        <w:t xml:space="preserve"> </w:t>
      </w:r>
      <w:r w:rsidR="008F4B23">
        <w:t xml:space="preserve">also </w:t>
      </w:r>
      <w:r w:rsidR="008F4B23" w:rsidRPr="00493427">
        <w:t>must</w:t>
      </w:r>
      <w:r w:rsidRPr="00493427">
        <w:t xml:space="preserve"> be </w:t>
      </w:r>
      <w:r w:rsidRPr="005D2DCD">
        <w:rPr>
          <w:rStyle w:val="red"/>
          <w:iCs/>
          <w:color w:val="000000" w:themeColor="text1"/>
        </w:rPr>
        <w:t>backed up</w:t>
      </w:r>
      <w:r w:rsidRPr="00613D6D">
        <w:rPr>
          <w:color w:val="000000" w:themeColor="text1"/>
        </w:rPr>
        <w:t xml:space="preserve"> </w:t>
      </w:r>
      <w:r w:rsidRPr="00493427">
        <w:t>regularly</w:t>
      </w:r>
      <w:r w:rsidR="00C4239A">
        <w:t xml:space="preserve">; </w:t>
      </w:r>
      <w:r w:rsidRPr="00493427">
        <w:t>the back-up procedure should be tested</w:t>
      </w:r>
      <w:r w:rsidR="008F4B23">
        <w:t xml:space="preserve"> periodically</w:t>
      </w:r>
      <w:r w:rsidRPr="00493427">
        <w:t xml:space="preserve">. </w:t>
      </w:r>
      <w:r w:rsidR="00C4239A" w:rsidRPr="00493427">
        <w:t xml:space="preserve">Web-based data management platforms </w:t>
      </w:r>
      <w:r w:rsidRPr="00493427">
        <w:t xml:space="preserve">provide </w:t>
      </w:r>
      <w:r w:rsidR="00C4239A" w:rsidRPr="00493427">
        <w:t>user validation</w:t>
      </w:r>
      <w:r w:rsidR="00C4239A">
        <w:t xml:space="preserve">, </w:t>
      </w:r>
      <w:r w:rsidR="00C4239A" w:rsidRPr="00493427">
        <w:t xml:space="preserve">auditing, </w:t>
      </w:r>
      <w:r w:rsidRPr="00493427">
        <w:t>backups</w:t>
      </w:r>
      <w:r w:rsidR="00C4239A">
        <w:t xml:space="preserve">, </w:t>
      </w:r>
      <w:r w:rsidRPr="00493427">
        <w:t>and data security</w:t>
      </w:r>
      <w:r w:rsidR="00C4239A">
        <w:t xml:space="preserve"> automatically</w:t>
      </w:r>
      <w:r w:rsidRPr="00493427">
        <w:t xml:space="preserve">. </w:t>
      </w:r>
    </w:p>
    <w:p w14:paraId="0F14036B" w14:textId="77777777" w:rsidR="00196EA3" w:rsidRDefault="00196EA3" w:rsidP="00493427"/>
    <w:p w14:paraId="359896D0" w14:textId="7DC06F86" w:rsidR="00696478" w:rsidRDefault="004F02E5" w:rsidP="00493427">
      <w:r w:rsidRPr="00493427">
        <w:t>At the end of the study</w:t>
      </w:r>
      <w:r w:rsidR="00C4239A">
        <w:t>,</w:t>
      </w:r>
      <w:r w:rsidRPr="00493427">
        <w:t xml:space="preserve"> the original data, data dictionary, final database, and the study analyses should be </w:t>
      </w:r>
      <w:r w:rsidR="00822132" w:rsidRPr="00493427">
        <w:t>stored securely</w:t>
      </w:r>
      <w:r w:rsidR="009E7616">
        <w:t>. This a</w:t>
      </w:r>
      <w:r w:rsidRPr="00493427">
        <w:t>llow</w:t>
      </w:r>
      <w:r w:rsidR="009E7616">
        <w:t>s</w:t>
      </w:r>
      <w:r w:rsidRPr="00493427">
        <w:t xml:space="preserve"> the investigator</w:t>
      </w:r>
      <w:r w:rsidR="009E7616">
        <w:t>s</w:t>
      </w:r>
      <w:r w:rsidRPr="00493427">
        <w:t xml:space="preserve"> to respond to questions about the integrity of the data or analyses, perform further analyses to address new research questions, and share data with other</w:t>
      </w:r>
      <w:r w:rsidR="009E7616">
        <w:t>s</w:t>
      </w:r>
      <w:r w:rsidRPr="00493427">
        <w:t>.</w:t>
      </w:r>
    </w:p>
    <w:p w14:paraId="39DE7F48" w14:textId="77777777" w:rsidR="00696478" w:rsidRDefault="004F02E5" w:rsidP="00B76E58">
      <w:pPr>
        <w:pStyle w:val="Heading1"/>
      </w:pPr>
      <w:r>
        <w:rPr>
          <w:rFonts w:ascii="Times New Roman" w:hAnsi="Times New Roman"/>
          <w:sz w:val="24"/>
        </w:rPr>
        <w:t>&lt;H1&gt;Summary</w:t>
      </w:r>
      <w:r w:rsidR="00E6658A">
        <w:rPr>
          <w:rFonts w:ascii="Times New Roman" w:hAnsi="Times New Roman"/>
          <w:sz w:val="24"/>
        </w:rPr>
        <w:t xml:space="preserve"> </w:t>
      </w:r>
    </w:p>
    <w:p w14:paraId="27C5BF34" w14:textId="5A835BE4" w:rsidR="00696478" w:rsidRPr="009E7616" w:rsidRDefault="004F02E5" w:rsidP="00493427">
      <w:pPr>
        <w:numPr>
          <w:ilvl w:val="0"/>
          <w:numId w:val="2"/>
        </w:numPr>
        <w:ind w:left="357" w:hanging="357"/>
      </w:pPr>
      <w:r w:rsidRPr="00493427">
        <w:t xml:space="preserve">The study </w:t>
      </w:r>
      <w:r w:rsidRPr="00613D6D">
        <w:rPr>
          <w:rStyle w:val="red"/>
          <w:i/>
          <w:color w:val="000000" w:themeColor="text1"/>
        </w:rPr>
        <w:t>database</w:t>
      </w:r>
      <w:r w:rsidR="008F625F">
        <w:rPr>
          <w:rStyle w:val="red"/>
        </w:rPr>
        <w:t xml:space="preserve"> </w:t>
      </w:r>
      <w:r w:rsidRPr="00493427">
        <w:t xml:space="preserve">consists of one or </w:t>
      </w:r>
      <w:r w:rsidRPr="009E7616">
        <w:t xml:space="preserve">more </w:t>
      </w:r>
      <w:r w:rsidRPr="005D2DCD">
        <w:t xml:space="preserve">data tables </w:t>
      </w:r>
      <w:r w:rsidRPr="009E7616">
        <w:t>in which the</w:t>
      </w:r>
      <w:r w:rsidR="008F625F" w:rsidRPr="009E7616">
        <w:t xml:space="preserve"> </w:t>
      </w:r>
      <w:r w:rsidRPr="005D2DCD">
        <w:rPr>
          <w:rStyle w:val="red"/>
          <w:i/>
          <w:color w:val="auto"/>
        </w:rPr>
        <w:t>rows</w:t>
      </w:r>
      <w:r w:rsidR="008F625F" w:rsidRPr="005D2DCD">
        <w:rPr>
          <w:i/>
        </w:rPr>
        <w:t xml:space="preserve"> </w:t>
      </w:r>
      <w:r w:rsidRPr="009E7616">
        <w:t xml:space="preserve">correspond to records (e.g., study </w:t>
      </w:r>
      <w:r w:rsidR="00C74508" w:rsidRPr="009E7616">
        <w:t>participant</w:t>
      </w:r>
      <w:r w:rsidRPr="009E7616">
        <w:t xml:space="preserve">s) and the </w:t>
      </w:r>
      <w:r w:rsidRPr="005D2DCD">
        <w:rPr>
          <w:rStyle w:val="red"/>
          <w:i/>
          <w:color w:val="auto"/>
        </w:rPr>
        <w:t>columns</w:t>
      </w:r>
      <w:r w:rsidRPr="009E7616">
        <w:t xml:space="preserve"> correspond to </w:t>
      </w:r>
      <w:r w:rsidRPr="005D2DCD">
        <w:rPr>
          <w:rStyle w:val="red"/>
          <w:color w:val="auto"/>
        </w:rPr>
        <w:t>fields</w:t>
      </w:r>
      <w:r w:rsidRPr="009E7616">
        <w:t xml:space="preserve"> (attributes of the records).</w:t>
      </w:r>
    </w:p>
    <w:p w14:paraId="684503C2" w14:textId="398097EA" w:rsidR="00696478" w:rsidRPr="009E7616" w:rsidRDefault="004F02E5" w:rsidP="00493427">
      <w:pPr>
        <w:numPr>
          <w:ilvl w:val="0"/>
          <w:numId w:val="2"/>
        </w:numPr>
        <w:ind w:left="357" w:hanging="357"/>
      </w:pPr>
      <w:r w:rsidRPr="009E7616">
        <w:t xml:space="preserve">Identifying study </w:t>
      </w:r>
      <w:r w:rsidR="00C74508" w:rsidRPr="009E7616">
        <w:t>participant</w:t>
      </w:r>
      <w:r w:rsidRPr="009E7616">
        <w:t xml:space="preserve">s with a unique </w:t>
      </w:r>
      <w:r w:rsidR="00C74508" w:rsidRPr="005D2DCD">
        <w:t>Participant</w:t>
      </w:r>
      <w:r w:rsidRPr="005D2DCD">
        <w:rPr>
          <w:rStyle w:val="red"/>
          <w:color w:val="auto"/>
        </w:rPr>
        <w:t>ID</w:t>
      </w:r>
      <w:r w:rsidRPr="009E7616">
        <w:t xml:space="preserve"> that has no meaning external to the study database enables the “de-linking” study data from personal identifiers </w:t>
      </w:r>
      <w:r w:rsidR="009E7616">
        <w:t>to</w:t>
      </w:r>
      <w:r w:rsidRPr="009E7616">
        <w:t xml:space="preserve"> maintain</w:t>
      </w:r>
      <w:r w:rsidR="009E7616">
        <w:t xml:space="preserve"> </w:t>
      </w:r>
      <w:r w:rsidRPr="005D2DCD">
        <w:rPr>
          <w:rStyle w:val="red"/>
          <w:color w:val="auto"/>
        </w:rPr>
        <w:t>confidentiality.</w:t>
      </w:r>
      <w:r w:rsidR="008F625F" w:rsidRPr="005D2DCD">
        <w:rPr>
          <w:rStyle w:val="red"/>
          <w:color w:val="auto"/>
        </w:rPr>
        <w:t xml:space="preserve"> </w:t>
      </w:r>
      <w:r w:rsidRPr="009E7616">
        <w:t xml:space="preserve">Databases that contain </w:t>
      </w:r>
      <w:r w:rsidRPr="005D2DCD">
        <w:rPr>
          <w:rStyle w:val="red"/>
          <w:color w:val="auto"/>
        </w:rPr>
        <w:t xml:space="preserve">personal identifiers </w:t>
      </w:r>
      <w:r w:rsidRPr="009E7616">
        <w:t>must be stored on secure servers, with access restricted and audited.</w:t>
      </w:r>
    </w:p>
    <w:p w14:paraId="3AAE0976" w14:textId="57B45CA4" w:rsidR="00696478" w:rsidRPr="009E7616" w:rsidRDefault="004F02E5" w:rsidP="00493427">
      <w:pPr>
        <w:numPr>
          <w:ilvl w:val="0"/>
          <w:numId w:val="2"/>
        </w:numPr>
        <w:ind w:left="357" w:hanging="357"/>
      </w:pPr>
      <w:r w:rsidRPr="009E7616">
        <w:t xml:space="preserve">Accommodating a variable number of </w:t>
      </w:r>
      <w:r w:rsidRPr="005D2DCD">
        <w:rPr>
          <w:rStyle w:val="red"/>
          <w:color w:val="auto"/>
        </w:rPr>
        <w:t>repeated measurements</w:t>
      </w:r>
      <w:r w:rsidRPr="005D2DCD">
        <w:t xml:space="preserve"> </w:t>
      </w:r>
      <w:r w:rsidRPr="009E7616">
        <w:t xml:space="preserve">per study </w:t>
      </w:r>
      <w:r w:rsidR="00C74508" w:rsidRPr="009E7616">
        <w:t>participant</w:t>
      </w:r>
      <w:r w:rsidRPr="009E7616">
        <w:t xml:space="preserve">, such as lab results or medications, requires </w:t>
      </w:r>
      <w:r w:rsidRPr="005D2DCD">
        <w:rPr>
          <w:rStyle w:val="red"/>
          <w:color w:val="auto"/>
        </w:rPr>
        <w:t>normalization</w:t>
      </w:r>
      <w:r w:rsidRPr="009E7616">
        <w:t xml:space="preserve"> of the measurement data into separate tables in which each row corresponds to a </w:t>
      </w:r>
      <w:r w:rsidRPr="005D2DCD">
        <w:rPr>
          <w:rStyle w:val="red"/>
          <w:color w:val="auto"/>
        </w:rPr>
        <w:t xml:space="preserve">measurement </w:t>
      </w:r>
      <w:r w:rsidRPr="009E7616">
        <w:t xml:space="preserve">rather than an individual study </w:t>
      </w:r>
      <w:r w:rsidR="00C74508" w:rsidRPr="009E7616">
        <w:t>participant</w:t>
      </w:r>
      <w:r w:rsidRPr="009E7616">
        <w:t>.</w:t>
      </w:r>
    </w:p>
    <w:p w14:paraId="41ADC17E" w14:textId="77777777" w:rsidR="00696478" w:rsidRPr="005D2DCD" w:rsidRDefault="004F02E5" w:rsidP="00493427">
      <w:pPr>
        <w:numPr>
          <w:ilvl w:val="0"/>
          <w:numId w:val="2"/>
        </w:numPr>
        <w:ind w:left="357" w:hanging="357"/>
      </w:pPr>
      <w:r w:rsidRPr="009E7616">
        <w:t xml:space="preserve">The study database may also store </w:t>
      </w:r>
      <w:r w:rsidRPr="005D2DCD">
        <w:rPr>
          <w:rStyle w:val="red"/>
          <w:color w:val="auto"/>
        </w:rPr>
        <w:t>administrative data</w:t>
      </w:r>
      <w:r w:rsidR="008F625F" w:rsidRPr="005D2DCD">
        <w:rPr>
          <w:rStyle w:val="red"/>
          <w:color w:val="auto"/>
        </w:rPr>
        <w:t xml:space="preserve"> </w:t>
      </w:r>
      <w:r w:rsidRPr="009E7616">
        <w:t xml:space="preserve">such as </w:t>
      </w:r>
      <w:r w:rsidRPr="005D2DCD">
        <w:rPr>
          <w:rStyle w:val="red"/>
          <w:color w:val="auto"/>
        </w:rPr>
        <w:t>call logs, exam schedules,</w:t>
      </w:r>
      <w:r w:rsidR="008F625F" w:rsidRPr="005D2DCD">
        <w:rPr>
          <w:rStyle w:val="red"/>
          <w:color w:val="auto"/>
        </w:rPr>
        <w:t xml:space="preserve"> </w:t>
      </w:r>
      <w:r w:rsidRPr="005D2DCD">
        <w:t>and</w:t>
      </w:r>
      <w:r w:rsidR="008F625F" w:rsidRPr="005D2DCD">
        <w:t xml:space="preserve"> </w:t>
      </w:r>
      <w:r w:rsidRPr="005D2DCD">
        <w:rPr>
          <w:rStyle w:val="red"/>
          <w:color w:val="auto"/>
        </w:rPr>
        <w:t>reimbursement records.</w:t>
      </w:r>
      <w:r w:rsidR="00624102" w:rsidRPr="005D2DCD">
        <w:rPr>
          <w:rStyle w:val="red"/>
          <w:color w:val="auto"/>
        </w:rPr>
        <w:t xml:space="preserve"> </w:t>
      </w:r>
    </w:p>
    <w:p w14:paraId="41E4DF82" w14:textId="77777777" w:rsidR="00696478" w:rsidRPr="005D2DCD" w:rsidRDefault="004F02E5" w:rsidP="00493427">
      <w:pPr>
        <w:numPr>
          <w:ilvl w:val="0"/>
          <w:numId w:val="2"/>
        </w:numPr>
        <w:ind w:left="357" w:hanging="357"/>
      </w:pPr>
      <w:r w:rsidRPr="009E7616">
        <w:t xml:space="preserve">The </w:t>
      </w:r>
      <w:r w:rsidRPr="005D2DCD">
        <w:rPr>
          <w:rStyle w:val="red"/>
          <w:color w:val="auto"/>
        </w:rPr>
        <w:t>data dictionary</w:t>
      </w:r>
      <w:r w:rsidRPr="009E7616">
        <w:t xml:space="preserve"> specifies the</w:t>
      </w:r>
      <w:r w:rsidR="008F625F" w:rsidRPr="009E7616">
        <w:t xml:space="preserve"> </w:t>
      </w:r>
      <w:r w:rsidRPr="005D2DCD">
        <w:rPr>
          <w:rStyle w:val="red"/>
          <w:color w:val="auto"/>
        </w:rPr>
        <w:t>name, data type, description,</w:t>
      </w:r>
      <w:r w:rsidR="008F625F" w:rsidRPr="005D2DCD">
        <w:rPr>
          <w:rStyle w:val="red"/>
          <w:color w:val="auto"/>
        </w:rPr>
        <w:t xml:space="preserve"> </w:t>
      </w:r>
      <w:r w:rsidRPr="005D2DCD">
        <w:t xml:space="preserve">and </w:t>
      </w:r>
      <w:r w:rsidRPr="005D2DCD">
        <w:rPr>
          <w:rStyle w:val="red"/>
          <w:color w:val="auto"/>
        </w:rPr>
        <w:t xml:space="preserve">range of allowed values </w:t>
      </w:r>
      <w:r w:rsidRPr="005D2DCD">
        <w:t>for all the fields in the database.</w:t>
      </w:r>
    </w:p>
    <w:p w14:paraId="045F44D0" w14:textId="0439DF92" w:rsidR="00696478" w:rsidRPr="009E7616" w:rsidRDefault="004F02E5" w:rsidP="00493427">
      <w:pPr>
        <w:numPr>
          <w:ilvl w:val="0"/>
          <w:numId w:val="2"/>
        </w:numPr>
        <w:ind w:left="357" w:hanging="357"/>
      </w:pPr>
      <w:r w:rsidRPr="009E7616">
        <w:t xml:space="preserve">The </w:t>
      </w:r>
      <w:r w:rsidRPr="005D2DCD">
        <w:rPr>
          <w:rStyle w:val="red"/>
          <w:color w:val="auto"/>
        </w:rPr>
        <w:t xml:space="preserve">data entry system </w:t>
      </w:r>
      <w:r w:rsidRPr="009E7616">
        <w:t>is the means by which the data tables are populated</w:t>
      </w:r>
      <w:r w:rsidR="009E7616">
        <w:t xml:space="preserve">, usually by </w:t>
      </w:r>
      <w:r w:rsidRPr="005D2DCD">
        <w:rPr>
          <w:rStyle w:val="red"/>
          <w:iCs/>
          <w:color w:val="auto"/>
        </w:rPr>
        <w:t>electronic data capture</w:t>
      </w:r>
      <w:r w:rsidRPr="005D2DCD">
        <w:rPr>
          <w:iCs/>
        </w:rPr>
        <w:t xml:space="preserve"> </w:t>
      </w:r>
      <w:r w:rsidR="009E7616">
        <w:rPr>
          <w:iCs/>
        </w:rPr>
        <w:t>using</w:t>
      </w:r>
      <w:r w:rsidR="009E7616" w:rsidRPr="009E7616">
        <w:t xml:space="preserve"> </w:t>
      </w:r>
      <w:r w:rsidRPr="009E7616">
        <w:t>online forms</w:t>
      </w:r>
      <w:r w:rsidR="009E7616">
        <w:t>.</w:t>
      </w:r>
    </w:p>
    <w:p w14:paraId="55DF9715" w14:textId="77777777" w:rsidR="00696478" w:rsidRPr="009E7616" w:rsidRDefault="004F02E5" w:rsidP="00493427">
      <w:pPr>
        <w:numPr>
          <w:ilvl w:val="0"/>
          <w:numId w:val="2"/>
        </w:numPr>
        <w:ind w:left="357" w:hanging="357"/>
      </w:pPr>
      <w:r w:rsidRPr="009E7616">
        <w:t xml:space="preserve">A </w:t>
      </w:r>
      <w:r w:rsidRPr="005D2DCD">
        <w:rPr>
          <w:rStyle w:val="red"/>
          <w:color w:val="auto"/>
        </w:rPr>
        <w:t>spreadsheet</w:t>
      </w:r>
      <w:r w:rsidRPr="009E7616">
        <w:t xml:space="preserve"> or </w:t>
      </w:r>
      <w:r w:rsidRPr="005D2DCD">
        <w:rPr>
          <w:rStyle w:val="red"/>
          <w:color w:val="auto"/>
        </w:rPr>
        <w:t>statistical package</w:t>
      </w:r>
      <w:r w:rsidRPr="009E7616">
        <w:t xml:space="preserve"> is adequate only for the simplest </w:t>
      </w:r>
      <w:r w:rsidRPr="005D2DCD">
        <w:rPr>
          <w:rStyle w:val="red"/>
          <w:color w:val="auto"/>
        </w:rPr>
        <w:t>study databases;</w:t>
      </w:r>
      <w:r w:rsidR="008F625F" w:rsidRPr="005D2DCD">
        <w:rPr>
          <w:rStyle w:val="red"/>
          <w:color w:val="auto"/>
        </w:rPr>
        <w:t xml:space="preserve"> </w:t>
      </w:r>
      <w:r w:rsidRPr="009E7616">
        <w:t xml:space="preserve">complex databases require the creation of a relational database using </w:t>
      </w:r>
      <w:r w:rsidRPr="005D2DCD">
        <w:rPr>
          <w:rStyle w:val="red"/>
          <w:color w:val="auto"/>
        </w:rPr>
        <w:t>database management software</w:t>
      </w:r>
      <w:r w:rsidRPr="005D2DCD">
        <w:t xml:space="preserve"> </w:t>
      </w:r>
      <w:r w:rsidRPr="009E7616">
        <w:t>based on Structured Query Language (</w:t>
      </w:r>
      <w:r w:rsidRPr="005D2DCD">
        <w:rPr>
          <w:rStyle w:val="red"/>
          <w:color w:val="auto"/>
        </w:rPr>
        <w:t>SQL</w:t>
      </w:r>
      <w:r w:rsidRPr="009E7616">
        <w:t>).</w:t>
      </w:r>
    </w:p>
    <w:p w14:paraId="7DB3F151" w14:textId="77777777" w:rsidR="00696478" w:rsidRPr="009E7616" w:rsidRDefault="004F02E5" w:rsidP="00493427">
      <w:pPr>
        <w:numPr>
          <w:ilvl w:val="0"/>
          <w:numId w:val="2"/>
        </w:numPr>
        <w:ind w:left="357" w:hanging="357"/>
      </w:pPr>
      <w:r w:rsidRPr="005D2DCD">
        <w:rPr>
          <w:rStyle w:val="red"/>
          <w:color w:val="auto"/>
        </w:rPr>
        <w:t>Database queries</w:t>
      </w:r>
      <w:r w:rsidR="008F625F" w:rsidRPr="005D2DCD">
        <w:rPr>
          <w:rStyle w:val="red"/>
          <w:color w:val="auto"/>
        </w:rPr>
        <w:t xml:space="preserve"> </w:t>
      </w:r>
      <w:r w:rsidRPr="009E7616">
        <w:t xml:space="preserve">sort and filter the data as well as calculate values based on raw data fields. Queries are used to </w:t>
      </w:r>
      <w:r w:rsidRPr="005D2DCD">
        <w:rPr>
          <w:rStyle w:val="red"/>
          <w:color w:val="auto"/>
        </w:rPr>
        <w:t>monitor</w:t>
      </w:r>
      <w:r w:rsidRPr="005D2DCD">
        <w:t xml:space="preserve"> </w:t>
      </w:r>
      <w:r w:rsidRPr="009E7616">
        <w:t xml:space="preserve">data entry, provide </w:t>
      </w:r>
      <w:r w:rsidRPr="005D2DCD">
        <w:rPr>
          <w:rStyle w:val="red"/>
          <w:color w:val="auto"/>
        </w:rPr>
        <w:t>reports</w:t>
      </w:r>
      <w:r w:rsidRPr="005D2DCD">
        <w:t xml:space="preserve"> </w:t>
      </w:r>
      <w:r w:rsidRPr="009E7616">
        <w:t xml:space="preserve">on study progress, and format the results for </w:t>
      </w:r>
      <w:r w:rsidRPr="005D2DCD">
        <w:rPr>
          <w:rStyle w:val="red"/>
          <w:color w:val="auto"/>
        </w:rPr>
        <w:t>analysis</w:t>
      </w:r>
      <w:r w:rsidRPr="009E7616">
        <w:t>.</w:t>
      </w:r>
    </w:p>
    <w:p w14:paraId="7B3DB7D1" w14:textId="3B42A05B" w:rsidR="00696478" w:rsidRPr="009E7616" w:rsidRDefault="004F02E5" w:rsidP="00493427">
      <w:pPr>
        <w:numPr>
          <w:ilvl w:val="0"/>
          <w:numId w:val="2"/>
        </w:numPr>
        <w:ind w:left="357" w:hanging="357"/>
      </w:pPr>
      <w:r w:rsidRPr="009E7616">
        <w:t>Loss of the database must be prevented by regular</w:t>
      </w:r>
      <w:r w:rsidR="008F625F" w:rsidRPr="009E7616">
        <w:t xml:space="preserve"> </w:t>
      </w:r>
      <w:r w:rsidRPr="005D2DCD">
        <w:rPr>
          <w:rStyle w:val="red"/>
          <w:color w:val="auto"/>
        </w:rPr>
        <w:t>backups,</w:t>
      </w:r>
      <w:r w:rsidR="008F625F" w:rsidRPr="005D2DCD">
        <w:rPr>
          <w:rStyle w:val="red"/>
          <w:color w:val="auto"/>
        </w:rPr>
        <w:t xml:space="preserve"> </w:t>
      </w:r>
      <w:r w:rsidRPr="009E7616">
        <w:t xml:space="preserve">and by </w:t>
      </w:r>
      <w:r w:rsidR="00822132" w:rsidRPr="009E7616">
        <w:t xml:space="preserve">storing </w:t>
      </w:r>
      <w:r w:rsidR="009E7616">
        <w:t xml:space="preserve">and securing </w:t>
      </w:r>
      <w:r w:rsidR="00822132" w:rsidRPr="009E7616">
        <w:t xml:space="preserve">a final </w:t>
      </w:r>
      <w:r w:rsidRPr="009E7616">
        <w:t>cop</w:t>
      </w:r>
      <w:r w:rsidR="00822132" w:rsidRPr="009E7616">
        <w:t xml:space="preserve">y </w:t>
      </w:r>
      <w:r w:rsidRPr="009E7616">
        <w:t>of the database for future use.</w:t>
      </w:r>
    </w:p>
    <w:p w14:paraId="09C1D5D3" w14:textId="77777777" w:rsidR="00696478" w:rsidRDefault="004F02E5" w:rsidP="00B76E58">
      <w:pPr>
        <w:pStyle w:val="Heading1"/>
      </w:pPr>
      <w:r>
        <w:rPr>
          <w:rFonts w:ascii="Times New Roman" w:hAnsi="Times New Roman"/>
          <w:sz w:val="24"/>
        </w:rPr>
        <w:lastRenderedPageBreak/>
        <w:t>&lt;H1&gt;References</w:t>
      </w:r>
    </w:p>
    <w:p w14:paraId="6C34ADBB" w14:textId="77777777" w:rsidR="00696478" w:rsidRDefault="004F02E5" w:rsidP="002A376E">
      <w:pPr>
        <w:numPr>
          <w:ilvl w:val="0"/>
          <w:numId w:val="3"/>
        </w:numPr>
        <w:ind w:left="357" w:hanging="357"/>
      </w:pPr>
      <w:r w:rsidRPr="00493427">
        <w:t>Prokscha S. Practical guide to clinical data management, 3rd ed. Boca Raton: CRC Press, 2012.</w:t>
      </w:r>
    </w:p>
    <w:p w14:paraId="3BF9D3F9" w14:textId="77777777" w:rsidR="00696478" w:rsidRDefault="004F02E5" w:rsidP="002A376E">
      <w:pPr>
        <w:numPr>
          <w:ilvl w:val="0"/>
          <w:numId w:val="3"/>
        </w:numPr>
        <w:ind w:left="357" w:hanging="357"/>
      </w:pPr>
      <w:r w:rsidRPr="00493427">
        <w:t>Newman TB, Liljestrand P, Jeremy RJ, et al. Outcomes among newborns with total serum bilirubin levels of 25 mg per deciliter or more. N Engl J Med 2006;354(18):1889–1900.</w:t>
      </w:r>
    </w:p>
    <w:p w14:paraId="7A45C6CE" w14:textId="77777777" w:rsidR="00696478" w:rsidRDefault="004F02E5" w:rsidP="002A376E">
      <w:pPr>
        <w:numPr>
          <w:ilvl w:val="0"/>
          <w:numId w:val="3"/>
        </w:numPr>
        <w:ind w:left="357" w:hanging="357"/>
      </w:pPr>
      <w:r w:rsidRPr="00493427">
        <w:t>Codd EF. A relational model of data for large shared data banks. Communications of the ACM 1970;13(6):377–387.</w:t>
      </w:r>
    </w:p>
    <w:p w14:paraId="3F16ABB8" w14:textId="27B6C0D6" w:rsidR="001B1C5F" w:rsidRPr="002A376E" w:rsidRDefault="001B1C5F" w:rsidP="002A376E">
      <w:pPr>
        <w:pStyle w:val="ListParagraph"/>
        <w:numPr>
          <w:ilvl w:val="0"/>
          <w:numId w:val="3"/>
        </w:numPr>
        <w:autoSpaceDE w:val="0"/>
        <w:autoSpaceDN w:val="0"/>
        <w:adjustRightInd w:val="0"/>
        <w:spacing w:after="0" w:line="240" w:lineRule="auto"/>
        <w:ind w:right="-720"/>
        <w:rPr>
          <w:rFonts w:ascii="Times New Roman" w:hAnsi="Times New Roman"/>
          <w:sz w:val="24"/>
        </w:rPr>
      </w:pPr>
      <w:r w:rsidRPr="00837AB1">
        <w:rPr>
          <w:rFonts w:ascii="Times New Roman" w:hAnsi="Times New Roman"/>
          <w:sz w:val="24"/>
        </w:rPr>
        <w:t>Date CJ. An introduction to database systems. 8th ed. Boston: Pearson/Addison Wesley; 2004.</w:t>
      </w:r>
    </w:p>
    <w:p w14:paraId="17D78755" w14:textId="30581D08" w:rsidR="00A53C3E" w:rsidRDefault="00A53C3E" w:rsidP="00A53C3E">
      <w:pPr>
        <w:pStyle w:val="ListParagraph"/>
        <w:numPr>
          <w:ilvl w:val="0"/>
          <w:numId w:val="3"/>
        </w:numPr>
        <w:rPr>
          <w:rFonts w:ascii="Times New Roman" w:hAnsi="Times New Roman"/>
          <w:sz w:val="24"/>
        </w:rPr>
      </w:pPr>
      <w:r w:rsidRPr="00A53C3E">
        <w:rPr>
          <w:rFonts w:ascii="Times New Roman" w:hAnsi="Times New Roman"/>
          <w:sz w:val="24"/>
        </w:rPr>
        <w:t>FDA. Collection of Race and Ethnicity Data in Clinical Trials</w:t>
      </w:r>
      <w:r>
        <w:rPr>
          <w:rFonts w:ascii="Times New Roman" w:hAnsi="Times New Roman"/>
          <w:sz w:val="24"/>
        </w:rPr>
        <w:t xml:space="preserve"> (10/26/2016), available from: </w:t>
      </w:r>
      <w:hyperlink r:id="rId16" w:history="1">
        <w:r w:rsidRPr="00CF0F38">
          <w:rPr>
            <w:rStyle w:val="Hyperlink"/>
            <w:rFonts w:ascii="Times New Roman" w:hAnsi="Times New Roman"/>
            <w:sz w:val="24"/>
          </w:rPr>
          <w:t>https://www.fda.gov/regulatory-information/search-fda-guidance-documents/collection-race-and-ethnicity-data-clinical-trials</w:t>
        </w:r>
      </w:hyperlink>
      <w:r>
        <w:rPr>
          <w:rFonts w:ascii="Times New Roman" w:hAnsi="Times New Roman"/>
          <w:sz w:val="24"/>
        </w:rPr>
        <w:t xml:space="preserve"> , access</w:t>
      </w:r>
      <w:r w:rsidR="00481D2C">
        <w:rPr>
          <w:rFonts w:ascii="Times New Roman" w:hAnsi="Times New Roman"/>
          <w:sz w:val="24"/>
        </w:rPr>
        <w:t>ed</w:t>
      </w:r>
      <w:r>
        <w:rPr>
          <w:rFonts w:ascii="Times New Roman" w:hAnsi="Times New Roman"/>
          <w:sz w:val="24"/>
        </w:rPr>
        <w:t xml:space="preserve"> 3/20/2021.</w:t>
      </w:r>
      <w:r w:rsidRPr="00A53C3E">
        <w:rPr>
          <w:rFonts w:ascii="Times New Roman" w:hAnsi="Times New Roman"/>
          <w:sz w:val="24"/>
        </w:rPr>
        <w:t xml:space="preserve"> </w:t>
      </w:r>
    </w:p>
    <w:p w14:paraId="4ECD03C6" w14:textId="4F9A2C5B" w:rsidR="00481D2C" w:rsidRPr="00A53C3E" w:rsidRDefault="00481D2C" w:rsidP="00A53C3E">
      <w:pPr>
        <w:pStyle w:val="ListParagraph"/>
        <w:numPr>
          <w:ilvl w:val="0"/>
          <w:numId w:val="3"/>
        </w:numPr>
        <w:rPr>
          <w:rFonts w:ascii="Times New Roman" w:hAnsi="Times New Roman"/>
          <w:sz w:val="24"/>
        </w:rPr>
      </w:pPr>
      <w:r>
        <w:rPr>
          <w:rFonts w:ascii="Times New Roman" w:hAnsi="Times New Roman"/>
          <w:sz w:val="24"/>
        </w:rPr>
        <w:t xml:space="preserve">NHAMCS. Sample 2020 Emergency Department Patient Record, available from: </w:t>
      </w:r>
      <w:hyperlink r:id="rId17" w:history="1">
        <w:r w:rsidRPr="00CF0F38">
          <w:rPr>
            <w:rStyle w:val="Hyperlink"/>
            <w:rFonts w:ascii="Times New Roman" w:hAnsi="Times New Roman"/>
            <w:sz w:val="24"/>
          </w:rPr>
          <w:t>https://www.cdc.gov/nchs/data/nhamcs/2020-NHAMCS-ED-PRF-sample-card-508.pdf</w:t>
        </w:r>
      </w:hyperlink>
      <w:r>
        <w:rPr>
          <w:rFonts w:ascii="Times New Roman" w:hAnsi="Times New Roman"/>
          <w:sz w:val="24"/>
        </w:rPr>
        <w:t xml:space="preserve"> , accessed 3/20/2021.</w:t>
      </w:r>
    </w:p>
    <w:p w14:paraId="375D1501" w14:textId="64418FB2" w:rsidR="00696478" w:rsidRDefault="004821A6" w:rsidP="00B52CF4">
      <w:pPr>
        <w:pStyle w:val="ListParagraph"/>
        <w:numPr>
          <w:ilvl w:val="0"/>
          <w:numId w:val="3"/>
        </w:numPr>
        <w:ind w:left="357" w:hanging="357"/>
      </w:pPr>
      <w:r>
        <w:rPr>
          <w:rFonts w:ascii="Times New Roman" w:hAnsi="Times New Roman"/>
          <w:sz w:val="24"/>
        </w:rPr>
        <w:t>NINDS</w:t>
      </w:r>
      <w:r w:rsidR="004F02E5">
        <w:rPr>
          <w:rFonts w:ascii="Times New Roman" w:hAnsi="Times New Roman"/>
          <w:sz w:val="24"/>
        </w:rPr>
        <w:t xml:space="preserve">. </w:t>
      </w:r>
      <w:r>
        <w:rPr>
          <w:rFonts w:ascii="Times New Roman" w:hAnsi="Times New Roman"/>
          <w:sz w:val="24"/>
        </w:rPr>
        <w:t xml:space="preserve">Common Data Elements. Available from: </w:t>
      </w:r>
      <w:hyperlink r:id="rId18" w:history="1">
        <w:r w:rsidRPr="00CF0F38">
          <w:rPr>
            <w:rStyle w:val="Hyperlink"/>
            <w:rFonts w:ascii="Times New Roman" w:hAnsi="Times New Roman"/>
            <w:sz w:val="24"/>
          </w:rPr>
          <w:t>https://www.commondataelements.ninds.nih.gov/</w:t>
        </w:r>
      </w:hyperlink>
      <w:r>
        <w:rPr>
          <w:rFonts w:ascii="Times New Roman" w:hAnsi="Times New Roman"/>
          <w:sz w:val="24"/>
        </w:rPr>
        <w:t>, accessed 3/20/2021.</w:t>
      </w:r>
    </w:p>
    <w:p w14:paraId="08FB9571" w14:textId="22D1069A" w:rsidR="00696478" w:rsidRDefault="004F02E5" w:rsidP="001B1C5F">
      <w:pPr>
        <w:numPr>
          <w:ilvl w:val="0"/>
          <w:numId w:val="3"/>
        </w:numPr>
        <w:ind w:left="357" w:hanging="357"/>
      </w:pPr>
      <w:r>
        <w:t xml:space="preserve">NCI. </w:t>
      </w:r>
      <w:r w:rsidR="000F7D87">
        <w:rPr>
          <w:i/>
        </w:rPr>
        <w:t>NIH CDE Repository</w:t>
      </w:r>
      <w:r>
        <w:t xml:space="preserve"> Available from: </w:t>
      </w:r>
      <w:r w:rsidR="000F7D87" w:rsidRPr="000F7D87">
        <w:t>https://cde.nlm.nih.gov/home</w:t>
      </w:r>
      <w:r>
        <w:t xml:space="preserve">/, accessed </w:t>
      </w:r>
      <w:r w:rsidR="000F7D87">
        <w:t>3</w:t>
      </w:r>
      <w:r>
        <w:t>/</w:t>
      </w:r>
      <w:r w:rsidR="000F7D87">
        <w:t>20</w:t>
      </w:r>
      <w:r>
        <w:t>/</w:t>
      </w:r>
      <w:r w:rsidR="000F7D87">
        <w:t>2021</w:t>
      </w:r>
      <w:r>
        <w:t>.</w:t>
      </w:r>
    </w:p>
    <w:p w14:paraId="36A0CDDE" w14:textId="2B1661D9" w:rsidR="00696478" w:rsidRDefault="004F02E5" w:rsidP="000221C3">
      <w:pPr>
        <w:pStyle w:val="Heading1"/>
        <w:numPr>
          <w:ilvl w:val="0"/>
          <w:numId w:val="3"/>
        </w:numPr>
        <w:shd w:val="clear" w:color="auto" w:fill="FFFFFF"/>
        <w:spacing w:before="0" w:line="240" w:lineRule="auto"/>
        <w:ind w:left="357"/>
      </w:pPr>
      <w:r w:rsidRPr="004821A6">
        <w:rPr>
          <w:rFonts w:ascii="Times New Roman" w:eastAsiaTheme="minorEastAsia" w:hAnsi="Times New Roman" w:cstheme="minorBidi"/>
          <w:b w:val="0"/>
          <w:bCs w:val="0"/>
          <w:color w:val="auto"/>
          <w:sz w:val="24"/>
          <w:szCs w:val="22"/>
        </w:rPr>
        <w:t xml:space="preserve">FDA. </w:t>
      </w:r>
      <w:r w:rsidR="00EA0755" w:rsidRPr="004821A6">
        <w:rPr>
          <w:rFonts w:ascii="Times New Roman" w:eastAsiaTheme="minorEastAsia" w:hAnsi="Times New Roman" w:cstheme="minorBidi"/>
          <w:b w:val="0"/>
          <w:bCs w:val="0"/>
          <w:color w:val="auto"/>
          <w:sz w:val="24"/>
          <w:szCs w:val="22"/>
        </w:rPr>
        <w:t>CDER Data Standards Program.</w:t>
      </w:r>
      <w:r w:rsidR="00EA0755" w:rsidRPr="004821A6">
        <w:rPr>
          <w:rFonts w:ascii="Times New Roman" w:eastAsiaTheme="minorEastAsia" w:hAnsi="Times New Roman" w:cstheme="minorBidi"/>
          <w:color w:val="auto"/>
          <w:sz w:val="24"/>
          <w:szCs w:val="22"/>
        </w:rPr>
        <w:t xml:space="preserve"> </w:t>
      </w:r>
      <w:r w:rsidRPr="004821A6">
        <w:rPr>
          <w:rFonts w:ascii="Times New Roman" w:eastAsiaTheme="minorEastAsia" w:hAnsi="Times New Roman" w:cstheme="minorBidi"/>
          <w:b w:val="0"/>
          <w:bCs w:val="0"/>
          <w:color w:val="auto"/>
          <w:sz w:val="24"/>
          <w:szCs w:val="22"/>
        </w:rPr>
        <w:t>Available</w:t>
      </w:r>
      <w:r w:rsidRPr="004821A6">
        <w:rPr>
          <w:rFonts w:ascii="Times New Roman" w:eastAsiaTheme="minorEastAsia" w:hAnsi="Times New Roman" w:cstheme="minorBidi"/>
          <w:color w:val="auto"/>
          <w:sz w:val="24"/>
          <w:szCs w:val="22"/>
        </w:rPr>
        <w:t xml:space="preserve"> </w:t>
      </w:r>
      <w:r w:rsidRPr="004821A6">
        <w:rPr>
          <w:rFonts w:ascii="Times New Roman" w:eastAsiaTheme="minorEastAsia" w:hAnsi="Times New Roman" w:cstheme="minorBidi"/>
          <w:b w:val="0"/>
          <w:bCs w:val="0"/>
          <w:color w:val="auto"/>
          <w:sz w:val="24"/>
          <w:szCs w:val="22"/>
        </w:rPr>
        <w:t>from:</w:t>
      </w:r>
      <w:r w:rsidR="004821A6" w:rsidRPr="004821A6">
        <w:rPr>
          <w:rFonts w:ascii="Times New Roman" w:eastAsiaTheme="minorEastAsia" w:hAnsi="Times New Roman" w:cstheme="minorBidi"/>
          <w:b w:val="0"/>
          <w:bCs w:val="0"/>
          <w:color w:val="auto"/>
          <w:sz w:val="24"/>
          <w:szCs w:val="22"/>
        </w:rPr>
        <w:t xml:space="preserve"> </w:t>
      </w:r>
      <w:r w:rsidR="00EA0755" w:rsidRPr="004821A6">
        <w:rPr>
          <w:rFonts w:ascii="Times New Roman" w:eastAsiaTheme="minorEastAsia" w:hAnsi="Times New Roman" w:cstheme="minorBidi"/>
          <w:b w:val="0"/>
          <w:bCs w:val="0"/>
          <w:color w:val="auto"/>
          <w:sz w:val="24"/>
          <w:szCs w:val="22"/>
        </w:rPr>
        <w:t>https://www.fda.gov/drugs/electronic-regulatory-submission-and-review/cder-data-standards-program</w:t>
      </w:r>
      <w:r w:rsidRPr="004821A6">
        <w:rPr>
          <w:rFonts w:ascii="Times New Roman" w:hAnsi="Times New Roman"/>
          <w:sz w:val="24"/>
        </w:rPr>
        <w:t xml:space="preserve">, accessed </w:t>
      </w:r>
      <w:r w:rsidR="004821A6" w:rsidRPr="004821A6">
        <w:rPr>
          <w:rFonts w:ascii="Times New Roman" w:hAnsi="Times New Roman"/>
          <w:sz w:val="24"/>
        </w:rPr>
        <w:t>3</w:t>
      </w:r>
      <w:r w:rsidRPr="004821A6">
        <w:rPr>
          <w:rFonts w:ascii="Times New Roman" w:hAnsi="Times New Roman"/>
          <w:sz w:val="24"/>
        </w:rPr>
        <w:t>/</w:t>
      </w:r>
      <w:r w:rsidR="004821A6" w:rsidRPr="004821A6">
        <w:rPr>
          <w:rFonts w:ascii="Times New Roman" w:hAnsi="Times New Roman"/>
          <w:sz w:val="24"/>
        </w:rPr>
        <w:t>20</w:t>
      </w:r>
      <w:r w:rsidRPr="004821A6">
        <w:rPr>
          <w:rFonts w:ascii="Times New Roman" w:hAnsi="Times New Roman"/>
          <w:sz w:val="24"/>
        </w:rPr>
        <w:t>/</w:t>
      </w:r>
      <w:r w:rsidR="004821A6" w:rsidRPr="004821A6">
        <w:rPr>
          <w:rFonts w:ascii="Times New Roman" w:hAnsi="Times New Roman"/>
          <w:sz w:val="24"/>
        </w:rPr>
        <w:t>2021</w:t>
      </w:r>
      <w:r w:rsidRPr="004821A6">
        <w:rPr>
          <w:rFonts w:ascii="Times New Roman" w:hAnsi="Times New Roman"/>
          <w:sz w:val="24"/>
        </w:rPr>
        <w:t>.</w:t>
      </w:r>
    </w:p>
    <w:p w14:paraId="520691DE" w14:textId="5733F082" w:rsidR="00696478" w:rsidRDefault="004F02E5" w:rsidP="002A376E">
      <w:pPr>
        <w:numPr>
          <w:ilvl w:val="0"/>
          <w:numId w:val="3"/>
        </w:numPr>
        <w:ind w:left="357" w:hanging="357"/>
      </w:pPr>
      <w:r w:rsidRPr="00493427">
        <w:t xml:space="preserve">CDISC. The Clinical Data Interchange Standards Consortium Study data tabulation model. 2012. Available from: http://www.cdisc.org/sdtm, accessed </w:t>
      </w:r>
      <w:r w:rsidR="004821A6">
        <w:t>3</w:t>
      </w:r>
      <w:r>
        <w:t>/</w:t>
      </w:r>
      <w:r w:rsidR="004821A6">
        <w:t>20</w:t>
      </w:r>
      <w:r>
        <w:t>/</w:t>
      </w:r>
      <w:r w:rsidR="004821A6">
        <w:t>2021</w:t>
      </w:r>
      <w:r w:rsidRPr="00493427">
        <w:t>.</w:t>
      </w:r>
    </w:p>
    <w:p w14:paraId="6205364D" w14:textId="4A0ED1E1" w:rsidR="00B11DAB" w:rsidRPr="00B11DAB" w:rsidRDefault="00B11DAB" w:rsidP="00B52CF4">
      <w:pPr>
        <w:pStyle w:val="ListParagraph"/>
        <w:numPr>
          <w:ilvl w:val="0"/>
          <w:numId w:val="3"/>
        </w:numPr>
        <w:autoSpaceDE w:val="0"/>
        <w:autoSpaceDN w:val="0"/>
        <w:adjustRightInd w:val="0"/>
        <w:ind w:left="357" w:right="-720" w:hanging="357"/>
      </w:pPr>
      <w:r w:rsidRPr="00B11DAB">
        <w:rPr>
          <w:rFonts w:ascii="Times New Roman" w:eastAsia="Times New Roman" w:hAnsi="Times New Roman" w:cs="Times New Roman"/>
          <w:sz w:val="24"/>
          <w:szCs w:val="24"/>
          <w:lang w:val="en-US" w:eastAsia="en-US"/>
        </w:rPr>
        <w:t xml:space="preserve">Wickham H, Grolemund G. R for data </w:t>
      </w:r>
      <w:r w:rsidR="00FE0E8B" w:rsidRPr="00B11DAB">
        <w:rPr>
          <w:rFonts w:ascii="Times New Roman" w:eastAsia="Times New Roman" w:hAnsi="Times New Roman" w:cs="Times New Roman"/>
          <w:sz w:val="24"/>
          <w:szCs w:val="24"/>
          <w:lang w:val="en-US" w:eastAsia="en-US"/>
        </w:rPr>
        <w:t>science:</w:t>
      </w:r>
      <w:r w:rsidRPr="00B11DAB">
        <w:rPr>
          <w:rFonts w:ascii="Times New Roman" w:eastAsia="Times New Roman" w:hAnsi="Times New Roman" w:cs="Times New Roman"/>
          <w:sz w:val="24"/>
          <w:szCs w:val="24"/>
          <w:lang w:val="en-US" w:eastAsia="en-US"/>
        </w:rPr>
        <w:t xml:space="preserve"> import, tidy, transform, visualize, and model data. First edition. ed. Sebastopol, CA: O'Reilly; 2016.</w:t>
      </w:r>
    </w:p>
    <w:p w14:paraId="34DE252D" w14:textId="16968E80" w:rsidR="009B47AC" w:rsidRDefault="004F02E5" w:rsidP="002A376E">
      <w:pPr>
        <w:pStyle w:val="ListParagraph"/>
        <w:numPr>
          <w:ilvl w:val="0"/>
          <w:numId w:val="3"/>
        </w:numPr>
        <w:autoSpaceDE w:val="0"/>
        <w:autoSpaceDN w:val="0"/>
        <w:adjustRightInd w:val="0"/>
        <w:ind w:left="357" w:right="-720" w:hanging="357"/>
      </w:pPr>
      <w:r w:rsidRPr="009B47AC">
        <w:rPr>
          <w:rFonts w:ascii="Times New Roman" w:hAnsi="Times New Roman"/>
          <w:sz w:val="24"/>
        </w:rPr>
        <w:t xml:space="preserve">DHHS. Guidance for industry: computerized systems used in clinical trials. May, 2007. </w:t>
      </w:r>
      <w:r w:rsidR="009B47AC" w:rsidRPr="009B47AC">
        <w:rPr>
          <w:rFonts w:ascii="Times New Roman" w:hAnsi="Times New Roman"/>
          <w:sz w:val="24"/>
        </w:rPr>
        <w:t>FDA</w:t>
      </w:r>
      <w:r w:rsidRPr="009B47AC">
        <w:rPr>
          <w:rFonts w:ascii="Times New Roman" w:hAnsi="Times New Roman"/>
          <w:sz w:val="24"/>
        </w:rPr>
        <w:t xml:space="preserve">. </w:t>
      </w:r>
      <w:r w:rsidR="009B47AC" w:rsidRPr="001B1C5F">
        <w:rPr>
          <w:rFonts w:ascii="Times New Roman" w:hAnsi="Times New Roman"/>
          <w:sz w:val="24"/>
        </w:rPr>
        <w:t xml:space="preserve">Use of Electronic Records and Electronic Signatures in Clinical Investigations Under 21 CFR Part 11 – Questions and Answers, June 2017.  </w:t>
      </w:r>
      <w:r w:rsidR="009B47AC">
        <w:rPr>
          <w:rFonts w:ascii="Times New Roman" w:hAnsi="Times New Roman"/>
          <w:sz w:val="24"/>
        </w:rPr>
        <w:t xml:space="preserve">Available from: </w:t>
      </w:r>
      <w:r w:rsidR="009B47AC" w:rsidRPr="009B47AC">
        <w:rPr>
          <w:rFonts w:ascii="Times New Roman" w:hAnsi="Times New Roman"/>
          <w:sz w:val="24"/>
        </w:rPr>
        <w:t>https://www.fda.gov/regulatory-information/search-fda-guidance-documents/use-electronic-records-and-electronic-signatures-clinical-investigations-under-21-cfr-part-11</w:t>
      </w:r>
      <w:r w:rsidR="009B47AC">
        <w:rPr>
          <w:rFonts w:ascii="Times New Roman" w:hAnsi="Times New Roman"/>
          <w:sz w:val="24"/>
        </w:rPr>
        <w:t>, accessed 3/20/2021.</w:t>
      </w:r>
    </w:p>
    <w:p w14:paraId="4D842BDC" w14:textId="77777777" w:rsidR="009E7616" w:rsidRDefault="009E7616">
      <w:pPr>
        <w:spacing w:after="200" w:line="276" w:lineRule="auto"/>
      </w:pPr>
      <w:r>
        <w:br w:type="page"/>
      </w:r>
    </w:p>
    <w:p w14:paraId="19029D0F" w14:textId="6BC1AB92" w:rsidR="00696478" w:rsidRDefault="00C33B30" w:rsidP="0047675B">
      <w:pPr>
        <w:ind w:left="357"/>
      </w:pPr>
      <w:r w:rsidRPr="00493427">
        <w:lastRenderedPageBreak/>
        <w:br/>
      </w:r>
      <w:r w:rsidRPr="00493427">
        <w:br/>
      </w:r>
      <w:r w:rsidR="004F02E5" w:rsidRPr="00493427">
        <w:rPr>
          <w:b/>
        </w:rPr>
        <w:t xml:space="preserve">Table 16.1. Some Software Used </w:t>
      </w:r>
      <w:r w:rsidR="00FE0E8B" w:rsidRPr="00493427">
        <w:rPr>
          <w:b/>
        </w:rPr>
        <w:t>in</w:t>
      </w:r>
      <w:r w:rsidR="004F02E5" w:rsidRPr="00493427">
        <w:rPr>
          <w:b/>
        </w:rPr>
        <w:t xml:space="preserve"> Research Data Management</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26"/>
      </w:tblGrid>
      <w:tr w:rsidR="00696478" w14:paraId="6A2EAC82" w14:textId="77777777">
        <w:tc>
          <w:tcPr>
            <w:tcW w:w="0" w:type="auto"/>
          </w:tcPr>
          <w:p w14:paraId="145000A6" w14:textId="77777777" w:rsidR="00696478" w:rsidRDefault="004F02E5" w:rsidP="00493427">
            <w:r w:rsidRPr="00493427">
              <w:t>Spreadsheet</w:t>
            </w:r>
          </w:p>
          <w:p w14:paraId="5C359C9F" w14:textId="0FFD3A41" w:rsidR="00696478" w:rsidRPr="00493427" w:rsidRDefault="004F02E5" w:rsidP="00493427">
            <w:pPr>
              <w:ind w:left="360"/>
            </w:pPr>
            <w:r w:rsidRPr="00493427">
              <w:t>Microsoft Excel</w:t>
            </w:r>
          </w:p>
          <w:p w14:paraId="00B09261" w14:textId="431DE0E1" w:rsidR="00A00F12" w:rsidRDefault="00A00F12" w:rsidP="00493427">
            <w:pPr>
              <w:ind w:left="360"/>
            </w:pPr>
            <w:r w:rsidRPr="00493427">
              <w:t>Apple Numbers</w:t>
            </w:r>
          </w:p>
          <w:p w14:paraId="0FC66212" w14:textId="306F5E09" w:rsidR="00696478" w:rsidRDefault="004F02E5" w:rsidP="00493427">
            <w:pPr>
              <w:ind w:left="360"/>
            </w:pPr>
            <w:r w:rsidRPr="00493427">
              <w:t xml:space="preserve">Google </w:t>
            </w:r>
            <w:r w:rsidR="00A00F12" w:rsidRPr="00493427">
              <w:t>Sheets</w:t>
            </w:r>
            <w:r w:rsidRPr="00493427">
              <w:rPr>
                <w:vertAlign w:val="superscript"/>
              </w:rPr>
              <w:t>*</w:t>
            </w:r>
          </w:p>
          <w:p w14:paraId="48AD0C01" w14:textId="77777777" w:rsidR="00696478" w:rsidRDefault="004F02E5" w:rsidP="00493427">
            <w:pPr>
              <w:ind w:left="360"/>
            </w:pPr>
            <w:r w:rsidRPr="00493427">
              <w:t>Apache OpenOffice Calc</w:t>
            </w:r>
            <w:r w:rsidRPr="00493427">
              <w:rPr>
                <w:vertAlign w:val="superscript"/>
              </w:rPr>
              <w:t>*</w:t>
            </w:r>
          </w:p>
          <w:p w14:paraId="31B2566F" w14:textId="77777777" w:rsidR="00696478" w:rsidRDefault="004F02E5" w:rsidP="00493427">
            <w:pPr>
              <w:ind w:left="360"/>
            </w:pPr>
            <w:r w:rsidRPr="00493427">
              <w:t>Statistical Analysis</w:t>
            </w:r>
          </w:p>
          <w:p w14:paraId="21AAB286" w14:textId="77777777" w:rsidR="00696478" w:rsidRDefault="004F02E5" w:rsidP="00493427">
            <w:pPr>
              <w:ind w:left="720"/>
            </w:pPr>
            <w:r w:rsidRPr="00493427">
              <w:t>Statistical Analysis System (SAS)</w:t>
            </w:r>
          </w:p>
          <w:p w14:paraId="2C8F7C1F" w14:textId="77777777" w:rsidR="00696478" w:rsidRDefault="004F02E5" w:rsidP="00493427">
            <w:pPr>
              <w:ind w:left="720"/>
            </w:pPr>
            <w:r w:rsidRPr="00493427">
              <w:t>Statistical Package for the Social Sciences (SPSS)</w:t>
            </w:r>
          </w:p>
          <w:p w14:paraId="17998901" w14:textId="77777777" w:rsidR="00696478" w:rsidRDefault="004F02E5" w:rsidP="00493427">
            <w:pPr>
              <w:ind w:left="720"/>
            </w:pPr>
            <w:r w:rsidRPr="00493427">
              <w:t>Stata</w:t>
            </w:r>
          </w:p>
          <w:p w14:paraId="7829B9BC" w14:textId="77777777" w:rsidR="00696478" w:rsidRDefault="004F02E5" w:rsidP="00493427">
            <w:pPr>
              <w:ind w:left="720"/>
            </w:pPr>
            <w:r w:rsidRPr="00493427">
              <w:t>R</w:t>
            </w:r>
            <w:r w:rsidRPr="00493427">
              <w:rPr>
                <w:vertAlign w:val="superscript"/>
              </w:rPr>
              <w:t>*</w:t>
            </w:r>
          </w:p>
          <w:p w14:paraId="42EE7D81" w14:textId="77777777" w:rsidR="00696478" w:rsidRDefault="004F02E5" w:rsidP="00493427">
            <w:pPr>
              <w:ind w:left="360"/>
            </w:pPr>
            <w:r w:rsidRPr="00493427">
              <w:t>Integrated Desktop Database Systems</w:t>
            </w:r>
          </w:p>
          <w:p w14:paraId="5251A68A" w14:textId="77777777" w:rsidR="00696478" w:rsidRDefault="004F02E5" w:rsidP="00493427">
            <w:pPr>
              <w:ind w:left="720"/>
            </w:pPr>
            <w:r w:rsidRPr="00493427">
              <w:t>Microsoft Access (for Windows only)</w:t>
            </w:r>
          </w:p>
          <w:p w14:paraId="216ECC75" w14:textId="77777777" w:rsidR="00696478" w:rsidRDefault="004F02E5" w:rsidP="00493427">
            <w:pPr>
              <w:ind w:left="720"/>
            </w:pPr>
            <w:r w:rsidRPr="00493427">
              <w:t>Filemaker Pro</w:t>
            </w:r>
          </w:p>
          <w:p w14:paraId="32A6738E" w14:textId="77777777" w:rsidR="00696478" w:rsidRDefault="004F02E5" w:rsidP="00493427">
            <w:pPr>
              <w:ind w:left="360"/>
            </w:pPr>
            <w:r w:rsidRPr="00493427">
              <w:t>Relational Database Systems</w:t>
            </w:r>
          </w:p>
          <w:p w14:paraId="36ABDA44" w14:textId="77777777" w:rsidR="00696478" w:rsidRDefault="004F02E5" w:rsidP="00493427">
            <w:pPr>
              <w:ind w:left="720"/>
            </w:pPr>
            <w:r w:rsidRPr="00493427">
              <w:t>Oracle</w:t>
            </w:r>
          </w:p>
          <w:p w14:paraId="79E127B5" w14:textId="77777777" w:rsidR="00696478" w:rsidRDefault="004F02E5" w:rsidP="00493427">
            <w:pPr>
              <w:ind w:left="720"/>
            </w:pPr>
            <w:r w:rsidRPr="00493427">
              <w:t>SQL Server</w:t>
            </w:r>
          </w:p>
          <w:p w14:paraId="4DBD561F" w14:textId="77777777" w:rsidR="00696478" w:rsidRDefault="004F02E5" w:rsidP="00493427">
            <w:pPr>
              <w:ind w:left="720"/>
            </w:pPr>
            <w:r w:rsidRPr="00493427">
              <w:t>MySQL</w:t>
            </w:r>
            <w:r w:rsidRPr="00493427">
              <w:rPr>
                <w:vertAlign w:val="superscript"/>
              </w:rPr>
              <w:t>*</w:t>
            </w:r>
          </w:p>
          <w:p w14:paraId="739DB767" w14:textId="77777777" w:rsidR="00696478" w:rsidRDefault="004F02E5" w:rsidP="00493427">
            <w:pPr>
              <w:ind w:left="720"/>
            </w:pPr>
            <w:r w:rsidRPr="00493427">
              <w:t>PostgreSQL</w:t>
            </w:r>
            <w:r w:rsidRPr="00493427">
              <w:rPr>
                <w:vertAlign w:val="superscript"/>
              </w:rPr>
              <w:t>*</w:t>
            </w:r>
          </w:p>
          <w:p w14:paraId="0491E9F3" w14:textId="77777777" w:rsidR="00696478" w:rsidRDefault="004F02E5" w:rsidP="00493427">
            <w:pPr>
              <w:ind w:left="360"/>
            </w:pPr>
            <w:r w:rsidRPr="00493427">
              <w:t>Integrated Web-Based Platforms for Research Data Management</w:t>
            </w:r>
          </w:p>
          <w:p w14:paraId="6CC8C8BF" w14:textId="6D4B6327" w:rsidR="00696478" w:rsidRDefault="004F02E5" w:rsidP="00493427">
            <w:pPr>
              <w:ind w:left="720"/>
            </w:pPr>
            <w:r w:rsidRPr="00493427">
              <w:t>Research Electronic Data Capture</w:t>
            </w:r>
            <w:r w:rsidR="009E7616">
              <w:t xml:space="preserve"> </w:t>
            </w:r>
            <w:r w:rsidRPr="00493427">
              <w:t xml:space="preserve">(REDCap—hosted by </w:t>
            </w:r>
            <w:r w:rsidR="009E7616">
              <w:t>many academic</w:t>
            </w:r>
            <w:r w:rsidR="009E7616" w:rsidRPr="00493427">
              <w:t xml:space="preserve"> </w:t>
            </w:r>
            <w:r w:rsidRPr="00493427">
              <w:t>institution</w:t>
            </w:r>
            <w:r w:rsidR="009E7616">
              <w:t>s</w:t>
            </w:r>
            <w:r w:rsidRPr="00493427">
              <w:t>)</w:t>
            </w:r>
          </w:p>
          <w:p w14:paraId="6DCA2D70" w14:textId="77777777" w:rsidR="00696478" w:rsidRDefault="004F02E5" w:rsidP="00493427">
            <w:pPr>
              <w:ind w:left="720"/>
            </w:pPr>
            <w:r w:rsidRPr="00493427">
              <w:t>QuesGen (primarily academic, vendor hosted)</w:t>
            </w:r>
          </w:p>
          <w:p w14:paraId="003E0AD1" w14:textId="77777777" w:rsidR="00696478" w:rsidRDefault="004F02E5" w:rsidP="00493427">
            <w:pPr>
              <w:ind w:left="720"/>
            </w:pPr>
            <w:r w:rsidRPr="00493427">
              <w:t>MediData RAVE (primarily non-academic corporate, vendor hosted)</w:t>
            </w:r>
          </w:p>
          <w:p w14:paraId="6731A168" w14:textId="77777777" w:rsidR="00696478" w:rsidRDefault="004F02E5" w:rsidP="00493427">
            <w:pPr>
              <w:ind w:left="720"/>
            </w:pPr>
            <w:r w:rsidRPr="00493427">
              <w:t>Oracle InForm (non-academic corporate, company hosted)</w:t>
            </w:r>
          </w:p>
          <w:p w14:paraId="7609F66F" w14:textId="77777777" w:rsidR="00696478" w:rsidRDefault="004F02E5" w:rsidP="00493427">
            <w:pPr>
              <w:ind w:left="720"/>
            </w:pPr>
            <w:r w:rsidRPr="00493427">
              <w:t>Datalabs EDC (corporate, vendor hosted)</w:t>
            </w:r>
          </w:p>
          <w:p w14:paraId="773FFEE0" w14:textId="2C700F2D" w:rsidR="00696478" w:rsidRDefault="004F02E5" w:rsidP="00493427">
            <w:pPr>
              <w:ind w:left="720"/>
            </w:pPr>
            <w:r w:rsidRPr="00493427">
              <w:t>OnCore</w:t>
            </w:r>
          </w:p>
          <w:p w14:paraId="6D21CFA2" w14:textId="12129E3B" w:rsidR="00696478" w:rsidRDefault="004F02E5" w:rsidP="00493427">
            <w:pPr>
              <w:ind w:left="720"/>
            </w:pPr>
            <w:r w:rsidRPr="00493427">
              <w:t>OpenClinica</w:t>
            </w:r>
          </w:p>
          <w:p w14:paraId="793284BD" w14:textId="2977F500" w:rsidR="00121467" w:rsidRDefault="00121467" w:rsidP="00121467">
            <w:pPr>
              <w:ind w:left="720"/>
            </w:pPr>
            <w:r>
              <w:t>EpiInfo</w:t>
            </w:r>
            <w:r>
              <w:rPr>
                <w:vertAlign w:val="superscript"/>
              </w:rPr>
              <w:t>*</w:t>
            </w:r>
            <w:r>
              <w:t xml:space="preserve"> </w:t>
            </w:r>
          </w:p>
          <w:p w14:paraId="6F4D07D6" w14:textId="77777777" w:rsidR="00121467" w:rsidRDefault="00121467" w:rsidP="008106F6">
            <w:pPr>
              <w:ind w:left="720"/>
            </w:pPr>
          </w:p>
          <w:p w14:paraId="45276839" w14:textId="77777777" w:rsidR="00696478" w:rsidRDefault="004F02E5" w:rsidP="00493427">
            <w:pPr>
              <w:ind w:left="360"/>
            </w:pPr>
            <w:r w:rsidRPr="00493427">
              <w:t>Online Survey Tools</w:t>
            </w:r>
          </w:p>
          <w:p w14:paraId="13D61B9E" w14:textId="77777777" w:rsidR="00696478" w:rsidRDefault="004F02E5" w:rsidP="00493427">
            <w:pPr>
              <w:ind w:left="720"/>
            </w:pPr>
            <w:r w:rsidRPr="00493427">
              <w:t>SurveyMonkey</w:t>
            </w:r>
          </w:p>
          <w:p w14:paraId="17EE25C3" w14:textId="77777777" w:rsidR="00696478" w:rsidRDefault="004F02E5" w:rsidP="00493427">
            <w:pPr>
              <w:ind w:left="720"/>
            </w:pPr>
            <w:r w:rsidRPr="00493427">
              <w:t>Zoomerang</w:t>
            </w:r>
          </w:p>
          <w:p w14:paraId="262B6782" w14:textId="77777777" w:rsidR="00696478" w:rsidRDefault="004F02E5" w:rsidP="00493427">
            <w:pPr>
              <w:ind w:left="720"/>
            </w:pPr>
            <w:r w:rsidRPr="00493427">
              <w:t>Qualtrics</w:t>
            </w:r>
          </w:p>
        </w:tc>
      </w:tr>
    </w:tbl>
    <w:p w14:paraId="1B9CDF9B" w14:textId="77777777" w:rsidR="00696478" w:rsidRDefault="004F02E5" w:rsidP="00493427">
      <w:r w:rsidRPr="00493427">
        <w:rPr>
          <w:vertAlign w:val="superscript"/>
        </w:rPr>
        <w:t>*</w:t>
      </w:r>
      <w:r w:rsidRPr="00493427">
        <w:t>Free</w:t>
      </w:r>
    </w:p>
    <w:p w14:paraId="6C3AF1C2" w14:textId="53C440F1" w:rsidR="00613C83" w:rsidRDefault="004F02E5" w:rsidP="008106F6">
      <w:r>
        <w:br/>
      </w:r>
    </w:p>
    <w:p w14:paraId="2AFC45DA" w14:textId="154CDA57" w:rsidR="00613C83" w:rsidRDefault="00613C83"/>
    <w:sectPr w:rsidR="00613C83">
      <w:headerReference w:type="default" r:id="rId19"/>
      <w:footerReference w:type="even"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63A97" w14:textId="77777777" w:rsidR="004A0C58" w:rsidRDefault="004A0C58" w:rsidP="00B52CF4">
      <w:r>
        <w:separator/>
      </w:r>
    </w:p>
  </w:endnote>
  <w:endnote w:type="continuationSeparator" w:id="0">
    <w:p w14:paraId="4A3AE533" w14:textId="77777777" w:rsidR="004A0C58" w:rsidRDefault="004A0C58" w:rsidP="00B52CF4">
      <w:r>
        <w:continuationSeparator/>
      </w:r>
    </w:p>
  </w:endnote>
  <w:endnote w:type="continuationNotice" w:id="1">
    <w:p w14:paraId="1AA0D10D" w14:textId="77777777" w:rsidR="004A0C58" w:rsidRDefault="004A0C58" w:rsidP="00B52C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6519361"/>
      <w:docPartObj>
        <w:docPartGallery w:val="Page Numbers (Bottom of Page)"/>
        <w:docPartUnique/>
      </w:docPartObj>
    </w:sdtPr>
    <w:sdtEndPr>
      <w:rPr>
        <w:rStyle w:val="PageNumber"/>
      </w:rPr>
    </w:sdtEndPr>
    <w:sdtContent>
      <w:p w14:paraId="13C461FD" w14:textId="5E0A571D" w:rsidR="00F71ED4" w:rsidRDefault="00F71ED4" w:rsidP="00DA42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C80069" w14:textId="77777777" w:rsidR="00F71ED4" w:rsidRDefault="00F71ED4" w:rsidP="007154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5755598"/>
      <w:docPartObj>
        <w:docPartGallery w:val="Page Numbers (Bottom of Page)"/>
        <w:docPartUnique/>
      </w:docPartObj>
    </w:sdtPr>
    <w:sdtEndPr>
      <w:rPr>
        <w:rStyle w:val="PageNumber"/>
      </w:rPr>
    </w:sdtEndPr>
    <w:sdtContent>
      <w:p w14:paraId="741CD7A2" w14:textId="779192E8" w:rsidR="00F71ED4" w:rsidRDefault="00F71ED4" w:rsidP="00DA42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3F11E1C" w14:textId="77777777" w:rsidR="00F71ED4" w:rsidRDefault="00F71ED4" w:rsidP="0071549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EA0E0" w14:textId="77777777" w:rsidR="004A0C58" w:rsidRDefault="004A0C58" w:rsidP="00B52CF4">
      <w:r>
        <w:separator/>
      </w:r>
    </w:p>
  </w:footnote>
  <w:footnote w:type="continuationSeparator" w:id="0">
    <w:p w14:paraId="537CE4B1" w14:textId="77777777" w:rsidR="004A0C58" w:rsidRDefault="004A0C58" w:rsidP="00B52CF4">
      <w:r>
        <w:continuationSeparator/>
      </w:r>
    </w:p>
  </w:footnote>
  <w:footnote w:type="continuationNotice" w:id="1">
    <w:p w14:paraId="32220B4A" w14:textId="77777777" w:rsidR="004A0C58" w:rsidRDefault="004A0C58" w:rsidP="00B52CF4"/>
  </w:footnote>
  <w:footnote w:id="2">
    <w:p w14:paraId="24588492" w14:textId="57FE1D72" w:rsidR="00F71ED4" w:rsidRPr="00A878A5" w:rsidRDefault="00F71ED4" w:rsidP="000E448F">
      <w:pPr>
        <w:pStyle w:val="FootnoteText"/>
        <w:rPr>
          <w:lang w:val="en-US"/>
        </w:rPr>
      </w:pPr>
      <w:r>
        <w:rPr>
          <w:rStyle w:val="FootnoteReference"/>
        </w:rPr>
        <w:footnoteRef/>
      </w:r>
      <w:r>
        <w:t xml:space="preserve"> </w:t>
      </w:r>
      <w:r>
        <w:rPr>
          <w:lang w:val="en-US"/>
        </w:rPr>
        <w:t xml:space="preserve">A more inclusive way to code sex is 0 – female; 1 – male; 4 – transgender female to male; 5 – transgender male to female; 8 non-binary; 9 unknown.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CBE5" w14:textId="77777777" w:rsidR="005D2DCD" w:rsidRDefault="005D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E6C8B"/>
    <w:multiLevelType w:val="singleLevel"/>
    <w:tmpl w:val="462A408E"/>
    <w:lvl w:ilvl="0">
      <w:start w:val="1"/>
      <w:numFmt w:val="decimal"/>
      <w:lvlText w:val="%1."/>
      <w:lvlJc w:val="left"/>
      <w:pPr>
        <w:ind w:left="360" w:hanging="360"/>
      </w:pPr>
      <w:rPr>
        <w:rFonts w:ascii="Times New Roman" w:hAnsi="Times New Roman" w:cs="Times New Roman" w:hint="default"/>
        <w:b w:val="0"/>
        <w:bCs w:val="0"/>
        <w:sz w:val="24"/>
        <w:szCs w:val="24"/>
      </w:rPr>
    </w:lvl>
  </w:abstractNum>
  <w:abstractNum w:abstractNumId="1" w15:restartNumberingAfterBreak="0">
    <w:nsid w:val="263B60E4"/>
    <w:multiLevelType w:val="singleLevel"/>
    <w:tmpl w:val="C4A44398"/>
    <w:lvl w:ilvl="0">
      <w:numFmt w:val="bullet"/>
      <w:lvlText w:val="•"/>
      <w:lvlJc w:val="left"/>
      <w:pPr>
        <w:ind w:left="720" w:hanging="360"/>
      </w:pPr>
    </w:lvl>
  </w:abstractNum>
  <w:abstractNum w:abstractNumId="2" w15:restartNumberingAfterBreak="0">
    <w:nsid w:val="45910FDF"/>
    <w:multiLevelType w:val="singleLevel"/>
    <w:tmpl w:val="4009000F"/>
    <w:lvl w:ilvl="0">
      <w:start w:val="1"/>
      <w:numFmt w:val="decimal"/>
      <w:lvlText w:val="%1."/>
      <w:lvlJc w:val="left"/>
      <w:pPr>
        <w:ind w:left="720" w:hanging="360"/>
      </w:pPr>
    </w:lvl>
  </w:abstractNum>
  <w:abstractNum w:abstractNumId="3" w15:restartNumberingAfterBreak="0">
    <w:nsid w:val="6D842203"/>
    <w:multiLevelType w:val="singleLevel"/>
    <w:tmpl w:val="4009000F"/>
    <w:lvl w:ilvl="0">
      <w:start w:val="1"/>
      <w:numFmt w:val="decimal"/>
      <w:lvlText w:val="%1."/>
      <w:lvlJc w:val="left"/>
      <w:pPr>
        <w:ind w:left="360" w:hanging="360"/>
      </w:pPr>
    </w:lvl>
  </w:abstractNum>
  <w:abstractNum w:abstractNumId="4" w15:restartNumberingAfterBreak="0">
    <w:nsid w:val="7ECF23A0"/>
    <w:multiLevelType w:val="hybridMultilevel"/>
    <w:tmpl w:val="B636D932"/>
    <w:lvl w:ilvl="0" w:tplc="3E081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lvlOverride w:ilvl="0">
      <w:startOverride w:val="1"/>
    </w:lvlOverride>
  </w:num>
  <w:num w:numId="2">
    <w:abstractNumId w:val="2"/>
    <w:lvlOverride w:ilvl="0">
      <w:startOverride w:val="1"/>
    </w:lvlOverride>
  </w:num>
  <w:num w:numId="3">
    <w:abstractNumId w:val="0"/>
  </w:num>
  <w:num w:numId="4">
    <w:abstractNumId w:val="3"/>
  </w:num>
  <w:num w:numId="5">
    <w:abstractNumId w:val="0"/>
    <w:lvlOverride w:ilvl="0">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478"/>
    <w:rsid w:val="000117CB"/>
    <w:rsid w:val="00020BAB"/>
    <w:rsid w:val="000221C3"/>
    <w:rsid w:val="00024761"/>
    <w:rsid w:val="00027C7D"/>
    <w:rsid w:val="000346F7"/>
    <w:rsid w:val="000378A3"/>
    <w:rsid w:val="00037C54"/>
    <w:rsid w:val="000403A7"/>
    <w:rsid w:val="00057AB4"/>
    <w:rsid w:val="000606CF"/>
    <w:rsid w:val="000813D9"/>
    <w:rsid w:val="00082716"/>
    <w:rsid w:val="00084D90"/>
    <w:rsid w:val="0008583E"/>
    <w:rsid w:val="00091ADD"/>
    <w:rsid w:val="00093745"/>
    <w:rsid w:val="000950DD"/>
    <w:rsid w:val="000A207C"/>
    <w:rsid w:val="000A33A4"/>
    <w:rsid w:val="000A42DA"/>
    <w:rsid w:val="000B682E"/>
    <w:rsid w:val="000B6840"/>
    <w:rsid w:val="000B7F40"/>
    <w:rsid w:val="000C220F"/>
    <w:rsid w:val="000C7B95"/>
    <w:rsid w:val="000E215F"/>
    <w:rsid w:val="000E448F"/>
    <w:rsid w:val="000E4603"/>
    <w:rsid w:val="000E56E5"/>
    <w:rsid w:val="000F53E8"/>
    <w:rsid w:val="000F7D87"/>
    <w:rsid w:val="001043AE"/>
    <w:rsid w:val="00107928"/>
    <w:rsid w:val="001129E4"/>
    <w:rsid w:val="0012079F"/>
    <w:rsid w:val="00121467"/>
    <w:rsid w:val="0012543D"/>
    <w:rsid w:val="00135B39"/>
    <w:rsid w:val="00136353"/>
    <w:rsid w:val="001363C7"/>
    <w:rsid w:val="00141927"/>
    <w:rsid w:val="001428A0"/>
    <w:rsid w:val="0014798E"/>
    <w:rsid w:val="00150C41"/>
    <w:rsid w:val="001511B8"/>
    <w:rsid w:val="001517E0"/>
    <w:rsid w:val="001628BC"/>
    <w:rsid w:val="00163C20"/>
    <w:rsid w:val="00163FDA"/>
    <w:rsid w:val="00166B01"/>
    <w:rsid w:val="00171CF1"/>
    <w:rsid w:val="00180EB4"/>
    <w:rsid w:val="00182330"/>
    <w:rsid w:val="00196EA3"/>
    <w:rsid w:val="001A338F"/>
    <w:rsid w:val="001A3506"/>
    <w:rsid w:val="001A4DC3"/>
    <w:rsid w:val="001B1C5F"/>
    <w:rsid w:val="001B662F"/>
    <w:rsid w:val="001C05E8"/>
    <w:rsid w:val="001C0FB6"/>
    <w:rsid w:val="001C5E7E"/>
    <w:rsid w:val="001C6D65"/>
    <w:rsid w:val="001E57B0"/>
    <w:rsid w:val="001F257E"/>
    <w:rsid w:val="001F5B77"/>
    <w:rsid w:val="002000F3"/>
    <w:rsid w:val="00203114"/>
    <w:rsid w:val="002109AE"/>
    <w:rsid w:val="00216D28"/>
    <w:rsid w:val="002200E3"/>
    <w:rsid w:val="002367D1"/>
    <w:rsid w:val="00240781"/>
    <w:rsid w:val="00242856"/>
    <w:rsid w:val="00250B7A"/>
    <w:rsid w:val="002539D9"/>
    <w:rsid w:val="00266475"/>
    <w:rsid w:val="00266D4F"/>
    <w:rsid w:val="00267FE0"/>
    <w:rsid w:val="00271090"/>
    <w:rsid w:val="00274C95"/>
    <w:rsid w:val="00277782"/>
    <w:rsid w:val="002807CF"/>
    <w:rsid w:val="00282DE6"/>
    <w:rsid w:val="002859AB"/>
    <w:rsid w:val="00285E63"/>
    <w:rsid w:val="0029256E"/>
    <w:rsid w:val="00292BEC"/>
    <w:rsid w:val="002A027A"/>
    <w:rsid w:val="002A376E"/>
    <w:rsid w:val="002B397A"/>
    <w:rsid w:val="002B67AD"/>
    <w:rsid w:val="002B70CC"/>
    <w:rsid w:val="002C0292"/>
    <w:rsid w:val="002D2D95"/>
    <w:rsid w:val="002E1F32"/>
    <w:rsid w:val="002E67D7"/>
    <w:rsid w:val="002F0A92"/>
    <w:rsid w:val="002F1E02"/>
    <w:rsid w:val="002F6851"/>
    <w:rsid w:val="00300729"/>
    <w:rsid w:val="00300DC1"/>
    <w:rsid w:val="0030616D"/>
    <w:rsid w:val="0031718B"/>
    <w:rsid w:val="00332878"/>
    <w:rsid w:val="00333B91"/>
    <w:rsid w:val="00336A24"/>
    <w:rsid w:val="00341DE2"/>
    <w:rsid w:val="003464B4"/>
    <w:rsid w:val="00352F5F"/>
    <w:rsid w:val="00357B1B"/>
    <w:rsid w:val="00362BAC"/>
    <w:rsid w:val="0036748C"/>
    <w:rsid w:val="00367E8E"/>
    <w:rsid w:val="00370D87"/>
    <w:rsid w:val="00372170"/>
    <w:rsid w:val="00372B1C"/>
    <w:rsid w:val="00372DA3"/>
    <w:rsid w:val="00377D11"/>
    <w:rsid w:val="003833B3"/>
    <w:rsid w:val="003957AF"/>
    <w:rsid w:val="003A36D0"/>
    <w:rsid w:val="003A4154"/>
    <w:rsid w:val="003C1B94"/>
    <w:rsid w:val="003C233C"/>
    <w:rsid w:val="003C6E62"/>
    <w:rsid w:val="003D103C"/>
    <w:rsid w:val="003D2B04"/>
    <w:rsid w:val="003D5C86"/>
    <w:rsid w:val="003E4748"/>
    <w:rsid w:val="003E5084"/>
    <w:rsid w:val="003F1E2F"/>
    <w:rsid w:val="003F32B8"/>
    <w:rsid w:val="00400313"/>
    <w:rsid w:val="00401614"/>
    <w:rsid w:val="0040474F"/>
    <w:rsid w:val="004058E9"/>
    <w:rsid w:val="0041128B"/>
    <w:rsid w:val="00411EDD"/>
    <w:rsid w:val="0041783F"/>
    <w:rsid w:val="00423B71"/>
    <w:rsid w:val="00426332"/>
    <w:rsid w:val="00426C3B"/>
    <w:rsid w:val="004304A0"/>
    <w:rsid w:val="00432C27"/>
    <w:rsid w:val="00432EA0"/>
    <w:rsid w:val="00433EF2"/>
    <w:rsid w:val="004403A5"/>
    <w:rsid w:val="004419B4"/>
    <w:rsid w:val="004460D1"/>
    <w:rsid w:val="0044720A"/>
    <w:rsid w:val="00461563"/>
    <w:rsid w:val="00463B52"/>
    <w:rsid w:val="00473743"/>
    <w:rsid w:val="00473FE2"/>
    <w:rsid w:val="0047675B"/>
    <w:rsid w:val="00481D2C"/>
    <w:rsid w:val="004821A6"/>
    <w:rsid w:val="00482269"/>
    <w:rsid w:val="004923B0"/>
    <w:rsid w:val="00492522"/>
    <w:rsid w:val="00493427"/>
    <w:rsid w:val="00496C12"/>
    <w:rsid w:val="004A0C58"/>
    <w:rsid w:val="004A1969"/>
    <w:rsid w:val="004A61A2"/>
    <w:rsid w:val="004B779F"/>
    <w:rsid w:val="004C0A88"/>
    <w:rsid w:val="004C5220"/>
    <w:rsid w:val="004C734D"/>
    <w:rsid w:val="004C781D"/>
    <w:rsid w:val="004C7E62"/>
    <w:rsid w:val="004E19B1"/>
    <w:rsid w:val="004E31AF"/>
    <w:rsid w:val="004E4AC9"/>
    <w:rsid w:val="004F02E5"/>
    <w:rsid w:val="004F3522"/>
    <w:rsid w:val="004F5920"/>
    <w:rsid w:val="005038E2"/>
    <w:rsid w:val="00514F9A"/>
    <w:rsid w:val="0051503F"/>
    <w:rsid w:val="00521D9A"/>
    <w:rsid w:val="0052797D"/>
    <w:rsid w:val="00530022"/>
    <w:rsid w:val="0053658F"/>
    <w:rsid w:val="00546F30"/>
    <w:rsid w:val="00546F58"/>
    <w:rsid w:val="00556197"/>
    <w:rsid w:val="00556BE4"/>
    <w:rsid w:val="005630F5"/>
    <w:rsid w:val="0057244A"/>
    <w:rsid w:val="0057337D"/>
    <w:rsid w:val="0057417C"/>
    <w:rsid w:val="005768F5"/>
    <w:rsid w:val="0058344E"/>
    <w:rsid w:val="005911F9"/>
    <w:rsid w:val="005A3D73"/>
    <w:rsid w:val="005A5701"/>
    <w:rsid w:val="005A764F"/>
    <w:rsid w:val="005C3BC5"/>
    <w:rsid w:val="005D19C4"/>
    <w:rsid w:val="005D2DCD"/>
    <w:rsid w:val="005D3916"/>
    <w:rsid w:val="005E4147"/>
    <w:rsid w:val="00601489"/>
    <w:rsid w:val="00607C8B"/>
    <w:rsid w:val="006112DF"/>
    <w:rsid w:val="00613C83"/>
    <w:rsid w:val="00613D6D"/>
    <w:rsid w:val="00620C60"/>
    <w:rsid w:val="00624102"/>
    <w:rsid w:val="0063339B"/>
    <w:rsid w:val="0064532E"/>
    <w:rsid w:val="00646619"/>
    <w:rsid w:val="00646BEE"/>
    <w:rsid w:val="00654366"/>
    <w:rsid w:val="00657B0A"/>
    <w:rsid w:val="00663AEC"/>
    <w:rsid w:val="0066437D"/>
    <w:rsid w:val="0066626F"/>
    <w:rsid w:val="00675F25"/>
    <w:rsid w:val="00680B2C"/>
    <w:rsid w:val="00684DBE"/>
    <w:rsid w:val="0068539E"/>
    <w:rsid w:val="0069405A"/>
    <w:rsid w:val="006963BE"/>
    <w:rsid w:val="00696478"/>
    <w:rsid w:val="006A0F89"/>
    <w:rsid w:val="006A13F7"/>
    <w:rsid w:val="006A6CC1"/>
    <w:rsid w:val="006C11A4"/>
    <w:rsid w:val="006D2196"/>
    <w:rsid w:val="006D3AE1"/>
    <w:rsid w:val="006E324B"/>
    <w:rsid w:val="006E56F4"/>
    <w:rsid w:val="006E60FB"/>
    <w:rsid w:val="006F038E"/>
    <w:rsid w:val="00701735"/>
    <w:rsid w:val="0070212A"/>
    <w:rsid w:val="007028CE"/>
    <w:rsid w:val="007064AB"/>
    <w:rsid w:val="00715490"/>
    <w:rsid w:val="00720BBF"/>
    <w:rsid w:val="00721D39"/>
    <w:rsid w:val="007239E7"/>
    <w:rsid w:val="00730913"/>
    <w:rsid w:val="0073102A"/>
    <w:rsid w:val="007430FF"/>
    <w:rsid w:val="00750A48"/>
    <w:rsid w:val="007656BF"/>
    <w:rsid w:val="00766FA8"/>
    <w:rsid w:val="00775449"/>
    <w:rsid w:val="00782D75"/>
    <w:rsid w:val="0078366A"/>
    <w:rsid w:val="00784F7A"/>
    <w:rsid w:val="0078542D"/>
    <w:rsid w:val="007854EC"/>
    <w:rsid w:val="00786252"/>
    <w:rsid w:val="007B2676"/>
    <w:rsid w:val="007B26AD"/>
    <w:rsid w:val="007C3423"/>
    <w:rsid w:val="007D3C2F"/>
    <w:rsid w:val="007E1D8E"/>
    <w:rsid w:val="007E436B"/>
    <w:rsid w:val="007E7D90"/>
    <w:rsid w:val="007F2722"/>
    <w:rsid w:val="007F6B30"/>
    <w:rsid w:val="007F7D32"/>
    <w:rsid w:val="008031C3"/>
    <w:rsid w:val="00807EF8"/>
    <w:rsid w:val="008106F6"/>
    <w:rsid w:val="00822132"/>
    <w:rsid w:val="00837AB1"/>
    <w:rsid w:val="00851B19"/>
    <w:rsid w:val="00853267"/>
    <w:rsid w:val="00856DD8"/>
    <w:rsid w:val="008620C2"/>
    <w:rsid w:val="00862121"/>
    <w:rsid w:val="00864433"/>
    <w:rsid w:val="00864EF3"/>
    <w:rsid w:val="00870257"/>
    <w:rsid w:val="008719A2"/>
    <w:rsid w:val="00871EB3"/>
    <w:rsid w:val="00874BEB"/>
    <w:rsid w:val="00877169"/>
    <w:rsid w:val="008874AA"/>
    <w:rsid w:val="008A301D"/>
    <w:rsid w:val="008A6639"/>
    <w:rsid w:val="008A70C8"/>
    <w:rsid w:val="008B2AA0"/>
    <w:rsid w:val="008B2CE3"/>
    <w:rsid w:val="008B3F4A"/>
    <w:rsid w:val="008C16D4"/>
    <w:rsid w:val="008C23FA"/>
    <w:rsid w:val="008C3CAC"/>
    <w:rsid w:val="008C5AA2"/>
    <w:rsid w:val="008D1B71"/>
    <w:rsid w:val="008D6C04"/>
    <w:rsid w:val="008E35BF"/>
    <w:rsid w:val="008F09AF"/>
    <w:rsid w:val="008F4B23"/>
    <w:rsid w:val="008F5964"/>
    <w:rsid w:val="008F5EE9"/>
    <w:rsid w:val="008F625F"/>
    <w:rsid w:val="00900727"/>
    <w:rsid w:val="0090149B"/>
    <w:rsid w:val="009057AF"/>
    <w:rsid w:val="00912F6D"/>
    <w:rsid w:val="00914DC3"/>
    <w:rsid w:val="00935DBE"/>
    <w:rsid w:val="009460C7"/>
    <w:rsid w:val="00972805"/>
    <w:rsid w:val="00972ED1"/>
    <w:rsid w:val="00977CFD"/>
    <w:rsid w:val="00977DCE"/>
    <w:rsid w:val="009820A3"/>
    <w:rsid w:val="00991EB0"/>
    <w:rsid w:val="0099770E"/>
    <w:rsid w:val="009A0B03"/>
    <w:rsid w:val="009A0F6B"/>
    <w:rsid w:val="009A3860"/>
    <w:rsid w:val="009B3C47"/>
    <w:rsid w:val="009B46E1"/>
    <w:rsid w:val="009B47AC"/>
    <w:rsid w:val="009B66A2"/>
    <w:rsid w:val="009B7393"/>
    <w:rsid w:val="009C1888"/>
    <w:rsid w:val="009C3287"/>
    <w:rsid w:val="009C5733"/>
    <w:rsid w:val="009C6C94"/>
    <w:rsid w:val="009C7C6D"/>
    <w:rsid w:val="009D6720"/>
    <w:rsid w:val="009D7695"/>
    <w:rsid w:val="009E360B"/>
    <w:rsid w:val="009E7616"/>
    <w:rsid w:val="009F1BAB"/>
    <w:rsid w:val="00A00F12"/>
    <w:rsid w:val="00A04C8F"/>
    <w:rsid w:val="00A07C02"/>
    <w:rsid w:val="00A12449"/>
    <w:rsid w:val="00A13835"/>
    <w:rsid w:val="00A16C96"/>
    <w:rsid w:val="00A209BE"/>
    <w:rsid w:val="00A23157"/>
    <w:rsid w:val="00A2723E"/>
    <w:rsid w:val="00A53C3E"/>
    <w:rsid w:val="00A54904"/>
    <w:rsid w:val="00A606CB"/>
    <w:rsid w:val="00A60E30"/>
    <w:rsid w:val="00A84BDC"/>
    <w:rsid w:val="00A85044"/>
    <w:rsid w:val="00A878A5"/>
    <w:rsid w:val="00A90D2D"/>
    <w:rsid w:val="00A93C6E"/>
    <w:rsid w:val="00A94CFC"/>
    <w:rsid w:val="00A95E10"/>
    <w:rsid w:val="00A97B75"/>
    <w:rsid w:val="00AA0205"/>
    <w:rsid w:val="00AA5999"/>
    <w:rsid w:val="00AB2AB5"/>
    <w:rsid w:val="00AB2C62"/>
    <w:rsid w:val="00AC01D6"/>
    <w:rsid w:val="00AC4501"/>
    <w:rsid w:val="00AD52C7"/>
    <w:rsid w:val="00AD72D5"/>
    <w:rsid w:val="00AE5AAE"/>
    <w:rsid w:val="00AF0CBB"/>
    <w:rsid w:val="00B07048"/>
    <w:rsid w:val="00B11DAB"/>
    <w:rsid w:val="00B12C61"/>
    <w:rsid w:val="00B14086"/>
    <w:rsid w:val="00B2675F"/>
    <w:rsid w:val="00B26BAD"/>
    <w:rsid w:val="00B30C96"/>
    <w:rsid w:val="00B30F27"/>
    <w:rsid w:val="00B35FE1"/>
    <w:rsid w:val="00B4754F"/>
    <w:rsid w:val="00B52CF4"/>
    <w:rsid w:val="00B53224"/>
    <w:rsid w:val="00B56830"/>
    <w:rsid w:val="00B61AFC"/>
    <w:rsid w:val="00B65283"/>
    <w:rsid w:val="00B71BAD"/>
    <w:rsid w:val="00B76E58"/>
    <w:rsid w:val="00B81CC5"/>
    <w:rsid w:val="00B8279A"/>
    <w:rsid w:val="00B837D1"/>
    <w:rsid w:val="00BA0546"/>
    <w:rsid w:val="00BA1EE4"/>
    <w:rsid w:val="00BA6983"/>
    <w:rsid w:val="00BB5A43"/>
    <w:rsid w:val="00BC262E"/>
    <w:rsid w:val="00BD13FA"/>
    <w:rsid w:val="00BD5AC3"/>
    <w:rsid w:val="00BE0AEB"/>
    <w:rsid w:val="00BF2BA0"/>
    <w:rsid w:val="00C04225"/>
    <w:rsid w:val="00C0452D"/>
    <w:rsid w:val="00C055BF"/>
    <w:rsid w:val="00C11179"/>
    <w:rsid w:val="00C125F7"/>
    <w:rsid w:val="00C12DB6"/>
    <w:rsid w:val="00C16E59"/>
    <w:rsid w:val="00C21AE1"/>
    <w:rsid w:val="00C22001"/>
    <w:rsid w:val="00C25297"/>
    <w:rsid w:val="00C30454"/>
    <w:rsid w:val="00C33B30"/>
    <w:rsid w:val="00C34BFE"/>
    <w:rsid w:val="00C36BB9"/>
    <w:rsid w:val="00C4239A"/>
    <w:rsid w:val="00C43AF2"/>
    <w:rsid w:val="00C45FEF"/>
    <w:rsid w:val="00C54136"/>
    <w:rsid w:val="00C542A7"/>
    <w:rsid w:val="00C652CF"/>
    <w:rsid w:val="00C712DC"/>
    <w:rsid w:val="00C74508"/>
    <w:rsid w:val="00C7748A"/>
    <w:rsid w:val="00C844DE"/>
    <w:rsid w:val="00C94F6A"/>
    <w:rsid w:val="00CA136E"/>
    <w:rsid w:val="00CA1A86"/>
    <w:rsid w:val="00CA6D1E"/>
    <w:rsid w:val="00CB0058"/>
    <w:rsid w:val="00CC2915"/>
    <w:rsid w:val="00CE7BC9"/>
    <w:rsid w:val="00D01528"/>
    <w:rsid w:val="00D0278D"/>
    <w:rsid w:val="00D03B67"/>
    <w:rsid w:val="00D05714"/>
    <w:rsid w:val="00D12DCC"/>
    <w:rsid w:val="00D2018F"/>
    <w:rsid w:val="00D3029F"/>
    <w:rsid w:val="00D3216C"/>
    <w:rsid w:val="00D32E9F"/>
    <w:rsid w:val="00D4260B"/>
    <w:rsid w:val="00D4540E"/>
    <w:rsid w:val="00D45BF5"/>
    <w:rsid w:val="00D47446"/>
    <w:rsid w:val="00D50125"/>
    <w:rsid w:val="00D571CE"/>
    <w:rsid w:val="00D6063E"/>
    <w:rsid w:val="00D659EA"/>
    <w:rsid w:val="00D6731C"/>
    <w:rsid w:val="00D70845"/>
    <w:rsid w:val="00D71BED"/>
    <w:rsid w:val="00D74DB1"/>
    <w:rsid w:val="00D75074"/>
    <w:rsid w:val="00D768CF"/>
    <w:rsid w:val="00D850D8"/>
    <w:rsid w:val="00D868D6"/>
    <w:rsid w:val="00D92819"/>
    <w:rsid w:val="00DA0DB6"/>
    <w:rsid w:val="00DA42CB"/>
    <w:rsid w:val="00DA7244"/>
    <w:rsid w:val="00DB2E0C"/>
    <w:rsid w:val="00DD3DDB"/>
    <w:rsid w:val="00DE426F"/>
    <w:rsid w:val="00DE53EC"/>
    <w:rsid w:val="00DE67A5"/>
    <w:rsid w:val="00DF6CA6"/>
    <w:rsid w:val="00E04136"/>
    <w:rsid w:val="00E0761E"/>
    <w:rsid w:val="00E0765A"/>
    <w:rsid w:val="00E1126F"/>
    <w:rsid w:val="00E11CDB"/>
    <w:rsid w:val="00E14D75"/>
    <w:rsid w:val="00E303D8"/>
    <w:rsid w:val="00E32796"/>
    <w:rsid w:val="00E3310F"/>
    <w:rsid w:val="00E528E9"/>
    <w:rsid w:val="00E64C71"/>
    <w:rsid w:val="00E651D5"/>
    <w:rsid w:val="00E66261"/>
    <w:rsid w:val="00E6658A"/>
    <w:rsid w:val="00E666C7"/>
    <w:rsid w:val="00E74737"/>
    <w:rsid w:val="00E8402D"/>
    <w:rsid w:val="00E852FE"/>
    <w:rsid w:val="00E864D3"/>
    <w:rsid w:val="00E96673"/>
    <w:rsid w:val="00EA0755"/>
    <w:rsid w:val="00EA63FC"/>
    <w:rsid w:val="00EB1932"/>
    <w:rsid w:val="00EB310A"/>
    <w:rsid w:val="00EB40F1"/>
    <w:rsid w:val="00EB6483"/>
    <w:rsid w:val="00EC0A0A"/>
    <w:rsid w:val="00ED0074"/>
    <w:rsid w:val="00ED16DD"/>
    <w:rsid w:val="00ED2808"/>
    <w:rsid w:val="00EE3145"/>
    <w:rsid w:val="00EE4989"/>
    <w:rsid w:val="00EF4D6E"/>
    <w:rsid w:val="00EF5B36"/>
    <w:rsid w:val="00F046F0"/>
    <w:rsid w:val="00F07D28"/>
    <w:rsid w:val="00F1250C"/>
    <w:rsid w:val="00F14741"/>
    <w:rsid w:val="00F21714"/>
    <w:rsid w:val="00F23215"/>
    <w:rsid w:val="00F23926"/>
    <w:rsid w:val="00F24B52"/>
    <w:rsid w:val="00F27EF4"/>
    <w:rsid w:val="00F30AFA"/>
    <w:rsid w:val="00F3357A"/>
    <w:rsid w:val="00F41CC3"/>
    <w:rsid w:val="00F447FA"/>
    <w:rsid w:val="00F55A3C"/>
    <w:rsid w:val="00F661A1"/>
    <w:rsid w:val="00F71ED4"/>
    <w:rsid w:val="00F7505C"/>
    <w:rsid w:val="00F80482"/>
    <w:rsid w:val="00F83FB1"/>
    <w:rsid w:val="00F90263"/>
    <w:rsid w:val="00FA0418"/>
    <w:rsid w:val="00FA18F2"/>
    <w:rsid w:val="00FA7596"/>
    <w:rsid w:val="00FB1EFE"/>
    <w:rsid w:val="00FB20B8"/>
    <w:rsid w:val="00FB5674"/>
    <w:rsid w:val="00FC67D5"/>
    <w:rsid w:val="00FD3BB7"/>
    <w:rsid w:val="00FD5083"/>
    <w:rsid w:val="00FD5650"/>
    <w:rsid w:val="00FD6950"/>
    <w:rsid w:val="00FE0E8B"/>
    <w:rsid w:val="00FE35B7"/>
    <w:rsid w:val="00FE7850"/>
    <w:rsid w:val="00FF32BF"/>
    <w:rsid w:val="00FF46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A6059"/>
  <w15:docId w15:val="{152F7D7D-A57C-3246-8EFF-46421E9D1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CF4"/>
    <w:pPr>
      <w:spacing w:after="0" w:line="240" w:lineRule="auto"/>
    </w:pPr>
    <w:rPr>
      <w:rFonts w:ascii="Times New Roman" w:eastAsia="Times New Roman" w:hAnsi="Times New Roman" w:cs="Times New Roman"/>
      <w:sz w:val="24"/>
      <w:szCs w:val="24"/>
      <w:lang w:val="en-US" w:eastAsia="en-US"/>
    </w:rPr>
  </w:style>
  <w:style w:type="paragraph" w:styleId="Heading1">
    <w:name w:val="heading 1"/>
    <w:basedOn w:val="Normal"/>
    <w:next w:val="Normal"/>
    <w:qFormat/>
    <w:rsid w:val="00B52CF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IN" w:eastAsia="en-IN"/>
    </w:rPr>
  </w:style>
  <w:style w:type="paragraph" w:styleId="Heading2">
    <w:name w:val="heading 2"/>
    <w:basedOn w:val="Normal"/>
    <w:next w:val="Normal"/>
    <w:uiPriority w:val="9"/>
    <w:unhideWhenUsed/>
    <w:qFormat/>
    <w:rsid w:val="00B52CF4"/>
    <w:pPr>
      <w:keepNext/>
      <w:keepLines/>
      <w:spacing w:before="200" w:line="276" w:lineRule="auto"/>
      <w:outlineLvl w:val="1"/>
    </w:pPr>
    <w:rPr>
      <w:rFonts w:asciiTheme="majorHAnsi" w:eastAsiaTheme="majorEastAsia" w:hAnsiTheme="majorHAnsi" w:cstheme="majorBidi"/>
      <w:b/>
      <w:bCs/>
      <w:color w:val="4F81BD" w:themeColor="accent1"/>
      <w:sz w:val="26"/>
      <w:szCs w:val="26"/>
      <w:lang w:val="en-IN" w:eastAsia="en-IN"/>
    </w:rPr>
  </w:style>
  <w:style w:type="paragraph" w:styleId="Heading3">
    <w:name w:val="heading 3"/>
    <w:basedOn w:val="Normal"/>
    <w:next w:val="Normal"/>
    <w:uiPriority w:val="9"/>
    <w:unhideWhenUsed/>
    <w:qFormat/>
    <w:rsid w:val="00B52CF4"/>
    <w:pPr>
      <w:keepNext/>
      <w:keepLines/>
      <w:spacing w:before="200" w:line="276" w:lineRule="auto"/>
      <w:outlineLvl w:val="2"/>
    </w:pPr>
    <w:rPr>
      <w:rFonts w:asciiTheme="majorHAnsi" w:eastAsiaTheme="majorEastAsia" w:hAnsiTheme="majorHAnsi" w:cstheme="majorBidi"/>
      <w:b/>
      <w:bCs/>
      <w:color w:val="4F81BD" w:themeColor="accent1"/>
      <w:lang w:val="en-IN" w:eastAsia="en-IN"/>
    </w:rPr>
  </w:style>
  <w:style w:type="paragraph" w:styleId="Heading4">
    <w:name w:val="heading 4"/>
    <w:basedOn w:val="Normal"/>
    <w:next w:val="Normal"/>
    <w:uiPriority w:val="9"/>
    <w:unhideWhenUsed/>
    <w:qFormat/>
    <w:rsid w:val="00B52CF4"/>
    <w:pPr>
      <w:keepNext/>
      <w:keepLines/>
      <w:spacing w:before="200" w:line="276" w:lineRule="auto"/>
      <w:outlineLvl w:val="3"/>
    </w:pPr>
    <w:rPr>
      <w:rFonts w:asciiTheme="majorHAnsi" w:eastAsiaTheme="majorEastAsia" w:hAnsiTheme="majorHAnsi" w:cstheme="majorBidi"/>
      <w:b/>
      <w:bCs/>
      <w:color w:val="4F81BD" w:themeColor="accent1"/>
      <w:sz w:val="22"/>
      <w:szCs w:val="22"/>
      <w:lang w:val="en-IN" w:eastAsia="en-IN"/>
    </w:rPr>
  </w:style>
  <w:style w:type="paragraph" w:styleId="Heading5">
    <w:name w:val="heading 5"/>
    <w:basedOn w:val="Normal"/>
    <w:next w:val="Normal"/>
    <w:uiPriority w:val="9"/>
    <w:unhideWhenUsed/>
    <w:qFormat/>
    <w:rsid w:val="00B52CF4"/>
    <w:pPr>
      <w:keepNext/>
      <w:keepLines/>
      <w:spacing w:before="200" w:line="276" w:lineRule="auto"/>
      <w:outlineLvl w:val="4"/>
    </w:pPr>
    <w:rPr>
      <w:rFonts w:asciiTheme="majorHAnsi" w:eastAsiaTheme="majorEastAsia" w:hAnsiTheme="majorHAnsi" w:cstheme="majorBidi"/>
      <w:b/>
      <w:bCs/>
      <w:color w:val="4F81BD" w:themeColor="accent1"/>
      <w:sz w:val="20"/>
      <w:szCs w:val="20"/>
      <w:lang w:val="en-IN" w:eastAsia="en-IN"/>
    </w:rPr>
  </w:style>
  <w:style w:type="paragraph" w:styleId="Heading6">
    <w:name w:val="heading 6"/>
    <w:basedOn w:val="Normal"/>
    <w:next w:val="Normal"/>
    <w:uiPriority w:val="9"/>
    <w:unhideWhenUsed/>
    <w:qFormat/>
    <w:rsid w:val="00B52CF4"/>
    <w:pPr>
      <w:keepNext/>
      <w:keepLines/>
      <w:spacing w:before="200" w:line="276" w:lineRule="auto"/>
      <w:outlineLvl w:val="5"/>
    </w:pPr>
    <w:rPr>
      <w:rFonts w:asciiTheme="majorHAnsi" w:eastAsiaTheme="majorEastAsia" w:hAnsiTheme="majorHAnsi" w:cstheme="majorBidi"/>
      <w:b/>
      <w:bCs/>
      <w:color w:val="4F81BD" w:themeColor="accent1"/>
      <w:sz w:val="20"/>
      <w:szCs w:val="20"/>
      <w:lang w:val="en-IN" w:eastAsia="en-IN"/>
    </w:rPr>
  </w:style>
  <w:style w:type="paragraph" w:styleId="Heading7">
    <w:name w:val="heading 7"/>
    <w:basedOn w:val="Normal"/>
    <w:next w:val="Normal"/>
    <w:uiPriority w:val="9"/>
    <w:unhideWhenUsed/>
    <w:qFormat/>
    <w:rsid w:val="00B52CF4"/>
    <w:pPr>
      <w:keepNext/>
      <w:keepLines/>
      <w:spacing w:before="200" w:line="276" w:lineRule="auto"/>
      <w:outlineLvl w:val="6"/>
    </w:pPr>
    <w:rPr>
      <w:rFonts w:asciiTheme="majorHAnsi" w:eastAsiaTheme="majorEastAsia" w:hAnsiTheme="majorHAnsi" w:cstheme="majorBidi"/>
      <w:b/>
      <w:bCs/>
      <w:color w:val="4F81BD" w:themeColor="accent1"/>
      <w:sz w:val="20"/>
      <w:szCs w:val="20"/>
      <w:lang w:val="en-IN" w:eastAsia="en-IN"/>
    </w:rPr>
  </w:style>
  <w:style w:type="paragraph" w:styleId="Heading8">
    <w:name w:val="heading 8"/>
    <w:basedOn w:val="Normal"/>
    <w:next w:val="Normal"/>
    <w:uiPriority w:val="9"/>
    <w:unhideWhenUsed/>
    <w:qFormat/>
    <w:rsid w:val="00B52CF4"/>
    <w:pPr>
      <w:keepNext/>
      <w:keepLines/>
      <w:spacing w:before="200" w:line="276" w:lineRule="auto"/>
      <w:outlineLvl w:val="7"/>
    </w:pPr>
    <w:rPr>
      <w:rFonts w:asciiTheme="majorHAnsi" w:eastAsiaTheme="majorEastAsia" w:hAnsiTheme="majorHAnsi" w:cstheme="majorBidi"/>
      <w:b/>
      <w:bCs/>
      <w:color w:val="4F81BD" w:themeColor="accent1"/>
      <w:sz w:val="20"/>
      <w:szCs w:val="20"/>
      <w:lang w:val="en-IN" w:eastAsia="en-IN"/>
    </w:rPr>
  </w:style>
  <w:style w:type="paragraph" w:styleId="Heading9">
    <w:name w:val="heading 9"/>
    <w:basedOn w:val="Normal"/>
    <w:next w:val="Normal"/>
    <w:uiPriority w:val="9"/>
    <w:unhideWhenUsed/>
    <w:qFormat/>
    <w:rsid w:val="00B52CF4"/>
    <w:pPr>
      <w:keepNext/>
      <w:keepLines/>
      <w:spacing w:before="200" w:line="276" w:lineRule="auto"/>
      <w:outlineLvl w:val="8"/>
    </w:pPr>
    <w:rPr>
      <w:rFonts w:asciiTheme="majorHAnsi" w:eastAsiaTheme="majorEastAsia" w:hAnsiTheme="majorHAnsi" w:cstheme="majorBidi"/>
      <w:b/>
      <w:bCs/>
      <w:color w:val="4F81BD" w:themeColor="accent1"/>
      <w:sz w:val="20"/>
      <w:szCs w:val="20"/>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uiPriority w:val="99"/>
    <w:semiHidden/>
    <w:unhideWhenUsed/>
    <w:rsid w:val="00B52CF4"/>
    <w:rPr>
      <w:rFonts w:asciiTheme="minorHAnsi" w:eastAsiaTheme="minorEastAsia" w:hAnsiTheme="minorHAnsi" w:cstheme="minorBidi"/>
      <w:sz w:val="20"/>
      <w:szCs w:val="20"/>
      <w:lang w:val="en-IN" w:eastAsia="en-IN"/>
    </w:rPr>
  </w:style>
  <w:style w:type="character" w:styleId="FootnoteReference">
    <w:name w:val="footnote reference"/>
    <w:basedOn w:val="DefaultParagraphFont"/>
    <w:uiPriority w:val="99"/>
    <w:semiHidden/>
    <w:unhideWhenUsed/>
    <w:rsid w:val="00AC451F"/>
    <w:rPr>
      <w:vertAlign w:val="superscript"/>
    </w:rPr>
  </w:style>
  <w:style w:type="paragraph" w:styleId="EndnoteText">
    <w:name w:val="endnote text"/>
    <w:basedOn w:val="Normal"/>
    <w:uiPriority w:val="99"/>
    <w:semiHidden/>
    <w:unhideWhenUsed/>
    <w:rsid w:val="00B52CF4"/>
    <w:rPr>
      <w:rFonts w:asciiTheme="minorHAnsi" w:eastAsiaTheme="minorEastAsia" w:hAnsiTheme="minorHAnsi" w:cstheme="minorBidi"/>
      <w:sz w:val="20"/>
      <w:szCs w:val="20"/>
      <w:lang w:val="en-IN" w:eastAsia="en-IN"/>
    </w:rPr>
  </w:style>
  <w:style w:type="character" w:styleId="EndnoteReference">
    <w:name w:val="endnote reference"/>
    <w:basedOn w:val="DefaultParagraphFont"/>
    <w:uiPriority w:val="99"/>
    <w:semiHidden/>
    <w:unhideWhenUsed/>
    <w:rsid w:val="00AC451F"/>
    <w:rPr>
      <w:vertAlign w:val="superscript"/>
    </w:rPr>
  </w:style>
  <w:style w:type="paragraph" w:customStyle="1" w:styleId="heading10">
    <w:name w:val="heading 10"/>
    <w:basedOn w:val="Normal"/>
    <w:next w:val="Normal"/>
    <w:uiPriority w:val="9"/>
    <w:unhideWhenUsed/>
    <w:qFormat/>
    <w:rsid w:val="00B52CF4"/>
    <w:pPr>
      <w:keepNext/>
      <w:keepLines/>
      <w:spacing w:before="200" w:line="276" w:lineRule="auto"/>
    </w:pPr>
    <w:rPr>
      <w:rFonts w:asciiTheme="majorHAnsi" w:eastAsiaTheme="majorEastAsia" w:hAnsiTheme="majorHAnsi" w:cstheme="majorBidi"/>
      <w:b/>
      <w:bCs/>
      <w:color w:val="4F81BD" w:themeColor="accent1"/>
      <w:sz w:val="20"/>
      <w:szCs w:val="20"/>
      <w:lang w:val="en-IN" w:eastAsia="en-IN"/>
    </w:rPr>
  </w:style>
  <w:style w:type="character" w:customStyle="1" w:styleId="green">
    <w:name w:val="green"/>
    <w:basedOn w:val="DefaultParagraphFont"/>
    <w:uiPriority w:val="1"/>
    <w:qFormat/>
    <w:rsid w:val="008F625F"/>
    <w:rPr>
      <w:rFonts w:ascii="Times New Roman" w:hAnsi="Times New Roman"/>
      <w:b w:val="0"/>
      <w:color w:val="00B050"/>
      <w:sz w:val="24"/>
    </w:rPr>
  </w:style>
  <w:style w:type="character" w:customStyle="1" w:styleId="red">
    <w:name w:val="red"/>
    <w:basedOn w:val="DefaultParagraphFont"/>
    <w:uiPriority w:val="1"/>
    <w:qFormat/>
    <w:rsid w:val="008F625F"/>
    <w:rPr>
      <w:rFonts w:ascii="Times New Roman" w:hAnsi="Times New Roman"/>
      <w:b w:val="0"/>
      <w:color w:val="FF0000"/>
      <w:sz w:val="24"/>
    </w:rPr>
  </w:style>
  <w:style w:type="character" w:customStyle="1" w:styleId="yellow">
    <w:name w:val="yellow"/>
    <w:basedOn w:val="DefaultParagraphFont"/>
    <w:uiPriority w:val="1"/>
    <w:qFormat/>
    <w:rsid w:val="008F625F"/>
    <w:rPr>
      <w:rFonts w:ascii="Times New Roman" w:hAnsi="Times New Roman"/>
      <w:b w:val="0"/>
      <w:color w:val="FFC000"/>
      <w:sz w:val="24"/>
    </w:rPr>
  </w:style>
  <w:style w:type="paragraph" w:customStyle="1" w:styleId="Normal1">
    <w:name w:val="Normal1"/>
    <w:rsid w:val="005A764F"/>
    <w:pPr>
      <w:spacing w:after="0" w:line="240" w:lineRule="auto"/>
    </w:pPr>
    <w:rPr>
      <w:rFonts w:ascii="Times New Roman" w:eastAsia="Times New Roman" w:hAnsi="Times New Roman" w:cs="Times New Roman"/>
      <w:color w:val="000000"/>
      <w:sz w:val="20"/>
      <w:szCs w:val="20"/>
      <w:lang w:val="en-US" w:eastAsia="en-US"/>
    </w:rPr>
  </w:style>
  <w:style w:type="paragraph" w:styleId="ListParagraph">
    <w:name w:val="List Paragraph"/>
    <w:basedOn w:val="Normal"/>
    <w:uiPriority w:val="34"/>
    <w:qFormat/>
    <w:rsid w:val="00B52CF4"/>
    <w:pPr>
      <w:spacing w:after="200" w:line="276" w:lineRule="auto"/>
      <w:ind w:left="720"/>
      <w:contextualSpacing/>
    </w:pPr>
    <w:rPr>
      <w:rFonts w:asciiTheme="minorHAnsi" w:eastAsiaTheme="minorEastAsia" w:hAnsiTheme="minorHAnsi" w:cstheme="minorBidi"/>
      <w:sz w:val="22"/>
      <w:szCs w:val="22"/>
      <w:lang w:val="en-IN" w:eastAsia="en-IN"/>
    </w:rPr>
  </w:style>
  <w:style w:type="character" w:styleId="CommentReference">
    <w:name w:val="annotation reference"/>
    <w:basedOn w:val="DefaultParagraphFont"/>
    <w:uiPriority w:val="99"/>
    <w:semiHidden/>
    <w:unhideWhenUsed/>
    <w:rsid w:val="008106F6"/>
    <w:rPr>
      <w:sz w:val="16"/>
      <w:szCs w:val="16"/>
    </w:rPr>
  </w:style>
  <w:style w:type="paragraph" w:styleId="CommentText">
    <w:name w:val="annotation text"/>
    <w:basedOn w:val="Normal"/>
    <w:link w:val="CommentTextChar"/>
    <w:uiPriority w:val="99"/>
    <w:unhideWhenUsed/>
    <w:rsid w:val="00B52CF4"/>
    <w:pPr>
      <w:spacing w:after="200"/>
    </w:pPr>
    <w:rPr>
      <w:rFonts w:asciiTheme="minorHAnsi" w:eastAsiaTheme="minorEastAsia" w:hAnsiTheme="minorHAnsi" w:cstheme="minorBidi"/>
      <w:sz w:val="20"/>
      <w:szCs w:val="20"/>
      <w:lang w:val="en-IN" w:eastAsia="en-IN"/>
    </w:rPr>
  </w:style>
  <w:style w:type="character" w:customStyle="1" w:styleId="CommentTextChar">
    <w:name w:val="Comment Text Char"/>
    <w:basedOn w:val="DefaultParagraphFont"/>
    <w:link w:val="CommentText"/>
    <w:uiPriority w:val="99"/>
    <w:rsid w:val="008106F6"/>
    <w:rPr>
      <w:sz w:val="20"/>
      <w:szCs w:val="20"/>
    </w:rPr>
  </w:style>
  <w:style w:type="paragraph" w:styleId="CommentSubject">
    <w:name w:val="annotation subject"/>
    <w:basedOn w:val="CommentText"/>
    <w:next w:val="CommentText"/>
    <w:link w:val="CommentSubjectChar"/>
    <w:uiPriority w:val="99"/>
    <w:semiHidden/>
    <w:unhideWhenUsed/>
    <w:rsid w:val="008106F6"/>
    <w:rPr>
      <w:b/>
      <w:bCs/>
    </w:rPr>
  </w:style>
  <w:style w:type="character" w:customStyle="1" w:styleId="CommentSubjectChar">
    <w:name w:val="Comment Subject Char"/>
    <w:basedOn w:val="CommentTextChar"/>
    <w:link w:val="CommentSubject"/>
    <w:uiPriority w:val="99"/>
    <w:semiHidden/>
    <w:rsid w:val="008106F6"/>
    <w:rPr>
      <w:b/>
      <w:bCs/>
      <w:sz w:val="20"/>
      <w:szCs w:val="20"/>
    </w:rPr>
  </w:style>
  <w:style w:type="paragraph" w:styleId="Header">
    <w:name w:val="header"/>
    <w:basedOn w:val="Normal"/>
    <w:link w:val="HeaderChar"/>
    <w:uiPriority w:val="99"/>
    <w:unhideWhenUsed/>
    <w:rsid w:val="00B52CF4"/>
    <w:pPr>
      <w:tabs>
        <w:tab w:val="center" w:pos="4680"/>
        <w:tab w:val="right" w:pos="9360"/>
      </w:tabs>
    </w:pPr>
    <w:rPr>
      <w:rFonts w:asciiTheme="minorHAnsi" w:eastAsiaTheme="minorEastAsia" w:hAnsiTheme="minorHAnsi" w:cstheme="minorBidi"/>
      <w:sz w:val="22"/>
      <w:szCs w:val="22"/>
      <w:lang w:val="en-IN" w:eastAsia="en-IN"/>
    </w:rPr>
  </w:style>
  <w:style w:type="character" w:customStyle="1" w:styleId="HeaderChar">
    <w:name w:val="Header Char"/>
    <w:basedOn w:val="DefaultParagraphFont"/>
    <w:link w:val="Header"/>
    <w:uiPriority w:val="99"/>
    <w:rsid w:val="00BD5AC3"/>
  </w:style>
  <w:style w:type="paragraph" w:styleId="Footer">
    <w:name w:val="footer"/>
    <w:basedOn w:val="Normal"/>
    <w:link w:val="FooterChar"/>
    <w:uiPriority w:val="99"/>
    <w:unhideWhenUsed/>
    <w:rsid w:val="00B52CF4"/>
    <w:pPr>
      <w:tabs>
        <w:tab w:val="center" w:pos="4680"/>
        <w:tab w:val="right" w:pos="9360"/>
      </w:tabs>
    </w:pPr>
    <w:rPr>
      <w:rFonts w:asciiTheme="minorHAnsi" w:eastAsiaTheme="minorEastAsia" w:hAnsiTheme="minorHAnsi" w:cstheme="minorBidi"/>
      <w:sz w:val="22"/>
      <w:szCs w:val="22"/>
      <w:lang w:val="en-IN" w:eastAsia="en-IN"/>
    </w:rPr>
  </w:style>
  <w:style w:type="character" w:customStyle="1" w:styleId="FooterChar">
    <w:name w:val="Footer Char"/>
    <w:basedOn w:val="DefaultParagraphFont"/>
    <w:link w:val="Footer"/>
    <w:uiPriority w:val="99"/>
    <w:rsid w:val="00BD5AC3"/>
  </w:style>
  <w:style w:type="character" w:styleId="Hyperlink">
    <w:name w:val="Hyperlink"/>
    <w:basedOn w:val="DefaultParagraphFont"/>
    <w:uiPriority w:val="99"/>
    <w:unhideWhenUsed/>
    <w:rsid w:val="004821A6"/>
    <w:rPr>
      <w:color w:val="0000FF" w:themeColor="hyperlink"/>
      <w:u w:val="single"/>
    </w:rPr>
  </w:style>
  <w:style w:type="character" w:styleId="UnresolvedMention">
    <w:name w:val="Unresolved Mention"/>
    <w:basedOn w:val="DefaultParagraphFont"/>
    <w:uiPriority w:val="99"/>
    <w:semiHidden/>
    <w:unhideWhenUsed/>
    <w:rsid w:val="004821A6"/>
    <w:rPr>
      <w:color w:val="605E5C"/>
      <w:shd w:val="clear" w:color="auto" w:fill="E1DFDD"/>
    </w:rPr>
  </w:style>
  <w:style w:type="paragraph" w:customStyle="1" w:styleId="CM49">
    <w:name w:val="CM49"/>
    <w:basedOn w:val="Normal"/>
    <w:next w:val="Normal"/>
    <w:uiPriority w:val="99"/>
    <w:rsid w:val="00A53C3E"/>
    <w:pPr>
      <w:autoSpaceDE w:val="0"/>
      <w:autoSpaceDN w:val="0"/>
      <w:adjustRightInd w:val="0"/>
    </w:pPr>
    <w:rPr>
      <w:rFonts w:eastAsiaTheme="minorEastAsia"/>
      <w:lang w:eastAsia="en-IN"/>
    </w:rPr>
  </w:style>
  <w:style w:type="paragraph" w:styleId="Revision">
    <w:name w:val="Revision"/>
    <w:hidden/>
    <w:uiPriority w:val="99"/>
    <w:semiHidden/>
    <w:rsid w:val="00493427"/>
    <w:pPr>
      <w:spacing w:after="0" w:line="240" w:lineRule="auto"/>
    </w:pPr>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715490"/>
  </w:style>
  <w:style w:type="paragraph" w:styleId="BalloonText">
    <w:name w:val="Balloon Text"/>
    <w:basedOn w:val="Normal"/>
    <w:link w:val="BalloonTextChar"/>
    <w:uiPriority w:val="99"/>
    <w:semiHidden/>
    <w:unhideWhenUsed/>
    <w:rsid w:val="00C745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508"/>
    <w:rPr>
      <w:rFonts w:ascii="Segoe UI" w:eastAsia="Times New Roman" w:hAnsi="Segoe UI" w:cs="Segoe UI"/>
      <w:sz w:val="18"/>
      <w:szCs w:val="18"/>
      <w:lang w:val="en-US" w:eastAsia="en-US"/>
    </w:rPr>
  </w:style>
  <w:style w:type="character" w:styleId="FollowedHyperlink">
    <w:name w:val="FollowedHyperlink"/>
    <w:basedOn w:val="DefaultParagraphFont"/>
    <w:uiPriority w:val="99"/>
    <w:semiHidden/>
    <w:unhideWhenUsed/>
    <w:rsid w:val="00C045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116499">
      <w:bodyDiv w:val="1"/>
      <w:marLeft w:val="0"/>
      <w:marRight w:val="0"/>
      <w:marTop w:val="0"/>
      <w:marBottom w:val="0"/>
      <w:divBdr>
        <w:top w:val="none" w:sz="0" w:space="0" w:color="auto"/>
        <w:left w:val="none" w:sz="0" w:space="0" w:color="auto"/>
        <w:bottom w:val="none" w:sz="0" w:space="0" w:color="auto"/>
        <w:right w:val="none" w:sz="0" w:space="0" w:color="auto"/>
      </w:divBdr>
    </w:div>
    <w:div w:id="659039786">
      <w:bodyDiv w:val="1"/>
      <w:marLeft w:val="0"/>
      <w:marRight w:val="0"/>
      <w:marTop w:val="0"/>
      <w:marBottom w:val="0"/>
      <w:divBdr>
        <w:top w:val="none" w:sz="0" w:space="0" w:color="auto"/>
        <w:left w:val="none" w:sz="0" w:space="0" w:color="auto"/>
        <w:bottom w:val="none" w:sz="0" w:space="0" w:color="auto"/>
        <w:right w:val="none" w:sz="0" w:space="0" w:color="auto"/>
      </w:divBdr>
    </w:div>
    <w:div w:id="861363826">
      <w:bodyDiv w:val="1"/>
      <w:marLeft w:val="0"/>
      <w:marRight w:val="0"/>
      <w:marTop w:val="0"/>
      <w:marBottom w:val="0"/>
      <w:divBdr>
        <w:top w:val="none" w:sz="0" w:space="0" w:color="auto"/>
        <w:left w:val="none" w:sz="0" w:space="0" w:color="auto"/>
        <w:bottom w:val="none" w:sz="0" w:space="0" w:color="auto"/>
        <w:right w:val="none" w:sz="0" w:space="0" w:color="auto"/>
      </w:divBdr>
    </w:div>
    <w:div w:id="1443575545">
      <w:bodyDiv w:val="1"/>
      <w:marLeft w:val="0"/>
      <w:marRight w:val="0"/>
      <w:marTop w:val="0"/>
      <w:marBottom w:val="0"/>
      <w:divBdr>
        <w:top w:val="none" w:sz="0" w:space="0" w:color="auto"/>
        <w:left w:val="none" w:sz="0" w:space="0" w:color="auto"/>
        <w:bottom w:val="none" w:sz="0" w:space="0" w:color="auto"/>
        <w:right w:val="none" w:sz="0" w:space="0" w:color="auto"/>
      </w:divBdr>
    </w:div>
    <w:div w:id="1883514109">
      <w:bodyDiv w:val="1"/>
      <w:marLeft w:val="0"/>
      <w:marRight w:val="0"/>
      <w:marTop w:val="0"/>
      <w:marBottom w:val="0"/>
      <w:divBdr>
        <w:top w:val="none" w:sz="0" w:space="0" w:color="auto"/>
        <w:left w:val="none" w:sz="0" w:space="0" w:color="auto"/>
        <w:bottom w:val="none" w:sz="0" w:space="0" w:color="auto"/>
        <w:right w:val="none" w:sz="0" w:space="0" w:color="auto"/>
      </w:divBdr>
    </w:div>
    <w:div w:id="1962809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ommondataelements.ninds.nih.gov/"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dc.gov/nchs/data/nhamcs/2020-NHAMCS-ED-PRF-sample-card-508.pdf" TargetMode="External"/><Relationship Id="rId2" Type="http://schemas.openxmlformats.org/officeDocument/2006/relationships/numbering" Target="numbering.xml"/><Relationship Id="rId16" Type="http://schemas.openxmlformats.org/officeDocument/2006/relationships/hyperlink" Target="https://www.fda.gov/regulatory-information/search-fda-guidance-documents/collection-race-and-ethnicity-data-clinical-trial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AADA8-1192-4859-9874-B5C39B21F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4959</Words>
  <Characters>28270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Michael A. Kohn</cp:lastModifiedBy>
  <cp:revision>3</cp:revision>
  <dcterms:created xsi:type="dcterms:W3CDTF">2021-07-27T06:40:00Z</dcterms:created>
  <dcterms:modified xsi:type="dcterms:W3CDTF">2021-07-27T06:50:00Z</dcterms:modified>
</cp:coreProperties>
</file>