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A3FA3" w14:textId="02CAA2DD" w:rsidR="000E5DD2" w:rsidRDefault="000E5DD2" w:rsidP="00566042">
      <w:pPr>
        <w:rPr>
          <w:rFonts w:ascii="Times New Roman" w:hAnsi="Times New Roman"/>
          <w:b/>
        </w:rPr>
      </w:pPr>
      <w:r>
        <w:t xml:space="preserve">Chapter 1 Problems with answers </w:t>
      </w:r>
    </w:p>
    <w:p w14:paraId="02982A95" w14:textId="77777777" w:rsidR="000E5DD2" w:rsidRDefault="000E5DD2" w:rsidP="000E5DD2">
      <w:pPr>
        <w:jc w:val="center"/>
        <w:outlineLvl w:val="0"/>
        <w:rPr>
          <w:rFonts w:ascii="Times New Roman" w:hAnsi="Times New Roman"/>
          <w:b/>
        </w:rPr>
      </w:pPr>
    </w:p>
    <w:p w14:paraId="22A64BDB" w14:textId="04B8CB8A" w:rsidR="000E5DD2" w:rsidRPr="00566042" w:rsidRDefault="000E5DD2" w:rsidP="000E5DD2">
      <w:pPr>
        <w:tabs>
          <w:tab w:val="left" w:pos="-720"/>
        </w:tabs>
        <w:suppressAutoHyphens/>
        <w:rPr>
          <w:rFonts w:ascii="Times New Roman" w:hAnsi="Times New Roman"/>
          <w:b/>
        </w:rPr>
      </w:pPr>
      <w:proofErr w:type="gramStart"/>
      <w:r w:rsidRPr="00566042">
        <w:rPr>
          <w:rFonts w:ascii="Times New Roman" w:hAnsi="Times New Roman"/>
          <w:b/>
        </w:rPr>
        <w:t>1.1  Rotavirus</w:t>
      </w:r>
      <w:proofErr w:type="gramEnd"/>
      <w:r w:rsidRPr="00566042">
        <w:rPr>
          <w:rFonts w:ascii="Times New Roman" w:hAnsi="Times New Roman"/>
          <w:b/>
        </w:rPr>
        <w:t xml:space="preserve"> testing</w:t>
      </w:r>
    </w:p>
    <w:p w14:paraId="60B8CD1A" w14:textId="77777777" w:rsidR="000E5DD2" w:rsidRDefault="000E5DD2" w:rsidP="000E5DD2">
      <w:pPr>
        <w:tabs>
          <w:tab w:val="left" w:pos="-720"/>
        </w:tabs>
        <w:suppressAutoHyphens/>
        <w:rPr>
          <w:rFonts w:ascii="Times New Roman" w:hAnsi="Times New Roman"/>
        </w:rPr>
      </w:pPr>
    </w:p>
    <w:p w14:paraId="2CA1464C" w14:textId="77777777" w:rsidR="000E5DD2" w:rsidRDefault="000E5DD2" w:rsidP="000E5DD2">
      <w:pPr>
        <w:tabs>
          <w:tab w:val="left" w:pos="-720"/>
        </w:tabs>
        <w:suppressAutoHyphens/>
        <w:rPr>
          <w:rFonts w:ascii="Times New Roman" w:hAnsi="Times New Roman"/>
        </w:rPr>
      </w:pPr>
      <w:r>
        <w:rPr>
          <w:rFonts w:ascii="Times New Roman" w:hAnsi="Times New Roman"/>
        </w:rPr>
        <w:t>In children with apparent viral gastroenteritis (vomiting and diarrhea), clinicians sometimes order or perform a rapid detection test of the stool for rotavirus.  No specific antiviral therapy for rotavirus is available, but rotavirus is the most common cause of hospital-acquired diarrhea in children and is an important cause of acute gastroenteritis in children attending childcare.  A rotavirus vaccine is</w:t>
      </w:r>
      <w:r w:rsidRPr="002F264A">
        <w:rPr>
          <w:rFonts w:ascii="Times New Roman" w:hAnsi="Times New Roman"/>
        </w:rPr>
        <w:t xml:space="preserve"> recommended by the CDC’s Advisory Committee on Immunization Practices</w:t>
      </w:r>
      <w:r>
        <w:rPr>
          <w:rFonts w:ascii="Times New Roman" w:hAnsi="Times New Roman"/>
        </w:rPr>
        <w:t>.  Under what circumstances would it be worth doing a rotavirus test in a child with apparent viral gastroenteritis?</w:t>
      </w:r>
    </w:p>
    <w:p w14:paraId="4212A202" w14:textId="77777777" w:rsidR="000E5DD2" w:rsidRDefault="000E5DD2" w:rsidP="000E5DD2">
      <w:pPr>
        <w:tabs>
          <w:tab w:val="left" w:pos="-720"/>
        </w:tabs>
        <w:suppressAutoHyphens/>
        <w:rPr>
          <w:rFonts w:ascii="Times New Roman" w:hAnsi="Times New Roman"/>
        </w:rPr>
      </w:pPr>
    </w:p>
    <w:p w14:paraId="5FDDFCBE" w14:textId="77777777" w:rsidR="000E5DD2" w:rsidRDefault="000E5DD2" w:rsidP="000E5DD2">
      <w:pPr>
        <w:tabs>
          <w:tab w:val="left" w:pos="-720"/>
        </w:tabs>
        <w:suppressAutoHyphens/>
        <w:rPr>
          <w:rFonts w:ascii="Times New Roman" w:hAnsi="Times New Roman"/>
        </w:rPr>
      </w:pPr>
      <w:r>
        <w:rPr>
          <w:rFonts w:ascii="Times New Roman" w:hAnsi="Times New Roman"/>
        </w:rPr>
        <w:t>Answer:</w:t>
      </w:r>
    </w:p>
    <w:p w14:paraId="6235F2F1" w14:textId="77777777" w:rsidR="000E5DD2" w:rsidRDefault="000E5DD2" w:rsidP="000E5DD2">
      <w:pPr>
        <w:tabs>
          <w:tab w:val="left" w:pos="-720"/>
        </w:tabs>
        <w:suppressAutoHyphens/>
        <w:ind w:left="360"/>
        <w:rPr>
          <w:rFonts w:ascii="Times New Roman" w:hAnsi="Times New Roman"/>
          <w:b/>
          <w:bCs/>
        </w:rPr>
      </w:pPr>
      <w:r>
        <w:rPr>
          <w:rFonts w:ascii="Times New Roman" w:hAnsi="Times New Roman"/>
          <w:b/>
          <w:bCs/>
        </w:rPr>
        <w:t xml:space="preserve">For most children a diagnosis of "viral gastroenteritis" is sufficient.  Knowing that the cause is rotavirus will not often affect treatment decisions, because treatment will generally just be supportive.  </w:t>
      </w:r>
    </w:p>
    <w:p w14:paraId="4AB5F34C" w14:textId="77777777" w:rsidR="000E5DD2" w:rsidRDefault="000E5DD2" w:rsidP="000E5DD2">
      <w:pPr>
        <w:tabs>
          <w:tab w:val="left" w:pos="-720"/>
        </w:tabs>
        <w:suppressAutoHyphens/>
        <w:ind w:left="360"/>
        <w:rPr>
          <w:rFonts w:ascii="Times New Roman" w:hAnsi="Times New Roman"/>
          <w:b/>
          <w:bCs/>
        </w:rPr>
      </w:pPr>
    </w:p>
    <w:p w14:paraId="41438C17" w14:textId="77777777" w:rsidR="000E5DD2" w:rsidRDefault="000E5DD2" w:rsidP="000E5DD2">
      <w:pPr>
        <w:tabs>
          <w:tab w:val="left" w:pos="-720"/>
        </w:tabs>
        <w:suppressAutoHyphens/>
        <w:ind w:left="360"/>
        <w:rPr>
          <w:rFonts w:ascii="Times New Roman" w:hAnsi="Times New Roman"/>
          <w:b/>
          <w:bCs/>
        </w:rPr>
      </w:pPr>
      <w:r>
        <w:rPr>
          <w:rFonts w:ascii="Times New Roman" w:hAnsi="Times New Roman"/>
          <w:b/>
          <w:bCs/>
        </w:rPr>
        <w:t xml:space="preserve">A positive rotavirus test might prevent additional testing to determine the cause of the diarrhea, except that when clinicians send a stool sample to try to identify an organism, it is often for all tests at once. </w:t>
      </w:r>
    </w:p>
    <w:p w14:paraId="57623442" w14:textId="77777777" w:rsidR="000E5DD2" w:rsidRDefault="000E5DD2" w:rsidP="000E5DD2">
      <w:pPr>
        <w:tabs>
          <w:tab w:val="left" w:pos="-720"/>
        </w:tabs>
        <w:suppressAutoHyphens/>
        <w:ind w:left="360"/>
        <w:rPr>
          <w:rFonts w:ascii="Times New Roman" w:hAnsi="Times New Roman"/>
          <w:b/>
          <w:bCs/>
        </w:rPr>
      </w:pPr>
    </w:p>
    <w:p w14:paraId="6D7BA303" w14:textId="77777777" w:rsidR="000E5DD2" w:rsidRDefault="000E5DD2" w:rsidP="000E5DD2">
      <w:pPr>
        <w:tabs>
          <w:tab w:val="left" w:pos="-720"/>
        </w:tabs>
        <w:suppressAutoHyphens/>
        <w:ind w:left="360"/>
        <w:rPr>
          <w:rFonts w:ascii="Times New Roman" w:hAnsi="Times New Roman"/>
          <w:b/>
          <w:bCs/>
        </w:rPr>
      </w:pPr>
      <w:r>
        <w:rPr>
          <w:rFonts w:ascii="Times New Roman" w:hAnsi="Times New Roman"/>
          <w:b/>
          <w:bCs/>
        </w:rPr>
        <w:t xml:space="preserve">The rotavirus result might affect decisions about isolation, but most childhood diarrhea is quite contagious.  </w:t>
      </w:r>
    </w:p>
    <w:p w14:paraId="3B299E87" w14:textId="77777777" w:rsidR="000E5DD2" w:rsidRDefault="000E5DD2" w:rsidP="000E5DD2">
      <w:pPr>
        <w:tabs>
          <w:tab w:val="left" w:pos="-720"/>
        </w:tabs>
        <w:suppressAutoHyphens/>
        <w:ind w:left="360"/>
        <w:rPr>
          <w:rFonts w:ascii="Times New Roman" w:hAnsi="Times New Roman"/>
          <w:b/>
          <w:bCs/>
        </w:rPr>
      </w:pPr>
    </w:p>
    <w:p w14:paraId="46B3855F" w14:textId="40650D6D" w:rsidR="000E5DD2" w:rsidRDefault="000E5DD2" w:rsidP="000E5DD2">
      <w:pPr>
        <w:tabs>
          <w:tab w:val="left" w:pos="-720"/>
        </w:tabs>
        <w:suppressAutoHyphens/>
        <w:ind w:left="360"/>
        <w:rPr>
          <w:rFonts w:ascii="Times New Roman" w:hAnsi="Times New Roman"/>
          <w:b/>
          <w:bCs/>
        </w:rPr>
      </w:pPr>
      <w:r>
        <w:rPr>
          <w:rFonts w:ascii="Times New Roman" w:hAnsi="Times New Roman"/>
          <w:b/>
          <w:bCs/>
        </w:rPr>
        <w:t xml:space="preserve">The main use would be to address public health questions like the cause of an epidemic of diarrhea on an inpatient ward or the impact of the rotavirus vaccine.  Sporadic testing by individual clinicians is unlikely to be helpful for these sorts of research questions, because they require that testing be done systematically and that there be a plan to analyze the data. </w:t>
      </w:r>
    </w:p>
    <w:p w14:paraId="7FC0F373" w14:textId="28486F5A" w:rsidR="000E5DD2" w:rsidRDefault="000E5DD2" w:rsidP="000E5DD2">
      <w:pPr>
        <w:tabs>
          <w:tab w:val="left" w:pos="-720"/>
        </w:tabs>
        <w:suppressAutoHyphens/>
        <w:ind w:left="360"/>
      </w:pPr>
    </w:p>
    <w:p w14:paraId="7DE48ACF" w14:textId="43AE3377" w:rsidR="000E5DD2" w:rsidRDefault="000E5DD2" w:rsidP="000E5DD2">
      <w:pPr>
        <w:tabs>
          <w:tab w:val="left" w:pos="-720"/>
        </w:tabs>
        <w:suppressAutoHyphens/>
        <w:ind w:left="360"/>
      </w:pPr>
    </w:p>
    <w:p w14:paraId="56C2B2BC" w14:textId="53481C36" w:rsidR="000E5DD2" w:rsidRPr="00566042" w:rsidRDefault="000E5DD2" w:rsidP="000E5DD2">
      <w:pPr>
        <w:tabs>
          <w:tab w:val="left" w:pos="-720"/>
        </w:tabs>
        <w:suppressAutoHyphens/>
        <w:rPr>
          <w:rFonts w:ascii="Times New Roman" w:hAnsi="Times New Roman"/>
          <w:b/>
        </w:rPr>
      </w:pPr>
      <w:r w:rsidRPr="00566042">
        <w:rPr>
          <w:rFonts w:ascii="Times New Roman" w:hAnsi="Times New Roman"/>
          <w:b/>
        </w:rPr>
        <w:t xml:space="preserve">1.2 </w:t>
      </w:r>
      <w:r w:rsidR="00566042">
        <w:rPr>
          <w:rFonts w:ascii="Times New Roman" w:hAnsi="Times New Roman"/>
          <w:b/>
        </w:rPr>
        <w:t xml:space="preserve">Probiotics for </w:t>
      </w:r>
      <w:r w:rsidRPr="00566042">
        <w:rPr>
          <w:rFonts w:ascii="Times New Roman" w:hAnsi="Times New Roman"/>
          <w:b/>
        </w:rPr>
        <w:t>Colic</w:t>
      </w:r>
    </w:p>
    <w:p w14:paraId="064FB276" w14:textId="606522FD" w:rsidR="000E5DD2" w:rsidRDefault="000E5DD2" w:rsidP="000E5DD2">
      <w:pPr>
        <w:tabs>
          <w:tab w:val="left" w:pos="-720"/>
        </w:tabs>
        <w:suppressAutoHyphens/>
        <w:rPr>
          <w:rFonts w:ascii="Times New Roman" w:hAnsi="Times New Roman"/>
        </w:rPr>
      </w:pPr>
      <w:r>
        <w:rPr>
          <w:rFonts w:ascii="Times New Roman" w:hAnsi="Times New Roman"/>
        </w:rPr>
        <w:t xml:space="preserve">Randomized trials suggest that breastfed newborns with colic may benefit from the probiotic </w:t>
      </w:r>
      <w:proofErr w:type="spellStart"/>
      <w:r>
        <w:rPr>
          <w:rFonts w:ascii="Times New Roman" w:hAnsi="Times New Roman"/>
        </w:rPr>
        <w:t>Lactobacillis</w:t>
      </w:r>
      <w:proofErr w:type="spellEnd"/>
      <w:r>
        <w:rPr>
          <w:rFonts w:ascii="Times New Roman" w:hAnsi="Times New Roman"/>
        </w:rPr>
        <w:t xml:space="preserve"> </w:t>
      </w:r>
      <w:proofErr w:type="spellStart"/>
      <w:r>
        <w:rPr>
          <w:rFonts w:ascii="Times New Roman" w:hAnsi="Times New Roman"/>
        </w:rPr>
        <w:t>reuteri</w:t>
      </w:r>
      <w:proofErr w:type="spellEnd"/>
      <w:r>
        <w:rPr>
          <w:rFonts w:ascii="Times New Roman" w:hAnsi="Times New Roman"/>
        </w:rPr>
        <w:t>.</w:t>
      </w:r>
      <w:r w:rsidR="004D6368">
        <w:rPr>
          <w:rFonts w:ascii="Times New Roman" w:hAnsi="Times New Roman"/>
        </w:rPr>
        <w:fldChar w:fldCharType="begin">
          <w:fldData xml:space="preserve">PEVuZE5vdGU+PENpdGU+PEF1dGhvcj5TdW5nPC9BdXRob3I+PFllYXI+MjAxODwvWWVhcj48UmVj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==
</w:fldData>
        </w:fldChar>
      </w:r>
      <w:r w:rsidR="004D6368">
        <w:rPr>
          <w:rFonts w:ascii="Times New Roman" w:hAnsi="Times New Roman"/>
        </w:rPr>
        <w:instrText xml:space="preserve"> ADDIN EN.CITE </w:instrText>
      </w:r>
      <w:r w:rsidR="004D6368">
        <w:rPr>
          <w:rFonts w:ascii="Times New Roman" w:hAnsi="Times New Roman"/>
        </w:rPr>
        <w:fldChar w:fldCharType="begin">
          <w:fldData xml:space="preserve">PEVuZE5vdGU+PENpdGU+PEF1dGhvcj5TdW5nPC9BdXRob3I+PFllYXI+MjAxODwvWWVhcj48UmVj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==
</w:fldData>
        </w:fldChar>
      </w:r>
      <w:r w:rsidR="004D6368">
        <w:rPr>
          <w:rFonts w:ascii="Times New Roman" w:hAnsi="Times New Roman"/>
        </w:rPr>
        <w:instrText xml:space="preserve"> ADDIN EN.CITE.DATA </w:instrText>
      </w:r>
      <w:r w:rsidR="004D6368">
        <w:rPr>
          <w:rFonts w:ascii="Times New Roman" w:hAnsi="Times New Roman"/>
        </w:rPr>
      </w:r>
      <w:r w:rsidR="004D6368">
        <w:rPr>
          <w:rFonts w:ascii="Times New Roman" w:hAnsi="Times New Roman"/>
        </w:rPr>
        <w:fldChar w:fldCharType="end"/>
      </w:r>
      <w:r w:rsidR="004D6368">
        <w:rPr>
          <w:rFonts w:ascii="Times New Roman" w:hAnsi="Times New Roman"/>
        </w:rPr>
      </w:r>
      <w:r w:rsidR="004D6368">
        <w:rPr>
          <w:rFonts w:ascii="Times New Roman" w:hAnsi="Times New Roman"/>
        </w:rPr>
        <w:fldChar w:fldCharType="separate"/>
      </w:r>
      <w:r w:rsidR="004D6368">
        <w:rPr>
          <w:rFonts w:ascii="Times New Roman" w:hAnsi="Times New Roman"/>
          <w:noProof/>
        </w:rPr>
        <w:t>[1]</w:t>
      </w:r>
      <w:r w:rsidR="004D6368">
        <w:rPr>
          <w:rFonts w:ascii="Times New Roman" w:hAnsi="Times New Roman"/>
        </w:rPr>
        <w:fldChar w:fldCharType="end"/>
      </w:r>
      <w:r>
        <w:rPr>
          <w:rFonts w:ascii="Times New Roman" w:hAnsi="Times New Roman"/>
        </w:rPr>
        <w:t xml:space="preserve"> Colic in these studies (and in textbooks) is generally defined as crying at least 3 hours per day at least 3 times a week in an otherwise well infant.</w:t>
      </w:r>
      <w:r w:rsidR="004D6368">
        <w:rPr>
          <w:rFonts w:ascii="Times New Roman" w:hAnsi="Times New Roman"/>
        </w:rPr>
        <w:fldChar w:fldCharType="begin"/>
      </w:r>
      <w:r w:rsidR="004D6368">
        <w:rPr>
          <w:rFonts w:ascii="Times New Roman" w:hAnsi="Times New Roman"/>
        </w:rPr>
        <w:instrText xml:space="preserve"> ADDIN EN.CITE &lt;EndNote&gt;&lt;Cite&gt;&lt;Author&gt;Benninga&lt;/Author&gt;&lt;Year&gt;2016&lt;/Year&gt;&lt;RecNum&gt;4206&lt;/RecNum&gt;&lt;DisplayText&gt;[2]&lt;/DisplayText&gt;&lt;record&gt;&lt;rec-number&gt;4206&lt;/rec-number&gt;&lt;foreign-keys&gt;&lt;key app="EN" db-id="zvsswrav8t2apbep2dbpv25ufvpprfe9rpex" timestamp="1520451870"&gt;4206&lt;/key&gt;&lt;/foreign-keys&gt;&lt;ref-type name="Journal Article"&gt;17&lt;/ref-type&gt;&lt;contributors&gt;&lt;authors&gt;&lt;author&gt;Benninga, M. A.&lt;/author&gt;&lt;author&gt;Faure, C.&lt;/author&gt;&lt;author&gt;Hyman, P. E.&lt;/author&gt;&lt;author&gt;St James Roberts, I.&lt;/author&gt;&lt;author&gt;Schechter, N. L.&lt;/author&gt;&lt;author&gt;Nurko, S.&lt;/author&gt;&lt;/authors&gt;&lt;/contributors&gt;&lt;auth-address&gt;Pediatric Gastroenterology, Emma Children&amp;apos;s Hospital / Academic Medical Center, Amsterdam, The Netherlands. Electronic address: m.a.benninga@amc.uva.nl.&amp;#xD;Pediatric Gastroenterology, Sainte-Justine Hospital, Montreal, Qc, Canada.&amp;#xD;Pediatric Gastroenterology, Children&amp;apos;s Hospital, New Orleans, USA.&amp;#xD;Thomas Coram Research Unit, UCL Institute of Education, University College London, UK.&amp;#xD;Pediatric pain center, Boston Children&amp;apos;s Hospital, Boston Ma, USA.&amp;#xD;Center for Motility and Functional Gastrointestinal Disorders, Boston Children&amp;apos;s Hospital, Boston Ma, USA.&lt;/auth-address&gt;&lt;titles&gt;&lt;title&gt;Childhood Functional Gastrointestinal Disorders: Neonate/Toddler&lt;/title&gt;&lt;secondary-title&gt;Gastroenterology&lt;/secondary-title&gt;&lt;/titles&gt;&lt;periodical&gt;&lt;full-title&gt;Gastroenterology&lt;/full-title&gt;&lt;/periodical&gt;&lt;keywords&gt;&lt;keyword&gt;Neonate&lt;/keyword&gt;&lt;keyword&gt;colic&lt;/keyword&gt;&lt;keyword&gt;constipation&lt;/keyword&gt;&lt;keyword&gt;diarrhea&lt;/keyword&gt;&lt;keyword&gt;regurgitation&lt;/keyword&gt;&lt;keyword&gt;toddler&lt;/keyword&gt;&lt;keyword&gt;vomiting&lt;/keyword&gt;&lt;/keywords&gt;&lt;dates&gt;&lt;year&gt;2016&lt;/year&gt;&lt;pub-dates&gt;&lt;date&gt;Feb 15&lt;/date&gt;&lt;/pub-dates&gt;&lt;/dates&gt;&lt;isbn&gt;1528-0012 (Electronic)&amp;#xD;0016-5085 (Linking)&lt;/isbn&gt;&lt;accession-num&gt;27144631&lt;/accession-num&gt;&lt;urls&gt;&lt;related-urls&gt;&lt;url&gt;https://www.ncbi.nlm.nih.gov/pubmed/27144631&lt;/url&gt;&lt;/related-urls&gt;&lt;/urls&gt;&lt;electronic-resource-num&gt;10.1053/j.gastro.2016.02.016&lt;/electronic-resource-num&gt;&lt;/record&gt;&lt;/Cite&gt;&lt;/EndNote&gt;</w:instrText>
      </w:r>
      <w:r w:rsidR="004D6368">
        <w:rPr>
          <w:rFonts w:ascii="Times New Roman" w:hAnsi="Times New Roman"/>
        </w:rPr>
        <w:fldChar w:fldCharType="separate"/>
      </w:r>
      <w:r w:rsidR="004D6368">
        <w:rPr>
          <w:rFonts w:ascii="Times New Roman" w:hAnsi="Times New Roman"/>
          <w:noProof/>
        </w:rPr>
        <w:t>[2]</w:t>
      </w:r>
      <w:r w:rsidR="004D6368">
        <w:rPr>
          <w:rFonts w:ascii="Times New Roman" w:hAnsi="Times New Roman"/>
        </w:rPr>
        <w:fldChar w:fldCharType="end"/>
      </w:r>
      <w:r>
        <w:rPr>
          <w:rFonts w:ascii="Times New Roman" w:hAnsi="Times New Roman"/>
        </w:rPr>
        <w:t xml:space="preserve">  You are seeing a distressed mother of a breast-fed 5-week-old who cries inconsolably for about 1 to 2 hours daily.  Your physical examination is normal.  Does this child have colic?   Would you offer a trial of </w:t>
      </w:r>
      <w:proofErr w:type="spellStart"/>
      <w:r>
        <w:rPr>
          <w:rFonts w:ascii="Times New Roman" w:hAnsi="Times New Roman"/>
        </w:rPr>
        <w:t>Lactobacillis</w:t>
      </w:r>
      <w:proofErr w:type="spellEnd"/>
      <w:r>
        <w:rPr>
          <w:rFonts w:ascii="Times New Roman" w:hAnsi="Times New Roman"/>
        </w:rPr>
        <w:t xml:space="preserve"> </w:t>
      </w:r>
      <w:proofErr w:type="spellStart"/>
      <w:r>
        <w:rPr>
          <w:rFonts w:ascii="Times New Roman" w:hAnsi="Times New Roman"/>
        </w:rPr>
        <w:t>reuteri</w:t>
      </w:r>
      <w:proofErr w:type="spellEnd"/>
      <w:r>
        <w:rPr>
          <w:rFonts w:ascii="Times New Roman" w:hAnsi="Times New Roman"/>
        </w:rPr>
        <w:t>?</w:t>
      </w:r>
    </w:p>
    <w:p w14:paraId="3A7E1C61" w14:textId="3F09A1BC" w:rsidR="000E5DD2" w:rsidRDefault="000E5DD2" w:rsidP="000E5DD2">
      <w:pPr>
        <w:tabs>
          <w:tab w:val="left" w:pos="-720"/>
        </w:tabs>
        <w:suppressAutoHyphens/>
        <w:rPr>
          <w:rFonts w:ascii="Times New Roman" w:hAnsi="Times New Roman"/>
        </w:rPr>
      </w:pPr>
    </w:p>
    <w:p w14:paraId="6F8E78CB" w14:textId="4CD02CCC" w:rsidR="000E5DD2" w:rsidRDefault="000E5DD2" w:rsidP="000E5DD2">
      <w:pPr>
        <w:tabs>
          <w:tab w:val="left" w:pos="-720"/>
        </w:tabs>
        <w:suppressAutoHyphens/>
        <w:rPr>
          <w:rFonts w:ascii="Times New Roman" w:hAnsi="Times New Roman"/>
        </w:rPr>
      </w:pPr>
      <w:r>
        <w:rPr>
          <w:rFonts w:ascii="Times New Roman" w:hAnsi="Times New Roman"/>
        </w:rPr>
        <w:t>Answer</w:t>
      </w:r>
      <w:r w:rsidR="004D6368">
        <w:rPr>
          <w:rFonts w:ascii="Times New Roman" w:hAnsi="Times New Roman"/>
        </w:rPr>
        <w:t>:</w:t>
      </w:r>
    </w:p>
    <w:p w14:paraId="69537E20" w14:textId="77777777" w:rsidR="004D6368" w:rsidRDefault="004D6368" w:rsidP="000E5DD2">
      <w:pPr>
        <w:tabs>
          <w:tab w:val="left" w:pos="-720"/>
        </w:tabs>
        <w:suppressAutoHyphens/>
        <w:rPr>
          <w:rFonts w:ascii="Times New Roman" w:hAnsi="Times New Roman"/>
        </w:rPr>
      </w:pPr>
    </w:p>
    <w:p w14:paraId="131381F8" w14:textId="77777777" w:rsidR="000E5DD2" w:rsidRPr="004D6368" w:rsidRDefault="000E5DD2" w:rsidP="000E5DD2">
      <w:pPr>
        <w:pStyle w:val="BodyText"/>
        <w:rPr>
          <w:bCs w:val="0"/>
        </w:rPr>
      </w:pPr>
      <w:r w:rsidRPr="004D6368">
        <w:rPr>
          <w:bCs w:val="0"/>
        </w:rPr>
        <w:t xml:space="preserve">Although this infant does not meet the strict definition of colic used in the randomized trials, he has an entity we might call "crying distressing enough to discuss trying something different."  While we have some concerns about quality control for probiotic products, we can't think of any biological reason for the benefits of probiotics to exceed the risks and costs only if the crying is at least 3 hours a day, 3 times a week. </w:t>
      </w:r>
    </w:p>
    <w:p w14:paraId="6E6DBA91" w14:textId="77777777" w:rsidR="000E5DD2" w:rsidRDefault="000E5DD2" w:rsidP="000E5DD2">
      <w:pPr>
        <w:pStyle w:val="BodyText"/>
        <w:rPr>
          <w:bCs w:val="0"/>
          <w:i/>
        </w:rPr>
      </w:pPr>
    </w:p>
    <w:p w14:paraId="029B44B7" w14:textId="77777777" w:rsidR="000E5DD2" w:rsidRDefault="000E5DD2" w:rsidP="000E5DD2">
      <w:pPr>
        <w:pStyle w:val="BodyText"/>
        <w:rPr>
          <w:b w:val="0"/>
        </w:rPr>
      </w:pPr>
    </w:p>
    <w:p w14:paraId="1C5E4FBB" w14:textId="6E1CFC34" w:rsidR="000E5DD2" w:rsidRPr="00566042" w:rsidRDefault="000E5DD2" w:rsidP="000E5DD2">
      <w:pPr>
        <w:tabs>
          <w:tab w:val="left" w:pos="-720"/>
        </w:tabs>
        <w:suppressAutoHyphens/>
        <w:rPr>
          <w:rFonts w:ascii="Times New Roman" w:hAnsi="Times New Roman"/>
          <w:b/>
        </w:rPr>
      </w:pPr>
      <w:r w:rsidRPr="00566042">
        <w:rPr>
          <w:b/>
        </w:rPr>
        <w:t>1.3</w:t>
      </w:r>
      <w:r w:rsidRPr="00566042">
        <w:rPr>
          <w:rFonts w:ascii="Times New Roman" w:hAnsi="Times New Roman"/>
          <w:b/>
        </w:rPr>
        <w:t xml:space="preserve"> Malignant Pleural Effusion</w:t>
      </w:r>
      <w:r w:rsidR="00566042">
        <w:rPr>
          <w:rFonts w:ascii="Times New Roman" w:hAnsi="Times New Roman"/>
          <w:b/>
        </w:rPr>
        <w:t xml:space="preserve"> in an old man</w:t>
      </w:r>
    </w:p>
    <w:p w14:paraId="6925672A" w14:textId="77777777" w:rsidR="000E5DD2" w:rsidRDefault="000E5DD2" w:rsidP="000E5DD2">
      <w:pPr>
        <w:tabs>
          <w:tab w:val="left" w:pos="-720"/>
        </w:tabs>
        <w:suppressAutoHyphens/>
        <w:rPr>
          <w:rFonts w:ascii="Times New Roman" w:hAnsi="Times New Roman"/>
        </w:rPr>
      </w:pPr>
    </w:p>
    <w:p w14:paraId="5AF392DE" w14:textId="78AA10A5" w:rsidR="000E5DD2" w:rsidRDefault="000E5DD2" w:rsidP="000E5DD2">
      <w:pPr>
        <w:tabs>
          <w:tab w:val="left" w:pos="-720"/>
        </w:tabs>
        <w:suppressAutoHyphens/>
        <w:rPr>
          <w:rFonts w:ascii="Times New Roman" w:hAnsi="Times New Roman"/>
        </w:rPr>
      </w:pPr>
      <w:r>
        <w:rPr>
          <w:rFonts w:ascii="Times New Roman" w:hAnsi="Times New Roman"/>
        </w:rPr>
        <w:t>An 89-year-old man presents with weight loss for 2 months and worsening shortness of breath for 2 weeks.  An x-ray shows a left pleural effusion (fluid around the lung). Tests of that fluid removed with a needle (thoracentesis) show undifferentiated carcinoma.  History, physical examination, routine laboratory tests and noninvasive imaging do not disclose the primary cancer.  Could "metastatic undifferentiated carcinoma" be a sufficient diagnosis, or are additional studies needed?  Does your answer change if he has late-stage Alzheimer’s disease?</w:t>
      </w:r>
    </w:p>
    <w:p w14:paraId="22BE95FC" w14:textId="77777777" w:rsidR="000E5DD2" w:rsidRDefault="000E5DD2" w:rsidP="000E5DD2">
      <w:pPr>
        <w:tabs>
          <w:tab w:val="left" w:pos="-720"/>
        </w:tabs>
        <w:suppressAutoHyphens/>
        <w:rPr>
          <w:rFonts w:ascii="Times New Roman" w:hAnsi="Times New Roman"/>
        </w:rPr>
      </w:pPr>
    </w:p>
    <w:p w14:paraId="2F4D7158" w14:textId="048CA24B" w:rsidR="000E5DD2" w:rsidRDefault="000E5DD2" w:rsidP="000E5DD2">
      <w:pPr>
        <w:tabs>
          <w:tab w:val="left" w:pos="-720"/>
        </w:tabs>
        <w:suppressAutoHyphens/>
        <w:rPr>
          <w:rFonts w:ascii="Times New Roman" w:hAnsi="Times New Roman"/>
        </w:rPr>
      </w:pPr>
      <w:r>
        <w:rPr>
          <w:rFonts w:ascii="Times New Roman" w:hAnsi="Times New Roman"/>
        </w:rPr>
        <w:t>Answer:</w:t>
      </w:r>
    </w:p>
    <w:p w14:paraId="4D563BF8" w14:textId="77777777" w:rsidR="000E5DD2" w:rsidRDefault="000E5DD2" w:rsidP="000E5DD2">
      <w:pPr>
        <w:tabs>
          <w:tab w:val="left" w:pos="-720"/>
        </w:tabs>
        <w:suppressAutoHyphens/>
        <w:rPr>
          <w:rFonts w:ascii="Times New Roman" w:hAnsi="Times New Roman"/>
        </w:rPr>
      </w:pPr>
    </w:p>
    <w:p w14:paraId="00477376" w14:textId="77777777" w:rsidR="000E5DD2" w:rsidRPr="00386931" w:rsidRDefault="000E5DD2" w:rsidP="000E5DD2">
      <w:pPr>
        <w:tabs>
          <w:tab w:val="left" w:pos="-720"/>
        </w:tabs>
        <w:suppressAutoHyphens/>
        <w:ind w:left="360"/>
        <w:rPr>
          <w:rFonts w:ascii="Times New Roman" w:hAnsi="Times New Roman"/>
          <w:b/>
          <w:bCs/>
        </w:rPr>
      </w:pPr>
      <w:r w:rsidRPr="00386931">
        <w:rPr>
          <w:rFonts w:ascii="Times New Roman" w:hAnsi="Times New Roman"/>
          <w:b/>
          <w:bCs/>
        </w:rPr>
        <w:t>Whether metastatic undifferentiated carcinoma is a sufficient diagnosis depends on what decisions are to be made and how difficult it will be to make a more specific diagnosis.  Although we suspect the prognosis is grim no matter what the primary is, it is possible that there are some diagnoses for which he would choose chemotherapy.  On the other hand, we did</w:t>
      </w:r>
      <w:r>
        <w:rPr>
          <w:rFonts w:ascii="Times New Roman" w:hAnsi="Times New Roman"/>
          <w:b/>
          <w:bCs/>
        </w:rPr>
        <w:t xml:space="preserve"> not</w:t>
      </w:r>
      <w:r w:rsidRPr="00386931">
        <w:rPr>
          <w:rFonts w:ascii="Times New Roman" w:hAnsi="Times New Roman"/>
          <w:b/>
          <w:bCs/>
        </w:rPr>
        <w:t xml:space="preserve"> tell you much about the </w:t>
      </w:r>
      <w:r>
        <w:rPr>
          <w:rFonts w:ascii="Times New Roman" w:hAnsi="Times New Roman"/>
          <w:b/>
          <w:bCs/>
        </w:rPr>
        <w:t>patient -- some 89-year-</w:t>
      </w:r>
      <w:r w:rsidRPr="00386931">
        <w:rPr>
          <w:rFonts w:ascii="Times New Roman" w:hAnsi="Times New Roman"/>
          <w:b/>
          <w:bCs/>
        </w:rPr>
        <w:t>olds are better candidates for chemotherapy than others, either because of underlying comorbidities or patient preferences.</w:t>
      </w:r>
    </w:p>
    <w:p w14:paraId="50252B97" w14:textId="77777777" w:rsidR="000E5DD2" w:rsidRPr="00386931" w:rsidRDefault="000E5DD2" w:rsidP="000E5DD2">
      <w:pPr>
        <w:tabs>
          <w:tab w:val="left" w:pos="-720"/>
        </w:tabs>
        <w:suppressAutoHyphens/>
        <w:ind w:left="360"/>
        <w:rPr>
          <w:rFonts w:ascii="Times New Roman" w:hAnsi="Times New Roman"/>
          <w:b/>
          <w:bCs/>
        </w:rPr>
      </w:pPr>
    </w:p>
    <w:p w14:paraId="3D0622C3" w14:textId="77777777" w:rsidR="000E5DD2" w:rsidRPr="00386931" w:rsidRDefault="000E5DD2" w:rsidP="000E5DD2">
      <w:pPr>
        <w:tabs>
          <w:tab w:val="left" w:pos="-720"/>
        </w:tabs>
        <w:suppressAutoHyphens/>
        <w:ind w:left="360"/>
        <w:rPr>
          <w:rFonts w:ascii="Times New Roman" w:hAnsi="Times New Roman"/>
          <w:b/>
          <w:bCs/>
        </w:rPr>
      </w:pPr>
      <w:r w:rsidRPr="00386931">
        <w:rPr>
          <w:rFonts w:ascii="Times New Roman" w:hAnsi="Times New Roman"/>
          <w:b/>
          <w:bCs/>
        </w:rPr>
        <w:t xml:space="preserve">If this were our family member, and the additional workup was going to be risky or invasive, we would want an estimate of the likelihood that a more strenuous search would identify something for which treatment would be a reasonable option, and how much he might gain from such treatment.  The most important thing is to realize that </w:t>
      </w:r>
      <w:r>
        <w:rPr>
          <w:rFonts w:ascii="Times New Roman" w:hAnsi="Times New Roman"/>
          <w:b/>
          <w:bCs/>
        </w:rPr>
        <w:t xml:space="preserve">the </w:t>
      </w:r>
      <w:r w:rsidRPr="00386931">
        <w:rPr>
          <w:rFonts w:ascii="Times New Roman" w:hAnsi="Times New Roman"/>
          <w:b/>
          <w:bCs/>
        </w:rPr>
        <w:t>decision to pursue a more specific diagnosis should be just that -- a decision</w:t>
      </w:r>
      <w:r>
        <w:rPr>
          <w:rFonts w:ascii="Times New Roman" w:hAnsi="Times New Roman"/>
          <w:b/>
          <w:bCs/>
        </w:rPr>
        <w:t>; it should not be automatic.</w:t>
      </w:r>
    </w:p>
    <w:p w14:paraId="19A7D3A9" w14:textId="233C0A35" w:rsidR="000E5DD2" w:rsidRDefault="000E5DD2" w:rsidP="000E5DD2">
      <w:pPr>
        <w:pStyle w:val="BodyText"/>
        <w:rPr>
          <w:b w:val="0"/>
        </w:rPr>
      </w:pPr>
    </w:p>
    <w:p w14:paraId="6B11D820" w14:textId="269D3585" w:rsidR="000E5DD2" w:rsidRDefault="000E5DD2" w:rsidP="000E5DD2">
      <w:pPr>
        <w:pStyle w:val="BodyText"/>
        <w:rPr>
          <w:b w:val="0"/>
        </w:rPr>
      </w:pPr>
    </w:p>
    <w:p w14:paraId="2BDD5798" w14:textId="572053D6" w:rsidR="00F67A4A" w:rsidRDefault="00F67A4A" w:rsidP="00F67A4A">
      <w:pPr>
        <w:autoSpaceDE w:val="0"/>
        <w:autoSpaceDN w:val="0"/>
        <w:adjustRightInd w:val="0"/>
        <w:rPr>
          <w:rFonts w:ascii="Times New Roman" w:hAnsi="Times New Roman"/>
          <w:b/>
        </w:rPr>
      </w:pPr>
      <w:r w:rsidRPr="00566042">
        <w:rPr>
          <w:rFonts w:ascii="Times New Roman" w:hAnsi="Times New Roman"/>
          <w:b/>
        </w:rPr>
        <w:t>1.4   Axillary Node Dissection</w:t>
      </w:r>
      <w:r w:rsidR="00566042">
        <w:rPr>
          <w:rFonts w:ascii="Times New Roman" w:hAnsi="Times New Roman"/>
          <w:b/>
        </w:rPr>
        <w:t xml:space="preserve"> for Breast Cancer Staging</w:t>
      </w:r>
    </w:p>
    <w:p w14:paraId="0E3D2C96" w14:textId="77777777" w:rsidR="00566042" w:rsidRPr="00566042" w:rsidRDefault="00566042" w:rsidP="00F67A4A">
      <w:pPr>
        <w:autoSpaceDE w:val="0"/>
        <w:autoSpaceDN w:val="0"/>
        <w:adjustRightInd w:val="0"/>
        <w:rPr>
          <w:rFonts w:ascii="Times New Roman" w:hAnsi="Times New Roman"/>
          <w:b/>
        </w:rPr>
      </w:pPr>
    </w:p>
    <w:p w14:paraId="6576298C" w14:textId="77777777" w:rsidR="00F67A4A" w:rsidRPr="000F000E" w:rsidRDefault="00F67A4A" w:rsidP="00F67A4A">
      <w:pPr>
        <w:autoSpaceDE w:val="0"/>
        <w:autoSpaceDN w:val="0"/>
        <w:adjustRightInd w:val="0"/>
        <w:rPr>
          <w:rFonts w:cs="Courier New"/>
        </w:rPr>
      </w:pPr>
      <w:r>
        <w:rPr>
          <w:rFonts w:ascii="Times New Roman" w:hAnsi="Times New Roman"/>
        </w:rPr>
        <w:t xml:space="preserve">In women with early stage breast cancer, </w:t>
      </w:r>
      <w:r w:rsidRPr="00FB0661">
        <w:rPr>
          <w:rFonts w:ascii="Times New Roman" w:hAnsi="Times New Roman"/>
        </w:rPr>
        <w:t>an axillary lymph node dissection</w:t>
      </w:r>
      <w:r>
        <w:rPr>
          <w:rFonts w:ascii="Times New Roman" w:hAnsi="Times New Roman"/>
        </w:rPr>
        <w:t xml:space="preserve"> (ALND)</w:t>
      </w:r>
      <w:r w:rsidRPr="00FB0661">
        <w:rPr>
          <w:rFonts w:ascii="Times New Roman" w:hAnsi="Times New Roman"/>
        </w:rPr>
        <w:t xml:space="preserve"> to determine whether the axillary</w:t>
      </w:r>
      <w:r>
        <w:rPr>
          <w:rFonts w:ascii="Times New Roman" w:hAnsi="Times New Roman"/>
        </w:rPr>
        <w:t xml:space="preserve"> (arm pit)</w:t>
      </w:r>
      <w:r w:rsidRPr="00FB0661">
        <w:rPr>
          <w:rFonts w:ascii="Times New Roman" w:hAnsi="Times New Roman"/>
        </w:rPr>
        <w:t xml:space="preserve"> nodes are involved is </w:t>
      </w:r>
      <w:r>
        <w:rPr>
          <w:rFonts w:ascii="Times New Roman" w:hAnsi="Times New Roman"/>
        </w:rPr>
        <w:t xml:space="preserve">commonly done for staging. ALND involves a couple of days in the hospital, and is often followed by some degree of pain, swelling and trouble moving the arm on the dissected side.  If the nodes are positive, treatment is more aggressive. </w:t>
      </w:r>
      <w:r w:rsidRPr="00FB0661">
        <w:rPr>
          <w:rFonts w:ascii="Times New Roman" w:hAnsi="Times New Roman"/>
        </w:rPr>
        <w:t xml:space="preserve"> </w:t>
      </w:r>
      <w:r>
        <w:rPr>
          <w:rFonts w:ascii="Times New Roman" w:hAnsi="Times New Roman"/>
        </w:rPr>
        <w:t>However, an alternative to this type of staging is to use a</w:t>
      </w:r>
      <w:r w:rsidRPr="000F000E">
        <w:rPr>
          <w:rFonts w:ascii="Times New Roman" w:hAnsi="Times New Roman"/>
        </w:rPr>
        <w:t xml:space="preserve"> </w:t>
      </w:r>
      <w:r>
        <w:rPr>
          <w:rFonts w:ascii="Times New Roman" w:hAnsi="Times New Roman"/>
        </w:rPr>
        <w:t xml:space="preserve">genetic </w:t>
      </w:r>
      <w:r w:rsidRPr="000F000E">
        <w:rPr>
          <w:rFonts w:ascii="Times New Roman" w:hAnsi="Times New Roman"/>
        </w:rPr>
        <w:t xml:space="preserve">test panel </w:t>
      </w:r>
      <w:r>
        <w:rPr>
          <w:rFonts w:ascii="Times New Roman" w:hAnsi="Times New Roman"/>
        </w:rPr>
        <w:t xml:space="preserve">like </w:t>
      </w:r>
      <w:proofErr w:type="spellStart"/>
      <w:r w:rsidRPr="000F000E">
        <w:rPr>
          <w:rFonts w:ascii="Times New Roman" w:hAnsi="Times New Roman"/>
        </w:rPr>
        <w:t>OncoTypeD</w:t>
      </w:r>
      <w:r>
        <w:rPr>
          <w:rFonts w:ascii="Times New Roman" w:hAnsi="Times New Roman"/>
        </w:rPr>
        <w:t>X</w:t>
      </w:r>
      <w:proofErr w:type="spellEnd"/>
      <w:r>
        <w:rPr>
          <w:rFonts w:ascii="Times New Roman" w:hAnsi="Times New Roman"/>
        </w:rPr>
        <w:t xml:space="preserve">® to quantify the prognosis.  </w:t>
      </w:r>
      <w:r w:rsidRPr="00FB0661">
        <w:rPr>
          <w:rFonts w:ascii="Times New Roman" w:hAnsi="Times New Roman"/>
        </w:rPr>
        <w:t xml:space="preserve">A woman </w:t>
      </w:r>
      <w:r>
        <w:rPr>
          <w:rFonts w:ascii="Times New Roman" w:hAnsi="Times New Roman"/>
        </w:rPr>
        <w:t>whose</w:t>
      </w:r>
      <w:r w:rsidRPr="00FB0661">
        <w:rPr>
          <w:rFonts w:ascii="Times New Roman" w:hAnsi="Times New Roman"/>
        </w:rPr>
        <w:t xml:space="preserve"> two oncologists and tumor board all sa</w:t>
      </w:r>
      <w:r>
        <w:rPr>
          <w:rFonts w:ascii="Times New Roman" w:hAnsi="Times New Roman"/>
        </w:rPr>
        <w:t>id</w:t>
      </w:r>
      <w:r w:rsidRPr="00FB0661">
        <w:rPr>
          <w:rFonts w:ascii="Times New Roman" w:hAnsi="Times New Roman"/>
        </w:rPr>
        <w:t xml:space="preserve"> an </w:t>
      </w:r>
      <w:r>
        <w:rPr>
          <w:rFonts w:ascii="Times New Roman" w:hAnsi="Times New Roman"/>
        </w:rPr>
        <w:t>ALND</w:t>
      </w:r>
      <w:r w:rsidRPr="00FB0661">
        <w:rPr>
          <w:rFonts w:ascii="Times New Roman" w:hAnsi="Times New Roman"/>
        </w:rPr>
        <w:t xml:space="preserve"> </w:t>
      </w:r>
      <w:r>
        <w:rPr>
          <w:rFonts w:ascii="Times New Roman" w:hAnsi="Times New Roman"/>
        </w:rPr>
        <w:t xml:space="preserve">was </w:t>
      </w:r>
      <w:r w:rsidRPr="00FB0661">
        <w:rPr>
          <w:rFonts w:ascii="Times New Roman" w:hAnsi="Times New Roman"/>
        </w:rPr>
        <w:t>essential for staging</w:t>
      </w:r>
      <w:r>
        <w:rPr>
          <w:rFonts w:ascii="Times New Roman" w:hAnsi="Times New Roman"/>
        </w:rPr>
        <w:t xml:space="preserve"> (and therefore necessary) consulted one of us after obtaining an </w:t>
      </w:r>
      <w:proofErr w:type="spellStart"/>
      <w:r w:rsidRPr="000F000E">
        <w:rPr>
          <w:rFonts w:ascii="Times New Roman" w:hAnsi="Times New Roman"/>
        </w:rPr>
        <w:t>OncoTypeD</w:t>
      </w:r>
      <w:r>
        <w:rPr>
          <w:rFonts w:ascii="Times New Roman" w:hAnsi="Times New Roman"/>
        </w:rPr>
        <w:t>X</w:t>
      </w:r>
      <w:proofErr w:type="spellEnd"/>
      <w:r>
        <w:rPr>
          <w:rFonts w:ascii="Times New Roman" w:hAnsi="Times New Roman"/>
        </w:rPr>
        <w:t xml:space="preserve"> recurrence score of 7, indicating a low-risk tumor.  An excerpt of the report from her test is pasted below:</w:t>
      </w:r>
    </w:p>
    <w:p w14:paraId="0124DD12" w14:textId="77777777" w:rsidR="00F67A4A" w:rsidRPr="000F000E" w:rsidRDefault="00F67A4A" w:rsidP="00F67A4A">
      <w:pPr>
        <w:autoSpaceDE w:val="0"/>
        <w:autoSpaceDN w:val="0"/>
        <w:adjustRightInd w:val="0"/>
        <w:rPr>
          <w:rFonts w:cs="Courier New"/>
        </w:rPr>
      </w:pPr>
      <w:r w:rsidRPr="000F000E">
        <w:rPr>
          <w:rFonts w:ascii="Times New Roman" w:hAnsi="Times New Roman"/>
        </w:rPr>
        <w:t> </w:t>
      </w:r>
    </w:p>
    <w:p w14:paraId="7E419CA7" w14:textId="77777777" w:rsidR="00F67A4A" w:rsidRPr="00745D82" w:rsidRDefault="00F67A4A" w:rsidP="00F67A4A">
      <w:pPr>
        <w:autoSpaceDE w:val="0"/>
        <w:autoSpaceDN w:val="0"/>
        <w:adjustRightInd w:val="0"/>
        <w:ind w:left="1440"/>
        <w:rPr>
          <w:rFonts w:cs="Courier New"/>
          <w:i/>
        </w:rPr>
      </w:pPr>
      <w:r w:rsidRPr="00745D82">
        <w:rPr>
          <w:rFonts w:ascii="Times New Roman" w:hAnsi="Times New Roman"/>
          <w:i/>
        </w:rPr>
        <w:t>Five-year recurrence or mortality risk</w:t>
      </w:r>
      <w:r>
        <w:rPr>
          <w:rFonts w:ascii="Times New Roman" w:hAnsi="Times New Roman"/>
          <w:i/>
        </w:rPr>
        <w:t xml:space="preserve"> </w:t>
      </w:r>
      <w:r w:rsidRPr="00745D82">
        <w:rPr>
          <w:rFonts w:ascii="Times New Roman" w:hAnsi="Times New Roman"/>
          <w:i/>
        </w:rPr>
        <w:t xml:space="preserve">(95% CI) for </w:t>
      </w:r>
      <w:proofErr w:type="spellStart"/>
      <w:r w:rsidRPr="00745D82">
        <w:rPr>
          <w:rFonts w:ascii="Times New Roman" w:hAnsi="Times New Roman"/>
          <w:i/>
        </w:rPr>
        <w:t>OncoTypeD</w:t>
      </w:r>
      <w:r>
        <w:rPr>
          <w:rFonts w:ascii="Times New Roman" w:hAnsi="Times New Roman"/>
          <w:i/>
        </w:rPr>
        <w:t>X</w:t>
      </w:r>
      <w:proofErr w:type="spellEnd"/>
      <w:r w:rsidRPr="00745D82">
        <w:rPr>
          <w:rFonts w:ascii="Times New Roman" w:hAnsi="Times New Roman"/>
          <w:i/>
        </w:rPr>
        <w:t xml:space="preserve"> score =7</w:t>
      </w:r>
      <w:r>
        <w:rPr>
          <w:rFonts w:ascii="Times New Roman" w:hAnsi="Times New Roman"/>
          <w:i/>
        </w:rPr>
        <w:t>,</w:t>
      </w:r>
      <w:r w:rsidRPr="00745D82">
        <w:rPr>
          <w:rFonts w:ascii="Times New Roman" w:hAnsi="Times New Roman"/>
          <w:i/>
        </w:rPr>
        <w:t xml:space="preserve"> by treatment and nodal involvement.  (Numbers come from post-hoc stratification of subjects in randomized trials comparing tamoxifen alone to tamoxifen plus chemo.)</w:t>
      </w:r>
    </w:p>
    <w:tbl>
      <w:tblPr>
        <w:tblW w:w="7848" w:type="dxa"/>
        <w:tblInd w:w="1440" w:type="dxa"/>
        <w:tblBorders>
          <w:top w:val="nil"/>
          <w:left w:val="nil"/>
          <w:right w:val="nil"/>
        </w:tblBorders>
        <w:tblLayout w:type="fixed"/>
        <w:tblLook w:val="0000" w:firstRow="0" w:lastRow="0" w:firstColumn="0" w:lastColumn="0" w:noHBand="0" w:noVBand="0"/>
      </w:tblPr>
      <w:tblGrid>
        <w:gridCol w:w="1918"/>
        <w:gridCol w:w="1880"/>
        <w:gridCol w:w="1890"/>
        <w:gridCol w:w="2160"/>
      </w:tblGrid>
      <w:tr w:rsidR="00F67A4A" w:rsidRPr="008D1788" w14:paraId="683190F4" w14:textId="77777777" w:rsidTr="009A70D5">
        <w:tc>
          <w:tcPr>
            <w:tcW w:w="1918" w:type="dxa"/>
            <w:tcBorders>
              <w:top w:val="single" w:sz="10" w:space="0" w:color="000000"/>
              <w:left w:val="single" w:sz="10" w:space="0" w:color="000000"/>
              <w:bottom w:val="single" w:sz="10" w:space="0" w:color="000000"/>
              <w:right w:val="single" w:sz="10" w:space="0" w:color="000000"/>
            </w:tcBorders>
            <w:tcMar>
              <w:top w:w="144" w:type="nil"/>
              <w:right w:w="144" w:type="nil"/>
            </w:tcMar>
            <w:vAlign w:val="bottom"/>
          </w:tcPr>
          <w:p w14:paraId="3623BDD0" w14:textId="77777777" w:rsidR="00F67A4A" w:rsidRDefault="00F67A4A" w:rsidP="009A70D5">
            <w:pPr>
              <w:autoSpaceDE w:val="0"/>
              <w:autoSpaceDN w:val="0"/>
              <w:adjustRightInd w:val="0"/>
              <w:jc w:val="center"/>
              <w:rPr>
                <w:rFonts w:ascii="Calibri" w:hAnsi="Calibri" w:cs="Calibri"/>
              </w:rPr>
            </w:pPr>
          </w:p>
        </w:tc>
        <w:tc>
          <w:tcPr>
            <w:tcW w:w="5930" w:type="dxa"/>
            <w:gridSpan w:val="3"/>
            <w:tcBorders>
              <w:top w:val="single" w:sz="10" w:space="0" w:color="000000"/>
              <w:bottom w:val="single" w:sz="10" w:space="0" w:color="000000"/>
              <w:right w:val="single" w:sz="10" w:space="0" w:color="000000"/>
            </w:tcBorders>
            <w:tcMar>
              <w:top w:w="144" w:type="nil"/>
              <w:right w:w="144" w:type="nil"/>
            </w:tcMar>
            <w:vAlign w:val="bottom"/>
          </w:tcPr>
          <w:p w14:paraId="14359F6B" w14:textId="77777777" w:rsidR="00F67A4A" w:rsidRPr="00204FFC" w:rsidRDefault="00F67A4A" w:rsidP="009A70D5">
            <w:pPr>
              <w:autoSpaceDE w:val="0"/>
              <w:autoSpaceDN w:val="0"/>
              <w:adjustRightInd w:val="0"/>
              <w:rPr>
                <w:rFonts w:ascii="Calibri" w:hAnsi="Calibri" w:cs="Calibri"/>
                <w:b/>
                <w:bCs/>
              </w:rPr>
            </w:pPr>
            <w:r w:rsidRPr="00EB1F60">
              <w:rPr>
                <w:rFonts w:ascii="Calibri" w:hAnsi="Calibri" w:cs="Calibri"/>
                <w:b/>
              </w:rPr>
              <w:t>Number of nodes involved (based on ALND) </w:t>
            </w:r>
          </w:p>
        </w:tc>
      </w:tr>
      <w:tr w:rsidR="00F67A4A" w:rsidRPr="008D1788" w14:paraId="4A11A16A" w14:textId="77777777" w:rsidTr="009A70D5">
        <w:tc>
          <w:tcPr>
            <w:tcW w:w="1918" w:type="dxa"/>
            <w:tcBorders>
              <w:top w:val="single" w:sz="10" w:space="0" w:color="000000"/>
              <w:left w:val="single" w:sz="10" w:space="0" w:color="000000"/>
              <w:bottom w:val="single" w:sz="10" w:space="0" w:color="000000"/>
              <w:right w:val="single" w:sz="10" w:space="0" w:color="000000"/>
            </w:tcBorders>
            <w:tcMar>
              <w:top w:w="144" w:type="nil"/>
              <w:right w:w="144" w:type="nil"/>
            </w:tcMar>
            <w:vAlign w:val="bottom"/>
          </w:tcPr>
          <w:p w14:paraId="5092CC9D" w14:textId="77777777" w:rsidR="00F67A4A" w:rsidRPr="00EB1F60" w:rsidRDefault="00F67A4A" w:rsidP="009A70D5">
            <w:pPr>
              <w:autoSpaceDE w:val="0"/>
              <w:autoSpaceDN w:val="0"/>
              <w:adjustRightInd w:val="0"/>
              <w:jc w:val="center"/>
              <w:rPr>
                <w:rFonts w:cs="Courier New"/>
                <w:b/>
              </w:rPr>
            </w:pPr>
            <w:r w:rsidRPr="00EB1F60">
              <w:rPr>
                <w:rFonts w:ascii="Calibri" w:hAnsi="Calibri" w:cs="Calibri"/>
                <w:b/>
              </w:rPr>
              <w:lastRenderedPageBreak/>
              <w:t>Treatment</w:t>
            </w:r>
          </w:p>
        </w:tc>
        <w:tc>
          <w:tcPr>
            <w:tcW w:w="1880" w:type="dxa"/>
            <w:tcBorders>
              <w:top w:val="single" w:sz="10" w:space="0" w:color="000000"/>
              <w:bottom w:val="single" w:sz="10" w:space="0" w:color="000000"/>
              <w:right w:val="single" w:sz="10" w:space="0" w:color="000000"/>
            </w:tcBorders>
            <w:tcMar>
              <w:top w:w="144" w:type="nil"/>
              <w:right w:w="144" w:type="nil"/>
            </w:tcMar>
            <w:vAlign w:val="bottom"/>
          </w:tcPr>
          <w:p w14:paraId="2AC0730F" w14:textId="77777777" w:rsidR="00F67A4A" w:rsidRPr="000F000E" w:rsidRDefault="00F67A4A" w:rsidP="009A70D5">
            <w:pPr>
              <w:autoSpaceDE w:val="0"/>
              <w:autoSpaceDN w:val="0"/>
              <w:adjustRightInd w:val="0"/>
              <w:rPr>
                <w:rFonts w:cs="Courier New"/>
              </w:rPr>
            </w:pPr>
            <w:r w:rsidRPr="000F000E">
              <w:rPr>
                <w:rFonts w:ascii="Calibri" w:hAnsi="Calibri" w:cs="Calibri"/>
                <w:b/>
                <w:bCs/>
              </w:rPr>
              <w:t>No nodes +</w:t>
            </w:r>
          </w:p>
        </w:tc>
        <w:tc>
          <w:tcPr>
            <w:tcW w:w="1890" w:type="dxa"/>
            <w:tcBorders>
              <w:top w:val="single" w:sz="10" w:space="0" w:color="000000"/>
              <w:bottom w:val="single" w:sz="10" w:space="0" w:color="000000"/>
              <w:right w:val="single" w:sz="10" w:space="0" w:color="000000"/>
            </w:tcBorders>
            <w:tcMar>
              <w:top w:w="144" w:type="nil"/>
              <w:right w:w="144" w:type="nil"/>
            </w:tcMar>
            <w:vAlign w:val="bottom"/>
          </w:tcPr>
          <w:p w14:paraId="340ADFFD" w14:textId="77777777" w:rsidR="00F67A4A" w:rsidRPr="000F000E" w:rsidRDefault="00F67A4A" w:rsidP="009A70D5">
            <w:pPr>
              <w:autoSpaceDE w:val="0"/>
              <w:autoSpaceDN w:val="0"/>
              <w:adjustRightInd w:val="0"/>
              <w:rPr>
                <w:rFonts w:cs="Courier New"/>
              </w:rPr>
            </w:pPr>
            <w:r w:rsidRPr="000F000E">
              <w:rPr>
                <w:rFonts w:ascii="Calibri" w:hAnsi="Calibri" w:cs="Calibri"/>
                <w:b/>
                <w:bCs/>
              </w:rPr>
              <w:t>1-3 Nodes+</w:t>
            </w:r>
          </w:p>
        </w:tc>
        <w:tc>
          <w:tcPr>
            <w:tcW w:w="2160" w:type="dxa"/>
            <w:tcBorders>
              <w:top w:val="single" w:sz="10" w:space="0" w:color="000000"/>
              <w:bottom w:val="single" w:sz="10" w:space="0" w:color="000000"/>
              <w:right w:val="single" w:sz="10" w:space="0" w:color="000000"/>
            </w:tcBorders>
            <w:tcMar>
              <w:top w:w="144" w:type="nil"/>
              <w:right w:w="144" w:type="nil"/>
            </w:tcMar>
            <w:vAlign w:val="bottom"/>
          </w:tcPr>
          <w:p w14:paraId="203FC913" w14:textId="77777777" w:rsidR="00F67A4A" w:rsidRPr="000F000E" w:rsidRDefault="00F67A4A" w:rsidP="009A70D5">
            <w:pPr>
              <w:autoSpaceDE w:val="0"/>
              <w:autoSpaceDN w:val="0"/>
              <w:adjustRightInd w:val="0"/>
              <w:rPr>
                <w:rFonts w:cs="Courier New"/>
              </w:rPr>
            </w:pPr>
            <w:r w:rsidRPr="000F000E">
              <w:rPr>
                <w:rFonts w:ascii="Calibri" w:hAnsi="Calibri" w:cs="Calibri"/>
                <w:b/>
                <w:bCs/>
              </w:rPr>
              <w:t>≥ 4 Nodes +</w:t>
            </w:r>
          </w:p>
        </w:tc>
      </w:tr>
      <w:tr w:rsidR="00F67A4A" w:rsidRPr="008D1788" w14:paraId="4CCCC149" w14:textId="77777777" w:rsidTr="009A70D5">
        <w:tblPrEx>
          <w:tblBorders>
            <w:top w:val="none" w:sz="0" w:space="0" w:color="auto"/>
          </w:tblBorders>
        </w:tblPrEx>
        <w:tc>
          <w:tcPr>
            <w:tcW w:w="1918" w:type="dxa"/>
            <w:tcBorders>
              <w:left w:val="single" w:sz="10" w:space="0" w:color="000000"/>
              <w:bottom w:val="single" w:sz="10" w:space="0" w:color="000000"/>
              <w:right w:val="single" w:sz="10" w:space="0" w:color="000000"/>
            </w:tcBorders>
            <w:tcMar>
              <w:top w:w="144" w:type="nil"/>
              <w:right w:w="144" w:type="nil"/>
            </w:tcMar>
            <w:vAlign w:val="bottom"/>
          </w:tcPr>
          <w:p w14:paraId="216A2C3D" w14:textId="77777777" w:rsidR="00F67A4A" w:rsidRPr="000F000E" w:rsidRDefault="00F67A4A" w:rsidP="009A70D5">
            <w:pPr>
              <w:autoSpaceDE w:val="0"/>
              <w:autoSpaceDN w:val="0"/>
              <w:adjustRightInd w:val="0"/>
              <w:rPr>
                <w:rFonts w:cs="Courier New"/>
              </w:rPr>
            </w:pPr>
            <w:r w:rsidRPr="000F000E">
              <w:rPr>
                <w:rFonts w:ascii="Calibri" w:hAnsi="Calibri" w:cs="Calibri"/>
                <w:b/>
                <w:bCs/>
              </w:rPr>
              <w:t>Tamoxi</w:t>
            </w:r>
            <w:r>
              <w:rPr>
                <w:rFonts w:ascii="Calibri" w:hAnsi="Calibri" w:cs="Calibri"/>
                <w:b/>
                <w:bCs/>
              </w:rPr>
              <w:t>f</w:t>
            </w:r>
            <w:r w:rsidRPr="000F000E">
              <w:rPr>
                <w:rFonts w:ascii="Calibri" w:hAnsi="Calibri" w:cs="Calibri"/>
                <w:b/>
                <w:bCs/>
              </w:rPr>
              <w:t>en</w:t>
            </w:r>
          </w:p>
        </w:tc>
        <w:tc>
          <w:tcPr>
            <w:tcW w:w="1880" w:type="dxa"/>
            <w:tcBorders>
              <w:bottom w:val="single" w:sz="10" w:space="0" w:color="000000"/>
              <w:right w:val="single" w:sz="10" w:space="0" w:color="000000"/>
            </w:tcBorders>
            <w:tcMar>
              <w:top w:w="144" w:type="nil"/>
              <w:right w:w="144" w:type="nil"/>
            </w:tcMar>
            <w:vAlign w:val="bottom"/>
          </w:tcPr>
          <w:p w14:paraId="012FD3A4" w14:textId="77777777" w:rsidR="00F67A4A" w:rsidRPr="000F000E" w:rsidRDefault="00F67A4A" w:rsidP="009A70D5">
            <w:pPr>
              <w:autoSpaceDE w:val="0"/>
              <w:autoSpaceDN w:val="0"/>
              <w:adjustRightInd w:val="0"/>
              <w:jc w:val="center"/>
              <w:rPr>
                <w:rFonts w:cs="Courier New"/>
              </w:rPr>
            </w:pPr>
            <w:r w:rsidRPr="000F000E">
              <w:rPr>
                <w:rFonts w:ascii="Calibri" w:hAnsi="Calibri" w:cs="Calibri"/>
              </w:rPr>
              <w:t>6% (3%-8%)</w:t>
            </w:r>
          </w:p>
        </w:tc>
        <w:tc>
          <w:tcPr>
            <w:tcW w:w="1890" w:type="dxa"/>
            <w:tcBorders>
              <w:bottom w:val="single" w:sz="10" w:space="0" w:color="000000"/>
              <w:right w:val="single" w:sz="10" w:space="0" w:color="000000"/>
            </w:tcBorders>
            <w:tcMar>
              <w:top w:w="144" w:type="nil"/>
              <w:right w:w="144" w:type="nil"/>
            </w:tcMar>
            <w:vAlign w:val="bottom"/>
          </w:tcPr>
          <w:p w14:paraId="22D6E5E4" w14:textId="77777777" w:rsidR="00F67A4A" w:rsidRPr="000F000E" w:rsidRDefault="00F67A4A" w:rsidP="009A70D5">
            <w:pPr>
              <w:autoSpaceDE w:val="0"/>
              <w:autoSpaceDN w:val="0"/>
              <w:adjustRightInd w:val="0"/>
              <w:jc w:val="center"/>
              <w:rPr>
                <w:rFonts w:cs="Courier New"/>
              </w:rPr>
            </w:pPr>
            <w:r w:rsidRPr="000F000E">
              <w:rPr>
                <w:rFonts w:ascii="Calibri" w:hAnsi="Calibri" w:cs="Calibri"/>
              </w:rPr>
              <w:t>8% (4%-15%)</w:t>
            </w:r>
          </w:p>
        </w:tc>
        <w:tc>
          <w:tcPr>
            <w:tcW w:w="2160" w:type="dxa"/>
            <w:tcBorders>
              <w:bottom w:val="single" w:sz="10" w:space="0" w:color="000000"/>
              <w:right w:val="single" w:sz="10" w:space="0" w:color="000000"/>
            </w:tcBorders>
            <w:tcMar>
              <w:top w:w="144" w:type="nil"/>
              <w:right w:w="144" w:type="nil"/>
            </w:tcMar>
            <w:vAlign w:val="bottom"/>
          </w:tcPr>
          <w:p w14:paraId="293E0EDB" w14:textId="77777777" w:rsidR="00F67A4A" w:rsidRPr="000F000E" w:rsidRDefault="00F67A4A" w:rsidP="009A70D5">
            <w:pPr>
              <w:autoSpaceDE w:val="0"/>
              <w:autoSpaceDN w:val="0"/>
              <w:adjustRightInd w:val="0"/>
              <w:jc w:val="center"/>
              <w:rPr>
                <w:rFonts w:cs="Courier New"/>
              </w:rPr>
            </w:pPr>
            <w:r w:rsidRPr="000F000E">
              <w:rPr>
                <w:rFonts w:ascii="Calibri" w:hAnsi="Calibri" w:cs="Calibri"/>
              </w:rPr>
              <w:t>19% (11%-33%)</w:t>
            </w:r>
          </w:p>
        </w:tc>
      </w:tr>
      <w:tr w:rsidR="00F67A4A" w:rsidRPr="008D1788" w14:paraId="03558C0D" w14:textId="77777777" w:rsidTr="009A70D5">
        <w:tc>
          <w:tcPr>
            <w:tcW w:w="1918" w:type="dxa"/>
            <w:tcBorders>
              <w:left w:val="single" w:sz="10" w:space="0" w:color="000000"/>
              <w:bottom w:val="single" w:sz="10" w:space="0" w:color="000000"/>
              <w:right w:val="single" w:sz="10" w:space="0" w:color="000000"/>
            </w:tcBorders>
            <w:tcMar>
              <w:top w:w="144" w:type="nil"/>
              <w:right w:w="144" w:type="nil"/>
            </w:tcMar>
            <w:vAlign w:val="bottom"/>
          </w:tcPr>
          <w:p w14:paraId="661FE7EB" w14:textId="77777777" w:rsidR="00F67A4A" w:rsidRPr="000F000E" w:rsidRDefault="00F67A4A" w:rsidP="009A70D5">
            <w:pPr>
              <w:autoSpaceDE w:val="0"/>
              <w:autoSpaceDN w:val="0"/>
              <w:adjustRightInd w:val="0"/>
              <w:rPr>
                <w:rFonts w:cs="Courier New"/>
              </w:rPr>
            </w:pPr>
            <w:r w:rsidRPr="000F000E">
              <w:rPr>
                <w:rFonts w:ascii="Calibri" w:hAnsi="Calibri" w:cs="Calibri"/>
                <w:b/>
                <w:bCs/>
              </w:rPr>
              <w:t>Tamoxi</w:t>
            </w:r>
            <w:r>
              <w:rPr>
                <w:rFonts w:ascii="Calibri" w:hAnsi="Calibri" w:cs="Calibri"/>
                <w:b/>
                <w:bCs/>
              </w:rPr>
              <w:t>f</w:t>
            </w:r>
            <w:r w:rsidRPr="000F000E">
              <w:rPr>
                <w:rFonts w:ascii="Calibri" w:hAnsi="Calibri" w:cs="Calibri"/>
                <w:b/>
                <w:bCs/>
              </w:rPr>
              <w:t>en + Chemo</w:t>
            </w:r>
            <w:r>
              <w:rPr>
                <w:rFonts w:ascii="Calibri" w:hAnsi="Calibri" w:cs="Calibri"/>
                <w:b/>
                <w:bCs/>
              </w:rPr>
              <w:t>therapy</w:t>
            </w:r>
          </w:p>
        </w:tc>
        <w:tc>
          <w:tcPr>
            <w:tcW w:w="1880" w:type="dxa"/>
            <w:tcBorders>
              <w:bottom w:val="single" w:sz="10" w:space="0" w:color="000000"/>
              <w:right w:val="single" w:sz="10" w:space="0" w:color="000000"/>
            </w:tcBorders>
            <w:tcMar>
              <w:top w:w="144" w:type="nil"/>
              <w:right w:w="144" w:type="nil"/>
            </w:tcMar>
            <w:vAlign w:val="bottom"/>
          </w:tcPr>
          <w:p w14:paraId="71111529" w14:textId="77777777" w:rsidR="00F67A4A" w:rsidRPr="000F000E" w:rsidRDefault="00F67A4A" w:rsidP="009A70D5">
            <w:pPr>
              <w:autoSpaceDE w:val="0"/>
              <w:autoSpaceDN w:val="0"/>
              <w:adjustRightInd w:val="0"/>
              <w:jc w:val="center"/>
              <w:rPr>
                <w:rFonts w:cs="Courier New"/>
              </w:rPr>
            </w:pPr>
            <w:r w:rsidRPr="000F000E">
              <w:rPr>
                <w:rFonts w:ascii="Calibri" w:hAnsi="Calibri" w:cs="Calibri"/>
              </w:rPr>
              <w:t> </w:t>
            </w:r>
          </w:p>
        </w:tc>
        <w:tc>
          <w:tcPr>
            <w:tcW w:w="1890" w:type="dxa"/>
            <w:tcBorders>
              <w:bottom w:val="single" w:sz="10" w:space="0" w:color="000000"/>
              <w:right w:val="single" w:sz="10" w:space="0" w:color="000000"/>
            </w:tcBorders>
            <w:tcMar>
              <w:top w:w="144" w:type="nil"/>
              <w:right w:w="144" w:type="nil"/>
            </w:tcMar>
            <w:vAlign w:val="bottom"/>
          </w:tcPr>
          <w:p w14:paraId="3765AA39" w14:textId="77777777" w:rsidR="00F67A4A" w:rsidRPr="000F000E" w:rsidRDefault="00F67A4A" w:rsidP="009A70D5">
            <w:pPr>
              <w:autoSpaceDE w:val="0"/>
              <w:autoSpaceDN w:val="0"/>
              <w:adjustRightInd w:val="0"/>
              <w:jc w:val="center"/>
              <w:rPr>
                <w:rFonts w:cs="Courier New"/>
              </w:rPr>
            </w:pPr>
            <w:r w:rsidRPr="000F000E">
              <w:rPr>
                <w:rFonts w:ascii="Calibri" w:hAnsi="Calibri" w:cs="Calibri"/>
              </w:rPr>
              <w:t>11% (7%-17%)</w:t>
            </w:r>
          </w:p>
        </w:tc>
        <w:tc>
          <w:tcPr>
            <w:tcW w:w="2160" w:type="dxa"/>
            <w:tcBorders>
              <w:bottom w:val="single" w:sz="10" w:space="0" w:color="000000"/>
              <w:right w:val="single" w:sz="10" w:space="0" w:color="000000"/>
            </w:tcBorders>
            <w:tcMar>
              <w:top w:w="144" w:type="nil"/>
              <w:right w:w="144" w:type="nil"/>
            </w:tcMar>
            <w:vAlign w:val="bottom"/>
          </w:tcPr>
          <w:p w14:paraId="52402EF0" w14:textId="77777777" w:rsidR="00F67A4A" w:rsidRPr="000F000E" w:rsidRDefault="00F67A4A" w:rsidP="009A70D5">
            <w:pPr>
              <w:autoSpaceDE w:val="0"/>
              <w:autoSpaceDN w:val="0"/>
              <w:adjustRightInd w:val="0"/>
              <w:jc w:val="center"/>
              <w:rPr>
                <w:rFonts w:cs="Courier New"/>
              </w:rPr>
            </w:pPr>
            <w:r w:rsidRPr="000F000E">
              <w:rPr>
                <w:rFonts w:ascii="Calibri" w:hAnsi="Calibri" w:cs="Calibri"/>
              </w:rPr>
              <w:t>25% (16%-37%)</w:t>
            </w:r>
          </w:p>
        </w:tc>
      </w:tr>
    </w:tbl>
    <w:p w14:paraId="03EA808E" w14:textId="77777777" w:rsidR="00F67A4A" w:rsidRPr="000F000E" w:rsidRDefault="00F67A4A" w:rsidP="00F67A4A">
      <w:pPr>
        <w:autoSpaceDE w:val="0"/>
        <w:autoSpaceDN w:val="0"/>
        <w:adjustRightInd w:val="0"/>
        <w:ind w:left="1440"/>
        <w:rPr>
          <w:rFonts w:cs="Courier New"/>
        </w:rPr>
      </w:pPr>
      <w:r w:rsidRPr="000F000E">
        <w:rPr>
          <w:rFonts w:ascii="Times New Roman" w:hAnsi="Times New Roman"/>
        </w:rPr>
        <w:t> </w:t>
      </w:r>
    </w:p>
    <w:p w14:paraId="5652730B" w14:textId="77777777" w:rsidR="00F67A4A" w:rsidRPr="00D40ECB" w:rsidRDefault="00F67A4A" w:rsidP="00F67A4A">
      <w:pPr>
        <w:autoSpaceDE w:val="0"/>
        <w:autoSpaceDN w:val="0"/>
        <w:adjustRightInd w:val="0"/>
        <w:rPr>
          <w:rFonts w:ascii="Times New Roman" w:hAnsi="Times New Roman"/>
        </w:rPr>
      </w:pPr>
      <w:r>
        <w:rPr>
          <w:rFonts w:ascii="Times New Roman" w:hAnsi="Times New Roman"/>
        </w:rPr>
        <w:t xml:space="preserve">Assuming the </w:t>
      </w:r>
      <w:proofErr w:type="spellStart"/>
      <w:r>
        <w:rPr>
          <w:rFonts w:ascii="Times New Roman" w:hAnsi="Times New Roman"/>
        </w:rPr>
        <w:t>OncoTypeDX</w:t>
      </w:r>
      <w:proofErr w:type="spellEnd"/>
      <w:r>
        <w:rPr>
          <w:rFonts w:ascii="Times New Roman" w:hAnsi="Times New Roman"/>
        </w:rPr>
        <w:t xml:space="preserve"> report accurately summarizes available evidence, do</w:t>
      </w:r>
      <w:r w:rsidRPr="000F000E">
        <w:rPr>
          <w:rFonts w:ascii="Times New Roman" w:hAnsi="Times New Roman"/>
        </w:rPr>
        <w:t xml:space="preserve"> you agree with her treating clinicians that the </w:t>
      </w:r>
      <w:r>
        <w:rPr>
          <w:rFonts w:ascii="Times New Roman" w:hAnsi="Times New Roman"/>
        </w:rPr>
        <w:t>ALND</w:t>
      </w:r>
      <w:r w:rsidRPr="000F000E">
        <w:rPr>
          <w:rFonts w:ascii="Times New Roman" w:hAnsi="Times New Roman"/>
        </w:rPr>
        <w:t xml:space="preserve"> is essential?  What would be some reasons to do it or not do it?</w:t>
      </w:r>
      <w:r w:rsidRPr="000F000E">
        <w:rPr>
          <w:rFonts w:cs="Courier New"/>
        </w:rPr>
        <w:t> </w:t>
      </w:r>
    </w:p>
    <w:p w14:paraId="34145453" w14:textId="77777777" w:rsidR="00F67A4A" w:rsidRPr="00D40ECB" w:rsidRDefault="00F67A4A" w:rsidP="00F67A4A">
      <w:pPr>
        <w:tabs>
          <w:tab w:val="left" w:pos="-720"/>
        </w:tabs>
        <w:suppressAutoHyphens/>
        <w:rPr>
          <w:rFonts w:ascii="Times New Roman" w:hAnsi="Times New Roman"/>
        </w:rPr>
      </w:pPr>
    </w:p>
    <w:p w14:paraId="0AF3BA24" w14:textId="77777777" w:rsidR="00F67A4A" w:rsidRDefault="00F67A4A" w:rsidP="00F67A4A">
      <w:pPr>
        <w:tabs>
          <w:tab w:val="left" w:pos="-720"/>
        </w:tabs>
        <w:suppressAutoHyphens/>
        <w:ind w:left="720"/>
        <w:rPr>
          <w:rFonts w:ascii="Times New Roman" w:hAnsi="Times New Roman"/>
          <w:b/>
        </w:rPr>
      </w:pPr>
    </w:p>
    <w:p w14:paraId="43389D37" w14:textId="77777777" w:rsidR="00F67A4A" w:rsidRPr="00655D46" w:rsidRDefault="00F67A4A" w:rsidP="00F67A4A">
      <w:pPr>
        <w:tabs>
          <w:tab w:val="left" w:pos="-720"/>
        </w:tabs>
        <w:suppressAutoHyphens/>
        <w:ind w:left="720"/>
        <w:rPr>
          <w:rFonts w:ascii="Times New Roman" w:hAnsi="Times New Roman"/>
          <w:b/>
        </w:rPr>
      </w:pPr>
      <w:r w:rsidRPr="00655D46">
        <w:rPr>
          <w:rFonts w:ascii="Times New Roman" w:hAnsi="Times New Roman"/>
          <w:b/>
        </w:rPr>
        <w:t xml:space="preserve">The most compelling reason to do the ALND would be if it provided information needed to guide subsequent management, i.e., if it sorted patients into groups in whom the benefits of chemotherapy did and did not exceed the risks and costs.  </w:t>
      </w:r>
      <w:proofErr w:type="gramStart"/>
      <w:r w:rsidRPr="00655D46">
        <w:rPr>
          <w:rFonts w:ascii="Times New Roman" w:hAnsi="Times New Roman"/>
          <w:b/>
        </w:rPr>
        <w:t>However</w:t>
      </w:r>
      <w:proofErr w:type="gramEnd"/>
      <w:r w:rsidRPr="00655D46">
        <w:rPr>
          <w:rFonts w:ascii="Times New Roman" w:hAnsi="Times New Roman"/>
          <w:b/>
        </w:rPr>
        <w:t xml:space="preserve"> it appears that the </w:t>
      </w:r>
      <w:proofErr w:type="spellStart"/>
      <w:r w:rsidRPr="00655D46">
        <w:rPr>
          <w:rFonts w:ascii="Times New Roman" w:hAnsi="Times New Roman"/>
          <w:b/>
        </w:rPr>
        <w:t>OncoTypeDX</w:t>
      </w:r>
      <w:proofErr w:type="spellEnd"/>
      <w:r w:rsidRPr="00655D46">
        <w:rPr>
          <w:rFonts w:ascii="Times New Roman" w:hAnsi="Times New Roman"/>
          <w:b/>
        </w:rPr>
        <w:t xml:space="preserve"> test has already done this, and suggests that with a score of 7, tamoxifen alone is the best treatment choice regardless of nodal involvement. </w:t>
      </w:r>
      <w:r>
        <w:rPr>
          <w:rFonts w:ascii="Times New Roman" w:hAnsi="Times New Roman"/>
          <w:b/>
        </w:rPr>
        <w:t xml:space="preserve"> Thus, while the ALND may be essential for staging, knowing her stage does not appear to be necessary to know how to treat her.</w:t>
      </w:r>
    </w:p>
    <w:p w14:paraId="6DF43246" w14:textId="77777777" w:rsidR="00F67A4A" w:rsidRPr="00655D46" w:rsidRDefault="00F67A4A" w:rsidP="00F67A4A">
      <w:pPr>
        <w:tabs>
          <w:tab w:val="left" w:pos="-720"/>
        </w:tabs>
        <w:suppressAutoHyphens/>
        <w:ind w:left="720"/>
        <w:rPr>
          <w:rFonts w:ascii="Times New Roman" w:hAnsi="Times New Roman"/>
          <w:b/>
        </w:rPr>
      </w:pPr>
    </w:p>
    <w:p w14:paraId="4C39ABD4" w14:textId="77777777" w:rsidR="00F67A4A" w:rsidRPr="00D40ECB" w:rsidRDefault="00F67A4A" w:rsidP="00F67A4A">
      <w:pPr>
        <w:tabs>
          <w:tab w:val="left" w:pos="-720"/>
        </w:tabs>
        <w:suppressAutoHyphens/>
        <w:ind w:left="720"/>
        <w:rPr>
          <w:rFonts w:ascii="Times New Roman" w:hAnsi="Times New Roman"/>
        </w:rPr>
      </w:pPr>
      <w:r w:rsidRPr="00655D46">
        <w:rPr>
          <w:rFonts w:ascii="Times New Roman" w:hAnsi="Times New Roman"/>
          <w:b/>
        </w:rPr>
        <w:t xml:space="preserve">Another reason to do the ALND would be to provide prognostic information that might help with life decisions. If the patient would make different life decisions based on a </w:t>
      </w:r>
      <w:r>
        <w:rPr>
          <w:rFonts w:ascii="Times New Roman" w:hAnsi="Times New Roman"/>
          <w:b/>
        </w:rPr>
        <w:t>19</w:t>
      </w:r>
      <w:r w:rsidRPr="00655D46">
        <w:rPr>
          <w:rFonts w:ascii="Times New Roman" w:hAnsi="Times New Roman"/>
          <w:b/>
        </w:rPr>
        <w:t xml:space="preserve">% 5-year risk of death/recurrence vs a 6% risk, then </w:t>
      </w:r>
      <w:r w:rsidRPr="0061301F">
        <w:rPr>
          <w:rFonts w:ascii="Times New Roman" w:hAnsi="Times New Roman"/>
          <w:b/>
        </w:rPr>
        <w:t>the ALND might make sense.</w:t>
      </w:r>
      <w:r w:rsidRPr="0061301F">
        <w:rPr>
          <w:rFonts w:ascii="Times New Roman" w:hAnsi="Times New Roman"/>
          <w:b/>
          <w:vertAlign w:val="superscript"/>
        </w:rPr>
        <w:footnoteReference w:id="1"/>
      </w:r>
      <w:r w:rsidRPr="0061301F">
        <w:rPr>
          <w:rFonts w:ascii="Times New Roman" w:hAnsi="Times New Roman"/>
          <w:b/>
          <w:vertAlign w:val="superscript"/>
        </w:rPr>
        <w:t xml:space="preserve"> </w:t>
      </w:r>
      <w:r w:rsidRPr="0061301F">
        <w:rPr>
          <w:rFonts w:ascii="Times New Roman" w:hAnsi="Times New Roman"/>
          <w:b/>
        </w:rPr>
        <w:t xml:space="preserve">However, we would also need to know the likelihood of different ALND results.  For example, if (as an outside consultant has suggested) the recurrence score of 7 and no nodes palpable on examination suggests the probability of ≥ 4 involved nodes </w:t>
      </w:r>
      <w:proofErr w:type="gramStart"/>
      <w:r w:rsidRPr="0061301F">
        <w:rPr>
          <w:rFonts w:ascii="Times New Roman" w:hAnsi="Times New Roman"/>
          <w:b/>
        </w:rPr>
        <w:t>is</w:t>
      </w:r>
      <w:proofErr w:type="gramEnd"/>
      <w:r w:rsidRPr="0061301F">
        <w:rPr>
          <w:rFonts w:ascii="Times New Roman" w:hAnsi="Times New Roman"/>
          <w:b/>
        </w:rPr>
        <w:t xml:space="preserve"> close to zero, the small chance of significantly changing the presumed prognosis would probably not be worth the pain and disability of the ALND.</w:t>
      </w:r>
    </w:p>
    <w:p w14:paraId="5B81BC5B" w14:textId="77777777" w:rsidR="00F67A4A" w:rsidRPr="00D40ECB" w:rsidRDefault="00F67A4A" w:rsidP="00F67A4A">
      <w:pPr>
        <w:tabs>
          <w:tab w:val="left" w:pos="-720"/>
        </w:tabs>
        <w:suppressAutoHyphens/>
        <w:rPr>
          <w:rFonts w:ascii="Times New Roman" w:hAnsi="Times New Roman"/>
        </w:rPr>
      </w:pPr>
    </w:p>
    <w:p w14:paraId="1B23CED2" w14:textId="77777777" w:rsidR="00F67A4A" w:rsidRPr="00B432D0" w:rsidRDefault="00F67A4A" w:rsidP="00F67A4A">
      <w:pPr>
        <w:tabs>
          <w:tab w:val="left" w:pos="-720"/>
        </w:tabs>
        <w:suppressAutoHyphens/>
        <w:ind w:left="720"/>
        <w:rPr>
          <w:rFonts w:ascii="Times New Roman" w:hAnsi="Times New Roman"/>
          <w:b/>
        </w:rPr>
      </w:pPr>
      <w:r w:rsidRPr="00B432D0">
        <w:rPr>
          <w:rFonts w:ascii="Times New Roman" w:hAnsi="Times New Roman"/>
          <w:b/>
        </w:rPr>
        <w:t xml:space="preserve">The final reason for the patient to go ahead with the ALND would be to be a “good patient” and avoid conflict with her physicians.  This patient instead preferred to attempt to educate her physicians about evidence-based medicine, but </w:t>
      </w:r>
      <w:r>
        <w:rPr>
          <w:rFonts w:ascii="Times New Roman" w:hAnsi="Times New Roman"/>
          <w:b/>
        </w:rPr>
        <w:t xml:space="preserve">to date </w:t>
      </w:r>
      <w:r w:rsidRPr="00B432D0">
        <w:rPr>
          <w:rFonts w:ascii="Times New Roman" w:hAnsi="Times New Roman"/>
          <w:b/>
        </w:rPr>
        <w:t xml:space="preserve">she has faced an uphill struggle in this endeavor. </w:t>
      </w:r>
    </w:p>
    <w:p w14:paraId="47C20702" w14:textId="77777777" w:rsidR="00F67A4A" w:rsidRPr="00B432D0" w:rsidRDefault="00F67A4A" w:rsidP="00F67A4A">
      <w:pPr>
        <w:tabs>
          <w:tab w:val="left" w:pos="-720"/>
        </w:tabs>
        <w:suppressAutoHyphens/>
        <w:ind w:left="720"/>
        <w:rPr>
          <w:rFonts w:ascii="Times New Roman" w:hAnsi="Times New Roman"/>
          <w:b/>
        </w:rPr>
      </w:pPr>
    </w:p>
    <w:p w14:paraId="7993C4D2" w14:textId="5A482B59" w:rsidR="00F67A4A" w:rsidRPr="00B432D0" w:rsidRDefault="00F67A4A" w:rsidP="00F67A4A">
      <w:pPr>
        <w:tabs>
          <w:tab w:val="left" w:pos="-720"/>
        </w:tabs>
        <w:suppressAutoHyphens/>
        <w:ind w:left="720"/>
        <w:rPr>
          <w:b/>
        </w:rPr>
      </w:pPr>
      <w:r w:rsidRPr="00B432D0">
        <w:rPr>
          <w:rFonts w:ascii="Times New Roman" w:hAnsi="Times New Roman"/>
          <w:b/>
        </w:rPr>
        <w:t xml:space="preserve">As she put it, "My axillary nodes are happy where they are.  I'm happy to forgo the additional information the doctors might get by taking them out and examining them."  </w:t>
      </w:r>
      <w:r>
        <w:rPr>
          <w:rFonts w:ascii="Times New Roman" w:hAnsi="Times New Roman"/>
          <w:b/>
        </w:rPr>
        <w:t xml:space="preserve">Her decision is supported by </w:t>
      </w:r>
      <w:r w:rsidRPr="00B432D0">
        <w:rPr>
          <w:rFonts w:ascii="Times New Roman" w:hAnsi="Times New Roman"/>
          <w:b/>
        </w:rPr>
        <w:t>long term follow-up of a randomized trial of axillary dissection in women known to have 1 or 2 positive nodes</w:t>
      </w:r>
      <w:r>
        <w:rPr>
          <w:rFonts w:ascii="Times New Roman" w:hAnsi="Times New Roman"/>
          <w:b/>
        </w:rPr>
        <w:t>, which</w:t>
      </w:r>
      <w:r w:rsidRPr="00B432D0">
        <w:rPr>
          <w:rFonts w:ascii="Times New Roman" w:hAnsi="Times New Roman"/>
          <w:b/>
        </w:rPr>
        <w:t xml:space="preserve"> found no difference in mortality or recurrence risk after 10 years, with trends toward better outcome</w:t>
      </w:r>
      <w:r>
        <w:rPr>
          <w:rFonts w:ascii="Times New Roman" w:hAnsi="Times New Roman"/>
          <w:b/>
        </w:rPr>
        <w:t>s</w:t>
      </w:r>
      <w:r w:rsidRPr="00B432D0">
        <w:rPr>
          <w:rFonts w:ascii="Times New Roman" w:hAnsi="Times New Roman"/>
          <w:b/>
        </w:rPr>
        <w:t xml:space="preserve"> with no dissection.</w:t>
      </w:r>
      <w:r w:rsidRPr="001340DA">
        <w:rPr>
          <w:rFonts w:ascii="Times New Roman" w:hAnsi="Times New Roman"/>
          <w:b/>
        </w:rPr>
        <w:t xml:space="preserve"> </w:t>
      </w:r>
      <w:r w:rsidR="004D6368">
        <w:rPr>
          <w:rFonts w:ascii="Times New Roman" w:hAnsi="Times New Roman"/>
          <w:b/>
        </w:rPr>
        <w:fldChar w:fldCharType="begin">
          <w:fldData xml:space="preserve">PEVuZE5vdGU+PENpdGU+PEF1dGhvcj5HaXVsaWFubzwvQXV0aG9yPjxZZWFyPjIwMTc8L1llYXI+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</w:fldData>
        </w:fldChar>
      </w:r>
      <w:r w:rsidR="004D6368">
        <w:rPr>
          <w:rFonts w:ascii="Times New Roman" w:hAnsi="Times New Roman"/>
          <w:b/>
        </w:rPr>
        <w:instrText xml:space="preserve"> ADDIN EN.CITE </w:instrText>
      </w:r>
      <w:r w:rsidR="004D6368">
        <w:rPr>
          <w:rFonts w:ascii="Times New Roman" w:hAnsi="Times New Roman"/>
          <w:b/>
        </w:rPr>
        <w:fldChar w:fldCharType="begin">
          <w:fldData xml:space="preserve">PEVuZE5vdGU+PENpdGU+PEF1dGhvcj5HaXVsaWFubzwvQXV0aG9yPjxZZWFyPjIwMTc8L1llYXI+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</w:fldData>
        </w:fldChar>
      </w:r>
      <w:r w:rsidR="004D6368">
        <w:rPr>
          <w:rFonts w:ascii="Times New Roman" w:hAnsi="Times New Roman"/>
          <w:b/>
        </w:rPr>
        <w:instrText xml:space="preserve"> ADDIN EN.CITE.DATA </w:instrText>
      </w:r>
      <w:r w:rsidR="004D6368">
        <w:rPr>
          <w:rFonts w:ascii="Times New Roman" w:hAnsi="Times New Roman"/>
          <w:b/>
        </w:rPr>
      </w:r>
      <w:r w:rsidR="004D6368">
        <w:rPr>
          <w:rFonts w:ascii="Times New Roman" w:hAnsi="Times New Roman"/>
          <w:b/>
        </w:rPr>
        <w:fldChar w:fldCharType="end"/>
      </w:r>
      <w:r w:rsidR="004D6368">
        <w:rPr>
          <w:rFonts w:ascii="Times New Roman" w:hAnsi="Times New Roman"/>
          <w:b/>
        </w:rPr>
      </w:r>
      <w:r w:rsidR="004D6368">
        <w:rPr>
          <w:rFonts w:ascii="Times New Roman" w:hAnsi="Times New Roman"/>
          <w:b/>
        </w:rPr>
        <w:fldChar w:fldCharType="separate"/>
      </w:r>
      <w:r w:rsidR="004D6368">
        <w:rPr>
          <w:rFonts w:ascii="Times New Roman" w:hAnsi="Times New Roman"/>
          <w:b/>
          <w:noProof/>
        </w:rPr>
        <w:t>[3]</w:t>
      </w:r>
      <w:r w:rsidR="004D6368">
        <w:rPr>
          <w:rFonts w:ascii="Times New Roman" w:hAnsi="Times New Roman"/>
          <w:b/>
        </w:rPr>
        <w:fldChar w:fldCharType="end"/>
      </w:r>
    </w:p>
    <w:p w14:paraId="34F2981D" w14:textId="77777777" w:rsidR="00F67A4A" w:rsidRDefault="00F67A4A" w:rsidP="00F67A4A">
      <w:pPr>
        <w:tabs>
          <w:tab w:val="left" w:pos="-720"/>
        </w:tabs>
        <w:suppressAutoHyphens/>
      </w:pPr>
    </w:p>
    <w:p w14:paraId="59C252B2" w14:textId="77777777" w:rsidR="00F67A4A" w:rsidRDefault="00F67A4A" w:rsidP="00F67A4A">
      <w:pPr>
        <w:tabs>
          <w:tab w:val="left" w:pos="-720"/>
        </w:tabs>
        <w:suppressAutoHyphens/>
      </w:pPr>
    </w:p>
    <w:p w14:paraId="0EEB5F6B" w14:textId="5BE422EC" w:rsidR="00F67A4A" w:rsidRDefault="00F67A4A" w:rsidP="00F67A4A"/>
    <w:p w14:paraId="5A1CACEC" w14:textId="77777777" w:rsidR="00566042" w:rsidRDefault="00566042" w:rsidP="00F67A4A"/>
    <w:p w14:paraId="167E7864" w14:textId="6FBD254B" w:rsidR="004D6368" w:rsidRDefault="004D6368" w:rsidP="000E5DD2">
      <w:r>
        <w:lastRenderedPageBreak/>
        <w:t>References</w:t>
      </w:r>
    </w:p>
    <w:p w14:paraId="22A4FE27" w14:textId="77777777" w:rsidR="004D6368" w:rsidRDefault="004D6368" w:rsidP="000E5DD2"/>
    <w:p w14:paraId="5683E1D3" w14:textId="77777777" w:rsidR="004D6368" w:rsidRPr="004D6368" w:rsidRDefault="004D6368" w:rsidP="004D6368">
      <w:pPr>
        <w:pStyle w:val="EndNoteBibliography"/>
      </w:pPr>
      <w:r>
        <w:fldChar w:fldCharType="begin"/>
      </w:r>
      <w:r>
        <w:instrText xml:space="preserve"> ADDIN EN.REFLIST </w:instrText>
      </w:r>
      <w:r>
        <w:fldChar w:fldCharType="separate"/>
      </w:r>
      <w:r w:rsidRPr="004D6368">
        <w:t>1.</w:t>
      </w:r>
      <w:r w:rsidRPr="004D6368">
        <w:tab/>
        <w:t>Sung V, D'Amico F, Cabana MD, Chau K, Koren G, Savino F, et al. Lactobacillus reuteri to Treat Infant Colic: A Meta-analysis. Pediatrics. 2018;141(1).</w:t>
      </w:r>
    </w:p>
    <w:p w14:paraId="46828F3D" w14:textId="77777777" w:rsidR="004D6368" w:rsidRPr="004D6368" w:rsidRDefault="004D6368" w:rsidP="004D6368">
      <w:pPr>
        <w:pStyle w:val="EndNoteBibliography"/>
      </w:pPr>
      <w:r w:rsidRPr="004D6368">
        <w:t>2.</w:t>
      </w:r>
      <w:r w:rsidRPr="004D6368">
        <w:tab/>
        <w:t>Benninga MA, Faure C, Hyman PE, St James Roberts I, Schechter NL, Nurko S. Childhood Functional Gastrointestinal Disorders: Neonate/Toddler. Gastroenterology. 2016.</w:t>
      </w:r>
    </w:p>
    <w:p w14:paraId="62FB3EEE" w14:textId="77777777" w:rsidR="004D6368" w:rsidRPr="004D6368" w:rsidRDefault="004D6368" w:rsidP="004D6368">
      <w:pPr>
        <w:pStyle w:val="EndNoteBibliography"/>
      </w:pPr>
      <w:r w:rsidRPr="004D6368">
        <w:t>3.</w:t>
      </w:r>
      <w:r w:rsidRPr="004D6368">
        <w:tab/>
        <w:t>Giuliano AE, Ballman KV, McCall L, Beitsch PD, Brennan MB, Kelemen PR, et al. Effect of Axillary Dissection vs No Axillary Dissection on 10-Year Overall Survival Among Women With Invasive Breast Cancer and Sentinel Node Metastasis: The ACOSOG Z0011 (Alliance) Randomized Clinical Trial. JAMA. 2017;318(10):918-26.</w:t>
      </w:r>
    </w:p>
    <w:p w14:paraId="7A67165F" w14:textId="2512F2D9" w:rsidR="000E5DD2" w:rsidRPr="000E5DD2" w:rsidRDefault="004D6368" w:rsidP="000E5DD2">
      <w:r>
        <w:fldChar w:fldCharType="end"/>
      </w:r>
    </w:p>
    <w:sectPr w:rsidR="000E5DD2" w:rsidRPr="000E5DD2" w:rsidSect="00B321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CD221" w14:textId="77777777" w:rsidR="00740DB4" w:rsidRDefault="00740DB4" w:rsidP="00F67A4A">
      <w:r>
        <w:separator/>
      </w:r>
    </w:p>
  </w:endnote>
  <w:endnote w:type="continuationSeparator" w:id="0">
    <w:p w14:paraId="62C7C9BC" w14:textId="77777777" w:rsidR="00740DB4" w:rsidRDefault="00740DB4" w:rsidP="00F6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9427345"/>
      <w:docPartObj>
        <w:docPartGallery w:val="Page Numbers (Bottom of Page)"/>
        <w:docPartUnique/>
      </w:docPartObj>
    </w:sdtPr>
    <w:sdtContent>
      <w:p w14:paraId="474DDA43" w14:textId="748831CB" w:rsidR="00566042" w:rsidRDefault="00566042" w:rsidP="000575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771AD9" w14:textId="77777777" w:rsidR="00566042" w:rsidRDefault="00566042" w:rsidP="005660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1448094"/>
      <w:docPartObj>
        <w:docPartGallery w:val="Page Numbers (Bottom of Page)"/>
        <w:docPartUnique/>
      </w:docPartObj>
    </w:sdtPr>
    <w:sdtContent>
      <w:p w14:paraId="1EEEE608" w14:textId="1DDD997B" w:rsidR="00566042" w:rsidRDefault="00566042" w:rsidP="000575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60E99D" w14:textId="77777777" w:rsidR="00566042" w:rsidRDefault="00566042" w:rsidP="0056604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0D8E" w14:textId="77777777" w:rsidR="00227712" w:rsidRDefault="00227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6C527" w14:textId="77777777" w:rsidR="00740DB4" w:rsidRDefault="00740DB4" w:rsidP="00F67A4A">
      <w:r>
        <w:separator/>
      </w:r>
    </w:p>
  </w:footnote>
  <w:footnote w:type="continuationSeparator" w:id="0">
    <w:p w14:paraId="49127492" w14:textId="77777777" w:rsidR="00740DB4" w:rsidRDefault="00740DB4" w:rsidP="00F67A4A">
      <w:r>
        <w:continuationSeparator/>
      </w:r>
    </w:p>
  </w:footnote>
  <w:footnote w:id="1">
    <w:p w14:paraId="0B7C5973" w14:textId="77777777" w:rsidR="00F67A4A" w:rsidRPr="00314CD5" w:rsidRDefault="00F67A4A" w:rsidP="00F67A4A">
      <w:pPr>
        <w:pStyle w:val="FootnoteText"/>
        <w:rPr>
          <w:rFonts w:ascii="Cambria" w:hAnsi="Cambria"/>
        </w:rPr>
      </w:pPr>
      <w:r w:rsidRPr="00314CD5">
        <w:rPr>
          <w:rStyle w:val="FootnoteReference"/>
          <w:rFonts w:ascii="Cambria" w:hAnsi="Cambria"/>
        </w:rPr>
        <w:footnoteRef/>
      </w:r>
      <w:r w:rsidRPr="00314CD5">
        <w:rPr>
          <w:rFonts w:ascii="Cambria" w:hAnsi="Cambria"/>
        </w:rPr>
        <w:t xml:space="preserve"> Note a problem with this is that death and recurrence are two very different outcomes; we</w:t>
      </w:r>
      <w:r>
        <w:rPr>
          <w:rFonts w:ascii="Cambria" w:hAnsi="Cambria"/>
        </w:rPr>
        <w:t xml:space="preserve"> will</w:t>
      </w:r>
      <w:r w:rsidRPr="00314CD5">
        <w:rPr>
          <w:rFonts w:ascii="Cambria" w:hAnsi="Cambria"/>
        </w:rPr>
        <w:t xml:space="preserve"> learn about problems with these “composite outcomes” in Chapter </w:t>
      </w:r>
      <w:r>
        <w:rPr>
          <w:rFonts w:ascii="Cambria" w:hAnsi="Cambria"/>
        </w:rPr>
        <w:t>8</w:t>
      </w:r>
      <w:r w:rsidRPr="00314CD5">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33B2" w14:textId="77777777" w:rsidR="00227712" w:rsidRDefault="00227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p w14:paraId="00E0CA3F" w14:textId="3C4F8B70" w:rsidR="00B74077" w:rsidRPr="00B74077" w:rsidRDefault="00B74077">
    <w:pPr>
      <w:pStyle w:val="Header"/>
      <w:rPr>
        <w:sz w:val="18"/>
      </w:rPr>
    </w:pPr>
    <w:r>
      <w:rPr>
        <w:sz w:val="18"/>
      </w:rPr>
      <w:fldChar w:fldCharType="begin"/>
    </w:r>
    <w:r>
      <w:rPr>
        <w:sz w:val="18"/>
      </w:rPr>
      <w:instrText xml:space="preserve"> FILENAME \p \* MERGEFORMAT </w:instrText>
    </w:r>
    <w:r>
      <w:rPr>
        <w:sz w:val="18"/>
      </w:rPr>
      <w:fldChar w:fldCharType="separate"/>
    </w:r>
    <w:r w:rsidR="00227712">
      <w:rPr>
        <w:noProof/>
        <w:sz w:val="18"/>
      </w:rPr>
      <w:t>/Users/thomasnewman/Box Sync/EBD/EBD-2/Chapters for Cambridge 2019-0109/EBD2 Chapter 1 Problems with answers 2019-0109.docx</w:t>
    </w:r>
    <w:r>
      <w:rPr>
        <w:sz w:val="18"/>
      </w:rPr>
      <w:fldChar w:fldCharType="end"/>
    </w:r>
    <w:r>
      <w:rPr>
        <w:sz w:val="18"/>
      </w:rPr>
      <w:t xml:space="preserve">    </w:t>
    </w:r>
    <w:r>
      <w:rPr>
        <w:sz w:val="18"/>
      </w:rPr>
      <w:fldChar w:fldCharType="begin"/>
    </w:r>
    <w:r>
      <w:rPr>
        <w:sz w:val="18"/>
      </w:rPr>
      <w:instrText xml:space="preserve"> SAVEDATE  \* MERGEFORMAT </w:instrText>
    </w:r>
    <w:r>
      <w:rPr>
        <w:sz w:val="18"/>
      </w:rPr>
      <w:fldChar w:fldCharType="separate"/>
    </w:r>
    <w:r w:rsidR="00227712">
      <w:rPr>
        <w:noProof/>
        <w:sz w:val="18"/>
      </w:rPr>
      <w:t>1/9/19 11:18:00 PM</w:t>
    </w:r>
    <w:r>
      <w:rPr>
        <w:sz w:val="18"/>
      </w:rPr>
      <w:fldChar w:fldCharType="end"/>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9A0C" w14:textId="77777777" w:rsidR="00227712" w:rsidRDefault="00227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Square bracket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sswrav8t2apbep2dbpv25ufvpprfe9rpex&quot;&gt;MasterLibrary-2017-0828&lt;record-ids&gt;&lt;item&gt;4050&lt;/item&gt;&lt;item&gt;4205&lt;/item&gt;&lt;item&gt;4206&lt;/item&gt;&lt;/record-ids&gt;&lt;/item&gt;&lt;/Libraries&gt;"/>
  </w:docVars>
  <w:rsids>
    <w:rsidRoot w:val="000C65B7"/>
    <w:rsid w:val="00002DA0"/>
    <w:rsid w:val="00013F96"/>
    <w:rsid w:val="00021F63"/>
    <w:rsid w:val="00022116"/>
    <w:rsid w:val="000251B1"/>
    <w:rsid w:val="00030A8C"/>
    <w:rsid w:val="000A382D"/>
    <w:rsid w:val="000B6538"/>
    <w:rsid w:val="000C65B7"/>
    <w:rsid w:val="000E5DD2"/>
    <w:rsid w:val="0010363A"/>
    <w:rsid w:val="00197C40"/>
    <w:rsid w:val="001C4538"/>
    <w:rsid w:val="001D0122"/>
    <w:rsid w:val="00205529"/>
    <w:rsid w:val="00227712"/>
    <w:rsid w:val="00262FB7"/>
    <w:rsid w:val="00277087"/>
    <w:rsid w:val="002E6B52"/>
    <w:rsid w:val="002F51ED"/>
    <w:rsid w:val="00330B16"/>
    <w:rsid w:val="003F50A6"/>
    <w:rsid w:val="0040033D"/>
    <w:rsid w:val="00416E6F"/>
    <w:rsid w:val="00420281"/>
    <w:rsid w:val="004D26F6"/>
    <w:rsid w:val="004D6368"/>
    <w:rsid w:val="00555408"/>
    <w:rsid w:val="00566042"/>
    <w:rsid w:val="00592E1E"/>
    <w:rsid w:val="0066220F"/>
    <w:rsid w:val="00721BBA"/>
    <w:rsid w:val="00740DB4"/>
    <w:rsid w:val="007535D7"/>
    <w:rsid w:val="007A58A2"/>
    <w:rsid w:val="007E1CEA"/>
    <w:rsid w:val="007F5F9C"/>
    <w:rsid w:val="00803807"/>
    <w:rsid w:val="008A3EC3"/>
    <w:rsid w:val="008A559D"/>
    <w:rsid w:val="009129A8"/>
    <w:rsid w:val="00986E34"/>
    <w:rsid w:val="009C544D"/>
    <w:rsid w:val="00A419B1"/>
    <w:rsid w:val="00A51678"/>
    <w:rsid w:val="00B3218E"/>
    <w:rsid w:val="00B74077"/>
    <w:rsid w:val="00BB2E98"/>
    <w:rsid w:val="00BF101D"/>
    <w:rsid w:val="00C10B1B"/>
    <w:rsid w:val="00C43FF1"/>
    <w:rsid w:val="00C72C9A"/>
    <w:rsid w:val="00CA0096"/>
    <w:rsid w:val="00CB31CA"/>
    <w:rsid w:val="00D01ED7"/>
    <w:rsid w:val="00D70451"/>
    <w:rsid w:val="00DD4A43"/>
    <w:rsid w:val="00E26343"/>
    <w:rsid w:val="00EB1BC1"/>
    <w:rsid w:val="00F063AD"/>
    <w:rsid w:val="00F67A4A"/>
    <w:rsid w:val="00F86AA0"/>
    <w:rsid w:val="00FE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BC7A"/>
  <w14:defaultImageDpi w14:val="32767"/>
  <w15:chartTrackingRefBased/>
  <w15:docId w15:val="{81559BE3-0C6E-A342-B200-E102B0A1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DD2"/>
    <w:pPr>
      <w:widowControl w:val="0"/>
      <w:tabs>
        <w:tab w:val="left" w:pos="-720"/>
      </w:tabs>
      <w:suppressAutoHyphens/>
    </w:pPr>
    <w:rPr>
      <w:rFonts w:ascii="Times New Roman" w:eastAsia="Times New Roman" w:hAnsi="Times New Roman" w:cs="Times New Roman"/>
      <w:b/>
      <w:bCs/>
      <w:snapToGrid w:val="0"/>
      <w:szCs w:val="20"/>
    </w:rPr>
  </w:style>
  <w:style w:type="character" w:customStyle="1" w:styleId="BodyTextChar">
    <w:name w:val="Body Text Char"/>
    <w:basedOn w:val="DefaultParagraphFont"/>
    <w:link w:val="BodyText"/>
    <w:rsid w:val="000E5DD2"/>
    <w:rPr>
      <w:rFonts w:ascii="Times New Roman" w:eastAsia="Times New Roman" w:hAnsi="Times New Roman" w:cs="Times New Roman"/>
      <w:b/>
      <w:bCs/>
      <w:snapToGrid w:val="0"/>
      <w:szCs w:val="20"/>
    </w:rPr>
  </w:style>
  <w:style w:type="paragraph" w:customStyle="1" w:styleId="EndNoteBibliography">
    <w:name w:val="EndNote Bibliography"/>
    <w:basedOn w:val="Normal"/>
    <w:link w:val="EndNoteBibliographyChar"/>
    <w:rsid w:val="000E5DD2"/>
    <w:pPr>
      <w:widowControl w:val="0"/>
    </w:pPr>
    <w:rPr>
      <w:rFonts w:ascii="Times New Roman" w:eastAsia="Times New Roman" w:hAnsi="Times New Roman" w:cs="Times New Roman"/>
      <w:noProof/>
      <w:snapToGrid w:val="0"/>
      <w:szCs w:val="20"/>
    </w:rPr>
  </w:style>
  <w:style w:type="character" w:customStyle="1" w:styleId="EndNoteBibliographyChar">
    <w:name w:val="EndNote Bibliography Char"/>
    <w:link w:val="EndNoteBibliography"/>
    <w:rsid w:val="000E5DD2"/>
    <w:rPr>
      <w:rFonts w:ascii="Times New Roman" w:eastAsia="Times New Roman" w:hAnsi="Times New Roman" w:cs="Times New Roman"/>
      <w:noProof/>
      <w:snapToGrid w:val="0"/>
      <w:szCs w:val="20"/>
    </w:rPr>
  </w:style>
  <w:style w:type="paragraph" w:styleId="FootnoteText">
    <w:name w:val="footnote text"/>
    <w:basedOn w:val="Normal"/>
    <w:link w:val="FootnoteTextChar"/>
    <w:semiHidden/>
    <w:rsid w:val="00F67A4A"/>
    <w:pPr>
      <w:widowControl w:val="0"/>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semiHidden/>
    <w:rsid w:val="00F67A4A"/>
    <w:rPr>
      <w:rFonts w:ascii="Courier New" w:eastAsia="Times New Roman" w:hAnsi="Courier New" w:cs="Times New Roman"/>
      <w:snapToGrid w:val="0"/>
      <w:sz w:val="20"/>
      <w:szCs w:val="20"/>
    </w:rPr>
  </w:style>
  <w:style w:type="character" w:styleId="FootnoteReference">
    <w:name w:val="footnote reference"/>
    <w:semiHidden/>
    <w:rsid w:val="00F67A4A"/>
    <w:rPr>
      <w:vertAlign w:val="superscript"/>
    </w:rPr>
  </w:style>
  <w:style w:type="paragraph" w:customStyle="1" w:styleId="EndNoteBibliographyTitle">
    <w:name w:val="EndNote Bibliography Title"/>
    <w:basedOn w:val="Normal"/>
    <w:link w:val="EndNoteBibliographyTitleChar"/>
    <w:rsid w:val="004D6368"/>
    <w:pPr>
      <w:jc w:val="center"/>
    </w:pPr>
    <w:rPr>
      <w:rFonts w:ascii="Times New Roman" w:hAnsi="Times New Roman" w:cs="Times New Roman"/>
    </w:rPr>
  </w:style>
  <w:style w:type="character" w:customStyle="1" w:styleId="EndNoteBibliographyTitleChar">
    <w:name w:val="EndNote Bibliography Title Char"/>
    <w:basedOn w:val="BodyTextChar"/>
    <w:link w:val="EndNoteBibliographyTitle"/>
    <w:rsid w:val="004D6368"/>
    <w:rPr>
      <w:rFonts w:ascii="Times New Roman" w:eastAsia="Times New Roman" w:hAnsi="Times New Roman" w:cs="Times New Roman"/>
      <w:b w:val="0"/>
      <w:bCs w:val="0"/>
      <w:snapToGrid/>
      <w:szCs w:val="20"/>
    </w:rPr>
  </w:style>
  <w:style w:type="paragraph" w:styleId="Header">
    <w:name w:val="header"/>
    <w:basedOn w:val="Normal"/>
    <w:link w:val="HeaderChar"/>
    <w:uiPriority w:val="99"/>
    <w:unhideWhenUsed/>
    <w:rsid w:val="00B74077"/>
    <w:pPr>
      <w:tabs>
        <w:tab w:val="center" w:pos="4680"/>
        <w:tab w:val="right" w:pos="9360"/>
      </w:tabs>
    </w:pPr>
  </w:style>
  <w:style w:type="character" w:customStyle="1" w:styleId="HeaderChar">
    <w:name w:val="Header Char"/>
    <w:basedOn w:val="DefaultParagraphFont"/>
    <w:link w:val="Header"/>
    <w:uiPriority w:val="99"/>
    <w:rsid w:val="00B74077"/>
  </w:style>
  <w:style w:type="paragraph" w:styleId="Footer">
    <w:name w:val="footer"/>
    <w:basedOn w:val="Normal"/>
    <w:link w:val="FooterChar"/>
    <w:uiPriority w:val="99"/>
    <w:unhideWhenUsed/>
    <w:rsid w:val="00B74077"/>
    <w:pPr>
      <w:tabs>
        <w:tab w:val="center" w:pos="4680"/>
        <w:tab w:val="right" w:pos="9360"/>
      </w:tabs>
    </w:pPr>
  </w:style>
  <w:style w:type="character" w:customStyle="1" w:styleId="FooterChar">
    <w:name w:val="Footer Char"/>
    <w:basedOn w:val="DefaultParagraphFont"/>
    <w:link w:val="Footer"/>
    <w:uiPriority w:val="99"/>
    <w:rsid w:val="00B74077"/>
  </w:style>
  <w:style w:type="character" w:styleId="PageNumber">
    <w:name w:val="page number"/>
    <w:basedOn w:val="DefaultParagraphFont"/>
    <w:uiPriority w:val="99"/>
    <w:semiHidden/>
    <w:unhideWhenUsed/>
    <w:rsid w:val="00566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1598</Words>
  <Characters>8712</Characters>
  <Application>Microsoft Office Word</Application>
  <DocSecurity>0</DocSecurity>
  <Lines>150</Lines>
  <Paragraphs>40</Paragraphs>
  <ScaleCrop>false</ScaleCrop>
  <Company>UCSF</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Thomas</dc:creator>
  <cp:keywords/>
  <dc:description/>
  <cp:lastModifiedBy>Newman, Thomas</cp:lastModifiedBy>
  <cp:revision>5</cp:revision>
  <dcterms:created xsi:type="dcterms:W3CDTF">2019-01-10T07:17:00Z</dcterms:created>
  <dcterms:modified xsi:type="dcterms:W3CDTF">2019-01-10T07:18:00Z</dcterms:modified>
</cp:coreProperties>
</file>