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A8F44" w14:textId="7DBE529D" w:rsidR="0053605B" w:rsidRDefault="00294211" w:rsidP="002F131D">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Spaces in Field Names: </w:t>
      </w:r>
      <w:proofErr w:type="spellStart"/>
      <w:r w:rsidR="0053605B">
        <w:rPr>
          <w:rFonts w:ascii="Times New Roman" w:eastAsia="Times New Roman" w:hAnsi="Times New Roman" w:cs="Times New Roman"/>
          <w:color w:val="000000"/>
        </w:rPr>
        <w:t>REDCap</w:t>
      </w:r>
      <w:proofErr w:type="spellEnd"/>
      <w:r w:rsidR="0053605B">
        <w:rPr>
          <w:rFonts w:ascii="Times New Roman" w:eastAsia="Times New Roman" w:hAnsi="Times New Roman" w:cs="Times New Roman"/>
          <w:color w:val="000000"/>
        </w:rPr>
        <w:t xml:space="preserve"> will not allow spaces in field </w:t>
      </w:r>
      <w:proofErr w:type="gramStart"/>
      <w:r w:rsidR="0053605B">
        <w:rPr>
          <w:rFonts w:ascii="Times New Roman" w:eastAsia="Times New Roman" w:hAnsi="Times New Roman" w:cs="Times New Roman"/>
          <w:color w:val="000000"/>
        </w:rPr>
        <w:t>names</w:t>
      </w:r>
      <w:proofErr w:type="gramEnd"/>
      <w:r w:rsidR="0053605B">
        <w:rPr>
          <w:rFonts w:ascii="Times New Roman" w:eastAsia="Times New Roman" w:hAnsi="Times New Roman" w:cs="Times New Roman"/>
          <w:color w:val="000000"/>
        </w:rPr>
        <w:t xml:space="preserve"> but Access will.  Even so, they can cause headaches later on, s</w:t>
      </w:r>
      <w:r>
        <w:rPr>
          <w:rFonts w:ascii="Times New Roman" w:eastAsia="Times New Roman" w:hAnsi="Times New Roman" w:cs="Times New Roman"/>
          <w:color w:val="000000"/>
        </w:rPr>
        <w:t xml:space="preserve">o </w:t>
      </w:r>
      <w:r w:rsidR="00B26430">
        <w:rPr>
          <w:rFonts w:ascii="Times New Roman" w:eastAsia="Times New Roman" w:hAnsi="Times New Roman" w:cs="Times New Roman"/>
          <w:color w:val="000000"/>
        </w:rPr>
        <w:t xml:space="preserve">do </w:t>
      </w:r>
      <w:r>
        <w:rPr>
          <w:rFonts w:ascii="Times New Roman" w:eastAsia="Times New Roman" w:hAnsi="Times New Roman" w:cs="Times New Roman"/>
          <w:color w:val="000000"/>
        </w:rPr>
        <w:t>not use spaces in field names.  For example, use “FirstName”</w:t>
      </w:r>
      <w:r w:rsidR="005360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 “</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 but not “First Name” or “first name”</w:t>
      </w:r>
      <w:r w:rsidR="0053605B">
        <w:rPr>
          <w:rFonts w:ascii="Times New Roman" w:eastAsia="Times New Roman" w:hAnsi="Times New Roman" w:cs="Times New Roman"/>
          <w:color w:val="000000"/>
        </w:rPr>
        <w:t>.</w:t>
      </w:r>
    </w:p>
    <w:p w14:paraId="10B0F666" w14:textId="77777777" w:rsidR="0053605B" w:rsidRDefault="0053605B" w:rsidP="002F131D">
      <w:pPr>
        <w:rPr>
          <w:rFonts w:ascii="Times New Roman" w:eastAsia="Times New Roman" w:hAnsi="Times New Roman" w:cs="Times New Roman"/>
          <w:color w:val="000000"/>
        </w:rPr>
      </w:pPr>
    </w:p>
    <w:p w14:paraId="6884B1BD" w14:textId="1A04FF30" w:rsidR="0053605B" w:rsidRDefault="0053605B" w:rsidP="0053605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Capital Letters in Field Names: </w:t>
      </w:r>
      <w:proofErr w:type="spellStart"/>
      <w:r>
        <w:rPr>
          <w:rFonts w:ascii="Times New Roman" w:eastAsia="Times New Roman" w:hAnsi="Times New Roman" w:cs="Times New Roman"/>
          <w:color w:val="000000"/>
        </w:rPr>
        <w:t>REDCap</w:t>
      </w:r>
      <w:proofErr w:type="spellEnd"/>
      <w:r>
        <w:rPr>
          <w:rFonts w:ascii="Times New Roman" w:eastAsia="Times New Roman" w:hAnsi="Times New Roman" w:cs="Times New Roman"/>
          <w:color w:val="000000"/>
        </w:rPr>
        <w:t xml:space="preserve"> will not allow capital letters in field </w:t>
      </w:r>
      <w:proofErr w:type="gramStart"/>
      <w:r>
        <w:rPr>
          <w:rFonts w:ascii="Times New Roman" w:eastAsia="Times New Roman" w:hAnsi="Times New Roman" w:cs="Times New Roman"/>
          <w:color w:val="000000"/>
        </w:rPr>
        <w:t>names</w:t>
      </w:r>
      <w:proofErr w:type="gramEnd"/>
      <w:r>
        <w:rPr>
          <w:rFonts w:ascii="Times New Roman" w:eastAsia="Times New Roman" w:hAnsi="Times New Roman" w:cs="Times New Roman"/>
          <w:color w:val="000000"/>
        </w:rPr>
        <w:t xml:space="preserve"> but Access will.  We love using </w:t>
      </w:r>
      <w:proofErr w:type="spellStart"/>
      <w:r>
        <w:rPr>
          <w:rFonts w:ascii="Times New Roman" w:eastAsia="Times New Roman" w:hAnsi="Times New Roman" w:cs="Times New Roman"/>
          <w:color w:val="000000"/>
        </w:rPr>
        <w:t>IntraCaps</w:t>
      </w:r>
      <w:proofErr w:type="spellEnd"/>
      <w:r w:rsidR="00F9582A">
        <w:rPr>
          <w:rFonts w:ascii="Times New Roman" w:eastAsia="Times New Roman" w:hAnsi="Times New Roman" w:cs="Times New Roman"/>
          <w:color w:val="000000"/>
        </w:rPr>
        <w:t>/</w:t>
      </w:r>
      <w:r>
        <w:rPr>
          <w:rFonts w:ascii="Times New Roman" w:eastAsia="Times New Roman" w:hAnsi="Times New Roman" w:cs="Times New Roman"/>
          <w:color w:val="000000"/>
        </w:rPr>
        <w:t>CamelCase</w:t>
      </w:r>
      <w:r w:rsidR="00F9582A">
        <w:rPr>
          <w:rFonts w:ascii="Times New Roman" w:eastAsia="Times New Roman" w:hAnsi="Times New Roman" w:cs="Times New Roman"/>
          <w:color w:val="000000"/>
        </w:rPr>
        <w:t xml:space="preserve"> (e.g., “FirstName”) </w:t>
      </w:r>
      <w:r>
        <w:rPr>
          <w:rFonts w:ascii="Times New Roman" w:eastAsia="Times New Roman" w:hAnsi="Times New Roman" w:cs="Times New Roman"/>
          <w:color w:val="000000"/>
        </w:rPr>
        <w:t xml:space="preserve">to </w:t>
      </w:r>
      <w:r w:rsidR="00F9582A">
        <w:rPr>
          <w:rFonts w:ascii="Times New Roman" w:eastAsia="Times New Roman" w:hAnsi="Times New Roman" w:cs="Times New Roman"/>
          <w:color w:val="000000"/>
        </w:rPr>
        <w:t>distinguish words and make</w:t>
      </w:r>
      <w:r>
        <w:rPr>
          <w:rFonts w:ascii="Times New Roman" w:eastAsia="Times New Roman" w:hAnsi="Times New Roman" w:cs="Times New Roman"/>
          <w:color w:val="000000"/>
        </w:rPr>
        <w:t xml:space="preserve"> field names more readable</w:t>
      </w:r>
      <w:r w:rsidR="00F9582A">
        <w:rPr>
          <w:rFonts w:ascii="Times New Roman" w:eastAsia="Times New Roman" w:hAnsi="Times New Roman" w:cs="Times New Roman"/>
          <w:color w:val="000000"/>
        </w:rPr>
        <w:t>.  T</w:t>
      </w:r>
      <w:r>
        <w:rPr>
          <w:rFonts w:ascii="Times New Roman" w:eastAsia="Times New Roman" w:hAnsi="Times New Roman" w:cs="Times New Roman"/>
          <w:color w:val="000000"/>
        </w:rPr>
        <w:t>his is our preference for field names in Access</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sidR="00F9582A">
        <w:rPr>
          <w:rFonts w:ascii="Times New Roman" w:eastAsia="Times New Roman" w:hAnsi="Times New Roman" w:cs="Times New Roman"/>
          <w:color w:val="000000"/>
        </w:rPr>
        <w:t xml:space="preserve">in </w:t>
      </w:r>
      <w:proofErr w:type="spellStart"/>
      <w:r w:rsidR="00F9582A">
        <w:rPr>
          <w:rFonts w:ascii="Times New Roman" w:eastAsia="Times New Roman" w:hAnsi="Times New Roman" w:cs="Times New Roman"/>
          <w:color w:val="000000"/>
        </w:rPr>
        <w:t>REDCap</w:t>
      </w:r>
      <w:proofErr w:type="spellEnd"/>
      <w:r w:rsidR="00F9582A">
        <w:rPr>
          <w:rFonts w:ascii="Times New Roman" w:eastAsia="Times New Roman" w:hAnsi="Times New Roman" w:cs="Times New Roman"/>
          <w:color w:val="000000"/>
        </w:rPr>
        <w:t>, you will have to use underscores to distinguish words, e.g., “</w:t>
      </w:r>
      <w:proofErr w:type="spellStart"/>
      <w:r w:rsidR="00F9582A">
        <w:rPr>
          <w:rFonts w:ascii="Times New Roman" w:eastAsia="Times New Roman" w:hAnsi="Times New Roman" w:cs="Times New Roman"/>
          <w:color w:val="000000"/>
        </w:rPr>
        <w:t>first_name</w:t>
      </w:r>
      <w:proofErr w:type="spellEnd"/>
      <w:r w:rsidR="00F9582A">
        <w:rPr>
          <w:rFonts w:ascii="Times New Roman" w:eastAsia="Times New Roman" w:hAnsi="Times New Roman" w:cs="Times New Roman"/>
          <w:color w:val="000000"/>
        </w:rPr>
        <w:t>”.</w:t>
      </w:r>
    </w:p>
    <w:p w14:paraId="4227ABE8" w14:textId="2C7D9332" w:rsidR="00294211" w:rsidRPr="00294211" w:rsidRDefault="00294211" w:rsidP="002F131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DD4E2" w14:textId="60D0B7CA"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 xml:space="preserve">characteristic. Try to name the field with the “Yes” response and add </w:t>
      </w:r>
      <w:proofErr w:type="gramStart"/>
      <w:r w:rsidRPr="00696685">
        <w:rPr>
          <w:rFonts w:ascii="Times New Roman" w:eastAsia="Times New Roman" w:hAnsi="Times New Roman" w:cs="Times New Roman"/>
          <w:color w:val="000000"/>
        </w:rPr>
        <w:t>“</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proofErr w:type="gramEnd"/>
      <w:r w:rsidRPr="00696685">
        <w:rPr>
          <w:rFonts w:ascii="Times New Roman" w:eastAsia="Times New Roman" w:hAnsi="Times New Roman" w:cs="Times New Roman"/>
          <w:color w:val="000000"/>
        </w:rPr>
        <w:t>” or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57441F08" w14:textId="67CB1C63" w:rsidR="00F25809" w:rsidRDefault="002801BD" w:rsidP="00F25809">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r w:rsidR="00F25809">
        <w:rPr>
          <w:rFonts w:ascii="Times New Roman" w:eastAsia="Times New Roman" w:hAnsi="Times New Roman" w:cs="Times New Roman"/>
          <w:color w:val="000000"/>
        </w:rPr>
        <w:t xml:space="preserve">  This convention is arbitrary, just as the convention of driving on the right side of the road is arbitrary.  But we all should do it </w:t>
      </w:r>
      <w:r w:rsidR="00AA1501">
        <w:rPr>
          <w:rFonts w:ascii="Times New Roman" w:eastAsia="Times New Roman" w:hAnsi="Times New Roman" w:cs="Times New Roman"/>
          <w:color w:val="000000"/>
        </w:rPr>
        <w:t xml:space="preserve">the </w:t>
      </w:r>
      <w:r w:rsidR="00F25809">
        <w:rPr>
          <w:rFonts w:ascii="Times New Roman" w:eastAsia="Times New Roman" w:hAnsi="Times New Roman" w:cs="Times New Roman"/>
          <w:color w:val="000000"/>
        </w:rPr>
        <w:t>s</w:t>
      </w:r>
      <w:r w:rsidR="00AA1501">
        <w:rPr>
          <w:rFonts w:ascii="Times New Roman" w:eastAsia="Times New Roman" w:hAnsi="Times New Roman" w:cs="Times New Roman"/>
          <w:color w:val="000000"/>
        </w:rPr>
        <w:t>a</w:t>
      </w:r>
      <w:r w:rsidR="00F25809">
        <w:rPr>
          <w:rFonts w:ascii="Times New Roman" w:eastAsia="Times New Roman" w:hAnsi="Times New Roman" w:cs="Times New Roman"/>
          <w:color w:val="000000"/>
        </w:rPr>
        <w:t>me way.</w:t>
      </w:r>
    </w:p>
    <w:p w14:paraId="6B6757FC" w14:textId="77777777" w:rsidR="00F25809" w:rsidRDefault="00F25809" w:rsidP="00F25809">
      <w:pPr>
        <w:rPr>
          <w:rFonts w:ascii="Times New Roman" w:eastAsia="Times New Roman" w:hAnsi="Times New Roman" w:cs="Times New Roman"/>
          <w:color w:val="000000"/>
        </w:rPr>
      </w:pPr>
    </w:p>
    <w:p w14:paraId="76A755D4" w14:textId="77777777" w:rsidR="00F25809" w:rsidRDefault="00F25809" w:rsidP="00F25809">
      <w:pPr>
        <w:rPr>
          <w:rFonts w:ascii="Times New Roman" w:eastAsia="Times New Roman" w:hAnsi="Times New Roman" w:cs="Times New Roman"/>
          <w:color w:val="000000"/>
        </w:rPr>
      </w:pPr>
      <w:r>
        <w:rPr>
          <w:rFonts w:ascii="Times New Roman" w:eastAsia="Times New Roman" w:hAnsi="Times New Roman" w:cs="Times New Roman"/>
          <w:color w:val="000000"/>
        </w:rPr>
        <w:t>To include transgender individuals, the following coding is modified from Apex (Epic).</w:t>
      </w:r>
    </w:p>
    <w:p w14:paraId="0C94ACD1" w14:textId="77777777" w:rsidR="00F25809" w:rsidRDefault="00F25809" w:rsidP="00F25809">
      <w:pPr>
        <w:rPr>
          <w:rFonts w:ascii="Times New Roman" w:eastAsia="Times New Roman" w:hAnsi="Times New Roman" w:cs="Times New Roman"/>
          <w:color w:val="000000"/>
        </w:rPr>
      </w:pPr>
    </w:p>
    <w:p w14:paraId="3EB678B6" w14:textId="77777777" w:rsidR="00F25809" w:rsidRDefault="00F25809" w:rsidP="00F25809">
      <w:r>
        <w:t>0              Female</w:t>
      </w:r>
    </w:p>
    <w:p w14:paraId="7941AD17" w14:textId="77777777" w:rsidR="00F25809" w:rsidRDefault="00F25809" w:rsidP="00F25809">
      <w:r>
        <w:t>1              Male</w:t>
      </w:r>
    </w:p>
    <w:p w14:paraId="679A366D" w14:textId="77777777" w:rsidR="00F25809" w:rsidRDefault="00F25809" w:rsidP="00F25809">
      <w:r>
        <w:t>4              Transgender Female to Male</w:t>
      </w:r>
    </w:p>
    <w:p w14:paraId="2226E32B" w14:textId="77777777" w:rsidR="00F25809" w:rsidRDefault="00F25809" w:rsidP="00F25809">
      <w:r>
        <w:t>5              Transgender Male to Female</w:t>
      </w:r>
    </w:p>
    <w:p w14:paraId="48E5ADDB" w14:textId="2CE09637" w:rsidR="00F25809" w:rsidRDefault="00F25809" w:rsidP="00F25809">
      <w:r>
        <w:t xml:space="preserve">8              </w:t>
      </w:r>
      <w:proofErr w:type="gramStart"/>
      <w:r w:rsidR="00AA1501">
        <w:t>Non-binary</w:t>
      </w:r>
      <w:proofErr w:type="gramEnd"/>
    </w:p>
    <w:p w14:paraId="2E4B7E1B" w14:textId="77777777" w:rsidR="00F25809" w:rsidRDefault="00F25809" w:rsidP="00F25809">
      <w:r>
        <w:t>9              Unknown</w:t>
      </w:r>
    </w:p>
    <w:p w14:paraId="122A4571" w14:textId="7C68B065" w:rsidR="002801BD" w:rsidRPr="00696685" w:rsidRDefault="002801BD" w:rsidP="002801BD">
      <w:pPr>
        <w:rPr>
          <w:rFonts w:ascii="Times New Roman" w:eastAsia="Times New Roman" w:hAnsi="Times New Roman" w:cs="Times New Roman"/>
          <w:color w:val="000000"/>
        </w:rPr>
      </w:pPr>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lastRenderedPageBreak/>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However, checking “all that apply” does not force the respondent to consider each possible item; an unchecked box may mean the item does not apply or was simply overlooked.  It is better to 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6BBE36BD" w14:textId="77777777" w:rsidR="00A83432" w:rsidRDefault="00A83432">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408DCE" w14:textId="18937362"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 xml:space="preserve">We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4, Native Hawaiian or Other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3E2852E7" w14:textId="1F1DE009" w:rsidR="00696685" w:rsidRDefault="009D205F" w:rsidP="00612EAA">
      <w:pPr>
        <w:pStyle w:val="Normal1"/>
      </w:pPr>
      <w:r>
        <w:rPr>
          <w:sz w:val="24"/>
          <w:szCs w:val="24"/>
        </w:rPr>
        <w:lastRenderedPageBreak/>
        <w:t xml:space="preserve">Here is what the field should look like in </w:t>
      </w:r>
      <w:proofErr w:type="spellStart"/>
      <w:r>
        <w:rPr>
          <w:sz w:val="24"/>
          <w:szCs w:val="24"/>
        </w:rPr>
        <w:t>REDCap</w:t>
      </w:r>
      <w:proofErr w:type="spellEnd"/>
      <w:r>
        <w:rPr>
          <w:sz w:val="24"/>
          <w:szCs w:val="24"/>
        </w:rPr>
        <w:t>:</w:t>
      </w:r>
      <w:r w:rsidR="00612EAA" w:rsidRPr="00612EAA">
        <w:drawing>
          <wp:inline distT="0" distB="0" distL="0" distR="0" wp14:anchorId="3DC46A80" wp14:editId="3E9617DA">
            <wp:extent cx="5943600" cy="296291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a:stretch>
                      <a:fillRect/>
                    </a:stretch>
                  </pic:blipFill>
                  <pic:spPr>
                    <a:xfrm>
                      <a:off x="0" y="0"/>
                      <a:ext cx="5943600" cy="2962910"/>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 xml:space="preserve">Multiple Choice Numeric Codes for Unknown and Other: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77777777" w:rsidR="00C86C3B" w:rsidRDefault="00C86C3B"/>
    <w:sectPr w:rsidR="00C86C3B"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A4DBB" w14:textId="77777777" w:rsidR="009F4B60" w:rsidRDefault="009F4B60" w:rsidP="00D1653D">
      <w:r>
        <w:separator/>
      </w:r>
    </w:p>
  </w:endnote>
  <w:endnote w:type="continuationSeparator" w:id="0">
    <w:p w14:paraId="0F8590F7" w14:textId="77777777" w:rsidR="009F4B60" w:rsidRDefault="009F4B60"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55262"/>
      <w:docPartObj>
        <w:docPartGallery w:val="Page Numbers (Bottom of Page)"/>
        <w:docPartUnique/>
      </w:docPartObj>
    </w:sdtPr>
    <w:sdtEndPr>
      <w:rPr>
        <w:noProof/>
      </w:rPr>
    </w:sdtEndPr>
    <w:sdtContent>
      <w:p w14:paraId="5F8428A8" w14:textId="67836E7E" w:rsidR="00893238" w:rsidRDefault="00893238">
        <w:pPr>
          <w:pStyle w:val="Footer"/>
          <w:jc w:val="right"/>
        </w:pPr>
        <w:r>
          <w:fldChar w:fldCharType="begin"/>
        </w:r>
        <w:r>
          <w:instrText xml:space="preserve"> PAGE   \* MERGEFORMAT </w:instrText>
        </w:r>
        <w:r>
          <w:fldChar w:fldCharType="separate"/>
        </w:r>
        <w:r w:rsidR="001A25CA">
          <w:rPr>
            <w:noProof/>
          </w:rPr>
          <w:t>1</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49214" w14:textId="77777777" w:rsidR="009F4B60" w:rsidRDefault="009F4B60" w:rsidP="00D1653D">
      <w:r>
        <w:separator/>
      </w:r>
    </w:p>
  </w:footnote>
  <w:footnote w:type="continuationSeparator" w:id="0">
    <w:p w14:paraId="50D80F1B" w14:textId="77777777" w:rsidR="009F4B60" w:rsidRDefault="009F4B60"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5CBDFC51" w14:textId="2F0BD467" w:rsidR="00AB55E5" w:rsidRPr="00AB55E5" w:rsidRDefault="00B26430" w:rsidP="00B26430">
    <w:pPr>
      <w:pStyle w:val="Header"/>
      <w:jc w:val="right"/>
      <w:rPr>
        <w:rFonts w:ascii="Times New Roman" w:hAnsi="Times New Roman" w:cs="Times New Roman"/>
      </w:rPr>
    </w:pPr>
    <w:r>
      <w:rPr>
        <w:rFonts w:ascii="Times New Roman" w:hAnsi="Times New Roman" w:cs="Times New Roman"/>
      </w:rPr>
      <w:t>7/28/2020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3B"/>
    <w:rsid w:val="000414D0"/>
    <w:rsid w:val="00103124"/>
    <w:rsid w:val="001A25CA"/>
    <w:rsid w:val="001E12B4"/>
    <w:rsid w:val="002801BD"/>
    <w:rsid w:val="00294211"/>
    <w:rsid w:val="002F131D"/>
    <w:rsid w:val="00305328"/>
    <w:rsid w:val="003E2CCF"/>
    <w:rsid w:val="00441FF7"/>
    <w:rsid w:val="004501A2"/>
    <w:rsid w:val="00462EFD"/>
    <w:rsid w:val="00491151"/>
    <w:rsid w:val="0053605B"/>
    <w:rsid w:val="00537A85"/>
    <w:rsid w:val="005B679E"/>
    <w:rsid w:val="0060691B"/>
    <w:rsid w:val="00612EAA"/>
    <w:rsid w:val="00686380"/>
    <w:rsid w:val="00696685"/>
    <w:rsid w:val="006C710A"/>
    <w:rsid w:val="007D45AC"/>
    <w:rsid w:val="00871DF9"/>
    <w:rsid w:val="008743D7"/>
    <w:rsid w:val="00887365"/>
    <w:rsid w:val="00893238"/>
    <w:rsid w:val="008C36DC"/>
    <w:rsid w:val="0098525B"/>
    <w:rsid w:val="009C0B44"/>
    <w:rsid w:val="009C3BF2"/>
    <w:rsid w:val="009D205F"/>
    <w:rsid w:val="009F4B60"/>
    <w:rsid w:val="00A27C83"/>
    <w:rsid w:val="00A65693"/>
    <w:rsid w:val="00A66C29"/>
    <w:rsid w:val="00A83432"/>
    <w:rsid w:val="00AA1501"/>
    <w:rsid w:val="00AB55E5"/>
    <w:rsid w:val="00AE5119"/>
    <w:rsid w:val="00B26430"/>
    <w:rsid w:val="00B82B9F"/>
    <w:rsid w:val="00BF6814"/>
    <w:rsid w:val="00C22619"/>
    <w:rsid w:val="00C54260"/>
    <w:rsid w:val="00C86C3B"/>
    <w:rsid w:val="00D0652F"/>
    <w:rsid w:val="00D1653D"/>
    <w:rsid w:val="00D56727"/>
    <w:rsid w:val="00D741BC"/>
    <w:rsid w:val="00DD02C6"/>
    <w:rsid w:val="00DE5FEA"/>
    <w:rsid w:val="00EB2600"/>
    <w:rsid w:val="00ED6693"/>
    <w:rsid w:val="00EE5DD4"/>
    <w:rsid w:val="00F25809"/>
    <w:rsid w:val="00F77C91"/>
    <w:rsid w:val="00F870CC"/>
    <w:rsid w:val="00F9582A"/>
    <w:rsid w:val="00FC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A. Kohn</cp:lastModifiedBy>
  <cp:revision>2</cp:revision>
  <dcterms:created xsi:type="dcterms:W3CDTF">2021-07-14T01:31:00Z</dcterms:created>
  <dcterms:modified xsi:type="dcterms:W3CDTF">2021-07-14T01:31:00Z</dcterms:modified>
</cp:coreProperties>
</file>