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EE0A90" w14:textId="77777777" w:rsidR="00F7223E" w:rsidRPr="00FA697B" w:rsidRDefault="00F7223E" w:rsidP="00B21F71">
      <w:pPr>
        <w:pStyle w:val="paragraph"/>
        <w:spacing w:before="0" w:beforeAutospacing="0" w:after="0" w:afterAutospacing="0"/>
        <w:textAlignment w:val="baseline"/>
        <w:rPr>
          <w:rStyle w:val="eop"/>
          <w:rFonts w:ascii="Arial" w:hAnsi="Arial" w:cs="Arial"/>
          <w:b/>
          <w:bCs/>
          <w:color w:val="000000" w:themeColor="text1"/>
        </w:rPr>
      </w:pPr>
      <w:r w:rsidRPr="00FA697B">
        <w:rPr>
          <w:rStyle w:val="normaltextrun"/>
          <w:rFonts w:ascii="Arial" w:hAnsi="Arial" w:cs="Arial"/>
          <w:b/>
          <w:bCs/>
          <w:color w:val="000000" w:themeColor="text1"/>
        </w:rPr>
        <w:t>Contribution of dietary intake to clinical and radiologic progression in pediatric multiple sclerosis </w:t>
      </w:r>
      <w:r w:rsidRPr="00FA697B">
        <w:rPr>
          <w:rStyle w:val="eop"/>
          <w:rFonts w:ascii="Arial" w:hAnsi="Arial" w:cs="Arial"/>
          <w:b/>
          <w:bCs/>
          <w:color w:val="000000" w:themeColor="text1"/>
        </w:rPr>
        <w:t> </w:t>
      </w:r>
    </w:p>
    <w:p w14:paraId="30182D3A" w14:textId="77777777" w:rsidR="007C6D74" w:rsidRPr="00FA697B" w:rsidRDefault="007C6D74" w:rsidP="00B21F71">
      <w:pPr>
        <w:pStyle w:val="paragraph"/>
        <w:spacing w:before="0" w:beforeAutospacing="0" w:after="0" w:afterAutospacing="0"/>
        <w:textAlignment w:val="baseline"/>
        <w:rPr>
          <w:rStyle w:val="eop"/>
          <w:rFonts w:ascii="Arial" w:hAnsi="Arial" w:cs="Arial"/>
          <w:color w:val="000000" w:themeColor="text1"/>
        </w:rPr>
      </w:pPr>
    </w:p>
    <w:p w14:paraId="2A8BC7BD" w14:textId="77777777" w:rsidR="007C6D74" w:rsidRPr="00FA697B" w:rsidRDefault="007C6D74" w:rsidP="00B21F71">
      <w:pPr>
        <w:pStyle w:val="paragraph"/>
        <w:spacing w:before="0" w:beforeAutospacing="0" w:after="0" w:afterAutospacing="0"/>
        <w:textAlignment w:val="baseline"/>
        <w:rPr>
          <w:rStyle w:val="eop"/>
          <w:rFonts w:ascii="Arial" w:hAnsi="Arial" w:cs="Arial"/>
          <w:color w:val="000000" w:themeColor="text1"/>
        </w:rPr>
      </w:pPr>
      <w:r w:rsidRPr="00FA697B">
        <w:rPr>
          <w:rStyle w:val="eop"/>
          <w:rFonts w:ascii="Arial" w:hAnsi="Arial" w:cs="Arial"/>
          <w:color w:val="000000" w:themeColor="text1"/>
        </w:rPr>
        <w:t>Sonam Dilwali, MD, PhD</w:t>
      </w:r>
    </w:p>
    <w:p w14:paraId="4F7A63F1" w14:textId="77777777" w:rsidR="007C6D74" w:rsidRPr="00FA697B" w:rsidRDefault="007C6D74" w:rsidP="00B21F71">
      <w:pPr>
        <w:pStyle w:val="paragraph"/>
        <w:spacing w:before="0" w:beforeAutospacing="0" w:after="0" w:afterAutospacing="0"/>
        <w:textAlignment w:val="baseline"/>
        <w:rPr>
          <w:rStyle w:val="eop"/>
          <w:rFonts w:ascii="Arial" w:hAnsi="Arial" w:cs="Arial"/>
          <w:color w:val="000000" w:themeColor="text1"/>
        </w:rPr>
      </w:pPr>
      <w:r w:rsidRPr="00FA697B">
        <w:rPr>
          <w:rStyle w:val="eop"/>
          <w:rFonts w:ascii="Arial" w:hAnsi="Arial" w:cs="Arial"/>
          <w:color w:val="000000" w:themeColor="text1"/>
        </w:rPr>
        <w:t>UCSF Neurology, PGY-4</w:t>
      </w:r>
    </w:p>
    <w:p w14:paraId="2558FCEE" w14:textId="77777777" w:rsidR="007C6D74" w:rsidRPr="00FA697B" w:rsidRDefault="007C6D74" w:rsidP="00B21F71">
      <w:pPr>
        <w:pStyle w:val="paragraph"/>
        <w:spacing w:before="0" w:beforeAutospacing="0" w:after="0" w:afterAutospacing="0"/>
        <w:textAlignment w:val="baseline"/>
        <w:rPr>
          <w:rStyle w:val="eop"/>
          <w:rFonts w:ascii="Arial" w:hAnsi="Arial" w:cs="Arial"/>
          <w:color w:val="000000" w:themeColor="text1"/>
        </w:rPr>
      </w:pPr>
      <w:r w:rsidRPr="00FA697B">
        <w:rPr>
          <w:rStyle w:val="eop"/>
          <w:rFonts w:ascii="Arial" w:hAnsi="Arial" w:cs="Arial"/>
          <w:color w:val="000000" w:themeColor="text1"/>
        </w:rPr>
        <w:t xml:space="preserve">PI: </w:t>
      </w:r>
      <w:r w:rsidRPr="00FA697B">
        <w:rPr>
          <w:rFonts w:ascii="Arial" w:hAnsi="Arial" w:cs="Arial"/>
          <w:color w:val="000000" w:themeColor="text1"/>
        </w:rPr>
        <w:t>Emmanuelle Waubant, MD, PhD</w:t>
      </w:r>
    </w:p>
    <w:p w14:paraId="61EBEAE9" w14:textId="77777777" w:rsidR="007C6D74" w:rsidRPr="00FA697B" w:rsidRDefault="007C6D74" w:rsidP="00B21F71">
      <w:pPr>
        <w:pStyle w:val="paragraph"/>
        <w:spacing w:before="0" w:beforeAutospacing="0" w:after="0" w:afterAutospacing="0"/>
        <w:textAlignment w:val="baseline"/>
        <w:rPr>
          <w:rFonts w:ascii="Arial" w:hAnsi="Arial" w:cs="Arial"/>
          <w:color w:val="000000" w:themeColor="text1"/>
        </w:rPr>
      </w:pPr>
    </w:p>
    <w:p w14:paraId="329FCC2E" w14:textId="1D0E7CDF" w:rsidR="00F7223E" w:rsidRPr="00FA697B" w:rsidRDefault="0096422B" w:rsidP="00B21F71">
      <w:pPr>
        <w:pStyle w:val="paragraph"/>
        <w:spacing w:before="0" w:beforeAutospacing="0" w:after="0" w:afterAutospacing="0"/>
        <w:textAlignment w:val="baseline"/>
        <w:rPr>
          <w:rFonts w:ascii="Arial" w:hAnsi="Arial" w:cs="Arial"/>
          <w:color w:val="000000" w:themeColor="text1"/>
        </w:rPr>
      </w:pPr>
      <w:r w:rsidRPr="00FA697B">
        <w:rPr>
          <w:rStyle w:val="normaltextrun"/>
          <w:rFonts w:ascii="Arial" w:hAnsi="Arial" w:cs="Arial"/>
          <w:color w:val="000000" w:themeColor="text1"/>
        </w:rPr>
        <w:t xml:space="preserve">Aug </w:t>
      </w:r>
      <w:r w:rsidR="0054049A" w:rsidRPr="00FA697B">
        <w:rPr>
          <w:rStyle w:val="normaltextrun"/>
          <w:rFonts w:ascii="Arial" w:hAnsi="Arial" w:cs="Arial"/>
          <w:color w:val="000000" w:themeColor="text1"/>
        </w:rPr>
        <w:t>20</w:t>
      </w:r>
      <w:r w:rsidR="00F7223E" w:rsidRPr="00FA697B">
        <w:rPr>
          <w:rStyle w:val="normaltextrun"/>
          <w:rFonts w:ascii="Arial" w:hAnsi="Arial" w:cs="Arial"/>
          <w:color w:val="000000" w:themeColor="text1"/>
        </w:rPr>
        <w:t>, 2021</w:t>
      </w:r>
      <w:r w:rsidR="00F7223E" w:rsidRPr="00FA697B">
        <w:rPr>
          <w:rStyle w:val="eop"/>
          <w:rFonts w:ascii="Arial" w:hAnsi="Arial" w:cs="Arial"/>
          <w:color w:val="000000" w:themeColor="text1"/>
        </w:rPr>
        <w:t> </w:t>
      </w:r>
    </w:p>
    <w:p w14:paraId="3768CAE4" w14:textId="77777777" w:rsidR="00F7223E" w:rsidRPr="00FA697B" w:rsidRDefault="00F7223E" w:rsidP="00B21F71">
      <w:pPr>
        <w:pStyle w:val="paragraph"/>
        <w:spacing w:before="0" w:beforeAutospacing="0" w:after="0" w:afterAutospacing="0"/>
        <w:textAlignment w:val="baseline"/>
        <w:rPr>
          <w:rFonts w:ascii="Arial" w:hAnsi="Arial" w:cs="Arial"/>
          <w:color w:val="000000" w:themeColor="text1"/>
        </w:rPr>
      </w:pPr>
      <w:r w:rsidRPr="00FA697B">
        <w:rPr>
          <w:rStyle w:val="eop"/>
          <w:rFonts w:ascii="Arial" w:hAnsi="Arial" w:cs="Arial"/>
          <w:color w:val="000000" w:themeColor="text1"/>
        </w:rPr>
        <w:t> </w:t>
      </w:r>
    </w:p>
    <w:p w14:paraId="1581E4F1" w14:textId="2E61061A" w:rsidR="00903062" w:rsidRPr="00FA697B" w:rsidRDefault="00F7223E" w:rsidP="00B21F71">
      <w:pPr>
        <w:pStyle w:val="paragraph"/>
        <w:spacing w:before="0" w:beforeAutospacing="0" w:after="0" w:afterAutospacing="0"/>
        <w:textAlignment w:val="baseline"/>
        <w:rPr>
          <w:rStyle w:val="normaltextrun"/>
          <w:rFonts w:ascii="Arial" w:hAnsi="Arial" w:cs="Arial"/>
          <w:b/>
          <w:bCs/>
          <w:color w:val="000000" w:themeColor="text1"/>
        </w:rPr>
      </w:pPr>
      <w:r w:rsidRPr="00FA697B">
        <w:rPr>
          <w:rStyle w:val="normaltextrun"/>
          <w:rFonts w:ascii="Arial" w:hAnsi="Arial" w:cs="Arial"/>
          <w:b/>
          <w:bCs/>
          <w:color w:val="000000" w:themeColor="text1"/>
        </w:rPr>
        <w:t>R</w:t>
      </w:r>
      <w:r w:rsidR="00903062" w:rsidRPr="00FA697B">
        <w:rPr>
          <w:rStyle w:val="normaltextrun"/>
          <w:rFonts w:ascii="Arial" w:hAnsi="Arial" w:cs="Arial"/>
          <w:b/>
          <w:bCs/>
          <w:color w:val="000000" w:themeColor="text1"/>
        </w:rPr>
        <w:t>ESEARCH QUESTION</w:t>
      </w:r>
    </w:p>
    <w:p w14:paraId="1E45590C" w14:textId="77777777" w:rsidR="00903062" w:rsidRPr="00FA697B" w:rsidRDefault="00903062" w:rsidP="00B21F71">
      <w:pPr>
        <w:pStyle w:val="paragraph"/>
        <w:spacing w:before="0" w:beforeAutospacing="0" w:after="0" w:afterAutospacing="0"/>
        <w:textAlignment w:val="baseline"/>
        <w:rPr>
          <w:rStyle w:val="normaltextrun"/>
          <w:rFonts w:ascii="Arial" w:hAnsi="Arial" w:cs="Arial"/>
          <w:b/>
          <w:bCs/>
          <w:color w:val="000000" w:themeColor="text1"/>
        </w:rPr>
      </w:pPr>
    </w:p>
    <w:p w14:paraId="4A3C5FEC" w14:textId="33389F55" w:rsidR="00F7223E" w:rsidRPr="00FA697B" w:rsidRDefault="00F7223E" w:rsidP="00B21F71">
      <w:pPr>
        <w:pStyle w:val="paragraph"/>
        <w:spacing w:before="0" w:beforeAutospacing="0" w:after="0" w:afterAutospacing="0"/>
        <w:textAlignment w:val="baseline"/>
        <w:rPr>
          <w:rFonts w:ascii="Arial" w:hAnsi="Arial" w:cs="Arial"/>
          <w:color w:val="000000" w:themeColor="text1"/>
        </w:rPr>
      </w:pPr>
      <w:r w:rsidRPr="00FA697B">
        <w:rPr>
          <w:rStyle w:val="normaltextrun"/>
          <w:rFonts w:ascii="Arial" w:hAnsi="Arial" w:cs="Arial"/>
          <w:color w:val="000000" w:themeColor="text1"/>
        </w:rPr>
        <w:t>What is the role of diet, evaluated by reported nutrition intake, in modulating clinical and radiologic disease activity in pediatric multiple sclerosis?  </w:t>
      </w:r>
      <w:r w:rsidRPr="00FA697B">
        <w:rPr>
          <w:rStyle w:val="eop"/>
          <w:rFonts w:ascii="Arial" w:hAnsi="Arial" w:cs="Arial"/>
          <w:color w:val="000000" w:themeColor="text1"/>
        </w:rPr>
        <w:t> </w:t>
      </w:r>
    </w:p>
    <w:p w14:paraId="0938CB70" w14:textId="77777777" w:rsidR="00F7223E" w:rsidRPr="00FA697B" w:rsidRDefault="00F7223E" w:rsidP="00B21F71">
      <w:pPr>
        <w:pStyle w:val="paragraph"/>
        <w:spacing w:before="0" w:beforeAutospacing="0" w:after="0" w:afterAutospacing="0"/>
        <w:textAlignment w:val="baseline"/>
        <w:rPr>
          <w:rFonts w:ascii="Arial" w:hAnsi="Arial" w:cs="Arial"/>
          <w:color w:val="000000" w:themeColor="text1"/>
        </w:rPr>
      </w:pPr>
      <w:r w:rsidRPr="00FA697B">
        <w:rPr>
          <w:rStyle w:val="eop"/>
          <w:rFonts w:ascii="Arial" w:hAnsi="Arial" w:cs="Arial"/>
          <w:color w:val="000000" w:themeColor="text1"/>
        </w:rPr>
        <w:t> </w:t>
      </w:r>
    </w:p>
    <w:p w14:paraId="62E12DF9" w14:textId="77777777" w:rsidR="00F7223E" w:rsidRPr="00FA697B" w:rsidRDefault="00F7223E" w:rsidP="00B21F71">
      <w:pPr>
        <w:pStyle w:val="paragraph"/>
        <w:spacing w:before="0" w:beforeAutospacing="0" w:after="0" w:afterAutospacing="0"/>
        <w:textAlignment w:val="baseline"/>
        <w:rPr>
          <w:rStyle w:val="eop"/>
          <w:rFonts w:ascii="Arial" w:hAnsi="Arial" w:cs="Arial"/>
          <w:b/>
          <w:bCs/>
          <w:color w:val="000000" w:themeColor="text1"/>
        </w:rPr>
      </w:pPr>
      <w:r w:rsidRPr="00FA697B">
        <w:rPr>
          <w:rStyle w:val="normaltextrun"/>
          <w:rFonts w:ascii="Arial" w:hAnsi="Arial" w:cs="Arial"/>
          <w:b/>
          <w:bCs/>
          <w:color w:val="000000" w:themeColor="text1"/>
        </w:rPr>
        <w:t>INTRODUCTION </w:t>
      </w:r>
      <w:r w:rsidRPr="00FA697B">
        <w:rPr>
          <w:rStyle w:val="eop"/>
          <w:rFonts w:ascii="Arial" w:hAnsi="Arial" w:cs="Arial"/>
          <w:b/>
          <w:bCs/>
          <w:color w:val="000000" w:themeColor="text1"/>
        </w:rPr>
        <w:t> </w:t>
      </w:r>
    </w:p>
    <w:p w14:paraId="73ADA2B0" w14:textId="77777777" w:rsidR="00AA34B6" w:rsidRPr="00FA697B" w:rsidRDefault="00AA34B6" w:rsidP="00B21F71">
      <w:pPr>
        <w:pStyle w:val="paragraph"/>
        <w:spacing w:before="0" w:beforeAutospacing="0" w:after="0" w:afterAutospacing="0"/>
        <w:textAlignment w:val="baseline"/>
        <w:rPr>
          <w:rFonts w:ascii="Arial" w:hAnsi="Arial" w:cs="Arial"/>
          <w:color w:val="000000" w:themeColor="text1"/>
        </w:rPr>
      </w:pPr>
    </w:p>
    <w:p w14:paraId="79B24D48" w14:textId="61667391" w:rsidR="00903062" w:rsidRPr="00FA697B" w:rsidRDefault="00903062" w:rsidP="00B21F71">
      <w:pPr>
        <w:ind w:left="-5" w:firstLine="5"/>
        <w:rPr>
          <w:rStyle w:val="eop"/>
          <w:rFonts w:ascii="Arial" w:hAnsi="Arial" w:cs="Arial"/>
          <w:color w:val="000000" w:themeColor="text1"/>
        </w:rPr>
      </w:pPr>
      <w:r w:rsidRPr="00FA697B">
        <w:rPr>
          <w:rStyle w:val="normaltextrun"/>
          <w:rFonts w:ascii="Arial" w:hAnsi="Arial" w:cs="Arial"/>
          <w:color w:val="000000" w:themeColor="text1"/>
        </w:rPr>
        <w:t xml:space="preserve">Multiple sclerosis (MS) pathophysiology remains yet to be elucidated and an increasing number of environmental factors and genetic contributions are being discovered over time </w:t>
      </w:r>
      <w:r w:rsidRPr="00FA697B">
        <w:rPr>
          <w:rStyle w:val="normaltextrun"/>
          <w:rFonts w:ascii="Arial" w:hAnsi="Arial" w:cs="Arial"/>
          <w:color w:val="000000" w:themeColor="text1"/>
        </w:rPr>
        <w:fldChar w:fldCharType="begin" w:fldLock="1"/>
      </w:r>
      <w:r w:rsidRPr="00FA697B">
        <w:rPr>
          <w:rStyle w:val="normaltextrun"/>
          <w:rFonts w:ascii="Arial" w:hAnsi="Arial" w:cs="Arial"/>
          <w:color w:val="000000" w:themeColor="text1"/>
        </w:rPr>
        <w:instrText>ADDIN CSL_CITATION {"citationItems":[{"id":"ITEM-1","itemData":{"DOI":"https://doi.org/10.1002/acn3.50862","ISSN":"2328-9503","abstract":"Abstract Recent findings have provided a molecular basis for the combined contributions of multifaceted risk factors for the onset of multiple sclerosis (MS). MS appears to start as a chronic dysregulation of immune homeostasis resulting from complex interactions between genetic predispositions, infectious exposures, and factors that lead to pro-inflammatory states, including smoking, obesity, and low sun exposure. This is supported by the discovery of gene?environment (GxE) interactions and epigenetic alterations triggered by environmental exposures in individuals with particular genetic make-ups. It is notable that several of these pro-inflammatory factors have not emerged as strong prognostic indicators. Biological processes at play during the relapsing phase of the disease may result from initial inflammatory-mediated injury, while risk factors for the later phase of MS, which is weighted toward neurodegeneration, are not yet well defined. This integrated review of current evidence guides recommendations for clinical practice and highlights research gaps.","author":[{"dropping-particle":"","family":"Waubant","given":"Emmanuelle","non-dropping-particle":"","parse-names":false,"suffix":""},{"dropping-particle":"","family":"Lucas","given":"Robyn","non-dropping-particle":"","parse-names":false,"suffix":""},{"dropping-particle":"","family":"Mowry","given":"Ellen","non-dropping-particle":"","parse-names":false,"suffix":""},{"dropping-particle":"","family":"Graves","given":"Jennifer","non-dropping-particle":"","parse-names":false,"suffix":""},{"dropping-particle":"","family":"Olsson","given":"Tomas","non-dropping-particle":"","parse-names":false,"suffix":""},{"dropping-particle":"","family":"Alfredsson","given":"Lars","non-dropping-particle":"","parse-names":false,"suffix":""},{"dropping-particle":"","family":"Langer-Gould","given":"Annette","non-dropping-particle":"","parse-names":false,"suffix":""}],"container-title":"Annals of Clinical and Translational Neurology","id":"ITEM-1","issue":"9","issued":{"date-parts":[["2019","9","1"]]},"note":"https://doi.org/10.1002/acn3.50862","page":"1905-1922","publisher":"John Wiley &amp; Sons, Ltd","title":"Environmental and genetic risk factors for MS: an integrated review","type":"article-journal","volume":"6"},"uris":["http://www.mendeley.com/documents/?uuid=62b6afc2-a0c3-4f7e-a14c-57feca09f69b"]}],"mendeley":{"formattedCitation":"(Waubant et al., 2019)","plainTextFormattedCitation":"(Waubant et al., 2019)","previouslyFormattedCitation":"(Waubant et al., 2019)"},"properties":{"noteIndex":0},"schema":"https://github.com/citation-style-language/schema/raw/master/csl-citation.json"}</w:instrText>
      </w:r>
      <w:r w:rsidRPr="00FA697B">
        <w:rPr>
          <w:rStyle w:val="normaltextrun"/>
          <w:rFonts w:ascii="Arial" w:hAnsi="Arial" w:cs="Arial"/>
          <w:color w:val="000000" w:themeColor="text1"/>
        </w:rPr>
        <w:fldChar w:fldCharType="separate"/>
      </w:r>
      <w:r w:rsidRPr="00FA697B">
        <w:rPr>
          <w:rStyle w:val="normaltextrun"/>
          <w:rFonts w:ascii="Arial" w:hAnsi="Arial" w:cs="Arial"/>
          <w:noProof/>
          <w:color w:val="000000" w:themeColor="text1"/>
        </w:rPr>
        <w:t>(Waubant et al., 2019)</w:t>
      </w:r>
      <w:r w:rsidRPr="00FA697B">
        <w:rPr>
          <w:rStyle w:val="normaltextrun"/>
          <w:rFonts w:ascii="Arial" w:hAnsi="Arial" w:cs="Arial"/>
          <w:color w:val="000000" w:themeColor="text1"/>
        </w:rPr>
        <w:fldChar w:fldCharType="end"/>
      </w:r>
      <w:r w:rsidRPr="00FA697B">
        <w:rPr>
          <w:rStyle w:val="normaltextrun"/>
          <w:rFonts w:ascii="Arial" w:hAnsi="Arial" w:cs="Arial"/>
          <w:color w:val="000000" w:themeColor="text1"/>
        </w:rPr>
        <w:t xml:space="preserve">.  Pediatric onset MS (POMS) is rarer than in adult MS with an incidence of 1-2 per 100,000 </w:t>
      </w:r>
      <w:r w:rsidRPr="00FA697B">
        <w:rPr>
          <w:rStyle w:val="normaltextrun"/>
          <w:rFonts w:ascii="Arial" w:hAnsi="Arial" w:cs="Arial"/>
          <w:color w:val="000000" w:themeColor="text1"/>
        </w:rPr>
        <w:fldChar w:fldCharType="begin" w:fldLock="1"/>
      </w:r>
      <w:r w:rsidRPr="00FA697B">
        <w:rPr>
          <w:rStyle w:val="normaltextrun"/>
          <w:rFonts w:ascii="Arial" w:hAnsi="Arial" w:cs="Arial"/>
          <w:color w:val="000000" w:themeColor="text1"/>
        </w:rPr>
        <w:instrText>ADDIN CSL_CITATION {"citationItems":[{"id":"ITEM-1","itemData":{"DOI":"10.1186/s12883-018-1026-3","ISSN":"1471-2377","abstract":"Pediatric-onset multiple sclerosis (POMS) prevalence and incidence rates are increasing globally. No disease-modifying therapy are approved for MS pediatric population. Hence, we aim to review the literature on POMS to guide treating physicians on the current understanding of diagnosis and management of pediatric MS.","author":[{"dropping-particle":"","family":"Alroughani","given":"Raed","non-dropping-particle":"","parse-names":false,"suffix":""},{"dropping-particle":"","family":"Boyko","given":"Alexey","non-dropping-particle":"","parse-names":false,"suffix":""}],"container-title":"BMC Neurology","id":"ITEM-1","issue":"1","issued":{"date-parts":[["2018"]]},"page":"27","title":"Pediatric multiple sclerosis: a review","type":"article-journal","volume":"18"},"uris":["http://www.mendeley.com/documents/?uuid=7a177439-ad8f-4fc0-9501-72aee0aebf91"]}],"mendeley":{"formattedCitation":"(Alroughani &amp; Boyko, 2018)","plainTextFormattedCitation":"(Alroughani &amp; Boyko, 2018)","previouslyFormattedCitation":"(Alroughani &amp; Boyko, 2018)"},"properties":{"noteIndex":0},"schema":"https://github.com/citation-style-language/schema/raw/master/csl-citation.json"}</w:instrText>
      </w:r>
      <w:r w:rsidRPr="00FA697B">
        <w:rPr>
          <w:rStyle w:val="normaltextrun"/>
          <w:rFonts w:ascii="Arial" w:hAnsi="Arial" w:cs="Arial"/>
          <w:color w:val="000000" w:themeColor="text1"/>
        </w:rPr>
        <w:fldChar w:fldCharType="separate"/>
      </w:r>
      <w:r w:rsidRPr="00FA697B">
        <w:rPr>
          <w:rStyle w:val="normaltextrun"/>
          <w:rFonts w:ascii="Arial" w:hAnsi="Arial" w:cs="Arial"/>
          <w:noProof/>
          <w:color w:val="000000" w:themeColor="text1"/>
        </w:rPr>
        <w:t>(Alroughani &amp; Boyko, 2018)</w:t>
      </w:r>
      <w:r w:rsidRPr="00FA697B">
        <w:rPr>
          <w:rStyle w:val="normaltextrun"/>
          <w:rFonts w:ascii="Arial" w:hAnsi="Arial" w:cs="Arial"/>
          <w:color w:val="000000" w:themeColor="text1"/>
        </w:rPr>
        <w:fldChar w:fldCharType="end"/>
      </w:r>
      <w:r w:rsidRPr="00FA697B">
        <w:rPr>
          <w:rStyle w:val="normaltextrun"/>
          <w:rFonts w:ascii="Arial" w:hAnsi="Arial" w:cs="Arial"/>
          <w:color w:val="000000" w:themeColor="text1"/>
        </w:rPr>
        <w:t xml:space="preserve">. Despite its higher relapse rate and more inflammatory course </w:t>
      </w:r>
      <w:r w:rsidRPr="00FA697B">
        <w:rPr>
          <w:rStyle w:val="normaltextrun"/>
          <w:rFonts w:ascii="Arial" w:hAnsi="Arial" w:cs="Arial"/>
          <w:color w:val="000000" w:themeColor="text1"/>
        </w:rPr>
        <w:fldChar w:fldCharType="begin" w:fldLock="1"/>
      </w:r>
      <w:r w:rsidR="008D4ABD" w:rsidRPr="00FA697B">
        <w:rPr>
          <w:rStyle w:val="normaltextrun"/>
          <w:rFonts w:ascii="Arial" w:hAnsi="Arial" w:cs="Arial"/>
          <w:color w:val="000000" w:themeColor="text1"/>
        </w:rPr>
        <w:instrText>ADDIN CSL_CITATION {"citationItems":[{"id":"ITEM-1","itemData":{"DOI":"10.1001/archneurol.2008.505","ISSN":"0003-9942","abstract":"To investigate whether or not the disparity in disease progression in those with pediatric-onset compared with adult-onset multiple sclerosis (MS) is due to differences in relapse rates.Inception cohort. Mean follow-up times were 3.67 (standard deviation, 1.64) and 3.98 (standard deviation, 1.17) years in the pediatric and adult groups, respectively.Comprehensive MS centers.Patients with relapsing-remitting MS who were seen at the pediatric and adult MS centers at Massachusetts General and Brigham and Women's Hospitals, respectively, 12 months or less from onset of first symptom in July 2001 or later and were followed up for 12 months or longer. One hundred ten patients with adult-onset and 21 patients with pediatric-onset MS were included. Three eligible patients with adult-onset MS were excluded owing to incomplete records.Annualized relapse rates were compared between pediatric-onset and adult-onset patients using the proportional means model.The annualized relapse rate in the pediatric-onset group was significantly higher than that in the adult-onset group (1.13 vs 0.40; P &lt; .001) with an adjusted rate ratio of 2.81 (95% confidence interval, 2.07-3.81). When we controlled for time spent undergoing disease-modifying treatment in the analysis, the difference between the groups remained highly significant (adjusted rate ratio, 2.82; 95% confidence interval, 2.08-3.83; P &lt; .001). When age at disease onset was treated as a continuous variable, a highly significant association between age and relapse rate was observed (P &lt; .001).Relapses are more frequent in patients with pediatric-onset compared with adult-onset MS in the disease-modifying treatment era. This finding suggests that patients with pediatric-onset MS experience a more inflammatory disease course than patients with adult onset of the disease.Arch Neurol. 2009;66(1):54-59--&gt;","author":[{"dropping-particle":"","family":"Gorman","given":"Mark P","non-dropping-particle":"","parse-names":false,"suffix":""},{"dropping-particle":"","family":"Healy","given":"Brian C","non-dropping-particle":"","parse-names":false,"suffix":""},{"dropping-particle":"","family":"Polgar-Turcsanyi","given":"Mariann","non-dropping-particle":"","parse-names":false,"suffix":""},{"dropping-particle":"","family":"Chitnis","given":"Tanuja","non-dropping-particle":"","parse-names":false,"suffix":""}],"container-title":"Archives of Neurology","id":"ITEM-1","issue":"1","issued":{"date-parts":[["2009","1","1"]]},"page":"54-59","title":"Increased Relapse Rate in Pediatric-Onset Compared With Adult-Onset Multiple Sclerosis","type":"article-journal","volume":"66"},"uris":["http://www.mendeley.com/documents/?uuid=6cced3a3-e5ba-4290-9a25-d136dacdba28"]}],"mendeley":{"formattedCitation":"(Gorman et al., 2009)","plainTextFormattedCitation":"(Gorman et al., 2009)","previouslyFormattedCitation":"(Gorman et al., 2009)"},"properties":{"noteIndex":0},"schema":"https://github.com/citation-style-language/schema/raw/master/csl-citation.json"}</w:instrText>
      </w:r>
      <w:r w:rsidRPr="00FA697B">
        <w:rPr>
          <w:rStyle w:val="normaltextrun"/>
          <w:rFonts w:ascii="Arial" w:hAnsi="Arial" w:cs="Arial"/>
          <w:color w:val="000000" w:themeColor="text1"/>
        </w:rPr>
        <w:fldChar w:fldCharType="separate"/>
      </w:r>
      <w:r w:rsidRPr="00FA697B">
        <w:rPr>
          <w:rStyle w:val="normaltextrun"/>
          <w:rFonts w:ascii="Arial" w:hAnsi="Arial" w:cs="Arial"/>
          <w:noProof/>
          <w:color w:val="000000" w:themeColor="text1"/>
        </w:rPr>
        <w:t>(Gorman et al., 2009)</w:t>
      </w:r>
      <w:r w:rsidRPr="00FA697B">
        <w:rPr>
          <w:rStyle w:val="normaltextrun"/>
          <w:rFonts w:ascii="Arial" w:hAnsi="Arial" w:cs="Arial"/>
          <w:color w:val="000000" w:themeColor="text1"/>
        </w:rPr>
        <w:fldChar w:fldCharType="end"/>
      </w:r>
      <w:r w:rsidRPr="00FA697B">
        <w:rPr>
          <w:rStyle w:val="normaltextrun"/>
          <w:rFonts w:ascii="Arial" w:hAnsi="Arial" w:cs="Arial"/>
          <w:color w:val="000000" w:themeColor="text1"/>
        </w:rPr>
        <w:t xml:space="preserve">, families may be hesitant to initiate </w:t>
      </w:r>
      <w:r w:rsidR="00111714" w:rsidRPr="00FA697B">
        <w:rPr>
          <w:rStyle w:val="normaltextrun"/>
          <w:rFonts w:ascii="Arial" w:hAnsi="Arial" w:cs="Arial"/>
          <w:color w:val="000000" w:themeColor="text1"/>
        </w:rPr>
        <w:t>lifelong</w:t>
      </w:r>
      <w:r w:rsidRPr="00FA697B">
        <w:rPr>
          <w:rStyle w:val="normaltextrun"/>
          <w:rFonts w:ascii="Arial" w:hAnsi="Arial" w:cs="Arial"/>
          <w:color w:val="000000" w:themeColor="text1"/>
        </w:rPr>
        <w:t xml:space="preserve"> immunomodulating medications. As differences in diet may modulate disease activity </w:t>
      </w:r>
      <w:r w:rsidRPr="00FA697B">
        <w:rPr>
          <w:rStyle w:val="normaltextrun"/>
          <w:rFonts w:ascii="Arial" w:hAnsi="Arial" w:cs="Arial"/>
          <w:color w:val="000000" w:themeColor="text1"/>
        </w:rPr>
        <w:fldChar w:fldCharType="begin" w:fldLock="1"/>
      </w:r>
      <w:r w:rsidR="00E74EB9" w:rsidRPr="00FA697B">
        <w:rPr>
          <w:rStyle w:val="normaltextrun"/>
          <w:rFonts w:ascii="Arial" w:hAnsi="Arial" w:cs="Arial"/>
          <w:color w:val="000000" w:themeColor="text1"/>
        </w:rPr>
        <w:instrText>ADDIN CSL_CITATION {"citationItems":[{"id":"ITEM-1","itemData":{"abstract":"Objective The role of diet in multiple sclerosis (MS) course remains largely unknown. Children with MS have a higher relapse rate compared with MS in adults. Thus, studying the effect of diet on relapse rate in this age group is likely to provide more robust answers.Methods This is a multicentre study done at 11 paediatric MS centres in the USA. Patients with relapsing-remitting MS (RRMS) or clinically isolated syndrome (CIS) with disease onset before 18 years of age and duration of less than 4 years were included in this study. Dietary intake during the week before enrolment was assessed with the validated Block Kids Food Screener. The outcome of the study was time from enrolment to the next relapse. 219 patients with paediatric RRMS or CIS were enrolled. Each 10% increase in energy intake from fat increased the hazard of relapse by 56% (adjusted HR 1.56, 95% CI 1.05 to 2.31, p=0.027), and in particular each 10% increase in saturated fat tripled this hazard (adjusted HR: 3.37, 95% CI 1.34 to 8.43, p=0.009). In contrast, each additional one cup equivalent of vegetable decreased the hazard of relapse by 50% (adjusted HR: 0.50, 95% CI 0.27 to 0.91, p=0.024). These associations remained with mutual adjustment and persisted when adjusting for baseline 25(OH) vitamin D serum level. Other studied nutrients were not associated with relapse.Conclusions This study suggests that in children with MS, high energy intake from fat, especially saturated fat, may increase the hazard to relapse, while vegetable intake may be independently protective.","author":[{"dropping-particle":"","family":"Azary","given":"Saeedeh","non-dropping-particle":"","parse-names":false,"suffix":""},{"dropping-particle":"","family":"Schreiner","given":"Teri","non-dropping-particle":"","parse-names":false,"suffix":""},{"dropping-particle":"","family":"Graves","given":"Jennifer","non-dropping-particle":"","parse-names":false,"suffix":""},{"dropping-particle":"","family":"Waldman","given":"Amy","non-dropping-particle":"","parse-names":false,"suffix":""},{"dropping-particle":"","family":"Belman","given":"Anita","non-dropping-particle":"","parse-names":false,"suffix":""},{"dropping-particle":"","family":"Guttman","given":"Bianca Weinstock","non-dropping-particle":"","parse-names":false,"suffix":""},{"dropping-particle":"","family":"Aaen","given":"Gregory","non-dropping-particle":"","parse-names":false,"suffix":""},{"dropping-particle":"","family":"Tillema","given":"Jan-Mendelt","non-dropping-particle":"","parse-names":false,"suffix":""},{"dropping-particle":"","family":"Mar","given":"Soe","non-dropping-particle":"","parse-names":false,"suffix":""},{"dropping-particle":"","family":"Hart","given":"Janace","non-dropping-particle":"","parse-names":false,"suffix":""},{"dropping-particle":"","family":"Ness","given":"Jayne","non-dropping-particle":"","parse-names":false,"suffix":""},{"dropping-particle":"","family":"Harris","given":"Yolanda","non-dropping-particle":"","parse-names":false,"suffix":""},{"dropping-particle":"","family":"Krupp","given":"Lauren","non-dropping-particle":"","parse-names":false,"suffix":""},{"dropping-particle":"","family":"Gorman","given":"Mark","non-dropping-particle":"","parse-names":false,"suffix":""},{"dropping-particle":"","family":"Benson","given":"Leslie","non-dropping-particle":"","parse-names":false,"suffix":""},{"dropping-particle":"","family":"Rodriguez","given":"Moses","non-dropping-particle":"","parse-names":false,"suffix":""},{"dropping-particle":"","family":"Chitnis","given":"Tanuja","non-dropping-particle":"","parse-names":false,"suffix":""},{"dropping-particle":"","family":"Rose","given":"John","non-dropping-particle":"","parse-names":false,"suffix":""},{"dropping-particle":"","family":"Barcellos","given":"Lisa F","non-dropping-particle":"","parse-names":false,"suffix":""},{"dropping-particle":"","family":"Lotze","given":"Tim","non-dropping-particle":"","parse-names":false,"suffix":""},{"dropping-particle":"","family":"Carmichael","given":"Suzan L","non-dropping-particle":"","parse-names":false,"suffix":""},{"dropping-particle":"","family":"Roalstad","given":"Shelly","non-dropping-particle":"","parse-names":false,"suffix":""},{"dropping-particle":"","family":"Casper","given":"Charles T","non-dropping-particle":"","parse-names":false,"suffix":""},{"dropping-particle":"","family":"Waubant","given":"Emmanuelle","non-dropping-particle":"","parse-names":false,"suffix":""}],"container-title":"Journal of Neurology, Neurosurgery and Psychiatry","id":"ITEM-1","issue":"1","issued":{"date-parts":[["2018","1","1"]]},"page":"28","title":"Contribution of dietary intake to relapse rate in early paediatric multiple sclerosis","type":"article-journal","volume":"89"},"uris":["http://www.mendeley.com/documents/?uuid=74ed8e7f-ebf9-3129-988e-2dcd11b0c883"]},{"id":"ITEM-2","itemData":{"DOI":"https://doi.org/10.1016/S0899-9007(02)00851-1","ISSN":"0899-9007","author":[{"dropping-particle":"","family":"Swank","given":"Roy L","non-dropping-particle":"","parse-names":false,"suffix":""},{"dropping-particle":"","family":"Goodwin","given":"James","non-dropping-particle":"","parse-names":false,"suffix":""}],"container-title":"Nutrition","id":"ITEM-2","issue":"2","issued":{"date-parts":[["2003"]]},"page":"161-162","title":"Review of MS patient survival on a Swank low saturated fat diet11(For an additional perspective, see Editorial Opinions)","type":"article-journal","volume":"19"},"uris":["http://www.mendeley.com/documents/?uuid=3e96b1fd-db00-4805-a884-c8cb81a55604"]}],"mendeley":{"formattedCitation":"(Azary et al., 2018; Swank &amp; Goodwin, 2003)","plainTextFormattedCitation":"(Azary et al., 2018; Swank &amp; Goodwin, 2003)","previouslyFormattedCitation":"(Azary et al., 2018; Swank &amp; Goodwin, 2003)"},"properties":{"noteIndex":0},"schema":"https://github.com/citation-style-language/schema/raw/master/csl-citation.json"}</w:instrText>
      </w:r>
      <w:r w:rsidRPr="00FA697B">
        <w:rPr>
          <w:rStyle w:val="normaltextrun"/>
          <w:rFonts w:ascii="Arial" w:hAnsi="Arial" w:cs="Arial"/>
          <w:color w:val="000000" w:themeColor="text1"/>
        </w:rPr>
        <w:fldChar w:fldCharType="separate"/>
      </w:r>
      <w:r w:rsidRPr="00FA697B">
        <w:rPr>
          <w:rStyle w:val="normaltextrun"/>
          <w:rFonts w:ascii="Arial" w:hAnsi="Arial" w:cs="Arial"/>
          <w:noProof/>
          <w:color w:val="000000" w:themeColor="text1"/>
        </w:rPr>
        <w:t>(Azary et al., 2018; Swank &amp; Goodwin, 2003)</w:t>
      </w:r>
      <w:r w:rsidRPr="00FA697B">
        <w:rPr>
          <w:rStyle w:val="normaltextrun"/>
          <w:rFonts w:ascii="Arial" w:hAnsi="Arial" w:cs="Arial"/>
          <w:color w:val="000000" w:themeColor="text1"/>
        </w:rPr>
        <w:fldChar w:fldCharType="end"/>
      </w:r>
      <w:r w:rsidRPr="00FA697B">
        <w:rPr>
          <w:rStyle w:val="normaltextrun"/>
          <w:rFonts w:ascii="Arial" w:hAnsi="Arial" w:cs="Arial"/>
          <w:color w:val="000000" w:themeColor="text1"/>
        </w:rPr>
        <w:t xml:space="preserve"> </w:t>
      </w:r>
      <w:r w:rsidRPr="00FA697B">
        <w:rPr>
          <w:rStyle w:val="eop"/>
          <w:rFonts w:ascii="Arial" w:hAnsi="Arial" w:cs="Arial"/>
          <w:color w:val="000000" w:themeColor="text1"/>
        </w:rPr>
        <w:t>a better understanding of the diet’s role might further guide strategies for</w:t>
      </w:r>
      <w:r w:rsidRPr="00FA697B">
        <w:rPr>
          <w:rFonts w:ascii="Arial" w:hAnsi="Arial" w:cs="Arial"/>
          <w:color w:val="000000" w:themeColor="text1"/>
        </w:rPr>
        <w:t xml:space="preserve"> lifestyle recommendations for families and patients with MS, while awaiting more robust intervention-based studies. </w:t>
      </w:r>
    </w:p>
    <w:p w14:paraId="484BACBB" w14:textId="77777777" w:rsidR="00903062" w:rsidRPr="00FA697B" w:rsidRDefault="00903062" w:rsidP="00B21F71">
      <w:pPr>
        <w:ind w:left="-5" w:firstLine="725"/>
        <w:rPr>
          <w:rStyle w:val="eop"/>
          <w:rFonts w:ascii="Arial" w:hAnsi="Arial" w:cs="Arial"/>
          <w:color w:val="000000" w:themeColor="text1"/>
        </w:rPr>
      </w:pPr>
      <w:r w:rsidRPr="00FA697B">
        <w:rPr>
          <w:rStyle w:val="normaltextrun"/>
          <w:rFonts w:ascii="Arial" w:hAnsi="Arial" w:cs="Arial"/>
          <w:color w:val="000000" w:themeColor="text1"/>
        </w:rPr>
        <w:t xml:space="preserve">One of the first links between diet and MS course was described by Swank et al. starting in the 1950’s, correlating a more severe MS with the increasing consumption of saturated animal fats </w:t>
      </w:r>
      <w:r w:rsidRPr="00FA697B">
        <w:rPr>
          <w:rStyle w:val="normaltextrun"/>
          <w:rFonts w:ascii="Arial" w:hAnsi="Arial" w:cs="Arial"/>
          <w:color w:val="000000" w:themeColor="text1"/>
        </w:rPr>
        <w:fldChar w:fldCharType="begin" w:fldLock="1"/>
      </w:r>
      <w:r w:rsidRPr="00FA697B">
        <w:rPr>
          <w:rStyle w:val="normaltextrun"/>
          <w:rFonts w:ascii="Arial" w:hAnsi="Arial" w:cs="Arial"/>
          <w:color w:val="000000" w:themeColor="text1"/>
        </w:rPr>
        <w:instrText>ADDIN CSL_CITATION {"citationItems":[{"id":"ITEM-1","itemData":{"DOI":"https://doi.org/10.1016/S0899-9007(02)00851-1","ISSN":"0899-9007","author":[{"dropping-particle":"","family":"Swank","given":"Roy L","non-dropping-particle":"","parse-names":false,"suffix":""},{"dropping-particle":"","family":"Goodwin","given":"James","non-dropping-particle":"","parse-names":false,"suffix":""}],"container-title":"Nutrition","id":"ITEM-1","issue":"2","issued":{"date-parts":[["2003"]]},"page":"161-162","title":"Review of MS patient survival on a Swank low saturated fat diet11(For an additional perspective, see Editorial Opinions)","type":"article-journal","volume":"19"},"uris":["http://www.mendeley.com/documents/?uuid=3e96b1fd-db00-4805-a884-c8cb81a55604"]}],"mendeley":{"formattedCitation":"(Swank &amp; Goodwin, 2003)","plainTextFormattedCitation":"(Swank &amp; Goodwin, 2003)","previouslyFormattedCitation":"(Swank &amp; Goodwin, 2003)"},"properties":{"noteIndex":0},"schema":"https://github.com/citation-style-language/schema/raw/master/csl-citation.json"}</w:instrText>
      </w:r>
      <w:r w:rsidRPr="00FA697B">
        <w:rPr>
          <w:rStyle w:val="normaltextrun"/>
          <w:rFonts w:ascii="Arial" w:hAnsi="Arial" w:cs="Arial"/>
          <w:color w:val="000000" w:themeColor="text1"/>
        </w:rPr>
        <w:fldChar w:fldCharType="separate"/>
      </w:r>
      <w:r w:rsidRPr="00FA697B">
        <w:rPr>
          <w:rStyle w:val="normaltextrun"/>
          <w:rFonts w:ascii="Arial" w:hAnsi="Arial" w:cs="Arial"/>
          <w:noProof/>
          <w:color w:val="000000" w:themeColor="text1"/>
        </w:rPr>
        <w:t>(Swank &amp; Goodwin, 2003)</w:t>
      </w:r>
      <w:r w:rsidRPr="00FA697B">
        <w:rPr>
          <w:rStyle w:val="normaltextrun"/>
          <w:rFonts w:ascii="Arial" w:hAnsi="Arial" w:cs="Arial"/>
          <w:color w:val="000000" w:themeColor="text1"/>
        </w:rPr>
        <w:fldChar w:fldCharType="end"/>
      </w:r>
      <w:r w:rsidRPr="00FA697B">
        <w:rPr>
          <w:rStyle w:val="normaltextrun"/>
          <w:rFonts w:ascii="Arial" w:hAnsi="Arial" w:cs="Arial"/>
          <w:color w:val="000000" w:themeColor="text1"/>
        </w:rPr>
        <w:t xml:space="preserve">. To this day, the role of diet in MS course remains largely unknown with no established guidelines. </w:t>
      </w:r>
      <w:r w:rsidRPr="00FA697B">
        <w:rPr>
          <w:rStyle w:val="eop"/>
          <w:rFonts w:ascii="Arial" w:hAnsi="Arial" w:cs="Arial"/>
          <w:color w:val="000000" w:themeColor="text1"/>
        </w:rPr>
        <w:t xml:space="preserve">Our </w:t>
      </w:r>
      <w:r w:rsidRPr="00FA697B">
        <w:rPr>
          <w:rStyle w:val="normaltextrun"/>
          <w:rFonts w:ascii="Arial" w:hAnsi="Arial" w:cs="Arial"/>
          <w:color w:val="000000" w:themeColor="text1"/>
        </w:rPr>
        <w:t xml:space="preserve">prior work suggests that in children with MS, high energy intake from fat, especially saturated fat, may be associated with a higher hazard to relapse, while vegetable intake may be independently protective </w:t>
      </w:r>
      <w:r w:rsidRPr="00FA697B">
        <w:rPr>
          <w:rStyle w:val="normaltextrun"/>
          <w:rFonts w:ascii="Arial" w:hAnsi="Arial" w:cs="Arial"/>
          <w:color w:val="000000" w:themeColor="text1"/>
        </w:rPr>
        <w:fldChar w:fldCharType="begin" w:fldLock="1"/>
      </w:r>
      <w:r w:rsidRPr="00FA697B">
        <w:rPr>
          <w:rStyle w:val="normaltextrun"/>
          <w:rFonts w:ascii="Arial" w:hAnsi="Arial" w:cs="Arial"/>
          <w:color w:val="000000" w:themeColor="text1"/>
        </w:rPr>
        <w:instrText>ADDIN CSL_CITATION {"citationItems":[{"id":"ITEM-1","itemData":{"abstract":"Objective The role of diet in multiple sclerosis (MS) course remains largely unknown. Children with MS have a higher relapse rate compared with MS in adults. Thus, studying the effect of diet on relapse rate in this age group is likely to provide more robust answers.Methods This is a multicentre study done at 11 paediatric MS centres in the USA. Patients with relapsing-remitting MS (RRMS) or clinically isolated syndrome (CIS) with disease onset before 18 years of age and duration of less than 4 years were included in this study. Dietary intake during the week before enrolment was assessed with the validated Block Kids Food Screener. The outcome of the study was time from enrolment to the next relapse. 219 patients with paediatric RRMS or CIS were enrolled. Each 10% increase in energy intake from fat increased the hazard of relapse by 56% (adjusted HR 1.56, 95% CI 1.05 to 2.31, p=0.027), and in particular each 10% increase in saturated fat tripled this hazard (adjusted HR: 3.37, 95% CI 1.34 to 8.43, p=0.009). In contrast, each additional one cup equivalent of vegetable decreased the hazard of relapse by 50% (adjusted HR: 0.50, 95% CI 0.27 to 0.91, p=0.024). These associations remained with mutual adjustment and persisted when adjusting for baseline 25(OH) vitamin D serum level. Other studied nutrients were not associated with relapse.Conclusions This study suggests that in children with MS, high energy intake from fat, especially saturated fat, may increase the hazard to relapse, while vegetable intake may be independently protective.","author":[{"dropping-particle":"","family":"Azary","given":"Saeedeh","non-dropping-particle":"","parse-names":false,"suffix":""},{"dropping-particle":"","family":"Schreiner","given":"Teri","non-dropping-particle":"","parse-names":false,"suffix":""},{"dropping-particle":"","family":"Graves","given":"Jennifer","non-dropping-particle":"","parse-names":false,"suffix":""},{"dropping-particle":"","family":"Waldman","given":"Amy","non-dropping-particle":"","parse-names":false,"suffix":""},{"dropping-particle":"","family":"Belman","given":"Anita","non-dropping-particle":"","parse-names":false,"suffix":""},{"dropping-particle":"","family":"Guttman","given":"Bianca Weinstock","non-dropping-particle":"","parse-names":false,"suffix":""},{"dropping-particle":"","family":"Aaen","given":"Gregory","non-dropping-particle":"","parse-names":false,"suffix":""},{"dropping-particle":"","family":"Tillema","given":"Jan-Mendelt","non-dropping-particle":"","parse-names":false,"suffix":""},{"dropping-particle":"","family":"Mar","given":"Soe","non-dropping-particle":"","parse-names":false,"suffix":""},{"dropping-particle":"","family":"Hart","given":"Janace","non-dropping-particle":"","parse-names":false,"suffix":""},{"dropping-particle":"","family":"Ness","given":"Jayne","non-dropping-particle":"","parse-names":false,"suffix":""},{"dropping-particle":"","family":"Harris","given":"Yolanda","non-dropping-particle":"","parse-names":false,"suffix":""},{"dropping-particle":"","family":"Krupp","given":"Lauren","non-dropping-particle":"","parse-names":false,"suffix":""},{"dropping-particle":"","family":"Gorman","given":"Mark","non-dropping-particle":"","parse-names":false,"suffix":""},{"dropping-particle":"","family":"Benson","given":"Leslie","non-dropping-particle":"","parse-names":false,"suffix":""},{"dropping-particle":"","family":"Rodriguez","given":"Moses","non-dropping-particle":"","parse-names":false,"suffix":""},{"dropping-particle":"","family":"Chitnis","given":"Tanuja","non-dropping-particle":"","parse-names":false,"suffix":""},{"dropping-particle":"","family":"Rose","given":"John","non-dropping-particle":"","parse-names":false,"suffix":""},{"dropping-particle":"","family":"Barcellos","given":"Lisa F","non-dropping-particle":"","parse-names":false,"suffix":""},{"dropping-particle":"","family":"Lotze","given":"Tim","non-dropping-particle":"","parse-names":false,"suffix":""},{"dropping-particle":"","family":"Carmichael","given":"Suzan L","non-dropping-particle":"","parse-names":false,"suffix":""},{"dropping-particle":"","family":"Roalstad","given":"Shelly","non-dropping-particle":"","parse-names":false,"suffix":""},{"dropping-particle":"","family":"Casper","given":"Charles T","non-dropping-particle":"","parse-names":false,"suffix":""},{"dropping-particle":"","family":"Waubant","given":"Emmanuelle","non-dropping-particle":"","parse-names":false,"suffix":""}],"container-title":"Journal of Neurology, Neurosurgery and Psychiatry","id":"ITEM-1","issue":"1","issued":{"date-parts":[["2018","1","1"]]},"page":"28","title":"Contribution of dietary intake to relapse rate in early paediatric multiple sclerosis","type":"article-journal","volume":"89"},"uris":["http://www.mendeley.com/documents/?uuid=74ed8e7f-ebf9-3129-988e-2dcd11b0c883"]}],"mendeley":{"formattedCitation":"(Azary et al., 2018)","plainTextFormattedCitation":"(Azary et al., 2018)","previouslyFormattedCitation":"(Azary et al., 2018)"},"properties":{"noteIndex":0},"schema":"https://github.com/citation-style-language/schema/raw/master/csl-citation.json"}</w:instrText>
      </w:r>
      <w:r w:rsidRPr="00FA697B">
        <w:rPr>
          <w:rStyle w:val="normaltextrun"/>
          <w:rFonts w:ascii="Arial" w:hAnsi="Arial" w:cs="Arial"/>
          <w:color w:val="000000" w:themeColor="text1"/>
        </w:rPr>
        <w:fldChar w:fldCharType="separate"/>
      </w:r>
      <w:r w:rsidRPr="00FA697B">
        <w:rPr>
          <w:rStyle w:val="normaltextrun"/>
          <w:rFonts w:ascii="Arial" w:hAnsi="Arial" w:cs="Arial"/>
          <w:noProof/>
          <w:color w:val="000000" w:themeColor="text1"/>
        </w:rPr>
        <w:t>(Azary et al., 2018)</w:t>
      </w:r>
      <w:r w:rsidRPr="00FA697B">
        <w:rPr>
          <w:rStyle w:val="normaltextrun"/>
          <w:rFonts w:ascii="Arial" w:hAnsi="Arial" w:cs="Arial"/>
          <w:color w:val="000000" w:themeColor="text1"/>
        </w:rPr>
        <w:fldChar w:fldCharType="end"/>
      </w:r>
      <w:r w:rsidRPr="00FA697B">
        <w:rPr>
          <w:rStyle w:val="normaltextrun"/>
          <w:rFonts w:ascii="Arial" w:hAnsi="Arial" w:cs="Arial"/>
          <w:color w:val="000000" w:themeColor="text1"/>
        </w:rPr>
        <w:t xml:space="preserve">. Though no dietary associations with radiographic MS disease activity have been published thus far, certain dietary lifestyles such as ‘Mediterranean-DASH Intervention for Neurodegenerative Delay’ may be correlated with degree of brain atrophy on MRI </w:t>
      </w:r>
      <w:r w:rsidRPr="00FA697B">
        <w:rPr>
          <w:rStyle w:val="normaltextrun"/>
          <w:rFonts w:ascii="Arial" w:hAnsi="Arial" w:cs="Arial"/>
          <w:color w:val="000000" w:themeColor="text1"/>
        </w:rPr>
        <w:fldChar w:fldCharType="begin" w:fldLock="1"/>
      </w:r>
      <w:r w:rsidRPr="00FA697B">
        <w:rPr>
          <w:rStyle w:val="normaltextrun"/>
          <w:rFonts w:ascii="Arial" w:hAnsi="Arial" w:cs="Arial"/>
          <w:color w:val="000000" w:themeColor="text1"/>
        </w:rPr>
        <w:instrText>ADDIN CSL_CITATION {"citationItems":[{"id":"ITEM-1","itemData":{"DOI":"10.1016/J.MSARD.2021.103031","ISSN":"2211-0348","abstract":"Background: Despite significant interest in diet by the MS community, research on this topic is limited; there are no published studies evaluating associations between diet and neuroimaging in MS. Methods: We utilized baseline data from the RADIEMS cohort of early MS (diagnosed &lt;5.0 years, n=180). Participants underwent brain MRIs to derive normalized total gray and thalamic volumes, T2 lesion volume, and white matter microstructural integrity of normal appearing white matter (NAWM). Participants completed food frequency questionnaires (FFQ) from which we calculated adherence scores to pre-specified dietary patterns including the Mediterranean-DASH Intervention for Neurodegenerative Delay (MIND) diet. We evaluated intake of the following pre-specified dietary components: fruits, vegetables, legumes, nuts, whole grains, dairy, fried foods, processed meats, and fat intake. We used multivariable-adjusted linear regression to evaluate MRI metrics versus dietary measures. Results: MIND diet score was associated with thalamic volume; individuals in the highest quartile of MIND diet scores had greater thalamic volumes versus those in the lowest quartile (Q4 vs. Q1: 1.03mL; 95%CI: 0.26mL, 1.79mL; p&lt;0.01). For individual food/nutrients, higher intakes of full-fat dairy were associated with lower T2 lesion volumes (Q4 vs. Q1: -0.93mL; 95%CI: -1.51mL, -0.35ml; p&lt;0.01). Higher intakes of marine omega-3 fatty acids were associated with greater NAWM microstructural integrity (Q4 vs. Q1: 0.40; 95%CI: 0.03, 0.76; p=0.04). Other foods/nutrients were not associated with MRI outcomes. Conclusions: In this first study focused on neuroimaging and diet in MS, we note significant associations in a cross-sectional early MS cohort. Longitudinal follow-up of imaging/clinical outcomes will provide additional insights.","author":[{"dropping-particle":"","family":"Katz Sand","given":"I. B.","non-dropping-particle":"","parse-names":false,"suffix":""},{"dropping-particle":"","family":"Fitzgerald","given":"Kathryn C.","non-dropping-particle":"","parse-names":false,"suffix":""},{"dropping-particle":"","family":"Gu","given":"Yian","non-dropping-particle":"","parse-names":false,"suffix":""},{"dropping-particle":"","family":"Brandstadter","given":"Rachel","non-dropping-particle":"","parse-names":false,"suffix":""},{"dropping-particle":"","family":"Riley","given":"Claire S.","non-dropping-particle":"","parse-names":false,"suffix":""},{"dropping-particle":"","family":"Buyukturkoglu","given":"Korhan","non-dropping-particle":"","parse-names":false,"suffix":""},{"dropping-particle":"","family":"Leavitt","given":"Victoria M.","non-dropping-particle":"","parse-names":false,"suffix":""},{"dropping-particle":"","family":"Krieger","given":"Stephen","non-dropping-particle":"","parse-names":false,"suffix":""},{"dropping-particle":"","family":"Miller","given":"Aaron","non-dropping-particle":"","parse-names":false,"suffix":""},{"dropping-particle":"","family":"Lublin","given":"Fred","non-dropping-particle":"","parse-names":false,"suffix":""},{"dropping-particle":"","family":"Klineova","given":"Sylvia","non-dropping-particle":"","parse-names":false,"suffix":""},{"dropping-particle":"","family":"Fabian","given":"Michelle","non-dropping-particle":"","parse-names":false,"suffix":""},{"dropping-particle":"","family":"Sumowski","given":"James F.","non-dropping-particle":"","parse-names":false,"suffix":""}],"container-title":"Multiple Sclerosis and Related Disorders","id":"ITEM-1","issued":{"date-parts":[["2021","8","1"]]},"page":"103031","publisher":"Elsevier","title":"Dietary factors and MRI metrics in early Multiple Sclerosis","type":"article-journal","volume":"53"},"uris":["http://www.mendeley.com/documents/?uuid=4bf6edb5-3b44-3e2f-a1af-daa9ef4bcdad"]}],"mendeley":{"formattedCitation":"(Katz Sand et al., 2021)","plainTextFormattedCitation":"(Katz Sand et al., 2021)","previouslyFormattedCitation":"(Katz Sand et al., 2021)"},"properties":{"noteIndex":0},"schema":"https://github.com/citation-style-language/schema/raw/master/csl-citation.json"}</w:instrText>
      </w:r>
      <w:r w:rsidRPr="00FA697B">
        <w:rPr>
          <w:rStyle w:val="normaltextrun"/>
          <w:rFonts w:ascii="Arial" w:hAnsi="Arial" w:cs="Arial"/>
          <w:color w:val="000000" w:themeColor="text1"/>
        </w:rPr>
        <w:fldChar w:fldCharType="separate"/>
      </w:r>
      <w:r w:rsidRPr="00FA697B">
        <w:rPr>
          <w:rStyle w:val="normaltextrun"/>
          <w:rFonts w:ascii="Arial" w:hAnsi="Arial" w:cs="Arial"/>
          <w:noProof/>
          <w:color w:val="000000" w:themeColor="text1"/>
        </w:rPr>
        <w:t>(Katz Sand et al., 2021)</w:t>
      </w:r>
      <w:r w:rsidRPr="00FA697B">
        <w:rPr>
          <w:rStyle w:val="normaltextrun"/>
          <w:rFonts w:ascii="Arial" w:hAnsi="Arial" w:cs="Arial"/>
          <w:color w:val="000000" w:themeColor="text1"/>
        </w:rPr>
        <w:fldChar w:fldCharType="end"/>
      </w:r>
      <w:r w:rsidRPr="00FA697B">
        <w:rPr>
          <w:rStyle w:val="normaltextrun"/>
          <w:rFonts w:ascii="Arial" w:hAnsi="Arial" w:cs="Arial"/>
          <w:color w:val="000000" w:themeColor="text1"/>
        </w:rPr>
        <w:t xml:space="preserve">. </w:t>
      </w:r>
    </w:p>
    <w:p w14:paraId="1A2E593A" w14:textId="77E533F5" w:rsidR="00903062" w:rsidRPr="00FA697B" w:rsidRDefault="00903062" w:rsidP="00B21F71">
      <w:pPr>
        <w:ind w:left="-5" w:firstLine="725"/>
        <w:rPr>
          <w:rFonts w:ascii="Arial" w:hAnsi="Arial" w:cs="Arial"/>
          <w:color w:val="000000" w:themeColor="text1"/>
        </w:rPr>
      </w:pPr>
      <w:r w:rsidRPr="00FA697B">
        <w:rPr>
          <w:rFonts w:ascii="Arial" w:hAnsi="Arial" w:cs="Arial"/>
          <w:color w:val="000000" w:themeColor="text1"/>
        </w:rPr>
        <w:t>In this study, we aim</w:t>
      </w:r>
      <w:r w:rsidR="00747694" w:rsidRPr="00FA697B">
        <w:rPr>
          <w:rFonts w:ascii="Arial" w:hAnsi="Arial" w:cs="Arial"/>
          <w:color w:val="000000" w:themeColor="text1"/>
        </w:rPr>
        <w:t xml:space="preserve"> </w:t>
      </w:r>
      <w:r w:rsidRPr="00FA697B">
        <w:rPr>
          <w:rFonts w:ascii="Arial" w:hAnsi="Arial" w:cs="Arial"/>
          <w:color w:val="000000" w:themeColor="text1"/>
        </w:rPr>
        <w:t xml:space="preserve">to evaluate the association between macro- and micro-nutrients and subsequent risk of MS progression in 400 pediatric cases. </w:t>
      </w:r>
      <w:r w:rsidRPr="00FA697B">
        <w:rPr>
          <w:rStyle w:val="eop"/>
          <w:rFonts w:ascii="Arial" w:hAnsi="Arial" w:cs="Arial"/>
          <w:color w:val="000000" w:themeColor="text1"/>
        </w:rPr>
        <w:t>The study expands on prior work</w:t>
      </w:r>
      <w:r w:rsidRPr="00FA697B">
        <w:rPr>
          <w:rFonts w:ascii="Arial" w:hAnsi="Arial" w:cs="Arial"/>
          <w:color w:val="000000" w:themeColor="text1"/>
        </w:rPr>
        <w:t xml:space="preserve">, specifically by studying a larger cohort of patients, including MRI activity in addition to clinical course, over a longer duration and with more comprehensive nutritional predictors. </w:t>
      </w:r>
    </w:p>
    <w:p w14:paraId="7F6B28C3" w14:textId="553C5547" w:rsidR="00D83683" w:rsidRPr="00FA697B" w:rsidRDefault="00D83683" w:rsidP="00B21F71">
      <w:pPr>
        <w:ind w:left="-5" w:firstLine="725"/>
        <w:rPr>
          <w:rFonts w:ascii="Arial" w:hAnsi="Arial" w:cs="Arial"/>
          <w:color w:val="000000" w:themeColor="text1"/>
        </w:rPr>
      </w:pPr>
    </w:p>
    <w:p w14:paraId="3FD89A0C" w14:textId="30127612" w:rsidR="00D83683" w:rsidRPr="00FA697B" w:rsidRDefault="00D83683" w:rsidP="00B21F71">
      <w:pPr>
        <w:rPr>
          <w:rFonts w:ascii="Arial" w:hAnsi="Arial" w:cs="Arial"/>
          <w:b/>
          <w:bCs/>
          <w:color w:val="000000" w:themeColor="text1"/>
        </w:rPr>
      </w:pPr>
      <w:r w:rsidRPr="00FA697B">
        <w:rPr>
          <w:rFonts w:ascii="Arial" w:hAnsi="Arial" w:cs="Arial"/>
          <w:b/>
          <w:bCs/>
          <w:color w:val="000000" w:themeColor="text1"/>
        </w:rPr>
        <w:t>STUDY DESIGN</w:t>
      </w:r>
    </w:p>
    <w:p w14:paraId="5DFEAB11" w14:textId="77777777" w:rsidR="00903062" w:rsidRPr="00FA697B" w:rsidRDefault="00903062" w:rsidP="00B21F71">
      <w:pPr>
        <w:rPr>
          <w:rFonts w:ascii="Arial" w:eastAsia="Times New Roman" w:hAnsi="Arial" w:cs="Arial"/>
          <w:color w:val="000000" w:themeColor="text1"/>
        </w:rPr>
      </w:pPr>
    </w:p>
    <w:p w14:paraId="67BAC79B" w14:textId="12CCA1E3" w:rsidR="00B21F71" w:rsidRPr="00FA697B" w:rsidRDefault="00A1418D" w:rsidP="00B21F71">
      <w:pPr>
        <w:rPr>
          <w:rFonts w:ascii="Arial" w:hAnsi="Arial" w:cs="Arial"/>
          <w:color w:val="000000" w:themeColor="text1"/>
        </w:rPr>
      </w:pPr>
      <w:r w:rsidRPr="00FA697B">
        <w:rPr>
          <w:rFonts w:ascii="Arial" w:hAnsi="Arial" w:cs="Arial"/>
          <w:color w:val="000000" w:themeColor="text1"/>
        </w:rPr>
        <w:t>This study is a prospective cohort study with the predictors being dietary components and the outcomes being MS disease progression clinically and on MRI</w:t>
      </w:r>
      <w:r w:rsidR="00D83683" w:rsidRPr="00FA697B">
        <w:rPr>
          <w:rFonts w:ascii="Arial" w:hAnsi="Arial" w:cs="Arial"/>
          <w:color w:val="000000" w:themeColor="text1"/>
        </w:rPr>
        <w:t xml:space="preserve">, with </w:t>
      </w:r>
      <w:r w:rsidR="00626F5D" w:rsidRPr="00FA697B">
        <w:rPr>
          <w:rFonts w:ascii="Arial" w:hAnsi="Arial" w:cs="Arial"/>
          <w:color w:val="000000" w:themeColor="text1"/>
        </w:rPr>
        <w:t xml:space="preserve">outcome </w:t>
      </w:r>
      <w:r w:rsidR="00D83683" w:rsidRPr="00FA697B">
        <w:rPr>
          <w:rFonts w:ascii="Arial" w:hAnsi="Arial" w:cs="Arial"/>
          <w:color w:val="000000" w:themeColor="text1"/>
        </w:rPr>
        <w:t xml:space="preserve">follow-up longitudinally </w:t>
      </w:r>
      <w:r w:rsidR="00747694" w:rsidRPr="00FA697B">
        <w:rPr>
          <w:rFonts w:ascii="Arial" w:hAnsi="Arial" w:cs="Arial"/>
          <w:color w:val="000000" w:themeColor="text1"/>
        </w:rPr>
        <w:t>up to approximately</w:t>
      </w:r>
      <w:r w:rsidR="00D83683" w:rsidRPr="00FA697B">
        <w:rPr>
          <w:rFonts w:ascii="Arial" w:hAnsi="Arial" w:cs="Arial"/>
          <w:color w:val="000000" w:themeColor="text1"/>
        </w:rPr>
        <w:t xml:space="preserve"> 7 years </w:t>
      </w:r>
      <w:r w:rsidR="00747694" w:rsidRPr="00FA697B">
        <w:rPr>
          <w:rFonts w:ascii="Arial" w:hAnsi="Arial" w:cs="Arial"/>
          <w:color w:val="000000" w:themeColor="text1"/>
        </w:rPr>
        <w:t xml:space="preserve">for 400 cases followed in 11 </w:t>
      </w:r>
      <w:r w:rsidR="00747694" w:rsidRPr="00FA697B">
        <w:rPr>
          <w:rFonts w:ascii="Arial" w:hAnsi="Arial" w:cs="Arial"/>
          <w:color w:val="000000" w:themeColor="text1"/>
        </w:rPr>
        <w:lastRenderedPageBreak/>
        <w:t>different P</w:t>
      </w:r>
      <w:r w:rsidR="00626F5D" w:rsidRPr="00FA697B">
        <w:rPr>
          <w:rFonts w:ascii="Arial" w:hAnsi="Arial" w:cs="Arial"/>
          <w:color w:val="000000" w:themeColor="text1"/>
        </w:rPr>
        <w:t>O</w:t>
      </w:r>
      <w:r w:rsidR="00747694" w:rsidRPr="00FA697B">
        <w:rPr>
          <w:rFonts w:ascii="Arial" w:hAnsi="Arial" w:cs="Arial"/>
          <w:color w:val="000000" w:themeColor="text1"/>
        </w:rPr>
        <w:t>MS centers around the US</w:t>
      </w:r>
      <w:r w:rsidR="00B00E0B" w:rsidRPr="00FA697B">
        <w:rPr>
          <w:rFonts w:ascii="Arial" w:hAnsi="Arial" w:cs="Arial"/>
          <w:color w:val="000000" w:themeColor="text1"/>
        </w:rPr>
        <w:t xml:space="preserve"> as part of the US Network of Pediatric Multiple Sclerosis Centers</w:t>
      </w:r>
      <w:r w:rsidR="00B00E0B" w:rsidRPr="00FA697B">
        <w:rPr>
          <w:rFonts w:ascii="Arial" w:eastAsia="Arial" w:hAnsi="Arial" w:cs="Arial"/>
          <w:i/>
          <w:color w:val="000000" w:themeColor="text1"/>
        </w:rPr>
        <w:t xml:space="preserve"> </w:t>
      </w:r>
      <w:r w:rsidR="00B00E0B" w:rsidRPr="00FA697B">
        <w:rPr>
          <w:rFonts w:ascii="Arial" w:hAnsi="Arial" w:cs="Arial"/>
          <w:color w:val="000000" w:themeColor="text1"/>
        </w:rPr>
        <w:t>(USNPMS)</w:t>
      </w:r>
      <w:r w:rsidR="00747694" w:rsidRPr="00FA697B">
        <w:rPr>
          <w:rFonts w:ascii="Arial" w:hAnsi="Arial" w:cs="Arial"/>
          <w:color w:val="000000" w:themeColor="text1"/>
        </w:rPr>
        <w:t xml:space="preserve"> </w:t>
      </w:r>
      <w:r w:rsidR="00D83683" w:rsidRPr="00FA697B">
        <w:rPr>
          <w:rFonts w:ascii="Arial" w:hAnsi="Arial" w:cs="Arial"/>
          <w:color w:val="000000" w:themeColor="text1"/>
        </w:rPr>
        <w:t>(Fig. 1)</w:t>
      </w:r>
      <w:r w:rsidR="00B00E0B" w:rsidRPr="00FA697B">
        <w:rPr>
          <w:rFonts w:ascii="Arial" w:hAnsi="Arial" w:cs="Arial"/>
          <w:color w:val="000000" w:themeColor="text1"/>
        </w:rPr>
        <w:t xml:space="preserve"> </w:t>
      </w:r>
      <w:r w:rsidR="00B00E0B" w:rsidRPr="00FA697B">
        <w:rPr>
          <w:rFonts w:ascii="Arial" w:hAnsi="Arial" w:cs="Arial"/>
          <w:color w:val="000000" w:themeColor="text1"/>
        </w:rPr>
        <w:fldChar w:fldCharType="begin" w:fldLock="1"/>
      </w:r>
      <w:r w:rsidR="000F649F" w:rsidRPr="00FA697B">
        <w:rPr>
          <w:rFonts w:ascii="Arial" w:hAnsi="Arial" w:cs="Arial"/>
          <w:color w:val="000000" w:themeColor="text1"/>
        </w:rPr>
        <w:instrText>ADDIN CSL_CITATION {"citationItems":[{"id":"ITEM-1","itemData":{"ISSN":"0883-0738","abstract":"Multiple sclerosis and other demyelinating diseases in the pediatric population have received an increasing level of attention by clinicians and researchers. The low incidence of these diseases in children creates a need for the involvement of multiple clinical centers in research efforts. The Network of Pediatric Multiple Sclerosis Centers was created initially in 2006 to improve the diagnosis and care of children with demyelinating diseases. In 2010, the Network shifted its focus to multicenter research while continuing to advance the care of patients. The Network has obtained support from the National Multiple Sclerosis Society, the Guthy-Jackson Charitable Foundation, and the National Institutes of Health. The Network will continue to serve as a platform for conducting impactful research in pediatric demyelinating diseases of the central nervous system. This article provides a description of the history and development, organization, mission, research priorities, current studies, and future plans of the Network.","author":[{"dropping-particle":"","family":"Casper","given":"T Charles","non-dropping-particle":"","parse-names":false,"suffix":""},{"dropping-particle":"","family":"Rose","given":"John W","non-dropping-particle":"","parse-names":false,"suffix":""},{"dropping-particle":"","family":"Roalstad","given":"Shelly","non-dropping-particle":"","parse-names":false,"suffix":""},{"dropping-particle":"","family":"Waubant","given":"Emmanuelle","non-dropping-particle":"","parse-names":false,"suffix":""},{"dropping-particle":"","family":"Aaen","given":"Gregory","non-dropping-particle":"","parse-names":false,"suffix":""},{"dropping-particle":"","family":"Belman","given":"Anita","non-dropping-particle":"","parse-names":false,"suffix":""},{"dropping-particle":"","family":"Chitnis","given":"Tanuja","non-dropping-particle":"","parse-names":false,"suffix":""},{"dropping-particle":"","family":"Gorman","given":"Mark","non-dropping-particle":"","parse-names":false,"suffix":""},{"dropping-particle":"","family":"Krupp","given":"Lauren","non-dropping-particle":"","parse-names":false,"suffix":""},{"dropping-particle":"","family":"Lotze","given":"Timothy E","non-dropping-particle":"","parse-names":false,"suffix":""},{"dropping-particle":"","family":"Ness","given":"Jayne","non-dropping-particle":"","parse-names":false,"suffix":""},{"dropping-particle":"","family":"Patterson","given":"Marc","non-dropping-particle":"","parse-names":false,"suffix":""},{"dropping-particle":"","family":"Rodriguez","given":"Moses","non-dropping-particle":"","parse-names":false,"suffix":""},{"dropping-particle":"","family":"Weinstock-Guttman","given":"Bianca","non-dropping-particle":"","parse-names":false,"suffix":""},{"dropping-particle":"","family":"Browning","given":"Brittan","non-dropping-particle":"","parse-names":false,"suffix":""},{"dropping-particle":"","family":"Graves","given":"Jennifer","non-dropping-particle":"","parse-names":false,"suffix":""},{"dropping-particle":"","family":"Tillema","given":"Jan-Mendelt","non-dropping-particle":"","parse-names":false,"suffix":""},{"dropping-particle":"","family":"Benson","given":"Leslie","non-dropping-particle":"","parse-names":false,"suffix":""},{"dropping-particle":"","family":"Harris","given":"Yolanda","non-dropping-particle":"","parse-names":false,"suffix":""}],"container-title":"Journal of Child Neurology","id":"ITEM-1","issue":"10","issued":{"date-parts":[["2014","9","30"]]},"note":"doi: 10.1177/0883073814550656","page":"1381-1387","publisher":"SAGE Publications Inc","title":"The US Network of Pediatric Multiple Sclerosis Centers: Development, Progress, and Next Steps","type":"article-journal","volume":"30"},"uris":["http://www.mendeley.com/documents/?uuid=fea5d49f-57f3-4e3d-9d85-ef0f544ff847"]}],"mendeley":{"formattedCitation":"(Casper et al., 2014)","plainTextFormattedCitation":"(Casper et al., 2014)","previouslyFormattedCitation":"(Casper et al., 2014)"},"properties":{"noteIndex":0},"schema":"https://github.com/citation-style-language/schema/raw/master/csl-citation.json"}</w:instrText>
      </w:r>
      <w:r w:rsidR="00B00E0B" w:rsidRPr="00FA697B">
        <w:rPr>
          <w:rFonts w:ascii="Arial" w:hAnsi="Arial" w:cs="Arial"/>
          <w:color w:val="000000" w:themeColor="text1"/>
        </w:rPr>
        <w:fldChar w:fldCharType="separate"/>
      </w:r>
      <w:r w:rsidR="00B00E0B" w:rsidRPr="00FA697B">
        <w:rPr>
          <w:rFonts w:ascii="Arial" w:hAnsi="Arial" w:cs="Arial"/>
          <w:noProof/>
          <w:color w:val="000000" w:themeColor="text1"/>
        </w:rPr>
        <w:t>(Casper et al., 2014)</w:t>
      </w:r>
      <w:r w:rsidR="00B00E0B" w:rsidRPr="00FA697B">
        <w:rPr>
          <w:rFonts w:ascii="Arial" w:hAnsi="Arial" w:cs="Arial"/>
          <w:color w:val="000000" w:themeColor="text1"/>
        </w:rPr>
        <w:fldChar w:fldCharType="end"/>
      </w:r>
      <w:r w:rsidRPr="00FA697B">
        <w:rPr>
          <w:rFonts w:ascii="Arial" w:hAnsi="Arial" w:cs="Arial"/>
          <w:color w:val="000000" w:themeColor="text1"/>
        </w:rPr>
        <w:t xml:space="preserve">. Comparisons will be made using a combination of ordinal and categorical nutritional predictors. </w:t>
      </w:r>
      <w:r w:rsidR="00D83683" w:rsidRPr="00FA697B">
        <w:rPr>
          <w:rFonts w:ascii="Arial" w:hAnsi="Arial" w:cs="Arial"/>
          <w:color w:val="000000" w:themeColor="text1"/>
        </w:rPr>
        <w:t xml:space="preserve">We will use prospective clinical follow-up data to investigate the longitudinal associations between diet using a detailed validated food frequency questionnaire Block Kids 2004 and (1) MS burden measured via (a) clinical relapse rate, (b) Expanded Disability Status Scale (EDSS), and (c) Symbol Digit Modalities Test (SDMT), as well as radiographic MS burden measured via (a) T2 progression on MRI and (b) Gadolinium-enhancement on MRI. </w:t>
      </w:r>
    </w:p>
    <w:p w14:paraId="57D6FD3E" w14:textId="3EFF8378" w:rsidR="007C6D74" w:rsidRDefault="00A1418D" w:rsidP="00B21F71">
      <w:pPr>
        <w:ind w:firstLine="720"/>
        <w:rPr>
          <w:rFonts w:ascii="Arial" w:hAnsi="Arial" w:cs="Arial"/>
          <w:color w:val="000000" w:themeColor="text1"/>
        </w:rPr>
      </w:pPr>
      <w:r w:rsidRPr="00FA697B">
        <w:rPr>
          <w:rFonts w:ascii="Arial" w:hAnsi="Arial" w:cs="Arial"/>
          <w:color w:val="000000" w:themeColor="text1"/>
        </w:rPr>
        <w:t xml:space="preserve">This study, given its nature, does have limitations of being observational and self-reported without any regulation of diet and having limited data regarding dietary intake as only </w:t>
      </w:r>
      <w:r w:rsidR="008E482B" w:rsidRPr="00FA697B">
        <w:rPr>
          <w:rFonts w:ascii="Arial" w:hAnsi="Arial" w:cs="Arial"/>
          <w:color w:val="000000" w:themeColor="text1"/>
        </w:rPr>
        <w:t xml:space="preserve">one </w:t>
      </w:r>
      <w:r w:rsidRPr="00FA697B">
        <w:rPr>
          <w:rFonts w:ascii="Arial" w:hAnsi="Arial" w:cs="Arial"/>
          <w:color w:val="000000" w:themeColor="text1"/>
        </w:rPr>
        <w:t>time point</w:t>
      </w:r>
      <w:r w:rsidR="008E482B" w:rsidRPr="00FA697B">
        <w:rPr>
          <w:rFonts w:ascii="Arial" w:hAnsi="Arial" w:cs="Arial"/>
          <w:color w:val="000000" w:themeColor="text1"/>
        </w:rPr>
        <w:t xml:space="preserve"> </w:t>
      </w:r>
      <w:r w:rsidRPr="00FA697B">
        <w:rPr>
          <w:rFonts w:ascii="Arial" w:hAnsi="Arial" w:cs="Arial"/>
          <w:color w:val="000000" w:themeColor="text1"/>
        </w:rPr>
        <w:t>and not accounting for other confounders such as genetic (considered to account of 30% of MS susceptibility and disease course) or environmental exposures (such as sun exposure leading to variable levels of Vitamin D)</w:t>
      </w:r>
      <w:r w:rsidR="00E74EB9" w:rsidRPr="00FA697B">
        <w:rPr>
          <w:rFonts w:ascii="Arial" w:hAnsi="Arial" w:cs="Arial"/>
          <w:color w:val="000000" w:themeColor="text1"/>
        </w:rPr>
        <w:t xml:space="preserve"> </w:t>
      </w:r>
      <w:r w:rsidR="00E74EB9" w:rsidRPr="00FA697B">
        <w:rPr>
          <w:rFonts w:ascii="Arial" w:hAnsi="Arial" w:cs="Arial"/>
          <w:color w:val="000000" w:themeColor="text1"/>
        </w:rPr>
        <w:fldChar w:fldCharType="begin" w:fldLock="1"/>
      </w:r>
      <w:r w:rsidR="00747694" w:rsidRPr="00FA697B">
        <w:rPr>
          <w:rFonts w:ascii="Arial" w:hAnsi="Arial" w:cs="Arial"/>
          <w:color w:val="000000" w:themeColor="text1"/>
        </w:rPr>
        <w:instrText>ADDIN CSL_CITATION {"citationItems":[{"id":"ITEM-1","itemData":{"DOI":"https://doi.org/10.1002/acn3.50862","ISSN":"2328-9503","abstract":"Abstract Recent findings have provided a molecular basis for the combined contributions of multifaceted risk factors for the onset of multiple sclerosis (MS). MS appears to start as a chronic dysregulation of immune homeostasis resulting from complex interactions between genetic predispositions, infectious exposures, and factors that lead to pro-inflammatory states, including smoking, obesity, and low sun exposure. This is supported by the discovery of gene?environment (GxE) interactions and epigenetic alterations triggered by environmental exposures in individuals with particular genetic make-ups. It is notable that several of these pro-inflammatory factors have not emerged as strong prognostic indicators. Biological processes at play during the relapsing phase of the disease may result from initial inflammatory-mediated injury, while risk factors for the later phase of MS, which is weighted toward neurodegeneration, are not yet well defined. This integrated review of current evidence guides recommendations for clinical practice and highlights research gaps.","author":[{"dropping-particle":"","family":"Waubant","given":"Emmanuelle","non-dropping-particle":"","parse-names":false,"suffix":""},{"dropping-particle":"","family":"Lucas","given":"Robyn","non-dropping-particle":"","parse-names":false,"suffix":""},{"dropping-particle":"","family":"Mowry","given":"Ellen","non-dropping-particle":"","parse-names":false,"suffix":""},{"dropping-particle":"","family":"Graves","given":"Jennifer","non-dropping-particle":"","parse-names":false,"suffix":""},{"dropping-particle":"","family":"Olsson","given":"Tomas","non-dropping-particle":"","parse-names":false,"suffix":""},{"dropping-particle":"","family":"Alfredsson","given":"Lars","non-dropping-particle":"","parse-names":false,"suffix":""},{"dropping-particle":"","family":"Langer-Gould","given":"Annette","non-dropping-particle":"","parse-names":false,"suffix":""}],"container-title":"Annals of Clinical and Translational Neurology","id":"ITEM-1","issue":"9","issued":{"date-parts":[["2019","9","1"]]},"note":"https://doi.org/10.1002/acn3.50862","page":"1905-1922","publisher":"John Wiley &amp; Sons, Ltd","title":"Environmental and genetic risk factors for MS: an integrated review","type":"article-journal","volume":"6"},"uris":["http://www.mendeley.com/documents/?uuid=62b6afc2-a0c3-4f7e-a14c-57feca09f69b"]}],"mendeley":{"formattedCitation":"(Waubant et al., 2019)","plainTextFormattedCitation":"(Waubant et al., 2019)","previouslyFormattedCitation":"(Waubant et al., 2019)"},"properties":{"noteIndex":0},"schema":"https://github.com/citation-style-language/schema/raw/master/csl-citation.json"}</w:instrText>
      </w:r>
      <w:r w:rsidR="00E74EB9" w:rsidRPr="00FA697B">
        <w:rPr>
          <w:rFonts w:ascii="Arial" w:hAnsi="Arial" w:cs="Arial"/>
          <w:color w:val="000000" w:themeColor="text1"/>
        </w:rPr>
        <w:fldChar w:fldCharType="separate"/>
      </w:r>
      <w:r w:rsidR="00E74EB9" w:rsidRPr="00FA697B">
        <w:rPr>
          <w:rFonts w:ascii="Arial" w:hAnsi="Arial" w:cs="Arial"/>
          <w:noProof/>
          <w:color w:val="000000" w:themeColor="text1"/>
        </w:rPr>
        <w:t>(Waubant et al., 2019)</w:t>
      </w:r>
      <w:r w:rsidR="00E74EB9" w:rsidRPr="00FA697B">
        <w:rPr>
          <w:rFonts w:ascii="Arial" w:hAnsi="Arial" w:cs="Arial"/>
          <w:color w:val="000000" w:themeColor="text1"/>
        </w:rPr>
        <w:fldChar w:fldCharType="end"/>
      </w:r>
      <w:r w:rsidRPr="00FA697B">
        <w:rPr>
          <w:rFonts w:ascii="Arial" w:hAnsi="Arial" w:cs="Arial"/>
          <w:color w:val="000000" w:themeColor="text1"/>
        </w:rPr>
        <w:t xml:space="preserve">. In an ideal scenario, one would conduct a randomized control trial twin study to regulate diet and account for genetic or </w:t>
      </w:r>
      <w:r w:rsidR="00FF1CBF" w:rsidRPr="00FA697B">
        <w:rPr>
          <w:rFonts w:ascii="Arial" w:hAnsi="Arial" w:cs="Arial"/>
          <w:color w:val="000000" w:themeColor="text1"/>
        </w:rPr>
        <w:t xml:space="preserve">other </w:t>
      </w:r>
      <w:r w:rsidRPr="00FA697B">
        <w:rPr>
          <w:rFonts w:ascii="Arial" w:hAnsi="Arial" w:cs="Arial"/>
          <w:color w:val="000000" w:themeColor="text1"/>
        </w:rPr>
        <w:t xml:space="preserve">environmental </w:t>
      </w:r>
      <w:r w:rsidR="00FF1CBF" w:rsidRPr="00FA697B">
        <w:rPr>
          <w:rFonts w:ascii="Arial" w:hAnsi="Arial" w:cs="Arial"/>
          <w:color w:val="000000" w:themeColor="text1"/>
        </w:rPr>
        <w:t>variables</w:t>
      </w:r>
      <w:r w:rsidRPr="00FA697B">
        <w:rPr>
          <w:rFonts w:ascii="Arial" w:hAnsi="Arial" w:cs="Arial"/>
          <w:color w:val="000000" w:themeColor="text1"/>
        </w:rPr>
        <w:t xml:space="preserve"> </w:t>
      </w:r>
      <w:r w:rsidR="00FF1CBF" w:rsidRPr="00FA697B">
        <w:rPr>
          <w:rFonts w:ascii="Arial" w:hAnsi="Arial" w:cs="Arial"/>
          <w:color w:val="000000" w:themeColor="text1"/>
        </w:rPr>
        <w:t>a</w:t>
      </w:r>
      <w:r w:rsidRPr="00FA697B">
        <w:rPr>
          <w:rFonts w:ascii="Arial" w:hAnsi="Arial" w:cs="Arial"/>
          <w:color w:val="000000" w:themeColor="text1"/>
        </w:rPr>
        <w:t xml:space="preserve">ffecting MS in </w:t>
      </w:r>
      <w:r w:rsidR="00FF1CBF" w:rsidRPr="00FA697B">
        <w:rPr>
          <w:rFonts w:ascii="Arial" w:hAnsi="Arial" w:cs="Arial"/>
          <w:color w:val="000000" w:themeColor="text1"/>
        </w:rPr>
        <w:t>a</w:t>
      </w:r>
      <w:r w:rsidRPr="00FA697B">
        <w:rPr>
          <w:rFonts w:ascii="Arial" w:hAnsi="Arial" w:cs="Arial"/>
          <w:color w:val="000000" w:themeColor="text1"/>
        </w:rPr>
        <w:t xml:space="preserve"> mo</w:t>
      </w:r>
      <w:r w:rsidR="00FF1CBF" w:rsidRPr="00FA697B">
        <w:rPr>
          <w:rFonts w:ascii="Arial" w:hAnsi="Arial" w:cs="Arial"/>
          <w:color w:val="000000" w:themeColor="text1"/>
        </w:rPr>
        <w:t>re</w:t>
      </w:r>
      <w:r w:rsidRPr="00FA697B">
        <w:rPr>
          <w:rFonts w:ascii="Arial" w:hAnsi="Arial" w:cs="Arial"/>
          <w:color w:val="000000" w:themeColor="text1"/>
        </w:rPr>
        <w:t xml:space="preserve"> stringent manner. The difficulty with the alternative study design would be </w:t>
      </w:r>
      <w:r w:rsidR="00FF1CBF" w:rsidRPr="00FA697B">
        <w:rPr>
          <w:rFonts w:ascii="Arial" w:hAnsi="Arial" w:cs="Arial"/>
          <w:color w:val="000000" w:themeColor="text1"/>
        </w:rPr>
        <w:t>significant</w:t>
      </w:r>
      <w:r w:rsidRPr="00FA697B">
        <w:rPr>
          <w:rFonts w:ascii="Arial" w:hAnsi="Arial" w:cs="Arial"/>
          <w:color w:val="000000" w:themeColor="text1"/>
        </w:rPr>
        <w:t xml:space="preserve"> limitations of the subject pool</w:t>
      </w:r>
      <w:r w:rsidR="00FF1CBF" w:rsidRPr="00FA697B">
        <w:rPr>
          <w:rFonts w:ascii="Arial" w:hAnsi="Arial" w:cs="Arial"/>
          <w:color w:val="000000" w:themeColor="text1"/>
        </w:rPr>
        <w:t xml:space="preserve"> given stringent inclusionary criteria</w:t>
      </w:r>
      <w:r w:rsidRPr="00FA697B">
        <w:rPr>
          <w:rFonts w:ascii="Arial" w:hAnsi="Arial" w:cs="Arial"/>
          <w:color w:val="000000" w:themeColor="text1"/>
        </w:rPr>
        <w:t xml:space="preserve">, including losing diversity that is currently possible using subjects from all over the country, and difficulty implementing and enforcing a strict diet for prolonged periods of time with a possibility of a high attrition rate. </w:t>
      </w:r>
    </w:p>
    <w:p w14:paraId="6B635AD3" w14:textId="5DA02E63" w:rsidR="00403CAC" w:rsidRDefault="00403CAC" w:rsidP="00403CAC">
      <w:pPr>
        <w:rPr>
          <w:rFonts w:ascii="Arial" w:hAnsi="Arial" w:cs="Arial"/>
          <w:color w:val="000000" w:themeColor="text1"/>
        </w:rPr>
      </w:pPr>
    </w:p>
    <w:p w14:paraId="5321347F" w14:textId="44E24228" w:rsidR="00403CAC" w:rsidRPr="00403CAC" w:rsidRDefault="00403CAC" w:rsidP="00403CAC">
      <w:pPr>
        <w:rPr>
          <w:rFonts w:ascii="Arial" w:hAnsi="Arial" w:cs="Arial"/>
          <w:color w:val="000000" w:themeColor="text1"/>
        </w:rPr>
      </w:pPr>
      <w:r w:rsidRPr="00403CAC">
        <w:rPr>
          <w:rFonts w:ascii="Arial" w:hAnsi="Arial" w:cs="Arial"/>
          <w:color w:val="000000" w:themeColor="text1"/>
        </w:rPr>
        <w:t xml:space="preserve">Aim: To determine whether dietary intake is associated with pediatric MS course. </w:t>
      </w:r>
    </w:p>
    <w:p w14:paraId="65206ECB" w14:textId="77777777" w:rsidR="00403CAC" w:rsidRPr="00FA697B" w:rsidRDefault="00403CAC" w:rsidP="00403CAC">
      <w:pPr>
        <w:rPr>
          <w:rFonts w:ascii="Arial" w:hAnsi="Arial" w:cs="Arial"/>
          <w:color w:val="000000" w:themeColor="text1"/>
        </w:rPr>
      </w:pPr>
    </w:p>
    <w:p w14:paraId="3B94757C" w14:textId="496BDB35" w:rsidR="00D83683" w:rsidRPr="00FA697B" w:rsidRDefault="00D83683" w:rsidP="00403CAC">
      <w:pPr>
        <w:rPr>
          <w:rFonts w:ascii="Arial" w:hAnsi="Arial" w:cs="Arial"/>
          <w:color w:val="000000" w:themeColor="text1"/>
        </w:rPr>
      </w:pPr>
    </w:p>
    <w:p w14:paraId="2B5D7106" w14:textId="1EAF5D2F" w:rsidR="00A1418D" w:rsidRPr="00FA697B" w:rsidRDefault="00D83683" w:rsidP="00B21F71">
      <w:pPr>
        <w:rPr>
          <w:rFonts w:ascii="Arial" w:hAnsi="Arial" w:cs="Arial"/>
          <w:color w:val="000000" w:themeColor="text1"/>
        </w:rPr>
      </w:pPr>
      <w:r w:rsidRPr="00FA697B">
        <w:rPr>
          <w:rFonts w:ascii="Arial" w:hAnsi="Arial" w:cs="Arial"/>
          <w:noProof/>
          <w:color w:val="000000" w:themeColor="text1"/>
        </w:rPr>
        <w:drawing>
          <wp:inline distT="0" distB="0" distL="0" distR="0" wp14:anchorId="4896A406" wp14:editId="5B073488">
            <wp:extent cx="5486400" cy="2330032"/>
            <wp:effectExtent l="0" t="12700" r="25400" b="19685"/>
            <wp:docPr id="1" name="Diagram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6" r:lo="rId7" r:qs="rId8" r:cs="rId9"/>
              </a:graphicData>
            </a:graphic>
          </wp:inline>
        </w:drawing>
      </w:r>
    </w:p>
    <w:p w14:paraId="1D11D9A4" w14:textId="384FC1B5" w:rsidR="00D83683" w:rsidRPr="00FA697B" w:rsidRDefault="00D83683" w:rsidP="00B21F71">
      <w:pPr>
        <w:rPr>
          <w:rFonts w:ascii="Arial" w:hAnsi="Arial" w:cs="Arial"/>
          <w:color w:val="000000" w:themeColor="text1"/>
        </w:rPr>
      </w:pPr>
      <w:r w:rsidRPr="00FA697B">
        <w:rPr>
          <w:rFonts w:ascii="Arial" w:hAnsi="Arial" w:cs="Arial"/>
          <w:color w:val="000000" w:themeColor="text1"/>
        </w:rPr>
        <w:t xml:space="preserve">Fig. 1.  Schematic of study timeline </w:t>
      </w:r>
    </w:p>
    <w:p w14:paraId="696CFEF6" w14:textId="77777777" w:rsidR="00D83683" w:rsidRPr="00FA697B" w:rsidRDefault="00D83683" w:rsidP="00B21F71">
      <w:pPr>
        <w:rPr>
          <w:rFonts w:ascii="Arial" w:hAnsi="Arial" w:cs="Arial"/>
          <w:color w:val="000000" w:themeColor="text1"/>
        </w:rPr>
      </w:pPr>
    </w:p>
    <w:p w14:paraId="0F1F18CC" w14:textId="04B5200F" w:rsidR="00FF1CBF" w:rsidRPr="00FA697B" w:rsidRDefault="00FF1CBF" w:rsidP="00B21F71">
      <w:pPr>
        <w:shd w:val="clear" w:color="auto" w:fill="FFFFFF"/>
        <w:rPr>
          <w:rFonts w:ascii="Arial" w:eastAsia="Times New Roman" w:hAnsi="Arial" w:cs="Arial"/>
          <w:b/>
          <w:bCs/>
          <w:color w:val="000000" w:themeColor="text1"/>
        </w:rPr>
      </w:pPr>
      <w:r w:rsidRPr="00FA697B">
        <w:rPr>
          <w:rFonts w:ascii="Arial" w:eastAsia="Times New Roman" w:hAnsi="Arial" w:cs="Arial"/>
          <w:b/>
          <w:bCs/>
          <w:color w:val="000000" w:themeColor="text1"/>
        </w:rPr>
        <w:t>SUBJECTS AND VARIABLES</w:t>
      </w:r>
    </w:p>
    <w:p w14:paraId="339B8DD5" w14:textId="77777777" w:rsidR="00B21F71" w:rsidRPr="00FA697B" w:rsidRDefault="00B21F71" w:rsidP="00B21F71">
      <w:pPr>
        <w:shd w:val="clear" w:color="auto" w:fill="FFFFFF"/>
        <w:rPr>
          <w:rFonts w:ascii="Arial" w:eastAsia="Times New Roman" w:hAnsi="Arial" w:cs="Arial"/>
          <w:color w:val="000000" w:themeColor="text1"/>
        </w:rPr>
      </w:pPr>
    </w:p>
    <w:p w14:paraId="621B72D7" w14:textId="7672AC66" w:rsidR="00B21F71" w:rsidRPr="00FA697B" w:rsidRDefault="00747694" w:rsidP="00B21F71">
      <w:pPr>
        <w:shd w:val="clear" w:color="auto" w:fill="FFFFFF"/>
        <w:rPr>
          <w:rFonts w:ascii="Arial" w:eastAsia="Times New Roman" w:hAnsi="Arial" w:cs="Arial"/>
          <w:color w:val="000000" w:themeColor="text1"/>
        </w:rPr>
      </w:pPr>
      <w:r w:rsidRPr="00FA697B">
        <w:rPr>
          <w:rFonts w:ascii="Arial" w:eastAsia="Times New Roman" w:hAnsi="Arial" w:cs="Arial"/>
          <w:color w:val="000000" w:themeColor="text1"/>
        </w:rPr>
        <w:t xml:space="preserve">The target population for this study would be </w:t>
      </w:r>
      <w:r w:rsidR="00EC54EA" w:rsidRPr="00FA697B">
        <w:rPr>
          <w:rFonts w:ascii="Arial" w:eastAsia="Times New Roman" w:hAnsi="Arial" w:cs="Arial"/>
          <w:color w:val="000000" w:themeColor="text1"/>
        </w:rPr>
        <w:t>all patients with POMS</w:t>
      </w:r>
      <w:r w:rsidR="00626F5D" w:rsidRPr="00FA697B">
        <w:rPr>
          <w:rFonts w:ascii="Arial" w:eastAsia="Times New Roman" w:hAnsi="Arial" w:cs="Arial"/>
          <w:color w:val="000000" w:themeColor="text1"/>
        </w:rPr>
        <w:t xml:space="preserve"> in the US,</w:t>
      </w:r>
      <w:r w:rsidRPr="00FA697B">
        <w:rPr>
          <w:rFonts w:ascii="Arial" w:eastAsia="Times New Roman" w:hAnsi="Arial" w:cs="Arial"/>
          <w:color w:val="000000" w:themeColor="text1"/>
        </w:rPr>
        <w:t xml:space="preserve"> </w:t>
      </w:r>
      <w:r w:rsidR="00626F5D" w:rsidRPr="00FA697B">
        <w:rPr>
          <w:rFonts w:ascii="Arial" w:eastAsia="Times New Roman" w:hAnsi="Arial" w:cs="Arial"/>
          <w:color w:val="000000" w:themeColor="text1"/>
        </w:rPr>
        <w:t xml:space="preserve">and the </w:t>
      </w:r>
      <w:r w:rsidRPr="00FA697B">
        <w:rPr>
          <w:rFonts w:ascii="Arial" w:eastAsia="Times New Roman" w:hAnsi="Arial" w:cs="Arial"/>
          <w:color w:val="000000" w:themeColor="text1"/>
        </w:rPr>
        <w:t>accessible population for this study would be</w:t>
      </w:r>
      <w:r w:rsidR="00626F5D" w:rsidRPr="00FA697B">
        <w:rPr>
          <w:rFonts w:ascii="Arial" w:eastAsia="Times New Roman" w:hAnsi="Arial" w:cs="Arial"/>
          <w:color w:val="000000" w:themeColor="text1"/>
        </w:rPr>
        <w:t xml:space="preserve"> patients seeking care at </w:t>
      </w:r>
      <w:r w:rsidR="00B00E0B" w:rsidRPr="00FA697B">
        <w:rPr>
          <w:rFonts w:ascii="Arial" w:hAnsi="Arial" w:cs="Arial"/>
          <w:color w:val="000000" w:themeColor="text1"/>
        </w:rPr>
        <w:t>USNPMS</w:t>
      </w:r>
      <w:r w:rsidR="00B00E0B" w:rsidRPr="00FA697B">
        <w:rPr>
          <w:rFonts w:ascii="Arial" w:eastAsia="Times New Roman" w:hAnsi="Arial" w:cs="Arial"/>
          <w:color w:val="000000" w:themeColor="text1"/>
        </w:rPr>
        <w:t xml:space="preserve"> centers</w:t>
      </w:r>
      <w:r w:rsidRPr="00FA697B">
        <w:rPr>
          <w:rFonts w:ascii="Arial" w:eastAsia="Times New Roman" w:hAnsi="Arial" w:cs="Arial"/>
          <w:color w:val="000000" w:themeColor="text1"/>
        </w:rPr>
        <w:t xml:space="preserve">. Subject inclusion criteria </w:t>
      </w:r>
      <w:r w:rsidR="00111714" w:rsidRPr="00FA697B">
        <w:rPr>
          <w:rFonts w:ascii="Arial" w:eastAsia="Times New Roman" w:hAnsi="Arial" w:cs="Arial"/>
          <w:color w:val="000000" w:themeColor="text1"/>
        </w:rPr>
        <w:t>consist</w:t>
      </w:r>
      <w:r w:rsidRPr="00FA697B">
        <w:rPr>
          <w:rFonts w:ascii="Arial" w:eastAsia="Times New Roman" w:hAnsi="Arial" w:cs="Arial"/>
          <w:color w:val="000000" w:themeColor="text1"/>
        </w:rPr>
        <w:t xml:space="preserve"> of</w:t>
      </w:r>
      <w:r w:rsidR="00EC54EA" w:rsidRPr="00FA697B">
        <w:rPr>
          <w:rFonts w:ascii="Arial" w:eastAsia="Times New Roman" w:hAnsi="Arial" w:cs="Arial"/>
          <w:color w:val="000000" w:themeColor="text1"/>
        </w:rPr>
        <w:t xml:space="preserve"> </w:t>
      </w:r>
      <w:r w:rsidR="00EC54EA" w:rsidRPr="00FA697B">
        <w:rPr>
          <w:rFonts w:ascii="Arial" w:hAnsi="Arial" w:cs="Arial"/>
          <w:color w:val="000000" w:themeColor="text1"/>
        </w:rPr>
        <w:t xml:space="preserve">subjects being aged &lt; 18 years at time of onset with disease duration &lt; 4 years at the time of enrollment and ≥2 silent T2-bright </w:t>
      </w:r>
      <w:r w:rsidR="00EC54EA" w:rsidRPr="00FA697B">
        <w:rPr>
          <w:rFonts w:ascii="Arial" w:hAnsi="Arial" w:cs="Arial"/>
          <w:color w:val="000000" w:themeColor="text1"/>
        </w:rPr>
        <w:lastRenderedPageBreak/>
        <w:t xml:space="preserve">foci on brain/cord MRI and meet published criteria for MS or </w:t>
      </w:r>
      <w:r w:rsidR="00626F5D" w:rsidRPr="00FA697B">
        <w:rPr>
          <w:rFonts w:ascii="Arial" w:hAnsi="Arial" w:cs="Arial"/>
          <w:color w:val="000000" w:themeColor="text1"/>
        </w:rPr>
        <w:t>clinically isolated syndrome</w:t>
      </w:r>
      <w:r w:rsidR="00EC54EA" w:rsidRPr="00FA697B">
        <w:rPr>
          <w:rFonts w:ascii="Arial" w:hAnsi="Arial" w:cs="Arial"/>
          <w:color w:val="000000" w:themeColor="text1"/>
        </w:rPr>
        <w:t xml:space="preserve"> at risk for MS</w:t>
      </w:r>
      <w:r w:rsidRPr="00FA697B">
        <w:rPr>
          <w:rFonts w:ascii="Arial" w:eastAsia="Times New Roman" w:hAnsi="Arial" w:cs="Arial"/>
          <w:color w:val="000000" w:themeColor="text1"/>
        </w:rPr>
        <w:t xml:space="preserve">. </w:t>
      </w:r>
      <w:r w:rsidR="000F649F" w:rsidRPr="00FA697B">
        <w:rPr>
          <w:rFonts w:ascii="Arial" w:eastAsia="Times New Roman" w:hAnsi="Arial" w:cs="Arial"/>
          <w:color w:val="000000" w:themeColor="text1"/>
        </w:rPr>
        <w:t>Exclusion</w:t>
      </w:r>
      <w:r w:rsidRPr="00FA697B">
        <w:rPr>
          <w:rFonts w:ascii="Arial" w:eastAsia="Times New Roman" w:hAnsi="Arial" w:cs="Arial"/>
          <w:color w:val="000000" w:themeColor="text1"/>
        </w:rPr>
        <w:t xml:space="preserve"> criteria consists </w:t>
      </w:r>
      <w:r w:rsidR="000F649F" w:rsidRPr="00FA697B">
        <w:rPr>
          <w:rFonts w:ascii="Arial" w:eastAsia="Times New Roman" w:hAnsi="Arial" w:cs="Arial"/>
          <w:color w:val="000000" w:themeColor="text1"/>
        </w:rPr>
        <w:t>of subjects</w:t>
      </w:r>
      <w:r w:rsidR="00B21F71" w:rsidRPr="00FA697B">
        <w:rPr>
          <w:rFonts w:ascii="Arial" w:eastAsia="Times New Roman" w:hAnsi="Arial" w:cs="Arial"/>
          <w:color w:val="000000" w:themeColor="text1"/>
        </w:rPr>
        <w:t xml:space="preserve"> not able to complete the two </w:t>
      </w:r>
      <w:r w:rsidR="000F649F" w:rsidRPr="00FA697B">
        <w:rPr>
          <w:rFonts w:ascii="Arial" w:eastAsia="Times New Roman" w:hAnsi="Arial" w:cs="Arial"/>
          <w:color w:val="000000" w:themeColor="text1"/>
        </w:rPr>
        <w:t>questionnaires</w:t>
      </w:r>
      <w:r w:rsidR="00B21F71" w:rsidRPr="00FA697B">
        <w:rPr>
          <w:rFonts w:ascii="Arial" w:eastAsia="Times New Roman" w:hAnsi="Arial" w:cs="Arial"/>
          <w:color w:val="000000" w:themeColor="text1"/>
        </w:rPr>
        <w:t xml:space="preserve"> or</w:t>
      </w:r>
      <w:r w:rsidR="000F649F" w:rsidRPr="00FA697B">
        <w:rPr>
          <w:rFonts w:ascii="Arial" w:eastAsia="Times New Roman" w:hAnsi="Arial" w:cs="Arial"/>
          <w:color w:val="000000" w:themeColor="text1"/>
        </w:rPr>
        <w:t xml:space="preserve"> with a high likelihood of not having follow-up (</w:t>
      </w:r>
      <w:r w:rsidR="00111714" w:rsidRPr="00FA697B">
        <w:rPr>
          <w:rFonts w:ascii="Arial" w:eastAsia="Times New Roman" w:hAnsi="Arial" w:cs="Arial"/>
          <w:color w:val="000000" w:themeColor="text1"/>
        </w:rPr>
        <w:t>e.g.,</w:t>
      </w:r>
      <w:r w:rsidR="000F649F" w:rsidRPr="00FA697B">
        <w:rPr>
          <w:rFonts w:ascii="Arial" w:eastAsia="Times New Roman" w:hAnsi="Arial" w:cs="Arial"/>
          <w:color w:val="000000" w:themeColor="text1"/>
        </w:rPr>
        <w:t xml:space="preserve"> one time consultation visit)</w:t>
      </w:r>
      <w:r w:rsidRPr="00FA697B">
        <w:rPr>
          <w:rFonts w:ascii="Arial" w:eastAsia="Times New Roman" w:hAnsi="Arial" w:cs="Arial"/>
          <w:color w:val="000000" w:themeColor="text1"/>
        </w:rPr>
        <w:t xml:space="preserve">. Study participants will be sampled from the accessible population by </w:t>
      </w:r>
      <w:r w:rsidR="00626F5D" w:rsidRPr="00FA697B">
        <w:rPr>
          <w:rFonts w:ascii="Arial" w:eastAsia="Times New Roman" w:hAnsi="Arial" w:cs="Arial"/>
          <w:color w:val="000000" w:themeColor="text1"/>
        </w:rPr>
        <w:t xml:space="preserve">seeking voluntary </w:t>
      </w:r>
      <w:r w:rsidR="00111714" w:rsidRPr="00FA697B">
        <w:rPr>
          <w:rFonts w:ascii="Arial" w:eastAsia="Times New Roman" w:hAnsi="Arial" w:cs="Arial"/>
          <w:color w:val="000000" w:themeColor="text1"/>
        </w:rPr>
        <w:t>enrollment and</w:t>
      </w:r>
      <w:r w:rsidR="000F649F" w:rsidRPr="00FA697B">
        <w:rPr>
          <w:rFonts w:ascii="Arial" w:eastAsia="Times New Roman" w:hAnsi="Arial" w:cs="Arial"/>
          <w:color w:val="000000" w:themeColor="text1"/>
        </w:rPr>
        <w:t xml:space="preserve"> will be</w:t>
      </w:r>
      <w:r w:rsidRPr="00FA697B">
        <w:rPr>
          <w:rFonts w:ascii="Arial" w:eastAsia="Times New Roman" w:hAnsi="Arial" w:cs="Arial"/>
          <w:color w:val="000000" w:themeColor="text1"/>
        </w:rPr>
        <w:t xml:space="preserve"> recruited by</w:t>
      </w:r>
      <w:r w:rsidR="00626F5D" w:rsidRPr="00FA697B">
        <w:rPr>
          <w:rFonts w:ascii="Arial" w:eastAsia="Times New Roman" w:hAnsi="Arial" w:cs="Arial"/>
          <w:color w:val="000000" w:themeColor="text1"/>
        </w:rPr>
        <w:t xml:space="preserve"> physicians and</w:t>
      </w:r>
      <w:r w:rsidRPr="00FA697B">
        <w:rPr>
          <w:rFonts w:ascii="Arial" w:eastAsia="Times New Roman" w:hAnsi="Arial" w:cs="Arial"/>
          <w:color w:val="000000" w:themeColor="text1"/>
        </w:rPr>
        <w:t xml:space="preserve"> </w:t>
      </w:r>
      <w:r w:rsidR="00626F5D" w:rsidRPr="00FA697B">
        <w:rPr>
          <w:rFonts w:ascii="Arial" w:eastAsia="Times New Roman" w:hAnsi="Arial" w:cs="Arial"/>
          <w:color w:val="000000" w:themeColor="text1"/>
        </w:rPr>
        <w:t>study site coordinators</w:t>
      </w:r>
      <w:r w:rsidR="00B00E0B" w:rsidRPr="00FA697B">
        <w:rPr>
          <w:rFonts w:ascii="Arial" w:eastAsia="Times New Roman" w:hAnsi="Arial" w:cs="Arial"/>
          <w:color w:val="000000" w:themeColor="text1"/>
        </w:rPr>
        <w:t xml:space="preserve"> at </w:t>
      </w:r>
      <w:r w:rsidR="00B00E0B" w:rsidRPr="00FA697B">
        <w:rPr>
          <w:rFonts w:ascii="Arial" w:hAnsi="Arial" w:cs="Arial"/>
          <w:color w:val="000000" w:themeColor="text1"/>
        </w:rPr>
        <w:t>USNPMS centers</w:t>
      </w:r>
      <w:r w:rsidRPr="00FA697B">
        <w:rPr>
          <w:rFonts w:ascii="Arial" w:eastAsia="Times New Roman" w:hAnsi="Arial" w:cs="Arial"/>
          <w:color w:val="000000" w:themeColor="text1"/>
        </w:rPr>
        <w:t>.</w:t>
      </w:r>
    </w:p>
    <w:p w14:paraId="3811F484" w14:textId="4A0BBC9F" w:rsidR="00B21F71" w:rsidRPr="00FA697B" w:rsidRDefault="000F649F" w:rsidP="43BA80F2">
      <w:pPr>
        <w:shd w:val="clear" w:color="auto" w:fill="FFFFFF" w:themeFill="background1"/>
        <w:ind w:firstLine="720"/>
        <w:rPr>
          <w:rFonts w:ascii="Arial" w:eastAsia="Times New Roman" w:hAnsi="Arial" w:cs="Arial"/>
          <w:color w:val="000000" w:themeColor="text1"/>
        </w:rPr>
      </w:pPr>
      <w:r w:rsidRPr="00FA697B">
        <w:rPr>
          <w:rFonts w:ascii="Arial" w:eastAsia="Times New Roman" w:hAnsi="Arial" w:cs="Arial"/>
          <w:color w:val="000000" w:themeColor="text1"/>
        </w:rPr>
        <w:t>T</w:t>
      </w:r>
      <w:r w:rsidR="00747694" w:rsidRPr="00FA697B">
        <w:rPr>
          <w:rFonts w:ascii="Arial" w:eastAsia="Times New Roman" w:hAnsi="Arial" w:cs="Arial"/>
          <w:color w:val="000000" w:themeColor="text1"/>
        </w:rPr>
        <w:t>he strategies to retain patients</w:t>
      </w:r>
      <w:r w:rsidRPr="00FA697B">
        <w:rPr>
          <w:rFonts w:ascii="Arial" w:eastAsia="Times New Roman" w:hAnsi="Arial" w:cs="Arial"/>
          <w:color w:val="000000" w:themeColor="text1"/>
        </w:rPr>
        <w:t xml:space="preserve"> longitudinally</w:t>
      </w:r>
      <w:r w:rsidR="00747694" w:rsidRPr="00FA697B">
        <w:rPr>
          <w:rFonts w:ascii="Arial" w:eastAsia="Times New Roman" w:hAnsi="Arial" w:cs="Arial"/>
          <w:color w:val="000000" w:themeColor="text1"/>
        </w:rPr>
        <w:t xml:space="preserve"> include</w:t>
      </w:r>
      <w:r w:rsidRPr="00FA697B">
        <w:rPr>
          <w:rFonts w:ascii="Arial" w:eastAsia="Times New Roman" w:hAnsi="Arial" w:cs="Arial"/>
          <w:color w:val="000000" w:themeColor="text1"/>
        </w:rPr>
        <w:t xml:space="preserve"> requiring</w:t>
      </w:r>
      <w:r w:rsidR="00747694" w:rsidRPr="00FA697B">
        <w:rPr>
          <w:rFonts w:ascii="Arial" w:eastAsia="Times New Roman" w:hAnsi="Arial" w:cs="Arial"/>
          <w:color w:val="000000" w:themeColor="text1"/>
        </w:rPr>
        <w:t xml:space="preserve"> </w:t>
      </w:r>
      <w:r w:rsidR="00626F5D" w:rsidRPr="00FA697B">
        <w:rPr>
          <w:rFonts w:ascii="Arial" w:eastAsia="Times New Roman" w:hAnsi="Arial" w:cs="Arial"/>
          <w:color w:val="000000" w:themeColor="text1"/>
        </w:rPr>
        <w:t xml:space="preserve">only </w:t>
      </w:r>
      <w:r w:rsidR="008E482B" w:rsidRPr="00FA697B">
        <w:rPr>
          <w:rFonts w:ascii="Arial" w:eastAsia="Times New Roman" w:hAnsi="Arial" w:cs="Arial"/>
          <w:color w:val="000000" w:themeColor="text1"/>
        </w:rPr>
        <w:t>one</w:t>
      </w:r>
      <w:r w:rsidR="00626F5D" w:rsidRPr="00FA697B">
        <w:rPr>
          <w:rFonts w:ascii="Arial" w:eastAsia="Times New Roman" w:hAnsi="Arial" w:cs="Arial"/>
          <w:color w:val="000000" w:themeColor="text1"/>
        </w:rPr>
        <w:t xml:space="preserve"> detailed nutritional questionnaire and providing the subjects and families ongoing clinic follow-up at the</w:t>
      </w:r>
      <w:r w:rsidRPr="00FA697B">
        <w:rPr>
          <w:rFonts w:ascii="Arial" w:eastAsia="Times New Roman" w:hAnsi="Arial" w:cs="Arial"/>
          <w:color w:val="000000" w:themeColor="text1"/>
        </w:rPr>
        <w:t>ir</w:t>
      </w:r>
      <w:r w:rsidR="00626F5D" w:rsidRPr="00FA697B">
        <w:rPr>
          <w:rFonts w:ascii="Arial" w:eastAsia="Times New Roman" w:hAnsi="Arial" w:cs="Arial"/>
          <w:color w:val="000000" w:themeColor="text1"/>
        </w:rPr>
        <w:t xml:space="preserve"> MS center, as would</w:t>
      </w:r>
      <w:r w:rsidRPr="00FA697B">
        <w:rPr>
          <w:rFonts w:ascii="Arial" w:eastAsia="Times New Roman" w:hAnsi="Arial" w:cs="Arial"/>
          <w:color w:val="000000" w:themeColor="text1"/>
        </w:rPr>
        <w:t xml:space="preserve"> be</w:t>
      </w:r>
      <w:r w:rsidR="00626F5D" w:rsidRPr="00FA697B">
        <w:rPr>
          <w:rFonts w:ascii="Arial" w:eastAsia="Times New Roman" w:hAnsi="Arial" w:cs="Arial"/>
          <w:color w:val="000000" w:themeColor="text1"/>
        </w:rPr>
        <w:t xml:space="preserve"> need</w:t>
      </w:r>
      <w:r w:rsidRPr="00FA697B">
        <w:rPr>
          <w:rFonts w:ascii="Arial" w:eastAsia="Times New Roman" w:hAnsi="Arial" w:cs="Arial"/>
          <w:color w:val="000000" w:themeColor="text1"/>
        </w:rPr>
        <w:t xml:space="preserve">ed </w:t>
      </w:r>
      <w:r w:rsidR="00626F5D" w:rsidRPr="00FA697B">
        <w:rPr>
          <w:rFonts w:ascii="Arial" w:eastAsia="Times New Roman" w:hAnsi="Arial" w:cs="Arial"/>
          <w:color w:val="000000" w:themeColor="text1"/>
        </w:rPr>
        <w:t xml:space="preserve">regardless of the study. </w:t>
      </w:r>
      <w:r w:rsidR="00747694" w:rsidRPr="00FA697B">
        <w:rPr>
          <w:rFonts w:ascii="Arial" w:eastAsia="Times New Roman" w:hAnsi="Arial" w:cs="Arial"/>
          <w:color w:val="000000" w:themeColor="text1"/>
        </w:rPr>
        <w:t xml:space="preserve">The implications of the selection criteria could limit generalizability of the study’s findings to MS patients within the </w:t>
      </w:r>
      <w:r w:rsidR="00626F5D" w:rsidRPr="00FA697B">
        <w:rPr>
          <w:rFonts w:ascii="Arial" w:eastAsia="Times New Roman" w:hAnsi="Arial" w:cs="Arial"/>
          <w:color w:val="000000" w:themeColor="text1"/>
        </w:rPr>
        <w:t>US</w:t>
      </w:r>
      <w:r w:rsidR="00747694" w:rsidRPr="00FA697B">
        <w:rPr>
          <w:rFonts w:ascii="Arial" w:eastAsia="Times New Roman" w:hAnsi="Arial" w:cs="Arial"/>
          <w:color w:val="000000" w:themeColor="text1"/>
        </w:rPr>
        <w:t xml:space="preserve"> given the varied dietary patterns present in different countries and may limit it towards younger MS patients </w:t>
      </w:r>
      <w:r w:rsidR="00626F5D" w:rsidRPr="00FA697B">
        <w:rPr>
          <w:rFonts w:ascii="Arial" w:eastAsia="Times New Roman" w:hAnsi="Arial" w:cs="Arial"/>
          <w:color w:val="000000" w:themeColor="text1"/>
        </w:rPr>
        <w:t>that could have</w:t>
      </w:r>
      <w:r w:rsidR="00747694" w:rsidRPr="00FA697B">
        <w:rPr>
          <w:rFonts w:ascii="Arial" w:eastAsia="Times New Roman" w:hAnsi="Arial" w:cs="Arial"/>
          <w:color w:val="000000" w:themeColor="text1"/>
        </w:rPr>
        <w:t xml:space="preserve"> different disease pathophysiology tha</w:t>
      </w:r>
      <w:r w:rsidR="00626F5D" w:rsidRPr="00FA697B">
        <w:rPr>
          <w:rFonts w:ascii="Arial" w:eastAsia="Times New Roman" w:hAnsi="Arial" w:cs="Arial"/>
          <w:color w:val="000000" w:themeColor="text1"/>
        </w:rPr>
        <w:t xml:space="preserve">n </w:t>
      </w:r>
      <w:r w:rsidR="00747694" w:rsidRPr="00FA697B">
        <w:rPr>
          <w:rFonts w:ascii="Arial" w:eastAsia="Times New Roman" w:hAnsi="Arial" w:cs="Arial"/>
          <w:color w:val="000000" w:themeColor="text1"/>
        </w:rPr>
        <w:t>patients</w:t>
      </w:r>
      <w:r w:rsidR="00626F5D" w:rsidRPr="00FA697B">
        <w:rPr>
          <w:rFonts w:ascii="Arial" w:eastAsia="Times New Roman" w:hAnsi="Arial" w:cs="Arial"/>
          <w:color w:val="000000" w:themeColor="text1"/>
        </w:rPr>
        <w:t xml:space="preserve"> with longstanding or </w:t>
      </w:r>
      <w:r w:rsidR="00747694" w:rsidRPr="00FA697B">
        <w:rPr>
          <w:rFonts w:ascii="Arial" w:eastAsia="Times New Roman" w:hAnsi="Arial" w:cs="Arial"/>
          <w:color w:val="000000" w:themeColor="text1"/>
        </w:rPr>
        <w:t>progressive MS</w:t>
      </w:r>
      <w:r w:rsidR="00B00E0B" w:rsidRPr="00FA697B">
        <w:rPr>
          <w:rFonts w:ascii="Arial" w:eastAsia="Times New Roman" w:hAnsi="Arial" w:cs="Arial"/>
          <w:color w:val="000000" w:themeColor="text1"/>
        </w:rPr>
        <w:t xml:space="preserve">. The voluntary nature of enrollment may also </w:t>
      </w:r>
      <w:r w:rsidRPr="00FA697B">
        <w:rPr>
          <w:rFonts w:ascii="Arial" w:eastAsia="Times New Roman" w:hAnsi="Arial" w:cs="Arial"/>
          <w:color w:val="000000" w:themeColor="text1"/>
        </w:rPr>
        <w:t>recruit</w:t>
      </w:r>
      <w:r w:rsidR="00B00E0B" w:rsidRPr="00FA697B">
        <w:rPr>
          <w:rFonts w:ascii="Arial" w:eastAsia="Times New Roman" w:hAnsi="Arial" w:cs="Arial"/>
          <w:color w:val="000000" w:themeColor="text1"/>
        </w:rPr>
        <w:t xml:space="preserve"> </w:t>
      </w:r>
      <w:r w:rsidRPr="00FA697B">
        <w:rPr>
          <w:rFonts w:ascii="Arial" w:eastAsia="Times New Roman" w:hAnsi="Arial" w:cs="Arial"/>
          <w:color w:val="000000" w:themeColor="text1"/>
        </w:rPr>
        <w:t xml:space="preserve">a </w:t>
      </w:r>
      <w:r w:rsidR="00B00E0B" w:rsidRPr="00FA697B">
        <w:rPr>
          <w:rFonts w:ascii="Arial" w:eastAsia="Times New Roman" w:hAnsi="Arial" w:cs="Arial"/>
          <w:color w:val="000000" w:themeColor="text1"/>
        </w:rPr>
        <w:t xml:space="preserve">more nutritionally inclined </w:t>
      </w:r>
      <w:r w:rsidRPr="00FA697B">
        <w:rPr>
          <w:rFonts w:ascii="Arial" w:eastAsia="Times New Roman" w:hAnsi="Arial" w:cs="Arial"/>
          <w:color w:val="000000" w:themeColor="text1"/>
        </w:rPr>
        <w:t>subject pool</w:t>
      </w:r>
      <w:r w:rsidR="00B00E0B" w:rsidRPr="00FA697B">
        <w:rPr>
          <w:rFonts w:ascii="Arial" w:eastAsia="Times New Roman" w:hAnsi="Arial" w:cs="Arial"/>
          <w:color w:val="000000" w:themeColor="text1"/>
        </w:rPr>
        <w:t xml:space="preserve"> that could be less representative of the POMS population at large. </w:t>
      </w:r>
    </w:p>
    <w:p w14:paraId="2A1BECCE" w14:textId="62330B40" w:rsidR="000A750C" w:rsidRPr="00FA697B" w:rsidRDefault="00747694" w:rsidP="00BB3D16">
      <w:pPr>
        <w:shd w:val="clear" w:color="auto" w:fill="FFFFFF"/>
        <w:ind w:firstLine="720"/>
        <w:rPr>
          <w:rFonts w:ascii="Arial" w:hAnsi="Arial" w:cs="Arial"/>
          <w:color w:val="000000" w:themeColor="text1"/>
        </w:rPr>
      </w:pPr>
      <w:r w:rsidRPr="00FA697B">
        <w:rPr>
          <w:rFonts w:ascii="Arial" w:eastAsia="Times New Roman" w:hAnsi="Arial" w:cs="Arial"/>
          <w:color w:val="000000" w:themeColor="text1"/>
        </w:rPr>
        <w:t>The</w:t>
      </w:r>
      <w:r w:rsidR="00C00AC5" w:rsidRPr="00FA697B">
        <w:rPr>
          <w:rFonts w:ascii="Arial" w:eastAsia="Times New Roman" w:hAnsi="Arial" w:cs="Arial"/>
          <w:color w:val="000000" w:themeColor="text1"/>
        </w:rPr>
        <w:t xml:space="preserve"> </w:t>
      </w:r>
      <w:r w:rsidRPr="00FA697B">
        <w:rPr>
          <w:rFonts w:ascii="Arial" w:eastAsia="Times New Roman" w:hAnsi="Arial" w:cs="Arial"/>
          <w:color w:val="000000" w:themeColor="text1"/>
        </w:rPr>
        <w:t xml:space="preserve">predictors for this study </w:t>
      </w:r>
      <w:r w:rsidR="00AF3665" w:rsidRPr="00FA697B">
        <w:rPr>
          <w:rFonts w:ascii="Arial" w:eastAsia="Times New Roman" w:hAnsi="Arial" w:cs="Arial"/>
          <w:color w:val="000000" w:themeColor="text1"/>
        </w:rPr>
        <w:t xml:space="preserve">will be </w:t>
      </w:r>
      <w:r w:rsidR="00C00AC5" w:rsidRPr="00FA697B">
        <w:rPr>
          <w:rFonts w:ascii="Arial" w:eastAsia="Times New Roman" w:hAnsi="Arial" w:cs="Arial"/>
          <w:color w:val="000000" w:themeColor="text1"/>
        </w:rPr>
        <w:t xml:space="preserve">based around reported nutrition intake. </w:t>
      </w:r>
      <w:r w:rsidR="009272A7" w:rsidRPr="00FA697B">
        <w:rPr>
          <w:rFonts w:ascii="Arial" w:hAnsi="Arial" w:cs="Arial"/>
          <w:color w:val="000000" w:themeColor="text1"/>
        </w:rPr>
        <w:t>Primary predictors include total vegetable intake, % of calories from total fat, and saturated and unsaturated (mono and poly) fatty acids. Secondary predictors include type of vegetables, omega-</w:t>
      </w:r>
      <w:proofErr w:type="gramStart"/>
      <w:r w:rsidR="009272A7" w:rsidRPr="00FA697B">
        <w:rPr>
          <w:rFonts w:ascii="Arial" w:hAnsi="Arial" w:cs="Arial"/>
          <w:color w:val="000000" w:themeColor="text1"/>
        </w:rPr>
        <w:t>3</w:t>
      </w:r>
      <w:proofErr w:type="gramEnd"/>
      <w:r w:rsidR="009272A7" w:rsidRPr="00FA697B">
        <w:rPr>
          <w:rFonts w:ascii="Arial" w:hAnsi="Arial" w:cs="Arial"/>
          <w:color w:val="000000" w:themeColor="text1"/>
        </w:rPr>
        <w:t xml:space="preserve"> and omega-6 fatty acids, trans fatty acids, sugar and fruit intake, % of calories from carbohydrates and proteins, baseline serum lipid and fatty acid profile.</w:t>
      </w:r>
      <w:r w:rsidR="00626F5D" w:rsidRPr="00FA697B">
        <w:rPr>
          <w:rFonts w:ascii="Arial" w:hAnsi="Arial" w:cs="Arial"/>
          <w:color w:val="000000" w:themeColor="text1"/>
        </w:rPr>
        <w:t xml:space="preserve"> </w:t>
      </w:r>
      <w:r w:rsidR="00626F5D" w:rsidRPr="00FA697B">
        <w:rPr>
          <w:rFonts w:ascii="Arial" w:eastAsia="Times New Roman" w:hAnsi="Arial" w:cs="Arial"/>
          <w:color w:val="000000" w:themeColor="text1"/>
        </w:rPr>
        <w:t xml:space="preserve">These will be </w:t>
      </w:r>
      <w:r w:rsidR="00626F5D" w:rsidRPr="00FA697B">
        <w:rPr>
          <w:rFonts w:ascii="Arial" w:hAnsi="Arial" w:cs="Arial"/>
          <w:color w:val="000000" w:themeColor="text1"/>
        </w:rPr>
        <w:t>obtain</w:t>
      </w:r>
      <w:r w:rsidR="009A34BB" w:rsidRPr="00FA697B">
        <w:rPr>
          <w:rFonts w:ascii="Arial" w:hAnsi="Arial" w:cs="Arial"/>
          <w:color w:val="000000" w:themeColor="text1"/>
        </w:rPr>
        <w:t xml:space="preserve">ed </w:t>
      </w:r>
      <w:r w:rsidR="008E482B" w:rsidRPr="00FA697B">
        <w:rPr>
          <w:rFonts w:ascii="Arial" w:hAnsi="Arial" w:cs="Arial"/>
          <w:color w:val="000000" w:themeColor="text1"/>
        </w:rPr>
        <w:t>at time of enrollment in study using</w:t>
      </w:r>
      <w:r w:rsidR="00626F5D" w:rsidRPr="00FA697B">
        <w:rPr>
          <w:rFonts w:ascii="Arial" w:hAnsi="Arial" w:cs="Arial"/>
          <w:color w:val="000000" w:themeColor="text1"/>
        </w:rPr>
        <w:t xml:space="preserve"> a food frequency questionnaire Block Kids</w:t>
      </w:r>
      <w:r w:rsidR="000A750C" w:rsidRPr="00FA697B">
        <w:rPr>
          <w:rFonts w:ascii="Arial" w:hAnsi="Arial" w:cs="Arial"/>
          <w:color w:val="000000" w:themeColor="text1"/>
        </w:rPr>
        <w:t xml:space="preserve"> Food</w:t>
      </w:r>
      <w:r w:rsidR="00626F5D" w:rsidRPr="00FA697B">
        <w:rPr>
          <w:rFonts w:ascii="Arial" w:hAnsi="Arial" w:cs="Arial"/>
          <w:color w:val="000000" w:themeColor="text1"/>
        </w:rPr>
        <w:t xml:space="preserve"> Screener </w:t>
      </w:r>
      <w:r w:rsidR="000A750C" w:rsidRPr="00FA697B">
        <w:rPr>
          <w:rFonts w:ascii="Arial" w:hAnsi="Arial" w:cs="Arial"/>
          <w:color w:val="000000" w:themeColor="text1"/>
        </w:rPr>
        <w:t xml:space="preserve">(BKFS) </w:t>
      </w:r>
      <w:r w:rsidR="00626F5D" w:rsidRPr="00FA697B">
        <w:rPr>
          <w:rFonts w:ascii="Arial" w:hAnsi="Arial" w:cs="Arial"/>
          <w:color w:val="000000" w:themeColor="text1"/>
        </w:rPr>
        <w:t xml:space="preserve">2004 </w:t>
      </w:r>
      <w:r w:rsidR="00626F5D" w:rsidRPr="00FA697B">
        <w:rPr>
          <w:rFonts w:ascii="Arial" w:hAnsi="Arial" w:cs="Arial"/>
          <w:color w:val="000000" w:themeColor="text1"/>
        </w:rPr>
        <w:fldChar w:fldCharType="begin" w:fldLock="1"/>
      </w:r>
      <w:r w:rsidR="00626F5D" w:rsidRPr="00FA697B">
        <w:rPr>
          <w:rFonts w:ascii="Arial" w:hAnsi="Arial" w:cs="Arial"/>
          <w:color w:val="000000" w:themeColor="text1"/>
        </w:rPr>
        <w:instrText>ADDIN CSL_CITATION {"citationItems":[{"id":"ITEM-1","itemData":{"ISSN":"0002-8223 (Print)","PMID":"18442512","abstract":"This cross-sectional study tested the reliability and validity of the Block Kids Questionnaire to assess diet during the past 7 days. Within a 7-day period, 10- to 17-year-old children and adolescents completed two 24-hour dietary recalls by telephone, followed by the Block Kids Questionnaire at the end of the week. Test-retest reliability was assessed using intraclass correlations for 18 participants who completed a second Block Kids Questionnaire 1 month later. Validity of the Block Kids Questionnaire compared to the 24-hour dietary recall was assessed for the whole sample and by age group using paired t tests and Pearson correlation coefficients adjusted for attenuation and energy intake. Participants were 83 children and adolescents (57% Hispanic, 21% African-American, and 23% white; 53% were female subjects, mean age 13 years). The Block Kids Questionnaire mean daily consumption values were higher for percent energy from carbohydrate, and servings of fruit, 100% fruit juice, and vegetables, and lower for all other categories compared to the 24-hour dietary recall. All reliability intraclass correlations were &gt;0.30, except percent energy from protein and fruit/vegetable servings. Significant differences in the means between the two dietary assessment methods were noted for most nutrients/food groups. The adjusted correlation coefficients ranged from 0.69 for percent energy from carbohydrate to -0.03 for grain servings, with 60% of the food group servings &lt;0.18. Overall, the majority of the correlation coefficients for children aged &gt;12 years were higher than those aged &lt; or =12 years. These results suggest that the Block Kids Questionnaire has validity for some nutrients, but not most food groups assessed, and appears more useful for adolescents.","author":[{"dropping-particle":"","family":"Cullen","given":"Karen Weber","non-dropping-particle":"","parse-names":false,"suffix":""},{"dropping-particle":"","family":"Watson","given":"Kathy","non-dropping-particle":"","parse-names":false,"suffix":""},{"dropping-particle":"","family":"Zakeri","given":"Issa","non-dropping-particle":"","parse-names":false,"suffix":""}],"container-title":"Journal of the American Dietetic Association","id":"ITEM-1","issue":"5","issued":{"date-parts":[["2008","5"]]},"language":"eng","page":"862-866","publisher-place":"United States","title":"Relative reliability and validity of the Block Kids Questionnaire among youth aged 10 to 17 years.","type":"article-journal","volume":"108"},"uris":["http://www.mendeley.com/documents/?uuid=458bd600-2a16-4c55-9782-0db3a854a2bf"]}],"mendeley":{"formattedCitation":"(Cullen et al., 2008)","plainTextFormattedCitation":"(Cullen et al., 2008)","previouslyFormattedCitation":"(Cullen et al., 2008)"},"properties":{"noteIndex":0},"schema":"https://github.com/citation-style-language/schema/raw/master/csl-citation.json"}</w:instrText>
      </w:r>
      <w:r w:rsidR="00626F5D" w:rsidRPr="00FA697B">
        <w:rPr>
          <w:rFonts w:ascii="Arial" w:hAnsi="Arial" w:cs="Arial"/>
          <w:color w:val="000000" w:themeColor="text1"/>
        </w:rPr>
        <w:fldChar w:fldCharType="separate"/>
      </w:r>
      <w:r w:rsidR="00626F5D" w:rsidRPr="00FA697B">
        <w:rPr>
          <w:rFonts w:ascii="Arial" w:hAnsi="Arial" w:cs="Arial"/>
          <w:noProof/>
          <w:color w:val="000000" w:themeColor="text1"/>
        </w:rPr>
        <w:t>(Cullen et al., 2008)</w:t>
      </w:r>
      <w:r w:rsidR="00626F5D" w:rsidRPr="00FA697B">
        <w:rPr>
          <w:rFonts w:ascii="Arial" w:hAnsi="Arial" w:cs="Arial"/>
          <w:color w:val="000000" w:themeColor="text1"/>
        </w:rPr>
        <w:fldChar w:fldCharType="end"/>
      </w:r>
      <w:r w:rsidR="00626F5D" w:rsidRPr="00FA697B">
        <w:rPr>
          <w:rFonts w:ascii="Arial" w:hAnsi="Arial" w:cs="Arial"/>
          <w:color w:val="000000" w:themeColor="text1"/>
        </w:rPr>
        <w:t>, a full-length questionnaire validated for children between 2-17 that</w:t>
      </w:r>
      <w:r w:rsidR="000F649F" w:rsidRPr="00FA697B">
        <w:rPr>
          <w:rFonts w:ascii="Arial" w:hAnsi="Arial" w:cs="Arial"/>
          <w:color w:val="000000" w:themeColor="text1"/>
        </w:rPr>
        <w:t xml:space="preserve"> consists of 79 questions evaluating the frequency and portions of food and beverages consumed during the previous week </w:t>
      </w:r>
      <w:r w:rsidR="00626F5D" w:rsidRPr="00FA697B">
        <w:rPr>
          <w:rFonts w:ascii="Arial" w:hAnsi="Arial" w:cs="Arial"/>
          <w:color w:val="000000" w:themeColor="text1"/>
        </w:rPr>
        <w:t xml:space="preserve">as completed by parent or caregiver during the clinic visit. </w:t>
      </w:r>
    </w:p>
    <w:p w14:paraId="3D0D8D8D" w14:textId="494CB6CD" w:rsidR="00B21F71" w:rsidRPr="00FA697B" w:rsidRDefault="00B00E0B" w:rsidP="43BA80F2">
      <w:pPr>
        <w:shd w:val="clear" w:color="auto" w:fill="FFFFFF" w:themeFill="background1"/>
        <w:ind w:firstLine="720"/>
        <w:rPr>
          <w:rFonts w:ascii="Arial" w:hAnsi="Arial" w:cs="Arial"/>
          <w:color w:val="000000" w:themeColor="text1"/>
        </w:rPr>
      </w:pPr>
      <w:r w:rsidRPr="00FA697B">
        <w:rPr>
          <w:rFonts w:ascii="Arial" w:hAnsi="Arial" w:cs="Arial"/>
          <w:color w:val="000000" w:themeColor="text1"/>
        </w:rPr>
        <w:t xml:space="preserve">For the outcome variables, standardized prospective follow-up scheduled every 6 months will capture critical clinical outcomes, with prospective follow-up entered in the Network Database </w:t>
      </w:r>
      <w:r w:rsidRPr="00FA697B">
        <w:rPr>
          <w:rFonts w:ascii="Arial" w:eastAsia="Times New Roman" w:hAnsi="Arial" w:cs="Arial"/>
          <w:color w:val="000000" w:themeColor="text1"/>
        </w:rPr>
        <w:t>(Fig. 1)</w:t>
      </w:r>
      <w:r w:rsidRPr="00FA697B">
        <w:rPr>
          <w:rFonts w:ascii="Arial" w:hAnsi="Arial" w:cs="Arial"/>
          <w:color w:val="000000" w:themeColor="text1"/>
        </w:rPr>
        <w:t>. Relapses will be the primary outcome measure. The primary analysis will be with relapse rate (continuous variable) with a relapse defined as new or recurrent neurological symptoms localizing to the central nervous system, lasting for at least 24 hours after a remission of 30 days or more since the previous attack in the absence of an infection or fever. Secondary analyses will include time to first relapse after study enrollment, and time to relapses. Confirmed disability progression on EDSS (clinically meaningful change (CMC) defined as a &gt;</w:t>
      </w:r>
      <w:proofErr w:type="gramStart"/>
      <w:r w:rsidRPr="00FA697B">
        <w:rPr>
          <w:rFonts w:ascii="Arial" w:hAnsi="Arial" w:cs="Arial"/>
          <w:color w:val="000000" w:themeColor="text1"/>
        </w:rPr>
        <w:t>1.0 point</w:t>
      </w:r>
      <w:proofErr w:type="gramEnd"/>
      <w:r w:rsidRPr="00FA697B">
        <w:rPr>
          <w:rFonts w:ascii="Arial" w:hAnsi="Arial" w:cs="Arial"/>
          <w:color w:val="000000" w:themeColor="text1"/>
        </w:rPr>
        <w:t xml:space="preserve"> change for EDSS below 5) and SDMT (CMC defined as a 10 point worsening on the raw score) will be secondary outcome measures and will be </w:t>
      </w:r>
      <w:r w:rsidR="00B21F71" w:rsidRPr="00FA697B">
        <w:rPr>
          <w:rFonts w:ascii="Arial" w:hAnsi="Arial" w:cs="Arial"/>
          <w:color w:val="000000" w:themeColor="text1"/>
        </w:rPr>
        <w:t>used</w:t>
      </w:r>
      <w:r w:rsidRPr="00FA697B">
        <w:rPr>
          <w:rFonts w:ascii="Arial" w:hAnsi="Arial" w:cs="Arial"/>
          <w:color w:val="000000" w:themeColor="text1"/>
        </w:rPr>
        <w:t xml:space="preserve"> as dichotomous outcome</w:t>
      </w:r>
      <w:r w:rsidR="00B21F71" w:rsidRPr="00FA697B">
        <w:rPr>
          <w:rFonts w:ascii="Arial" w:hAnsi="Arial" w:cs="Arial"/>
          <w:color w:val="000000" w:themeColor="text1"/>
        </w:rPr>
        <w:t>s</w:t>
      </w:r>
      <w:r w:rsidRPr="00FA697B">
        <w:rPr>
          <w:rFonts w:ascii="Arial" w:hAnsi="Arial" w:cs="Arial"/>
          <w:color w:val="000000" w:themeColor="text1"/>
        </w:rPr>
        <w:t xml:space="preserve">. </w:t>
      </w:r>
      <w:r w:rsidR="00C00AC5" w:rsidRPr="00FA697B">
        <w:rPr>
          <w:rFonts w:ascii="Arial" w:hAnsi="Arial" w:cs="Arial"/>
          <w:color w:val="000000" w:themeColor="text1"/>
        </w:rPr>
        <w:t xml:space="preserve">Radiographic </w:t>
      </w:r>
      <w:r w:rsidRPr="00FA697B">
        <w:rPr>
          <w:rFonts w:ascii="Arial" w:hAnsi="Arial" w:cs="Arial"/>
          <w:color w:val="000000" w:themeColor="text1"/>
        </w:rPr>
        <w:t>evolution</w:t>
      </w:r>
      <w:r w:rsidR="00C00AC5" w:rsidRPr="00FA697B">
        <w:rPr>
          <w:rFonts w:ascii="Arial" w:hAnsi="Arial" w:cs="Arial"/>
          <w:color w:val="000000" w:themeColor="text1"/>
        </w:rPr>
        <w:t xml:space="preserve"> </w:t>
      </w:r>
      <w:r w:rsidR="00C00AC5" w:rsidRPr="00FA697B">
        <w:rPr>
          <w:rFonts w:ascii="Arial" w:eastAsia="Times New Roman" w:hAnsi="Arial" w:cs="Arial"/>
          <w:color w:val="000000" w:themeColor="text1"/>
        </w:rPr>
        <w:t xml:space="preserve">will be measured </w:t>
      </w:r>
      <w:r w:rsidRPr="00FA697B">
        <w:rPr>
          <w:rFonts w:ascii="Arial" w:eastAsia="Times New Roman" w:hAnsi="Arial" w:cs="Arial"/>
          <w:color w:val="000000" w:themeColor="text1"/>
        </w:rPr>
        <w:t>as</w:t>
      </w:r>
      <w:r w:rsidR="00C00AC5" w:rsidRPr="00FA697B">
        <w:rPr>
          <w:rFonts w:ascii="Arial" w:eastAsia="Times New Roman" w:hAnsi="Arial" w:cs="Arial"/>
          <w:color w:val="000000" w:themeColor="text1"/>
        </w:rPr>
        <w:t xml:space="preserve"> </w:t>
      </w:r>
      <w:r w:rsidR="00C00AC5" w:rsidRPr="00FA697B">
        <w:rPr>
          <w:rFonts w:ascii="Arial" w:hAnsi="Arial" w:cs="Arial"/>
          <w:color w:val="000000" w:themeColor="text1"/>
        </w:rPr>
        <w:t>T2 progression on brain MRI in terms of number of interval lesions compared to prior as a continuous variable, and if noted to have g</w:t>
      </w:r>
      <w:r w:rsidR="00C00AC5" w:rsidRPr="00FA697B">
        <w:rPr>
          <w:rFonts w:ascii="Arial" w:eastAsia="Times New Roman" w:hAnsi="Arial" w:cs="Arial"/>
          <w:color w:val="000000" w:themeColor="text1"/>
        </w:rPr>
        <w:t>adolinium-enhancement on MRI</w:t>
      </w:r>
      <w:r w:rsidR="00C00AC5" w:rsidRPr="00FA697B">
        <w:rPr>
          <w:rFonts w:ascii="Arial" w:hAnsi="Arial" w:cs="Arial"/>
          <w:color w:val="000000" w:themeColor="text1"/>
        </w:rPr>
        <w:t xml:space="preserve"> </w:t>
      </w:r>
      <w:r w:rsidR="000F649F" w:rsidRPr="00FA697B">
        <w:rPr>
          <w:rFonts w:ascii="Arial" w:hAnsi="Arial" w:cs="Arial"/>
          <w:color w:val="000000" w:themeColor="text1"/>
        </w:rPr>
        <w:t xml:space="preserve">on current MRI </w:t>
      </w:r>
      <w:r w:rsidR="00C00AC5" w:rsidRPr="00FA697B">
        <w:rPr>
          <w:rFonts w:ascii="Arial" w:hAnsi="Arial" w:cs="Arial"/>
          <w:color w:val="000000" w:themeColor="text1"/>
        </w:rPr>
        <w:t xml:space="preserve">as a dichotomous variable. </w:t>
      </w:r>
    </w:p>
    <w:p w14:paraId="67AC47FC" w14:textId="7815D9AE" w:rsidR="00C21B0D" w:rsidRPr="00FA697B" w:rsidRDefault="000F649F" w:rsidP="00BF3D3B">
      <w:pPr>
        <w:shd w:val="clear" w:color="auto" w:fill="FFFFFF"/>
        <w:ind w:firstLine="720"/>
        <w:rPr>
          <w:rFonts w:ascii="Arial" w:eastAsia="Times New Roman" w:hAnsi="Arial" w:cs="Arial"/>
          <w:color w:val="000000" w:themeColor="text1"/>
        </w:rPr>
      </w:pPr>
      <w:r w:rsidRPr="00FA697B">
        <w:rPr>
          <w:rFonts w:ascii="Arial" w:eastAsia="Times New Roman" w:hAnsi="Arial" w:cs="Arial"/>
          <w:color w:val="000000" w:themeColor="text1"/>
        </w:rPr>
        <w:t>This study is designed to a recruit a set of subjects that is sufficiently representative to its target population</w:t>
      </w:r>
      <w:r w:rsidR="00BF3D3B" w:rsidRPr="00FA697B">
        <w:rPr>
          <w:rFonts w:ascii="Arial" w:eastAsia="Times New Roman" w:hAnsi="Arial" w:cs="Arial"/>
          <w:color w:val="000000" w:themeColor="text1"/>
        </w:rPr>
        <w:t xml:space="preserve"> as it will be conducted over 11 different clinical centers as part of the </w:t>
      </w:r>
      <w:r w:rsidR="00BF3D3B" w:rsidRPr="00FA697B">
        <w:rPr>
          <w:rFonts w:ascii="Arial" w:hAnsi="Arial" w:cs="Arial"/>
          <w:color w:val="000000" w:themeColor="text1"/>
        </w:rPr>
        <w:t xml:space="preserve">USNPMS and </w:t>
      </w:r>
      <w:r w:rsidR="00BF3D3B" w:rsidRPr="00FA697B">
        <w:rPr>
          <w:rFonts w:ascii="Arial" w:eastAsia="Times New Roman" w:hAnsi="Arial" w:cs="Arial"/>
          <w:color w:val="000000" w:themeColor="text1"/>
        </w:rPr>
        <w:t xml:space="preserve">the </w:t>
      </w:r>
      <w:r w:rsidRPr="00FA697B">
        <w:rPr>
          <w:rFonts w:ascii="Arial" w:eastAsia="Times New Roman" w:hAnsi="Arial" w:cs="Arial"/>
          <w:color w:val="000000" w:themeColor="text1"/>
        </w:rPr>
        <w:t>study aims to recruit a large sample size (</w:t>
      </w:r>
      <w:r w:rsidR="0082315E" w:rsidRPr="00FA697B">
        <w:rPr>
          <w:rFonts w:ascii="Arial" w:eastAsia="Times New Roman" w:hAnsi="Arial" w:cs="Arial"/>
          <w:color w:val="000000" w:themeColor="text1"/>
        </w:rPr>
        <w:t>N</w:t>
      </w:r>
      <w:r w:rsidRPr="00FA697B">
        <w:rPr>
          <w:rFonts w:ascii="Arial" w:eastAsia="Times New Roman" w:hAnsi="Arial" w:cs="Arial"/>
          <w:color w:val="000000" w:themeColor="text1"/>
        </w:rPr>
        <w:t xml:space="preserve">=400) to </w:t>
      </w:r>
      <w:r w:rsidR="00BF3D3B" w:rsidRPr="00FA697B">
        <w:rPr>
          <w:rFonts w:ascii="Arial" w:eastAsia="Times New Roman" w:hAnsi="Arial" w:cs="Arial"/>
          <w:color w:val="000000" w:themeColor="text1"/>
        </w:rPr>
        <w:t>minimize</w:t>
      </w:r>
      <w:r w:rsidRPr="00FA697B">
        <w:rPr>
          <w:rFonts w:ascii="Arial" w:eastAsia="Times New Roman" w:hAnsi="Arial" w:cs="Arial"/>
          <w:color w:val="000000" w:themeColor="text1"/>
        </w:rPr>
        <w:t xml:space="preserve"> random error</w:t>
      </w:r>
      <w:r w:rsidR="00BF3D3B" w:rsidRPr="00FA697B">
        <w:rPr>
          <w:rFonts w:ascii="Arial" w:eastAsia="Times New Roman" w:hAnsi="Arial" w:cs="Arial"/>
          <w:color w:val="000000" w:themeColor="text1"/>
        </w:rPr>
        <w:t xml:space="preserve">. </w:t>
      </w:r>
    </w:p>
    <w:p w14:paraId="0E846DCE" w14:textId="0975210D" w:rsidR="008E482B" w:rsidRPr="00FA697B" w:rsidRDefault="008E482B" w:rsidP="00BF3D3B">
      <w:pPr>
        <w:shd w:val="clear" w:color="auto" w:fill="FFFFFF"/>
        <w:ind w:firstLine="720"/>
        <w:rPr>
          <w:rFonts w:ascii="Arial" w:eastAsia="Times New Roman" w:hAnsi="Arial" w:cs="Arial"/>
          <w:color w:val="000000" w:themeColor="text1"/>
        </w:rPr>
      </w:pPr>
    </w:p>
    <w:p w14:paraId="6197DFDF" w14:textId="77777777" w:rsidR="008D4ABD" w:rsidRPr="00FA697B" w:rsidRDefault="008E482B" w:rsidP="008D4ABD">
      <w:pPr>
        <w:shd w:val="clear" w:color="auto" w:fill="FFFFFF"/>
        <w:rPr>
          <w:rFonts w:ascii="Arial" w:hAnsi="Arial" w:cs="Arial"/>
          <w:b/>
          <w:bCs/>
          <w:color w:val="000000" w:themeColor="text1"/>
        </w:rPr>
      </w:pPr>
      <w:r w:rsidRPr="00FA697B">
        <w:rPr>
          <w:rFonts w:ascii="Arial" w:hAnsi="Arial" w:cs="Arial"/>
          <w:b/>
          <w:bCs/>
          <w:color w:val="000000" w:themeColor="text1"/>
        </w:rPr>
        <w:t>STATISTICAL ANALYSIS</w:t>
      </w:r>
    </w:p>
    <w:p w14:paraId="4A3FC966" w14:textId="45DD9B33" w:rsidR="008E482B" w:rsidRPr="00FA697B" w:rsidRDefault="008E482B" w:rsidP="008D4ABD">
      <w:pPr>
        <w:shd w:val="clear" w:color="auto" w:fill="FFFFFF"/>
        <w:rPr>
          <w:rFonts w:ascii="Arial" w:hAnsi="Arial" w:cs="Arial"/>
          <w:color w:val="000000" w:themeColor="text1"/>
        </w:rPr>
      </w:pPr>
      <w:r w:rsidRPr="00FA697B">
        <w:rPr>
          <w:rFonts w:ascii="Arial" w:hAnsi="Arial" w:cs="Arial"/>
          <w:color w:val="000000" w:themeColor="text1"/>
        </w:rPr>
        <w:t xml:space="preserve"> </w:t>
      </w:r>
    </w:p>
    <w:p w14:paraId="15554033" w14:textId="5E69B15B" w:rsidR="001A156B" w:rsidRPr="00FA697B" w:rsidRDefault="001A7024" w:rsidP="00595900">
      <w:pPr>
        <w:shd w:val="clear" w:color="auto" w:fill="FFFFFF"/>
        <w:rPr>
          <w:rFonts w:ascii="Arial" w:hAnsi="Arial" w:cs="Arial"/>
          <w:color w:val="000000" w:themeColor="text1"/>
        </w:rPr>
      </w:pPr>
      <w:r w:rsidRPr="00FA697B">
        <w:rPr>
          <w:rFonts w:ascii="Arial" w:hAnsi="Arial" w:cs="Arial"/>
          <w:color w:val="000000" w:themeColor="text1"/>
        </w:rPr>
        <w:lastRenderedPageBreak/>
        <w:t xml:space="preserve">The research hypothesis is </w:t>
      </w:r>
      <w:r w:rsidR="001A156B" w:rsidRPr="00FA697B">
        <w:rPr>
          <w:rFonts w:ascii="Arial" w:hAnsi="Arial" w:cs="Arial"/>
          <w:color w:val="000000" w:themeColor="text1"/>
        </w:rPr>
        <w:t>nutritional predictors, as measured by dietary intake, are associated with progression on POMS clinically, as measured by relapse rates, or radiographically, as measured by progression on MRI. The</w:t>
      </w:r>
      <w:r w:rsidRPr="00FA697B">
        <w:rPr>
          <w:rFonts w:ascii="Arial" w:hAnsi="Arial" w:cs="Arial"/>
          <w:color w:val="000000" w:themeColor="text1"/>
        </w:rPr>
        <w:t xml:space="preserve"> </w:t>
      </w:r>
      <w:r w:rsidR="001A156B" w:rsidRPr="00FA697B">
        <w:rPr>
          <w:rFonts w:ascii="Arial" w:hAnsi="Arial" w:cs="Arial"/>
          <w:color w:val="000000" w:themeColor="text1"/>
        </w:rPr>
        <w:t xml:space="preserve">alternative </w:t>
      </w:r>
      <w:r w:rsidRPr="00FA697B">
        <w:rPr>
          <w:rFonts w:ascii="Arial" w:hAnsi="Arial" w:cs="Arial"/>
          <w:color w:val="000000" w:themeColor="text1"/>
        </w:rPr>
        <w:t xml:space="preserve">null hypothesis </w:t>
      </w:r>
      <w:r w:rsidR="001A156B" w:rsidRPr="00FA697B">
        <w:rPr>
          <w:rFonts w:ascii="Arial" w:hAnsi="Arial" w:cs="Arial"/>
          <w:color w:val="000000" w:themeColor="text1"/>
        </w:rPr>
        <w:t>would be</w:t>
      </w:r>
      <w:r w:rsidRPr="00FA697B">
        <w:rPr>
          <w:rFonts w:ascii="Arial" w:hAnsi="Arial" w:cs="Arial"/>
          <w:color w:val="000000" w:themeColor="text1"/>
        </w:rPr>
        <w:t xml:space="preserve"> </w:t>
      </w:r>
      <w:r w:rsidR="001A156B" w:rsidRPr="00FA697B">
        <w:rPr>
          <w:rFonts w:ascii="Arial" w:hAnsi="Arial" w:cs="Arial"/>
          <w:color w:val="000000" w:themeColor="text1"/>
        </w:rPr>
        <w:t>that dietary intake is not associated with progression of POMS</w:t>
      </w:r>
      <w:r w:rsidRPr="00FA697B">
        <w:rPr>
          <w:rFonts w:ascii="Arial" w:hAnsi="Arial" w:cs="Arial"/>
          <w:color w:val="000000" w:themeColor="text1"/>
        </w:rPr>
        <w:t xml:space="preserve">. After analysis, the anticipated result may </w:t>
      </w:r>
      <w:r w:rsidR="00C4220F" w:rsidRPr="00FA697B">
        <w:rPr>
          <w:rFonts w:ascii="Arial" w:hAnsi="Arial" w:cs="Arial"/>
          <w:color w:val="000000" w:themeColor="text1"/>
        </w:rPr>
        <w:t>affirm</w:t>
      </w:r>
      <w:r w:rsidR="001A156B" w:rsidRPr="00FA697B">
        <w:rPr>
          <w:rFonts w:ascii="Arial" w:hAnsi="Arial" w:cs="Arial"/>
          <w:color w:val="000000" w:themeColor="text1"/>
        </w:rPr>
        <w:t xml:space="preserve"> </w:t>
      </w:r>
      <w:r w:rsidRPr="00FA697B">
        <w:rPr>
          <w:rFonts w:ascii="Arial" w:hAnsi="Arial" w:cs="Arial"/>
          <w:color w:val="000000" w:themeColor="text1"/>
        </w:rPr>
        <w:t>that</w:t>
      </w:r>
      <w:r w:rsidR="001A156B" w:rsidRPr="00FA697B">
        <w:rPr>
          <w:rFonts w:ascii="Arial" w:hAnsi="Arial" w:cs="Arial"/>
          <w:color w:val="000000" w:themeColor="text1"/>
        </w:rPr>
        <w:t xml:space="preserve"> certain nutritional intake patterns (e.g. decreased intake of saturated fats, or increased intake of vegetables as demonstrated in a prior, smaller study </w:t>
      </w:r>
      <w:r w:rsidR="001A156B" w:rsidRPr="00FA697B">
        <w:rPr>
          <w:rFonts w:ascii="Arial" w:hAnsi="Arial" w:cs="Arial"/>
          <w:color w:val="000000" w:themeColor="text1"/>
        </w:rPr>
        <w:fldChar w:fldCharType="begin" w:fldLock="1"/>
      </w:r>
      <w:r w:rsidR="008D4ABD" w:rsidRPr="00FA697B">
        <w:rPr>
          <w:rFonts w:ascii="Arial" w:hAnsi="Arial" w:cs="Arial"/>
          <w:color w:val="000000" w:themeColor="text1"/>
        </w:rPr>
        <w:instrText>ADDIN CSL_CITATION {"citationItems":[{"id":"ITEM-1","itemData":{"abstract":"Objective The role of diet in multiple sclerosis (MS) course remains largely unknown. Children with MS have a higher relapse rate compared with MS in adults. Thus, studying the effect of diet on relapse rate in this age group is likely to provide more robust answers.Methods This is a multicentre study done at 11 paediatric MS centres in the USA. Patients with relapsing-remitting MS (RRMS) or clinically isolated syndrome (CIS) with disease onset before 18 years of age and duration of less than 4 years were included in this study. Dietary intake during the week before enrolment was assessed with the validated Block Kids Food Screener. The outcome of the study was time from enrolment to the next relapse. 219 patients with paediatric RRMS or CIS were enrolled. Each 10% increase in energy intake from fat increased the hazard of relapse by 56% (adjusted HR 1.56, 95% CI 1.05 to 2.31, p=0.027), and in particular each 10% increase in saturated fat tripled this hazard (adjusted HR: 3.37, 95% CI 1.34 to 8.43, p=0.009). In contrast, each additional one cup equivalent of vegetable decreased the hazard of relapse by 50% (adjusted HR: 0.50, 95% CI 0.27 to 0.91, p=0.024). These associations remained with mutual adjustment and persisted when adjusting for baseline 25(OH) vitamin D serum level. Other studied nutrients were not associated with relapse.Conclusions This study suggests that in children with MS, high energy intake from fat, especially saturated fat, may increase the hazard to relapse, while vegetable intake may be independently protective.","author":[{"dropping-particle":"","family":"Azary","given":"Saeedeh","non-dropping-particle":"","parse-names":false,"suffix":""},{"dropping-particle":"","family":"Schreiner","given":"Teri","non-dropping-particle":"","parse-names":false,"suffix":""},{"dropping-particle":"","family":"Graves","given":"Jennifer","non-dropping-particle":"","parse-names":false,"suffix":""},{"dropping-particle":"","family":"Waldman","given":"Amy","non-dropping-particle":"","parse-names":false,"suffix":""},{"dropping-particle":"","family":"Belman","given":"Anita","non-dropping-particle":"","parse-names":false,"suffix":""},{"dropping-particle":"","family":"Guttman","given":"Bianca Weinstock","non-dropping-particle":"","parse-names":false,"suffix":""},{"dropping-particle":"","family":"Aaen","given":"Gregory","non-dropping-particle":"","parse-names":false,"suffix":""},{"dropping-particle":"","family":"Tillema","given":"Jan-Mendelt","non-dropping-particle":"","parse-names":false,"suffix":""},{"dropping-particle":"","family":"Mar","given":"Soe","non-dropping-particle":"","parse-names":false,"suffix":""},{"dropping-particle":"","family":"Hart","given":"Janace","non-dropping-particle":"","parse-names":false,"suffix":""},{"dropping-particle":"","family":"Ness","given":"Jayne","non-dropping-particle":"","parse-names":false,"suffix":""},{"dropping-particle":"","family":"Harris","given":"Yolanda","non-dropping-particle":"","parse-names":false,"suffix":""},{"dropping-particle":"","family":"Krupp","given":"Lauren","non-dropping-particle":"","parse-names":false,"suffix":""},{"dropping-particle":"","family":"Gorman","given":"Mark","non-dropping-particle":"","parse-names":false,"suffix":""},{"dropping-particle":"","family":"Benson","given":"Leslie","non-dropping-particle":"","parse-names":false,"suffix":""},{"dropping-particle":"","family":"Rodriguez","given":"Moses","non-dropping-particle":"","parse-names":false,"suffix":""},{"dropping-particle":"","family":"Chitnis","given":"Tanuja","non-dropping-particle":"","parse-names":false,"suffix":""},{"dropping-particle":"","family":"Rose","given":"John","non-dropping-particle":"","parse-names":false,"suffix":""},{"dropping-particle":"","family":"Barcellos","given":"Lisa F","non-dropping-particle":"","parse-names":false,"suffix":""},{"dropping-particle":"","family":"Lotze","given":"Tim","non-dropping-particle":"","parse-names":false,"suffix":""},{"dropping-particle":"","family":"Carmichael","given":"Suzan L","non-dropping-particle":"","parse-names":false,"suffix":""},{"dropping-particle":"","family":"Roalstad","given":"Shelly","non-dropping-particle":"","parse-names":false,"suffix":""},{"dropping-particle":"","family":"Casper","given":"Charles T","non-dropping-particle":"","parse-names":false,"suffix":""},{"dropping-particle":"","family":"Waubant","given":"Emmanuelle","non-dropping-particle":"","parse-names":false,"suffix":""}],"container-title":"Journal of Neurology, Neurosurgery and Psychiatry","id":"ITEM-1","issue":"1","issued":{"date-parts":[["2018","1","1"]]},"page":"28","title":"Contribution of dietary intake to relapse rate in early paediatric multiple sclerosis","type":"article-journal","volume":"89"},"uris":["http://www.mendeley.com/documents/?uuid=74ed8e7f-ebf9-3129-988e-2dcd11b0c883"]}],"mendeley":{"formattedCitation":"(Azary et al., 2018)","plainTextFormattedCitation":"(Azary et al., 2018)","previouslyFormattedCitation":"(Azary et al., 2018)"},"properties":{"noteIndex":0},"schema":"https://github.com/citation-style-language/schema/raw/master/csl-citation.json"}</w:instrText>
      </w:r>
      <w:r w:rsidR="001A156B" w:rsidRPr="00FA697B">
        <w:rPr>
          <w:rFonts w:ascii="Arial" w:hAnsi="Arial" w:cs="Arial"/>
          <w:color w:val="000000" w:themeColor="text1"/>
        </w:rPr>
        <w:fldChar w:fldCharType="separate"/>
      </w:r>
      <w:r w:rsidR="001A156B" w:rsidRPr="00FA697B">
        <w:rPr>
          <w:rFonts w:ascii="Arial" w:hAnsi="Arial" w:cs="Arial"/>
          <w:noProof/>
          <w:color w:val="000000" w:themeColor="text1"/>
        </w:rPr>
        <w:t>(Azary et al., 2018)</w:t>
      </w:r>
      <w:r w:rsidR="001A156B" w:rsidRPr="00FA697B">
        <w:rPr>
          <w:rFonts w:ascii="Arial" w:hAnsi="Arial" w:cs="Arial"/>
          <w:color w:val="000000" w:themeColor="text1"/>
        </w:rPr>
        <w:fldChar w:fldCharType="end"/>
      </w:r>
      <w:r w:rsidR="001A156B" w:rsidRPr="00FA697B">
        <w:rPr>
          <w:rFonts w:ascii="Arial" w:hAnsi="Arial" w:cs="Arial"/>
          <w:color w:val="000000" w:themeColor="text1"/>
        </w:rPr>
        <w:t>) do impact the course of POMS</w:t>
      </w:r>
      <w:r w:rsidR="00C4220F" w:rsidRPr="00FA697B">
        <w:rPr>
          <w:rFonts w:ascii="Arial" w:hAnsi="Arial" w:cs="Arial"/>
          <w:color w:val="000000" w:themeColor="text1"/>
        </w:rPr>
        <w:t>, and provide additional nutritional intake patterns with a larger sample size and longer follow-up</w:t>
      </w:r>
      <w:r w:rsidR="001A156B" w:rsidRPr="00FA697B">
        <w:rPr>
          <w:rFonts w:ascii="Arial" w:hAnsi="Arial" w:cs="Arial"/>
          <w:color w:val="000000" w:themeColor="text1"/>
        </w:rPr>
        <w:t xml:space="preserve">. This may guide strategies for lifestyle recommendations, specifically around dietary intake, for families and patients with MS. </w:t>
      </w:r>
    </w:p>
    <w:p w14:paraId="1F2CB769" w14:textId="72437598" w:rsidR="00595900" w:rsidRPr="00FA697B" w:rsidRDefault="001A156B" w:rsidP="00595900">
      <w:pPr>
        <w:shd w:val="clear" w:color="auto" w:fill="FFFFFF" w:themeFill="background1"/>
        <w:ind w:firstLine="720"/>
        <w:rPr>
          <w:rFonts w:ascii="Arial" w:hAnsi="Arial" w:cs="Arial"/>
          <w:color w:val="000000" w:themeColor="text1"/>
        </w:rPr>
      </w:pPr>
      <w:r w:rsidRPr="00FA697B">
        <w:rPr>
          <w:rFonts w:ascii="Arial" w:hAnsi="Arial" w:cs="Arial"/>
          <w:color w:val="000000" w:themeColor="text1"/>
        </w:rPr>
        <w:t>The statistical test for the primary analysis w</w:t>
      </w:r>
      <w:r w:rsidR="0082315E" w:rsidRPr="00FA697B">
        <w:rPr>
          <w:rFonts w:ascii="Arial" w:hAnsi="Arial" w:cs="Arial"/>
          <w:color w:val="000000" w:themeColor="text1"/>
        </w:rPr>
        <w:t xml:space="preserve">ill </w:t>
      </w:r>
      <w:r w:rsidRPr="00FA697B">
        <w:rPr>
          <w:rFonts w:ascii="Arial" w:hAnsi="Arial" w:cs="Arial"/>
          <w:color w:val="000000" w:themeColor="text1"/>
        </w:rPr>
        <w:t xml:space="preserve">be </w:t>
      </w:r>
      <w:r w:rsidR="0082315E" w:rsidRPr="00FA697B">
        <w:rPr>
          <w:rFonts w:ascii="Arial" w:hAnsi="Arial" w:cs="Arial"/>
          <w:color w:val="000000" w:themeColor="text1"/>
        </w:rPr>
        <w:t>linear regression with test for trend</w:t>
      </w:r>
      <w:r w:rsidR="00C4220F" w:rsidRPr="00FA697B">
        <w:rPr>
          <w:rFonts w:ascii="Arial" w:hAnsi="Arial" w:cs="Arial"/>
          <w:color w:val="000000" w:themeColor="text1"/>
        </w:rPr>
        <w:t xml:space="preserve"> </w:t>
      </w:r>
      <w:r w:rsidRPr="00FA697B">
        <w:rPr>
          <w:rFonts w:ascii="Arial" w:hAnsi="Arial" w:cs="Arial"/>
          <w:color w:val="000000" w:themeColor="text1"/>
        </w:rPr>
        <w:t xml:space="preserve">given that the nutritional predictors are largely categorical (ordinal) variables and clinical progression would be measured by relapse rate as a continuous variable. For the secondary analysis focused on progression on MRI, the statistical test would change to </w:t>
      </w:r>
      <w:r w:rsidR="00C4220F" w:rsidRPr="00FA697B">
        <w:rPr>
          <w:rFonts w:ascii="Arial" w:hAnsi="Arial" w:cs="Arial"/>
          <w:color w:val="000000" w:themeColor="text1"/>
        </w:rPr>
        <w:t>Chi-square test</w:t>
      </w:r>
      <w:r w:rsidRPr="00FA697B">
        <w:rPr>
          <w:rFonts w:ascii="Arial" w:hAnsi="Arial" w:cs="Arial"/>
          <w:color w:val="000000" w:themeColor="text1"/>
        </w:rPr>
        <w:t xml:space="preserve"> given that the predictors would remain </w:t>
      </w:r>
      <w:r w:rsidR="00111714" w:rsidRPr="00FA697B">
        <w:rPr>
          <w:rFonts w:ascii="Arial" w:hAnsi="Arial" w:cs="Arial"/>
          <w:color w:val="000000" w:themeColor="text1"/>
        </w:rPr>
        <w:t>categorical,</w:t>
      </w:r>
      <w:r w:rsidRPr="00FA697B">
        <w:rPr>
          <w:rFonts w:ascii="Arial" w:hAnsi="Arial" w:cs="Arial"/>
          <w:color w:val="000000" w:themeColor="text1"/>
        </w:rPr>
        <w:t xml:space="preserve"> but the outcomes would be now dichotomous</w:t>
      </w:r>
      <w:r w:rsidR="001A7024" w:rsidRPr="00FA697B">
        <w:rPr>
          <w:rFonts w:ascii="Arial" w:hAnsi="Arial" w:cs="Arial"/>
          <w:color w:val="000000" w:themeColor="text1"/>
        </w:rPr>
        <w:t xml:space="preserve">. </w:t>
      </w:r>
    </w:p>
    <w:p w14:paraId="0CAD2AD1" w14:textId="302C97BC" w:rsidR="0054049A" w:rsidRPr="00FA697B" w:rsidRDefault="001A7024" w:rsidP="00210D5A">
      <w:pPr>
        <w:shd w:val="clear" w:color="auto" w:fill="FFFFFF" w:themeFill="background1"/>
        <w:ind w:firstLine="720"/>
        <w:rPr>
          <w:rFonts w:ascii="Arial" w:hAnsi="Arial" w:cs="Arial"/>
          <w:color w:val="000000" w:themeColor="text1"/>
        </w:rPr>
      </w:pPr>
      <w:r w:rsidRPr="00FA697B">
        <w:rPr>
          <w:rFonts w:ascii="Arial" w:hAnsi="Arial" w:cs="Arial"/>
          <w:color w:val="000000" w:themeColor="text1"/>
        </w:rPr>
        <w:t xml:space="preserve">The expected POMS </w:t>
      </w:r>
      <w:r w:rsidR="008D4ABD" w:rsidRPr="00FA697B">
        <w:rPr>
          <w:rFonts w:ascii="Arial" w:hAnsi="Arial" w:cs="Arial"/>
          <w:color w:val="000000" w:themeColor="text1"/>
        </w:rPr>
        <w:t xml:space="preserve">annualized </w:t>
      </w:r>
      <w:r w:rsidRPr="00FA697B">
        <w:rPr>
          <w:rFonts w:ascii="Arial" w:hAnsi="Arial" w:cs="Arial"/>
          <w:color w:val="000000" w:themeColor="text1"/>
        </w:rPr>
        <w:t>relapse rate</w:t>
      </w:r>
      <w:r w:rsidR="0082315E" w:rsidRPr="00FA697B">
        <w:rPr>
          <w:rFonts w:ascii="Arial" w:hAnsi="Arial" w:cs="Arial"/>
          <w:color w:val="000000" w:themeColor="text1"/>
        </w:rPr>
        <w:t xml:space="preserve"> (ARR)</w:t>
      </w:r>
      <w:r w:rsidRPr="00FA697B">
        <w:rPr>
          <w:rFonts w:ascii="Arial" w:hAnsi="Arial" w:cs="Arial"/>
          <w:color w:val="000000" w:themeColor="text1"/>
        </w:rPr>
        <w:t xml:space="preserve"> </w:t>
      </w:r>
      <w:r w:rsidR="008D4ABD" w:rsidRPr="00FA697B">
        <w:rPr>
          <w:rFonts w:ascii="Arial" w:hAnsi="Arial" w:cs="Arial"/>
          <w:color w:val="000000" w:themeColor="text1"/>
        </w:rPr>
        <w:t xml:space="preserve">is varied in literature, </w:t>
      </w:r>
      <w:r w:rsidRPr="00FA697B">
        <w:rPr>
          <w:rFonts w:ascii="Arial" w:hAnsi="Arial" w:cs="Arial"/>
          <w:color w:val="000000" w:themeColor="text1"/>
        </w:rPr>
        <w:t xml:space="preserve">estimated at </w:t>
      </w:r>
      <w:r w:rsidR="00F17602" w:rsidRPr="00FA697B">
        <w:rPr>
          <w:rFonts w:ascii="Arial" w:hAnsi="Arial" w:cs="Arial"/>
          <w:color w:val="000000" w:themeColor="text1"/>
        </w:rPr>
        <w:t>0.2</w:t>
      </w:r>
      <w:r w:rsidR="008D4ABD" w:rsidRPr="00FA697B">
        <w:rPr>
          <w:rFonts w:ascii="Arial" w:hAnsi="Arial" w:cs="Arial"/>
          <w:color w:val="000000" w:themeColor="text1"/>
        </w:rPr>
        <w:t>4, 0.36, 1.13</w:t>
      </w:r>
      <w:r w:rsidR="0082315E" w:rsidRPr="00FA697B">
        <w:rPr>
          <w:rFonts w:ascii="Arial" w:hAnsi="Arial" w:cs="Arial"/>
          <w:color w:val="000000" w:themeColor="text1"/>
        </w:rPr>
        <w:t xml:space="preserve">, respectively by </w:t>
      </w:r>
      <w:r w:rsidR="001A156B" w:rsidRPr="00FA697B">
        <w:rPr>
          <w:rFonts w:ascii="Arial" w:hAnsi="Arial" w:cs="Arial"/>
          <w:color w:val="000000" w:themeColor="text1"/>
        </w:rPr>
        <w:fldChar w:fldCharType="begin" w:fldLock="1"/>
      </w:r>
      <w:r w:rsidR="001A156B" w:rsidRPr="00FA697B">
        <w:rPr>
          <w:rFonts w:ascii="Arial" w:hAnsi="Arial" w:cs="Arial"/>
          <w:color w:val="000000" w:themeColor="text1"/>
        </w:rPr>
        <w:instrText>ADDIN CSL_CITATION {"citationItems":[{"id":"ITEM-1","itemData":{"abstract":"Objective The role of diet in multiple sclerosis (MS) course remains largely unknown. Children with MS have a higher relapse rate compared with MS in adults. Thus, studying the effect of diet on relapse rate in this age group is likely to provide more robust answers.Methods This is a multicentre study done at 11 paediatric MS centres in the USA. Patients with relapsing-remitting MS (RRMS) or clinically isolated syndrome (CIS) with disease onset before 18 years of age and duration of less than 4 years were included in this study. Dietary intake during the week before enrolment was assessed with the validated Block Kids Food Screener. The outcome of the study was time from enrolment to the next relapse. 219 patients with paediatric RRMS or CIS were enrolled. Each 10% increase in energy intake from fat increased the hazard of relapse by 56% (adjusted HR 1.56, 95% CI 1.05 to 2.31, p=0.027), and in particular each 10% increase in saturated fat tripled this hazard (adjusted HR: 3.37, 95% CI 1.34 to 8.43, p=0.009). In contrast, each additional one cup equivalent of vegetable decreased the hazard of relapse by 50% (adjusted HR: 0.50, 95% CI 0.27 to 0.91, p=0.024). These associations remained with mutual adjustment and persisted when adjusting for baseline 25(OH) vitamin D serum level. Other studied nutrients were not associated with relapse.Conclusions This study suggests that in children with MS, high energy intake from fat, especially saturated fat, may increase the hazard to relapse, while vegetable intake may be independently protective.","author":[{"dropping-particle":"","family":"Azary","given":"Saeedeh","non-dropping-particle":"","parse-names":false,"suffix":""},{"dropping-particle":"","family":"Schreiner","given":"Teri","non-dropping-particle":"","parse-names":false,"suffix":""},{"dropping-particle":"","family":"Graves","given":"Jennifer","non-dropping-particle":"","parse-names":false,"suffix":""},{"dropping-particle":"","family":"Waldman","given":"Amy","non-dropping-particle":"","parse-names":false,"suffix":""},{"dropping-particle":"","family":"Belman","given":"Anita","non-dropping-particle":"","parse-names":false,"suffix":""},{"dropping-particle":"","family":"Guttman","given":"Bianca Weinstock","non-dropping-particle":"","parse-names":false,"suffix":""},{"dropping-particle":"","family":"Aaen","given":"Gregory","non-dropping-particle":"","parse-names":false,"suffix":""},{"dropping-particle":"","family":"Tillema","given":"Jan-Mendelt","non-dropping-particle":"","parse-names":false,"suffix":""},{"dropping-particle":"","family":"Mar","given":"Soe","non-dropping-particle":"","parse-names":false,"suffix":""},{"dropping-particle":"","family":"Hart","given":"Janace","non-dropping-particle":"","parse-names":false,"suffix":""},{"dropping-particle":"","family":"Ness","given":"Jayne","non-dropping-particle":"","parse-names":false,"suffix":""},{"dropping-particle":"","family":"Harris","given":"Yolanda","non-dropping-particle":"","parse-names":false,"suffix":""},{"dropping-particle":"","family":"Krupp","given":"Lauren","non-dropping-particle":"","parse-names":false,"suffix":""},{"dropping-particle":"","family":"Gorman","given":"Mark","non-dropping-particle":"","parse-names":false,"suffix":""},{"dropping-particle":"","family":"Benson","given":"Leslie","non-dropping-particle":"","parse-names":false,"suffix":""},{"dropping-particle":"","family":"Rodriguez","given":"Moses","non-dropping-particle":"","parse-names":false,"suffix":""},{"dropping-particle":"","family":"Chitnis","given":"Tanuja","non-dropping-particle":"","parse-names":false,"suffix":""},{"dropping-particle":"","family":"Rose","given":"John","non-dropping-particle":"","parse-names":false,"suffix":""},{"dropping-particle":"","family":"Barcellos","given":"Lisa F","non-dropping-particle":"","parse-names":false,"suffix":""},{"dropping-particle":"","family":"Lotze","given":"Tim","non-dropping-particle":"","parse-names":false,"suffix":""},{"dropping-particle":"","family":"Carmichael","given":"Suzan L","non-dropping-particle":"","parse-names":false,"suffix":""},{"dropping-particle":"","family":"Roalstad","given":"Shelly","non-dropping-particle":"","parse-names":false,"suffix":""},{"dropping-particle":"","family":"Casper","given":"Charles T","non-dropping-particle":"","parse-names":false,"suffix":""},{"dropping-particle":"","family":"Waubant","given":"Emmanuelle","non-dropping-particle":"","parse-names":false,"suffix":""}],"container-title":"Journal of Neurology, Neurosurgery and Psychiatry","id":"ITEM-1","issue":"1","issued":{"date-parts":[["2018","1","1"]]},"page":"28","title":"Contribution of dietary intake to relapse rate in early paediatric multiple sclerosis","type":"article-journal","volume":"89"},"uris":["http://www.mendeley.com/documents/?uuid=74ed8e7f-ebf9-3129-988e-2dcd11b0c883"]},{"id":"ITEM-2","itemData":{"DOI":"https://doi.org/10.1002/ana.25737","ISSN":"0364-5134","abstract":"Objective To assess real-world effectiveness of initial treatment with newer compared to injectable disease-modifying therapies (DMTs) on disease activity in pediatric multiple sclerosis (MS) and clinically isolated syndrome (CIS). Methods This is a cohort study of children with MS/CIS followed at 12 clinics in the US Network of Pediatric MS Centers, who received initial therapy with newer (fingolimod, dimethyl fumarate, teriflunomide, natalizumab, rituximab, ocrelizumab) or injectable (interferon-?, glatiramer acetate) DMTs. Propensity scores (PSs) were computed, including preidentified confounders. Relapse rate while on initial DMT was modeled with negative binomial regression, adjusted for PS-quintile. Time to new/enlarging T2-hyperintense and gadolinium-enhancing lesions on brain magnetic resonance imaging were modeled with midpoint survival analyses, adjusted for PS-quintile. Results A total of 741 children began therapy before 18?years, 197 with newer and 544 with injectable DMTs. Those started on newer DMTs were older (15.2 vs injectable 14.4?years, p =?0.001) and less likely to have a monofocal presentation. In PS-quintile?adjusted analysis, those on newer DMTs had a lower relapse rate than those on injectables (rate ratio = 0.45, 95% confidence interval (CI) =?0.29?0.70, p?&lt;?0.001; rate difference = 0.27, 95% CI =?0.14?0.40, p =?0.004). One would need to treat with newer rather than injectable DMTs for 3.7 person-years to prevent 1 relapse. Those started on newer DMTs had a lower rate of new/enlarging T2 (hazard ratio [HR] =?0.51, 95% CI = 0.36?0.72, p?&lt;?0.001) and gadolinium-enhancing lesions (HR = 0.38, 95% CI = 0.23?0.63, p?&lt;?0.001) than those on injectables. Interpretation Initial treatment of pediatric MS/CIS with newer DMTs led to better disease activity control compared to injectables, supporting greater effectiveness of newer therapies. Long-term safety data for newer DMTs are required. ANN NEUROL 2020 ANN NEUROL 2020;88:42?55","author":[{"dropping-particle":"","family":"Krysko","given":"Kristen M","non-dropping-particle":"","parse-names":false,"suffix":""},{"dropping-particle":"","family":"Graves","given":"Jennifer S","non-dropping-particle":"","parse-names":false,"suffix":""},{"dropping-particle":"","family":"Rensel","given":"Mary","non-dropping-particle":"","parse-names":false,"suffix":""},{"dropping-particle":"","family":"Weinstock-Guttman","given":"Bianca","non-dropping-particle":"","parse-names":false,"suffix":""},{"dropping-particle":"","family":"Rutatangwa","given":"Alice","non-dropping-particle":"","parse-names":false,"suffix":""},{"dropping-particle":"","family":"Aaen","given":"Gregory","non-dropping-particle":"","parse-names":false,"suffix":""},{"dropping-particle":"","family":"Belman","given":"Anita","non-dropping-particle":"","parse-names":false,"suffix":""},{"dropping-particle":"","family":"Benson","given":"Leslie","non-dropping-particle":"","parse-names":false,"suffix":""},{"dropping-particle":"","family":"Chitnis","given":"Tanuja","non-dropping-particle":"","parse-names":false,"suffix":""},{"dropping-particle":"","family":"Gorman","given":"Mark","non-dropping-particle":"","parse-names":false,"suffix":""},{"dropping-particle":"","family":"Goyal","given":"Manu S","non-dropping-particle":"","parse-names":false,"suffix":""},{"dropping-particle":"","family":"Harris","given":"Yolanda","non-dropping-particle":"","parse-names":false,"suffix":""},{"dropping-particle":"","family":"Krupp","given":"Lauren","non-dropping-particle":"","parse-names":false,"suffix":""},{"dropping-particle":"","family":"Lotze","given":"Timothy","non-dropping-particle":"","parse-names":false,"suffix":""},{"dropping-particle":"","family":"Mar","given":"Soe","non-dropping-particle":"","parse-names":false,"suffix":""},{"dropping-particle":"","family":"Moodley","given":"Manikum","non-dropping-particle":"","parse-names":false,"suffix":""},{"dropping-particle":"","family":"Ness","given":"Jayne","non-dropping-particle":"","parse-names":false,"suffix":""},{"dropping-particle":"","family":"Rodriguez","given":"Moses","non-dropping-particle":"","parse-names":false,"suffix":""},{"dropping-particle":"","family":"Rose","given":"John","non-dropping-particle":"","parse-names":false,"suffix":""},{"dropping-particle":"","family":"Schreiner","given":"Teri","non-dropping-particle":"","parse-names":false,"suffix":""},{"dropping-particle":"","family":"Tillema","given":"Jan-Mendelt","non-dropping-particle":"","parse-names":false,"suffix":""},{"dropping-particle":"","family":"Waltz","given":"Michael","non-dropping-particle":"","parse-names":false,"suffix":""},{"dropping-particle":"","family":"Casper","given":"T Charles","non-dropping-particle":"","parse-names":false,"suffix":""},{"dropping-particle":"","family":"Waubant","given":"Emmanuelle","non-dropping-particle":"","parse-names":false,"suffix":""},{"dropping-particle":"","family":"Centers","given":"the U S Network of Pediatric M S","non-dropping-particle":"","parse-names":false,"suffix":""}],"container-title":"Annals of Neurology","id":"ITEM-2","issue":"1","issued":{"date-parts":[["2020","7","1"]]},"note":"https://doi.org/10.1002/ana.25737","page":"42-55","publisher":"John Wiley &amp; Sons, Ltd","title":"Real-World Effectiveness of Initial Disease-Modifying Therapies in Pediatric Multiple Sclerosis","type":"article-journal","volume":"88"},"uris":["http://www.mendeley.com/documents/?uuid=cc4a81f7-f696-45c4-9898-a37609cff378"]},{"id":"ITEM-3","itemData":{"DOI":"10.1001/archneurol.2008.505","ISSN":"0003-9942","abstract":"To investigate whether or not the disparity in disease progression in those with pediatric-onset compared with adult-onset multiple sclerosis (MS) is due to differences in relapse rates.Inception cohort. Mean follow-up times were 3.67 (standard deviation, 1.64) and 3.98 (standard deviation, 1.17) years in the pediatric and adult groups, respectively.Comprehensive MS centers.Patients with relapsing-remitting MS who were seen at the pediatric and adult MS centers at Massachusetts General and Brigham and Women's Hospitals, respectively, 12 months or less from onset of first symptom in July 2001 or later and were followed up for 12 months or longer. One hundred ten patients with adult-onset and 21 patients with pediatric-onset MS were included. Three eligible patients with adult-onset MS were excluded owing to incomplete records.Annualized relapse rates were compared between pediatric-onset and adult-onset patients using the proportional means model.The annualized relapse rate in the pediatric-onset group was significantly higher than that in the adult-onset group (1.13 vs 0.40; P &lt; .001) with an adjusted rate ratio of 2.81 (95% confidence interval, 2.07-3.81). When we controlled for time spent undergoing disease-modifying treatment in the analysis, the difference between the groups remained highly significant (adjusted rate ratio, 2.82; 95% confidence interval, 2.08-3.83; P &lt; .001). When age at disease onset was treated as a continuous variable, a highly significant association between age and relapse rate was observed (P &lt; .001).Relapses are more frequent in patients with pediatric-onset compared with adult-onset MS in the disease-modifying treatment era. This finding suggests that patients with pediatric-onset MS experience a more inflammatory disease course than patients with adult onset of the disease.Arch Neurol. 2009;66(1):54-59--&gt;","author":[{"dropping-particle":"","family":"Gorman","given":"Mark P","non-dropping-particle":"","parse-names":false,"suffix":""},{"dropping-particle":"","family":"Healy","given":"Brian C","non-dropping-particle":"","parse-names":false,"suffix":""},{"dropping-particle":"","family":"Polgar-Turcsanyi","given":"Mariann","non-dropping-particle":"","parse-names":false,"suffix":""},{"dropping-particle":"","family":"Chitnis","given":"Tanuja","non-dropping-particle":"","parse-names":false,"suffix":""}],"container-title":"Archives of Neurology","id":"ITEM-3","issue":"1","issued":{"date-parts":[["2009","1","1"]]},"page":"54-59","title":"Increased Relapse Rate in Pediatric-Onset Compared With Adult-Onset Multiple Sclerosis","type":"article-journal","volume":"66"},"uris":["http://www.mendeley.com/documents/?uuid=6cced3a3-e5ba-4290-9a25-d136dacdba28"]}],"mendeley":{"formattedCitation":"(Azary et al., 2018; Gorman et al., 2009; Krysko et al., 2020)","manualFormatting":"Azary et al., 2018; Gorman et al., 2009; Krysko et al., 2020","plainTextFormattedCitation":"(Azary et al., 2018; Gorman et al., 2009; Krysko et al., 2020)","previouslyFormattedCitation":"(Azary et al., 2018; Gorman et al., 2009; Krysko et al., 2020)"},"properties":{"noteIndex":0},"schema":"https://github.com/citation-style-language/schema/raw/master/csl-citation.json"}</w:instrText>
      </w:r>
      <w:r w:rsidR="001A156B" w:rsidRPr="00FA697B">
        <w:rPr>
          <w:rFonts w:ascii="Arial" w:hAnsi="Arial" w:cs="Arial"/>
          <w:color w:val="000000" w:themeColor="text1"/>
        </w:rPr>
        <w:fldChar w:fldCharType="separate"/>
      </w:r>
      <w:r w:rsidR="0082315E" w:rsidRPr="00FA697B">
        <w:rPr>
          <w:rFonts w:ascii="Arial" w:hAnsi="Arial" w:cs="Arial"/>
          <w:noProof/>
          <w:color w:val="000000" w:themeColor="text1"/>
        </w:rPr>
        <w:t>Azary et al., 2018; Gorman et al., 2009; Krysko et al., 2020</w:t>
      </w:r>
      <w:r w:rsidR="001A156B" w:rsidRPr="00FA697B">
        <w:rPr>
          <w:rFonts w:ascii="Arial" w:hAnsi="Arial" w:cs="Arial"/>
          <w:color w:val="000000" w:themeColor="text1"/>
        </w:rPr>
        <w:fldChar w:fldCharType="end"/>
      </w:r>
      <w:r w:rsidR="008D4ABD" w:rsidRPr="00FA697B">
        <w:rPr>
          <w:rFonts w:ascii="Arial" w:hAnsi="Arial" w:cs="Arial"/>
          <w:color w:val="000000" w:themeColor="text1"/>
        </w:rPr>
        <w:t xml:space="preserve">, with a calculated average of 0.58 and standard deviation </w:t>
      </w:r>
      <w:r w:rsidR="0082315E" w:rsidRPr="00FA697B">
        <w:rPr>
          <w:rFonts w:ascii="Arial" w:hAnsi="Arial" w:cs="Arial"/>
          <w:color w:val="000000" w:themeColor="text1"/>
        </w:rPr>
        <w:t xml:space="preserve">(SD) </w:t>
      </w:r>
      <w:r w:rsidR="008D4ABD" w:rsidRPr="00FA697B">
        <w:rPr>
          <w:rFonts w:ascii="Arial" w:hAnsi="Arial" w:cs="Arial"/>
          <w:color w:val="000000" w:themeColor="text1"/>
        </w:rPr>
        <w:t xml:space="preserve">of 0.48. </w:t>
      </w:r>
      <w:r w:rsidR="00C4220F" w:rsidRPr="00FA697B">
        <w:rPr>
          <w:rFonts w:ascii="Arial" w:hAnsi="Arial" w:cs="Arial"/>
          <w:color w:val="000000" w:themeColor="text1"/>
        </w:rPr>
        <w:t>R</w:t>
      </w:r>
      <w:r w:rsidR="00C54F15" w:rsidRPr="00FA697B">
        <w:rPr>
          <w:rFonts w:ascii="Arial" w:hAnsi="Arial" w:cs="Arial"/>
          <w:color w:val="000000" w:themeColor="text1"/>
        </w:rPr>
        <w:t>epresentative power calculation for planned</w:t>
      </w:r>
      <w:r w:rsidR="0023243B" w:rsidRPr="00FA697B">
        <w:rPr>
          <w:rFonts w:ascii="Arial" w:hAnsi="Arial" w:cs="Arial"/>
          <w:color w:val="000000" w:themeColor="text1"/>
        </w:rPr>
        <w:t xml:space="preserve"> primary</w:t>
      </w:r>
      <w:r w:rsidR="00C54F15" w:rsidRPr="00FA697B">
        <w:rPr>
          <w:rFonts w:ascii="Arial" w:hAnsi="Arial" w:cs="Arial"/>
          <w:color w:val="000000" w:themeColor="text1"/>
        </w:rPr>
        <w:t xml:space="preserve"> analys</w:t>
      </w:r>
      <w:r w:rsidR="0023243B" w:rsidRPr="00FA697B">
        <w:rPr>
          <w:rFonts w:ascii="Arial" w:hAnsi="Arial" w:cs="Arial"/>
          <w:color w:val="000000" w:themeColor="text1"/>
        </w:rPr>
        <w:t>is</w:t>
      </w:r>
      <w:r w:rsidR="00C54F15" w:rsidRPr="00FA697B">
        <w:rPr>
          <w:rFonts w:ascii="Arial" w:hAnsi="Arial" w:cs="Arial"/>
          <w:color w:val="000000" w:themeColor="text1"/>
        </w:rPr>
        <w:t xml:space="preserve"> </w:t>
      </w:r>
      <w:r w:rsidR="001A156B" w:rsidRPr="00FA697B">
        <w:rPr>
          <w:rFonts w:ascii="Arial" w:hAnsi="Arial" w:cs="Arial"/>
          <w:color w:val="000000" w:themeColor="text1"/>
        </w:rPr>
        <w:t>given</w:t>
      </w:r>
      <w:r w:rsidR="0023243B" w:rsidRPr="00FA697B">
        <w:rPr>
          <w:rFonts w:ascii="Arial" w:hAnsi="Arial" w:cs="Arial"/>
          <w:color w:val="000000" w:themeColor="text1"/>
        </w:rPr>
        <w:t xml:space="preserve"> (i)</w:t>
      </w:r>
      <w:r w:rsidR="001A156B" w:rsidRPr="00FA697B">
        <w:rPr>
          <w:rFonts w:ascii="Arial" w:hAnsi="Arial" w:cs="Arial"/>
          <w:color w:val="000000" w:themeColor="text1"/>
        </w:rPr>
        <w:t xml:space="preserve"> known sample size of 400 </w:t>
      </w:r>
      <w:r w:rsidR="00C54F15" w:rsidRPr="00FA697B">
        <w:rPr>
          <w:rFonts w:ascii="Arial" w:hAnsi="Arial" w:cs="Arial"/>
          <w:color w:val="000000" w:themeColor="text1"/>
        </w:rPr>
        <w:t>subjects</w:t>
      </w:r>
      <w:r w:rsidR="001A156B" w:rsidRPr="00FA697B">
        <w:rPr>
          <w:rFonts w:ascii="Arial" w:hAnsi="Arial" w:cs="Arial"/>
          <w:color w:val="000000" w:themeColor="text1"/>
        </w:rPr>
        <w:t xml:space="preserve"> (</w:t>
      </w:r>
      <w:r w:rsidR="0082315E" w:rsidRPr="00FA697B">
        <w:rPr>
          <w:rFonts w:ascii="Arial" w:hAnsi="Arial" w:cs="Arial"/>
          <w:color w:val="000000" w:themeColor="text1"/>
        </w:rPr>
        <w:t>N</w:t>
      </w:r>
      <w:r w:rsidR="00C54F15" w:rsidRPr="00FA697B">
        <w:rPr>
          <w:rFonts w:ascii="Arial" w:hAnsi="Arial" w:cs="Arial"/>
          <w:color w:val="000000" w:themeColor="text1"/>
        </w:rPr>
        <w:t>=150 with e</w:t>
      </w:r>
      <w:r w:rsidR="00B31078" w:rsidRPr="00FA697B">
        <w:rPr>
          <w:rFonts w:ascii="Arial" w:hAnsi="Arial" w:cs="Arial"/>
          <w:color w:val="000000" w:themeColor="text1"/>
        </w:rPr>
        <w:t>xposure to certain aspects of diet (e.g. high fat)</w:t>
      </w:r>
      <w:r w:rsidR="00C54F15" w:rsidRPr="00FA697B">
        <w:rPr>
          <w:rFonts w:ascii="Arial" w:hAnsi="Arial" w:cs="Arial"/>
          <w:color w:val="000000" w:themeColor="text1"/>
        </w:rPr>
        <w:t xml:space="preserve">, </w:t>
      </w:r>
      <w:r w:rsidR="0082315E" w:rsidRPr="00FA697B">
        <w:rPr>
          <w:rFonts w:ascii="Arial" w:hAnsi="Arial" w:cs="Arial"/>
          <w:color w:val="000000" w:themeColor="text1"/>
        </w:rPr>
        <w:t>N</w:t>
      </w:r>
      <w:r w:rsidR="00C54F15" w:rsidRPr="00FA697B">
        <w:rPr>
          <w:rFonts w:ascii="Arial" w:hAnsi="Arial" w:cs="Arial"/>
          <w:color w:val="000000" w:themeColor="text1"/>
        </w:rPr>
        <w:t>=250 without</w:t>
      </w:r>
      <w:r w:rsidR="00B31078" w:rsidRPr="00FA697B">
        <w:rPr>
          <w:rFonts w:ascii="Arial" w:hAnsi="Arial" w:cs="Arial"/>
          <w:color w:val="000000" w:themeColor="text1"/>
        </w:rPr>
        <w:t xml:space="preserve"> exposure</w:t>
      </w:r>
      <w:r w:rsidR="00C54F15" w:rsidRPr="00FA697B">
        <w:rPr>
          <w:rFonts w:ascii="Arial" w:hAnsi="Arial" w:cs="Arial"/>
          <w:color w:val="000000" w:themeColor="text1"/>
        </w:rPr>
        <w:t>)</w:t>
      </w:r>
      <w:r w:rsidR="0023243B" w:rsidRPr="00FA697B">
        <w:rPr>
          <w:rFonts w:ascii="Arial" w:hAnsi="Arial" w:cs="Arial"/>
          <w:color w:val="000000" w:themeColor="text1"/>
        </w:rPr>
        <w:t xml:space="preserve">, (ii) </w:t>
      </w:r>
      <w:r w:rsidRPr="00FA697B">
        <w:rPr>
          <w:rFonts w:ascii="Arial" w:hAnsi="Arial" w:cs="Arial"/>
          <w:color w:val="000000" w:themeColor="text1"/>
        </w:rPr>
        <w:t xml:space="preserve">alpha=0.05, </w:t>
      </w:r>
      <w:r w:rsidR="0023243B" w:rsidRPr="00FA697B">
        <w:rPr>
          <w:rFonts w:ascii="Arial" w:hAnsi="Arial" w:cs="Arial"/>
          <w:color w:val="000000" w:themeColor="text1"/>
        </w:rPr>
        <w:t>(ii) use of categorical exposures, (i</w:t>
      </w:r>
      <w:r w:rsidR="008D4ABD" w:rsidRPr="00FA697B">
        <w:rPr>
          <w:rFonts w:ascii="Arial" w:hAnsi="Arial" w:cs="Arial"/>
          <w:color w:val="000000" w:themeColor="text1"/>
        </w:rPr>
        <w:t>ii</w:t>
      </w:r>
      <w:r w:rsidR="0023243B" w:rsidRPr="00FA697B">
        <w:rPr>
          <w:rFonts w:ascii="Arial" w:hAnsi="Arial" w:cs="Arial"/>
          <w:color w:val="000000" w:themeColor="text1"/>
        </w:rPr>
        <w:t xml:space="preserve">) </w:t>
      </w:r>
      <w:r w:rsidR="0082315E" w:rsidRPr="00FA697B">
        <w:rPr>
          <w:rFonts w:ascii="Arial" w:hAnsi="Arial" w:cs="Arial"/>
          <w:color w:val="000000" w:themeColor="text1"/>
        </w:rPr>
        <w:t>SD</w:t>
      </w:r>
      <w:r w:rsidR="0023243B" w:rsidRPr="00FA697B">
        <w:rPr>
          <w:rFonts w:ascii="Arial" w:hAnsi="Arial" w:cs="Arial"/>
          <w:color w:val="000000" w:themeColor="text1"/>
        </w:rPr>
        <w:t xml:space="preserve"> of ARR of </w:t>
      </w:r>
      <w:r w:rsidR="008D4ABD" w:rsidRPr="00FA697B">
        <w:rPr>
          <w:rFonts w:ascii="Arial" w:hAnsi="Arial" w:cs="Arial"/>
          <w:color w:val="000000" w:themeColor="text1"/>
        </w:rPr>
        <w:t>0.48</w:t>
      </w:r>
      <w:r w:rsidR="0023243B" w:rsidRPr="00FA697B">
        <w:rPr>
          <w:rFonts w:ascii="Arial" w:hAnsi="Arial" w:cs="Arial"/>
          <w:color w:val="000000" w:themeColor="text1"/>
        </w:rPr>
        <w:t>, (</w:t>
      </w:r>
      <w:r w:rsidR="008D4ABD" w:rsidRPr="00FA697B">
        <w:rPr>
          <w:rFonts w:ascii="Arial" w:hAnsi="Arial" w:cs="Arial"/>
          <w:color w:val="000000" w:themeColor="text1"/>
        </w:rPr>
        <w:t>i</w:t>
      </w:r>
      <w:r w:rsidR="0023243B" w:rsidRPr="00FA697B">
        <w:rPr>
          <w:rFonts w:ascii="Arial" w:hAnsi="Arial" w:cs="Arial"/>
          <w:color w:val="000000" w:themeColor="text1"/>
        </w:rPr>
        <w:t xml:space="preserve">v) </w:t>
      </w:r>
      <w:r w:rsidRPr="00FA697B">
        <w:rPr>
          <w:rFonts w:ascii="Arial" w:hAnsi="Arial" w:cs="Arial"/>
          <w:color w:val="000000" w:themeColor="text1"/>
        </w:rPr>
        <w:t xml:space="preserve">two-tailed hypothesis, and </w:t>
      </w:r>
      <w:r w:rsidR="0023243B" w:rsidRPr="00FA697B">
        <w:rPr>
          <w:rFonts w:ascii="Arial" w:hAnsi="Arial" w:cs="Arial"/>
          <w:color w:val="000000" w:themeColor="text1"/>
        </w:rPr>
        <w:t xml:space="preserve">(v) </w:t>
      </w:r>
      <w:r w:rsidRPr="00FA697B">
        <w:rPr>
          <w:rFonts w:ascii="Arial" w:hAnsi="Arial" w:cs="Arial"/>
          <w:color w:val="000000" w:themeColor="text1"/>
        </w:rPr>
        <w:t>power of 80% (beta=0.20)</w:t>
      </w:r>
      <w:r w:rsidR="00C4220F" w:rsidRPr="00FA697B">
        <w:rPr>
          <w:rFonts w:ascii="Arial" w:hAnsi="Arial" w:cs="Arial"/>
          <w:color w:val="000000" w:themeColor="text1"/>
        </w:rPr>
        <w:t xml:space="preserve">, </w:t>
      </w:r>
      <w:r w:rsidR="0082315E" w:rsidRPr="00FA697B">
        <w:rPr>
          <w:rFonts w:ascii="Arial" w:hAnsi="Arial" w:cs="Arial"/>
          <w:color w:val="000000" w:themeColor="text1"/>
        </w:rPr>
        <w:t xml:space="preserve">could detect an </w:t>
      </w:r>
      <w:r w:rsidR="00C4220F" w:rsidRPr="00FA697B">
        <w:rPr>
          <w:rFonts w:ascii="Arial" w:hAnsi="Arial" w:cs="Arial"/>
          <w:color w:val="000000" w:themeColor="text1"/>
        </w:rPr>
        <w:t>effect size</w:t>
      </w:r>
      <w:r w:rsidR="00B31078" w:rsidRPr="00FA697B">
        <w:rPr>
          <w:rFonts w:ascii="Arial" w:hAnsi="Arial" w:cs="Arial"/>
          <w:color w:val="000000" w:themeColor="text1"/>
        </w:rPr>
        <w:t xml:space="preserve"> of </w:t>
      </w:r>
      <w:r w:rsidR="00C4220F" w:rsidRPr="00FA697B">
        <w:rPr>
          <w:rFonts w:ascii="Arial" w:hAnsi="Arial" w:cs="Arial"/>
          <w:color w:val="000000" w:themeColor="text1"/>
        </w:rPr>
        <w:t>0.</w:t>
      </w:r>
      <w:r w:rsidR="008D4ABD" w:rsidRPr="00FA697B">
        <w:rPr>
          <w:rFonts w:ascii="Arial" w:hAnsi="Arial" w:cs="Arial"/>
          <w:color w:val="000000" w:themeColor="text1"/>
        </w:rPr>
        <w:t>16</w:t>
      </w:r>
      <w:r w:rsidR="00B31078" w:rsidRPr="00FA697B">
        <w:rPr>
          <w:rFonts w:ascii="Arial" w:hAnsi="Arial" w:cs="Arial"/>
          <w:color w:val="000000" w:themeColor="text1"/>
        </w:rPr>
        <w:t xml:space="preserve"> less relapses</w:t>
      </w:r>
      <w:r w:rsidR="00C4220F" w:rsidRPr="00FA697B">
        <w:rPr>
          <w:rFonts w:ascii="Arial" w:hAnsi="Arial" w:cs="Arial"/>
          <w:color w:val="000000" w:themeColor="text1"/>
        </w:rPr>
        <w:t xml:space="preserve">, which </w:t>
      </w:r>
      <w:r w:rsidR="008D4ABD" w:rsidRPr="00FA697B">
        <w:rPr>
          <w:rFonts w:ascii="Arial" w:hAnsi="Arial" w:cs="Arial"/>
          <w:color w:val="000000" w:themeColor="text1"/>
        </w:rPr>
        <w:t xml:space="preserve">would likely be </w:t>
      </w:r>
      <w:r w:rsidR="00C4220F" w:rsidRPr="00FA697B">
        <w:rPr>
          <w:rFonts w:ascii="Arial" w:hAnsi="Arial" w:cs="Arial"/>
          <w:color w:val="000000" w:themeColor="text1"/>
        </w:rPr>
        <w:t xml:space="preserve">clinically meaningful in </w:t>
      </w:r>
      <w:r w:rsidR="0082315E" w:rsidRPr="00FA697B">
        <w:rPr>
          <w:rFonts w:ascii="Arial" w:hAnsi="Arial" w:cs="Arial"/>
          <w:color w:val="000000" w:themeColor="text1"/>
        </w:rPr>
        <w:t>a disease</w:t>
      </w:r>
      <w:r w:rsidR="008D4ABD" w:rsidRPr="00FA697B">
        <w:rPr>
          <w:rFonts w:ascii="Arial" w:hAnsi="Arial" w:cs="Arial"/>
          <w:color w:val="000000" w:themeColor="text1"/>
        </w:rPr>
        <w:t xml:space="preserve"> with</w:t>
      </w:r>
      <w:r w:rsidR="0082315E" w:rsidRPr="00FA697B">
        <w:rPr>
          <w:rFonts w:ascii="Arial" w:hAnsi="Arial" w:cs="Arial"/>
          <w:color w:val="000000" w:themeColor="text1"/>
        </w:rPr>
        <w:t xml:space="preserve"> an</w:t>
      </w:r>
      <w:r w:rsidR="008D4ABD" w:rsidRPr="00FA697B">
        <w:rPr>
          <w:rFonts w:ascii="Arial" w:hAnsi="Arial" w:cs="Arial"/>
          <w:color w:val="000000" w:themeColor="text1"/>
        </w:rPr>
        <w:t xml:space="preserve"> </w:t>
      </w:r>
      <w:r w:rsidR="0082315E" w:rsidRPr="00FA697B">
        <w:rPr>
          <w:rFonts w:ascii="Arial" w:hAnsi="Arial" w:cs="Arial"/>
          <w:color w:val="000000" w:themeColor="text1"/>
        </w:rPr>
        <w:t xml:space="preserve">ARR </w:t>
      </w:r>
      <w:r w:rsidR="008D4ABD" w:rsidRPr="00FA697B">
        <w:rPr>
          <w:rFonts w:ascii="Arial" w:hAnsi="Arial" w:cs="Arial"/>
          <w:color w:val="000000" w:themeColor="text1"/>
        </w:rPr>
        <w:t>of 0.58</w:t>
      </w:r>
      <w:r w:rsidR="00C4220F" w:rsidRPr="00FA697B">
        <w:rPr>
          <w:rFonts w:ascii="Arial" w:hAnsi="Arial" w:cs="Arial"/>
          <w:color w:val="000000" w:themeColor="text1"/>
        </w:rPr>
        <w:t>. Of note, g</w:t>
      </w:r>
      <w:r w:rsidR="00C54F15" w:rsidRPr="00FA697B">
        <w:rPr>
          <w:rFonts w:ascii="Arial" w:hAnsi="Arial" w:cs="Arial"/>
          <w:color w:val="000000" w:themeColor="text1"/>
        </w:rPr>
        <w:t xml:space="preserve">iven the intervention is focused on dietary changes, with likely minimal side effects in comparison to </w:t>
      </w:r>
      <w:r w:rsidR="00111714" w:rsidRPr="00FA697B">
        <w:rPr>
          <w:rFonts w:ascii="Arial" w:hAnsi="Arial" w:cs="Arial"/>
          <w:color w:val="000000" w:themeColor="text1"/>
        </w:rPr>
        <w:t>e.g.,</w:t>
      </w:r>
      <w:r w:rsidR="00C54F15" w:rsidRPr="00FA697B">
        <w:rPr>
          <w:rFonts w:ascii="Arial" w:hAnsi="Arial" w:cs="Arial"/>
          <w:color w:val="000000" w:themeColor="text1"/>
        </w:rPr>
        <w:t xml:space="preserve"> starting a new medication, it would be helpful to detect even small effect sizes as patients and families may still utilize that information to guide dietary strategies.  </w:t>
      </w:r>
    </w:p>
    <w:p w14:paraId="025E90E4" w14:textId="3A79A420" w:rsidR="00C067CA" w:rsidRPr="00FA697B" w:rsidRDefault="00595900" w:rsidP="00C067CA">
      <w:pPr>
        <w:shd w:val="clear" w:color="auto" w:fill="FFFFFF"/>
        <w:ind w:firstLine="720"/>
        <w:rPr>
          <w:rFonts w:ascii="Arial" w:eastAsia="Calibri" w:hAnsi="Arial" w:cs="Arial"/>
          <w:bCs/>
          <w:iCs/>
          <w:color w:val="000000" w:themeColor="text1"/>
        </w:rPr>
      </w:pPr>
      <w:r w:rsidRPr="00FA697B">
        <w:rPr>
          <w:rFonts w:ascii="Arial" w:eastAsia="Times New Roman" w:hAnsi="Arial" w:cs="Arial"/>
          <w:color w:val="000000" w:themeColor="text1"/>
        </w:rPr>
        <w:t>In this</w:t>
      </w:r>
      <w:r w:rsidR="0054049A" w:rsidRPr="00FA697B">
        <w:rPr>
          <w:rFonts w:ascii="Arial" w:eastAsia="Times New Roman" w:hAnsi="Arial" w:cs="Arial"/>
          <w:color w:val="000000" w:themeColor="text1"/>
        </w:rPr>
        <w:t xml:space="preserve"> observational study</w:t>
      </w:r>
      <w:r w:rsidRPr="00FA697B">
        <w:rPr>
          <w:rFonts w:ascii="Arial" w:eastAsia="Times New Roman" w:hAnsi="Arial" w:cs="Arial"/>
          <w:color w:val="000000" w:themeColor="text1"/>
        </w:rPr>
        <w:t>, it will be important to mitigate other components to increase confidence in the</w:t>
      </w:r>
      <w:r w:rsidR="00BB3D16" w:rsidRPr="00FA697B">
        <w:rPr>
          <w:rFonts w:ascii="Arial" w:eastAsia="Times New Roman" w:hAnsi="Arial" w:cs="Arial"/>
          <w:color w:val="000000" w:themeColor="text1"/>
        </w:rPr>
        <w:t xml:space="preserve"> associations noted</w:t>
      </w:r>
      <w:r w:rsidRPr="00FA697B">
        <w:rPr>
          <w:rFonts w:ascii="Arial" w:eastAsia="Times New Roman" w:hAnsi="Arial" w:cs="Arial"/>
          <w:color w:val="000000" w:themeColor="text1"/>
        </w:rPr>
        <w:t xml:space="preserve">. Some of the confounders that will be addressed as co-variates will be </w:t>
      </w:r>
      <w:r w:rsidRPr="00FA697B">
        <w:rPr>
          <w:rFonts w:ascii="Arial" w:eastAsia="Calibri" w:hAnsi="Arial" w:cs="Arial"/>
          <w:color w:val="000000" w:themeColor="text1"/>
        </w:rPr>
        <w:t>a</w:t>
      </w:r>
      <w:r w:rsidRPr="00FA697B">
        <w:rPr>
          <w:rFonts w:ascii="Arial" w:eastAsia="Calibri" w:hAnsi="Arial" w:cs="Arial"/>
          <w:color w:val="000000" w:themeColor="text1"/>
        </w:rPr>
        <w:t>ge (at enrollment), sex (male/female), race/ethnicity, disease duration (time from first MS symptoms to enrollment), BMI</w:t>
      </w:r>
      <w:r w:rsidRPr="00FA697B">
        <w:rPr>
          <w:rFonts w:ascii="Arial" w:eastAsia="Calibri" w:hAnsi="Arial" w:cs="Arial"/>
          <w:color w:val="000000" w:themeColor="text1"/>
        </w:rPr>
        <w:t xml:space="preserve"> (percentile, adjusted for age)</w:t>
      </w:r>
      <w:r w:rsidRPr="00FA697B">
        <w:rPr>
          <w:rFonts w:ascii="Arial" w:eastAsia="Calibri" w:hAnsi="Arial" w:cs="Arial"/>
          <w:color w:val="000000" w:themeColor="text1"/>
        </w:rPr>
        <w:t xml:space="preserve">, exposure to cigarette smoking (positive if exposed for &gt; 6 month vs. negative), </w:t>
      </w:r>
      <w:r w:rsidRPr="00FA697B">
        <w:rPr>
          <w:rFonts w:ascii="Arial" w:eastAsia="Calibri" w:hAnsi="Arial" w:cs="Arial"/>
          <w:bCs/>
          <w:color w:val="000000" w:themeColor="text1"/>
        </w:rPr>
        <w:t>SES (defined as highest education level attained by the participants’ mother), baseline 25(OH) vitamin D serum level</w:t>
      </w:r>
      <w:r w:rsidRPr="00FA697B">
        <w:rPr>
          <w:rFonts w:ascii="Arial" w:eastAsia="Calibri" w:hAnsi="Arial" w:cs="Arial"/>
          <w:bCs/>
          <w:color w:val="000000" w:themeColor="text1"/>
        </w:rPr>
        <w:t xml:space="preserve"> (measured at time of enrollment)</w:t>
      </w:r>
      <w:r w:rsidRPr="00FA697B">
        <w:rPr>
          <w:rFonts w:ascii="Arial" w:eastAsia="Calibri" w:hAnsi="Arial" w:cs="Arial"/>
          <w:bCs/>
          <w:color w:val="000000" w:themeColor="text1"/>
        </w:rPr>
        <w:t>, total</w:t>
      </w:r>
      <w:r w:rsidRPr="00FA697B">
        <w:rPr>
          <w:rFonts w:ascii="Arial" w:eastAsia="Calibri" w:hAnsi="Arial" w:cs="Arial"/>
          <w:bCs/>
          <w:iCs/>
          <w:color w:val="000000" w:themeColor="text1"/>
        </w:rPr>
        <w:t xml:space="preserve"> energy intake, </w:t>
      </w:r>
      <w:r w:rsidRPr="00FA697B">
        <w:rPr>
          <w:rFonts w:ascii="Arial" w:eastAsia="Calibri" w:hAnsi="Arial" w:cs="Arial"/>
          <w:iCs/>
          <w:color w:val="000000" w:themeColor="text1"/>
        </w:rPr>
        <w:t xml:space="preserve">and </w:t>
      </w:r>
      <w:r w:rsidR="00BB3D16" w:rsidRPr="00FA697B">
        <w:rPr>
          <w:rFonts w:ascii="Arial" w:eastAsia="Calibri" w:hAnsi="Arial" w:cs="Arial"/>
          <w:bCs/>
          <w:iCs/>
          <w:color w:val="000000" w:themeColor="text1"/>
        </w:rPr>
        <w:t>disease modifying therapy (DMT)</w:t>
      </w:r>
      <w:r w:rsidRPr="00FA697B">
        <w:rPr>
          <w:rFonts w:ascii="Arial" w:eastAsia="Calibri" w:hAnsi="Arial" w:cs="Arial"/>
          <w:bCs/>
          <w:iCs/>
          <w:color w:val="000000" w:themeColor="text1"/>
        </w:rPr>
        <w:t xml:space="preserve">. </w:t>
      </w:r>
      <w:r w:rsidRPr="00FA697B">
        <w:rPr>
          <w:rFonts w:ascii="Arial" w:eastAsia="Calibri" w:hAnsi="Arial" w:cs="Arial"/>
          <w:bCs/>
          <w:iCs/>
          <w:color w:val="000000" w:themeColor="text1"/>
        </w:rPr>
        <w:t>These</w:t>
      </w:r>
      <w:r w:rsidR="00C067CA" w:rsidRPr="00FA697B">
        <w:rPr>
          <w:rFonts w:ascii="Arial" w:eastAsia="Calibri" w:hAnsi="Arial" w:cs="Arial"/>
          <w:bCs/>
          <w:iCs/>
          <w:color w:val="000000" w:themeColor="text1"/>
        </w:rPr>
        <w:t xml:space="preserve"> </w:t>
      </w:r>
      <w:r w:rsidRPr="00FA697B">
        <w:rPr>
          <w:rFonts w:ascii="Arial" w:eastAsia="Calibri" w:hAnsi="Arial" w:cs="Arial"/>
          <w:bCs/>
          <w:iCs/>
          <w:color w:val="000000" w:themeColor="text1"/>
        </w:rPr>
        <w:t xml:space="preserve">exposures </w:t>
      </w:r>
      <w:r w:rsidR="00C067CA" w:rsidRPr="00FA697B">
        <w:rPr>
          <w:rFonts w:ascii="Arial" w:eastAsia="Calibri" w:hAnsi="Arial" w:cs="Arial"/>
          <w:bCs/>
          <w:iCs/>
          <w:color w:val="000000" w:themeColor="text1"/>
        </w:rPr>
        <w:t xml:space="preserve">have been </w:t>
      </w:r>
      <w:r w:rsidRPr="00FA697B">
        <w:rPr>
          <w:rFonts w:ascii="Arial" w:eastAsia="Calibri" w:hAnsi="Arial" w:cs="Arial"/>
          <w:bCs/>
          <w:iCs/>
          <w:color w:val="000000" w:themeColor="text1"/>
        </w:rPr>
        <w:t>associat</w:t>
      </w:r>
      <w:r w:rsidR="00C067CA" w:rsidRPr="00FA697B">
        <w:rPr>
          <w:rFonts w:ascii="Arial" w:eastAsia="Calibri" w:hAnsi="Arial" w:cs="Arial"/>
          <w:bCs/>
          <w:iCs/>
          <w:color w:val="000000" w:themeColor="text1"/>
        </w:rPr>
        <w:t>ed</w:t>
      </w:r>
      <w:r w:rsidRPr="00FA697B">
        <w:rPr>
          <w:rFonts w:ascii="Arial" w:eastAsia="Calibri" w:hAnsi="Arial" w:cs="Arial"/>
          <w:bCs/>
          <w:iCs/>
          <w:color w:val="000000" w:themeColor="text1"/>
        </w:rPr>
        <w:t xml:space="preserve"> with POMS occurrence or progression </w:t>
      </w:r>
      <w:r w:rsidR="00C067CA" w:rsidRPr="00FA697B">
        <w:rPr>
          <w:rFonts w:ascii="Arial" w:eastAsia="Calibri" w:hAnsi="Arial" w:cs="Arial"/>
          <w:bCs/>
          <w:iCs/>
          <w:color w:val="000000" w:themeColor="text1"/>
        </w:rPr>
        <w:t>per</w:t>
      </w:r>
      <w:r w:rsidRPr="00FA697B">
        <w:rPr>
          <w:rFonts w:ascii="Arial" w:eastAsia="Calibri" w:hAnsi="Arial" w:cs="Arial"/>
          <w:bCs/>
          <w:iCs/>
          <w:color w:val="000000" w:themeColor="text1"/>
        </w:rPr>
        <w:t xml:space="preserve"> prior literature </w:t>
      </w:r>
      <w:r w:rsidRPr="00FA697B">
        <w:rPr>
          <w:rFonts w:ascii="Arial" w:eastAsia="Calibri" w:hAnsi="Arial" w:cs="Arial"/>
          <w:bCs/>
          <w:iCs/>
          <w:color w:val="000000" w:themeColor="text1"/>
        </w:rPr>
        <w:fldChar w:fldCharType="begin" w:fldLock="1"/>
      </w:r>
      <w:r w:rsidR="00210D5A" w:rsidRPr="00FA697B">
        <w:rPr>
          <w:rFonts w:ascii="Arial" w:eastAsia="Calibri" w:hAnsi="Arial" w:cs="Arial"/>
          <w:bCs/>
          <w:iCs/>
          <w:color w:val="000000" w:themeColor="text1"/>
        </w:rPr>
        <w:instrText>ADDIN CSL_CITATION {"citationItems":[{"id":"ITEM-1","itemData":{"abstract":"The onset of multiple sclerosis (MS) occurs in childhood in about 5% of all patients with MS. The disease in adults has a complex genetic and environmental inheritability. One of the main risk factors , also confirmed in pediatric MS, is HLA DRB1*1501. In addition to genetic factors, a large part of disease susceptibility in adults is conferred by environmental risk factors such as low vitamin D status, exposure to cigarette smoking, and remote Epstein-Barr virus (EBV) infection. In children, both exposure to cigarette smoking and prior EBV infection have been reported consistently as risk factors for MS. The role of vitamin D remains to be confirmed in this age category. Finally, although very likely critical in disease processes, few gene-environment interactions and epigenetic changes have been reported for adult and pediatric MS susceptibility. Of interest, some of the risk factors for MS have also been associated with disease course modification, such as low 25(OH) vitamin D serum levels in pediatric and adult MS. Age is also a clear disease modifier of clinical, CSF, and MRI phenotype in children with the disease. Finally, although much has yet to be unraveled regarding molecular processes at play in MS, there is a larger gap in our knowledge of genetic and environmental risk factors for pediatric neuromyelitis optica spectrum disorders and acute disseminated encephalomyelitis and only collaborative studies will answer those questions. Neurology ® 2016;87 (Suppl 2):S20-S27 GLOSSARY 25(OH)D 5 25-hydroxyvitamin D; ADS 5 acquired demyelinating syndromes; BMI 5 body mass index; CIS 5 clinically isolated syndromes; CMV 5 cytomegalovirus; EBV 5 Epstein-Barr virus; GWAS 5 genome-wide association studies; HLA 5 human leukocyte antigen; HSV 5 herpes simplex virus; MS 5 multiple sclerosis; NMO 5 neuromyelitis optica. Among pediatric acquired demyelinating disorders of the CNS, multiple sclerosis (MS), including clinically isolated syndromes (CIS), acute disseminated encephalomyelitis, and neuromyeli-tis optica (NMO) spectrum disorders are the most common. Due to its chronicity and proportionally higher incidence, substantial efforts have focused on understanding factors contributing to MS, although the study of risk factors for NMO is also accelerating. 1 Despite the fact that several genetic and environmental risk factors have been consistently reported for adult MS, 2 underlying molecular processes at play remain largely unknown. The onset of MS in childr…","author":[{"dropping-particle":"","family":"Waubant","given":"Emmanuelle","non-dropping-particle":"","parse-names":false,"suffix":""},{"dropping-particle":"","family":"Ponsonby","given":"Anne-Louise","non-dropping-particle":"","parse-names":false,"suffix":""},{"dropping-particle":"","family":"Pugliatti","given":"Maura","non-dropping-particle":"","parse-names":false,"suffix":""},{"dropping-particle":"","family":"Hanwell","given":"Heather","non-dropping-particle":"","parse-names":false,"suffix":""},{"dropping-particle":"","family":"Mowry","given":"Ellen M","non-dropping-particle":"","parse-names":false,"suffix":""},{"dropping-particle":"","family":"Hintzen","given":"Rogier Q","non-dropping-particle":"","parse-names":false,"suffix":""}],"id":"ITEM-1","issued":{"date-parts":[["2016"]]},"note":"Pediatric MS Development Risk Factors\n\n- being born in Asia/Caribbean \n- EBV seropositivity (though oddly decreased risk with remote EBV infection) \n- Parental Smoking \n- ?lower Vit D levels\n- Childhood overweight, obesity \n\nRisk Factors for relapses: \n-","title":"Environmental and genetic factors in pediatric inflammatory demyelinating diseases","type":"report"},"uris":["http://www.mendeley.com/documents/?uuid=af9c0c03-832c-3f55-b058-149059e421e2"]}],"mendeley":{"formattedCitation":"(Waubant et al., 2016)","plainTextFormattedCitation":"(Waubant et al., 2016)","previouslyFormattedCitation":"(Waubant et al., 2016)"},"properties":{"noteIndex":0},"schema":"https://github.com/citation-style-language/schema/raw/master/csl-citation.json"}</w:instrText>
      </w:r>
      <w:r w:rsidRPr="00FA697B">
        <w:rPr>
          <w:rFonts w:ascii="Arial" w:eastAsia="Calibri" w:hAnsi="Arial" w:cs="Arial"/>
          <w:bCs/>
          <w:iCs/>
          <w:color w:val="000000" w:themeColor="text1"/>
        </w:rPr>
        <w:fldChar w:fldCharType="separate"/>
      </w:r>
      <w:r w:rsidRPr="00FA697B">
        <w:rPr>
          <w:rFonts w:ascii="Arial" w:eastAsia="Calibri" w:hAnsi="Arial" w:cs="Arial"/>
          <w:bCs/>
          <w:iCs/>
          <w:noProof/>
          <w:color w:val="000000" w:themeColor="text1"/>
        </w:rPr>
        <w:t>(Waubant et al., 2016)</w:t>
      </w:r>
      <w:r w:rsidRPr="00FA697B">
        <w:rPr>
          <w:rFonts w:ascii="Arial" w:eastAsia="Calibri" w:hAnsi="Arial" w:cs="Arial"/>
          <w:bCs/>
          <w:iCs/>
          <w:color w:val="000000" w:themeColor="text1"/>
        </w:rPr>
        <w:fldChar w:fldCharType="end"/>
      </w:r>
      <w:r w:rsidRPr="00FA697B">
        <w:rPr>
          <w:rFonts w:ascii="Arial" w:eastAsia="Calibri" w:hAnsi="Arial" w:cs="Arial"/>
          <w:bCs/>
          <w:iCs/>
          <w:color w:val="000000" w:themeColor="text1"/>
        </w:rPr>
        <w:t xml:space="preserve">. Some strategies to address confounders would be </w:t>
      </w:r>
      <w:r w:rsidRPr="00FA697B">
        <w:rPr>
          <w:rFonts w:ascii="Arial" w:hAnsi="Arial" w:cs="Arial"/>
          <w:color w:val="000000" w:themeColor="text1"/>
        </w:rPr>
        <w:t>s</w:t>
      </w:r>
      <w:r w:rsidRPr="00FA697B">
        <w:rPr>
          <w:rFonts w:ascii="Arial" w:hAnsi="Arial" w:cs="Arial"/>
          <w:color w:val="000000" w:themeColor="text1"/>
        </w:rPr>
        <w:t xml:space="preserve">tatistical </w:t>
      </w:r>
      <w:r w:rsidRPr="00FA697B">
        <w:rPr>
          <w:rFonts w:ascii="Arial" w:hAnsi="Arial" w:cs="Arial"/>
          <w:color w:val="000000" w:themeColor="text1"/>
        </w:rPr>
        <w:t>modeling with</w:t>
      </w:r>
      <w:r w:rsidRPr="00FA697B">
        <w:rPr>
          <w:rFonts w:ascii="Arial" w:hAnsi="Arial" w:cs="Arial"/>
          <w:color w:val="000000" w:themeColor="text1"/>
        </w:rPr>
        <w:t xml:space="preserve"> </w:t>
      </w:r>
      <w:r w:rsidR="00BB3D16" w:rsidRPr="00FA697B">
        <w:rPr>
          <w:rFonts w:ascii="Arial" w:hAnsi="Arial" w:cs="Arial"/>
          <w:color w:val="000000" w:themeColor="text1"/>
        </w:rPr>
        <w:t>m</w:t>
      </w:r>
      <w:r w:rsidRPr="00FA697B">
        <w:rPr>
          <w:rFonts w:ascii="Arial" w:hAnsi="Arial" w:cs="Arial"/>
          <w:color w:val="000000" w:themeColor="text1"/>
        </w:rPr>
        <w:t>ultivariable linear regression accounting for covariates</w:t>
      </w:r>
      <w:r w:rsidR="00C067CA" w:rsidRPr="00FA697B">
        <w:rPr>
          <w:rFonts w:ascii="Arial" w:hAnsi="Arial" w:cs="Arial"/>
          <w:color w:val="000000" w:themeColor="text1"/>
        </w:rPr>
        <w:t>.</w:t>
      </w:r>
      <w:r w:rsidRPr="00FA697B">
        <w:rPr>
          <w:rFonts w:ascii="Arial" w:hAnsi="Arial" w:cs="Arial"/>
          <w:color w:val="000000" w:themeColor="text1"/>
        </w:rPr>
        <w:t xml:space="preserve"> </w:t>
      </w:r>
      <w:r w:rsidR="00C067CA" w:rsidRPr="00FA697B">
        <w:rPr>
          <w:rFonts w:ascii="Arial" w:hAnsi="Arial" w:cs="Arial"/>
          <w:color w:val="000000" w:themeColor="text1"/>
        </w:rPr>
        <w:t xml:space="preserve">The study would further employ stratification to </w:t>
      </w:r>
      <w:r w:rsidRPr="00FA697B">
        <w:rPr>
          <w:rFonts w:ascii="Arial" w:hAnsi="Arial" w:cs="Arial"/>
          <w:color w:val="000000" w:themeColor="text1"/>
        </w:rPr>
        <w:t xml:space="preserve">ensure </w:t>
      </w:r>
      <w:r w:rsidR="00BB3D16" w:rsidRPr="00FA697B">
        <w:rPr>
          <w:rFonts w:ascii="Arial" w:hAnsi="Arial" w:cs="Arial"/>
          <w:color w:val="000000" w:themeColor="text1"/>
        </w:rPr>
        <w:t>no significant effect of DMT itself while maintain large enough sample sizes per strata</w:t>
      </w:r>
      <w:r w:rsidRPr="00FA697B">
        <w:rPr>
          <w:rFonts w:ascii="Arial" w:hAnsi="Arial" w:cs="Arial"/>
          <w:color w:val="000000" w:themeColor="text1"/>
        </w:rPr>
        <w:t xml:space="preserve">. </w:t>
      </w:r>
      <w:r w:rsidRPr="00FA697B">
        <w:rPr>
          <w:rFonts w:ascii="Arial" w:eastAsia="Calibri" w:hAnsi="Arial" w:cs="Arial"/>
          <w:bCs/>
          <w:iCs/>
          <w:color w:val="000000" w:themeColor="text1"/>
        </w:rPr>
        <w:t xml:space="preserve">Specifically, DMT use will be categorized in 4 groups based on their reported effect on relapse risk in adult MS: 1) no DMT; 2) </w:t>
      </w:r>
      <w:r w:rsidR="00BB3D16" w:rsidRPr="00FA697B">
        <w:rPr>
          <w:rFonts w:ascii="Arial" w:eastAsia="Calibri" w:hAnsi="Arial" w:cs="Arial"/>
          <w:bCs/>
          <w:iCs/>
          <w:color w:val="000000" w:themeColor="text1"/>
        </w:rPr>
        <w:t>injectable DMTs</w:t>
      </w:r>
      <w:r w:rsidRPr="00FA697B">
        <w:rPr>
          <w:rFonts w:ascii="Arial" w:eastAsia="Calibri" w:hAnsi="Arial" w:cs="Arial"/>
          <w:bCs/>
          <w:iCs/>
          <w:color w:val="000000" w:themeColor="text1"/>
        </w:rPr>
        <w:t xml:space="preserve">; 3) </w:t>
      </w:r>
      <w:r w:rsidR="00BB3D16" w:rsidRPr="00FA697B">
        <w:rPr>
          <w:rFonts w:ascii="Arial" w:eastAsia="Calibri" w:hAnsi="Arial" w:cs="Arial"/>
          <w:bCs/>
          <w:iCs/>
          <w:color w:val="000000" w:themeColor="text1"/>
        </w:rPr>
        <w:t>oral DMTs</w:t>
      </w:r>
      <w:r w:rsidRPr="00FA697B">
        <w:rPr>
          <w:rFonts w:ascii="Arial" w:eastAsia="Calibri" w:hAnsi="Arial" w:cs="Arial"/>
          <w:bCs/>
          <w:iCs/>
          <w:color w:val="000000" w:themeColor="text1"/>
        </w:rPr>
        <w:t xml:space="preserve"> and 4) </w:t>
      </w:r>
      <w:r w:rsidR="00BB3D16" w:rsidRPr="00FA697B">
        <w:rPr>
          <w:rFonts w:ascii="Arial" w:eastAsia="Calibri" w:hAnsi="Arial" w:cs="Arial"/>
          <w:bCs/>
          <w:iCs/>
          <w:color w:val="000000" w:themeColor="text1"/>
        </w:rPr>
        <w:t>monoclonal antibody infusions (</w:t>
      </w:r>
      <w:r w:rsidR="00111714" w:rsidRPr="00FA697B">
        <w:rPr>
          <w:rFonts w:ascii="Arial" w:eastAsia="Calibri" w:hAnsi="Arial" w:cs="Arial"/>
          <w:bCs/>
          <w:iCs/>
          <w:color w:val="000000" w:themeColor="text1"/>
        </w:rPr>
        <w:t>e.g.,</w:t>
      </w:r>
      <w:r w:rsidR="00BB3D16" w:rsidRPr="00FA697B">
        <w:rPr>
          <w:rFonts w:ascii="Arial" w:eastAsia="Calibri" w:hAnsi="Arial" w:cs="Arial"/>
          <w:bCs/>
          <w:iCs/>
          <w:color w:val="000000" w:themeColor="text1"/>
        </w:rPr>
        <w:t xml:space="preserve"> rituximab)</w:t>
      </w:r>
      <w:r w:rsidR="00C067CA" w:rsidRPr="00FA697B">
        <w:rPr>
          <w:rFonts w:ascii="Arial" w:eastAsia="Calibri" w:hAnsi="Arial" w:cs="Arial"/>
          <w:bCs/>
          <w:iCs/>
          <w:color w:val="000000" w:themeColor="text1"/>
        </w:rPr>
        <w:t xml:space="preserve"> and then analyzed as a co-variate</w:t>
      </w:r>
      <w:r w:rsidR="00BB3D16" w:rsidRPr="00FA697B">
        <w:rPr>
          <w:rFonts w:ascii="Arial" w:eastAsia="Calibri" w:hAnsi="Arial" w:cs="Arial"/>
          <w:bCs/>
          <w:iCs/>
          <w:color w:val="000000" w:themeColor="text1"/>
        </w:rPr>
        <w:t xml:space="preserve">. This overall approach </w:t>
      </w:r>
      <w:r w:rsidR="00C067CA" w:rsidRPr="00FA697B">
        <w:rPr>
          <w:rFonts w:ascii="Arial" w:eastAsia="Calibri" w:hAnsi="Arial" w:cs="Arial"/>
          <w:bCs/>
          <w:iCs/>
          <w:color w:val="000000" w:themeColor="text1"/>
        </w:rPr>
        <w:t>can</w:t>
      </w:r>
      <w:r w:rsidR="00BB3D16" w:rsidRPr="00FA697B">
        <w:rPr>
          <w:rFonts w:ascii="Arial" w:eastAsia="Calibri" w:hAnsi="Arial" w:cs="Arial"/>
          <w:bCs/>
          <w:iCs/>
          <w:color w:val="000000" w:themeColor="text1"/>
        </w:rPr>
        <w:t xml:space="preserve"> lead to dilution of the results given the complexity of this analysis and the interrelated nature of certain variables (</w:t>
      </w:r>
      <w:r w:rsidR="00111714" w:rsidRPr="00FA697B">
        <w:rPr>
          <w:rFonts w:ascii="Arial" w:eastAsia="Calibri" w:hAnsi="Arial" w:cs="Arial"/>
          <w:bCs/>
          <w:iCs/>
          <w:color w:val="000000" w:themeColor="text1"/>
        </w:rPr>
        <w:t>e.g.,</w:t>
      </w:r>
      <w:r w:rsidR="00BB3D16" w:rsidRPr="00FA697B">
        <w:rPr>
          <w:rFonts w:ascii="Arial" w:eastAsia="Calibri" w:hAnsi="Arial" w:cs="Arial"/>
          <w:bCs/>
          <w:iCs/>
          <w:color w:val="000000" w:themeColor="text1"/>
        </w:rPr>
        <w:t xml:space="preserve"> BMI and diet) and would require a </w:t>
      </w:r>
      <w:r w:rsidR="00BB3D16" w:rsidRPr="00FA697B">
        <w:rPr>
          <w:rFonts w:ascii="Arial" w:eastAsia="Calibri" w:hAnsi="Arial" w:cs="Arial"/>
          <w:bCs/>
          <w:iCs/>
          <w:color w:val="000000" w:themeColor="text1"/>
        </w:rPr>
        <w:lastRenderedPageBreak/>
        <w:t xml:space="preserve">statistician’s guidance. </w:t>
      </w:r>
      <w:r w:rsidR="00C067CA" w:rsidRPr="00FA697B">
        <w:rPr>
          <w:rFonts w:ascii="Arial" w:eastAsia="Calibri" w:hAnsi="Arial" w:cs="Arial"/>
          <w:bCs/>
          <w:iCs/>
          <w:color w:val="000000" w:themeColor="text1"/>
        </w:rPr>
        <w:t>To</w:t>
      </w:r>
      <w:r w:rsidR="00BB3D16" w:rsidRPr="00FA697B">
        <w:rPr>
          <w:rFonts w:ascii="Arial" w:eastAsia="Calibri" w:hAnsi="Arial" w:cs="Arial"/>
          <w:bCs/>
          <w:iCs/>
          <w:color w:val="000000" w:themeColor="text1"/>
        </w:rPr>
        <w:t xml:space="preserve"> draw the most accurate </w:t>
      </w:r>
      <w:r w:rsidR="00C067CA" w:rsidRPr="00FA697B">
        <w:rPr>
          <w:rFonts w:ascii="Arial" w:eastAsia="Calibri" w:hAnsi="Arial" w:cs="Arial"/>
          <w:bCs/>
          <w:iCs/>
          <w:color w:val="000000" w:themeColor="text1"/>
        </w:rPr>
        <w:t>conclusions</w:t>
      </w:r>
      <w:r w:rsidR="00BB3D16" w:rsidRPr="00FA697B">
        <w:rPr>
          <w:rFonts w:ascii="Arial" w:eastAsia="Calibri" w:hAnsi="Arial" w:cs="Arial"/>
          <w:bCs/>
          <w:iCs/>
          <w:color w:val="000000" w:themeColor="text1"/>
        </w:rPr>
        <w:t xml:space="preserve">, it would be important to conduct the analysis with and without correction for confounders. </w:t>
      </w:r>
    </w:p>
    <w:p w14:paraId="6E9958BA" w14:textId="46523D44" w:rsidR="00595900" w:rsidRPr="00FA697B" w:rsidRDefault="00210D5A" w:rsidP="00C067CA">
      <w:pPr>
        <w:shd w:val="clear" w:color="auto" w:fill="FFFFFF"/>
        <w:ind w:firstLine="720"/>
        <w:rPr>
          <w:rFonts w:ascii="Arial" w:eastAsia="Calibri" w:hAnsi="Arial" w:cs="Arial"/>
          <w:bCs/>
          <w:iCs/>
          <w:color w:val="000000" w:themeColor="text1"/>
        </w:rPr>
      </w:pPr>
      <w:r w:rsidRPr="00FA697B">
        <w:rPr>
          <w:rFonts w:ascii="Arial" w:eastAsia="Calibri" w:hAnsi="Arial" w:cs="Arial"/>
          <w:bCs/>
          <w:iCs/>
          <w:color w:val="000000" w:themeColor="text1"/>
        </w:rPr>
        <w:t>Additionally,</w:t>
      </w:r>
      <w:r w:rsidR="00BB3D16" w:rsidRPr="00FA697B">
        <w:rPr>
          <w:rFonts w:ascii="Arial" w:eastAsia="Calibri" w:hAnsi="Arial" w:cs="Arial"/>
          <w:bCs/>
          <w:iCs/>
          <w:color w:val="000000" w:themeColor="text1"/>
        </w:rPr>
        <w:t xml:space="preserve"> the </w:t>
      </w:r>
      <w:r w:rsidR="000A750C" w:rsidRPr="00FA697B">
        <w:rPr>
          <w:rFonts w:ascii="Arial" w:eastAsia="Calibri" w:hAnsi="Arial" w:cs="Arial"/>
          <w:bCs/>
          <w:iCs/>
          <w:color w:val="000000" w:themeColor="text1"/>
        </w:rPr>
        <w:t xml:space="preserve">BKFS </w:t>
      </w:r>
      <w:r w:rsidRPr="00FA697B">
        <w:rPr>
          <w:rFonts w:ascii="Arial" w:eastAsia="Times New Roman" w:hAnsi="Arial" w:cs="Arial"/>
          <w:color w:val="000000" w:themeColor="text1"/>
        </w:rPr>
        <w:t xml:space="preserve">questionnaire </w:t>
      </w:r>
      <w:r w:rsidR="00C067CA" w:rsidRPr="00FA697B">
        <w:rPr>
          <w:rFonts w:ascii="Arial" w:eastAsia="Times New Roman" w:hAnsi="Arial" w:cs="Arial"/>
          <w:color w:val="000000" w:themeColor="text1"/>
        </w:rPr>
        <w:t xml:space="preserve">itself </w:t>
      </w:r>
      <w:r w:rsidRPr="00FA697B">
        <w:rPr>
          <w:rFonts w:ascii="Arial" w:eastAsia="Calibri" w:hAnsi="Arial" w:cs="Arial"/>
          <w:bCs/>
          <w:iCs/>
          <w:color w:val="000000" w:themeColor="text1"/>
        </w:rPr>
        <w:t>can pose limitations in interpretating the data</w:t>
      </w:r>
      <w:r w:rsidR="00EB29EE" w:rsidRPr="00FA697B">
        <w:rPr>
          <w:rFonts w:ascii="Arial" w:eastAsia="Calibri" w:hAnsi="Arial" w:cs="Arial"/>
          <w:bCs/>
          <w:iCs/>
          <w:color w:val="000000" w:themeColor="text1"/>
        </w:rPr>
        <w:t xml:space="preserve"> that the study will be </w:t>
      </w:r>
      <w:proofErr w:type="gramStart"/>
      <w:r w:rsidR="00EB29EE" w:rsidRPr="00FA697B">
        <w:rPr>
          <w:rFonts w:ascii="Arial" w:eastAsia="Calibri" w:hAnsi="Arial" w:cs="Arial"/>
          <w:bCs/>
          <w:iCs/>
          <w:color w:val="000000" w:themeColor="text1"/>
        </w:rPr>
        <w:t>try</w:t>
      </w:r>
      <w:proofErr w:type="gramEnd"/>
      <w:r w:rsidR="00EB29EE" w:rsidRPr="00FA697B">
        <w:rPr>
          <w:rFonts w:ascii="Arial" w:eastAsia="Calibri" w:hAnsi="Arial" w:cs="Arial"/>
          <w:bCs/>
          <w:iCs/>
          <w:color w:val="000000" w:themeColor="text1"/>
        </w:rPr>
        <w:t xml:space="preserve"> to address</w:t>
      </w:r>
      <w:r w:rsidRPr="00FA697B">
        <w:rPr>
          <w:rFonts w:ascii="Arial" w:eastAsia="Calibri" w:hAnsi="Arial" w:cs="Arial"/>
          <w:bCs/>
          <w:iCs/>
          <w:color w:val="000000" w:themeColor="text1"/>
        </w:rPr>
        <w:t>.</w:t>
      </w:r>
      <w:r w:rsidR="00EB29EE" w:rsidRPr="00FA697B">
        <w:rPr>
          <w:rFonts w:ascii="Arial" w:eastAsia="Calibri" w:hAnsi="Arial" w:cs="Arial"/>
          <w:bCs/>
          <w:iCs/>
          <w:color w:val="000000" w:themeColor="text1"/>
        </w:rPr>
        <w:t xml:space="preserve"> Questionnaires can create recall </w:t>
      </w:r>
      <w:proofErr w:type="gramStart"/>
      <w:r w:rsidR="00EB29EE" w:rsidRPr="00FA697B">
        <w:rPr>
          <w:rFonts w:ascii="Arial" w:eastAsia="Calibri" w:hAnsi="Arial" w:cs="Arial"/>
          <w:bCs/>
          <w:iCs/>
          <w:color w:val="000000" w:themeColor="text1"/>
        </w:rPr>
        <w:t>bias</w:t>
      </w:r>
      <w:proofErr w:type="gramEnd"/>
      <w:r w:rsidR="00EB29EE" w:rsidRPr="00FA697B">
        <w:rPr>
          <w:rFonts w:ascii="Arial" w:eastAsia="Calibri" w:hAnsi="Arial" w:cs="Arial"/>
          <w:bCs/>
          <w:iCs/>
          <w:color w:val="000000" w:themeColor="text1"/>
        </w:rPr>
        <w:t xml:space="preserve"> but </w:t>
      </w:r>
      <w:r w:rsidRPr="00FA697B">
        <w:rPr>
          <w:rFonts w:ascii="Arial" w:hAnsi="Arial" w:cs="Arial"/>
          <w:color w:val="000000" w:themeColor="text1"/>
        </w:rPr>
        <w:t xml:space="preserve">this questionnaire aims to minimize time between survey and recall as it requests prior week’s </w:t>
      </w:r>
      <w:r w:rsidR="00C067CA" w:rsidRPr="00FA697B">
        <w:rPr>
          <w:rFonts w:ascii="Arial" w:hAnsi="Arial" w:cs="Arial"/>
          <w:color w:val="000000" w:themeColor="text1"/>
        </w:rPr>
        <w:t>dietary intake.</w:t>
      </w:r>
      <w:r w:rsidRPr="00FA697B">
        <w:rPr>
          <w:rFonts w:ascii="Arial" w:hAnsi="Arial" w:cs="Arial"/>
          <w:color w:val="000000" w:themeColor="text1"/>
        </w:rPr>
        <w:t xml:space="preserve"> Though it would be more representative to have multiple surveys over time, it would </w:t>
      </w:r>
      <w:r w:rsidR="00EB29EE" w:rsidRPr="00FA697B">
        <w:rPr>
          <w:rFonts w:ascii="Arial" w:hAnsi="Arial" w:cs="Arial"/>
          <w:color w:val="000000" w:themeColor="text1"/>
        </w:rPr>
        <w:t xml:space="preserve">be </w:t>
      </w:r>
      <w:r w:rsidRPr="00FA697B">
        <w:rPr>
          <w:rFonts w:ascii="Arial" w:hAnsi="Arial" w:cs="Arial"/>
          <w:color w:val="000000" w:themeColor="text1"/>
        </w:rPr>
        <w:t xml:space="preserve">more onerous for subjects’ caregivers and </w:t>
      </w:r>
      <w:r w:rsidR="00C067CA" w:rsidRPr="00FA697B">
        <w:rPr>
          <w:rFonts w:ascii="Arial" w:hAnsi="Arial" w:cs="Arial"/>
          <w:color w:val="000000" w:themeColor="text1"/>
        </w:rPr>
        <w:t xml:space="preserve">would </w:t>
      </w:r>
      <w:r w:rsidRPr="00FA697B">
        <w:rPr>
          <w:rFonts w:ascii="Arial" w:hAnsi="Arial" w:cs="Arial"/>
          <w:color w:val="000000" w:themeColor="text1"/>
        </w:rPr>
        <w:t>require more staff resources than currently available to complete this detailed questionnaire multiple times</w:t>
      </w:r>
      <w:r w:rsidR="00C067CA" w:rsidRPr="00FA697B">
        <w:rPr>
          <w:rFonts w:ascii="Arial" w:hAnsi="Arial" w:cs="Arial"/>
          <w:color w:val="000000" w:themeColor="text1"/>
        </w:rPr>
        <w:t xml:space="preserve">. It would also be </w:t>
      </w:r>
      <w:r w:rsidRPr="00FA697B">
        <w:rPr>
          <w:rFonts w:ascii="Arial" w:hAnsi="Arial" w:cs="Arial"/>
          <w:color w:val="000000" w:themeColor="text1"/>
        </w:rPr>
        <w:t xml:space="preserve">difficult to interpret the </w:t>
      </w:r>
      <w:r w:rsidR="00C067CA" w:rsidRPr="00FA697B">
        <w:rPr>
          <w:rFonts w:ascii="Arial" w:hAnsi="Arial" w:cs="Arial"/>
          <w:color w:val="000000" w:themeColor="text1"/>
        </w:rPr>
        <w:t xml:space="preserve">questionnaire </w:t>
      </w:r>
      <w:r w:rsidRPr="00FA697B">
        <w:rPr>
          <w:rFonts w:ascii="Arial" w:hAnsi="Arial" w:cs="Arial"/>
          <w:color w:val="000000" w:themeColor="text1"/>
        </w:rPr>
        <w:t xml:space="preserve">data variation in this study model. Of note, </w:t>
      </w:r>
      <w:r w:rsidRPr="00FA697B">
        <w:rPr>
          <w:rFonts w:ascii="Arial" w:hAnsi="Arial" w:cs="Arial"/>
          <w:bCs/>
          <w:color w:val="000000" w:themeColor="text1"/>
        </w:rPr>
        <w:t>BKFS is thought to provide a representative dietary intake over time as it has been validated against three 24-hour dietary recalls in children aged 10-17</w:t>
      </w:r>
      <w:r w:rsidRPr="00FA697B">
        <w:rPr>
          <w:rFonts w:ascii="Arial" w:hAnsi="Arial" w:cs="Arial"/>
          <w:bCs/>
          <w:color w:val="000000" w:themeColor="text1"/>
        </w:rPr>
        <w:t xml:space="preserve"> </w:t>
      </w:r>
      <w:r w:rsidRPr="00FA697B">
        <w:rPr>
          <w:rFonts w:ascii="Arial" w:hAnsi="Arial" w:cs="Arial"/>
          <w:bCs/>
          <w:color w:val="000000" w:themeColor="text1"/>
        </w:rPr>
        <w:fldChar w:fldCharType="begin" w:fldLock="1"/>
      </w:r>
      <w:r w:rsidRPr="00FA697B">
        <w:rPr>
          <w:rFonts w:ascii="Arial" w:hAnsi="Arial" w:cs="Arial"/>
          <w:bCs/>
          <w:color w:val="000000" w:themeColor="text1"/>
        </w:rPr>
        <w:instrText>ADDIN CSL_CITATION {"citationItems":[{"id":"ITEM-1","itemData":{"DOI":"10.1111/j.1740-8709.2012.00446.x","ISSN":"1740-8709 (Electronic)","PMID":"23006452","abstract":"Food frequency questionnaires (FFQs) are less time consuming and inexpensive  instruments for collecting dietary intake when compared with 24-h dietary recalls or double-labelled water; however, the validation of FFQ is important as incorrect information may lead to biased conclusions about associations. Therefore, the relative validity of the Block Kids Food Screener (BKFS) developed for use with children was examined in a convenience sample of 99 youth recruited from the Portland, OR metropolitan area. Three 24-h dietary recalls served as the reference. The relative validity was analysed after natural log transformation of all variables except glycaemic index prior to correlation analysis. Daily cup equivalent totals from the BKFS and 'servings' from 24-h recalls were used to compute average daily intake of fruits, vegetables, potatoes, whole grains, legumes, meat/fish/poultry and dairy. Protein grams (g), total kcalories, glycaemic index (glucose reference), glycaemic load (glucose reference), total saturated fat (g) and added sugar (g) were also calculated by each instrument. The correlation between data obtained from the two instruments was corrected for the within-subject variation in food intake reported by the 24-h recalls using standard nutritional assessment methodology. The de-attenuated correlations in nutritional intake between the two dietary assessment instruments ranged from 0.526 for vegetables, to 0.878 for potatoes. The 24-h recall estimated higher levels of saturated fat and added sugar consumption, higher glycaemic loads and glycaemic indices; the de-attenuatted correlations of these measures ranged from 0.478 to 0.768. Assessment of Bland-Altman plots indicated no systematic difference between the two instruments for vegetable, dairy and meat/fish/poultry fat consumption. BKFS is a useful dietary assessment instrument for the nutrients and food groups it was designed to assess in children age 10-17 years.","author":[{"dropping-particle":"","family":"Hunsberger","given":"Monica","non-dropping-particle":"","parse-names":false,"suffix":""},{"dropping-particle":"","family":"O'Malley","given":"Jean","non-dropping-particle":"","parse-names":false,"suffix":""},{"dropping-particle":"","family":"Block","given":"Torin","non-dropping-particle":"","parse-names":false,"suffix":""},{"dropping-particle":"","family":"Norris","given":"Jean C","non-dropping-particle":"","parse-names":false,"suffix":""}],"container-title":"Maternal &amp; child nutrition","id":"ITEM-1","issue":"2","issued":{"date-parts":[["2015","4"]]},"language":"eng","page":"260-270","title":"Relative validation of Block Kids Food Screener for dietary assessment in children  and adolescents.","type":"article-journal","volume":"11"},"uris":["http://www.mendeley.com/documents/?uuid=d3e0e735-b35f-4090-88ac-0969d12cbc97"]}],"mendeley":{"formattedCitation":"(Hunsberger et al., 2015)","plainTextFormattedCitation":"(Hunsberger et al., 2015)","previouslyFormattedCitation":"(Hunsberger et al., 2015)"},"properties":{"noteIndex":0},"schema":"https://github.com/citation-style-language/schema/raw/master/csl-citation.json"}</w:instrText>
      </w:r>
      <w:r w:rsidRPr="00FA697B">
        <w:rPr>
          <w:rFonts w:ascii="Arial" w:hAnsi="Arial" w:cs="Arial"/>
          <w:bCs/>
          <w:color w:val="000000" w:themeColor="text1"/>
        </w:rPr>
        <w:fldChar w:fldCharType="separate"/>
      </w:r>
      <w:r w:rsidRPr="00FA697B">
        <w:rPr>
          <w:rFonts w:ascii="Arial" w:hAnsi="Arial" w:cs="Arial"/>
          <w:bCs/>
          <w:noProof/>
          <w:color w:val="000000" w:themeColor="text1"/>
        </w:rPr>
        <w:t>(Hunsberger et al., 2015)</w:t>
      </w:r>
      <w:r w:rsidRPr="00FA697B">
        <w:rPr>
          <w:rFonts w:ascii="Arial" w:hAnsi="Arial" w:cs="Arial"/>
          <w:bCs/>
          <w:color w:val="000000" w:themeColor="text1"/>
        </w:rPr>
        <w:fldChar w:fldCharType="end"/>
      </w:r>
      <w:r w:rsidRPr="00FA697B">
        <w:rPr>
          <w:rFonts w:ascii="Arial" w:hAnsi="Arial" w:cs="Arial"/>
          <w:bCs/>
          <w:color w:val="000000" w:themeColor="text1"/>
        </w:rPr>
        <w:t xml:space="preserve">. </w:t>
      </w:r>
      <w:r w:rsidR="00C067CA" w:rsidRPr="00FA697B">
        <w:rPr>
          <w:rFonts w:ascii="Arial" w:eastAsia="Calibri" w:hAnsi="Arial" w:cs="Arial"/>
          <w:bCs/>
          <w:color w:val="000000" w:themeColor="text1"/>
        </w:rPr>
        <w:t>S</w:t>
      </w:r>
      <w:r w:rsidRPr="00FA697B">
        <w:rPr>
          <w:rFonts w:ascii="Arial" w:eastAsia="Calibri" w:hAnsi="Arial" w:cs="Arial"/>
          <w:bCs/>
          <w:color w:val="000000" w:themeColor="text1"/>
        </w:rPr>
        <w:t>ubjects will be excluded if &gt;15 answers are missing or if reported estimates reflect biologically implausible daily energy intakes (&lt;500 or &gt;5,000 kcal/day)</w:t>
      </w:r>
      <w:r w:rsidRPr="00FA697B">
        <w:rPr>
          <w:rFonts w:ascii="Arial" w:eastAsia="Calibri" w:hAnsi="Arial" w:cs="Arial"/>
          <w:bCs/>
          <w:color w:val="000000" w:themeColor="text1"/>
        </w:rPr>
        <w:t xml:space="preserve"> </w:t>
      </w:r>
      <w:r w:rsidRPr="00FA697B">
        <w:rPr>
          <w:rFonts w:ascii="Arial" w:hAnsi="Arial" w:cs="Arial"/>
          <w:color w:val="000000" w:themeColor="text1"/>
        </w:rPr>
        <w:t xml:space="preserve">using </w:t>
      </w:r>
      <w:r w:rsidRPr="00FA697B">
        <w:rPr>
          <w:rFonts w:ascii="Arial" w:eastAsia="Calibri" w:hAnsi="Arial" w:cs="Arial"/>
          <w:bCs/>
          <w:color w:val="000000" w:themeColor="text1"/>
        </w:rPr>
        <w:t xml:space="preserve">Nutrition Quest dietary estimates from the National Health and Nutrition Examination Survey 24-hour recall data as a </w:t>
      </w:r>
      <w:r w:rsidR="00111714" w:rsidRPr="00FA697B">
        <w:rPr>
          <w:rFonts w:ascii="Arial" w:eastAsia="Calibri" w:hAnsi="Arial" w:cs="Arial"/>
          <w:bCs/>
          <w:color w:val="000000" w:themeColor="text1"/>
        </w:rPr>
        <w:t>benchmark</w:t>
      </w:r>
      <w:r w:rsidRPr="00FA697B">
        <w:rPr>
          <w:rFonts w:ascii="Arial" w:eastAsia="Calibri" w:hAnsi="Arial" w:cs="Arial"/>
          <w:bCs/>
          <w:color w:val="000000" w:themeColor="text1"/>
        </w:rPr>
        <w:t xml:space="preserve">. </w:t>
      </w:r>
    </w:p>
    <w:p w14:paraId="03A95D96" w14:textId="13A7F3F3" w:rsidR="00210D5A" w:rsidRPr="00FA697B" w:rsidRDefault="00210D5A" w:rsidP="00210D5A">
      <w:pPr>
        <w:spacing w:after="60"/>
        <w:ind w:firstLine="720"/>
        <w:jc w:val="both"/>
        <w:rPr>
          <w:rFonts w:ascii="Arial" w:hAnsi="Arial" w:cs="Arial"/>
          <w:color w:val="000000" w:themeColor="text1"/>
        </w:rPr>
      </w:pPr>
      <w:r w:rsidRPr="00FA697B">
        <w:rPr>
          <w:rFonts w:ascii="Arial" w:eastAsia="Times New Roman" w:hAnsi="Arial" w:cs="Arial"/>
          <w:color w:val="000000" w:themeColor="text1"/>
        </w:rPr>
        <w:t xml:space="preserve">Overall, </w:t>
      </w:r>
      <w:r w:rsidRPr="00FA697B">
        <w:rPr>
          <w:rFonts w:ascii="Arial" w:hAnsi="Arial" w:cs="Arial"/>
          <w:color w:val="000000" w:themeColor="text1"/>
        </w:rPr>
        <w:t>t</w:t>
      </w:r>
      <w:r w:rsidRPr="00FA697B">
        <w:rPr>
          <w:rFonts w:ascii="Arial" w:hAnsi="Arial" w:cs="Arial"/>
          <w:color w:val="000000" w:themeColor="text1"/>
        </w:rPr>
        <w:t>he</w:t>
      </w:r>
      <w:r w:rsidRPr="00FA697B">
        <w:rPr>
          <w:rFonts w:ascii="Arial" w:hAnsi="Arial" w:cs="Arial"/>
          <w:color w:val="000000" w:themeColor="text1"/>
        </w:rPr>
        <w:t xml:space="preserve"> </w:t>
      </w:r>
      <w:r w:rsidRPr="00FA697B">
        <w:rPr>
          <w:rFonts w:ascii="Arial" w:eastAsia="Calibri" w:hAnsi="Arial" w:cs="Arial"/>
          <w:color w:val="000000" w:themeColor="text1"/>
        </w:rPr>
        <w:t>Data Coordinating and Analysis Center</w:t>
      </w:r>
      <w:r w:rsidRPr="00FA697B">
        <w:rPr>
          <w:rFonts w:ascii="Arial" w:hAnsi="Arial" w:cs="Arial"/>
          <w:color w:val="000000" w:themeColor="text1"/>
        </w:rPr>
        <w:t xml:space="preserve"> (</w:t>
      </w:r>
      <w:r w:rsidRPr="00FA697B">
        <w:rPr>
          <w:rFonts w:ascii="Arial" w:hAnsi="Arial" w:cs="Arial"/>
          <w:color w:val="000000" w:themeColor="text1"/>
        </w:rPr>
        <w:t>DCAC</w:t>
      </w:r>
      <w:r w:rsidRPr="00FA697B">
        <w:rPr>
          <w:rFonts w:ascii="Arial" w:hAnsi="Arial" w:cs="Arial"/>
          <w:color w:val="000000" w:themeColor="text1"/>
        </w:rPr>
        <w:t>) based in Utah</w:t>
      </w:r>
      <w:r w:rsidRPr="00FA697B">
        <w:rPr>
          <w:rFonts w:ascii="Arial" w:hAnsi="Arial" w:cs="Arial"/>
          <w:color w:val="000000" w:themeColor="text1"/>
        </w:rPr>
        <w:t xml:space="preserve"> manages all data entry, study management, as well as IRB approval process for the above pediatric MS Network projects. Data collection for this project will be overseen by the DCAC, with close collaboration with the PI and the site PIs. </w:t>
      </w:r>
    </w:p>
    <w:p w14:paraId="4F94A3BE" w14:textId="716A3A8C" w:rsidR="00210D5A" w:rsidRPr="00FA697B" w:rsidRDefault="00210D5A" w:rsidP="00595900">
      <w:pPr>
        <w:shd w:val="clear" w:color="auto" w:fill="FFFFFF" w:themeFill="background1"/>
        <w:rPr>
          <w:rFonts w:ascii="Arial" w:eastAsia="Times New Roman" w:hAnsi="Arial" w:cs="Arial"/>
          <w:b/>
          <w:color w:val="000000" w:themeColor="text1"/>
        </w:rPr>
      </w:pPr>
    </w:p>
    <w:p w14:paraId="20D9B775" w14:textId="5B5FD134" w:rsidR="00210D5A" w:rsidRPr="00FA697B" w:rsidRDefault="00210D5A" w:rsidP="00210D5A">
      <w:pPr>
        <w:tabs>
          <w:tab w:val="center" w:pos="4320"/>
        </w:tabs>
        <w:spacing w:afterLines="20" w:after="48"/>
        <w:jc w:val="both"/>
        <w:rPr>
          <w:rFonts w:ascii="Arial" w:eastAsia="MS Mincho" w:hAnsi="Arial" w:cs="Arial"/>
          <w:b/>
          <w:color w:val="000000" w:themeColor="text1"/>
        </w:rPr>
      </w:pPr>
      <w:r w:rsidRPr="00FA697B">
        <w:rPr>
          <w:rFonts w:ascii="Arial" w:eastAsia="MS Mincho" w:hAnsi="Arial" w:cs="Arial"/>
          <w:b/>
          <w:color w:val="000000" w:themeColor="text1"/>
        </w:rPr>
        <w:t xml:space="preserve">SUMMARY </w:t>
      </w:r>
    </w:p>
    <w:p w14:paraId="36B1EFA2" w14:textId="032ECA2F" w:rsidR="00210D5A" w:rsidRPr="00FA697B" w:rsidRDefault="00210D5A" w:rsidP="00C067CA">
      <w:pPr>
        <w:tabs>
          <w:tab w:val="center" w:pos="4320"/>
        </w:tabs>
        <w:spacing w:after="10"/>
        <w:jc w:val="both"/>
        <w:rPr>
          <w:rFonts w:ascii="Arial" w:eastAsia="MS Mincho" w:hAnsi="Arial" w:cs="Arial"/>
          <w:b/>
          <w:color w:val="000000" w:themeColor="text1"/>
        </w:rPr>
      </w:pPr>
      <w:r w:rsidRPr="00FA697B">
        <w:rPr>
          <w:rFonts w:ascii="Arial" w:eastAsia="MS Mincho" w:hAnsi="Arial" w:cs="Arial"/>
          <w:color w:val="000000" w:themeColor="text1"/>
        </w:rPr>
        <w:t>MS course remains difficult to predict and available DMTs are only partially effective and have substantial side effects and costs</w:t>
      </w:r>
      <w:r w:rsidRPr="00FA697B">
        <w:rPr>
          <w:rFonts w:ascii="Arial" w:eastAsia="MS Mincho" w:hAnsi="Arial" w:cs="Arial"/>
          <w:color w:val="000000" w:themeColor="text1"/>
        </w:rPr>
        <w:t>, and p</w:t>
      </w:r>
      <w:r w:rsidRPr="00FA697B">
        <w:rPr>
          <w:rFonts w:ascii="Arial" w:eastAsia="MS Mincho" w:hAnsi="Arial" w:cs="Arial"/>
          <w:color w:val="000000" w:themeColor="text1"/>
        </w:rPr>
        <w:t xml:space="preserve">atients and families often ask </w:t>
      </w:r>
      <w:r w:rsidR="00C067CA" w:rsidRPr="00FA697B">
        <w:rPr>
          <w:rFonts w:ascii="Arial" w:eastAsia="MS Mincho" w:hAnsi="Arial" w:cs="Arial"/>
          <w:color w:val="000000" w:themeColor="text1"/>
        </w:rPr>
        <w:t>regarding</w:t>
      </w:r>
      <w:r w:rsidRPr="00FA697B">
        <w:rPr>
          <w:rFonts w:ascii="Arial" w:eastAsia="MS Mincho" w:hAnsi="Arial" w:cs="Arial"/>
          <w:color w:val="000000" w:themeColor="text1"/>
        </w:rPr>
        <w:t xml:space="preserve"> eas</w:t>
      </w:r>
      <w:r w:rsidR="00C067CA" w:rsidRPr="00FA697B">
        <w:rPr>
          <w:rFonts w:ascii="Arial" w:eastAsia="MS Mincho" w:hAnsi="Arial" w:cs="Arial"/>
          <w:color w:val="000000" w:themeColor="text1"/>
        </w:rPr>
        <w:t>ier</w:t>
      </w:r>
      <w:r w:rsidRPr="00FA697B">
        <w:rPr>
          <w:rFonts w:ascii="Arial" w:eastAsia="MS Mincho" w:hAnsi="Arial" w:cs="Arial"/>
          <w:color w:val="000000" w:themeColor="text1"/>
        </w:rPr>
        <w:t xml:space="preserve"> intervention </w:t>
      </w:r>
      <w:r w:rsidR="00C067CA" w:rsidRPr="00FA697B">
        <w:rPr>
          <w:rFonts w:ascii="Arial" w:eastAsia="MS Mincho" w:hAnsi="Arial" w:cs="Arial"/>
          <w:color w:val="000000" w:themeColor="text1"/>
        </w:rPr>
        <w:t xml:space="preserve">such as </w:t>
      </w:r>
      <w:r w:rsidRPr="00FA697B">
        <w:rPr>
          <w:rFonts w:ascii="Arial" w:eastAsia="MS Mincho" w:hAnsi="Arial" w:cs="Arial"/>
          <w:color w:val="000000" w:themeColor="text1"/>
        </w:rPr>
        <w:t>alter</w:t>
      </w:r>
      <w:r w:rsidR="00C067CA" w:rsidRPr="00FA697B">
        <w:rPr>
          <w:rFonts w:ascii="Arial" w:eastAsia="MS Mincho" w:hAnsi="Arial" w:cs="Arial"/>
          <w:color w:val="000000" w:themeColor="text1"/>
        </w:rPr>
        <w:t xml:space="preserve">ing </w:t>
      </w:r>
      <w:r w:rsidRPr="00FA697B">
        <w:rPr>
          <w:rFonts w:ascii="Arial" w:eastAsia="MS Mincho" w:hAnsi="Arial" w:cs="Arial"/>
          <w:color w:val="000000" w:themeColor="text1"/>
        </w:rPr>
        <w:t xml:space="preserve">diet. The current proposal </w:t>
      </w:r>
      <w:r w:rsidR="00C067CA" w:rsidRPr="00FA697B">
        <w:rPr>
          <w:rFonts w:ascii="Arial" w:eastAsia="MS Mincho" w:hAnsi="Arial" w:cs="Arial"/>
          <w:color w:val="000000" w:themeColor="text1"/>
        </w:rPr>
        <w:t xml:space="preserve">will aim to </w:t>
      </w:r>
      <w:r w:rsidRPr="00FA697B">
        <w:rPr>
          <w:rFonts w:ascii="Arial" w:eastAsia="MS Mincho" w:hAnsi="Arial" w:cs="Arial"/>
          <w:color w:val="000000" w:themeColor="text1"/>
        </w:rPr>
        <w:t>extend our preliminary work by: (1) confirming the association between fat and vegetable intake, and disease activity and progression, (2) unraveling the role of a specific biological pathways related to diet,</w:t>
      </w:r>
      <w:r w:rsidR="00C067CA" w:rsidRPr="00FA697B">
        <w:rPr>
          <w:rFonts w:ascii="Arial" w:eastAsia="MS Mincho" w:hAnsi="Arial" w:cs="Arial"/>
          <w:color w:val="000000" w:themeColor="text1"/>
        </w:rPr>
        <w:t xml:space="preserve"> and</w:t>
      </w:r>
      <w:r w:rsidRPr="00FA697B">
        <w:rPr>
          <w:rFonts w:ascii="Arial" w:eastAsia="MS Mincho" w:hAnsi="Arial" w:cs="Arial"/>
          <w:color w:val="000000" w:themeColor="text1"/>
        </w:rPr>
        <w:t xml:space="preserve"> (</w:t>
      </w:r>
      <w:r w:rsidR="00C067CA" w:rsidRPr="00FA697B">
        <w:rPr>
          <w:rFonts w:ascii="Arial" w:eastAsia="MS Mincho" w:hAnsi="Arial" w:cs="Arial"/>
          <w:color w:val="000000" w:themeColor="text1"/>
        </w:rPr>
        <w:t>3</w:t>
      </w:r>
      <w:r w:rsidRPr="00FA697B">
        <w:rPr>
          <w:rFonts w:ascii="Arial" w:eastAsia="MS Mincho" w:hAnsi="Arial" w:cs="Arial"/>
          <w:color w:val="000000" w:themeColor="text1"/>
        </w:rPr>
        <w:t xml:space="preserve">) leading to healthy dietary recommendations that may decrease disease activity and progression. This is critical to develop more effective approaches for patient care. </w:t>
      </w:r>
      <w:r w:rsidR="00C067CA" w:rsidRPr="00FA697B">
        <w:rPr>
          <w:rFonts w:ascii="Arial" w:eastAsia="MS Mincho" w:hAnsi="Arial" w:cs="Arial"/>
          <w:color w:val="000000" w:themeColor="text1"/>
        </w:rPr>
        <w:t xml:space="preserve">We anticipate these findings in children will be generalizable to adults since the overall MS presentation and course are similar in both age groups except </w:t>
      </w:r>
      <w:proofErr w:type="gramStart"/>
      <w:r w:rsidR="00C067CA" w:rsidRPr="00FA697B">
        <w:rPr>
          <w:rFonts w:ascii="Arial" w:eastAsia="MS Mincho" w:hAnsi="Arial" w:cs="Arial"/>
          <w:color w:val="000000" w:themeColor="text1"/>
        </w:rPr>
        <w:t>that children</w:t>
      </w:r>
      <w:proofErr w:type="gramEnd"/>
      <w:r w:rsidR="00C067CA" w:rsidRPr="00FA697B">
        <w:rPr>
          <w:rFonts w:ascii="Arial" w:eastAsia="MS Mincho" w:hAnsi="Arial" w:cs="Arial"/>
          <w:color w:val="000000" w:themeColor="text1"/>
        </w:rPr>
        <w:t xml:space="preserve"> have higher relapse rates and slower disability progression than adults.</w:t>
      </w:r>
      <w:r w:rsidRPr="00FA697B">
        <w:rPr>
          <w:rFonts w:ascii="Arial" w:eastAsia="MS Mincho" w:hAnsi="Arial" w:cs="Arial"/>
          <w:color w:val="000000" w:themeColor="text1"/>
        </w:rPr>
        <w:tab/>
        <w:t xml:space="preserve">              </w:t>
      </w:r>
    </w:p>
    <w:p w14:paraId="216316B1" w14:textId="77777777" w:rsidR="00210D5A" w:rsidRPr="00FA697B" w:rsidRDefault="00210D5A" w:rsidP="00595900">
      <w:pPr>
        <w:shd w:val="clear" w:color="auto" w:fill="FFFFFF" w:themeFill="background1"/>
        <w:rPr>
          <w:rFonts w:ascii="Arial" w:eastAsia="Times New Roman" w:hAnsi="Arial" w:cs="Arial"/>
          <w:color w:val="000000" w:themeColor="text1"/>
        </w:rPr>
      </w:pPr>
    </w:p>
    <w:p w14:paraId="350ADF1E" w14:textId="145AA224" w:rsidR="00595900" w:rsidRPr="00FA697B" w:rsidRDefault="00595900" w:rsidP="00595900">
      <w:pPr>
        <w:shd w:val="clear" w:color="auto" w:fill="FFFFFF" w:themeFill="background1"/>
        <w:rPr>
          <w:rFonts w:ascii="Arial" w:hAnsi="Arial" w:cs="Arial"/>
          <w:b/>
          <w:bCs/>
          <w:color w:val="000000" w:themeColor="text1"/>
        </w:rPr>
      </w:pPr>
      <w:r w:rsidRPr="00FA697B">
        <w:rPr>
          <w:rFonts w:ascii="Arial" w:hAnsi="Arial" w:cs="Arial"/>
          <w:b/>
          <w:bCs/>
          <w:color w:val="000000" w:themeColor="text1"/>
        </w:rPr>
        <w:t>Protocol Appendix</w:t>
      </w:r>
    </w:p>
    <w:p w14:paraId="62FBA972" w14:textId="77777777" w:rsidR="00595900" w:rsidRPr="00FA697B" w:rsidRDefault="00595900" w:rsidP="00595900">
      <w:pPr>
        <w:shd w:val="clear" w:color="auto" w:fill="FFFFFF" w:themeFill="background1"/>
        <w:rPr>
          <w:rFonts w:ascii="Arial" w:hAnsi="Arial" w:cs="Arial"/>
          <w:b/>
          <w:bCs/>
          <w:color w:val="000000" w:themeColor="text1"/>
        </w:rPr>
      </w:pPr>
    </w:p>
    <w:p w14:paraId="3BCAAAE6" w14:textId="3710D97D" w:rsidR="00FA697B" w:rsidRDefault="00595900" w:rsidP="00595900">
      <w:pPr>
        <w:shd w:val="clear" w:color="auto" w:fill="FFFFFF" w:themeFill="background1"/>
        <w:rPr>
          <w:rFonts w:ascii="Arial" w:hAnsi="Arial" w:cs="Arial"/>
          <w:color w:val="000000" w:themeColor="text1"/>
        </w:rPr>
      </w:pPr>
      <w:r w:rsidRPr="00FA697B">
        <w:rPr>
          <w:rFonts w:ascii="Arial" w:hAnsi="Arial" w:cs="Arial"/>
          <w:color w:val="000000" w:themeColor="text1"/>
        </w:rPr>
        <w:t xml:space="preserve">Document 1: Block Kids Screener 2004, Food Frequency Questionnaire (attached) </w:t>
      </w:r>
    </w:p>
    <w:p w14:paraId="725F876E" w14:textId="77777777" w:rsidR="008E482B" w:rsidRPr="00FA697B" w:rsidRDefault="008E482B" w:rsidP="00B21F71">
      <w:pPr>
        <w:rPr>
          <w:rFonts w:ascii="Arial" w:hAnsi="Arial" w:cs="Arial"/>
          <w:b/>
          <w:bCs/>
          <w:color w:val="000000" w:themeColor="text1"/>
        </w:rPr>
      </w:pPr>
    </w:p>
    <w:p w14:paraId="3285F2C1" w14:textId="432554BF" w:rsidR="007C6D74" w:rsidRPr="00FA697B" w:rsidRDefault="007C6D74" w:rsidP="00FA697B">
      <w:pPr>
        <w:ind w:left="-5"/>
        <w:rPr>
          <w:rFonts w:ascii="Arial" w:hAnsi="Arial" w:cs="Arial"/>
          <w:b/>
          <w:bCs/>
          <w:color w:val="000000" w:themeColor="text1"/>
        </w:rPr>
      </w:pPr>
      <w:r w:rsidRPr="00FA697B">
        <w:rPr>
          <w:rFonts w:ascii="Arial" w:hAnsi="Arial" w:cs="Arial"/>
          <w:b/>
          <w:bCs/>
          <w:color w:val="000000" w:themeColor="text1"/>
        </w:rPr>
        <w:t xml:space="preserve">References </w:t>
      </w:r>
    </w:p>
    <w:p w14:paraId="1BC7CE63" w14:textId="27805621" w:rsidR="00111714" w:rsidRPr="00FA697B" w:rsidRDefault="005A22D4" w:rsidP="00111714">
      <w:pPr>
        <w:widowControl w:val="0"/>
        <w:autoSpaceDE w:val="0"/>
        <w:autoSpaceDN w:val="0"/>
        <w:adjustRightInd w:val="0"/>
        <w:ind w:left="480" w:hanging="480"/>
        <w:rPr>
          <w:rFonts w:ascii="Arial" w:hAnsi="Arial" w:cs="Arial"/>
          <w:noProof/>
        </w:rPr>
      </w:pPr>
      <w:r w:rsidRPr="00FA697B">
        <w:rPr>
          <w:rFonts w:ascii="Arial" w:hAnsi="Arial" w:cs="Arial"/>
          <w:color w:val="000000" w:themeColor="text1"/>
        </w:rPr>
        <w:fldChar w:fldCharType="begin" w:fldLock="1"/>
      </w:r>
      <w:r w:rsidR="00577FC2" w:rsidRPr="00FA697B">
        <w:rPr>
          <w:rFonts w:ascii="Arial" w:hAnsi="Arial" w:cs="Arial"/>
          <w:color w:val="000000" w:themeColor="text1"/>
        </w:rPr>
        <w:instrText xml:space="preserve">ADDIN Mendeley Bibliography CSL_BIBLIOGRAPHY </w:instrText>
      </w:r>
      <w:r w:rsidRPr="00FA697B">
        <w:rPr>
          <w:rFonts w:ascii="Arial" w:hAnsi="Arial" w:cs="Arial"/>
          <w:color w:val="000000" w:themeColor="text1"/>
        </w:rPr>
        <w:fldChar w:fldCharType="separate"/>
      </w:r>
      <w:r w:rsidR="00111714" w:rsidRPr="00FA697B">
        <w:rPr>
          <w:rFonts w:ascii="Arial" w:hAnsi="Arial" w:cs="Arial"/>
          <w:noProof/>
        </w:rPr>
        <w:t xml:space="preserve">Alroughani, R., &amp; Boyko, A. (2018). Pediatric multiple sclerosis: a review. </w:t>
      </w:r>
      <w:r w:rsidR="00111714" w:rsidRPr="00FA697B">
        <w:rPr>
          <w:rFonts w:ascii="Arial" w:hAnsi="Arial" w:cs="Arial"/>
          <w:i/>
          <w:iCs/>
          <w:noProof/>
        </w:rPr>
        <w:t>BMC Neurology</w:t>
      </w:r>
      <w:r w:rsidR="00111714" w:rsidRPr="00FA697B">
        <w:rPr>
          <w:rFonts w:ascii="Arial" w:hAnsi="Arial" w:cs="Arial"/>
          <w:noProof/>
        </w:rPr>
        <w:t xml:space="preserve">, </w:t>
      </w:r>
      <w:r w:rsidR="00111714" w:rsidRPr="00FA697B">
        <w:rPr>
          <w:rFonts w:ascii="Arial" w:hAnsi="Arial" w:cs="Arial"/>
          <w:i/>
          <w:iCs/>
          <w:noProof/>
        </w:rPr>
        <w:t>18</w:t>
      </w:r>
      <w:r w:rsidR="00111714" w:rsidRPr="00FA697B">
        <w:rPr>
          <w:rFonts w:ascii="Arial" w:hAnsi="Arial" w:cs="Arial"/>
          <w:noProof/>
        </w:rPr>
        <w:t>(1), 27. https://doi.org/10.1186/s12883-018-1026-3</w:t>
      </w:r>
    </w:p>
    <w:p w14:paraId="5B456BF4" w14:textId="77777777" w:rsidR="00111714" w:rsidRPr="00FA697B" w:rsidRDefault="00111714" w:rsidP="00111714">
      <w:pPr>
        <w:widowControl w:val="0"/>
        <w:autoSpaceDE w:val="0"/>
        <w:autoSpaceDN w:val="0"/>
        <w:adjustRightInd w:val="0"/>
        <w:ind w:left="480" w:hanging="480"/>
        <w:rPr>
          <w:rFonts w:ascii="Arial" w:hAnsi="Arial" w:cs="Arial"/>
          <w:noProof/>
        </w:rPr>
      </w:pPr>
      <w:r w:rsidRPr="00FA697B">
        <w:rPr>
          <w:rFonts w:ascii="Arial" w:hAnsi="Arial" w:cs="Arial"/>
          <w:noProof/>
        </w:rPr>
        <w:t xml:space="preserve">Azary, S., Schreiner, T., Graves, J., Waldman, A., Belman, A., Guttman, B. W., Aaen, G., Tillema, J.-M., Mar, S., Hart, J., Ness, J., Harris, Y., Krupp, L., Gorman, M., Benson, L., Rodriguez, M., Chitnis, T., Rose, J., Barcellos, L. F., … Waubant, E. (2018). Contribution of dietary intake to relapse rate in early paediatric multiple sclerosis. </w:t>
      </w:r>
      <w:r w:rsidRPr="00FA697B">
        <w:rPr>
          <w:rFonts w:ascii="Arial" w:hAnsi="Arial" w:cs="Arial"/>
          <w:i/>
          <w:iCs/>
          <w:noProof/>
        </w:rPr>
        <w:t>Journal of Neurology, Neurosurgery and Psychiatry</w:t>
      </w:r>
      <w:r w:rsidRPr="00FA697B">
        <w:rPr>
          <w:rFonts w:ascii="Arial" w:hAnsi="Arial" w:cs="Arial"/>
          <w:noProof/>
        </w:rPr>
        <w:t xml:space="preserve">, </w:t>
      </w:r>
      <w:r w:rsidRPr="00FA697B">
        <w:rPr>
          <w:rFonts w:ascii="Arial" w:hAnsi="Arial" w:cs="Arial"/>
          <w:i/>
          <w:iCs/>
          <w:noProof/>
        </w:rPr>
        <w:t>89</w:t>
      </w:r>
      <w:r w:rsidRPr="00FA697B">
        <w:rPr>
          <w:rFonts w:ascii="Arial" w:hAnsi="Arial" w:cs="Arial"/>
          <w:noProof/>
        </w:rPr>
        <w:t>(1), 28.</w:t>
      </w:r>
    </w:p>
    <w:p w14:paraId="114B59A1" w14:textId="77777777" w:rsidR="00111714" w:rsidRPr="00FA697B" w:rsidRDefault="00111714" w:rsidP="00111714">
      <w:pPr>
        <w:widowControl w:val="0"/>
        <w:autoSpaceDE w:val="0"/>
        <w:autoSpaceDN w:val="0"/>
        <w:adjustRightInd w:val="0"/>
        <w:ind w:left="480" w:hanging="480"/>
        <w:rPr>
          <w:rFonts w:ascii="Arial" w:hAnsi="Arial" w:cs="Arial"/>
          <w:noProof/>
        </w:rPr>
      </w:pPr>
      <w:r w:rsidRPr="00FA697B">
        <w:rPr>
          <w:rFonts w:ascii="Arial" w:hAnsi="Arial" w:cs="Arial"/>
          <w:noProof/>
        </w:rPr>
        <w:t xml:space="preserve">Casper, T. C., Rose, J. W., Roalstad, S., Waubant, E., Aaen, G., Belman, A., Chitnis, T., Gorman, M., Krupp, L., Lotze, T. E., Ness, J., Patterson, M., Rodriguez, M., </w:t>
      </w:r>
      <w:r w:rsidRPr="00FA697B">
        <w:rPr>
          <w:rFonts w:ascii="Arial" w:hAnsi="Arial" w:cs="Arial"/>
          <w:noProof/>
        </w:rPr>
        <w:lastRenderedPageBreak/>
        <w:t xml:space="preserve">Weinstock-Guttman, B., Browning, B., Graves, J., Tillema, J.-M., Benson, L., &amp; Harris, Y. (2014). The US Network of Pediatric Multiple Sclerosis Centers: Development, Progress, and Next Steps. </w:t>
      </w:r>
      <w:r w:rsidRPr="00FA697B">
        <w:rPr>
          <w:rFonts w:ascii="Arial" w:hAnsi="Arial" w:cs="Arial"/>
          <w:i/>
          <w:iCs/>
          <w:noProof/>
        </w:rPr>
        <w:t>Journal of Child Neurology</w:t>
      </w:r>
      <w:r w:rsidRPr="00FA697B">
        <w:rPr>
          <w:rFonts w:ascii="Arial" w:hAnsi="Arial" w:cs="Arial"/>
          <w:noProof/>
        </w:rPr>
        <w:t xml:space="preserve">, </w:t>
      </w:r>
      <w:r w:rsidRPr="00FA697B">
        <w:rPr>
          <w:rFonts w:ascii="Arial" w:hAnsi="Arial" w:cs="Arial"/>
          <w:i/>
          <w:iCs/>
          <w:noProof/>
        </w:rPr>
        <w:t>30</w:t>
      </w:r>
      <w:r w:rsidRPr="00FA697B">
        <w:rPr>
          <w:rFonts w:ascii="Arial" w:hAnsi="Arial" w:cs="Arial"/>
          <w:noProof/>
        </w:rPr>
        <w:t>(10), 1381–1387.</w:t>
      </w:r>
    </w:p>
    <w:p w14:paraId="12BA3987" w14:textId="77777777" w:rsidR="00111714" w:rsidRPr="00FA697B" w:rsidRDefault="00111714" w:rsidP="00111714">
      <w:pPr>
        <w:widowControl w:val="0"/>
        <w:autoSpaceDE w:val="0"/>
        <w:autoSpaceDN w:val="0"/>
        <w:adjustRightInd w:val="0"/>
        <w:ind w:left="480" w:hanging="480"/>
        <w:rPr>
          <w:rFonts w:ascii="Arial" w:hAnsi="Arial" w:cs="Arial"/>
          <w:noProof/>
        </w:rPr>
      </w:pPr>
      <w:r w:rsidRPr="00FA697B">
        <w:rPr>
          <w:rFonts w:ascii="Arial" w:hAnsi="Arial" w:cs="Arial"/>
          <w:noProof/>
        </w:rPr>
        <w:t xml:space="preserve">Cullen, K. W., Watson, K., &amp; Zakeri, I. (2008). Relative reliability and validity of the Block Kids Questionnaire among youth aged 10 to 17 years. </w:t>
      </w:r>
      <w:r w:rsidRPr="00FA697B">
        <w:rPr>
          <w:rFonts w:ascii="Arial" w:hAnsi="Arial" w:cs="Arial"/>
          <w:i/>
          <w:iCs/>
          <w:noProof/>
        </w:rPr>
        <w:t>Journal of the American Dietetic Association</w:t>
      </w:r>
      <w:r w:rsidRPr="00FA697B">
        <w:rPr>
          <w:rFonts w:ascii="Arial" w:hAnsi="Arial" w:cs="Arial"/>
          <w:noProof/>
        </w:rPr>
        <w:t xml:space="preserve">, </w:t>
      </w:r>
      <w:r w:rsidRPr="00FA697B">
        <w:rPr>
          <w:rFonts w:ascii="Arial" w:hAnsi="Arial" w:cs="Arial"/>
          <w:i/>
          <w:iCs/>
          <w:noProof/>
        </w:rPr>
        <w:t>108</w:t>
      </w:r>
      <w:r w:rsidRPr="00FA697B">
        <w:rPr>
          <w:rFonts w:ascii="Arial" w:hAnsi="Arial" w:cs="Arial"/>
          <w:noProof/>
        </w:rPr>
        <w:t>(5), 862–866.</w:t>
      </w:r>
    </w:p>
    <w:p w14:paraId="0D3DA0D3" w14:textId="77777777" w:rsidR="00111714" w:rsidRPr="00FA697B" w:rsidRDefault="00111714" w:rsidP="00111714">
      <w:pPr>
        <w:widowControl w:val="0"/>
        <w:autoSpaceDE w:val="0"/>
        <w:autoSpaceDN w:val="0"/>
        <w:adjustRightInd w:val="0"/>
        <w:ind w:left="480" w:hanging="480"/>
        <w:rPr>
          <w:rFonts w:ascii="Arial" w:hAnsi="Arial" w:cs="Arial"/>
          <w:noProof/>
        </w:rPr>
      </w:pPr>
      <w:r w:rsidRPr="00FA697B">
        <w:rPr>
          <w:rFonts w:ascii="Arial" w:hAnsi="Arial" w:cs="Arial"/>
          <w:noProof/>
        </w:rPr>
        <w:t xml:space="preserve">Gorman, M. P., Healy, B. C., Polgar-Turcsanyi, M., &amp; Chitnis, T. (2009). Increased Relapse Rate in Pediatric-Onset Compared With Adult-Onset Multiple Sclerosis. </w:t>
      </w:r>
      <w:r w:rsidRPr="00FA697B">
        <w:rPr>
          <w:rFonts w:ascii="Arial" w:hAnsi="Arial" w:cs="Arial"/>
          <w:i/>
          <w:iCs/>
          <w:noProof/>
        </w:rPr>
        <w:t>Archives of Neurology</w:t>
      </w:r>
      <w:r w:rsidRPr="00FA697B">
        <w:rPr>
          <w:rFonts w:ascii="Arial" w:hAnsi="Arial" w:cs="Arial"/>
          <w:noProof/>
        </w:rPr>
        <w:t xml:space="preserve">, </w:t>
      </w:r>
      <w:r w:rsidRPr="00FA697B">
        <w:rPr>
          <w:rFonts w:ascii="Arial" w:hAnsi="Arial" w:cs="Arial"/>
          <w:i/>
          <w:iCs/>
          <w:noProof/>
        </w:rPr>
        <w:t>66</w:t>
      </w:r>
      <w:r w:rsidRPr="00FA697B">
        <w:rPr>
          <w:rFonts w:ascii="Arial" w:hAnsi="Arial" w:cs="Arial"/>
          <w:noProof/>
        </w:rPr>
        <w:t>(1), 54–59. https://doi.org/10.1001/archneurol.2008.505</w:t>
      </w:r>
    </w:p>
    <w:p w14:paraId="104F7BA6" w14:textId="77777777" w:rsidR="00111714" w:rsidRPr="00FA697B" w:rsidRDefault="00111714" w:rsidP="00111714">
      <w:pPr>
        <w:widowControl w:val="0"/>
        <w:autoSpaceDE w:val="0"/>
        <w:autoSpaceDN w:val="0"/>
        <w:adjustRightInd w:val="0"/>
        <w:ind w:left="480" w:hanging="480"/>
        <w:rPr>
          <w:rFonts w:ascii="Arial" w:hAnsi="Arial" w:cs="Arial"/>
          <w:noProof/>
        </w:rPr>
      </w:pPr>
      <w:r w:rsidRPr="00FA697B">
        <w:rPr>
          <w:rFonts w:ascii="Arial" w:hAnsi="Arial" w:cs="Arial"/>
          <w:noProof/>
        </w:rPr>
        <w:t xml:space="preserve">Hunsberger, M., O’Malley, J., Block, T., &amp; Norris, J. C. (2015). Relative validation of Block Kids Food Screener for dietary assessment in children  and adolescents. </w:t>
      </w:r>
      <w:r w:rsidRPr="00FA697B">
        <w:rPr>
          <w:rFonts w:ascii="Arial" w:hAnsi="Arial" w:cs="Arial"/>
          <w:i/>
          <w:iCs/>
          <w:noProof/>
        </w:rPr>
        <w:t>Maternal &amp; Child Nutrition</w:t>
      </w:r>
      <w:r w:rsidRPr="00FA697B">
        <w:rPr>
          <w:rFonts w:ascii="Arial" w:hAnsi="Arial" w:cs="Arial"/>
          <w:noProof/>
        </w:rPr>
        <w:t xml:space="preserve">, </w:t>
      </w:r>
      <w:r w:rsidRPr="00FA697B">
        <w:rPr>
          <w:rFonts w:ascii="Arial" w:hAnsi="Arial" w:cs="Arial"/>
          <w:i/>
          <w:iCs/>
          <w:noProof/>
        </w:rPr>
        <w:t>11</w:t>
      </w:r>
      <w:r w:rsidRPr="00FA697B">
        <w:rPr>
          <w:rFonts w:ascii="Arial" w:hAnsi="Arial" w:cs="Arial"/>
          <w:noProof/>
        </w:rPr>
        <w:t>(2), 260–270. https://doi.org/10.1111/j.1740-8709.2012.00446.x</w:t>
      </w:r>
    </w:p>
    <w:p w14:paraId="54473D3C" w14:textId="77777777" w:rsidR="00111714" w:rsidRPr="00FA697B" w:rsidRDefault="00111714" w:rsidP="00111714">
      <w:pPr>
        <w:widowControl w:val="0"/>
        <w:autoSpaceDE w:val="0"/>
        <w:autoSpaceDN w:val="0"/>
        <w:adjustRightInd w:val="0"/>
        <w:ind w:left="480" w:hanging="480"/>
        <w:rPr>
          <w:rFonts w:ascii="Arial" w:hAnsi="Arial" w:cs="Arial"/>
          <w:noProof/>
        </w:rPr>
      </w:pPr>
      <w:r w:rsidRPr="00FA697B">
        <w:rPr>
          <w:rFonts w:ascii="Arial" w:hAnsi="Arial" w:cs="Arial"/>
          <w:noProof/>
        </w:rPr>
        <w:t xml:space="preserve">Katz Sand, I. B., Fitzgerald, K. C., Gu, Y., Brandstadter, R., Riley, C. S., Buyukturkoglu, K., Leavitt, V. M., Krieger, S., Miller, A., Lublin, F., Klineova, S., Fabian, M., &amp; Sumowski, J. F. (2021). Dietary factors and MRI metrics in early Multiple Sclerosis. </w:t>
      </w:r>
      <w:r w:rsidRPr="00FA697B">
        <w:rPr>
          <w:rFonts w:ascii="Arial" w:hAnsi="Arial" w:cs="Arial"/>
          <w:i/>
          <w:iCs/>
          <w:noProof/>
        </w:rPr>
        <w:t>Multiple Sclerosis and Related Disorders</w:t>
      </w:r>
      <w:r w:rsidRPr="00FA697B">
        <w:rPr>
          <w:rFonts w:ascii="Arial" w:hAnsi="Arial" w:cs="Arial"/>
          <w:noProof/>
        </w:rPr>
        <w:t xml:space="preserve">, </w:t>
      </w:r>
      <w:r w:rsidRPr="00FA697B">
        <w:rPr>
          <w:rFonts w:ascii="Arial" w:hAnsi="Arial" w:cs="Arial"/>
          <w:i/>
          <w:iCs/>
          <w:noProof/>
        </w:rPr>
        <w:t>53</w:t>
      </w:r>
      <w:r w:rsidRPr="00FA697B">
        <w:rPr>
          <w:rFonts w:ascii="Arial" w:hAnsi="Arial" w:cs="Arial"/>
          <w:noProof/>
        </w:rPr>
        <w:t>, 103031. https://doi.org/10.1016/J.MSARD.2021.103031</w:t>
      </w:r>
    </w:p>
    <w:p w14:paraId="4C050DE6" w14:textId="77777777" w:rsidR="00111714" w:rsidRPr="00FA697B" w:rsidRDefault="00111714" w:rsidP="00111714">
      <w:pPr>
        <w:widowControl w:val="0"/>
        <w:autoSpaceDE w:val="0"/>
        <w:autoSpaceDN w:val="0"/>
        <w:adjustRightInd w:val="0"/>
        <w:ind w:left="480" w:hanging="480"/>
        <w:rPr>
          <w:rFonts w:ascii="Arial" w:hAnsi="Arial" w:cs="Arial"/>
          <w:noProof/>
        </w:rPr>
      </w:pPr>
      <w:r w:rsidRPr="00FA697B">
        <w:rPr>
          <w:rFonts w:ascii="Arial" w:hAnsi="Arial" w:cs="Arial"/>
          <w:noProof/>
        </w:rPr>
        <w:t xml:space="preserve">Krysko, K. M., Graves, J. S., Rensel, M., Weinstock-Guttman, B., Rutatangwa, A., Aaen, G., Belman, A., Benson, L., Chitnis, T., Gorman, M., Goyal, M. S., Harris, Y., Krupp, L., Lotze, T., Mar, S., Moodley, M., Ness, J., Rodriguez, M., Rose, J., … Centers,  the U. S. N. of P. M. S. (2020). Real-World Effectiveness of Initial Disease-Modifying Therapies in Pediatric Multiple Sclerosis. </w:t>
      </w:r>
      <w:r w:rsidRPr="00FA697B">
        <w:rPr>
          <w:rFonts w:ascii="Arial" w:hAnsi="Arial" w:cs="Arial"/>
          <w:i/>
          <w:iCs/>
          <w:noProof/>
        </w:rPr>
        <w:t>Annals of Neurology</w:t>
      </w:r>
      <w:r w:rsidRPr="00FA697B">
        <w:rPr>
          <w:rFonts w:ascii="Arial" w:hAnsi="Arial" w:cs="Arial"/>
          <w:noProof/>
        </w:rPr>
        <w:t xml:space="preserve">, </w:t>
      </w:r>
      <w:r w:rsidRPr="00FA697B">
        <w:rPr>
          <w:rFonts w:ascii="Arial" w:hAnsi="Arial" w:cs="Arial"/>
          <w:i/>
          <w:iCs/>
          <w:noProof/>
        </w:rPr>
        <w:t>88</w:t>
      </w:r>
      <w:r w:rsidRPr="00FA697B">
        <w:rPr>
          <w:rFonts w:ascii="Arial" w:hAnsi="Arial" w:cs="Arial"/>
          <w:noProof/>
        </w:rPr>
        <w:t>(1), 42–55. https://doi.org/https://doi.org/10.1002/ana.25737</w:t>
      </w:r>
    </w:p>
    <w:p w14:paraId="78F307FE" w14:textId="77777777" w:rsidR="00111714" w:rsidRPr="00FA697B" w:rsidRDefault="00111714" w:rsidP="00111714">
      <w:pPr>
        <w:widowControl w:val="0"/>
        <w:autoSpaceDE w:val="0"/>
        <w:autoSpaceDN w:val="0"/>
        <w:adjustRightInd w:val="0"/>
        <w:ind w:left="480" w:hanging="480"/>
        <w:rPr>
          <w:rFonts w:ascii="Arial" w:hAnsi="Arial" w:cs="Arial"/>
          <w:noProof/>
        </w:rPr>
      </w:pPr>
      <w:r w:rsidRPr="00FA697B">
        <w:rPr>
          <w:rFonts w:ascii="Arial" w:hAnsi="Arial" w:cs="Arial"/>
          <w:noProof/>
        </w:rPr>
        <w:t xml:space="preserve">Swank, R. L., &amp; Goodwin, J. (2003). Review of MS patient survival on a Swank low saturated fat diet11(For an additional perspective, see Editorial Opinions). </w:t>
      </w:r>
      <w:r w:rsidRPr="00FA697B">
        <w:rPr>
          <w:rFonts w:ascii="Arial" w:hAnsi="Arial" w:cs="Arial"/>
          <w:i/>
          <w:iCs/>
          <w:noProof/>
        </w:rPr>
        <w:t>Nutrition</w:t>
      </w:r>
      <w:r w:rsidRPr="00FA697B">
        <w:rPr>
          <w:rFonts w:ascii="Arial" w:hAnsi="Arial" w:cs="Arial"/>
          <w:noProof/>
        </w:rPr>
        <w:t xml:space="preserve">, </w:t>
      </w:r>
      <w:r w:rsidRPr="00FA697B">
        <w:rPr>
          <w:rFonts w:ascii="Arial" w:hAnsi="Arial" w:cs="Arial"/>
          <w:i/>
          <w:iCs/>
          <w:noProof/>
        </w:rPr>
        <w:t>19</w:t>
      </w:r>
      <w:r w:rsidRPr="00FA697B">
        <w:rPr>
          <w:rFonts w:ascii="Arial" w:hAnsi="Arial" w:cs="Arial"/>
          <w:noProof/>
        </w:rPr>
        <w:t>(2), 161–162. https://doi.org/https://doi.org/10.1016/S0899-9007(02)00851-1</w:t>
      </w:r>
    </w:p>
    <w:p w14:paraId="1E869A81" w14:textId="77777777" w:rsidR="00111714" w:rsidRPr="00FA697B" w:rsidRDefault="00111714" w:rsidP="00111714">
      <w:pPr>
        <w:widowControl w:val="0"/>
        <w:autoSpaceDE w:val="0"/>
        <w:autoSpaceDN w:val="0"/>
        <w:adjustRightInd w:val="0"/>
        <w:ind w:left="480" w:hanging="480"/>
        <w:rPr>
          <w:rFonts w:ascii="Arial" w:hAnsi="Arial" w:cs="Arial"/>
          <w:noProof/>
        </w:rPr>
      </w:pPr>
      <w:r w:rsidRPr="00FA697B">
        <w:rPr>
          <w:rFonts w:ascii="Arial" w:hAnsi="Arial" w:cs="Arial"/>
          <w:noProof/>
        </w:rPr>
        <w:t xml:space="preserve">Waubant, E., Lucas, R., Mowry, E., Graves, J., Olsson, T., Alfredsson, L., &amp; Langer-Gould, A. (2019). Environmental and genetic risk factors for MS: an integrated review. </w:t>
      </w:r>
      <w:r w:rsidRPr="00FA697B">
        <w:rPr>
          <w:rFonts w:ascii="Arial" w:hAnsi="Arial" w:cs="Arial"/>
          <w:i/>
          <w:iCs/>
          <w:noProof/>
        </w:rPr>
        <w:t>Annals of Clinical and Translational Neurology</w:t>
      </w:r>
      <w:r w:rsidRPr="00FA697B">
        <w:rPr>
          <w:rFonts w:ascii="Arial" w:hAnsi="Arial" w:cs="Arial"/>
          <w:noProof/>
        </w:rPr>
        <w:t xml:space="preserve">, </w:t>
      </w:r>
      <w:r w:rsidRPr="00FA697B">
        <w:rPr>
          <w:rFonts w:ascii="Arial" w:hAnsi="Arial" w:cs="Arial"/>
          <w:i/>
          <w:iCs/>
          <w:noProof/>
        </w:rPr>
        <w:t>6</w:t>
      </w:r>
      <w:r w:rsidRPr="00FA697B">
        <w:rPr>
          <w:rFonts w:ascii="Arial" w:hAnsi="Arial" w:cs="Arial"/>
          <w:noProof/>
        </w:rPr>
        <w:t>(9), 1905–1922. https://doi.org/https://doi.org/10.1002/acn3.50862</w:t>
      </w:r>
    </w:p>
    <w:p w14:paraId="2CE20AD3" w14:textId="77777777" w:rsidR="00111714" w:rsidRPr="00FA697B" w:rsidRDefault="00111714" w:rsidP="00111714">
      <w:pPr>
        <w:widowControl w:val="0"/>
        <w:autoSpaceDE w:val="0"/>
        <w:autoSpaceDN w:val="0"/>
        <w:adjustRightInd w:val="0"/>
        <w:ind w:left="480" w:hanging="480"/>
        <w:rPr>
          <w:rFonts w:ascii="Arial" w:hAnsi="Arial" w:cs="Arial"/>
          <w:noProof/>
        </w:rPr>
      </w:pPr>
      <w:r w:rsidRPr="00FA697B">
        <w:rPr>
          <w:rFonts w:ascii="Arial" w:hAnsi="Arial" w:cs="Arial"/>
          <w:noProof/>
        </w:rPr>
        <w:t xml:space="preserve">Waubant, E., Ponsonby, A.-L., Pugliatti, M., Hanwell, H., Mowry, E. M., &amp; Hintzen, R. Q. (2016). </w:t>
      </w:r>
      <w:r w:rsidRPr="00FA697B">
        <w:rPr>
          <w:rFonts w:ascii="Arial" w:hAnsi="Arial" w:cs="Arial"/>
          <w:i/>
          <w:iCs/>
          <w:noProof/>
        </w:rPr>
        <w:t>Environmental and genetic factors in pediatric inflammatory demyelinating diseases</w:t>
      </w:r>
      <w:r w:rsidRPr="00FA697B">
        <w:rPr>
          <w:rFonts w:ascii="Arial" w:hAnsi="Arial" w:cs="Arial"/>
          <w:noProof/>
        </w:rPr>
        <w:t>.</w:t>
      </w:r>
    </w:p>
    <w:p w14:paraId="10432C96" w14:textId="76C610D3" w:rsidR="007C6D74" w:rsidRPr="00FA697B" w:rsidRDefault="005A22D4" w:rsidP="00FA697B">
      <w:pPr>
        <w:widowControl w:val="0"/>
        <w:autoSpaceDE w:val="0"/>
        <w:autoSpaceDN w:val="0"/>
        <w:adjustRightInd w:val="0"/>
        <w:rPr>
          <w:rFonts w:ascii="Arial" w:hAnsi="Arial" w:cs="Arial"/>
          <w:color w:val="000000" w:themeColor="text1"/>
        </w:rPr>
      </w:pPr>
      <w:r w:rsidRPr="00FA697B">
        <w:rPr>
          <w:rFonts w:ascii="Arial" w:hAnsi="Arial" w:cs="Arial"/>
          <w:color w:val="000000" w:themeColor="text1"/>
        </w:rPr>
        <w:fldChar w:fldCharType="end"/>
      </w:r>
    </w:p>
    <w:sectPr w:rsidR="007C6D74" w:rsidRPr="00FA697B" w:rsidSect="00AE2CF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Wingdings">
    <w:panose1 w:val="05000000000000000000"/>
    <w:charset w:val="4D"/>
    <w:family w:val="decorative"/>
    <w:pitch w:val="variable"/>
    <w:sig w:usb0="00000003" w:usb1="00000000" w:usb2="00000000" w:usb3="00000000" w:csb0="80000001" w:csb1="00000000"/>
  </w:font>
  <w:font w:name="Courier New">
    <w:panose1 w:val="02070309020205020404"/>
    <w:charset w:val="00"/>
    <w:family w:val="modern"/>
    <w:pitch w:val="fixed"/>
    <w:sig w:usb0="E0002AFF" w:usb1="C0007843" w:usb2="00000009" w:usb3="00000000" w:csb0="000001FF" w:csb1="00000000"/>
  </w:font>
  <w:font w:name="Segoe UI">
    <w:panose1 w:val="020B0604020202020204"/>
    <w:charset w:val="00"/>
    <w:family w:val="swiss"/>
    <w:pitch w:val="variable"/>
    <w:sig w:usb0="E4002EFF" w:usb1="C000E47F"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FD1F9A"/>
    <w:multiLevelType w:val="multilevel"/>
    <w:tmpl w:val="FA82F4C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B9C00AD"/>
    <w:multiLevelType w:val="hybridMultilevel"/>
    <w:tmpl w:val="3134F016"/>
    <w:lvl w:ilvl="0" w:tplc="07A0CDA4">
      <w:start w:val="1"/>
      <w:numFmt w:val="bullet"/>
      <w:lvlText w:val="•"/>
      <w:lvlJc w:val="left"/>
      <w:pPr>
        <w:tabs>
          <w:tab w:val="num" w:pos="720"/>
        </w:tabs>
        <w:ind w:left="720" w:hanging="360"/>
      </w:pPr>
      <w:rPr>
        <w:rFonts w:ascii="Arial" w:hAnsi="Arial" w:hint="default"/>
      </w:rPr>
    </w:lvl>
    <w:lvl w:ilvl="1" w:tplc="C448A95A" w:tentative="1">
      <w:start w:val="1"/>
      <w:numFmt w:val="bullet"/>
      <w:lvlText w:val="•"/>
      <w:lvlJc w:val="left"/>
      <w:pPr>
        <w:tabs>
          <w:tab w:val="num" w:pos="1440"/>
        </w:tabs>
        <w:ind w:left="1440" w:hanging="360"/>
      </w:pPr>
      <w:rPr>
        <w:rFonts w:ascii="Arial" w:hAnsi="Arial" w:hint="default"/>
      </w:rPr>
    </w:lvl>
    <w:lvl w:ilvl="2" w:tplc="69AED244" w:tentative="1">
      <w:start w:val="1"/>
      <w:numFmt w:val="bullet"/>
      <w:lvlText w:val="•"/>
      <w:lvlJc w:val="left"/>
      <w:pPr>
        <w:tabs>
          <w:tab w:val="num" w:pos="2160"/>
        </w:tabs>
        <w:ind w:left="2160" w:hanging="360"/>
      </w:pPr>
      <w:rPr>
        <w:rFonts w:ascii="Arial" w:hAnsi="Arial" w:hint="default"/>
      </w:rPr>
    </w:lvl>
    <w:lvl w:ilvl="3" w:tplc="2A3242D4" w:tentative="1">
      <w:start w:val="1"/>
      <w:numFmt w:val="bullet"/>
      <w:lvlText w:val="•"/>
      <w:lvlJc w:val="left"/>
      <w:pPr>
        <w:tabs>
          <w:tab w:val="num" w:pos="2880"/>
        </w:tabs>
        <w:ind w:left="2880" w:hanging="360"/>
      </w:pPr>
      <w:rPr>
        <w:rFonts w:ascii="Arial" w:hAnsi="Arial" w:hint="default"/>
      </w:rPr>
    </w:lvl>
    <w:lvl w:ilvl="4" w:tplc="1B80466A" w:tentative="1">
      <w:start w:val="1"/>
      <w:numFmt w:val="bullet"/>
      <w:lvlText w:val="•"/>
      <w:lvlJc w:val="left"/>
      <w:pPr>
        <w:tabs>
          <w:tab w:val="num" w:pos="3600"/>
        </w:tabs>
        <w:ind w:left="3600" w:hanging="360"/>
      </w:pPr>
      <w:rPr>
        <w:rFonts w:ascii="Arial" w:hAnsi="Arial" w:hint="default"/>
      </w:rPr>
    </w:lvl>
    <w:lvl w:ilvl="5" w:tplc="E6782054" w:tentative="1">
      <w:start w:val="1"/>
      <w:numFmt w:val="bullet"/>
      <w:lvlText w:val="•"/>
      <w:lvlJc w:val="left"/>
      <w:pPr>
        <w:tabs>
          <w:tab w:val="num" w:pos="4320"/>
        </w:tabs>
        <w:ind w:left="4320" w:hanging="360"/>
      </w:pPr>
      <w:rPr>
        <w:rFonts w:ascii="Arial" w:hAnsi="Arial" w:hint="default"/>
      </w:rPr>
    </w:lvl>
    <w:lvl w:ilvl="6" w:tplc="C11C020A" w:tentative="1">
      <w:start w:val="1"/>
      <w:numFmt w:val="bullet"/>
      <w:lvlText w:val="•"/>
      <w:lvlJc w:val="left"/>
      <w:pPr>
        <w:tabs>
          <w:tab w:val="num" w:pos="5040"/>
        </w:tabs>
        <w:ind w:left="5040" w:hanging="360"/>
      </w:pPr>
      <w:rPr>
        <w:rFonts w:ascii="Arial" w:hAnsi="Arial" w:hint="default"/>
      </w:rPr>
    </w:lvl>
    <w:lvl w:ilvl="7" w:tplc="8FB69F08" w:tentative="1">
      <w:start w:val="1"/>
      <w:numFmt w:val="bullet"/>
      <w:lvlText w:val="•"/>
      <w:lvlJc w:val="left"/>
      <w:pPr>
        <w:tabs>
          <w:tab w:val="num" w:pos="5760"/>
        </w:tabs>
        <w:ind w:left="5760" w:hanging="360"/>
      </w:pPr>
      <w:rPr>
        <w:rFonts w:ascii="Arial" w:hAnsi="Arial" w:hint="default"/>
      </w:rPr>
    </w:lvl>
    <w:lvl w:ilvl="8" w:tplc="7BAACA34" w:tentative="1">
      <w:start w:val="1"/>
      <w:numFmt w:val="bullet"/>
      <w:lvlText w:val="•"/>
      <w:lvlJc w:val="left"/>
      <w:pPr>
        <w:tabs>
          <w:tab w:val="num" w:pos="6480"/>
        </w:tabs>
        <w:ind w:left="6480" w:hanging="360"/>
      </w:pPr>
      <w:rPr>
        <w:rFonts w:ascii="Arial" w:hAnsi="Arial" w:hint="default"/>
      </w:rPr>
    </w:lvl>
  </w:abstractNum>
  <w:abstractNum w:abstractNumId="2" w15:restartNumberingAfterBreak="0">
    <w:nsid w:val="0C53707C"/>
    <w:multiLevelType w:val="hybridMultilevel"/>
    <w:tmpl w:val="4F3E8E26"/>
    <w:lvl w:ilvl="0" w:tplc="C8DE87EC">
      <w:start w:val="1"/>
      <w:numFmt w:val="decimal"/>
      <w:lvlText w:val="(%1)"/>
      <w:lvlJc w:val="left"/>
      <w:pPr>
        <w:ind w:left="1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C804DB0E">
      <w:start w:val="1"/>
      <w:numFmt w:val="lowerLetter"/>
      <w:lvlText w:val="%2"/>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536CC1F8">
      <w:start w:val="1"/>
      <w:numFmt w:val="lowerRoman"/>
      <w:lvlText w:val="%3"/>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0328567C">
      <w:start w:val="1"/>
      <w:numFmt w:val="decimal"/>
      <w:lvlText w:val="%4"/>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4A82DEE4">
      <w:start w:val="1"/>
      <w:numFmt w:val="lowerLetter"/>
      <w:lvlText w:val="%5"/>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5F9EBB28">
      <w:start w:val="1"/>
      <w:numFmt w:val="lowerRoman"/>
      <w:lvlText w:val="%6"/>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68760770">
      <w:start w:val="1"/>
      <w:numFmt w:val="decimal"/>
      <w:lvlText w:val="%7"/>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97E6D6E0">
      <w:start w:val="1"/>
      <w:numFmt w:val="lowerLetter"/>
      <w:lvlText w:val="%8"/>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D8608A66">
      <w:start w:val="1"/>
      <w:numFmt w:val="lowerRoman"/>
      <w:lvlText w:val="%9"/>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3" w15:restartNumberingAfterBreak="0">
    <w:nsid w:val="10C9251B"/>
    <w:multiLevelType w:val="multilevel"/>
    <w:tmpl w:val="89E47066"/>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1DA0126"/>
    <w:multiLevelType w:val="multilevel"/>
    <w:tmpl w:val="9C1A34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5DA79A9"/>
    <w:multiLevelType w:val="multilevel"/>
    <w:tmpl w:val="3C82A3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6137B1F"/>
    <w:multiLevelType w:val="multilevel"/>
    <w:tmpl w:val="68AC2F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0F50811"/>
    <w:multiLevelType w:val="multilevel"/>
    <w:tmpl w:val="2362C4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ABF2D6B"/>
    <w:multiLevelType w:val="multilevel"/>
    <w:tmpl w:val="5B24F0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D221C9C"/>
    <w:multiLevelType w:val="hybridMultilevel"/>
    <w:tmpl w:val="3140E7DE"/>
    <w:lvl w:ilvl="0" w:tplc="ABC0811A">
      <w:start w:val="1"/>
      <w:numFmt w:val="decimal"/>
      <w:lvlText w:val="%1&gt;"/>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E331413"/>
    <w:multiLevelType w:val="hybridMultilevel"/>
    <w:tmpl w:val="426217DA"/>
    <w:lvl w:ilvl="0" w:tplc="343411FC">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FF8049C"/>
    <w:multiLevelType w:val="hybridMultilevel"/>
    <w:tmpl w:val="B706D068"/>
    <w:lvl w:ilvl="0" w:tplc="CB2CD144">
      <w:start w:val="1"/>
      <w:numFmt w:val="bullet"/>
      <w:lvlText w:val="-"/>
      <w:lvlJc w:val="left"/>
      <w:pPr>
        <w:ind w:left="1080" w:hanging="360"/>
      </w:pPr>
      <w:rPr>
        <w:rFonts w:ascii="Segoe UI" w:eastAsia="Times New Roman" w:hAnsi="Segoe UI" w:cs="Segoe UI"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316F3D0B"/>
    <w:multiLevelType w:val="hybridMultilevel"/>
    <w:tmpl w:val="B3AC415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2B730E4"/>
    <w:multiLevelType w:val="multilevel"/>
    <w:tmpl w:val="A0C065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F0214C4"/>
    <w:multiLevelType w:val="multilevel"/>
    <w:tmpl w:val="BE10FB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AA049AD"/>
    <w:multiLevelType w:val="multilevel"/>
    <w:tmpl w:val="6E54F5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6E7269CE"/>
    <w:multiLevelType w:val="multilevel"/>
    <w:tmpl w:val="9C0619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7B780143"/>
    <w:multiLevelType w:val="hybridMultilevel"/>
    <w:tmpl w:val="37FC0D42"/>
    <w:lvl w:ilvl="0" w:tplc="F0AED7CA">
      <w:start w:val="1"/>
      <w:numFmt w:val="decimal"/>
      <w:lvlText w:val="(%1)"/>
      <w:lvlJc w:val="left"/>
      <w:pPr>
        <w:tabs>
          <w:tab w:val="num" w:pos="720"/>
        </w:tabs>
        <w:ind w:left="720" w:hanging="360"/>
      </w:pPr>
    </w:lvl>
    <w:lvl w:ilvl="1" w:tplc="F6A854DC" w:tentative="1">
      <w:start w:val="1"/>
      <w:numFmt w:val="decimal"/>
      <w:lvlText w:val="(%2)"/>
      <w:lvlJc w:val="left"/>
      <w:pPr>
        <w:tabs>
          <w:tab w:val="num" w:pos="1440"/>
        </w:tabs>
        <w:ind w:left="1440" w:hanging="360"/>
      </w:pPr>
    </w:lvl>
    <w:lvl w:ilvl="2" w:tplc="DB422310" w:tentative="1">
      <w:start w:val="1"/>
      <w:numFmt w:val="decimal"/>
      <w:lvlText w:val="(%3)"/>
      <w:lvlJc w:val="left"/>
      <w:pPr>
        <w:tabs>
          <w:tab w:val="num" w:pos="2160"/>
        </w:tabs>
        <w:ind w:left="2160" w:hanging="360"/>
      </w:pPr>
    </w:lvl>
    <w:lvl w:ilvl="3" w:tplc="6B1CA75E" w:tentative="1">
      <w:start w:val="1"/>
      <w:numFmt w:val="decimal"/>
      <w:lvlText w:val="(%4)"/>
      <w:lvlJc w:val="left"/>
      <w:pPr>
        <w:tabs>
          <w:tab w:val="num" w:pos="2880"/>
        </w:tabs>
        <w:ind w:left="2880" w:hanging="360"/>
      </w:pPr>
    </w:lvl>
    <w:lvl w:ilvl="4" w:tplc="4750336E" w:tentative="1">
      <w:start w:val="1"/>
      <w:numFmt w:val="decimal"/>
      <w:lvlText w:val="(%5)"/>
      <w:lvlJc w:val="left"/>
      <w:pPr>
        <w:tabs>
          <w:tab w:val="num" w:pos="3600"/>
        </w:tabs>
        <w:ind w:left="3600" w:hanging="360"/>
      </w:pPr>
    </w:lvl>
    <w:lvl w:ilvl="5" w:tplc="9266E0C4" w:tentative="1">
      <w:start w:val="1"/>
      <w:numFmt w:val="decimal"/>
      <w:lvlText w:val="(%6)"/>
      <w:lvlJc w:val="left"/>
      <w:pPr>
        <w:tabs>
          <w:tab w:val="num" w:pos="4320"/>
        </w:tabs>
        <w:ind w:left="4320" w:hanging="360"/>
      </w:pPr>
    </w:lvl>
    <w:lvl w:ilvl="6" w:tplc="5F98CFBE" w:tentative="1">
      <w:start w:val="1"/>
      <w:numFmt w:val="decimal"/>
      <w:lvlText w:val="(%7)"/>
      <w:lvlJc w:val="left"/>
      <w:pPr>
        <w:tabs>
          <w:tab w:val="num" w:pos="5040"/>
        </w:tabs>
        <w:ind w:left="5040" w:hanging="360"/>
      </w:pPr>
    </w:lvl>
    <w:lvl w:ilvl="7" w:tplc="27F40A92" w:tentative="1">
      <w:start w:val="1"/>
      <w:numFmt w:val="decimal"/>
      <w:lvlText w:val="(%8)"/>
      <w:lvlJc w:val="left"/>
      <w:pPr>
        <w:tabs>
          <w:tab w:val="num" w:pos="5760"/>
        </w:tabs>
        <w:ind w:left="5760" w:hanging="360"/>
      </w:pPr>
    </w:lvl>
    <w:lvl w:ilvl="8" w:tplc="DE34F8C2" w:tentative="1">
      <w:start w:val="1"/>
      <w:numFmt w:val="decimal"/>
      <w:lvlText w:val="(%9)"/>
      <w:lvlJc w:val="left"/>
      <w:pPr>
        <w:tabs>
          <w:tab w:val="num" w:pos="6480"/>
        </w:tabs>
        <w:ind w:left="6480" w:hanging="360"/>
      </w:pPr>
    </w:lvl>
  </w:abstractNum>
  <w:num w:numId="1">
    <w:abstractNumId w:val="17"/>
  </w:num>
  <w:num w:numId="2">
    <w:abstractNumId w:val="10"/>
  </w:num>
  <w:num w:numId="3">
    <w:abstractNumId w:val="4"/>
  </w:num>
  <w:num w:numId="4">
    <w:abstractNumId w:val="15"/>
  </w:num>
  <w:num w:numId="5">
    <w:abstractNumId w:val="16"/>
  </w:num>
  <w:num w:numId="6">
    <w:abstractNumId w:val="1"/>
  </w:num>
  <w:num w:numId="7">
    <w:abstractNumId w:val="2"/>
  </w:num>
  <w:num w:numId="8">
    <w:abstractNumId w:val="6"/>
  </w:num>
  <w:num w:numId="9">
    <w:abstractNumId w:val="14"/>
  </w:num>
  <w:num w:numId="10">
    <w:abstractNumId w:val="0"/>
  </w:num>
  <w:num w:numId="11">
    <w:abstractNumId w:val="8"/>
  </w:num>
  <w:num w:numId="12">
    <w:abstractNumId w:val="3"/>
  </w:num>
  <w:num w:numId="13">
    <w:abstractNumId w:val="13"/>
  </w:num>
  <w:num w:numId="14">
    <w:abstractNumId w:val="5"/>
  </w:num>
  <w:num w:numId="15">
    <w:abstractNumId w:val="7"/>
  </w:num>
  <w:num w:numId="16">
    <w:abstractNumId w:val="9"/>
  </w:num>
  <w:num w:numId="17">
    <w:abstractNumId w:val="12"/>
  </w:num>
  <w:num w:numId="18">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223E"/>
    <w:rsid w:val="000A750C"/>
    <w:rsid w:val="000F649F"/>
    <w:rsid w:val="00111714"/>
    <w:rsid w:val="00144534"/>
    <w:rsid w:val="001A156B"/>
    <w:rsid w:val="001A7024"/>
    <w:rsid w:val="00210D5A"/>
    <w:rsid w:val="0023243B"/>
    <w:rsid w:val="002511DA"/>
    <w:rsid w:val="00284BBF"/>
    <w:rsid w:val="00403CAC"/>
    <w:rsid w:val="004452E8"/>
    <w:rsid w:val="0054049A"/>
    <w:rsid w:val="00577FC2"/>
    <w:rsid w:val="00595900"/>
    <w:rsid w:val="005A22D4"/>
    <w:rsid w:val="00626F5D"/>
    <w:rsid w:val="006F0562"/>
    <w:rsid w:val="00747694"/>
    <w:rsid w:val="00794D2D"/>
    <w:rsid w:val="007C6D74"/>
    <w:rsid w:val="007E7AB7"/>
    <w:rsid w:val="007F404E"/>
    <w:rsid w:val="007F6485"/>
    <w:rsid w:val="007F69A1"/>
    <w:rsid w:val="0082315E"/>
    <w:rsid w:val="008D4ABD"/>
    <w:rsid w:val="008E482B"/>
    <w:rsid w:val="00903062"/>
    <w:rsid w:val="009044F1"/>
    <w:rsid w:val="009272A7"/>
    <w:rsid w:val="0096422B"/>
    <w:rsid w:val="009A34BB"/>
    <w:rsid w:val="00A0363F"/>
    <w:rsid w:val="00A1418D"/>
    <w:rsid w:val="00AA34B6"/>
    <w:rsid w:val="00AE2CFE"/>
    <w:rsid w:val="00AF3665"/>
    <w:rsid w:val="00B00E0B"/>
    <w:rsid w:val="00B21F71"/>
    <w:rsid w:val="00B31078"/>
    <w:rsid w:val="00B8352E"/>
    <w:rsid w:val="00BA4E55"/>
    <w:rsid w:val="00BB3D16"/>
    <w:rsid w:val="00BF3D3B"/>
    <w:rsid w:val="00C00AC5"/>
    <w:rsid w:val="00C067CA"/>
    <w:rsid w:val="00C21B0D"/>
    <w:rsid w:val="00C4220F"/>
    <w:rsid w:val="00C54F15"/>
    <w:rsid w:val="00D02580"/>
    <w:rsid w:val="00D5178E"/>
    <w:rsid w:val="00D8125F"/>
    <w:rsid w:val="00D83683"/>
    <w:rsid w:val="00E74EB9"/>
    <w:rsid w:val="00EB29EE"/>
    <w:rsid w:val="00EC1FE4"/>
    <w:rsid w:val="00EC54EA"/>
    <w:rsid w:val="00F17602"/>
    <w:rsid w:val="00F3260B"/>
    <w:rsid w:val="00F7223E"/>
    <w:rsid w:val="00FA697B"/>
    <w:rsid w:val="00FE3B14"/>
    <w:rsid w:val="00FF1CBF"/>
    <w:rsid w:val="0509A02D"/>
    <w:rsid w:val="0907D38F"/>
    <w:rsid w:val="1C00309E"/>
    <w:rsid w:val="3C3A2734"/>
    <w:rsid w:val="43BA80F2"/>
    <w:rsid w:val="51762F4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037AE3"/>
  <w15:docId w15:val="{0D8A3440-8E7E-A14A-A86F-16DDC08458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A22D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Normal"/>
    <w:rsid w:val="00F7223E"/>
    <w:pPr>
      <w:spacing w:before="100" w:beforeAutospacing="1" w:after="100" w:afterAutospacing="1"/>
    </w:pPr>
    <w:rPr>
      <w:rFonts w:ascii="Times New Roman" w:eastAsia="Times New Roman" w:hAnsi="Times New Roman" w:cs="Times New Roman"/>
    </w:rPr>
  </w:style>
  <w:style w:type="character" w:customStyle="1" w:styleId="normaltextrun">
    <w:name w:val="normaltextrun"/>
    <w:basedOn w:val="DefaultParagraphFont"/>
    <w:rsid w:val="00F7223E"/>
  </w:style>
  <w:style w:type="character" w:customStyle="1" w:styleId="eop">
    <w:name w:val="eop"/>
    <w:basedOn w:val="DefaultParagraphFont"/>
    <w:rsid w:val="00F7223E"/>
  </w:style>
  <w:style w:type="paragraph" w:styleId="NormalWeb">
    <w:name w:val="Normal (Web)"/>
    <w:basedOn w:val="Normal"/>
    <w:uiPriority w:val="99"/>
    <w:unhideWhenUsed/>
    <w:rsid w:val="00794D2D"/>
    <w:pPr>
      <w:spacing w:before="100" w:beforeAutospacing="1" w:after="100" w:afterAutospacing="1"/>
    </w:pPr>
    <w:rPr>
      <w:rFonts w:ascii="Times New Roman" w:eastAsia="Times New Roman" w:hAnsi="Times New Roman" w:cs="Times New Roman"/>
    </w:rPr>
  </w:style>
  <w:style w:type="character" w:styleId="CommentReference">
    <w:name w:val="annotation reference"/>
    <w:basedOn w:val="DefaultParagraphFont"/>
    <w:uiPriority w:val="99"/>
    <w:semiHidden/>
    <w:unhideWhenUsed/>
    <w:rsid w:val="009044F1"/>
    <w:rPr>
      <w:sz w:val="16"/>
      <w:szCs w:val="16"/>
    </w:rPr>
  </w:style>
  <w:style w:type="paragraph" w:styleId="CommentText">
    <w:name w:val="annotation text"/>
    <w:basedOn w:val="Normal"/>
    <w:link w:val="CommentTextChar"/>
    <w:uiPriority w:val="99"/>
    <w:semiHidden/>
    <w:unhideWhenUsed/>
    <w:rsid w:val="009044F1"/>
    <w:rPr>
      <w:sz w:val="20"/>
      <w:szCs w:val="20"/>
    </w:rPr>
  </w:style>
  <w:style w:type="character" w:customStyle="1" w:styleId="CommentTextChar">
    <w:name w:val="Comment Text Char"/>
    <w:basedOn w:val="DefaultParagraphFont"/>
    <w:link w:val="CommentText"/>
    <w:uiPriority w:val="99"/>
    <w:semiHidden/>
    <w:rsid w:val="009044F1"/>
    <w:rPr>
      <w:sz w:val="20"/>
      <w:szCs w:val="20"/>
    </w:rPr>
  </w:style>
  <w:style w:type="paragraph" w:styleId="CommentSubject">
    <w:name w:val="annotation subject"/>
    <w:basedOn w:val="CommentText"/>
    <w:next w:val="CommentText"/>
    <w:link w:val="CommentSubjectChar"/>
    <w:uiPriority w:val="99"/>
    <w:semiHidden/>
    <w:unhideWhenUsed/>
    <w:rsid w:val="009044F1"/>
    <w:rPr>
      <w:b/>
      <w:bCs/>
    </w:rPr>
  </w:style>
  <w:style w:type="character" w:customStyle="1" w:styleId="CommentSubjectChar">
    <w:name w:val="Comment Subject Char"/>
    <w:basedOn w:val="CommentTextChar"/>
    <w:link w:val="CommentSubject"/>
    <w:uiPriority w:val="99"/>
    <w:semiHidden/>
    <w:rsid w:val="009044F1"/>
    <w:rPr>
      <w:b/>
      <w:bCs/>
      <w:sz w:val="20"/>
      <w:szCs w:val="20"/>
    </w:rPr>
  </w:style>
  <w:style w:type="paragraph" w:styleId="BalloonText">
    <w:name w:val="Balloon Text"/>
    <w:basedOn w:val="Normal"/>
    <w:link w:val="BalloonTextChar"/>
    <w:uiPriority w:val="99"/>
    <w:semiHidden/>
    <w:unhideWhenUsed/>
    <w:rsid w:val="009044F1"/>
    <w:rPr>
      <w:rFonts w:ascii="Tahoma" w:hAnsi="Tahoma" w:cs="Tahoma"/>
      <w:sz w:val="16"/>
      <w:szCs w:val="16"/>
    </w:rPr>
  </w:style>
  <w:style w:type="character" w:customStyle="1" w:styleId="BalloonTextChar">
    <w:name w:val="Balloon Text Char"/>
    <w:basedOn w:val="DefaultParagraphFont"/>
    <w:link w:val="BalloonText"/>
    <w:uiPriority w:val="99"/>
    <w:semiHidden/>
    <w:rsid w:val="009044F1"/>
    <w:rPr>
      <w:rFonts w:ascii="Tahoma" w:hAnsi="Tahoma" w:cs="Tahoma"/>
      <w:sz w:val="16"/>
      <w:szCs w:val="16"/>
    </w:rPr>
  </w:style>
  <w:style w:type="character" w:styleId="Strong">
    <w:name w:val="Strong"/>
    <w:basedOn w:val="DefaultParagraphFont"/>
    <w:uiPriority w:val="22"/>
    <w:qFormat/>
    <w:rsid w:val="0096422B"/>
    <w:rPr>
      <w:b/>
      <w:bCs/>
    </w:rPr>
  </w:style>
  <w:style w:type="paragraph" w:styleId="Revision">
    <w:name w:val="Revision"/>
    <w:hidden/>
    <w:uiPriority w:val="99"/>
    <w:semiHidden/>
    <w:rsid w:val="00903062"/>
  </w:style>
  <w:style w:type="paragraph" w:styleId="ListParagraph">
    <w:name w:val="List Paragraph"/>
    <w:basedOn w:val="Normal"/>
    <w:uiPriority w:val="34"/>
    <w:qFormat/>
    <w:rsid w:val="00C00AC5"/>
    <w:pPr>
      <w:ind w:left="720"/>
      <w:contextualSpacing/>
    </w:pPr>
    <w:rPr>
      <w:rFonts w:ascii="Times New Roman" w:eastAsia="Times New Roman" w:hAnsi="Times New Roman" w:cs="Times New Roman"/>
    </w:rPr>
  </w:style>
  <w:style w:type="character" w:styleId="Hyperlink">
    <w:name w:val="Hyperlink"/>
    <w:basedOn w:val="DefaultParagraphFont"/>
    <w:uiPriority w:val="99"/>
    <w:semiHidden/>
    <w:unhideWhenUsed/>
    <w:rsid w:val="008E482B"/>
    <w:rPr>
      <w:color w:val="0000FF"/>
      <w:u w:val="single"/>
    </w:rPr>
  </w:style>
  <w:style w:type="table" w:customStyle="1" w:styleId="TableGrid2">
    <w:name w:val="Table Grid2"/>
    <w:basedOn w:val="TableNormal"/>
    <w:next w:val="TableGrid"/>
    <w:uiPriority w:val="59"/>
    <w:rsid w:val="00C54F15"/>
    <w:rPr>
      <w:rFonts w:ascii="Cambria" w:eastAsia="Cambria" w:hAnsi="Cambria"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C54F1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3983895">
      <w:bodyDiv w:val="1"/>
      <w:marLeft w:val="0"/>
      <w:marRight w:val="0"/>
      <w:marTop w:val="0"/>
      <w:marBottom w:val="0"/>
      <w:divBdr>
        <w:top w:val="none" w:sz="0" w:space="0" w:color="auto"/>
        <w:left w:val="none" w:sz="0" w:space="0" w:color="auto"/>
        <w:bottom w:val="none" w:sz="0" w:space="0" w:color="auto"/>
        <w:right w:val="none" w:sz="0" w:space="0" w:color="auto"/>
      </w:divBdr>
    </w:div>
    <w:div w:id="219824615">
      <w:bodyDiv w:val="1"/>
      <w:marLeft w:val="0"/>
      <w:marRight w:val="0"/>
      <w:marTop w:val="0"/>
      <w:marBottom w:val="0"/>
      <w:divBdr>
        <w:top w:val="none" w:sz="0" w:space="0" w:color="auto"/>
        <w:left w:val="none" w:sz="0" w:space="0" w:color="auto"/>
        <w:bottom w:val="none" w:sz="0" w:space="0" w:color="auto"/>
        <w:right w:val="none" w:sz="0" w:space="0" w:color="auto"/>
      </w:divBdr>
    </w:div>
    <w:div w:id="766731429">
      <w:bodyDiv w:val="1"/>
      <w:marLeft w:val="0"/>
      <w:marRight w:val="0"/>
      <w:marTop w:val="0"/>
      <w:marBottom w:val="0"/>
      <w:divBdr>
        <w:top w:val="none" w:sz="0" w:space="0" w:color="auto"/>
        <w:left w:val="none" w:sz="0" w:space="0" w:color="auto"/>
        <w:bottom w:val="none" w:sz="0" w:space="0" w:color="auto"/>
        <w:right w:val="none" w:sz="0" w:space="0" w:color="auto"/>
      </w:divBdr>
    </w:div>
    <w:div w:id="832453454">
      <w:bodyDiv w:val="1"/>
      <w:marLeft w:val="0"/>
      <w:marRight w:val="0"/>
      <w:marTop w:val="0"/>
      <w:marBottom w:val="0"/>
      <w:divBdr>
        <w:top w:val="none" w:sz="0" w:space="0" w:color="auto"/>
        <w:left w:val="none" w:sz="0" w:space="0" w:color="auto"/>
        <w:bottom w:val="none" w:sz="0" w:space="0" w:color="auto"/>
        <w:right w:val="none" w:sz="0" w:space="0" w:color="auto"/>
      </w:divBdr>
    </w:div>
    <w:div w:id="932199633">
      <w:bodyDiv w:val="1"/>
      <w:marLeft w:val="0"/>
      <w:marRight w:val="0"/>
      <w:marTop w:val="0"/>
      <w:marBottom w:val="0"/>
      <w:divBdr>
        <w:top w:val="none" w:sz="0" w:space="0" w:color="auto"/>
        <w:left w:val="none" w:sz="0" w:space="0" w:color="auto"/>
        <w:bottom w:val="none" w:sz="0" w:space="0" w:color="auto"/>
        <w:right w:val="none" w:sz="0" w:space="0" w:color="auto"/>
      </w:divBdr>
      <w:divsChild>
        <w:div w:id="2042893962">
          <w:marLeft w:val="547"/>
          <w:marRight w:val="0"/>
          <w:marTop w:val="0"/>
          <w:marBottom w:val="0"/>
          <w:divBdr>
            <w:top w:val="none" w:sz="0" w:space="0" w:color="auto"/>
            <w:left w:val="none" w:sz="0" w:space="0" w:color="auto"/>
            <w:bottom w:val="none" w:sz="0" w:space="0" w:color="auto"/>
            <w:right w:val="none" w:sz="0" w:space="0" w:color="auto"/>
          </w:divBdr>
        </w:div>
      </w:divsChild>
    </w:div>
    <w:div w:id="934441580">
      <w:bodyDiv w:val="1"/>
      <w:marLeft w:val="0"/>
      <w:marRight w:val="0"/>
      <w:marTop w:val="0"/>
      <w:marBottom w:val="0"/>
      <w:divBdr>
        <w:top w:val="none" w:sz="0" w:space="0" w:color="auto"/>
        <w:left w:val="none" w:sz="0" w:space="0" w:color="auto"/>
        <w:bottom w:val="none" w:sz="0" w:space="0" w:color="auto"/>
        <w:right w:val="none" w:sz="0" w:space="0" w:color="auto"/>
      </w:divBdr>
    </w:div>
    <w:div w:id="985165297">
      <w:bodyDiv w:val="1"/>
      <w:marLeft w:val="0"/>
      <w:marRight w:val="0"/>
      <w:marTop w:val="0"/>
      <w:marBottom w:val="0"/>
      <w:divBdr>
        <w:top w:val="none" w:sz="0" w:space="0" w:color="auto"/>
        <w:left w:val="none" w:sz="0" w:space="0" w:color="auto"/>
        <w:bottom w:val="none" w:sz="0" w:space="0" w:color="auto"/>
        <w:right w:val="none" w:sz="0" w:space="0" w:color="auto"/>
      </w:divBdr>
      <w:divsChild>
        <w:div w:id="546986768">
          <w:marLeft w:val="547"/>
          <w:marRight w:val="0"/>
          <w:marTop w:val="0"/>
          <w:marBottom w:val="0"/>
          <w:divBdr>
            <w:top w:val="none" w:sz="0" w:space="0" w:color="auto"/>
            <w:left w:val="none" w:sz="0" w:space="0" w:color="auto"/>
            <w:bottom w:val="none" w:sz="0" w:space="0" w:color="auto"/>
            <w:right w:val="none" w:sz="0" w:space="0" w:color="auto"/>
          </w:divBdr>
        </w:div>
        <w:div w:id="986519578">
          <w:marLeft w:val="547"/>
          <w:marRight w:val="0"/>
          <w:marTop w:val="0"/>
          <w:marBottom w:val="0"/>
          <w:divBdr>
            <w:top w:val="none" w:sz="0" w:space="0" w:color="auto"/>
            <w:left w:val="none" w:sz="0" w:space="0" w:color="auto"/>
            <w:bottom w:val="none" w:sz="0" w:space="0" w:color="auto"/>
            <w:right w:val="none" w:sz="0" w:space="0" w:color="auto"/>
          </w:divBdr>
        </w:div>
      </w:divsChild>
    </w:div>
    <w:div w:id="1034693957">
      <w:bodyDiv w:val="1"/>
      <w:marLeft w:val="0"/>
      <w:marRight w:val="0"/>
      <w:marTop w:val="0"/>
      <w:marBottom w:val="0"/>
      <w:divBdr>
        <w:top w:val="none" w:sz="0" w:space="0" w:color="auto"/>
        <w:left w:val="none" w:sz="0" w:space="0" w:color="auto"/>
        <w:bottom w:val="none" w:sz="0" w:space="0" w:color="auto"/>
        <w:right w:val="none" w:sz="0" w:space="0" w:color="auto"/>
      </w:divBdr>
    </w:div>
    <w:div w:id="1210723922">
      <w:bodyDiv w:val="1"/>
      <w:marLeft w:val="0"/>
      <w:marRight w:val="0"/>
      <w:marTop w:val="0"/>
      <w:marBottom w:val="0"/>
      <w:divBdr>
        <w:top w:val="none" w:sz="0" w:space="0" w:color="auto"/>
        <w:left w:val="none" w:sz="0" w:space="0" w:color="auto"/>
        <w:bottom w:val="none" w:sz="0" w:space="0" w:color="auto"/>
        <w:right w:val="none" w:sz="0" w:space="0" w:color="auto"/>
      </w:divBdr>
    </w:div>
    <w:div w:id="1598097647">
      <w:bodyDiv w:val="1"/>
      <w:marLeft w:val="0"/>
      <w:marRight w:val="0"/>
      <w:marTop w:val="0"/>
      <w:marBottom w:val="0"/>
      <w:divBdr>
        <w:top w:val="none" w:sz="0" w:space="0" w:color="auto"/>
        <w:left w:val="none" w:sz="0" w:space="0" w:color="auto"/>
        <w:bottom w:val="none" w:sz="0" w:space="0" w:color="auto"/>
        <w:right w:val="none" w:sz="0" w:space="0" w:color="auto"/>
      </w:divBdr>
    </w:div>
    <w:div w:id="1609072595">
      <w:bodyDiv w:val="1"/>
      <w:marLeft w:val="0"/>
      <w:marRight w:val="0"/>
      <w:marTop w:val="0"/>
      <w:marBottom w:val="0"/>
      <w:divBdr>
        <w:top w:val="none" w:sz="0" w:space="0" w:color="auto"/>
        <w:left w:val="none" w:sz="0" w:space="0" w:color="auto"/>
        <w:bottom w:val="none" w:sz="0" w:space="0" w:color="auto"/>
        <w:right w:val="none" w:sz="0" w:space="0" w:color="auto"/>
      </w:divBdr>
      <w:divsChild>
        <w:div w:id="133181412">
          <w:marLeft w:val="0"/>
          <w:marRight w:val="0"/>
          <w:marTop w:val="0"/>
          <w:marBottom w:val="0"/>
          <w:divBdr>
            <w:top w:val="none" w:sz="0" w:space="0" w:color="auto"/>
            <w:left w:val="none" w:sz="0" w:space="0" w:color="auto"/>
            <w:bottom w:val="none" w:sz="0" w:space="0" w:color="auto"/>
            <w:right w:val="none" w:sz="0" w:space="0" w:color="auto"/>
          </w:divBdr>
        </w:div>
        <w:div w:id="1617834326">
          <w:marLeft w:val="0"/>
          <w:marRight w:val="0"/>
          <w:marTop w:val="0"/>
          <w:marBottom w:val="0"/>
          <w:divBdr>
            <w:top w:val="none" w:sz="0" w:space="0" w:color="auto"/>
            <w:left w:val="none" w:sz="0" w:space="0" w:color="auto"/>
            <w:bottom w:val="none" w:sz="0" w:space="0" w:color="auto"/>
            <w:right w:val="none" w:sz="0" w:space="0" w:color="auto"/>
          </w:divBdr>
        </w:div>
        <w:div w:id="1031418785">
          <w:marLeft w:val="0"/>
          <w:marRight w:val="0"/>
          <w:marTop w:val="0"/>
          <w:marBottom w:val="0"/>
          <w:divBdr>
            <w:top w:val="none" w:sz="0" w:space="0" w:color="auto"/>
            <w:left w:val="none" w:sz="0" w:space="0" w:color="auto"/>
            <w:bottom w:val="none" w:sz="0" w:space="0" w:color="auto"/>
            <w:right w:val="none" w:sz="0" w:space="0" w:color="auto"/>
          </w:divBdr>
        </w:div>
        <w:div w:id="757288329">
          <w:marLeft w:val="0"/>
          <w:marRight w:val="0"/>
          <w:marTop w:val="0"/>
          <w:marBottom w:val="0"/>
          <w:divBdr>
            <w:top w:val="none" w:sz="0" w:space="0" w:color="auto"/>
            <w:left w:val="none" w:sz="0" w:space="0" w:color="auto"/>
            <w:bottom w:val="none" w:sz="0" w:space="0" w:color="auto"/>
            <w:right w:val="none" w:sz="0" w:space="0" w:color="auto"/>
          </w:divBdr>
        </w:div>
        <w:div w:id="233046895">
          <w:marLeft w:val="0"/>
          <w:marRight w:val="0"/>
          <w:marTop w:val="0"/>
          <w:marBottom w:val="0"/>
          <w:divBdr>
            <w:top w:val="none" w:sz="0" w:space="0" w:color="auto"/>
            <w:left w:val="none" w:sz="0" w:space="0" w:color="auto"/>
            <w:bottom w:val="none" w:sz="0" w:space="0" w:color="auto"/>
            <w:right w:val="none" w:sz="0" w:space="0" w:color="auto"/>
          </w:divBdr>
        </w:div>
        <w:div w:id="1130629842">
          <w:marLeft w:val="0"/>
          <w:marRight w:val="0"/>
          <w:marTop w:val="0"/>
          <w:marBottom w:val="0"/>
          <w:divBdr>
            <w:top w:val="none" w:sz="0" w:space="0" w:color="auto"/>
            <w:left w:val="none" w:sz="0" w:space="0" w:color="auto"/>
            <w:bottom w:val="none" w:sz="0" w:space="0" w:color="auto"/>
            <w:right w:val="none" w:sz="0" w:space="0" w:color="auto"/>
          </w:divBdr>
        </w:div>
        <w:div w:id="869689074">
          <w:marLeft w:val="0"/>
          <w:marRight w:val="0"/>
          <w:marTop w:val="0"/>
          <w:marBottom w:val="0"/>
          <w:divBdr>
            <w:top w:val="none" w:sz="0" w:space="0" w:color="auto"/>
            <w:left w:val="none" w:sz="0" w:space="0" w:color="auto"/>
            <w:bottom w:val="none" w:sz="0" w:space="0" w:color="auto"/>
            <w:right w:val="none" w:sz="0" w:space="0" w:color="auto"/>
          </w:divBdr>
        </w:div>
        <w:div w:id="47262378">
          <w:marLeft w:val="0"/>
          <w:marRight w:val="0"/>
          <w:marTop w:val="0"/>
          <w:marBottom w:val="0"/>
          <w:divBdr>
            <w:top w:val="none" w:sz="0" w:space="0" w:color="auto"/>
            <w:left w:val="none" w:sz="0" w:space="0" w:color="auto"/>
            <w:bottom w:val="none" w:sz="0" w:space="0" w:color="auto"/>
            <w:right w:val="none" w:sz="0" w:space="0" w:color="auto"/>
          </w:divBdr>
        </w:div>
        <w:div w:id="1282105633">
          <w:marLeft w:val="0"/>
          <w:marRight w:val="0"/>
          <w:marTop w:val="0"/>
          <w:marBottom w:val="0"/>
          <w:divBdr>
            <w:top w:val="none" w:sz="0" w:space="0" w:color="auto"/>
            <w:left w:val="none" w:sz="0" w:space="0" w:color="auto"/>
            <w:bottom w:val="none" w:sz="0" w:space="0" w:color="auto"/>
            <w:right w:val="none" w:sz="0" w:space="0" w:color="auto"/>
          </w:divBdr>
        </w:div>
        <w:div w:id="1632248804">
          <w:marLeft w:val="0"/>
          <w:marRight w:val="0"/>
          <w:marTop w:val="0"/>
          <w:marBottom w:val="0"/>
          <w:divBdr>
            <w:top w:val="none" w:sz="0" w:space="0" w:color="auto"/>
            <w:left w:val="none" w:sz="0" w:space="0" w:color="auto"/>
            <w:bottom w:val="none" w:sz="0" w:space="0" w:color="auto"/>
            <w:right w:val="none" w:sz="0" w:space="0" w:color="auto"/>
          </w:divBdr>
        </w:div>
        <w:div w:id="96407813">
          <w:marLeft w:val="0"/>
          <w:marRight w:val="0"/>
          <w:marTop w:val="0"/>
          <w:marBottom w:val="0"/>
          <w:divBdr>
            <w:top w:val="none" w:sz="0" w:space="0" w:color="auto"/>
            <w:left w:val="none" w:sz="0" w:space="0" w:color="auto"/>
            <w:bottom w:val="none" w:sz="0" w:space="0" w:color="auto"/>
            <w:right w:val="none" w:sz="0" w:space="0" w:color="auto"/>
          </w:divBdr>
        </w:div>
        <w:div w:id="1782187936">
          <w:marLeft w:val="0"/>
          <w:marRight w:val="0"/>
          <w:marTop w:val="0"/>
          <w:marBottom w:val="0"/>
          <w:divBdr>
            <w:top w:val="none" w:sz="0" w:space="0" w:color="auto"/>
            <w:left w:val="none" w:sz="0" w:space="0" w:color="auto"/>
            <w:bottom w:val="none" w:sz="0" w:space="0" w:color="auto"/>
            <w:right w:val="none" w:sz="0" w:space="0" w:color="auto"/>
          </w:divBdr>
        </w:div>
        <w:div w:id="220099403">
          <w:marLeft w:val="0"/>
          <w:marRight w:val="0"/>
          <w:marTop w:val="0"/>
          <w:marBottom w:val="0"/>
          <w:divBdr>
            <w:top w:val="none" w:sz="0" w:space="0" w:color="auto"/>
            <w:left w:val="none" w:sz="0" w:space="0" w:color="auto"/>
            <w:bottom w:val="none" w:sz="0" w:space="0" w:color="auto"/>
            <w:right w:val="none" w:sz="0" w:space="0" w:color="auto"/>
          </w:divBdr>
        </w:div>
        <w:div w:id="952246626">
          <w:marLeft w:val="0"/>
          <w:marRight w:val="0"/>
          <w:marTop w:val="0"/>
          <w:marBottom w:val="0"/>
          <w:divBdr>
            <w:top w:val="none" w:sz="0" w:space="0" w:color="auto"/>
            <w:left w:val="none" w:sz="0" w:space="0" w:color="auto"/>
            <w:bottom w:val="none" w:sz="0" w:space="0" w:color="auto"/>
            <w:right w:val="none" w:sz="0" w:space="0" w:color="auto"/>
          </w:divBdr>
        </w:div>
        <w:div w:id="846746513">
          <w:marLeft w:val="0"/>
          <w:marRight w:val="0"/>
          <w:marTop w:val="0"/>
          <w:marBottom w:val="0"/>
          <w:divBdr>
            <w:top w:val="none" w:sz="0" w:space="0" w:color="auto"/>
            <w:left w:val="none" w:sz="0" w:space="0" w:color="auto"/>
            <w:bottom w:val="none" w:sz="0" w:space="0" w:color="auto"/>
            <w:right w:val="none" w:sz="0" w:space="0" w:color="auto"/>
          </w:divBdr>
        </w:div>
        <w:div w:id="240530655">
          <w:marLeft w:val="0"/>
          <w:marRight w:val="0"/>
          <w:marTop w:val="0"/>
          <w:marBottom w:val="0"/>
          <w:divBdr>
            <w:top w:val="none" w:sz="0" w:space="0" w:color="auto"/>
            <w:left w:val="none" w:sz="0" w:space="0" w:color="auto"/>
            <w:bottom w:val="none" w:sz="0" w:space="0" w:color="auto"/>
            <w:right w:val="none" w:sz="0" w:space="0" w:color="auto"/>
          </w:divBdr>
        </w:div>
      </w:divsChild>
    </w:div>
    <w:div w:id="1677265475">
      <w:bodyDiv w:val="1"/>
      <w:marLeft w:val="0"/>
      <w:marRight w:val="0"/>
      <w:marTop w:val="0"/>
      <w:marBottom w:val="0"/>
      <w:divBdr>
        <w:top w:val="none" w:sz="0" w:space="0" w:color="auto"/>
        <w:left w:val="none" w:sz="0" w:space="0" w:color="auto"/>
        <w:bottom w:val="none" w:sz="0" w:space="0" w:color="auto"/>
        <w:right w:val="none" w:sz="0" w:space="0" w:color="auto"/>
      </w:divBdr>
    </w:div>
    <w:div w:id="1942250746">
      <w:bodyDiv w:val="1"/>
      <w:marLeft w:val="0"/>
      <w:marRight w:val="0"/>
      <w:marTop w:val="0"/>
      <w:marBottom w:val="0"/>
      <w:divBdr>
        <w:top w:val="none" w:sz="0" w:space="0" w:color="auto"/>
        <w:left w:val="none" w:sz="0" w:space="0" w:color="auto"/>
        <w:bottom w:val="none" w:sz="0" w:space="0" w:color="auto"/>
        <w:right w:val="none" w:sz="0" w:space="0" w:color="auto"/>
      </w:divBdr>
    </w:div>
    <w:div w:id="1952320511">
      <w:bodyDiv w:val="1"/>
      <w:marLeft w:val="0"/>
      <w:marRight w:val="0"/>
      <w:marTop w:val="0"/>
      <w:marBottom w:val="0"/>
      <w:divBdr>
        <w:top w:val="none" w:sz="0" w:space="0" w:color="auto"/>
        <w:left w:val="none" w:sz="0" w:space="0" w:color="auto"/>
        <w:bottom w:val="none" w:sz="0" w:space="0" w:color="auto"/>
        <w:right w:val="none" w:sz="0" w:space="0" w:color="auto"/>
      </w:divBdr>
    </w:div>
    <w:div w:id="21118521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diagramQuickStyle" Target="diagrams/quickStyle1.xml"/><Relationship Id="rId3" Type="http://schemas.openxmlformats.org/officeDocument/2006/relationships/styles" Target="styles.xml"/><Relationship Id="rId7" Type="http://schemas.openxmlformats.org/officeDocument/2006/relationships/diagramLayout" Target="diagrams/layout1.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diagramData" Target="diagrams/data1.xml"/><Relationship Id="rId11" Type="http://schemas.openxmlformats.org/officeDocument/2006/relationships/fontTable" Target="fontTable.xml"/><Relationship Id="rId5" Type="http://schemas.openxmlformats.org/officeDocument/2006/relationships/webSettings" Target="webSettings.xml"/><Relationship Id="rId10" Type="http://schemas.microsoft.com/office/2007/relationships/diagramDrawing" Target="diagrams/drawing1.xml"/><Relationship Id="rId4" Type="http://schemas.openxmlformats.org/officeDocument/2006/relationships/settings" Target="settings.xml"/><Relationship Id="rId9" Type="http://schemas.openxmlformats.org/officeDocument/2006/relationships/diagramColors" Target="diagrams/colors1.xml"/></Relationships>
</file>

<file path=word/diagrams/colors1.xml><?xml version="1.0" encoding="utf-8"?>
<dgm:colorsDef xmlns:dgm="http://schemas.openxmlformats.org/drawingml/2006/diagram" xmlns:a="http://schemas.openxmlformats.org/drawingml/2006/main" uniqueId="urn:microsoft.com/office/officeart/2005/8/colors/accent0_1">
  <dgm:title val=""/>
  <dgm:desc val=""/>
  <dgm:catLst>
    <dgm:cat type="mainScheme" pri="10100"/>
  </dgm:catLst>
  <dgm:styleLbl name="node0">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lig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l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vennNode1">
    <dgm:fillClrLst meth="repeat">
      <a:schemeClr val="lt1">
        <a:alpha val="50000"/>
      </a:schemeClr>
    </dgm:fillClrLst>
    <dgm:linClrLst meth="repeat">
      <a:schemeClr val="dk1">
        <a:shade val="80000"/>
      </a:schemeClr>
    </dgm:linClrLst>
    <dgm:effectClrLst/>
    <dgm:txLinClrLst/>
    <dgm:txFillClrLst/>
    <dgm:txEffectClrLst/>
  </dgm:styleLbl>
  <dgm:styleLbl name="node2">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dk1">
        <a:shade val="80000"/>
      </a:schemeClr>
    </dgm:linClrLst>
    <dgm:effectClrLst/>
    <dgm:txLinClrLst/>
    <dgm:txFillClrLst meth="repeat">
      <a:schemeClr val="dk1"/>
    </dgm:txFillClrLst>
    <dgm:txEffectClrLst/>
  </dgm:styleLbl>
  <dgm:styleLbl name="f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align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b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f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b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sibTrans1D1">
    <dgm:fillClrLst meth="repeat">
      <a:schemeClr val="dk1"/>
    </dgm:fillClrLst>
    <dgm:linClrLst meth="repeat">
      <a:schemeClr val="dk1"/>
    </dgm:linClrLst>
    <dgm:effectClrLst/>
    <dgm:txLinClrLst/>
    <dgm:txFillClrLst meth="repeat">
      <a:schemeClr val="tx1"/>
    </dgm:txFillClrLst>
    <dgm:txEffectClrLst/>
  </dgm:styleLbl>
  <dgm:styleLbl name="callout">
    <dgm:fillClrLst meth="repeat">
      <a:schemeClr val="dk1"/>
    </dgm:fillClrLst>
    <dgm:linClrLst meth="repeat">
      <a:schemeClr val="dk1"/>
    </dgm:linClrLst>
    <dgm:effectClrLst/>
    <dgm:txLinClrLst/>
    <dgm:txFillClrLst meth="repeat">
      <a:schemeClr val="tx1"/>
    </dgm:txFillClrLst>
    <dgm:txEffectClrLst/>
  </dgm:styleLbl>
  <dgm:styleLbl name="asst0">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dk1">
        <a:shade val="80000"/>
      </a:schemeClr>
    </dgm:linClrLst>
    <dgm:effectClrLst/>
    <dgm:txLinClrLst/>
    <dgm:txFillClrLst meth="repeat">
      <a:schemeClr val="dk1"/>
    </dgm:txFillClrLst>
    <dgm:txEffectClrLst/>
  </dgm:styleLbl>
  <dgm:styleLbl name="parChTrans2D1">
    <dgm:fillClrLst meth="repeat">
      <a:schemeClr val="dk1">
        <a:tint val="60000"/>
      </a:schemeClr>
    </dgm:fillClrLst>
    <dgm:linClrLst meth="repeat">
      <a:schemeClr val="dk1">
        <a:tint val="60000"/>
      </a:schemeClr>
    </dgm:linClrLst>
    <dgm:effectClrLst/>
    <dgm:txLinClrLst/>
    <dgm:txFillClrLst/>
    <dgm:txEffectClrLst/>
  </dgm:styleLbl>
  <dgm:styleLbl name="parChTrans2D2">
    <dgm:fillClrLst meth="repeat">
      <a:schemeClr val="dk1"/>
    </dgm:fillClrLst>
    <dgm:linClrLst meth="repeat">
      <a:schemeClr val="dk1"/>
    </dgm:linClrLst>
    <dgm:effectClrLst/>
    <dgm:txLinClrLst/>
    <dgm:txFillClrLst/>
    <dgm:txEffectClrLst/>
  </dgm:styleLbl>
  <dgm:styleLbl name="parChTrans2D3">
    <dgm:fillClrLst meth="repeat">
      <a:schemeClr val="dk1"/>
    </dgm:fillClrLst>
    <dgm:linClrLst meth="repeat">
      <a:schemeClr val="dk1"/>
    </dgm:linClrLst>
    <dgm:effectClrLst/>
    <dgm:txLinClrLst/>
    <dgm:txFillClrLst/>
    <dgm:txEffectClrLst/>
  </dgm:styleLbl>
  <dgm:styleLbl name="parChTrans2D4">
    <dgm:fillClrLst meth="repeat">
      <a:schemeClr val="dk1"/>
    </dgm:fillClrLst>
    <dgm:linClrLst meth="repeat">
      <a:schemeClr val="dk1"/>
    </dgm:linClrLst>
    <dgm:effectClrLst/>
    <dgm:txLinClrLst/>
    <dgm:txFillClrLst meth="repeat">
      <a:schemeClr val="lt1"/>
    </dgm:txFillClrLst>
    <dgm:txEffectClrLst/>
  </dgm:styleLbl>
  <dgm:styleLbl name="parChTrans1D1">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2">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3">
    <dgm:fillClrLst meth="repeat">
      <a:schemeClr val="dk1"/>
    </dgm:fillClrLst>
    <dgm:linClrLst meth="repeat">
      <a:schemeClr val="dk1">
        <a:shade val="80000"/>
      </a:schemeClr>
    </dgm:linClrLst>
    <dgm:effectClrLst/>
    <dgm:txLinClrLst/>
    <dgm:txFillClrLst meth="repeat">
      <a:schemeClr val="tx1"/>
    </dgm:txFillClrLst>
    <dgm:txEffectClrLst/>
  </dgm:styleLbl>
  <dgm:styleLbl name="parChTrans1D4">
    <dgm:fillClrLst meth="repeat">
      <a:schemeClr val="dk1"/>
    </dgm:fillClrLst>
    <dgm:linClrLst meth="repeat">
      <a:schemeClr val="dk1">
        <a:shade val="80000"/>
      </a:schemeClr>
    </dgm:linClrLst>
    <dgm:effectClrLst/>
    <dgm:txLinClrLst/>
    <dgm:txFillClrLst meth="repeat">
      <a:schemeClr val="tx1"/>
    </dgm:txFillClrLst>
    <dgm:txEffectClrLst/>
  </dgm:styleLbl>
  <dgm:styleLbl name="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con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align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trAlignAcc1">
    <dgm:fillClrLst meth="repeat">
      <a:schemeClr val="dk1">
        <a:alpha val="40000"/>
        <a:tint val="40000"/>
      </a:schemeClr>
    </dgm:fillClrLst>
    <dgm:linClrLst meth="repeat">
      <a:schemeClr val="dk1"/>
    </dgm:linClrLst>
    <dgm:effectClrLst/>
    <dgm:txLinClrLst/>
    <dgm:txFillClrLst meth="repeat">
      <a:schemeClr val="dk1"/>
    </dgm:txFillClrLst>
    <dgm:txEffectClrLst/>
  </dgm:styleLbl>
  <dgm:styleLbl name="b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solidFgAcc1">
    <dgm:fillClrLst meth="repeat">
      <a:schemeClr val="lt1"/>
    </dgm:fillClrLst>
    <dgm:linClrLst meth="repeat">
      <a:schemeClr val="dk1"/>
    </dgm:linClrLst>
    <dgm:effectClrLst/>
    <dgm:txLinClrLst/>
    <dgm:txFillClrLst meth="repeat">
      <a:schemeClr val="dk1"/>
    </dgm:txFillClrLst>
    <dgm:txEffectClrLst/>
  </dgm:styleLbl>
  <dgm:styleLbl name="solidAlignAcc1">
    <dgm:fillClrLst meth="repeat">
      <a:schemeClr val="lt1"/>
    </dgm:fillClrLst>
    <dgm:linClrLst meth="repeat">
      <a:schemeClr val="dk1"/>
    </dgm:linClrLst>
    <dgm:effectClrLst/>
    <dgm:txLinClrLst/>
    <dgm:txFillClrLst meth="repeat">
      <a:schemeClr val="dk1"/>
    </dgm:txFillClrLst>
    <dgm:txEffectClrLst/>
  </dgm:styleLbl>
  <dgm:styleLbl name="solidBgAcc1">
    <dgm:fillClrLst meth="repeat">
      <a:schemeClr val="lt1"/>
    </dgm:fillClrLst>
    <dgm:linClrLst meth="repeat">
      <a:schemeClr val="dk1"/>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fgAcc0">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2">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3">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4">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bgShp">
    <dgm:fillClrLst meth="repeat">
      <a:schemeClr val="dk1">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dk1">
        <a:shade val="80000"/>
      </a:schemeClr>
    </dgm:fillClrLst>
    <dgm:linClrLst meth="repeat">
      <a:schemeClr val="dk1"/>
    </dgm:linClrLst>
    <dgm:effectClrLst/>
    <dgm:txLinClrLst/>
    <dgm:txFillClrLst meth="repeat">
      <a:schemeClr val="lt1"/>
    </dgm:txFillClrLst>
    <dgm:txEffectClrLst/>
  </dgm:styleLbl>
  <dgm:styleLbl name="trBgShp">
    <dgm:fillClrLst meth="repeat">
      <a:schemeClr val="dk1">
        <a:tint val="50000"/>
        <a:alpha val="40000"/>
      </a:schemeClr>
    </dgm:fillClrLst>
    <dgm:linClrLst meth="repeat">
      <a:schemeClr val="dk1"/>
    </dgm:linClrLst>
    <dgm:effectClrLst/>
    <dgm:txLinClrLst/>
    <dgm:txFillClrLst meth="repeat">
      <a:schemeClr val="lt1"/>
    </dgm:txFillClrLst>
    <dgm:txEffectClrLst/>
  </dgm:styleLbl>
  <dgm:styleLbl name="fgShp">
    <dgm:fillClrLst meth="repeat">
      <a:schemeClr val="dk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FEAE3506-E842-634A-91A1-6DCB458CF893}" type="doc">
      <dgm:prSet loTypeId="urn:microsoft.com/office/officeart/2005/8/layout/vList6" loCatId="" qsTypeId="urn:microsoft.com/office/officeart/2005/8/quickstyle/simple1" qsCatId="simple" csTypeId="urn:microsoft.com/office/officeart/2005/8/colors/accent0_1" csCatId="mainScheme" phldr="1"/>
      <dgm:spPr/>
      <dgm:t>
        <a:bodyPr/>
        <a:lstStyle/>
        <a:p>
          <a:endParaRPr lang="en-US"/>
        </a:p>
      </dgm:t>
    </dgm:pt>
    <dgm:pt modelId="{1A71811D-B69C-8446-8C9B-8D80C79DDEB9}">
      <dgm:prSet phldrT="[Text]" custT="1"/>
      <dgm:spPr/>
      <dgm:t>
        <a:bodyPr/>
        <a:lstStyle/>
        <a:p>
          <a:r>
            <a:rPr lang="en-US" sz="900" b="1" i="0" u="none">
              <a:latin typeface="Arial" panose="020B0604020202020204" pitchFamily="34" charset="0"/>
              <a:cs typeface="Arial" panose="020B0604020202020204" pitchFamily="34" charset="0"/>
            </a:rPr>
            <a:t>Predictors:</a:t>
          </a:r>
        </a:p>
        <a:p>
          <a:r>
            <a:rPr lang="en-US" sz="900" b="0" i="0" u="none">
              <a:latin typeface="Arial" panose="020B0604020202020204" pitchFamily="34" charset="0"/>
              <a:cs typeface="Arial" panose="020B0604020202020204" pitchFamily="34" charset="0"/>
            </a:rPr>
            <a:t>Detailed Food Frequency Questionaire c</a:t>
          </a:r>
          <a:r>
            <a:rPr lang="en-US" sz="900">
              <a:latin typeface="Arial" panose="020B0604020202020204" pitchFamily="34" charset="0"/>
              <a:cs typeface="Arial" panose="020B0604020202020204" pitchFamily="34" charset="0"/>
            </a:rPr>
            <a:t>ompleted at time of enrollment</a:t>
          </a:r>
          <a:endParaRPr lang="en-US" sz="900" b="0" i="0" u="none">
            <a:latin typeface="Arial" panose="020B0604020202020204" pitchFamily="34" charset="0"/>
            <a:cs typeface="Arial" panose="020B0604020202020204" pitchFamily="34" charset="0"/>
          </a:endParaRPr>
        </a:p>
      </dgm:t>
    </dgm:pt>
    <dgm:pt modelId="{2B3B6BD9-1DC9-794F-9386-1F977B041DDB}" type="parTrans" cxnId="{DF6AFFD9-58CB-AA49-A092-8629442D99DA}">
      <dgm:prSet/>
      <dgm:spPr/>
      <dgm:t>
        <a:bodyPr/>
        <a:lstStyle/>
        <a:p>
          <a:endParaRPr lang="en-US" sz="900">
            <a:latin typeface="Arial" panose="020B0604020202020204" pitchFamily="34" charset="0"/>
            <a:cs typeface="Arial" panose="020B0604020202020204" pitchFamily="34" charset="0"/>
          </a:endParaRPr>
        </a:p>
      </dgm:t>
    </dgm:pt>
    <dgm:pt modelId="{F5E59AD2-DDA0-3D4A-9B7C-3660DA6C7619}" type="sibTrans" cxnId="{DF6AFFD9-58CB-AA49-A092-8629442D99DA}">
      <dgm:prSet/>
      <dgm:spPr/>
      <dgm:t>
        <a:bodyPr/>
        <a:lstStyle/>
        <a:p>
          <a:endParaRPr lang="en-US" sz="900">
            <a:latin typeface="Arial" panose="020B0604020202020204" pitchFamily="34" charset="0"/>
            <a:cs typeface="Arial" panose="020B0604020202020204" pitchFamily="34" charset="0"/>
          </a:endParaRPr>
        </a:p>
      </dgm:t>
    </dgm:pt>
    <dgm:pt modelId="{D1193AAC-1F0A-1143-A586-33685E3D9E9D}">
      <dgm:prSet phldrT="[Text]" custT="1"/>
      <dgm:spPr/>
      <dgm:t>
        <a:bodyPr/>
        <a:lstStyle/>
        <a:p>
          <a:r>
            <a:rPr lang="en-US" sz="900" b="1">
              <a:latin typeface="Arial" panose="020B0604020202020204" pitchFamily="34" charset="0"/>
              <a:cs typeface="Arial" panose="020B0604020202020204" pitchFamily="34" charset="0"/>
            </a:rPr>
            <a:t> Clinical Evolution through Clinical Visits </a:t>
          </a:r>
        </a:p>
      </dgm:t>
    </dgm:pt>
    <dgm:pt modelId="{945B1009-B697-A340-97C5-394FB9AA6E10}" type="parTrans" cxnId="{F7726DC7-A140-4B45-BBCC-F25D5F3B603F}">
      <dgm:prSet/>
      <dgm:spPr/>
      <dgm:t>
        <a:bodyPr/>
        <a:lstStyle/>
        <a:p>
          <a:endParaRPr lang="en-US" sz="900">
            <a:latin typeface="Arial" panose="020B0604020202020204" pitchFamily="34" charset="0"/>
            <a:cs typeface="Arial" panose="020B0604020202020204" pitchFamily="34" charset="0"/>
          </a:endParaRPr>
        </a:p>
      </dgm:t>
    </dgm:pt>
    <dgm:pt modelId="{3F07CC51-792B-EE45-92A7-A2D2DC2AB90D}" type="sibTrans" cxnId="{F7726DC7-A140-4B45-BBCC-F25D5F3B603F}">
      <dgm:prSet/>
      <dgm:spPr/>
      <dgm:t>
        <a:bodyPr/>
        <a:lstStyle/>
        <a:p>
          <a:endParaRPr lang="en-US" sz="900">
            <a:latin typeface="Arial" panose="020B0604020202020204" pitchFamily="34" charset="0"/>
            <a:cs typeface="Arial" panose="020B0604020202020204" pitchFamily="34" charset="0"/>
          </a:endParaRPr>
        </a:p>
      </dgm:t>
    </dgm:pt>
    <dgm:pt modelId="{F9DF923D-D592-B948-8FC5-5EF95CBEE777}">
      <dgm:prSet phldrT="[Text]" custT="1"/>
      <dgm:spPr/>
      <dgm:t>
        <a:bodyPr/>
        <a:lstStyle/>
        <a:p>
          <a:r>
            <a:rPr lang="en-US" sz="900">
              <a:latin typeface="Arial" panose="020B0604020202020204" pitchFamily="34" charset="0"/>
              <a:cs typeface="Arial" panose="020B0604020202020204" pitchFamily="34" charset="0"/>
            </a:rPr>
            <a:t>Relapses reported by patients, families or providers</a:t>
          </a:r>
        </a:p>
      </dgm:t>
    </dgm:pt>
    <dgm:pt modelId="{D042CEA5-2E17-9749-9FFD-22B1D1B7A2B8}" type="parTrans" cxnId="{D2595FDD-59C9-FB44-A078-60A2C4A8AF10}">
      <dgm:prSet/>
      <dgm:spPr/>
      <dgm:t>
        <a:bodyPr/>
        <a:lstStyle/>
        <a:p>
          <a:endParaRPr lang="en-US" sz="900">
            <a:latin typeface="Arial" panose="020B0604020202020204" pitchFamily="34" charset="0"/>
            <a:cs typeface="Arial" panose="020B0604020202020204" pitchFamily="34" charset="0"/>
          </a:endParaRPr>
        </a:p>
      </dgm:t>
    </dgm:pt>
    <dgm:pt modelId="{2DCC8F85-DC3A-FB41-8B22-3C876C2FE1DE}" type="sibTrans" cxnId="{D2595FDD-59C9-FB44-A078-60A2C4A8AF10}">
      <dgm:prSet/>
      <dgm:spPr/>
      <dgm:t>
        <a:bodyPr/>
        <a:lstStyle/>
        <a:p>
          <a:endParaRPr lang="en-US" sz="900">
            <a:latin typeface="Arial" panose="020B0604020202020204" pitchFamily="34" charset="0"/>
            <a:cs typeface="Arial" panose="020B0604020202020204" pitchFamily="34" charset="0"/>
          </a:endParaRPr>
        </a:p>
      </dgm:t>
    </dgm:pt>
    <dgm:pt modelId="{35A6E5B7-0D54-3245-8EB8-B36C24A7C440}">
      <dgm:prSet phldrT="[Text]" custT="1"/>
      <dgm:spPr/>
      <dgm:t>
        <a:bodyPr/>
        <a:lstStyle/>
        <a:p>
          <a:r>
            <a:rPr lang="en-US" sz="900">
              <a:latin typeface="Arial" panose="020B0604020202020204" pitchFamily="34" charset="0"/>
              <a:cs typeface="Arial" panose="020B0604020202020204" pitchFamily="34" charset="0"/>
            </a:rPr>
            <a:t>Ratings on objective MS disease severity scales</a:t>
          </a:r>
        </a:p>
      </dgm:t>
    </dgm:pt>
    <dgm:pt modelId="{2F73A45F-64F2-0443-85CA-D5B0C5468EB5}" type="parTrans" cxnId="{3AB37288-A553-A140-BEBD-5C2EA0A164E3}">
      <dgm:prSet/>
      <dgm:spPr/>
      <dgm:t>
        <a:bodyPr/>
        <a:lstStyle/>
        <a:p>
          <a:endParaRPr lang="en-US" sz="900">
            <a:latin typeface="Arial" panose="020B0604020202020204" pitchFamily="34" charset="0"/>
            <a:cs typeface="Arial" panose="020B0604020202020204" pitchFamily="34" charset="0"/>
          </a:endParaRPr>
        </a:p>
      </dgm:t>
    </dgm:pt>
    <dgm:pt modelId="{DC566D7D-77E8-A74E-B3A9-6A16E678CA0E}" type="sibTrans" cxnId="{3AB37288-A553-A140-BEBD-5C2EA0A164E3}">
      <dgm:prSet/>
      <dgm:spPr/>
      <dgm:t>
        <a:bodyPr/>
        <a:lstStyle/>
        <a:p>
          <a:endParaRPr lang="en-US" sz="900">
            <a:latin typeface="Arial" panose="020B0604020202020204" pitchFamily="34" charset="0"/>
            <a:cs typeface="Arial" panose="020B0604020202020204" pitchFamily="34" charset="0"/>
          </a:endParaRPr>
        </a:p>
      </dgm:t>
    </dgm:pt>
    <dgm:pt modelId="{3B377B23-AF13-784A-BEF3-62F78F63F1EB}">
      <dgm:prSet phldrT="[Text]" custT="1"/>
      <dgm:spPr/>
      <dgm:t>
        <a:bodyPr/>
        <a:lstStyle/>
        <a:p>
          <a:r>
            <a:rPr lang="en-US" sz="900">
              <a:latin typeface="Arial" panose="020B0604020202020204" pitchFamily="34" charset="0"/>
              <a:cs typeface="Arial" panose="020B0604020202020204" pitchFamily="34" charset="0"/>
            </a:rPr>
            <a:t> </a:t>
          </a:r>
          <a:r>
            <a:rPr lang="en-US" sz="900" b="1">
              <a:latin typeface="Arial" panose="020B0604020202020204" pitchFamily="34" charset="0"/>
              <a:cs typeface="Arial" panose="020B0604020202020204" pitchFamily="34" charset="0"/>
            </a:rPr>
            <a:t>Radiographic Evolution on MRI </a:t>
          </a:r>
        </a:p>
      </dgm:t>
    </dgm:pt>
    <dgm:pt modelId="{F2478697-032E-D743-AB06-05B882DCD9D5}" type="parTrans" cxnId="{6A98EBDC-9DE9-DC4A-8F12-8C7AF934F9C1}">
      <dgm:prSet/>
      <dgm:spPr/>
      <dgm:t>
        <a:bodyPr/>
        <a:lstStyle/>
        <a:p>
          <a:endParaRPr lang="en-US" sz="900">
            <a:latin typeface="Arial" panose="020B0604020202020204" pitchFamily="34" charset="0"/>
            <a:cs typeface="Arial" panose="020B0604020202020204" pitchFamily="34" charset="0"/>
          </a:endParaRPr>
        </a:p>
      </dgm:t>
    </dgm:pt>
    <dgm:pt modelId="{6447CF28-05FF-494A-BB9B-66F8D27241DF}" type="sibTrans" cxnId="{6A98EBDC-9DE9-DC4A-8F12-8C7AF934F9C1}">
      <dgm:prSet/>
      <dgm:spPr/>
      <dgm:t>
        <a:bodyPr/>
        <a:lstStyle/>
        <a:p>
          <a:endParaRPr lang="en-US" sz="900">
            <a:latin typeface="Arial" panose="020B0604020202020204" pitchFamily="34" charset="0"/>
            <a:cs typeface="Arial" panose="020B0604020202020204" pitchFamily="34" charset="0"/>
          </a:endParaRPr>
        </a:p>
      </dgm:t>
    </dgm:pt>
    <dgm:pt modelId="{F9FE4E31-FDC8-5149-A12E-9370B873E1FC}">
      <dgm:prSet custT="1"/>
      <dgm:spPr/>
      <dgm:t>
        <a:bodyPr/>
        <a:lstStyle/>
        <a:p>
          <a:r>
            <a:rPr lang="en-US" sz="900">
              <a:latin typeface="Arial" panose="020B0604020202020204" pitchFamily="34" charset="0"/>
              <a:cs typeface="Arial" panose="020B0604020202020204" pitchFamily="34" charset="0"/>
            </a:rPr>
            <a:t>Increased T2 lesion burden progression on MRI</a:t>
          </a:r>
        </a:p>
      </dgm:t>
    </dgm:pt>
    <dgm:pt modelId="{6D8D43BF-93A1-7B4C-81FC-6F0E6F31C5D4}" type="parTrans" cxnId="{7B3774D1-A6AD-B640-B51F-BFB7C844A9BB}">
      <dgm:prSet/>
      <dgm:spPr/>
      <dgm:t>
        <a:bodyPr/>
        <a:lstStyle/>
        <a:p>
          <a:endParaRPr lang="en-US" sz="900">
            <a:latin typeface="Arial" panose="020B0604020202020204" pitchFamily="34" charset="0"/>
            <a:cs typeface="Arial" panose="020B0604020202020204" pitchFamily="34" charset="0"/>
          </a:endParaRPr>
        </a:p>
      </dgm:t>
    </dgm:pt>
    <dgm:pt modelId="{3892150F-F1A8-BD42-9974-A66EC6DC053F}" type="sibTrans" cxnId="{7B3774D1-A6AD-B640-B51F-BFB7C844A9BB}">
      <dgm:prSet/>
      <dgm:spPr/>
      <dgm:t>
        <a:bodyPr/>
        <a:lstStyle/>
        <a:p>
          <a:endParaRPr lang="en-US" sz="900">
            <a:latin typeface="Arial" panose="020B0604020202020204" pitchFamily="34" charset="0"/>
            <a:cs typeface="Arial" panose="020B0604020202020204" pitchFamily="34" charset="0"/>
          </a:endParaRPr>
        </a:p>
      </dgm:t>
    </dgm:pt>
    <dgm:pt modelId="{841CCA57-02E1-6D4B-93A2-1DBB55621269}">
      <dgm:prSet custT="1"/>
      <dgm:spPr/>
      <dgm:t>
        <a:bodyPr/>
        <a:lstStyle/>
        <a:p>
          <a:r>
            <a:rPr lang="en-US" sz="900">
              <a:latin typeface="Arial" panose="020B0604020202020204" pitchFamily="34" charset="0"/>
              <a:cs typeface="Arial" panose="020B0604020202020204" pitchFamily="34" charset="0"/>
            </a:rPr>
            <a:t>Gadolinium-enhancement on MRI</a:t>
          </a:r>
        </a:p>
      </dgm:t>
    </dgm:pt>
    <dgm:pt modelId="{6430154E-39DB-B540-B507-B2503089AB5F}" type="parTrans" cxnId="{2C5D2DF8-2C39-774F-96F8-8AAF6EBAE9AD}">
      <dgm:prSet/>
      <dgm:spPr/>
      <dgm:t>
        <a:bodyPr/>
        <a:lstStyle/>
        <a:p>
          <a:endParaRPr lang="en-US" sz="900">
            <a:latin typeface="Arial" panose="020B0604020202020204" pitchFamily="34" charset="0"/>
            <a:cs typeface="Arial" panose="020B0604020202020204" pitchFamily="34" charset="0"/>
          </a:endParaRPr>
        </a:p>
      </dgm:t>
    </dgm:pt>
    <dgm:pt modelId="{AF4C235D-C8EC-9243-9737-8F8B2D3B287C}" type="sibTrans" cxnId="{2C5D2DF8-2C39-774F-96F8-8AAF6EBAE9AD}">
      <dgm:prSet/>
      <dgm:spPr/>
      <dgm:t>
        <a:bodyPr/>
        <a:lstStyle/>
        <a:p>
          <a:endParaRPr lang="en-US" sz="900">
            <a:latin typeface="Arial" panose="020B0604020202020204" pitchFamily="34" charset="0"/>
            <a:cs typeface="Arial" panose="020B0604020202020204" pitchFamily="34" charset="0"/>
          </a:endParaRPr>
        </a:p>
      </dgm:t>
    </dgm:pt>
    <dgm:pt modelId="{D188B85E-ACCB-0143-B534-21BB53C5E6DD}">
      <dgm:prSet phldrT="[Text]" custT="1"/>
      <dgm:spPr/>
      <dgm:t>
        <a:bodyPr/>
        <a:lstStyle/>
        <a:p>
          <a:r>
            <a:rPr lang="en-US" sz="900" b="1" i="0" u="none">
              <a:latin typeface="Arial" panose="020B0604020202020204" pitchFamily="34" charset="0"/>
              <a:cs typeface="Arial" panose="020B0604020202020204" pitchFamily="34" charset="0"/>
            </a:rPr>
            <a:t>Outcomes: </a:t>
          </a:r>
        </a:p>
        <a:p>
          <a:r>
            <a:rPr lang="en-US" sz="900" b="0" i="0" u="none">
              <a:latin typeface="Arial" panose="020B0604020202020204" pitchFamily="34" charset="0"/>
              <a:cs typeface="Arial" panose="020B0604020202020204" pitchFamily="34" charset="0"/>
            </a:rPr>
            <a:t>Six-month clinic follow-up visits </a:t>
          </a:r>
        </a:p>
        <a:p>
          <a:r>
            <a:rPr lang="en-US" sz="900" b="0" i="0" u="none">
              <a:latin typeface="Arial" panose="020B0604020202020204" pitchFamily="34" charset="0"/>
              <a:cs typeface="Arial" panose="020B0604020202020204" pitchFamily="34" charset="0"/>
            </a:rPr>
            <a:t>(for up to 8 years of MS disease data)</a:t>
          </a:r>
        </a:p>
      </dgm:t>
    </dgm:pt>
    <dgm:pt modelId="{F0E8A048-6ACB-6340-9998-1D8E8E30EC12}" type="parTrans" cxnId="{BB0DD69A-C7C4-C648-A526-3549C31E07D4}">
      <dgm:prSet/>
      <dgm:spPr/>
      <dgm:t>
        <a:bodyPr/>
        <a:lstStyle/>
        <a:p>
          <a:endParaRPr lang="en-US" sz="900">
            <a:latin typeface="Arial" panose="020B0604020202020204" pitchFamily="34" charset="0"/>
            <a:cs typeface="Arial" panose="020B0604020202020204" pitchFamily="34" charset="0"/>
          </a:endParaRPr>
        </a:p>
      </dgm:t>
    </dgm:pt>
    <dgm:pt modelId="{63733AB4-1A9F-1F45-91B3-BC1D22510C51}" type="sibTrans" cxnId="{BB0DD69A-C7C4-C648-A526-3549C31E07D4}">
      <dgm:prSet/>
      <dgm:spPr/>
      <dgm:t>
        <a:bodyPr/>
        <a:lstStyle/>
        <a:p>
          <a:endParaRPr lang="en-US" sz="900">
            <a:latin typeface="Arial" panose="020B0604020202020204" pitchFamily="34" charset="0"/>
            <a:cs typeface="Arial" panose="020B0604020202020204" pitchFamily="34" charset="0"/>
          </a:endParaRPr>
        </a:p>
      </dgm:t>
    </dgm:pt>
    <dgm:pt modelId="{D33838D2-6ADC-5F40-A17E-782A2DCF4438}">
      <dgm:prSet custT="1"/>
      <dgm:spPr/>
      <dgm:t>
        <a:bodyPr/>
        <a:lstStyle/>
        <a:p>
          <a:endParaRPr lang="en-US" sz="900">
            <a:latin typeface="Arial" panose="020B0604020202020204" pitchFamily="34" charset="0"/>
            <a:cs typeface="Arial" panose="020B0604020202020204" pitchFamily="34" charset="0"/>
          </a:endParaRPr>
        </a:p>
      </dgm:t>
    </dgm:pt>
    <dgm:pt modelId="{AFCDB693-AA62-BF43-929E-3A76C2502D53}" type="parTrans" cxnId="{32359922-CD8C-434E-8C90-E0A99103756C}">
      <dgm:prSet/>
      <dgm:spPr/>
    </dgm:pt>
    <dgm:pt modelId="{00FCAA20-8F24-784B-BEE2-E696407919FF}" type="sibTrans" cxnId="{32359922-CD8C-434E-8C90-E0A99103756C}">
      <dgm:prSet/>
      <dgm:spPr/>
    </dgm:pt>
    <dgm:pt modelId="{5FE74123-A0CE-824A-87E3-4DA401376D20}">
      <dgm:prSet custT="1"/>
      <dgm:spPr/>
      <dgm:t>
        <a:bodyPr/>
        <a:lstStyle/>
        <a:p>
          <a:r>
            <a:rPr lang="en-US" sz="900" b="1" i="0" u="none">
              <a:latin typeface="Arial" panose="020B0604020202020204" pitchFamily="34" charset="0"/>
              <a:cs typeface="Arial" panose="020B0604020202020204" pitchFamily="34" charset="0"/>
            </a:rPr>
            <a:t>Nutritional Intake</a:t>
          </a:r>
          <a:endParaRPr lang="en-US" sz="900" b="1">
            <a:latin typeface="Arial" panose="020B0604020202020204" pitchFamily="34" charset="0"/>
            <a:cs typeface="Arial" panose="020B0604020202020204" pitchFamily="34" charset="0"/>
          </a:endParaRPr>
        </a:p>
      </dgm:t>
    </dgm:pt>
    <dgm:pt modelId="{3454369F-6A0B-944A-B26C-7CBEF54990DD}" type="parTrans" cxnId="{D7EBEBFB-26A9-F640-A4F8-E9DA95D9C1A0}">
      <dgm:prSet/>
      <dgm:spPr/>
    </dgm:pt>
    <dgm:pt modelId="{5F99B377-CA0A-5443-9115-29612F6D2A6B}" type="sibTrans" cxnId="{D7EBEBFB-26A9-F640-A4F8-E9DA95D9C1A0}">
      <dgm:prSet/>
      <dgm:spPr/>
    </dgm:pt>
    <dgm:pt modelId="{F6BB54A0-6DA9-5248-86CA-3DABEB2EEF29}" type="pres">
      <dgm:prSet presAssocID="{FEAE3506-E842-634A-91A1-6DCB458CF893}" presName="Name0" presStyleCnt="0">
        <dgm:presLayoutVars>
          <dgm:dir/>
          <dgm:animLvl val="lvl"/>
          <dgm:resizeHandles/>
        </dgm:presLayoutVars>
      </dgm:prSet>
      <dgm:spPr/>
    </dgm:pt>
    <dgm:pt modelId="{F891415F-E0B1-EA45-A88D-CE9DC20681B9}" type="pres">
      <dgm:prSet presAssocID="{1A71811D-B69C-8446-8C9B-8D80C79DDEB9}" presName="linNode" presStyleCnt="0"/>
      <dgm:spPr/>
    </dgm:pt>
    <dgm:pt modelId="{F796C6BE-4CF9-1145-BBAF-5D6AD38258D2}" type="pres">
      <dgm:prSet presAssocID="{1A71811D-B69C-8446-8C9B-8D80C79DDEB9}" presName="parentShp" presStyleLbl="node1" presStyleIdx="0" presStyleCnt="2">
        <dgm:presLayoutVars>
          <dgm:bulletEnabled val="1"/>
        </dgm:presLayoutVars>
      </dgm:prSet>
      <dgm:spPr/>
    </dgm:pt>
    <dgm:pt modelId="{4E4E568C-E4BD-DF4A-A9B0-BEAEEBC0C7D9}" type="pres">
      <dgm:prSet presAssocID="{1A71811D-B69C-8446-8C9B-8D80C79DDEB9}" presName="childShp" presStyleLbl="bgAccFollowNode1" presStyleIdx="0" presStyleCnt="2" custScaleX="97835" custScaleY="100098">
        <dgm:presLayoutVars>
          <dgm:bulletEnabled val="1"/>
        </dgm:presLayoutVars>
      </dgm:prSet>
      <dgm:spPr/>
    </dgm:pt>
    <dgm:pt modelId="{95E553EC-9ECD-E947-84D3-6DCFCD6E0F75}" type="pres">
      <dgm:prSet presAssocID="{F5E59AD2-DDA0-3D4A-9B7C-3660DA6C7619}" presName="spacing" presStyleCnt="0"/>
      <dgm:spPr/>
    </dgm:pt>
    <dgm:pt modelId="{B3542D2C-A118-7941-A819-16B1EE4AA2E9}" type="pres">
      <dgm:prSet presAssocID="{D188B85E-ACCB-0143-B534-21BB53C5E6DD}" presName="linNode" presStyleCnt="0"/>
      <dgm:spPr/>
    </dgm:pt>
    <dgm:pt modelId="{B845DBB3-2EA5-6B47-8F53-4E1749759BEA}" type="pres">
      <dgm:prSet presAssocID="{D188B85E-ACCB-0143-B534-21BB53C5E6DD}" presName="parentShp" presStyleLbl="node1" presStyleIdx="1" presStyleCnt="2">
        <dgm:presLayoutVars>
          <dgm:bulletEnabled val="1"/>
        </dgm:presLayoutVars>
      </dgm:prSet>
      <dgm:spPr/>
    </dgm:pt>
    <dgm:pt modelId="{A724E69E-EC1A-9446-B9AD-665D373ACFE6}" type="pres">
      <dgm:prSet presAssocID="{D188B85E-ACCB-0143-B534-21BB53C5E6DD}" presName="childShp" presStyleLbl="bgAccFollowNode1" presStyleIdx="1" presStyleCnt="2">
        <dgm:presLayoutVars>
          <dgm:bulletEnabled val="1"/>
        </dgm:presLayoutVars>
      </dgm:prSet>
      <dgm:spPr/>
    </dgm:pt>
  </dgm:ptLst>
  <dgm:cxnLst>
    <dgm:cxn modelId="{F6921B09-2F8C-C644-A71E-316B6F24A722}" type="presOf" srcId="{F9DF923D-D592-B948-8FC5-5EF95CBEE777}" destId="{A724E69E-EC1A-9446-B9AD-665D373ACFE6}" srcOrd="0" destOrd="1" presId="urn:microsoft.com/office/officeart/2005/8/layout/vList6"/>
    <dgm:cxn modelId="{32359922-CD8C-434E-8C90-E0A99103756C}" srcId="{1A71811D-B69C-8446-8C9B-8D80C79DDEB9}" destId="{D33838D2-6ADC-5F40-A17E-782A2DCF4438}" srcOrd="0" destOrd="0" parTransId="{AFCDB693-AA62-BF43-929E-3A76C2502D53}" sibTransId="{00FCAA20-8F24-784B-BEE2-E696407919FF}"/>
    <dgm:cxn modelId="{CA50E025-290D-1A44-96FC-311C90DCCEA9}" type="presOf" srcId="{841CCA57-02E1-6D4B-93A2-1DBB55621269}" destId="{A724E69E-EC1A-9446-B9AD-665D373ACFE6}" srcOrd="0" destOrd="5" presId="urn:microsoft.com/office/officeart/2005/8/layout/vList6"/>
    <dgm:cxn modelId="{AFA1AC34-EE4F-9B49-B093-1BCFB51DBA7B}" type="presOf" srcId="{F9FE4E31-FDC8-5149-A12E-9370B873E1FC}" destId="{A724E69E-EC1A-9446-B9AD-665D373ACFE6}" srcOrd="0" destOrd="4" presId="urn:microsoft.com/office/officeart/2005/8/layout/vList6"/>
    <dgm:cxn modelId="{29DD3F47-1C84-EF4F-9FE8-5E39288CBC37}" type="presOf" srcId="{D1193AAC-1F0A-1143-A586-33685E3D9E9D}" destId="{A724E69E-EC1A-9446-B9AD-665D373ACFE6}" srcOrd="0" destOrd="0" presId="urn:microsoft.com/office/officeart/2005/8/layout/vList6"/>
    <dgm:cxn modelId="{58EA7558-80A9-6B41-BEAC-6B05C3C892F4}" type="presOf" srcId="{3B377B23-AF13-784A-BEF3-62F78F63F1EB}" destId="{A724E69E-EC1A-9446-B9AD-665D373ACFE6}" srcOrd="0" destOrd="3" presId="urn:microsoft.com/office/officeart/2005/8/layout/vList6"/>
    <dgm:cxn modelId="{A2FEF381-25D9-E348-8300-ECB82084CE60}" type="presOf" srcId="{35A6E5B7-0D54-3245-8EB8-B36C24A7C440}" destId="{A724E69E-EC1A-9446-B9AD-665D373ACFE6}" srcOrd="0" destOrd="2" presId="urn:microsoft.com/office/officeart/2005/8/layout/vList6"/>
    <dgm:cxn modelId="{3AB37288-A553-A140-BEBD-5C2EA0A164E3}" srcId="{D1193AAC-1F0A-1143-A586-33685E3D9E9D}" destId="{35A6E5B7-0D54-3245-8EB8-B36C24A7C440}" srcOrd="1" destOrd="0" parTransId="{2F73A45F-64F2-0443-85CA-D5B0C5468EB5}" sibTransId="{DC566D7D-77E8-A74E-B3A9-6A16E678CA0E}"/>
    <dgm:cxn modelId="{BB0DD69A-C7C4-C648-A526-3549C31E07D4}" srcId="{FEAE3506-E842-634A-91A1-6DCB458CF893}" destId="{D188B85E-ACCB-0143-B534-21BB53C5E6DD}" srcOrd="1" destOrd="0" parTransId="{F0E8A048-6ACB-6340-9998-1D8E8E30EC12}" sibTransId="{63733AB4-1A9F-1F45-91B3-BC1D22510C51}"/>
    <dgm:cxn modelId="{D6CCD59C-CB6A-3E4E-BEE6-A1420CE235AE}" type="presOf" srcId="{D188B85E-ACCB-0143-B534-21BB53C5E6DD}" destId="{B845DBB3-2EA5-6B47-8F53-4E1749759BEA}" srcOrd="0" destOrd="0" presId="urn:microsoft.com/office/officeart/2005/8/layout/vList6"/>
    <dgm:cxn modelId="{17C643B2-0BF0-C84C-9E92-37DEE0AA82F6}" type="presOf" srcId="{5FE74123-A0CE-824A-87E3-4DA401376D20}" destId="{4E4E568C-E4BD-DF4A-A9B0-BEAEEBC0C7D9}" srcOrd="0" destOrd="1" presId="urn:microsoft.com/office/officeart/2005/8/layout/vList6"/>
    <dgm:cxn modelId="{24A3E8B3-BE95-E849-B4E1-8E13A8DB11B1}" type="presOf" srcId="{D33838D2-6ADC-5F40-A17E-782A2DCF4438}" destId="{4E4E568C-E4BD-DF4A-A9B0-BEAEEBC0C7D9}" srcOrd="0" destOrd="0" presId="urn:microsoft.com/office/officeart/2005/8/layout/vList6"/>
    <dgm:cxn modelId="{D0DCCAB8-58FC-BC41-9F2B-7A1155FF507E}" type="presOf" srcId="{1A71811D-B69C-8446-8C9B-8D80C79DDEB9}" destId="{F796C6BE-4CF9-1145-BBAF-5D6AD38258D2}" srcOrd="0" destOrd="0" presId="urn:microsoft.com/office/officeart/2005/8/layout/vList6"/>
    <dgm:cxn modelId="{F7726DC7-A140-4B45-BBCC-F25D5F3B603F}" srcId="{D188B85E-ACCB-0143-B534-21BB53C5E6DD}" destId="{D1193AAC-1F0A-1143-A586-33685E3D9E9D}" srcOrd="0" destOrd="0" parTransId="{945B1009-B697-A340-97C5-394FB9AA6E10}" sibTransId="{3F07CC51-792B-EE45-92A7-A2D2DC2AB90D}"/>
    <dgm:cxn modelId="{7B3774D1-A6AD-B640-B51F-BFB7C844A9BB}" srcId="{3B377B23-AF13-784A-BEF3-62F78F63F1EB}" destId="{F9FE4E31-FDC8-5149-A12E-9370B873E1FC}" srcOrd="0" destOrd="0" parTransId="{6D8D43BF-93A1-7B4C-81FC-6F0E6F31C5D4}" sibTransId="{3892150F-F1A8-BD42-9974-A66EC6DC053F}"/>
    <dgm:cxn modelId="{DF6AFFD9-58CB-AA49-A092-8629442D99DA}" srcId="{FEAE3506-E842-634A-91A1-6DCB458CF893}" destId="{1A71811D-B69C-8446-8C9B-8D80C79DDEB9}" srcOrd="0" destOrd="0" parTransId="{2B3B6BD9-1DC9-794F-9386-1F977B041DDB}" sibTransId="{F5E59AD2-DDA0-3D4A-9B7C-3660DA6C7619}"/>
    <dgm:cxn modelId="{6A98EBDC-9DE9-DC4A-8F12-8C7AF934F9C1}" srcId="{D188B85E-ACCB-0143-B534-21BB53C5E6DD}" destId="{3B377B23-AF13-784A-BEF3-62F78F63F1EB}" srcOrd="1" destOrd="0" parTransId="{F2478697-032E-D743-AB06-05B882DCD9D5}" sibTransId="{6447CF28-05FF-494A-BB9B-66F8D27241DF}"/>
    <dgm:cxn modelId="{D2595FDD-59C9-FB44-A078-60A2C4A8AF10}" srcId="{D1193AAC-1F0A-1143-A586-33685E3D9E9D}" destId="{F9DF923D-D592-B948-8FC5-5EF95CBEE777}" srcOrd="0" destOrd="0" parTransId="{D042CEA5-2E17-9749-9FFD-22B1D1B7A2B8}" sibTransId="{2DCC8F85-DC3A-FB41-8B22-3C876C2FE1DE}"/>
    <dgm:cxn modelId="{9EED2FE2-2730-0B44-A64D-E89A07FB6DD0}" type="presOf" srcId="{FEAE3506-E842-634A-91A1-6DCB458CF893}" destId="{F6BB54A0-6DA9-5248-86CA-3DABEB2EEF29}" srcOrd="0" destOrd="0" presId="urn:microsoft.com/office/officeart/2005/8/layout/vList6"/>
    <dgm:cxn modelId="{2C5D2DF8-2C39-774F-96F8-8AAF6EBAE9AD}" srcId="{3B377B23-AF13-784A-BEF3-62F78F63F1EB}" destId="{841CCA57-02E1-6D4B-93A2-1DBB55621269}" srcOrd="1" destOrd="0" parTransId="{6430154E-39DB-B540-B507-B2503089AB5F}" sibTransId="{AF4C235D-C8EC-9243-9737-8F8B2D3B287C}"/>
    <dgm:cxn modelId="{D7EBEBFB-26A9-F640-A4F8-E9DA95D9C1A0}" srcId="{1A71811D-B69C-8446-8C9B-8D80C79DDEB9}" destId="{5FE74123-A0CE-824A-87E3-4DA401376D20}" srcOrd="1" destOrd="0" parTransId="{3454369F-6A0B-944A-B26C-7CBEF54990DD}" sibTransId="{5F99B377-CA0A-5443-9115-29612F6D2A6B}"/>
    <dgm:cxn modelId="{EBA1C0CC-A146-274A-80D1-E7A23DE0AAB4}" type="presParOf" srcId="{F6BB54A0-6DA9-5248-86CA-3DABEB2EEF29}" destId="{F891415F-E0B1-EA45-A88D-CE9DC20681B9}" srcOrd="0" destOrd="0" presId="urn:microsoft.com/office/officeart/2005/8/layout/vList6"/>
    <dgm:cxn modelId="{39F1148B-5BCF-2149-A0C0-FE3109E3B742}" type="presParOf" srcId="{F891415F-E0B1-EA45-A88D-CE9DC20681B9}" destId="{F796C6BE-4CF9-1145-BBAF-5D6AD38258D2}" srcOrd="0" destOrd="0" presId="urn:microsoft.com/office/officeart/2005/8/layout/vList6"/>
    <dgm:cxn modelId="{97B98156-77FA-B24B-8BBB-21F5CD497622}" type="presParOf" srcId="{F891415F-E0B1-EA45-A88D-CE9DC20681B9}" destId="{4E4E568C-E4BD-DF4A-A9B0-BEAEEBC0C7D9}" srcOrd="1" destOrd="0" presId="urn:microsoft.com/office/officeart/2005/8/layout/vList6"/>
    <dgm:cxn modelId="{895C4561-CD26-6347-BC67-BFDEFEE5C19F}" type="presParOf" srcId="{F6BB54A0-6DA9-5248-86CA-3DABEB2EEF29}" destId="{95E553EC-9ECD-E947-84D3-6DCFCD6E0F75}" srcOrd="1" destOrd="0" presId="urn:microsoft.com/office/officeart/2005/8/layout/vList6"/>
    <dgm:cxn modelId="{A4556E87-6A07-A84D-813A-0FA15667915E}" type="presParOf" srcId="{F6BB54A0-6DA9-5248-86CA-3DABEB2EEF29}" destId="{B3542D2C-A118-7941-A819-16B1EE4AA2E9}" srcOrd="2" destOrd="0" presId="urn:microsoft.com/office/officeart/2005/8/layout/vList6"/>
    <dgm:cxn modelId="{B185622A-4797-4E40-B0E4-8DCE5D74DC48}" type="presParOf" srcId="{B3542D2C-A118-7941-A819-16B1EE4AA2E9}" destId="{B845DBB3-2EA5-6B47-8F53-4E1749759BEA}" srcOrd="0" destOrd="0" presId="urn:microsoft.com/office/officeart/2005/8/layout/vList6"/>
    <dgm:cxn modelId="{A126ED37-ABFB-6244-B8BD-B2CEE57FABBD}" type="presParOf" srcId="{B3542D2C-A118-7941-A819-16B1EE4AA2E9}" destId="{A724E69E-EC1A-9446-B9AD-665D373ACFE6}" srcOrd="1" destOrd="0" presId="urn:microsoft.com/office/officeart/2005/8/layout/vList6"/>
  </dgm:cxnLst>
  <dgm:bg/>
  <dgm:whole/>
  <dgm:extLst>
    <a:ext uri="http://schemas.microsoft.com/office/drawing/2008/diagram">
      <dsp:dataModelExt xmlns:dsp="http://schemas.microsoft.com/office/drawing/2008/diagram" relId="rId10"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4E4E568C-E4BD-DF4A-A9B0-BEAEEBC0C7D9}">
      <dsp:nvSpPr>
        <dsp:cNvPr id="0" name=""/>
        <dsp:cNvSpPr/>
      </dsp:nvSpPr>
      <dsp:spPr>
        <a:xfrm>
          <a:off x="2230695" y="936"/>
          <a:ext cx="3217426" cy="1109216"/>
        </a:xfrm>
        <a:prstGeom prst="rightArrow">
          <a:avLst>
            <a:gd name="adj1" fmla="val 75000"/>
            <a:gd name="adj2" fmla="val 50000"/>
          </a:avLst>
        </a:prstGeom>
        <a:solidFill>
          <a:schemeClr val="lt1">
            <a:alpha val="90000"/>
            <a:tint val="40000"/>
            <a:hueOff val="0"/>
            <a:satOff val="0"/>
            <a:lumOff val="0"/>
            <a:alphaOff val="0"/>
          </a:schemeClr>
        </a:solidFill>
        <a:ln w="12700" cap="flat" cmpd="sng" algn="ctr">
          <a:solidFill>
            <a:schemeClr val="dk1">
              <a:alpha val="9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5715" tIns="5715" rIns="5715" bIns="5715" numCol="1" spcCol="1270" anchor="t" anchorCtr="0">
          <a:noAutofit/>
        </a:bodyPr>
        <a:lstStyle/>
        <a:p>
          <a:pPr marL="57150" lvl="1" indent="-57150" algn="l" defTabSz="400050">
            <a:lnSpc>
              <a:spcPct val="90000"/>
            </a:lnSpc>
            <a:spcBef>
              <a:spcPct val="0"/>
            </a:spcBef>
            <a:spcAft>
              <a:spcPct val="15000"/>
            </a:spcAft>
            <a:buChar char="•"/>
          </a:pPr>
          <a:endParaRPr lang="en-US" sz="900" kern="1200">
            <a:latin typeface="Arial" panose="020B0604020202020204" pitchFamily="34" charset="0"/>
            <a:cs typeface="Arial" panose="020B0604020202020204" pitchFamily="34" charset="0"/>
          </a:endParaRPr>
        </a:p>
        <a:p>
          <a:pPr marL="57150" lvl="1" indent="-57150" algn="l" defTabSz="400050">
            <a:lnSpc>
              <a:spcPct val="90000"/>
            </a:lnSpc>
            <a:spcBef>
              <a:spcPct val="0"/>
            </a:spcBef>
            <a:spcAft>
              <a:spcPct val="15000"/>
            </a:spcAft>
            <a:buChar char="•"/>
          </a:pPr>
          <a:r>
            <a:rPr lang="en-US" sz="900" b="1" i="0" u="none" kern="1200">
              <a:latin typeface="Arial" panose="020B0604020202020204" pitchFamily="34" charset="0"/>
              <a:cs typeface="Arial" panose="020B0604020202020204" pitchFamily="34" charset="0"/>
            </a:rPr>
            <a:t>Nutritional Intake</a:t>
          </a:r>
          <a:endParaRPr lang="en-US" sz="900" b="1" kern="1200">
            <a:latin typeface="Arial" panose="020B0604020202020204" pitchFamily="34" charset="0"/>
            <a:cs typeface="Arial" panose="020B0604020202020204" pitchFamily="34" charset="0"/>
          </a:endParaRPr>
        </a:p>
      </dsp:txBody>
      <dsp:txXfrm>
        <a:off x="2230695" y="139588"/>
        <a:ext cx="2801470" cy="831912"/>
      </dsp:txXfrm>
    </dsp:sp>
    <dsp:sp modelId="{F796C6BE-4CF9-1145-BBAF-5D6AD38258D2}">
      <dsp:nvSpPr>
        <dsp:cNvPr id="0" name=""/>
        <dsp:cNvSpPr/>
      </dsp:nvSpPr>
      <dsp:spPr>
        <a:xfrm>
          <a:off x="38278" y="1479"/>
          <a:ext cx="2192416" cy="1108130"/>
        </a:xfrm>
        <a:prstGeom prst="roundRect">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4290" tIns="17145" rIns="34290" bIns="17145" numCol="1" spcCol="1270" anchor="ctr" anchorCtr="0">
          <a:noAutofit/>
        </a:bodyPr>
        <a:lstStyle/>
        <a:p>
          <a:pPr marL="0" lvl="0" indent="0" algn="ctr" defTabSz="400050">
            <a:lnSpc>
              <a:spcPct val="90000"/>
            </a:lnSpc>
            <a:spcBef>
              <a:spcPct val="0"/>
            </a:spcBef>
            <a:spcAft>
              <a:spcPct val="35000"/>
            </a:spcAft>
            <a:buNone/>
          </a:pPr>
          <a:r>
            <a:rPr lang="en-US" sz="900" b="1" i="0" u="none" kern="1200">
              <a:latin typeface="Arial" panose="020B0604020202020204" pitchFamily="34" charset="0"/>
              <a:cs typeface="Arial" panose="020B0604020202020204" pitchFamily="34" charset="0"/>
            </a:rPr>
            <a:t>Predictors:</a:t>
          </a:r>
        </a:p>
        <a:p>
          <a:pPr marL="0" lvl="0" indent="0" algn="ctr" defTabSz="400050">
            <a:lnSpc>
              <a:spcPct val="90000"/>
            </a:lnSpc>
            <a:spcBef>
              <a:spcPct val="0"/>
            </a:spcBef>
            <a:spcAft>
              <a:spcPct val="35000"/>
            </a:spcAft>
            <a:buNone/>
          </a:pPr>
          <a:r>
            <a:rPr lang="en-US" sz="900" b="0" i="0" u="none" kern="1200">
              <a:latin typeface="Arial" panose="020B0604020202020204" pitchFamily="34" charset="0"/>
              <a:cs typeface="Arial" panose="020B0604020202020204" pitchFamily="34" charset="0"/>
            </a:rPr>
            <a:t>Detailed Food Frequency Questionaire c</a:t>
          </a:r>
          <a:r>
            <a:rPr lang="en-US" sz="900" kern="1200">
              <a:latin typeface="Arial" panose="020B0604020202020204" pitchFamily="34" charset="0"/>
              <a:cs typeface="Arial" panose="020B0604020202020204" pitchFamily="34" charset="0"/>
            </a:rPr>
            <a:t>ompleted at time of enrollment</a:t>
          </a:r>
          <a:endParaRPr lang="en-US" sz="900" b="0" i="0" u="none" kern="1200">
            <a:latin typeface="Arial" panose="020B0604020202020204" pitchFamily="34" charset="0"/>
            <a:cs typeface="Arial" panose="020B0604020202020204" pitchFamily="34" charset="0"/>
          </a:endParaRPr>
        </a:p>
      </dsp:txBody>
      <dsp:txXfrm>
        <a:off x="92372" y="55573"/>
        <a:ext cx="2084228" cy="999942"/>
      </dsp:txXfrm>
    </dsp:sp>
    <dsp:sp modelId="{A724E69E-EC1A-9446-B9AD-665D373ACFE6}">
      <dsp:nvSpPr>
        <dsp:cNvPr id="0" name=""/>
        <dsp:cNvSpPr/>
      </dsp:nvSpPr>
      <dsp:spPr>
        <a:xfrm>
          <a:off x="2194559" y="1220965"/>
          <a:ext cx="3291840" cy="1108130"/>
        </a:xfrm>
        <a:prstGeom prst="rightArrow">
          <a:avLst>
            <a:gd name="adj1" fmla="val 75000"/>
            <a:gd name="adj2" fmla="val 50000"/>
          </a:avLst>
        </a:prstGeom>
        <a:solidFill>
          <a:schemeClr val="lt1">
            <a:alpha val="90000"/>
            <a:tint val="40000"/>
            <a:hueOff val="0"/>
            <a:satOff val="0"/>
            <a:lumOff val="0"/>
            <a:alphaOff val="0"/>
          </a:schemeClr>
        </a:solidFill>
        <a:ln w="12700" cap="flat" cmpd="sng" algn="ctr">
          <a:solidFill>
            <a:schemeClr val="dk1">
              <a:alpha val="9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5715" tIns="5715" rIns="5715" bIns="5715" numCol="1" spcCol="1270" anchor="t" anchorCtr="0">
          <a:noAutofit/>
        </a:bodyPr>
        <a:lstStyle/>
        <a:p>
          <a:pPr marL="57150" lvl="1" indent="-57150" algn="l" defTabSz="400050">
            <a:lnSpc>
              <a:spcPct val="90000"/>
            </a:lnSpc>
            <a:spcBef>
              <a:spcPct val="0"/>
            </a:spcBef>
            <a:spcAft>
              <a:spcPct val="15000"/>
            </a:spcAft>
            <a:buChar char="•"/>
          </a:pPr>
          <a:r>
            <a:rPr lang="en-US" sz="900" b="1" kern="1200">
              <a:latin typeface="Arial" panose="020B0604020202020204" pitchFamily="34" charset="0"/>
              <a:cs typeface="Arial" panose="020B0604020202020204" pitchFamily="34" charset="0"/>
            </a:rPr>
            <a:t> Clinical Evolution through Clinical Visits </a:t>
          </a:r>
        </a:p>
        <a:p>
          <a:pPr marL="114300" lvl="2" indent="-57150" algn="l" defTabSz="400050">
            <a:lnSpc>
              <a:spcPct val="90000"/>
            </a:lnSpc>
            <a:spcBef>
              <a:spcPct val="0"/>
            </a:spcBef>
            <a:spcAft>
              <a:spcPct val="15000"/>
            </a:spcAft>
            <a:buChar char="•"/>
          </a:pPr>
          <a:r>
            <a:rPr lang="en-US" sz="900" kern="1200">
              <a:latin typeface="Arial" panose="020B0604020202020204" pitchFamily="34" charset="0"/>
              <a:cs typeface="Arial" panose="020B0604020202020204" pitchFamily="34" charset="0"/>
            </a:rPr>
            <a:t>Relapses reported by patients, families or providers</a:t>
          </a:r>
        </a:p>
        <a:p>
          <a:pPr marL="114300" lvl="2" indent="-57150" algn="l" defTabSz="400050">
            <a:lnSpc>
              <a:spcPct val="90000"/>
            </a:lnSpc>
            <a:spcBef>
              <a:spcPct val="0"/>
            </a:spcBef>
            <a:spcAft>
              <a:spcPct val="15000"/>
            </a:spcAft>
            <a:buChar char="•"/>
          </a:pPr>
          <a:r>
            <a:rPr lang="en-US" sz="900" kern="1200">
              <a:latin typeface="Arial" panose="020B0604020202020204" pitchFamily="34" charset="0"/>
              <a:cs typeface="Arial" panose="020B0604020202020204" pitchFamily="34" charset="0"/>
            </a:rPr>
            <a:t>Ratings on objective MS disease severity scales</a:t>
          </a:r>
        </a:p>
        <a:p>
          <a:pPr marL="57150" lvl="1" indent="-57150" algn="l" defTabSz="400050">
            <a:lnSpc>
              <a:spcPct val="90000"/>
            </a:lnSpc>
            <a:spcBef>
              <a:spcPct val="0"/>
            </a:spcBef>
            <a:spcAft>
              <a:spcPct val="15000"/>
            </a:spcAft>
            <a:buChar char="•"/>
          </a:pPr>
          <a:r>
            <a:rPr lang="en-US" sz="900" kern="1200">
              <a:latin typeface="Arial" panose="020B0604020202020204" pitchFamily="34" charset="0"/>
              <a:cs typeface="Arial" panose="020B0604020202020204" pitchFamily="34" charset="0"/>
            </a:rPr>
            <a:t> </a:t>
          </a:r>
          <a:r>
            <a:rPr lang="en-US" sz="900" b="1" kern="1200">
              <a:latin typeface="Arial" panose="020B0604020202020204" pitchFamily="34" charset="0"/>
              <a:cs typeface="Arial" panose="020B0604020202020204" pitchFamily="34" charset="0"/>
            </a:rPr>
            <a:t>Radiographic Evolution on MRI </a:t>
          </a:r>
        </a:p>
        <a:p>
          <a:pPr marL="114300" lvl="2" indent="-57150" algn="l" defTabSz="400050">
            <a:lnSpc>
              <a:spcPct val="90000"/>
            </a:lnSpc>
            <a:spcBef>
              <a:spcPct val="0"/>
            </a:spcBef>
            <a:spcAft>
              <a:spcPct val="15000"/>
            </a:spcAft>
            <a:buChar char="•"/>
          </a:pPr>
          <a:r>
            <a:rPr lang="en-US" sz="900" kern="1200">
              <a:latin typeface="Arial" panose="020B0604020202020204" pitchFamily="34" charset="0"/>
              <a:cs typeface="Arial" panose="020B0604020202020204" pitchFamily="34" charset="0"/>
            </a:rPr>
            <a:t>Increased T2 lesion burden progression on MRI</a:t>
          </a:r>
        </a:p>
        <a:p>
          <a:pPr marL="114300" lvl="2" indent="-57150" algn="l" defTabSz="400050">
            <a:lnSpc>
              <a:spcPct val="90000"/>
            </a:lnSpc>
            <a:spcBef>
              <a:spcPct val="0"/>
            </a:spcBef>
            <a:spcAft>
              <a:spcPct val="15000"/>
            </a:spcAft>
            <a:buChar char="•"/>
          </a:pPr>
          <a:r>
            <a:rPr lang="en-US" sz="900" kern="1200">
              <a:latin typeface="Arial" panose="020B0604020202020204" pitchFamily="34" charset="0"/>
              <a:cs typeface="Arial" panose="020B0604020202020204" pitchFamily="34" charset="0"/>
            </a:rPr>
            <a:t>Gadolinium-enhancement on MRI</a:t>
          </a:r>
        </a:p>
      </dsp:txBody>
      <dsp:txXfrm>
        <a:off x="2194559" y="1359481"/>
        <a:ext cx="2876291" cy="831098"/>
      </dsp:txXfrm>
    </dsp:sp>
    <dsp:sp modelId="{B845DBB3-2EA5-6B47-8F53-4E1749759BEA}">
      <dsp:nvSpPr>
        <dsp:cNvPr id="0" name=""/>
        <dsp:cNvSpPr/>
      </dsp:nvSpPr>
      <dsp:spPr>
        <a:xfrm>
          <a:off x="0" y="1220965"/>
          <a:ext cx="2194560" cy="1108130"/>
        </a:xfrm>
        <a:prstGeom prst="roundRect">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4290" tIns="17145" rIns="34290" bIns="17145" numCol="1" spcCol="1270" anchor="ctr" anchorCtr="0">
          <a:noAutofit/>
        </a:bodyPr>
        <a:lstStyle/>
        <a:p>
          <a:pPr marL="0" lvl="0" indent="0" algn="ctr" defTabSz="400050">
            <a:lnSpc>
              <a:spcPct val="90000"/>
            </a:lnSpc>
            <a:spcBef>
              <a:spcPct val="0"/>
            </a:spcBef>
            <a:spcAft>
              <a:spcPct val="35000"/>
            </a:spcAft>
            <a:buNone/>
          </a:pPr>
          <a:r>
            <a:rPr lang="en-US" sz="900" b="1" i="0" u="none" kern="1200">
              <a:latin typeface="Arial" panose="020B0604020202020204" pitchFamily="34" charset="0"/>
              <a:cs typeface="Arial" panose="020B0604020202020204" pitchFamily="34" charset="0"/>
            </a:rPr>
            <a:t>Outcomes: </a:t>
          </a:r>
        </a:p>
        <a:p>
          <a:pPr marL="0" lvl="0" indent="0" algn="ctr" defTabSz="400050">
            <a:lnSpc>
              <a:spcPct val="90000"/>
            </a:lnSpc>
            <a:spcBef>
              <a:spcPct val="0"/>
            </a:spcBef>
            <a:spcAft>
              <a:spcPct val="35000"/>
            </a:spcAft>
            <a:buNone/>
          </a:pPr>
          <a:r>
            <a:rPr lang="en-US" sz="900" b="0" i="0" u="none" kern="1200">
              <a:latin typeface="Arial" panose="020B0604020202020204" pitchFamily="34" charset="0"/>
              <a:cs typeface="Arial" panose="020B0604020202020204" pitchFamily="34" charset="0"/>
            </a:rPr>
            <a:t>Six-month clinic follow-up visits </a:t>
          </a:r>
        </a:p>
        <a:p>
          <a:pPr marL="0" lvl="0" indent="0" algn="ctr" defTabSz="400050">
            <a:lnSpc>
              <a:spcPct val="90000"/>
            </a:lnSpc>
            <a:spcBef>
              <a:spcPct val="0"/>
            </a:spcBef>
            <a:spcAft>
              <a:spcPct val="35000"/>
            </a:spcAft>
            <a:buNone/>
          </a:pPr>
          <a:r>
            <a:rPr lang="en-US" sz="900" b="0" i="0" u="none" kern="1200">
              <a:latin typeface="Arial" panose="020B0604020202020204" pitchFamily="34" charset="0"/>
              <a:cs typeface="Arial" panose="020B0604020202020204" pitchFamily="34" charset="0"/>
            </a:rPr>
            <a:t>(for up to 8 years of MS disease data)</a:t>
          </a:r>
        </a:p>
      </dsp:txBody>
      <dsp:txXfrm>
        <a:off x="54094" y="1275059"/>
        <a:ext cx="2086372" cy="999942"/>
      </dsp:txXfrm>
    </dsp:sp>
  </dsp:spTree>
</dsp:drawing>
</file>

<file path=word/diagrams/layout1.xml><?xml version="1.0" encoding="utf-8"?>
<dgm:layoutDef xmlns:dgm="http://schemas.openxmlformats.org/drawingml/2006/diagram" xmlns:a="http://schemas.openxmlformats.org/drawingml/2006/main" uniqueId="urn:microsoft.com/office/officeart/2005/8/layout/vList6">
  <dgm:title val=""/>
  <dgm:desc val=""/>
  <dgm:catLst>
    <dgm:cat type="process" pri="22000"/>
    <dgm:cat type="list" pri="17000"/>
  </dgm:catLst>
  <dgm:sampData>
    <dgm:dataModel>
      <dgm:ptLst>
        <dgm:pt modelId="0" type="doc"/>
        <dgm:pt modelId="1">
          <dgm:prSet phldr="1"/>
        </dgm:pt>
        <dgm:pt modelId="11">
          <dgm:prSet phldr="1"/>
        </dgm:pt>
        <dgm:pt modelId="12">
          <dgm:prSet phldr="1"/>
        </dgm:pt>
        <dgm:pt modelId="2">
          <dgm:prSet phldr="1"/>
        </dgm:pt>
        <dgm:pt modelId="21">
          <dgm:prSet phldr="1"/>
        </dgm:pt>
        <dgm:pt modelId="22">
          <dgm:prSet phldr="1"/>
        </dgm:pt>
      </dgm:ptLst>
      <dgm:cxnLst>
        <dgm:cxn modelId="4" srcId="0" destId="1" srcOrd="0" destOrd="0"/>
        <dgm:cxn modelId="5" srcId="0" destId="2" srcOrd="1" destOrd="0"/>
        <dgm:cxn modelId="13" srcId="1" destId="11" srcOrd="0" destOrd="0"/>
        <dgm:cxn modelId="14" srcId="1" destId="12" srcOrd="0" destOrd="0"/>
        <dgm:cxn modelId="23" srcId="2" destId="21" srcOrd="0" destOrd="0"/>
        <dgm:cxn modelId="24" srcId="2" destId="22" srcOrd="0" destOrd="0"/>
      </dgm:cxn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dir/>
      <dgm:animLvl val="lvl"/>
      <dgm:resizeHandles/>
    </dgm:varLst>
    <dgm:alg type="lin">
      <dgm:param type="linDir" val="fromT"/>
    </dgm:alg>
    <dgm:shape xmlns:r="http://schemas.openxmlformats.org/officeDocument/2006/relationships" r:blip="">
      <dgm:adjLst/>
    </dgm:shape>
    <dgm:presOf/>
    <dgm:constrLst>
      <dgm:constr type="w" for="ch" forName="linNode" refType="w"/>
      <dgm:constr type="h" for="ch" forName="linNode" refType="h"/>
      <dgm:constr type="h" for="ch" forName="spacing" refType="h" refFor="ch" refForName="linNode" fact="0.1"/>
      <dgm:constr type="primFontSz" for="des" forName="parentShp" op="equ" val="65"/>
      <dgm:constr type="primFontSz" for="des" forName="childShp" op="equ" val="65"/>
    </dgm:constrLst>
    <dgm:ruleLst/>
    <dgm:forEach name="Name1" axis="ch" ptType="node">
      <dgm:layoutNode name="linNode">
        <dgm:choose name="Name2">
          <dgm:if name="Name3" func="var" arg="dir" op="equ" val="norm">
            <dgm:alg type="lin">
              <dgm:param type="linDir" val="fromL"/>
            </dgm:alg>
          </dgm:if>
          <dgm:else name="Name4">
            <dgm:alg type="lin">
              <dgm:param type="linDir" val="fromR"/>
            </dgm:alg>
          </dgm:else>
        </dgm:choose>
        <dgm:shape xmlns:r="http://schemas.openxmlformats.org/officeDocument/2006/relationships" r:blip="">
          <dgm:adjLst/>
        </dgm:shape>
        <dgm:presOf/>
        <dgm:choose name="Name5">
          <dgm:if name="Name6" func="var" arg="dir" op="equ" val="norm">
            <dgm:constrLst>
              <dgm:constr type="w" for="ch" forName="parentShp" refType="w" fact="0.4"/>
              <dgm:constr type="h" for="ch" forName="parentShp" refType="h"/>
              <dgm:constr type="w" for="ch" forName="childShp" refType="w" fact="0.6"/>
              <dgm:constr type="h" for="ch" forName="childShp" refType="h" refFor="ch" refForName="parentShp"/>
            </dgm:constrLst>
          </dgm:if>
          <dgm:else name="Name7">
            <dgm:constrLst>
              <dgm:constr type="w" for="ch" forName="parentShp" refType="w" fact="0.4"/>
              <dgm:constr type="h" for="ch" forName="parentShp" refType="h"/>
              <dgm:constr type="w" for="ch" forName="childShp" refType="w" fact="0.6"/>
              <dgm:constr type="h" for="ch" forName="childShp" refType="h" refFor="ch" refForName="parentShp"/>
            </dgm:constrLst>
          </dgm:else>
        </dgm:choose>
        <dgm:ruleLst/>
        <dgm:layoutNode name="parentShp" styleLbl="node1">
          <dgm:varLst>
            <dgm:bulletEnabled val="1"/>
          </dgm:varLst>
          <dgm:alg type="tx"/>
          <dgm:shape xmlns:r="http://schemas.openxmlformats.org/officeDocument/2006/relationships" type="roundRect" r:blip="">
            <dgm:adjLst/>
          </dgm:shape>
          <dgm:presOf axis="self" ptType="node"/>
          <dgm:constrLst>
            <dgm:constr type="tMarg" refType="primFontSz" fact="0.15"/>
            <dgm:constr type="bMarg" refType="primFontSz" fact="0.15"/>
            <dgm:constr type="lMarg" refType="primFontSz" fact="0.3"/>
            <dgm:constr type="rMarg" refType="primFontSz" fact="0.3"/>
          </dgm:constrLst>
          <dgm:ruleLst>
            <dgm:rule type="primFontSz" val="5" fact="NaN" max="NaN"/>
          </dgm:ruleLst>
        </dgm:layoutNode>
        <dgm:layoutNode name="childShp" styleLbl="bgAccFollowNode1">
          <dgm:varLst>
            <dgm:bulletEnabled val="1"/>
          </dgm:varLst>
          <dgm:alg type="tx">
            <dgm:param type="stBulletLvl" val="1"/>
          </dgm:alg>
          <dgm:choose name="Name8">
            <dgm:if name="Name9" func="var" arg="dir" op="equ" val="norm">
              <dgm:shape xmlns:r="http://schemas.openxmlformats.org/officeDocument/2006/relationships" type="rightArrow" r:blip="" zOrderOff="-2">
                <dgm:adjLst>
                  <dgm:adj idx="1" val="0.75"/>
                </dgm:adjLst>
              </dgm:shape>
            </dgm:if>
            <dgm:else name="Name10">
              <dgm:shape xmlns:r="http://schemas.openxmlformats.org/officeDocument/2006/relationships" rot="180" type="rightArrow" r:blip="" zOrderOff="-2">
                <dgm:adjLst>
                  <dgm:adj idx="1" val="0.75"/>
                </dgm:adjLst>
              </dgm:shape>
            </dgm:else>
          </dgm:choose>
          <dgm:presOf axis="des" ptType="node"/>
          <dgm:constrLst>
            <dgm:constr type="secFontSz" refType="primFontSz"/>
            <dgm:constr type="tMarg" refType="primFontSz" fact="0.05"/>
            <dgm:constr type="bMarg" refType="primFontSz" fact="0.05"/>
            <dgm:constr type="lMarg" refType="primFontSz" fact="0.05"/>
            <dgm:constr type="rMarg" refType="primFontSz" fact="0.05"/>
          </dgm:constrLst>
          <dgm:ruleLst>
            <dgm:rule type="primFontSz" val="5" fact="NaN" max="NaN"/>
          </dgm:ruleLst>
        </dgm:layoutNode>
      </dgm:layoutNode>
      <dgm:forEach name="Name11" axis="followSib" ptType="sibTrans" cnt="1">
        <dgm:layoutNode name="spacing">
          <dgm:alg type="sp"/>
          <dgm:shape xmlns:r="http://schemas.openxmlformats.org/officeDocument/2006/relationships" r:blip="">
            <dgm:adjLst/>
          </dgm:shape>
          <dgm:presOf/>
          <dgm:constrLst/>
          <dgm:ruleLst/>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43E07F7-8999-4675-A211-2A7E26B5D0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Pages>
  <Words>11619</Words>
  <Characters>66231</Characters>
  <Application>Microsoft Office Word</Application>
  <DocSecurity>0</DocSecurity>
  <Lines>551</Lines>
  <Paragraphs>155</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77695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Dilwali, Sonam</dc:creator>
  <cp:lastModifiedBy>Dilwali, Sonam</cp:lastModifiedBy>
  <cp:revision>3</cp:revision>
  <dcterms:created xsi:type="dcterms:W3CDTF">2021-08-20T16:12:00Z</dcterms:created>
  <dcterms:modified xsi:type="dcterms:W3CDTF">2021-08-20T16:15:00Z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7th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 6th edition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17th edition (author-date)</vt:lpwstr>
  </property>
  <property fmtid="{D5CDD505-2E9C-101B-9397-08002B2CF9AE}" pid="12" name="Mendeley Recent Style Id 5_1">
    <vt:lpwstr>http://www.zotero.org/styles/harvard-cite-them-right</vt:lpwstr>
  </property>
  <property fmtid="{D5CDD505-2E9C-101B-9397-08002B2CF9AE}" pid="13" name="Mendeley Recent Style Name 5_1">
    <vt:lpwstr>Cite Them Right 10th edition - Harvard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8th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y fmtid="{D5CDD505-2E9C-101B-9397-08002B2CF9AE}" pid="22" name="Mendeley Document_1">
    <vt:lpwstr>True</vt:lpwstr>
  </property>
  <property fmtid="{D5CDD505-2E9C-101B-9397-08002B2CF9AE}" pid="23" name="Mendeley Unique User Id_1">
    <vt:lpwstr>f703f166-57f3-386f-9de9-89d8c8d590fc</vt:lpwstr>
  </property>
  <property fmtid="{D5CDD505-2E9C-101B-9397-08002B2CF9AE}" pid="24" name="Mendeley Citation Style_1">
    <vt:lpwstr>http://www.zotero.org/styles/apa</vt:lpwstr>
  </property>
</Properties>
</file>