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2B4C8" w14:textId="6CA59264" w:rsidR="00D1010D" w:rsidRDefault="004E473B" w:rsidP="004E473B">
      <w:pPr>
        <w:jc w:val="right"/>
      </w:pPr>
      <w:r>
        <w:t>Name: Calvin Hwang</w:t>
      </w:r>
    </w:p>
    <w:p w14:paraId="26EE06D5" w14:textId="653112E8" w:rsidR="004E473B" w:rsidRDefault="004E473B" w:rsidP="004E473B">
      <w:pPr>
        <w:jc w:val="right"/>
      </w:pPr>
      <w:r>
        <w:t>Section Leader: Ashwin Kotwal</w:t>
      </w:r>
    </w:p>
    <w:p w14:paraId="26AF3DDA" w14:textId="31E0C5D6" w:rsidR="004E473B" w:rsidRDefault="004E473B" w:rsidP="004E473B">
      <w:pPr>
        <w:jc w:val="right"/>
      </w:pPr>
      <w:r>
        <w:t>Feedback Requested: No</w:t>
      </w:r>
    </w:p>
    <w:p w14:paraId="50210307" w14:textId="77777777" w:rsidR="00956B55" w:rsidRDefault="00956B55" w:rsidP="00956B55">
      <w:pPr>
        <w:jc w:val="center"/>
      </w:pPr>
    </w:p>
    <w:p w14:paraId="171267E7" w14:textId="46329CA4" w:rsidR="004E473B" w:rsidRDefault="00956B55" w:rsidP="00956B55">
      <w:pPr>
        <w:jc w:val="center"/>
      </w:pPr>
      <w:r w:rsidRPr="00956B55">
        <w:t>Characterizing real-world efficacy and safety of infliximab and infliximab biosimilars among UCSF Medical Center patients</w:t>
      </w:r>
    </w:p>
    <w:p w14:paraId="1EB0269B" w14:textId="66C5D8C8" w:rsidR="00DE20D6" w:rsidRDefault="00DE20D6" w:rsidP="00956B55">
      <w:pPr>
        <w:jc w:val="center"/>
      </w:pPr>
    </w:p>
    <w:p w14:paraId="4F1A4DA4" w14:textId="60532163" w:rsidR="00DE20D6" w:rsidRDefault="00DE20D6" w:rsidP="00DE20D6">
      <w:r w:rsidRPr="005E137B">
        <w:rPr>
          <w:b/>
          <w:bCs/>
        </w:rPr>
        <w:t>Principal Investigator</w:t>
      </w:r>
      <w:r>
        <w:t xml:space="preserve">: Salem </w:t>
      </w:r>
      <w:proofErr w:type="spellStart"/>
      <w:r>
        <w:t>Kamalay</w:t>
      </w:r>
      <w:proofErr w:type="spellEnd"/>
      <w:r>
        <w:t>, PharmD, BCPS, BCPPS, BCCP, BCGP</w:t>
      </w:r>
    </w:p>
    <w:p w14:paraId="3B871B93" w14:textId="22426A33" w:rsidR="00DE20D6" w:rsidRDefault="00DE20D6" w:rsidP="00DE20D6">
      <w:r w:rsidRPr="005E137B">
        <w:rPr>
          <w:b/>
          <w:bCs/>
        </w:rPr>
        <w:t>Co-Principal Investigator</w:t>
      </w:r>
      <w:r>
        <w:t xml:space="preserve">: Candy </w:t>
      </w:r>
      <w:proofErr w:type="spellStart"/>
      <w:r>
        <w:t>Tsourounis</w:t>
      </w:r>
      <w:proofErr w:type="spellEnd"/>
      <w:r>
        <w:t>, PharmD, F</w:t>
      </w:r>
      <w:r w:rsidR="0092459E">
        <w:t>CSH</w:t>
      </w:r>
      <w:r>
        <w:t>P</w:t>
      </w:r>
    </w:p>
    <w:p w14:paraId="083E8DEF" w14:textId="05D4EBEA" w:rsidR="00DE20D6" w:rsidRDefault="00DE20D6" w:rsidP="00DE20D6">
      <w:r w:rsidRPr="005E137B">
        <w:rPr>
          <w:b/>
          <w:bCs/>
        </w:rPr>
        <w:t>Other Investigators</w:t>
      </w:r>
      <w:r>
        <w:t>: Calvin Hwang, PharmD</w:t>
      </w:r>
    </w:p>
    <w:p w14:paraId="04CD7185" w14:textId="5888AEF1" w:rsidR="00956B55" w:rsidRDefault="00956B55" w:rsidP="00956B55">
      <w:pPr>
        <w:jc w:val="center"/>
      </w:pPr>
    </w:p>
    <w:p w14:paraId="0EAC332A" w14:textId="5D1C2253" w:rsidR="00956B55" w:rsidRDefault="00956B55" w:rsidP="00956B55">
      <w:pPr>
        <w:rPr>
          <w:b/>
          <w:bCs/>
          <w:u w:val="single"/>
        </w:rPr>
      </w:pPr>
      <w:r w:rsidRPr="00956B55">
        <w:rPr>
          <w:b/>
          <w:bCs/>
          <w:u w:val="single"/>
        </w:rPr>
        <w:t>Abstract</w:t>
      </w:r>
    </w:p>
    <w:p w14:paraId="361EE442" w14:textId="57C12F91" w:rsidR="00FF1423" w:rsidRDefault="001D4829" w:rsidP="00956B55">
      <w:r>
        <w:t>Biosimilars are a relatively new class of medications</w:t>
      </w:r>
      <w:r w:rsidR="00C81963">
        <w:t xml:space="preserve"> comprised of proteins</w:t>
      </w:r>
      <w:r>
        <w:t xml:space="preserve"> that are structurally </w:t>
      </w:r>
      <w:proofErr w:type="gramStart"/>
      <w:r>
        <w:t>similar to</w:t>
      </w:r>
      <w:proofErr w:type="gramEnd"/>
      <w:r>
        <w:t xml:space="preserve"> the original biologic drug. </w:t>
      </w:r>
      <w:r w:rsidR="00644134">
        <w:t xml:space="preserve">A significant difference however between biosimilars and their reference product is cost, which can potentially save transitioning health systems hundreds of thousands of dollars. </w:t>
      </w:r>
      <w:r w:rsidR="007B0343">
        <w:t xml:space="preserve">In the US, there are currently four FDA approved biosimilars </w:t>
      </w:r>
      <w:r w:rsidR="00324A64">
        <w:t>with</w:t>
      </w:r>
      <w:r w:rsidR="007B0343">
        <w:t xml:space="preserve"> infliximab as their reference product. These approved biosimilars however are not classified as interchangeable, which is synonymous with the AB rating used for generic equivalents. </w:t>
      </w:r>
      <w:r w:rsidR="00644134">
        <w:t xml:space="preserve">The objective of this study is to determine the safety and efficacy profile of infliximab and infliximab biosimilars among UC medical center patients. </w:t>
      </w:r>
      <w:r w:rsidR="001B2E41">
        <w:t xml:space="preserve">We will conduct a chart review for patients from April 1, </w:t>
      </w:r>
      <w:proofErr w:type="gramStart"/>
      <w:r w:rsidR="001B2E41">
        <w:t>2018</w:t>
      </w:r>
      <w:proofErr w:type="gramEnd"/>
      <w:r w:rsidR="001B2E41">
        <w:t xml:space="preserve"> to July 31</w:t>
      </w:r>
      <w:r w:rsidR="001B2E41" w:rsidRPr="001B2E41">
        <w:rPr>
          <w:vertAlign w:val="superscript"/>
        </w:rPr>
        <w:t>st</w:t>
      </w:r>
      <w:r w:rsidR="001B2E41">
        <w:t xml:space="preserve">, 2021 </w:t>
      </w:r>
      <w:r w:rsidR="0034771C">
        <w:t>who have received infliximab products and compare the rates of infusion-related reactions</w:t>
      </w:r>
      <w:r w:rsidR="00A5714F">
        <w:t xml:space="preserve"> in these two groups</w:t>
      </w:r>
      <w:r w:rsidR="00324A64">
        <w:t xml:space="preserve"> and analyze them using </w:t>
      </w:r>
      <w:r w:rsidR="00382028">
        <w:t>the</w:t>
      </w:r>
      <w:r w:rsidR="00324A64">
        <w:t xml:space="preserve"> chi-square test. </w:t>
      </w:r>
      <w:r w:rsidR="00A5714F">
        <w:t xml:space="preserve"> </w:t>
      </w:r>
    </w:p>
    <w:p w14:paraId="20BDC676" w14:textId="77777777" w:rsidR="001D4829" w:rsidRPr="00FF1423" w:rsidRDefault="001D4829" w:rsidP="00956B55"/>
    <w:p w14:paraId="2CE50178" w14:textId="7250FCDF" w:rsidR="00956B55" w:rsidRDefault="00956B55" w:rsidP="00956B55">
      <w:pPr>
        <w:rPr>
          <w:b/>
          <w:bCs/>
          <w:u w:val="single"/>
        </w:rPr>
      </w:pPr>
      <w:r>
        <w:rPr>
          <w:b/>
          <w:bCs/>
          <w:u w:val="single"/>
        </w:rPr>
        <w:t>Research Question</w:t>
      </w:r>
    </w:p>
    <w:p w14:paraId="2801FAAA" w14:textId="25D4EA64" w:rsidR="00956B55" w:rsidRDefault="001023A9" w:rsidP="00956B55">
      <w:r w:rsidRPr="001023A9">
        <w:t xml:space="preserve">Do </w:t>
      </w:r>
      <w:r>
        <w:t xml:space="preserve">patients on </w:t>
      </w:r>
      <w:r w:rsidRPr="001023A9">
        <w:t xml:space="preserve">infliximab biosimilars have a similar incidence of infusion-related reactions </w:t>
      </w:r>
      <w:r w:rsidR="00AA6868">
        <w:t>to those on the infliximab originator</w:t>
      </w:r>
      <w:r w:rsidRPr="001023A9">
        <w:t xml:space="preserve"> at UCSF infusion centers?</w:t>
      </w:r>
    </w:p>
    <w:p w14:paraId="2A61D1FD" w14:textId="77777777" w:rsidR="001023A9" w:rsidRPr="001023A9" w:rsidRDefault="001023A9" w:rsidP="00956B55"/>
    <w:p w14:paraId="089628E7" w14:textId="5E47FC4D" w:rsidR="00956B55" w:rsidRDefault="00956B55" w:rsidP="00956B55">
      <w:pPr>
        <w:rPr>
          <w:b/>
          <w:bCs/>
          <w:u w:val="single"/>
        </w:rPr>
      </w:pPr>
      <w:r>
        <w:rPr>
          <w:b/>
          <w:bCs/>
          <w:u w:val="single"/>
        </w:rPr>
        <w:t>Specific Aims</w:t>
      </w:r>
    </w:p>
    <w:p w14:paraId="0AA6F9A2" w14:textId="7F2C1BED" w:rsidR="00956B55" w:rsidRDefault="00995B1C" w:rsidP="00995B1C">
      <w:pPr>
        <w:pStyle w:val="ListParagraph"/>
        <w:numPr>
          <w:ilvl w:val="0"/>
          <w:numId w:val="1"/>
        </w:numPr>
      </w:pPr>
      <w:r>
        <w:t xml:space="preserve">To </w:t>
      </w:r>
      <w:r w:rsidR="00767B50">
        <w:t>compare</w:t>
      </w:r>
      <w:r>
        <w:t xml:space="preserve"> the incidence of infusion-related reactions in patients treated with infliximab and infliximab biosimilars. </w:t>
      </w:r>
    </w:p>
    <w:p w14:paraId="3550B975" w14:textId="5758C2A3" w:rsidR="00767B50" w:rsidRDefault="00767B50" w:rsidP="00995B1C">
      <w:pPr>
        <w:pStyle w:val="ListParagraph"/>
        <w:numPr>
          <w:ilvl w:val="0"/>
          <w:numId w:val="1"/>
        </w:numPr>
      </w:pPr>
      <w:r>
        <w:t>To examine the cost differences between infliximab and infliximab biosimilars</w:t>
      </w:r>
    </w:p>
    <w:p w14:paraId="699DAC9C" w14:textId="77777777" w:rsidR="00992A9F" w:rsidRPr="00992A9F" w:rsidRDefault="00992A9F" w:rsidP="00956B55"/>
    <w:p w14:paraId="5C2B96DD" w14:textId="0AB020F2" w:rsidR="00956B55" w:rsidRDefault="00956B55" w:rsidP="00956B55">
      <w:pPr>
        <w:rPr>
          <w:b/>
          <w:bCs/>
          <w:u w:val="single"/>
        </w:rPr>
      </w:pPr>
      <w:r>
        <w:rPr>
          <w:b/>
          <w:bCs/>
          <w:u w:val="single"/>
        </w:rPr>
        <w:t>Significance</w:t>
      </w:r>
    </w:p>
    <w:p w14:paraId="7404F1DC" w14:textId="311D7EC5" w:rsidR="00E42477" w:rsidRPr="00E42477" w:rsidRDefault="00E42477" w:rsidP="00E42477">
      <w:r w:rsidRPr="00E42477">
        <w:t xml:space="preserve">Infliximab (Remicade®), approved by the FDA in 1998, is a monoclonal antibody that neutralizes the activity of TNFα. It falls under a broad category of drugs called biologics, comprised of proteins, and manufactured through living cells. These class of drugs are used to treat a variety of diseases: inflammatory bowel disease, rheumatoid arthritis, cancers, and endocrine disorders. While new biologics are being developed every day, their significant price tag is a difficult factor to ignore when considering treatment. Biosimilars were developed to act as a much more affordable alternative to biologics. However, despite their similarity in structure. biologics and their respective biosimilars undergo different manufacturing processes, thus prompting the question of whether they should be interchangeable. </w:t>
      </w:r>
    </w:p>
    <w:p w14:paraId="7CBF7C5B" w14:textId="77777777" w:rsidR="00E42477" w:rsidRPr="00E42477" w:rsidRDefault="00E42477" w:rsidP="00E42477"/>
    <w:p w14:paraId="59129D94" w14:textId="5BA0C4F2" w:rsidR="00E42477" w:rsidRPr="00E42477" w:rsidRDefault="00E42477" w:rsidP="00E42477">
      <w:r w:rsidRPr="00E42477">
        <w:lastRenderedPageBreak/>
        <w:t>Currently, in the US, there are four approved biosimilars to infliximab: infliximab-</w:t>
      </w:r>
      <w:proofErr w:type="spellStart"/>
      <w:r w:rsidRPr="00E42477">
        <w:t>axxq</w:t>
      </w:r>
      <w:proofErr w:type="spellEnd"/>
      <w:r w:rsidRPr="00E42477">
        <w:t xml:space="preserve"> (</w:t>
      </w:r>
      <w:proofErr w:type="spellStart"/>
      <w:r w:rsidRPr="00E42477">
        <w:t>Avsola</w:t>
      </w:r>
      <w:proofErr w:type="spellEnd"/>
      <w:r w:rsidRPr="00E42477">
        <w:t>®), infliximab-</w:t>
      </w:r>
      <w:proofErr w:type="spellStart"/>
      <w:r w:rsidRPr="00E42477">
        <w:t>dyyb</w:t>
      </w:r>
      <w:proofErr w:type="spellEnd"/>
      <w:r w:rsidRPr="00E42477">
        <w:t xml:space="preserve"> (</w:t>
      </w:r>
      <w:proofErr w:type="spellStart"/>
      <w:r w:rsidRPr="00E42477">
        <w:t>Inflectra</w:t>
      </w:r>
      <w:proofErr w:type="spellEnd"/>
      <w:r w:rsidRPr="00E42477">
        <w:t>®), infliximab-</w:t>
      </w:r>
      <w:proofErr w:type="spellStart"/>
      <w:r w:rsidRPr="00E42477">
        <w:t>qbtx</w:t>
      </w:r>
      <w:proofErr w:type="spellEnd"/>
      <w:r w:rsidRPr="00E42477">
        <w:t xml:space="preserve"> (</w:t>
      </w:r>
      <w:proofErr w:type="spellStart"/>
      <w:r w:rsidRPr="00E42477">
        <w:t>Ixifi</w:t>
      </w:r>
      <w:proofErr w:type="spellEnd"/>
      <w:r w:rsidRPr="00E42477">
        <w:t>™), and infliximab-</w:t>
      </w:r>
      <w:proofErr w:type="spellStart"/>
      <w:r w:rsidRPr="00E42477">
        <w:t>abda</w:t>
      </w:r>
      <w:proofErr w:type="spellEnd"/>
      <w:r w:rsidRPr="00E42477">
        <w:t xml:space="preserve"> (</w:t>
      </w:r>
      <w:proofErr w:type="spellStart"/>
      <w:r w:rsidRPr="00E42477">
        <w:t>Renflexis</w:t>
      </w:r>
      <w:proofErr w:type="spellEnd"/>
      <w:r w:rsidRPr="00E42477">
        <w:t>®). Despite FDA approval, there is still much resistance to transitioning patients onto these biosimilars due to concerns regarding their efficacy and safety profile. PLANETRA (</w:t>
      </w:r>
      <w:proofErr w:type="spellStart"/>
      <w:r w:rsidRPr="00E42477">
        <w:t>Programme</w:t>
      </w:r>
      <w:proofErr w:type="spellEnd"/>
      <w:r w:rsidRPr="00E42477">
        <w:t xml:space="preserve"> </w:t>
      </w:r>
      <w:proofErr w:type="spellStart"/>
      <w:r w:rsidRPr="00E42477">
        <w:t>evaLuating</w:t>
      </w:r>
      <w:proofErr w:type="spellEnd"/>
      <w:r w:rsidRPr="00E42477">
        <w:t xml:space="preserve"> the Autoimmune disease </w:t>
      </w:r>
      <w:proofErr w:type="spellStart"/>
      <w:r w:rsidRPr="00E42477">
        <w:t>iNvEstigational</w:t>
      </w:r>
      <w:proofErr w:type="spellEnd"/>
      <w:r w:rsidRPr="00E42477">
        <w:t xml:space="preserve"> drug cT-p13 in RA patients) was a phase III randomized, double-blind, multicenter trial demonstrating equivalent efficacy and comparable pharmacokinetic and safety profiles between infliximab-</w:t>
      </w:r>
      <w:proofErr w:type="spellStart"/>
      <w:r w:rsidRPr="00E42477">
        <w:t>dyyb</w:t>
      </w:r>
      <w:proofErr w:type="spellEnd"/>
      <w:r w:rsidRPr="00E42477">
        <w:t xml:space="preserve"> and the original product in patients with rheumatoid arthritis. Similar results were shown in a phase IV, randomized, non-inferiority, double-blind trial titled NOR-SWITCH, which examined outcomes from switching patients from the original product to infliximab-</w:t>
      </w:r>
      <w:proofErr w:type="spellStart"/>
      <w:r w:rsidRPr="00E42477">
        <w:t>dyyb</w:t>
      </w:r>
      <w:proofErr w:type="spellEnd"/>
      <w:r w:rsidRPr="00E42477">
        <w:t xml:space="preserve">. </w:t>
      </w:r>
    </w:p>
    <w:p w14:paraId="3A340D9C" w14:textId="77777777" w:rsidR="00E42477" w:rsidRPr="00E42477" w:rsidRDefault="00E42477" w:rsidP="00E42477"/>
    <w:p w14:paraId="21ECA747" w14:textId="69D7C2C9" w:rsidR="00956B55" w:rsidRDefault="00E42477" w:rsidP="00E42477">
      <w:r w:rsidRPr="00E42477">
        <w:t xml:space="preserve">However, despite these landmark studies, not all guidelines endorse switching between biosimilars and their reference product. Moreover, the FDA has only recently approved its first interchangeable biosimilar </w:t>
      </w:r>
      <w:proofErr w:type="spellStart"/>
      <w:r w:rsidRPr="00E42477">
        <w:t>Semglee</w:t>
      </w:r>
      <w:proofErr w:type="spellEnd"/>
      <w:r w:rsidRPr="00E42477">
        <w:t>® (insulin-glargine-</w:t>
      </w:r>
      <w:proofErr w:type="spellStart"/>
      <w:r w:rsidRPr="00E42477">
        <w:t>yfgn</w:t>
      </w:r>
      <w:proofErr w:type="spellEnd"/>
      <w:r w:rsidRPr="00E42477">
        <w:t xml:space="preserve">). Further studies in the US, particularly including a more diverse population, could assist in guiding providers and patients towards switching infliximab to its biosimilar counterparts, which could result in a significant cost-savings for the UC health system.  </w:t>
      </w:r>
    </w:p>
    <w:p w14:paraId="15FF1E98" w14:textId="77777777" w:rsidR="00E42477" w:rsidRPr="00E42477" w:rsidRDefault="00E42477" w:rsidP="00E42477"/>
    <w:p w14:paraId="5E47EF35" w14:textId="1A1586AD" w:rsidR="00956B55" w:rsidRDefault="00956B55" w:rsidP="00956B55">
      <w:pPr>
        <w:rPr>
          <w:b/>
          <w:bCs/>
          <w:u w:val="single"/>
        </w:rPr>
      </w:pPr>
      <w:r>
        <w:rPr>
          <w:b/>
          <w:bCs/>
          <w:u w:val="single"/>
        </w:rPr>
        <w:t>Methods</w:t>
      </w:r>
    </w:p>
    <w:p w14:paraId="01CB173E" w14:textId="7371D32D" w:rsidR="0091172B" w:rsidRDefault="00DE257F" w:rsidP="00956B55">
      <w:r w:rsidRPr="0091172B">
        <w:rPr>
          <w:b/>
          <w:bCs/>
          <w:i/>
          <w:iCs/>
        </w:rPr>
        <w:t>Design</w:t>
      </w:r>
      <w:r>
        <w:rPr>
          <w:b/>
          <w:bCs/>
        </w:rPr>
        <w:t xml:space="preserve">: </w:t>
      </w:r>
      <w:r>
        <w:t xml:space="preserve">Retrospective, cohort study </w:t>
      </w:r>
      <w:r w:rsidR="00382028">
        <w:t>including</w:t>
      </w:r>
      <w:r>
        <w:t xml:space="preserve"> participants</w:t>
      </w:r>
      <w:r w:rsidR="00382028">
        <w:t xml:space="preserve"> treated with</w:t>
      </w:r>
      <w:r>
        <w:t xml:space="preserve"> infliximab originator or were on infliximab originator and switched to </w:t>
      </w:r>
      <w:r w:rsidR="0091172B">
        <w:t>infliximab biosimilar</w:t>
      </w:r>
    </w:p>
    <w:p w14:paraId="38A6B5BC" w14:textId="01E5F9B6" w:rsidR="0091172B" w:rsidRDefault="0091172B" w:rsidP="00956B55"/>
    <w:p w14:paraId="6EA96958" w14:textId="17C448E1" w:rsidR="001C16B6" w:rsidRPr="001C16B6" w:rsidRDefault="001C16B6" w:rsidP="00956B55">
      <w:r>
        <w:rPr>
          <w:b/>
          <w:bCs/>
          <w:i/>
          <w:iCs/>
        </w:rPr>
        <w:t xml:space="preserve">Time Frame: </w:t>
      </w:r>
      <w:r>
        <w:t xml:space="preserve">April 1, </w:t>
      </w:r>
      <w:proofErr w:type="gramStart"/>
      <w:r>
        <w:t>2018</w:t>
      </w:r>
      <w:proofErr w:type="gramEnd"/>
      <w:r>
        <w:t xml:space="preserve"> to July 31, 2021</w:t>
      </w:r>
    </w:p>
    <w:p w14:paraId="791B0FF9" w14:textId="77777777" w:rsidR="001C16B6" w:rsidRDefault="001C16B6" w:rsidP="00956B55"/>
    <w:p w14:paraId="68B11529" w14:textId="7FD669C4" w:rsidR="0091172B" w:rsidRPr="0091172B" w:rsidRDefault="0091172B" w:rsidP="00956B55">
      <w:r w:rsidRPr="0091172B">
        <w:rPr>
          <w:b/>
          <w:bCs/>
          <w:i/>
          <w:iCs/>
        </w:rPr>
        <w:t>Target Population</w:t>
      </w:r>
      <w:r w:rsidRPr="0091172B">
        <w:rPr>
          <w:b/>
          <w:bCs/>
        </w:rPr>
        <w:t>:</w:t>
      </w:r>
      <w:r w:rsidRPr="0091172B">
        <w:t xml:space="preserve"> </w:t>
      </w:r>
      <w:r>
        <w:t>All patients in the Bay Area who have received infliximab products</w:t>
      </w:r>
    </w:p>
    <w:p w14:paraId="46DC5E48" w14:textId="4BAC52FC" w:rsidR="00956B55" w:rsidRPr="00DE257F" w:rsidRDefault="0091172B" w:rsidP="00956B55">
      <w:r w:rsidRPr="0091172B">
        <w:rPr>
          <w:b/>
          <w:bCs/>
          <w:i/>
          <w:iCs/>
        </w:rPr>
        <w:t>Accessible Population</w:t>
      </w:r>
      <w:r w:rsidRPr="0091172B">
        <w:rPr>
          <w:b/>
          <w:bCs/>
        </w:rPr>
        <w:t>:</w:t>
      </w:r>
      <w:r w:rsidR="00DE257F">
        <w:t xml:space="preserve"> </w:t>
      </w:r>
      <w:r>
        <w:t>Patients with an accessible electronic medical record who have received infliximab products at a UCSF affiliated infusion center.</w:t>
      </w:r>
    </w:p>
    <w:p w14:paraId="0E13AB0D" w14:textId="4EDA00F7" w:rsidR="00DE257F" w:rsidRDefault="00DE257F" w:rsidP="00956B55">
      <w:pPr>
        <w:rPr>
          <w:b/>
          <w:bCs/>
          <w:u w:val="single"/>
        </w:rPr>
      </w:pPr>
    </w:p>
    <w:p w14:paraId="2E457E3D" w14:textId="6A710E65" w:rsidR="00993083" w:rsidRPr="007755C3" w:rsidRDefault="00993083" w:rsidP="00956B55">
      <w:pPr>
        <w:rPr>
          <w:rFonts w:cstheme="minorHAnsi"/>
          <w:b/>
          <w:bCs/>
          <w:i/>
          <w:iCs/>
        </w:rPr>
      </w:pPr>
      <w:r w:rsidRPr="007755C3">
        <w:rPr>
          <w:rFonts w:cstheme="minorHAnsi"/>
          <w:b/>
          <w:bCs/>
          <w:i/>
          <w:iCs/>
        </w:rPr>
        <w:t>Inclusion Criteria:</w:t>
      </w:r>
    </w:p>
    <w:p w14:paraId="463B9953" w14:textId="77777777" w:rsidR="007755C3" w:rsidRPr="007755C3" w:rsidRDefault="007755C3" w:rsidP="007755C3">
      <w:pPr>
        <w:pStyle w:val="BlockText"/>
        <w:numPr>
          <w:ilvl w:val="0"/>
          <w:numId w:val="2"/>
        </w:numPr>
        <w:spacing w:before="0" w:after="0"/>
        <w:ind w:right="0"/>
        <w:rPr>
          <w:rFonts w:asciiTheme="minorHAnsi" w:hAnsiTheme="minorHAnsi" w:cstheme="minorHAnsi"/>
          <w:i w:val="0"/>
          <w:iCs/>
          <w:szCs w:val="24"/>
        </w:rPr>
      </w:pPr>
      <w:r w:rsidRPr="007755C3">
        <w:rPr>
          <w:rFonts w:asciiTheme="minorHAnsi" w:hAnsiTheme="minorHAnsi" w:cstheme="minorHAnsi"/>
          <w:i w:val="0"/>
          <w:iCs/>
          <w:szCs w:val="24"/>
        </w:rPr>
        <w:t>Patients ≥ 18 years old</w:t>
      </w:r>
    </w:p>
    <w:p w14:paraId="7775F0AC" w14:textId="605B2EE8" w:rsidR="007755C3" w:rsidRPr="007755C3" w:rsidRDefault="007755C3" w:rsidP="007755C3">
      <w:pPr>
        <w:pStyle w:val="BlockText"/>
        <w:numPr>
          <w:ilvl w:val="0"/>
          <w:numId w:val="2"/>
        </w:numPr>
        <w:spacing w:before="0" w:after="0"/>
        <w:ind w:right="0"/>
        <w:rPr>
          <w:rFonts w:asciiTheme="minorHAnsi" w:hAnsiTheme="minorHAnsi" w:cstheme="minorHAnsi"/>
          <w:i w:val="0"/>
          <w:iCs/>
          <w:szCs w:val="24"/>
        </w:rPr>
      </w:pPr>
      <w:r w:rsidRPr="007755C3">
        <w:rPr>
          <w:rFonts w:asciiTheme="minorHAnsi" w:hAnsiTheme="minorHAnsi" w:cstheme="minorHAnsi"/>
          <w:i w:val="0"/>
          <w:iCs/>
          <w:szCs w:val="24"/>
        </w:rPr>
        <w:t xml:space="preserve">Must be on maintenance </w:t>
      </w:r>
      <w:r w:rsidR="0058336E">
        <w:rPr>
          <w:rFonts w:asciiTheme="minorHAnsi" w:hAnsiTheme="minorHAnsi" w:cstheme="minorHAnsi"/>
          <w:i w:val="0"/>
          <w:iCs/>
          <w:szCs w:val="24"/>
        </w:rPr>
        <w:t>therapy</w:t>
      </w:r>
      <w:r w:rsidRPr="007755C3">
        <w:rPr>
          <w:rFonts w:asciiTheme="minorHAnsi" w:hAnsiTheme="minorHAnsi" w:cstheme="minorHAnsi"/>
          <w:i w:val="0"/>
          <w:iCs/>
          <w:szCs w:val="24"/>
        </w:rPr>
        <w:t xml:space="preserve"> of </w:t>
      </w:r>
      <w:r w:rsidR="00382028">
        <w:rPr>
          <w:rFonts w:asciiTheme="minorHAnsi" w:hAnsiTheme="minorHAnsi" w:cstheme="minorHAnsi"/>
          <w:i w:val="0"/>
          <w:iCs/>
          <w:szCs w:val="24"/>
        </w:rPr>
        <w:t xml:space="preserve">originator </w:t>
      </w:r>
      <w:r w:rsidRPr="007755C3">
        <w:rPr>
          <w:rFonts w:asciiTheme="minorHAnsi" w:hAnsiTheme="minorHAnsi" w:cstheme="minorHAnsi"/>
          <w:i w:val="0"/>
          <w:iCs/>
          <w:szCs w:val="24"/>
        </w:rPr>
        <w:t>infliximab (Remicade®) prior to switching</w:t>
      </w:r>
    </w:p>
    <w:p w14:paraId="7E935FB1" w14:textId="76CB0873" w:rsidR="00993083" w:rsidRPr="007755C3" w:rsidRDefault="00993083" w:rsidP="00956B55">
      <w:pPr>
        <w:rPr>
          <w:rFonts w:cstheme="minorHAnsi"/>
          <w:b/>
          <w:bCs/>
          <w:i/>
          <w:iCs/>
        </w:rPr>
      </w:pPr>
    </w:p>
    <w:p w14:paraId="66102D6B" w14:textId="5E5A2A0C" w:rsidR="00993083" w:rsidRPr="007755C3" w:rsidRDefault="00993083" w:rsidP="00956B55">
      <w:pPr>
        <w:rPr>
          <w:rFonts w:cstheme="minorHAnsi"/>
        </w:rPr>
      </w:pPr>
      <w:r w:rsidRPr="007755C3">
        <w:rPr>
          <w:rFonts w:cstheme="minorHAnsi"/>
          <w:b/>
          <w:bCs/>
          <w:i/>
          <w:iCs/>
        </w:rPr>
        <w:t xml:space="preserve">Exclusion Criteria: </w:t>
      </w:r>
    </w:p>
    <w:p w14:paraId="4CB1C9F0" w14:textId="77777777" w:rsidR="007755C3" w:rsidRPr="007755C3" w:rsidRDefault="007755C3" w:rsidP="007755C3">
      <w:pPr>
        <w:pStyle w:val="List"/>
        <w:numPr>
          <w:ilvl w:val="0"/>
          <w:numId w:val="2"/>
        </w:numPr>
        <w:tabs>
          <w:tab w:val="left" w:pos="9450"/>
          <w:tab w:val="left" w:pos="9720"/>
        </w:tabs>
        <w:spacing w:before="0" w:beforeAutospacing="0" w:after="0" w:afterAutospacing="0"/>
        <w:ind w:right="0"/>
        <w:rPr>
          <w:rFonts w:asciiTheme="minorHAnsi" w:hAnsiTheme="minorHAnsi" w:cstheme="minorHAnsi"/>
          <w:i w:val="0"/>
          <w:iCs/>
          <w:szCs w:val="24"/>
        </w:rPr>
      </w:pPr>
      <w:r w:rsidRPr="007755C3">
        <w:rPr>
          <w:rFonts w:asciiTheme="minorHAnsi" w:hAnsiTheme="minorHAnsi" w:cstheme="minorHAnsi"/>
          <w:i w:val="0"/>
          <w:iCs/>
          <w:szCs w:val="24"/>
        </w:rPr>
        <w:t>Patients who did not complete the induction phase of treatment (Week 0, 2, &amp; 6)</w:t>
      </w:r>
    </w:p>
    <w:p w14:paraId="5B9CCCCF" w14:textId="77777777" w:rsidR="007755C3" w:rsidRPr="007755C3" w:rsidRDefault="007755C3" w:rsidP="007755C3">
      <w:pPr>
        <w:pStyle w:val="List"/>
        <w:numPr>
          <w:ilvl w:val="0"/>
          <w:numId w:val="2"/>
        </w:numPr>
        <w:tabs>
          <w:tab w:val="left" w:pos="9450"/>
          <w:tab w:val="left" w:pos="9720"/>
        </w:tabs>
        <w:spacing w:before="0" w:beforeAutospacing="0" w:after="0" w:afterAutospacing="0"/>
        <w:ind w:right="0"/>
        <w:rPr>
          <w:rFonts w:asciiTheme="minorHAnsi" w:hAnsiTheme="minorHAnsi" w:cstheme="minorHAnsi"/>
          <w:i w:val="0"/>
          <w:iCs/>
          <w:szCs w:val="24"/>
        </w:rPr>
      </w:pPr>
      <w:r w:rsidRPr="007755C3">
        <w:rPr>
          <w:rFonts w:asciiTheme="minorHAnsi" w:hAnsiTheme="minorHAnsi" w:cstheme="minorHAnsi"/>
          <w:i w:val="0"/>
          <w:iCs/>
          <w:szCs w:val="24"/>
        </w:rPr>
        <w:t>Individuals who are not yet adults (infants, children, teenagers)</w:t>
      </w:r>
    </w:p>
    <w:p w14:paraId="296A0C20" w14:textId="77777777" w:rsidR="007755C3" w:rsidRPr="007755C3" w:rsidRDefault="007755C3" w:rsidP="007755C3">
      <w:pPr>
        <w:pStyle w:val="List"/>
        <w:numPr>
          <w:ilvl w:val="0"/>
          <w:numId w:val="2"/>
        </w:numPr>
        <w:tabs>
          <w:tab w:val="left" w:pos="9450"/>
          <w:tab w:val="left" w:pos="9720"/>
        </w:tabs>
        <w:spacing w:before="0" w:beforeAutospacing="0" w:after="0" w:afterAutospacing="0"/>
        <w:ind w:right="0"/>
        <w:rPr>
          <w:rFonts w:asciiTheme="minorHAnsi" w:hAnsiTheme="minorHAnsi" w:cstheme="minorHAnsi"/>
          <w:i w:val="0"/>
          <w:iCs/>
          <w:szCs w:val="24"/>
        </w:rPr>
      </w:pPr>
      <w:r w:rsidRPr="007755C3">
        <w:rPr>
          <w:rFonts w:asciiTheme="minorHAnsi" w:hAnsiTheme="minorHAnsi" w:cstheme="minorHAnsi"/>
          <w:i w:val="0"/>
          <w:iCs/>
          <w:szCs w:val="24"/>
        </w:rPr>
        <w:t>Pregnant women</w:t>
      </w:r>
    </w:p>
    <w:p w14:paraId="645FE2D1" w14:textId="77777777" w:rsidR="007755C3" w:rsidRPr="007755C3" w:rsidRDefault="007755C3" w:rsidP="007755C3">
      <w:pPr>
        <w:pStyle w:val="List"/>
        <w:numPr>
          <w:ilvl w:val="0"/>
          <w:numId w:val="2"/>
        </w:numPr>
        <w:tabs>
          <w:tab w:val="left" w:pos="9450"/>
          <w:tab w:val="left" w:pos="9720"/>
        </w:tabs>
        <w:spacing w:before="0" w:beforeAutospacing="0" w:after="0" w:afterAutospacing="0"/>
        <w:ind w:right="0"/>
        <w:rPr>
          <w:rFonts w:asciiTheme="minorHAnsi" w:hAnsiTheme="minorHAnsi" w:cstheme="minorHAnsi"/>
          <w:i w:val="0"/>
          <w:iCs/>
          <w:szCs w:val="24"/>
        </w:rPr>
      </w:pPr>
      <w:r w:rsidRPr="007755C3">
        <w:rPr>
          <w:rFonts w:asciiTheme="minorHAnsi" w:hAnsiTheme="minorHAnsi" w:cstheme="minorHAnsi"/>
          <w:i w:val="0"/>
          <w:iCs/>
          <w:szCs w:val="24"/>
        </w:rPr>
        <w:t>Prisoners</w:t>
      </w:r>
    </w:p>
    <w:p w14:paraId="463EEA3B" w14:textId="676B0E04" w:rsidR="00DE257F" w:rsidRDefault="00DE257F" w:rsidP="00956B55">
      <w:pPr>
        <w:rPr>
          <w:b/>
          <w:bCs/>
          <w:u w:val="single"/>
        </w:rPr>
      </w:pPr>
    </w:p>
    <w:p w14:paraId="1105AE16" w14:textId="6C93D364" w:rsidR="000E460B" w:rsidRDefault="000E460B" w:rsidP="00956B55">
      <w:pPr>
        <w:rPr>
          <w:b/>
          <w:bCs/>
          <w:i/>
          <w:iCs/>
        </w:rPr>
      </w:pPr>
      <w:r>
        <w:rPr>
          <w:b/>
          <w:bCs/>
          <w:i/>
          <w:iCs/>
        </w:rPr>
        <w:t>Sample Procedures:</w:t>
      </w:r>
    </w:p>
    <w:p w14:paraId="7E218DA6" w14:textId="190C1801" w:rsidR="000E460B" w:rsidRPr="00E8707F" w:rsidRDefault="00E8707F" w:rsidP="00956B55">
      <w:r>
        <w:t>A list of patients that have received treatment products will be provided by a data analyst. We will access the charts of patients within this database through EPIC who have documented administration of infliximab or infliximab biosimilars</w:t>
      </w:r>
      <w:r w:rsidR="001D4829">
        <w:t xml:space="preserve"> to collect all pertinent information. </w:t>
      </w:r>
    </w:p>
    <w:p w14:paraId="4977AAF9" w14:textId="77777777" w:rsidR="00E8707F" w:rsidRDefault="00E8707F" w:rsidP="00956B55">
      <w:pPr>
        <w:rPr>
          <w:b/>
          <w:bCs/>
          <w:i/>
          <w:iCs/>
        </w:rPr>
      </w:pPr>
    </w:p>
    <w:p w14:paraId="3328F856" w14:textId="29DF163E" w:rsidR="000E460B" w:rsidRPr="002904F1" w:rsidRDefault="000E460B" w:rsidP="00956B55">
      <w:r>
        <w:rPr>
          <w:b/>
          <w:bCs/>
          <w:i/>
          <w:iCs/>
        </w:rPr>
        <w:t>Primary predictor variable:</w:t>
      </w:r>
      <w:r w:rsidR="002904F1">
        <w:rPr>
          <w:b/>
          <w:bCs/>
          <w:i/>
          <w:iCs/>
        </w:rPr>
        <w:t xml:space="preserve"> </w:t>
      </w:r>
      <w:r w:rsidR="002904F1">
        <w:t>Infliximab biosimilars</w:t>
      </w:r>
    </w:p>
    <w:p w14:paraId="1CB7EEF7" w14:textId="3D662801" w:rsidR="000E460B" w:rsidRDefault="000E460B" w:rsidP="00956B55">
      <w:pPr>
        <w:rPr>
          <w:b/>
          <w:bCs/>
          <w:i/>
          <w:iCs/>
        </w:rPr>
      </w:pPr>
    </w:p>
    <w:p w14:paraId="41080337" w14:textId="2C67B0A6" w:rsidR="0058336E" w:rsidRDefault="000E460B" w:rsidP="0058336E">
      <w:r>
        <w:rPr>
          <w:b/>
          <w:bCs/>
          <w:i/>
          <w:iCs/>
        </w:rPr>
        <w:t>Primary outcome variable:</w:t>
      </w:r>
      <w:r w:rsidR="002904F1">
        <w:rPr>
          <w:b/>
          <w:bCs/>
          <w:i/>
          <w:iCs/>
        </w:rPr>
        <w:t xml:space="preserve"> </w:t>
      </w:r>
      <w:r w:rsidR="002904F1">
        <w:t xml:space="preserve">Incidence of infusion-related </w:t>
      </w:r>
      <w:r w:rsidR="0058336E">
        <w:t>reactions</w:t>
      </w:r>
      <w:r w:rsidR="0058336E">
        <w:t>: reactions</w:t>
      </w:r>
      <w:r w:rsidR="0058336E">
        <w:t xml:space="preserve"> that develop during infusions or within 1 hour of completion</w:t>
      </w:r>
    </w:p>
    <w:p w14:paraId="6B702D65" w14:textId="40EDC894" w:rsidR="0058336E" w:rsidRDefault="0058336E" w:rsidP="0058336E">
      <w:pPr>
        <w:pStyle w:val="ListParagraph"/>
        <w:numPr>
          <w:ilvl w:val="0"/>
          <w:numId w:val="5"/>
        </w:numPr>
      </w:pPr>
      <w:r>
        <w:t xml:space="preserve">Acute mild infusion reaction: Transient pruritis, flushing, dizziness, nausea, headache, diaphoresis, palpitations, myalgia, fever (≤38°C), or paresthesia </w:t>
      </w:r>
    </w:p>
    <w:p w14:paraId="498A626B" w14:textId="64984722" w:rsidR="0058336E" w:rsidRDefault="0058336E" w:rsidP="0058336E">
      <w:pPr>
        <w:pStyle w:val="ListParagraph"/>
        <w:numPr>
          <w:ilvl w:val="0"/>
          <w:numId w:val="5"/>
        </w:numPr>
      </w:pPr>
      <w:r>
        <w:t xml:space="preserve">Acute moderate infusion reaction: chest tightness/discomfort/pain, dyspnea, hypertension (&gt; 20 points SBP), urticaria, fever (≥38°C), chills and palpitations </w:t>
      </w:r>
    </w:p>
    <w:p w14:paraId="131970FA" w14:textId="7976FB6C" w:rsidR="000E460B" w:rsidRPr="002904F1" w:rsidRDefault="0058336E" w:rsidP="0058336E">
      <w:pPr>
        <w:pStyle w:val="ListParagraph"/>
        <w:numPr>
          <w:ilvl w:val="0"/>
          <w:numId w:val="5"/>
        </w:numPr>
      </w:pPr>
      <w:r>
        <w:t>Acute severe infusion reaction: bronchospasms, angioedema, hypotension, EMS/hospitalization required</w:t>
      </w:r>
    </w:p>
    <w:p w14:paraId="757B0A4C" w14:textId="0C46EEAA" w:rsidR="000E460B" w:rsidRDefault="000E460B" w:rsidP="00956B55">
      <w:pPr>
        <w:rPr>
          <w:b/>
          <w:bCs/>
          <w:i/>
          <w:iCs/>
        </w:rPr>
      </w:pPr>
    </w:p>
    <w:p w14:paraId="183E9659" w14:textId="574D38DA" w:rsidR="000E460B" w:rsidRPr="002904F1" w:rsidRDefault="000E460B" w:rsidP="00956B55">
      <w:pPr>
        <w:rPr>
          <w:rFonts w:cstheme="minorHAnsi"/>
        </w:rPr>
      </w:pPr>
      <w:r w:rsidRPr="002904F1">
        <w:rPr>
          <w:rFonts w:cstheme="minorHAnsi"/>
          <w:b/>
          <w:bCs/>
          <w:i/>
          <w:iCs/>
        </w:rPr>
        <w:t>Secondary outcome</w:t>
      </w:r>
      <w:r w:rsidR="002904F1" w:rsidRPr="002904F1">
        <w:rPr>
          <w:rFonts w:cstheme="minorHAnsi"/>
          <w:b/>
          <w:bCs/>
          <w:i/>
          <w:iCs/>
        </w:rPr>
        <w:t>s</w:t>
      </w:r>
      <w:r w:rsidRPr="002904F1">
        <w:rPr>
          <w:rFonts w:cstheme="minorHAnsi"/>
          <w:b/>
          <w:bCs/>
          <w:i/>
          <w:iCs/>
        </w:rPr>
        <w:t>:</w:t>
      </w:r>
      <w:r w:rsidR="002904F1" w:rsidRPr="002904F1">
        <w:rPr>
          <w:rFonts w:cstheme="minorHAnsi"/>
          <w:b/>
          <w:bCs/>
          <w:i/>
          <w:iCs/>
        </w:rPr>
        <w:t xml:space="preserve"> </w:t>
      </w:r>
    </w:p>
    <w:p w14:paraId="39AE004C" w14:textId="41258F95" w:rsidR="002904F1" w:rsidRPr="002904F1" w:rsidRDefault="002904F1" w:rsidP="002904F1">
      <w:pPr>
        <w:pStyle w:val="ListParagraph"/>
        <w:numPr>
          <w:ilvl w:val="0"/>
          <w:numId w:val="4"/>
        </w:numPr>
        <w:rPr>
          <w:rFonts w:eastAsiaTheme="majorEastAsia" w:cstheme="minorHAnsi"/>
          <w:color w:val="000000"/>
        </w:rPr>
      </w:pPr>
      <w:r w:rsidRPr="002904F1">
        <w:rPr>
          <w:rFonts w:eastAsia="Times New Roman" w:cstheme="minorHAnsi"/>
          <w:iCs/>
        </w:rPr>
        <w:t xml:space="preserve">Occurrence and time to study drug discontinuation </w:t>
      </w:r>
    </w:p>
    <w:p w14:paraId="634E2DDD" w14:textId="77777777" w:rsidR="002904F1" w:rsidRPr="002904F1" w:rsidRDefault="002904F1" w:rsidP="002904F1">
      <w:pPr>
        <w:pStyle w:val="ListParagraph"/>
        <w:numPr>
          <w:ilvl w:val="0"/>
          <w:numId w:val="4"/>
        </w:numPr>
        <w:rPr>
          <w:rFonts w:eastAsiaTheme="majorEastAsia" w:cstheme="minorHAnsi"/>
          <w:color w:val="000000"/>
        </w:rPr>
      </w:pPr>
      <w:r w:rsidRPr="002904F1">
        <w:rPr>
          <w:rFonts w:eastAsia="Times New Roman" w:cstheme="minorHAnsi"/>
          <w:iCs/>
        </w:rPr>
        <w:t xml:space="preserve">Changes in ESR from baseline </w:t>
      </w:r>
    </w:p>
    <w:p w14:paraId="49425159" w14:textId="77777777" w:rsidR="002904F1" w:rsidRPr="002904F1" w:rsidRDefault="002904F1" w:rsidP="002904F1">
      <w:pPr>
        <w:pStyle w:val="ListParagraph"/>
        <w:numPr>
          <w:ilvl w:val="0"/>
          <w:numId w:val="4"/>
        </w:numPr>
        <w:rPr>
          <w:rFonts w:eastAsiaTheme="majorEastAsia" w:cstheme="minorHAnsi"/>
          <w:color w:val="000000"/>
        </w:rPr>
      </w:pPr>
      <w:r w:rsidRPr="002904F1">
        <w:rPr>
          <w:rFonts w:eastAsia="Times New Roman" w:cstheme="minorHAnsi"/>
          <w:iCs/>
        </w:rPr>
        <w:t xml:space="preserve">Changes in CRP from baseline </w:t>
      </w:r>
    </w:p>
    <w:p w14:paraId="1037A9E9" w14:textId="77777777" w:rsidR="002904F1" w:rsidRPr="002904F1" w:rsidRDefault="002904F1" w:rsidP="002904F1">
      <w:pPr>
        <w:pStyle w:val="ListParagraph"/>
        <w:numPr>
          <w:ilvl w:val="0"/>
          <w:numId w:val="4"/>
        </w:numPr>
        <w:rPr>
          <w:rFonts w:eastAsiaTheme="majorEastAsia" w:cstheme="minorHAnsi"/>
          <w:color w:val="000000"/>
        </w:rPr>
      </w:pPr>
      <w:r w:rsidRPr="002904F1">
        <w:rPr>
          <w:rFonts w:eastAsia="Times New Roman" w:cstheme="minorHAnsi"/>
          <w:iCs/>
        </w:rPr>
        <w:t>Cost of dosing regimens</w:t>
      </w:r>
    </w:p>
    <w:p w14:paraId="448988B9" w14:textId="6B4EE863" w:rsidR="002904F1" w:rsidRPr="002904F1" w:rsidRDefault="002904F1" w:rsidP="00956B55">
      <w:pPr>
        <w:rPr>
          <w:rFonts w:cstheme="minorHAnsi"/>
        </w:rPr>
      </w:pPr>
    </w:p>
    <w:p w14:paraId="47F6A799" w14:textId="7BA288F8" w:rsidR="000E460B" w:rsidRPr="002904F1" w:rsidRDefault="002904F1" w:rsidP="00956B55">
      <w:pPr>
        <w:rPr>
          <w:rFonts w:cstheme="minorHAnsi"/>
          <w:b/>
          <w:bCs/>
          <w:i/>
          <w:iCs/>
        </w:rPr>
      </w:pPr>
      <w:r w:rsidRPr="002904F1">
        <w:rPr>
          <w:rFonts w:cstheme="minorHAnsi"/>
          <w:b/>
          <w:bCs/>
          <w:i/>
          <w:iCs/>
        </w:rPr>
        <w:t xml:space="preserve">Secondary safety outcomes: </w:t>
      </w:r>
    </w:p>
    <w:p w14:paraId="517371C0" w14:textId="77777777" w:rsidR="002904F1" w:rsidRPr="002904F1" w:rsidRDefault="002904F1" w:rsidP="002904F1">
      <w:pPr>
        <w:pStyle w:val="ListParagraph"/>
        <w:numPr>
          <w:ilvl w:val="0"/>
          <w:numId w:val="4"/>
        </w:numPr>
        <w:rPr>
          <w:rFonts w:eastAsiaTheme="majorEastAsia" w:cstheme="minorHAnsi"/>
          <w:color w:val="000000"/>
        </w:rPr>
      </w:pPr>
      <w:r w:rsidRPr="002904F1">
        <w:rPr>
          <w:rFonts w:eastAsia="Times New Roman" w:cstheme="minorHAnsi"/>
          <w:iCs/>
        </w:rPr>
        <w:t xml:space="preserve">Upper </w:t>
      </w:r>
      <w:r w:rsidRPr="002904F1">
        <w:rPr>
          <w:rFonts w:eastAsiaTheme="majorEastAsia" w:cstheme="minorHAnsi"/>
          <w:color w:val="000000"/>
        </w:rPr>
        <w:t>respiratory tract infection</w:t>
      </w:r>
    </w:p>
    <w:p w14:paraId="54DFC6BD" w14:textId="77777777" w:rsidR="002904F1" w:rsidRPr="002904F1" w:rsidRDefault="002904F1" w:rsidP="002904F1">
      <w:pPr>
        <w:pStyle w:val="ListParagraph"/>
        <w:numPr>
          <w:ilvl w:val="0"/>
          <w:numId w:val="4"/>
        </w:numPr>
        <w:rPr>
          <w:rFonts w:eastAsiaTheme="majorEastAsia" w:cstheme="minorHAnsi"/>
          <w:color w:val="000000"/>
        </w:rPr>
      </w:pPr>
      <w:r w:rsidRPr="002904F1">
        <w:rPr>
          <w:rFonts w:eastAsiaTheme="majorEastAsia" w:cstheme="minorHAnsi"/>
          <w:color w:val="000000"/>
        </w:rPr>
        <w:t>Lower respiratory tract infection</w:t>
      </w:r>
    </w:p>
    <w:p w14:paraId="27D82165" w14:textId="77777777" w:rsidR="002904F1" w:rsidRPr="002904F1" w:rsidRDefault="002904F1" w:rsidP="002904F1">
      <w:pPr>
        <w:pStyle w:val="ListParagraph"/>
        <w:numPr>
          <w:ilvl w:val="0"/>
          <w:numId w:val="4"/>
        </w:numPr>
        <w:rPr>
          <w:rFonts w:eastAsiaTheme="majorEastAsia" w:cstheme="minorHAnsi"/>
          <w:color w:val="000000"/>
        </w:rPr>
      </w:pPr>
      <w:r w:rsidRPr="002904F1">
        <w:rPr>
          <w:rFonts w:eastAsia="Times New Roman" w:cstheme="minorHAnsi"/>
          <w:iCs/>
        </w:rPr>
        <w:t>Latent TB</w:t>
      </w:r>
    </w:p>
    <w:p w14:paraId="2985E647" w14:textId="77777777" w:rsidR="002904F1" w:rsidRPr="002904F1" w:rsidRDefault="002904F1" w:rsidP="002904F1">
      <w:pPr>
        <w:pStyle w:val="ListParagraph"/>
        <w:numPr>
          <w:ilvl w:val="0"/>
          <w:numId w:val="4"/>
        </w:numPr>
        <w:rPr>
          <w:rFonts w:eastAsiaTheme="majorEastAsia" w:cstheme="minorHAnsi"/>
          <w:color w:val="000000"/>
        </w:rPr>
      </w:pPr>
      <w:r w:rsidRPr="002904F1">
        <w:rPr>
          <w:rFonts w:eastAsia="Times New Roman" w:cstheme="minorHAnsi"/>
          <w:iCs/>
        </w:rPr>
        <w:t>Liver function tests</w:t>
      </w:r>
    </w:p>
    <w:p w14:paraId="10DFE951" w14:textId="77777777" w:rsidR="002904F1" w:rsidRPr="002904F1" w:rsidRDefault="002904F1" w:rsidP="002904F1">
      <w:pPr>
        <w:pStyle w:val="ListParagraph"/>
        <w:numPr>
          <w:ilvl w:val="0"/>
          <w:numId w:val="4"/>
        </w:numPr>
        <w:rPr>
          <w:rFonts w:eastAsiaTheme="majorEastAsia" w:cstheme="minorHAnsi"/>
          <w:color w:val="000000"/>
        </w:rPr>
      </w:pPr>
      <w:r w:rsidRPr="002904F1">
        <w:rPr>
          <w:rFonts w:eastAsiaTheme="majorEastAsia" w:cstheme="minorHAnsi"/>
          <w:color w:val="000000"/>
        </w:rPr>
        <w:t>Urinary tract infection</w:t>
      </w:r>
    </w:p>
    <w:p w14:paraId="1925928A" w14:textId="77777777" w:rsidR="002904F1" w:rsidRDefault="002904F1" w:rsidP="00956B55">
      <w:pPr>
        <w:rPr>
          <w:b/>
          <w:bCs/>
          <w:i/>
          <w:iCs/>
        </w:rPr>
      </w:pPr>
    </w:p>
    <w:p w14:paraId="4A95AC13" w14:textId="14254790" w:rsidR="000E460B" w:rsidRPr="00E57B88" w:rsidRDefault="000E460B" w:rsidP="00956B55">
      <w:r>
        <w:rPr>
          <w:b/>
          <w:bCs/>
          <w:i/>
          <w:iCs/>
        </w:rPr>
        <w:t>Potential confounders:</w:t>
      </w:r>
      <w:r w:rsidR="00E57B88">
        <w:t xml:space="preserve"> age, socioeconomic status, antinuclear antibody status, concomitant medications, disease severity, duration of infliximab therapy</w:t>
      </w:r>
    </w:p>
    <w:p w14:paraId="308BD014" w14:textId="77777777" w:rsidR="000E460B" w:rsidRDefault="000E460B" w:rsidP="00956B55">
      <w:pPr>
        <w:rPr>
          <w:b/>
          <w:bCs/>
          <w:u w:val="single"/>
        </w:rPr>
      </w:pPr>
    </w:p>
    <w:p w14:paraId="6E246DC0" w14:textId="141C791F" w:rsidR="00956B55" w:rsidRDefault="00921CAF" w:rsidP="00956B55">
      <w:pPr>
        <w:rPr>
          <w:b/>
          <w:bCs/>
          <w:i/>
          <w:iCs/>
        </w:rPr>
      </w:pPr>
      <w:r>
        <w:rPr>
          <w:b/>
          <w:bCs/>
          <w:i/>
          <w:iCs/>
        </w:rPr>
        <w:t>Null Hypothesis:</w:t>
      </w:r>
    </w:p>
    <w:p w14:paraId="235F5156" w14:textId="59C9897C" w:rsidR="00921CAF" w:rsidRPr="00C95637" w:rsidRDefault="00C95637" w:rsidP="00956B55">
      <w:r w:rsidRPr="00C95637">
        <w:t>There is no difference in rates of infusion-related reactions between infliximab biosimilars and their reference product.</w:t>
      </w:r>
    </w:p>
    <w:p w14:paraId="23AC2EDE" w14:textId="77777777" w:rsidR="00C95637" w:rsidRDefault="00C95637" w:rsidP="00956B55">
      <w:pPr>
        <w:rPr>
          <w:b/>
          <w:bCs/>
          <w:i/>
          <w:iCs/>
        </w:rPr>
      </w:pPr>
    </w:p>
    <w:p w14:paraId="5643FA05" w14:textId="2F21685C" w:rsidR="00921CAF" w:rsidRDefault="00921CAF" w:rsidP="00956B55">
      <w:pPr>
        <w:rPr>
          <w:b/>
          <w:bCs/>
          <w:i/>
          <w:iCs/>
        </w:rPr>
      </w:pPr>
      <w:r>
        <w:rPr>
          <w:b/>
          <w:bCs/>
          <w:i/>
          <w:iCs/>
        </w:rPr>
        <w:t>Alternative Hypothesis:</w:t>
      </w:r>
    </w:p>
    <w:p w14:paraId="2FAD6D49" w14:textId="63EDEB18" w:rsidR="00921CAF" w:rsidRPr="00C95637" w:rsidRDefault="00C95637" w:rsidP="00956B55">
      <w:r w:rsidRPr="00C95637">
        <w:t xml:space="preserve">There is a difference in rates of infusion-related reactions between infliximab biosimilars and their reference product.  </w:t>
      </w:r>
    </w:p>
    <w:p w14:paraId="498729DD" w14:textId="615DCDFD" w:rsidR="00921CAF" w:rsidRDefault="00921CAF" w:rsidP="00956B55">
      <w:pPr>
        <w:rPr>
          <w:b/>
          <w:bCs/>
          <w:i/>
          <w:iCs/>
        </w:rPr>
      </w:pPr>
    </w:p>
    <w:p w14:paraId="66B4406B" w14:textId="71933279" w:rsidR="00921CAF" w:rsidRDefault="00921CAF" w:rsidP="00956B55">
      <w:pPr>
        <w:rPr>
          <w:b/>
          <w:bCs/>
          <w:i/>
          <w:iCs/>
        </w:rPr>
      </w:pPr>
      <w:r>
        <w:rPr>
          <w:b/>
          <w:bCs/>
          <w:i/>
          <w:iCs/>
        </w:rPr>
        <w:t>Sample Size</w:t>
      </w:r>
      <w:r w:rsidR="00E86717">
        <w:rPr>
          <w:b/>
          <w:bCs/>
          <w:i/>
          <w:iCs/>
        </w:rPr>
        <w:t xml:space="preserve"> Estimates</w:t>
      </w:r>
      <w:r>
        <w:rPr>
          <w:b/>
          <w:bCs/>
          <w:i/>
          <w:iCs/>
        </w:rPr>
        <w:t>:</w:t>
      </w:r>
    </w:p>
    <w:p w14:paraId="220EC8E9" w14:textId="4A23930B" w:rsidR="00E86717" w:rsidRPr="00E86717" w:rsidRDefault="00E86717" w:rsidP="00E86717">
      <w:r w:rsidRPr="00E86717">
        <w:t>Based on findings of published studies, the incidence of infusion-related reaction</w:t>
      </w:r>
      <w:r>
        <w:t xml:space="preserve"> for patients receiving maintenance </w:t>
      </w:r>
      <w:r w:rsidR="0058336E">
        <w:t>therapy</w:t>
      </w:r>
      <w:r>
        <w:t xml:space="preserve"> </w:t>
      </w:r>
      <w:r w:rsidRPr="00E86717">
        <w:t>can range from 4% to 8</w:t>
      </w:r>
      <w:r>
        <w:t>%</w:t>
      </w:r>
      <w:r w:rsidRPr="00E86717">
        <w:t xml:space="preserve">. </w:t>
      </w:r>
      <w:r w:rsidR="00827913">
        <w:t>We</w:t>
      </w:r>
      <w:r w:rsidR="00827913" w:rsidRPr="00E86717">
        <w:t xml:space="preserve"> determined that the study would have 80% power to detect an absolute risk difference of 10%, using a chi-square test at a two-sided alpha level of 0.05.</w:t>
      </w:r>
      <w:r w:rsidR="00827913">
        <w:t xml:space="preserve"> </w:t>
      </w:r>
      <w:r w:rsidRPr="00E86717">
        <w:t xml:space="preserve">Thus, our projected sample size to detect a 10% absolute risk difference will be </w:t>
      </w:r>
      <w:r w:rsidR="009D2478">
        <w:t>346</w:t>
      </w:r>
      <w:r w:rsidRPr="00E86717">
        <w:t xml:space="preserve"> patients. The control and study group will have an equal number of patients.</w:t>
      </w:r>
    </w:p>
    <w:p w14:paraId="2AE22F1F" w14:textId="14272BF5" w:rsidR="00E86717" w:rsidRDefault="00E86717" w:rsidP="00956B55">
      <w:pPr>
        <w:rPr>
          <w:b/>
          <w:bCs/>
          <w:i/>
          <w:iCs/>
        </w:rPr>
      </w:pPr>
    </w:p>
    <w:p w14:paraId="3DCE0595" w14:textId="13B4B465" w:rsidR="007E3FAA" w:rsidRPr="007E3FAA" w:rsidRDefault="007E3FAA" w:rsidP="00956B55">
      <w:r w:rsidRPr="007E3FAA">
        <w:rPr>
          <w:rFonts w:cstheme="minorHAnsi"/>
        </w:rPr>
        <w:t>α</w:t>
      </w:r>
      <w:r>
        <w:rPr>
          <w:rFonts w:cstheme="minorHAnsi"/>
        </w:rPr>
        <w:t xml:space="preserve"> (two-tailed) = 0.05</w:t>
      </w:r>
    </w:p>
    <w:p w14:paraId="67A94E4A" w14:textId="386F79C8" w:rsidR="007E3FAA" w:rsidRPr="007E3FAA" w:rsidRDefault="007E3FAA" w:rsidP="00956B55">
      <w:pPr>
        <w:rPr>
          <w:rFonts w:cstheme="minorHAnsi"/>
        </w:rPr>
      </w:pPr>
      <w:r w:rsidRPr="007E3FAA">
        <w:rPr>
          <w:rFonts w:cstheme="minorHAnsi"/>
        </w:rPr>
        <w:lastRenderedPageBreak/>
        <w:t xml:space="preserve">β </w:t>
      </w:r>
      <w:r>
        <w:rPr>
          <w:rFonts w:cstheme="minorHAnsi"/>
        </w:rPr>
        <w:t>= 0.20</w:t>
      </w:r>
    </w:p>
    <w:p w14:paraId="68040454" w14:textId="07584998" w:rsidR="007E3FAA" w:rsidRPr="007E3FAA" w:rsidRDefault="007E3FAA" w:rsidP="00956B55">
      <w:pPr>
        <w:rPr>
          <w:rFonts w:cstheme="minorHAnsi"/>
        </w:rPr>
      </w:pPr>
      <w:r w:rsidRPr="007E3FAA">
        <w:rPr>
          <w:rFonts w:cstheme="minorHAnsi"/>
        </w:rPr>
        <w:t>Q</w:t>
      </w:r>
      <w:r w:rsidRPr="007E3FAA">
        <w:rPr>
          <w:rFonts w:cstheme="minorHAnsi"/>
          <w:vertAlign w:val="subscript"/>
        </w:rPr>
        <w:t>0</w:t>
      </w:r>
      <w:r>
        <w:rPr>
          <w:rFonts w:cstheme="minorHAnsi"/>
          <w:vertAlign w:val="subscript"/>
        </w:rPr>
        <w:t xml:space="preserve"> </w:t>
      </w:r>
      <w:r w:rsidR="005B71B7">
        <w:rPr>
          <w:rFonts w:cstheme="minorHAnsi"/>
        </w:rPr>
        <w:t xml:space="preserve">(proportion of subjects in infliximab originator) </w:t>
      </w:r>
      <w:r>
        <w:rPr>
          <w:rFonts w:cstheme="minorHAnsi"/>
        </w:rPr>
        <w:t>= 0.5</w:t>
      </w:r>
    </w:p>
    <w:p w14:paraId="60F47871" w14:textId="79BAFA08" w:rsidR="007E3FAA" w:rsidRPr="007E3FAA" w:rsidRDefault="007E3FAA" w:rsidP="00956B55">
      <w:pPr>
        <w:rPr>
          <w:rFonts w:cstheme="minorHAnsi"/>
        </w:rPr>
      </w:pPr>
      <w:r w:rsidRPr="007E3FAA">
        <w:rPr>
          <w:rFonts w:cstheme="minorHAnsi"/>
        </w:rPr>
        <w:t>Q</w:t>
      </w:r>
      <w:r w:rsidRPr="007E3FAA">
        <w:rPr>
          <w:rFonts w:cstheme="minorHAnsi"/>
          <w:vertAlign w:val="subscript"/>
        </w:rPr>
        <w:t>1</w:t>
      </w:r>
      <w:r>
        <w:rPr>
          <w:rFonts w:cstheme="minorHAnsi"/>
        </w:rPr>
        <w:t xml:space="preserve"> </w:t>
      </w:r>
      <w:r w:rsidR="005B71B7">
        <w:rPr>
          <w:rFonts w:cstheme="minorHAnsi"/>
        </w:rPr>
        <w:t xml:space="preserve">(proportion of subjects in infliximab biosimilars) </w:t>
      </w:r>
      <w:r>
        <w:rPr>
          <w:rFonts w:cstheme="minorHAnsi"/>
        </w:rPr>
        <w:t>= 0.5</w:t>
      </w:r>
    </w:p>
    <w:p w14:paraId="08846EEE" w14:textId="61E78C7E" w:rsidR="007E3FAA" w:rsidRPr="007E3FAA" w:rsidRDefault="007E3FAA" w:rsidP="00956B55">
      <w:pPr>
        <w:rPr>
          <w:rFonts w:cstheme="minorHAnsi"/>
        </w:rPr>
      </w:pPr>
      <w:r w:rsidRPr="007E3FAA">
        <w:rPr>
          <w:rFonts w:cstheme="minorHAnsi"/>
        </w:rPr>
        <w:t>P</w:t>
      </w:r>
      <w:r w:rsidRPr="007E3FAA">
        <w:rPr>
          <w:rFonts w:cstheme="minorHAnsi"/>
          <w:vertAlign w:val="subscript"/>
        </w:rPr>
        <w:t>0</w:t>
      </w:r>
      <w:r>
        <w:rPr>
          <w:rFonts w:cstheme="minorHAnsi"/>
          <w:vertAlign w:val="subscript"/>
        </w:rPr>
        <w:t xml:space="preserve"> </w:t>
      </w:r>
      <w:r w:rsidR="005B71B7">
        <w:rPr>
          <w:rFonts w:cstheme="minorHAnsi"/>
        </w:rPr>
        <w:t xml:space="preserve">(risk in originator group) </w:t>
      </w:r>
      <w:r>
        <w:rPr>
          <w:rFonts w:cstheme="minorHAnsi"/>
        </w:rPr>
        <w:t>= 0.06</w:t>
      </w:r>
    </w:p>
    <w:p w14:paraId="679D580B" w14:textId="0FE2CF32" w:rsidR="007E3FAA" w:rsidRPr="007E3FAA" w:rsidRDefault="007E3FAA" w:rsidP="00956B55">
      <w:pPr>
        <w:rPr>
          <w:rFonts w:cstheme="minorHAnsi"/>
        </w:rPr>
      </w:pPr>
      <w:r w:rsidRPr="007E3FAA">
        <w:rPr>
          <w:rFonts w:cstheme="minorHAnsi"/>
        </w:rPr>
        <w:t>P</w:t>
      </w:r>
      <w:r w:rsidRPr="007E3FAA">
        <w:rPr>
          <w:rFonts w:cstheme="minorHAnsi"/>
          <w:vertAlign w:val="subscript"/>
        </w:rPr>
        <w:t>1</w:t>
      </w:r>
      <w:r>
        <w:rPr>
          <w:rFonts w:cstheme="minorHAnsi"/>
          <w:vertAlign w:val="subscript"/>
        </w:rPr>
        <w:t xml:space="preserve"> </w:t>
      </w:r>
      <w:r w:rsidR="005B71B7">
        <w:rPr>
          <w:rFonts w:cstheme="minorHAnsi"/>
        </w:rPr>
        <w:t xml:space="preserve">(risk in biosimilars group) </w:t>
      </w:r>
      <w:r>
        <w:rPr>
          <w:rFonts w:cstheme="minorHAnsi"/>
        </w:rPr>
        <w:t>= 0.16</w:t>
      </w:r>
    </w:p>
    <w:p w14:paraId="2F4CE5A3" w14:textId="2197F860" w:rsidR="007E3FAA" w:rsidRDefault="005B71B7" w:rsidP="00956B55">
      <w:r>
        <w:t>Effect Size/Absolute Risk Difference = 0.10</w:t>
      </w:r>
    </w:p>
    <w:p w14:paraId="178EC9EE" w14:textId="2533C03D" w:rsidR="007E3FAA" w:rsidRDefault="005B71B7" w:rsidP="00956B55">
      <w:r>
        <w:t xml:space="preserve">Risk Ratio = </w:t>
      </w:r>
      <w:r w:rsidR="000E61D2">
        <w:t>2.6667</w:t>
      </w:r>
    </w:p>
    <w:p w14:paraId="4D62BB4D" w14:textId="77777777" w:rsidR="008A2011" w:rsidRPr="008A2011" w:rsidRDefault="008A2011" w:rsidP="00956B55"/>
    <w:p w14:paraId="1A3B5FF1" w14:textId="10076535" w:rsidR="00921CAF" w:rsidRPr="00921CAF" w:rsidRDefault="00921CAF" w:rsidP="00956B55">
      <w:pPr>
        <w:rPr>
          <w:b/>
          <w:bCs/>
          <w:i/>
          <w:iCs/>
        </w:rPr>
      </w:pPr>
      <w:r>
        <w:rPr>
          <w:b/>
          <w:bCs/>
          <w:i/>
          <w:iCs/>
        </w:rPr>
        <w:t>Analysis:</w:t>
      </w:r>
    </w:p>
    <w:p w14:paraId="4285D858" w14:textId="6A72B14C" w:rsidR="007E3FAA" w:rsidRPr="008A2011" w:rsidRDefault="008A2011" w:rsidP="00956B55">
      <w:r w:rsidRPr="008A2011">
        <w:t>We will utilize descriptive statistics to assess the following patient characteristics: age, gender, height, weight, BMI, ethnicity, duration of ongoing infliximab therapy, previous biologic therapy, concurrent immunosuppressive regimen, diagnoses requiring biologic therapy, presence of ANA, CRP, and ESR. We will analyze our primary endpoint using the chi-square test. Secondary endpoints will be assessed through the t-test and chi-square test.</w:t>
      </w:r>
    </w:p>
    <w:p w14:paraId="05E743F8" w14:textId="77777777" w:rsidR="007E3FAA" w:rsidRDefault="007E3FAA" w:rsidP="00956B55">
      <w:pPr>
        <w:rPr>
          <w:b/>
          <w:bCs/>
          <w:u w:val="single"/>
        </w:rPr>
      </w:pPr>
    </w:p>
    <w:p w14:paraId="1C879905" w14:textId="1F7EF591" w:rsidR="00956B55" w:rsidRDefault="00956B55" w:rsidP="00956B55">
      <w:pPr>
        <w:rPr>
          <w:b/>
          <w:bCs/>
          <w:u w:val="single"/>
        </w:rPr>
      </w:pPr>
      <w:r>
        <w:rPr>
          <w:b/>
          <w:bCs/>
          <w:u w:val="single"/>
        </w:rPr>
        <w:t>Ethical Considerations</w:t>
      </w:r>
    </w:p>
    <w:p w14:paraId="53ECD780" w14:textId="48D0FFE8" w:rsidR="00886FB4" w:rsidRDefault="00886FB4" w:rsidP="00956B55">
      <w:pPr>
        <w:rPr>
          <w:b/>
          <w:bCs/>
          <w:i/>
          <w:iCs/>
        </w:rPr>
      </w:pPr>
      <w:r>
        <w:rPr>
          <w:b/>
          <w:bCs/>
          <w:i/>
          <w:iCs/>
        </w:rPr>
        <w:t>Institutional Review Board (IRB) Review and Informed Consent:</w:t>
      </w:r>
    </w:p>
    <w:p w14:paraId="01B2BFA1" w14:textId="53E0B672" w:rsidR="00886FB4" w:rsidRPr="0054046E" w:rsidRDefault="0054046E" w:rsidP="00956B55">
      <w:r>
        <w:t>This study protocol will be submitted to UCSF IRB for approval.</w:t>
      </w:r>
    </w:p>
    <w:p w14:paraId="4275509D" w14:textId="77777777" w:rsidR="0054046E" w:rsidRDefault="0054046E" w:rsidP="00956B55">
      <w:pPr>
        <w:rPr>
          <w:b/>
          <w:bCs/>
          <w:i/>
          <w:iCs/>
        </w:rPr>
      </w:pPr>
    </w:p>
    <w:p w14:paraId="3BBB395B" w14:textId="76B2BFCF" w:rsidR="00886FB4" w:rsidRDefault="00886FB4" w:rsidP="00956B55">
      <w:pPr>
        <w:rPr>
          <w:b/>
          <w:bCs/>
          <w:i/>
          <w:iCs/>
        </w:rPr>
      </w:pPr>
      <w:r>
        <w:rPr>
          <w:b/>
          <w:bCs/>
          <w:i/>
          <w:iCs/>
        </w:rPr>
        <w:t>Data Management:</w:t>
      </w:r>
    </w:p>
    <w:p w14:paraId="5C9AFACE" w14:textId="19EA818B" w:rsidR="00886FB4" w:rsidRPr="00AE2CD3" w:rsidRDefault="00AE2CD3" w:rsidP="00956B55">
      <w:r w:rsidRPr="00AE2CD3">
        <w:t xml:space="preserve">Data will be collected between April 1, </w:t>
      </w:r>
      <w:proofErr w:type="gramStart"/>
      <w:r w:rsidRPr="00AE2CD3">
        <w:t>2018</w:t>
      </w:r>
      <w:proofErr w:type="gramEnd"/>
      <w:r w:rsidRPr="00AE2CD3">
        <w:t xml:space="preserve"> to August 31, 2021. All data collection will be done by a pharmacy resident or a pharmacy student under the supervision of a pharmacy resident. Data from the electronic medical record (Epic) will be collected, de-identified, and inputted into </w:t>
      </w:r>
      <w:proofErr w:type="spellStart"/>
      <w:r w:rsidRPr="00AE2CD3">
        <w:t>REDcap</w:t>
      </w:r>
      <w:proofErr w:type="spellEnd"/>
      <w:r w:rsidRPr="00AE2CD3">
        <w:t xml:space="preserve">, a secure electronic research database. Only principal investigators, research coordinators, and pharmacy students involved in data collection will have access to the </w:t>
      </w:r>
      <w:proofErr w:type="spellStart"/>
      <w:r w:rsidRPr="00AE2CD3">
        <w:t>REDcap</w:t>
      </w:r>
      <w:proofErr w:type="spellEnd"/>
      <w:r w:rsidRPr="00AE2CD3">
        <w:t xml:space="preserve"> project.</w:t>
      </w:r>
    </w:p>
    <w:p w14:paraId="27A352B4" w14:textId="3FA88D32" w:rsidR="0003503B" w:rsidRDefault="0003503B" w:rsidP="00956B55">
      <w:pPr>
        <w:rPr>
          <w:b/>
          <w:bCs/>
          <w:i/>
          <w:iCs/>
        </w:rPr>
      </w:pPr>
    </w:p>
    <w:p w14:paraId="403D8DC8" w14:textId="525E228F" w:rsidR="0003503B" w:rsidRDefault="0003503B" w:rsidP="00956B55">
      <w:pPr>
        <w:rPr>
          <w:b/>
          <w:bCs/>
          <w:u w:val="single"/>
        </w:rPr>
      </w:pPr>
      <w:r>
        <w:rPr>
          <w:b/>
          <w:bCs/>
          <w:u w:val="single"/>
        </w:rPr>
        <w:t>References &amp; Appendices:</w:t>
      </w:r>
    </w:p>
    <w:p w14:paraId="68CF848D" w14:textId="77777777" w:rsidR="00D04520" w:rsidRPr="0003503B" w:rsidRDefault="00D04520" w:rsidP="00D04520">
      <w:r>
        <w:t xml:space="preserve">Checkley LA, </w:t>
      </w:r>
      <w:proofErr w:type="spellStart"/>
      <w:r>
        <w:t>Kristofek</w:t>
      </w:r>
      <w:proofErr w:type="spellEnd"/>
      <w:r>
        <w:t xml:space="preserve"> L, </w:t>
      </w:r>
      <w:proofErr w:type="spellStart"/>
      <w:r>
        <w:t>Kile</w:t>
      </w:r>
      <w:proofErr w:type="spellEnd"/>
      <w:r>
        <w:t xml:space="preserve"> S, </w:t>
      </w:r>
      <w:proofErr w:type="spellStart"/>
      <w:r>
        <w:t>Bolgar</w:t>
      </w:r>
      <w:proofErr w:type="spellEnd"/>
      <w:r>
        <w:t xml:space="preserve"> W. Incidence and Management of Infusion Reactions to Infliximab in an Alternate Care Setting. Dig Dis Sci. 2019;64(3):855-862.</w:t>
      </w:r>
    </w:p>
    <w:p w14:paraId="7EDAD5A9" w14:textId="77777777" w:rsidR="00D04520" w:rsidRDefault="00D04520" w:rsidP="00C83FB3"/>
    <w:p w14:paraId="7896329F" w14:textId="7C1CFB1F" w:rsidR="00C83FB3" w:rsidRDefault="00C83FB3" w:rsidP="00C83FB3">
      <w:r>
        <w:t xml:space="preserve">Commissioner O of the. FDA Approves First Interchangeable Biosimilar Insulin Product for Treatment of Diabetes. FDA. Published July 30, 2021. </w:t>
      </w:r>
    </w:p>
    <w:p w14:paraId="1ABDFB71" w14:textId="77777777" w:rsidR="00D04520" w:rsidRDefault="00D04520" w:rsidP="00D04520"/>
    <w:p w14:paraId="233F281C" w14:textId="48F283FA" w:rsidR="00D04520" w:rsidRDefault="00D04520" w:rsidP="00D04520">
      <w:proofErr w:type="spellStart"/>
      <w:r>
        <w:t>Jørgensen</w:t>
      </w:r>
      <w:proofErr w:type="spellEnd"/>
      <w:r>
        <w:t xml:space="preserve"> KK, Olsen IC, </w:t>
      </w:r>
      <w:proofErr w:type="spellStart"/>
      <w:r>
        <w:t>Goll</w:t>
      </w:r>
      <w:proofErr w:type="spellEnd"/>
      <w:r>
        <w:t xml:space="preserve"> GL, et al. Switching from originator infliximab to biosimilar CT-P13 compared with maintained treatment with originator infliximab (NOR-SWITCH): a 52-week, </w:t>
      </w:r>
      <w:proofErr w:type="spellStart"/>
      <w:r>
        <w:t>randomised</w:t>
      </w:r>
      <w:proofErr w:type="spellEnd"/>
      <w:r>
        <w:t xml:space="preserve">, double-blind, non-inferiority trial. The Lancet. 2017;389(10086):2304-2316. </w:t>
      </w:r>
    </w:p>
    <w:p w14:paraId="1F4F2CF7" w14:textId="77777777" w:rsidR="00D04520" w:rsidRDefault="00D04520" w:rsidP="00D04520"/>
    <w:p w14:paraId="1828E950" w14:textId="748B4E7E" w:rsidR="00D04520" w:rsidRDefault="00D04520" w:rsidP="00D04520">
      <w:proofErr w:type="spellStart"/>
      <w:r>
        <w:t>Kaida</w:t>
      </w:r>
      <w:proofErr w:type="spellEnd"/>
      <w:r>
        <w:t xml:space="preserve">-Yip F, Deshpande K, Saran T, Vyas D. Biosimilars: Review of current applications, obstacles, and their future in medicine. World J Clin Cases. 2018;6(8):161-166. </w:t>
      </w:r>
    </w:p>
    <w:p w14:paraId="20BC7753" w14:textId="77777777" w:rsidR="00C83FB3" w:rsidRDefault="00C83FB3" w:rsidP="00C83FB3"/>
    <w:p w14:paraId="3521089B" w14:textId="3AE93C56" w:rsidR="00C83FB3" w:rsidRDefault="00C83FB3" w:rsidP="00C83FB3">
      <w:r>
        <w:t xml:space="preserve">Lichtenstein L, Ron Y, </w:t>
      </w:r>
      <w:proofErr w:type="spellStart"/>
      <w:r>
        <w:t>Kivity</w:t>
      </w:r>
      <w:proofErr w:type="spellEnd"/>
      <w:r>
        <w:t xml:space="preserve"> S, et al. Infliximab-Related Infusion Reactions: Systematic Review. J </w:t>
      </w:r>
      <w:proofErr w:type="spellStart"/>
      <w:r>
        <w:t>Crohns</w:t>
      </w:r>
      <w:proofErr w:type="spellEnd"/>
      <w:r>
        <w:t xml:space="preserve"> Colitis. 2015;9(9):806-815. </w:t>
      </w:r>
    </w:p>
    <w:p w14:paraId="4E6A60D3" w14:textId="77777777" w:rsidR="00D04520" w:rsidRDefault="00D04520" w:rsidP="00D04520"/>
    <w:p w14:paraId="35711596" w14:textId="4E55D8C8" w:rsidR="00D04520" w:rsidRDefault="00D04520" w:rsidP="00D04520">
      <w:r>
        <w:lastRenderedPageBreak/>
        <w:t xml:space="preserve">Remicade® [package insert]. U.S. Food and Drug Administration website. </w:t>
      </w:r>
    </w:p>
    <w:p w14:paraId="3272DF8E" w14:textId="77777777" w:rsidR="00D04520" w:rsidRDefault="00D04520" w:rsidP="00D04520"/>
    <w:p w14:paraId="3FB8E5B1" w14:textId="33508108" w:rsidR="00D04520" w:rsidRDefault="00D04520" w:rsidP="00D04520">
      <w:proofErr w:type="spellStart"/>
      <w:r>
        <w:t>Yoo</w:t>
      </w:r>
      <w:proofErr w:type="spellEnd"/>
      <w:r>
        <w:t xml:space="preserve"> DH, </w:t>
      </w:r>
      <w:proofErr w:type="spellStart"/>
      <w:r>
        <w:t>Hrycaj</w:t>
      </w:r>
      <w:proofErr w:type="spellEnd"/>
      <w:r>
        <w:t xml:space="preserve"> P, Miranda P, et al. A </w:t>
      </w:r>
      <w:proofErr w:type="spellStart"/>
      <w:r>
        <w:t>randomised</w:t>
      </w:r>
      <w:proofErr w:type="spellEnd"/>
      <w:r>
        <w:t xml:space="preserve">, double-blind, parallel-group study to demonstrate equivalence in efficacy and safety of CT-P13 compared with innovator infliximab when </w:t>
      </w:r>
      <w:proofErr w:type="spellStart"/>
      <w:r>
        <w:t>coadministered</w:t>
      </w:r>
      <w:proofErr w:type="spellEnd"/>
      <w:r>
        <w:t xml:space="preserve"> with methotrexate in patients with active rheumatoid arthritis: the PLANETRA study. Ann Rheum Dis. 2013;72(10):1613-1620. </w:t>
      </w:r>
    </w:p>
    <w:p w14:paraId="68986F0D" w14:textId="77777777" w:rsidR="00C83FB3" w:rsidRDefault="00C83FB3" w:rsidP="00C83FB3"/>
    <w:p w14:paraId="1C78DD58" w14:textId="77777777" w:rsidR="00D04520" w:rsidRPr="0003503B" w:rsidRDefault="00D04520"/>
    <w:sectPr w:rsidR="00D04520" w:rsidRPr="0003503B"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D370A"/>
    <w:multiLevelType w:val="hybridMultilevel"/>
    <w:tmpl w:val="68D2CA66"/>
    <w:lvl w:ilvl="0" w:tplc="4E00DBA0">
      <w:start w:val="1"/>
      <w:numFmt w:val="bullet"/>
      <w:lvlText w:val=""/>
      <w:lvlJc w:val="left"/>
      <w:pPr>
        <w:ind w:left="720" w:hanging="360"/>
      </w:pPr>
      <w:rPr>
        <w:rFonts w:ascii="Symbol" w:hAnsi="Symbol" w:hint="default"/>
      </w:rPr>
    </w:lvl>
    <w:lvl w:ilvl="1" w:tplc="29422AE8">
      <w:start w:val="1"/>
      <w:numFmt w:val="bullet"/>
      <w:lvlText w:val="o"/>
      <w:lvlJc w:val="left"/>
      <w:pPr>
        <w:ind w:left="1440" w:hanging="360"/>
      </w:pPr>
      <w:rPr>
        <w:rFonts w:ascii="Courier New" w:hAnsi="Courier New" w:hint="default"/>
      </w:rPr>
    </w:lvl>
    <w:lvl w:ilvl="2" w:tplc="52E48C90">
      <w:start w:val="1"/>
      <w:numFmt w:val="bullet"/>
      <w:lvlText w:val=""/>
      <w:lvlJc w:val="left"/>
      <w:pPr>
        <w:ind w:left="2160" w:hanging="360"/>
      </w:pPr>
      <w:rPr>
        <w:rFonts w:ascii="Wingdings" w:hAnsi="Wingdings" w:hint="default"/>
      </w:rPr>
    </w:lvl>
    <w:lvl w:ilvl="3" w:tplc="15940C70">
      <w:start w:val="1"/>
      <w:numFmt w:val="bullet"/>
      <w:lvlText w:val=""/>
      <w:lvlJc w:val="left"/>
      <w:pPr>
        <w:ind w:left="2880" w:hanging="360"/>
      </w:pPr>
      <w:rPr>
        <w:rFonts w:ascii="Symbol" w:hAnsi="Symbol" w:hint="default"/>
      </w:rPr>
    </w:lvl>
    <w:lvl w:ilvl="4" w:tplc="8B20F68E">
      <w:start w:val="1"/>
      <w:numFmt w:val="bullet"/>
      <w:lvlText w:val="o"/>
      <w:lvlJc w:val="left"/>
      <w:pPr>
        <w:ind w:left="3600" w:hanging="360"/>
      </w:pPr>
      <w:rPr>
        <w:rFonts w:ascii="Courier New" w:hAnsi="Courier New" w:hint="default"/>
      </w:rPr>
    </w:lvl>
    <w:lvl w:ilvl="5" w:tplc="4392BFCE">
      <w:start w:val="1"/>
      <w:numFmt w:val="bullet"/>
      <w:lvlText w:val=""/>
      <w:lvlJc w:val="left"/>
      <w:pPr>
        <w:ind w:left="4320" w:hanging="360"/>
      </w:pPr>
      <w:rPr>
        <w:rFonts w:ascii="Wingdings" w:hAnsi="Wingdings" w:hint="default"/>
      </w:rPr>
    </w:lvl>
    <w:lvl w:ilvl="6" w:tplc="CBA28112">
      <w:start w:val="1"/>
      <w:numFmt w:val="bullet"/>
      <w:lvlText w:val=""/>
      <w:lvlJc w:val="left"/>
      <w:pPr>
        <w:ind w:left="5040" w:hanging="360"/>
      </w:pPr>
      <w:rPr>
        <w:rFonts w:ascii="Symbol" w:hAnsi="Symbol" w:hint="default"/>
      </w:rPr>
    </w:lvl>
    <w:lvl w:ilvl="7" w:tplc="19A8A590">
      <w:start w:val="1"/>
      <w:numFmt w:val="bullet"/>
      <w:lvlText w:val="o"/>
      <w:lvlJc w:val="left"/>
      <w:pPr>
        <w:ind w:left="5760" w:hanging="360"/>
      </w:pPr>
      <w:rPr>
        <w:rFonts w:ascii="Courier New" w:hAnsi="Courier New" w:hint="default"/>
      </w:rPr>
    </w:lvl>
    <w:lvl w:ilvl="8" w:tplc="3718FD0C">
      <w:start w:val="1"/>
      <w:numFmt w:val="bullet"/>
      <w:lvlText w:val=""/>
      <w:lvlJc w:val="left"/>
      <w:pPr>
        <w:ind w:left="6480" w:hanging="360"/>
      </w:pPr>
      <w:rPr>
        <w:rFonts w:ascii="Wingdings" w:hAnsi="Wingdings" w:hint="default"/>
      </w:rPr>
    </w:lvl>
  </w:abstractNum>
  <w:abstractNum w:abstractNumId="1" w15:restartNumberingAfterBreak="0">
    <w:nsid w:val="52F13C75"/>
    <w:multiLevelType w:val="hybridMultilevel"/>
    <w:tmpl w:val="0BA618F0"/>
    <w:lvl w:ilvl="0" w:tplc="03B824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62434"/>
    <w:multiLevelType w:val="hybridMultilevel"/>
    <w:tmpl w:val="27D80256"/>
    <w:lvl w:ilvl="0" w:tplc="7040E5F2">
      <w:start w:val="1"/>
      <w:numFmt w:val="bullet"/>
      <w:pStyle w:val="List"/>
      <w:lvlText w:val=""/>
      <w:lvlJc w:val="left"/>
      <w:pPr>
        <w:ind w:left="2880" w:hanging="360"/>
      </w:pPr>
      <w:rPr>
        <w:rFonts w:ascii="Symbol" w:hAnsi="Symbol" w:hint="default"/>
      </w:rPr>
    </w:lvl>
    <w:lvl w:ilvl="1" w:tplc="6E36A046">
      <w:start w:val="1"/>
      <w:numFmt w:val="bullet"/>
      <w:pStyle w:val="List2"/>
      <w:lvlText w:val="o"/>
      <w:lvlJc w:val="left"/>
      <w:pPr>
        <w:ind w:left="3600" w:hanging="360"/>
      </w:pPr>
      <w:rPr>
        <w:rFonts w:ascii="Courier New" w:hAnsi="Courier New" w:hint="default"/>
      </w:rPr>
    </w:lvl>
    <w:lvl w:ilvl="2" w:tplc="C1686812">
      <w:start w:val="1"/>
      <w:numFmt w:val="bullet"/>
      <w:lvlRestart w:val="0"/>
      <w:lvlText w:val=""/>
      <w:lvlJc w:val="left"/>
      <w:pPr>
        <w:tabs>
          <w:tab w:val="num" w:pos="4320"/>
        </w:tabs>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743739DD"/>
    <w:multiLevelType w:val="multilevel"/>
    <w:tmpl w:val="2BAE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36B88"/>
    <w:multiLevelType w:val="hybridMultilevel"/>
    <w:tmpl w:val="8094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503B"/>
    <w:rsid w:val="00056A44"/>
    <w:rsid w:val="000B1B4F"/>
    <w:rsid w:val="000E460B"/>
    <w:rsid w:val="000E61D2"/>
    <w:rsid w:val="001023A9"/>
    <w:rsid w:val="001B2E41"/>
    <w:rsid w:val="001C16B6"/>
    <w:rsid w:val="001D4829"/>
    <w:rsid w:val="00243E09"/>
    <w:rsid w:val="00272BA9"/>
    <w:rsid w:val="002904F1"/>
    <w:rsid w:val="00324A64"/>
    <w:rsid w:val="0034771C"/>
    <w:rsid w:val="00382028"/>
    <w:rsid w:val="004951D2"/>
    <w:rsid w:val="004E473B"/>
    <w:rsid w:val="00516A36"/>
    <w:rsid w:val="0054046E"/>
    <w:rsid w:val="0058336E"/>
    <w:rsid w:val="005B71B7"/>
    <w:rsid w:val="005E137B"/>
    <w:rsid w:val="00644134"/>
    <w:rsid w:val="00665C89"/>
    <w:rsid w:val="00767B50"/>
    <w:rsid w:val="007755C3"/>
    <w:rsid w:val="007B0343"/>
    <w:rsid w:val="007E3FAA"/>
    <w:rsid w:val="00827913"/>
    <w:rsid w:val="00854907"/>
    <w:rsid w:val="00886FB4"/>
    <w:rsid w:val="008A2011"/>
    <w:rsid w:val="0091172B"/>
    <w:rsid w:val="00921CAF"/>
    <w:rsid w:val="0092459E"/>
    <w:rsid w:val="00956B55"/>
    <w:rsid w:val="00992A9F"/>
    <w:rsid w:val="00993083"/>
    <w:rsid w:val="00995B1C"/>
    <w:rsid w:val="009D2478"/>
    <w:rsid w:val="00A5714F"/>
    <w:rsid w:val="00AA6868"/>
    <w:rsid w:val="00AE2CD3"/>
    <w:rsid w:val="00C81963"/>
    <w:rsid w:val="00C83FB3"/>
    <w:rsid w:val="00C95637"/>
    <w:rsid w:val="00D04520"/>
    <w:rsid w:val="00D1010D"/>
    <w:rsid w:val="00DE20D6"/>
    <w:rsid w:val="00DE257F"/>
    <w:rsid w:val="00E42477"/>
    <w:rsid w:val="00E57B88"/>
    <w:rsid w:val="00E86717"/>
    <w:rsid w:val="00E8707F"/>
    <w:rsid w:val="00EE6E42"/>
    <w:rsid w:val="00FB1E05"/>
    <w:rsid w:val="00FF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B1C"/>
    <w:pPr>
      <w:ind w:left="720"/>
      <w:contextualSpacing/>
    </w:pPr>
  </w:style>
  <w:style w:type="paragraph" w:styleId="BlockText">
    <w:name w:val="Block Text"/>
    <w:basedOn w:val="Normal"/>
    <w:link w:val="BlockTextChar"/>
    <w:uiPriority w:val="99"/>
    <w:rsid w:val="007755C3"/>
    <w:pPr>
      <w:spacing w:before="120" w:after="120"/>
      <w:ind w:left="720" w:right="720"/>
    </w:pPr>
    <w:rPr>
      <w:rFonts w:ascii="Times New Roman" w:eastAsia="Times New Roman" w:hAnsi="Times New Roman" w:cs="Times New Roman"/>
      <w:i/>
      <w:szCs w:val="20"/>
    </w:rPr>
  </w:style>
  <w:style w:type="character" w:customStyle="1" w:styleId="BlockTextChar">
    <w:name w:val="Block Text Char"/>
    <w:link w:val="BlockText"/>
    <w:uiPriority w:val="99"/>
    <w:locked/>
    <w:rsid w:val="007755C3"/>
    <w:rPr>
      <w:rFonts w:ascii="Times New Roman" w:eastAsia="Times New Roman" w:hAnsi="Times New Roman" w:cs="Times New Roman"/>
      <w:i/>
      <w:szCs w:val="20"/>
    </w:rPr>
  </w:style>
  <w:style w:type="paragraph" w:styleId="List">
    <w:name w:val="List"/>
    <w:basedOn w:val="BlockText"/>
    <w:uiPriority w:val="99"/>
    <w:rsid w:val="007755C3"/>
    <w:pPr>
      <w:numPr>
        <w:numId w:val="3"/>
      </w:numPr>
      <w:spacing w:before="100" w:beforeAutospacing="1" w:after="100" w:afterAutospacing="1"/>
      <w:ind w:left="1080"/>
    </w:pPr>
  </w:style>
  <w:style w:type="paragraph" w:styleId="List2">
    <w:name w:val="List 2"/>
    <w:basedOn w:val="List"/>
    <w:uiPriority w:val="99"/>
    <w:rsid w:val="007755C3"/>
    <w:pPr>
      <w:numPr>
        <w:ilvl w:val="1"/>
      </w:numPr>
      <w:tabs>
        <w:tab w:val="num" w:pos="1080"/>
      </w:tabs>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Hwang, Calvin</cp:lastModifiedBy>
  <cp:revision>51</cp:revision>
  <dcterms:created xsi:type="dcterms:W3CDTF">2018-02-09T21:34:00Z</dcterms:created>
  <dcterms:modified xsi:type="dcterms:W3CDTF">2021-08-19T15:37:00Z</dcterms:modified>
</cp:coreProperties>
</file>