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C054" w14:textId="6B2FD876" w:rsidR="002633D3" w:rsidRPr="009068DB" w:rsidRDefault="002633D3" w:rsidP="009068DB">
      <w:pPr>
        <w:jc w:val="right"/>
        <w:rPr>
          <w:rFonts w:ascii="Calibri" w:hAnsi="Calibri" w:cs="Calibri"/>
        </w:rPr>
      </w:pPr>
      <w:r w:rsidRPr="009068DB">
        <w:rPr>
          <w:rFonts w:ascii="Calibri" w:hAnsi="Calibri" w:cs="Calibri"/>
          <w:b/>
          <w:bCs/>
        </w:rPr>
        <w:t>Name:</w:t>
      </w:r>
      <w:r w:rsidRPr="009068DB">
        <w:rPr>
          <w:rFonts w:ascii="Calibri" w:hAnsi="Calibri" w:cs="Calibri"/>
        </w:rPr>
        <w:t xml:space="preserve"> Emanuel Jaramillo, MD</w:t>
      </w:r>
    </w:p>
    <w:p w14:paraId="749B7E11" w14:textId="32BCEE42" w:rsidR="00EC5151" w:rsidRPr="009068DB" w:rsidRDefault="002633D3" w:rsidP="00495074">
      <w:pPr>
        <w:jc w:val="right"/>
        <w:rPr>
          <w:rFonts w:ascii="Calibri" w:hAnsi="Calibri" w:cs="Calibri"/>
        </w:rPr>
      </w:pPr>
      <w:r w:rsidRPr="009068DB">
        <w:rPr>
          <w:rFonts w:ascii="Calibri" w:hAnsi="Calibri" w:cs="Calibri"/>
          <w:b/>
          <w:bCs/>
        </w:rPr>
        <w:t>Section Leader:</w:t>
      </w:r>
      <w:r w:rsidRPr="009068DB">
        <w:rPr>
          <w:rFonts w:ascii="Calibri" w:hAnsi="Calibri" w:cs="Calibri"/>
        </w:rPr>
        <w:t xml:space="preserve"> Christopher Berger, MD</w:t>
      </w:r>
    </w:p>
    <w:p w14:paraId="06A54CEE" w14:textId="2343B13A" w:rsidR="002633D3" w:rsidRPr="009068DB" w:rsidRDefault="002633D3" w:rsidP="002633D3">
      <w:pPr>
        <w:jc w:val="right"/>
        <w:rPr>
          <w:rFonts w:ascii="Calibri" w:hAnsi="Calibri" w:cs="Calibri"/>
        </w:rPr>
      </w:pPr>
      <w:r w:rsidRPr="009068DB">
        <w:rPr>
          <w:rFonts w:ascii="Calibri" w:hAnsi="Calibri" w:cs="Calibri"/>
          <w:b/>
          <w:bCs/>
        </w:rPr>
        <w:t>Participate in Protocol Critique?</w:t>
      </w:r>
      <w:r w:rsidRPr="009068DB">
        <w:rPr>
          <w:rFonts w:ascii="Calibri" w:hAnsi="Calibri" w:cs="Calibri"/>
        </w:rPr>
        <w:t xml:space="preserve"> No</w:t>
      </w:r>
    </w:p>
    <w:p w14:paraId="76F2BAC2" w14:textId="56E40B35" w:rsidR="002633D3" w:rsidRPr="009068DB" w:rsidRDefault="002633D3" w:rsidP="002633D3">
      <w:pPr>
        <w:jc w:val="right"/>
        <w:rPr>
          <w:rFonts w:ascii="Calibri" w:hAnsi="Calibri" w:cs="Calibri"/>
        </w:rPr>
      </w:pPr>
    </w:p>
    <w:p w14:paraId="058ED9C2" w14:textId="77777777" w:rsidR="00EF45C1" w:rsidRPr="009068DB" w:rsidRDefault="00EF45C1" w:rsidP="002633D3">
      <w:pPr>
        <w:jc w:val="right"/>
        <w:rPr>
          <w:rFonts w:ascii="Calibri" w:hAnsi="Calibri" w:cs="Calibri"/>
        </w:rPr>
      </w:pPr>
    </w:p>
    <w:p w14:paraId="16BF306D" w14:textId="1B1E4853" w:rsidR="002633D3" w:rsidRPr="009068DB" w:rsidRDefault="002633D3" w:rsidP="002633D3">
      <w:pPr>
        <w:rPr>
          <w:rFonts w:ascii="Calibri" w:hAnsi="Calibri" w:cs="Calibri"/>
        </w:rPr>
      </w:pPr>
      <w:r w:rsidRPr="009068DB">
        <w:rPr>
          <w:rFonts w:ascii="Calibri" w:hAnsi="Calibri" w:cs="Calibri"/>
          <w:b/>
          <w:bCs/>
        </w:rPr>
        <w:t xml:space="preserve">Title: </w:t>
      </w:r>
      <w:r w:rsidRPr="009068DB">
        <w:rPr>
          <w:rFonts w:ascii="Calibri" w:hAnsi="Calibri" w:cs="Calibri"/>
        </w:rPr>
        <w:t>Comparison of the Modified Frailty Index (</w:t>
      </w:r>
      <w:proofErr w:type="spellStart"/>
      <w:r w:rsidRPr="009068DB">
        <w:rPr>
          <w:rFonts w:ascii="Calibri" w:hAnsi="Calibri" w:cs="Calibri"/>
        </w:rPr>
        <w:t>mFI</w:t>
      </w:r>
      <w:proofErr w:type="spellEnd"/>
      <w:r w:rsidRPr="009068DB">
        <w:rPr>
          <w:rFonts w:ascii="Calibri" w:hAnsi="Calibri" w:cs="Calibri"/>
        </w:rPr>
        <w:t>) with the Revised Analysis Index in Predicting Nonhome Discharge in Frail Vascular Surgery Patients</w:t>
      </w:r>
    </w:p>
    <w:p w14:paraId="2922CAB2" w14:textId="36C6DC97" w:rsidR="002633D3" w:rsidRPr="009068DB" w:rsidRDefault="002633D3" w:rsidP="002633D3">
      <w:pPr>
        <w:rPr>
          <w:rFonts w:ascii="Calibri" w:hAnsi="Calibri" w:cs="Calibri"/>
        </w:rPr>
      </w:pPr>
    </w:p>
    <w:p w14:paraId="776A624E" w14:textId="3DE1367C" w:rsidR="002633D3" w:rsidRPr="009068DB" w:rsidRDefault="002633D3" w:rsidP="002633D3">
      <w:pPr>
        <w:rPr>
          <w:rFonts w:ascii="Calibri" w:hAnsi="Calibri" w:cs="Calibri"/>
        </w:rPr>
      </w:pPr>
      <w:r w:rsidRPr="009068DB">
        <w:rPr>
          <w:rFonts w:ascii="Calibri" w:hAnsi="Calibri" w:cs="Calibri"/>
          <w:b/>
          <w:bCs/>
        </w:rPr>
        <w:t xml:space="preserve">Investigators: </w:t>
      </w:r>
      <w:r w:rsidRPr="009068DB">
        <w:rPr>
          <w:rFonts w:ascii="Calibri" w:hAnsi="Calibri" w:cs="Calibri"/>
        </w:rPr>
        <w:t xml:space="preserve">Emanuel Jaramillo MD, James </w:t>
      </w:r>
      <w:proofErr w:type="spellStart"/>
      <w:r w:rsidRPr="009068DB">
        <w:rPr>
          <w:rFonts w:ascii="Calibri" w:hAnsi="Calibri" w:cs="Calibri"/>
        </w:rPr>
        <w:t>Iannuzzi</w:t>
      </w:r>
      <w:proofErr w:type="spellEnd"/>
      <w:r w:rsidRPr="009068DB">
        <w:rPr>
          <w:rFonts w:ascii="Calibri" w:hAnsi="Calibri" w:cs="Calibri"/>
        </w:rPr>
        <w:t xml:space="preserve"> MD MPH</w:t>
      </w:r>
    </w:p>
    <w:p w14:paraId="4F1C881C" w14:textId="149E79EF" w:rsidR="002633D3" w:rsidRPr="009068DB" w:rsidRDefault="002633D3" w:rsidP="002633D3">
      <w:pPr>
        <w:rPr>
          <w:rFonts w:ascii="Calibri" w:hAnsi="Calibri" w:cs="Calibri"/>
        </w:rPr>
      </w:pPr>
    </w:p>
    <w:p w14:paraId="1EB87E8C" w14:textId="1E3F8E7E" w:rsidR="002633D3" w:rsidRPr="009068DB" w:rsidRDefault="002633D3" w:rsidP="002633D3">
      <w:pPr>
        <w:rPr>
          <w:rFonts w:ascii="Calibri" w:hAnsi="Calibri" w:cs="Calibri"/>
        </w:rPr>
      </w:pPr>
      <w:r w:rsidRPr="009068DB">
        <w:rPr>
          <w:rFonts w:ascii="Calibri" w:hAnsi="Calibri" w:cs="Calibri"/>
          <w:b/>
          <w:bCs/>
        </w:rPr>
        <w:t xml:space="preserve">Abstract: </w:t>
      </w:r>
      <w:r w:rsidR="003F2A3C" w:rsidRPr="009068DB">
        <w:rPr>
          <w:rFonts w:ascii="Calibri" w:hAnsi="Calibri" w:cs="Calibri"/>
        </w:rPr>
        <w:t>With a large aging population, frailty is being considered more often in the surgical evaluation of patients. Patients undergoing vascular surgery tend to have more extensive comorbidities that may limit their activities of daily living. These factors can contribute to surgical outcomes, including nonhome discharge. Several scoring systems exist to help evaluate frailty, including the Modified Frailty Index (</w:t>
      </w:r>
      <w:proofErr w:type="spellStart"/>
      <w:r w:rsidR="003F2A3C" w:rsidRPr="009068DB">
        <w:rPr>
          <w:rFonts w:ascii="Calibri" w:hAnsi="Calibri" w:cs="Calibri"/>
        </w:rPr>
        <w:t>mFI</w:t>
      </w:r>
      <w:proofErr w:type="spellEnd"/>
      <w:r w:rsidR="003F2A3C" w:rsidRPr="009068DB">
        <w:rPr>
          <w:rFonts w:ascii="Calibri" w:hAnsi="Calibri" w:cs="Calibri"/>
        </w:rPr>
        <w:t xml:space="preserve">) and the Revised Analysis Index (RAI). Both scoring systems have shown to predict nonhome discharge. However, the </w:t>
      </w:r>
      <w:proofErr w:type="spellStart"/>
      <w:r w:rsidR="003F2A3C" w:rsidRPr="009068DB">
        <w:rPr>
          <w:rFonts w:ascii="Calibri" w:hAnsi="Calibri" w:cs="Calibri"/>
        </w:rPr>
        <w:t>mFI</w:t>
      </w:r>
      <w:proofErr w:type="spellEnd"/>
      <w:r w:rsidR="003F2A3C" w:rsidRPr="009068DB">
        <w:rPr>
          <w:rFonts w:ascii="Calibri" w:hAnsi="Calibri" w:cs="Calibri"/>
        </w:rPr>
        <w:t xml:space="preserve"> Index has not been validated for use in the Veterans Affairs Surgical Quality Improvement Program</w:t>
      </w:r>
      <w:r w:rsidR="008C6D9C" w:rsidRPr="009068DB">
        <w:rPr>
          <w:rFonts w:ascii="Calibri" w:hAnsi="Calibri" w:cs="Calibri"/>
        </w:rPr>
        <w:t xml:space="preserve"> (VASQIP)</w:t>
      </w:r>
      <w:r w:rsidR="003F2A3C" w:rsidRPr="009068DB">
        <w:rPr>
          <w:rFonts w:ascii="Calibri" w:hAnsi="Calibri" w:cs="Calibri"/>
        </w:rPr>
        <w:t xml:space="preserve"> dataset. We hypothesize that the </w:t>
      </w:r>
      <w:proofErr w:type="spellStart"/>
      <w:r w:rsidR="003F2A3C" w:rsidRPr="009068DB">
        <w:rPr>
          <w:rFonts w:ascii="Calibri" w:hAnsi="Calibri" w:cs="Calibri"/>
        </w:rPr>
        <w:t>mFI</w:t>
      </w:r>
      <w:proofErr w:type="spellEnd"/>
      <w:r w:rsidR="003F2A3C" w:rsidRPr="009068DB">
        <w:rPr>
          <w:rFonts w:ascii="Calibri" w:hAnsi="Calibri" w:cs="Calibri"/>
        </w:rPr>
        <w:t xml:space="preserve"> will equally or better predict nonhome discharge</w:t>
      </w:r>
      <w:r w:rsidR="008C6D9C" w:rsidRPr="009068DB">
        <w:rPr>
          <w:rFonts w:ascii="Calibri" w:hAnsi="Calibri" w:cs="Calibri"/>
        </w:rPr>
        <w:t xml:space="preserve"> in patients from the VASQIP </w:t>
      </w:r>
      <w:proofErr w:type="spellStart"/>
      <w:r w:rsidR="008C6D9C" w:rsidRPr="009068DB">
        <w:rPr>
          <w:rFonts w:ascii="Calibri" w:hAnsi="Calibri" w:cs="Calibri"/>
        </w:rPr>
        <w:t>datset</w:t>
      </w:r>
      <w:proofErr w:type="spellEnd"/>
      <w:r w:rsidR="008C6D9C" w:rsidRPr="009068DB">
        <w:rPr>
          <w:rFonts w:ascii="Calibri" w:hAnsi="Calibri" w:cs="Calibri"/>
        </w:rPr>
        <w:t xml:space="preserve"> when compared to the RAI.</w:t>
      </w:r>
    </w:p>
    <w:p w14:paraId="04C4A85E" w14:textId="077BDB72" w:rsidR="002633D3" w:rsidRPr="009068DB" w:rsidRDefault="002633D3" w:rsidP="002633D3">
      <w:pPr>
        <w:rPr>
          <w:rFonts w:ascii="Calibri" w:hAnsi="Calibri" w:cs="Calibri"/>
        </w:rPr>
      </w:pPr>
    </w:p>
    <w:p w14:paraId="761007A9" w14:textId="77777777" w:rsidR="002633D3" w:rsidRPr="009068DB" w:rsidRDefault="002633D3" w:rsidP="002633D3">
      <w:pPr>
        <w:rPr>
          <w:rFonts w:ascii="Calibri" w:eastAsia="Times New Roman" w:hAnsi="Calibri" w:cs="Calibri"/>
          <w:b/>
          <w:bCs/>
        </w:rPr>
      </w:pPr>
      <w:r w:rsidRPr="009068DB">
        <w:rPr>
          <w:rFonts w:ascii="Calibri" w:eastAsia="Times New Roman" w:hAnsi="Calibri" w:cs="Calibri"/>
          <w:b/>
          <w:bCs/>
        </w:rPr>
        <w:t>Research Question:</w:t>
      </w:r>
    </w:p>
    <w:p w14:paraId="6002C2DF" w14:textId="77777777" w:rsidR="002633D3" w:rsidRPr="009068DB" w:rsidRDefault="002633D3" w:rsidP="002633D3">
      <w:pPr>
        <w:rPr>
          <w:rFonts w:ascii="Calibri" w:eastAsia="Times New Roman" w:hAnsi="Calibri" w:cs="Calibri"/>
        </w:rPr>
      </w:pPr>
      <w:r w:rsidRPr="009068DB">
        <w:rPr>
          <w:rFonts w:ascii="Calibri" w:eastAsia="Times New Roman" w:hAnsi="Calibri" w:cs="Calibri"/>
        </w:rPr>
        <w:t>Does the modified frailty index (</w:t>
      </w:r>
      <w:proofErr w:type="spellStart"/>
      <w:r w:rsidRPr="009068DB">
        <w:rPr>
          <w:rFonts w:ascii="Calibri" w:eastAsia="Times New Roman" w:hAnsi="Calibri" w:cs="Calibri"/>
        </w:rPr>
        <w:t>mFI</w:t>
      </w:r>
      <w:proofErr w:type="spellEnd"/>
      <w:r w:rsidRPr="009068DB">
        <w:rPr>
          <w:rFonts w:ascii="Calibri" w:eastAsia="Times New Roman" w:hAnsi="Calibri" w:cs="Calibri"/>
        </w:rPr>
        <w:t>) better predict nonhome discharge among vascular surgery patients from the VASQIP dataset when compared to the revised analysis index (RAI)?</w:t>
      </w:r>
    </w:p>
    <w:p w14:paraId="64FAD52D" w14:textId="07D5C08F" w:rsidR="002633D3" w:rsidRPr="009068DB" w:rsidRDefault="002633D3" w:rsidP="002633D3">
      <w:pPr>
        <w:rPr>
          <w:rFonts w:ascii="Calibri" w:hAnsi="Calibri" w:cs="Calibri"/>
        </w:rPr>
      </w:pPr>
    </w:p>
    <w:p w14:paraId="6918C44E" w14:textId="12FBE352" w:rsidR="00BE4901" w:rsidRPr="009068DB" w:rsidRDefault="002633D3" w:rsidP="002633D3">
      <w:pPr>
        <w:rPr>
          <w:rFonts w:ascii="Calibri" w:hAnsi="Calibri" w:cs="Calibri"/>
          <w:b/>
          <w:bCs/>
        </w:rPr>
      </w:pPr>
      <w:r w:rsidRPr="009068DB">
        <w:rPr>
          <w:rFonts w:ascii="Calibri" w:hAnsi="Calibri" w:cs="Calibri"/>
          <w:b/>
          <w:bCs/>
        </w:rPr>
        <w:t xml:space="preserve">Specific Aims: </w:t>
      </w:r>
    </w:p>
    <w:p w14:paraId="5282B0A6" w14:textId="22E5D20D" w:rsidR="002633D3" w:rsidRPr="009068DB" w:rsidRDefault="00BE4901" w:rsidP="00BE4901">
      <w:pPr>
        <w:pStyle w:val="ListParagraph"/>
        <w:numPr>
          <w:ilvl w:val="0"/>
          <w:numId w:val="3"/>
        </w:numPr>
        <w:rPr>
          <w:rFonts w:ascii="Calibri" w:hAnsi="Calibri" w:cs="Calibri"/>
        </w:rPr>
      </w:pPr>
      <w:r w:rsidRPr="009068DB">
        <w:rPr>
          <w:rFonts w:ascii="Calibri" w:hAnsi="Calibri" w:cs="Calibri"/>
        </w:rPr>
        <w:t xml:space="preserve">We aim to measure frailty using the </w:t>
      </w:r>
      <w:proofErr w:type="spellStart"/>
      <w:r w:rsidRPr="009068DB">
        <w:rPr>
          <w:rFonts w:ascii="Calibri" w:hAnsi="Calibri" w:cs="Calibri"/>
        </w:rPr>
        <w:t>mFI</w:t>
      </w:r>
      <w:proofErr w:type="spellEnd"/>
      <w:r w:rsidRPr="009068DB">
        <w:rPr>
          <w:rFonts w:ascii="Calibri" w:hAnsi="Calibri" w:cs="Calibri"/>
        </w:rPr>
        <w:t xml:space="preserve"> and the RAI in all vascular patients from the VASQIP dataset</w:t>
      </w:r>
    </w:p>
    <w:p w14:paraId="65B7F537" w14:textId="33EF01A6" w:rsidR="00BE4901" w:rsidRPr="009068DB" w:rsidRDefault="00BE4901" w:rsidP="00BE4901">
      <w:pPr>
        <w:pStyle w:val="ListParagraph"/>
        <w:numPr>
          <w:ilvl w:val="0"/>
          <w:numId w:val="3"/>
        </w:numPr>
        <w:rPr>
          <w:rFonts w:ascii="Calibri" w:hAnsi="Calibri" w:cs="Calibri"/>
        </w:rPr>
      </w:pPr>
      <w:r w:rsidRPr="009068DB">
        <w:rPr>
          <w:rFonts w:ascii="Calibri" w:hAnsi="Calibri" w:cs="Calibri"/>
        </w:rPr>
        <w:t>We aim to compare scores between the two scoring systems and how well the</w:t>
      </w:r>
      <w:r w:rsidR="00FC5CB6" w:rsidRPr="009068DB">
        <w:rPr>
          <w:rFonts w:ascii="Calibri" w:hAnsi="Calibri" w:cs="Calibri"/>
        </w:rPr>
        <w:t>y</w:t>
      </w:r>
      <w:r w:rsidRPr="009068DB">
        <w:rPr>
          <w:rFonts w:ascii="Calibri" w:hAnsi="Calibri" w:cs="Calibri"/>
        </w:rPr>
        <w:t xml:space="preserve"> predict nonhome discharge</w:t>
      </w:r>
    </w:p>
    <w:p w14:paraId="452A1A31" w14:textId="6A20BE0A" w:rsidR="00FC5CB6" w:rsidRPr="009068DB" w:rsidRDefault="00FC5CB6" w:rsidP="00BE4901">
      <w:pPr>
        <w:pStyle w:val="ListParagraph"/>
        <w:numPr>
          <w:ilvl w:val="0"/>
          <w:numId w:val="3"/>
        </w:numPr>
        <w:rPr>
          <w:rFonts w:ascii="Calibri" w:hAnsi="Calibri" w:cs="Calibri"/>
        </w:rPr>
      </w:pPr>
      <w:r w:rsidRPr="009068DB">
        <w:rPr>
          <w:rFonts w:ascii="Calibri" w:hAnsi="Calibri" w:cs="Calibri"/>
        </w:rPr>
        <w:t>We aim to identify possible modifiable pre-operative patient factors that contribute to nonhome discharge</w:t>
      </w:r>
    </w:p>
    <w:p w14:paraId="41AF0607" w14:textId="77777777" w:rsidR="00BE4901" w:rsidRPr="009068DB" w:rsidRDefault="00BE4901" w:rsidP="00523D44">
      <w:pPr>
        <w:pStyle w:val="ListParagraph"/>
        <w:rPr>
          <w:rFonts w:ascii="Calibri" w:hAnsi="Calibri" w:cs="Calibri"/>
        </w:rPr>
      </w:pPr>
    </w:p>
    <w:p w14:paraId="05D11C55" w14:textId="2953464F" w:rsidR="002633D3" w:rsidRPr="009068DB" w:rsidRDefault="002633D3" w:rsidP="002633D3">
      <w:pPr>
        <w:rPr>
          <w:rFonts w:ascii="Calibri" w:hAnsi="Calibri" w:cs="Calibri"/>
          <w:b/>
          <w:bCs/>
        </w:rPr>
      </w:pPr>
      <w:r w:rsidRPr="009068DB">
        <w:rPr>
          <w:rFonts w:ascii="Calibri" w:hAnsi="Calibri" w:cs="Calibri"/>
          <w:b/>
          <w:bCs/>
        </w:rPr>
        <w:t>Significance:</w:t>
      </w:r>
    </w:p>
    <w:p w14:paraId="42389B75" w14:textId="77777777" w:rsidR="002633D3" w:rsidRPr="009068DB" w:rsidRDefault="002633D3" w:rsidP="002633D3">
      <w:pPr>
        <w:rPr>
          <w:rFonts w:ascii="Calibri" w:hAnsi="Calibri" w:cs="Calibri"/>
        </w:rPr>
      </w:pPr>
      <w:r w:rsidRPr="009068DB">
        <w:rPr>
          <w:rFonts w:ascii="Calibri" w:hAnsi="Calibri" w:cs="Calibri"/>
        </w:rPr>
        <w:t>Recent evidence shows that increasing frailty leads to with higher rates of nonhome discharge, morbidity, and mortality, particularly in vascular surgery patients.</w:t>
      </w:r>
      <w:r w:rsidRPr="009068DB">
        <w:rPr>
          <w:rFonts w:ascii="Calibri" w:hAnsi="Calibri" w:cs="Calibri"/>
          <w:vertAlign w:val="superscript"/>
        </w:rPr>
        <w:t>2,3</w:t>
      </w:r>
      <w:r w:rsidRPr="009068DB">
        <w:rPr>
          <w:rFonts w:ascii="Calibri" w:hAnsi="Calibri" w:cs="Calibri"/>
        </w:rPr>
        <w:t xml:space="preserve"> As a result, frailty is being taken into consideration when evaluating patients preoperatively for surgical evaluation. Frailty has been defined as a state of decreased physiologic reserve, typically composed of physical and cognitive abilities, age, cancer status, and medical co-morbidities.</w:t>
      </w:r>
      <w:r w:rsidRPr="009068DB">
        <w:rPr>
          <w:rFonts w:ascii="Calibri" w:hAnsi="Calibri" w:cs="Calibri"/>
          <w:vertAlign w:val="superscript"/>
        </w:rPr>
        <w:t>1</w:t>
      </w:r>
      <w:r w:rsidRPr="009068DB">
        <w:rPr>
          <w:rFonts w:ascii="Calibri" w:hAnsi="Calibri" w:cs="Calibri"/>
        </w:rPr>
        <w:t xml:space="preserve"> In a recent study, frailty was measured using Revised Analysis Index, particularly in vascular surgery patients, and found that increasing frailty scores led to higher risk of nonhome discharge. </w:t>
      </w:r>
      <w:r w:rsidRPr="009068DB">
        <w:rPr>
          <w:rFonts w:ascii="Calibri" w:hAnsi="Calibri" w:cs="Calibri"/>
          <w:vertAlign w:val="superscript"/>
        </w:rPr>
        <w:t>4</w:t>
      </w:r>
      <w:r w:rsidRPr="009068DB">
        <w:rPr>
          <w:rFonts w:ascii="Calibri" w:hAnsi="Calibri" w:cs="Calibri"/>
        </w:rPr>
        <w:t xml:space="preserve"> However, there are multiple different frailty scoring systems being used to evaluate surgical patients. </w:t>
      </w:r>
      <w:r w:rsidRPr="009068DB">
        <w:rPr>
          <w:rFonts w:ascii="Calibri" w:hAnsi="Calibri" w:cs="Calibri"/>
          <w:vertAlign w:val="superscript"/>
        </w:rPr>
        <w:t xml:space="preserve"> </w:t>
      </w:r>
      <w:r w:rsidRPr="009068DB">
        <w:rPr>
          <w:rFonts w:ascii="Calibri" w:hAnsi="Calibri" w:cs="Calibri"/>
        </w:rPr>
        <w:t>The 5-factor modified frailty index (</w:t>
      </w:r>
      <w:proofErr w:type="spellStart"/>
      <w:r w:rsidRPr="009068DB">
        <w:rPr>
          <w:rFonts w:ascii="Calibri" w:hAnsi="Calibri" w:cs="Calibri"/>
        </w:rPr>
        <w:t>mFI</w:t>
      </w:r>
      <w:proofErr w:type="spellEnd"/>
      <w:r w:rsidRPr="009068DB">
        <w:rPr>
          <w:rFonts w:ascii="Calibri" w:hAnsi="Calibri" w:cs="Calibri"/>
        </w:rPr>
        <w:t xml:space="preserve">) was also created to predict post-surgical outcomes in the National Surgical Quality Improvement Project (NSQIP) and has been shown to be a strong predictor of post-operative outcomes. The purpose of this study is to see how well the modified frailty index </w:t>
      </w:r>
      <w:r w:rsidRPr="009068DB">
        <w:rPr>
          <w:rFonts w:ascii="Calibri" w:hAnsi="Calibri" w:cs="Calibri"/>
        </w:rPr>
        <w:lastRenderedPageBreak/>
        <w:t>performs at predicting nonhome discharge in the veteran population using the Veterans Affairs Surgical Quality Improvement Project (VASQIP) database. The Risk Analysis Index (RAI) was validated for use in both NSQIP and VASQIP databases.</w:t>
      </w:r>
      <w:r w:rsidRPr="009068DB">
        <w:rPr>
          <w:rFonts w:ascii="Calibri" w:hAnsi="Calibri" w:cs="Calibri"/>
          <w:vertAlign w:val="superscript"/>
        </w:rPr>
        <w:t>5</w:t>
      </w:r>
      <w:r w:rsidRPr="009068DB">
        <w:rPr>
          <w:rFonts w:ascii="Calibri" w:hAnsi="Calibri" w:cs="Calibri"/>
        </w:rPr>
        <w:t xml:space="preserve"> We plan to compare frailty using the two different scoring systems to see how well the </w:t>
      </w:r>
      <w:proofErr w:type="spellStart"/>
      <w:r w:rsidRPr="009068DB">
        <w:rPr>
          <w:rFonts w:ascii="Calibri" w:hAnsi="Calibri" w:cs="Calibri"/>
        </w:rPr>
        <w:t>mFI</w:t>
      </w:r>
      <w:proofErr w:type="spellEnd"/>
      <w:r w:rsidRPr="009068DB">
        <w:rPr>
          <w:rFonts w:ascii="Calibri" w:hAnsi="Calibri" w:cs="Calibri"/>
        </w:rPr>
        <w:t xml:space="preserve"> can predict nonhome discharge compared to the RAI. We hope to identify how strongly the </w:t>
      </w:r>
      <w:proofErr w:type="spellStart"/>
      <w:r w:rsidRPr="009068DB">
        <w:rPr>
          <w:rFonts w:ascii="Calibri" w:hAnsi="Calibri" w:cs="Calibri"/>
        </w:rPr>
        <w:t>mFI</w:t>
      </w:r>
      <w:proofErr w:type="spellEnd"/>
      <w:r w:rsidRPr="009068DB">
        <w:rPr>
          <w:rFonts w:ascii="Calibri" w:hAnsi="Calibri" w:cs="Calibri"/>
        </w:rPr>
        <w:t xml:space="preserve"> scoring system correlates with the frailty RAI in predicting nonhome discharge. </w:t>
      </w:r>
    </w:p>
    <w:p w14:paraId="10B0A249" w14:textId="77777777" w:rsidR="002633D3" w:rsidRPr="009068DB" w:rsidRDefault="002633D3" w:rsidP="002633D3">
      <w:pPr>
        <w:rPr>
          <w:rFonts w:ascii="Calibri" w:eastAsia="Times New Roman" w:hAnsi="Calibri" w:cs="Calibri"/>
          <w:b/>
          <w:bCs/>
        </w:rPr>
      </w:pPr>
    </w:p>
    <w:p w14:paraId="634E88A2" w14:textId="1B512139" w:rsidR="002633D3" w:rsidRPr="009068DB" w:rsidRDefault="002633D3" w:rsidP="002633D3">
      <w:pPr>
        <w:rPr>
          <w:rFonts w:ascii="Calibri" w:eastAsia="Times New Roman" w:hAnsi="Calibri" w:cs="Calibri"/>
          <w:b/>
          <w:bCs/>
        </w:rPr>
      </w:pPr>
      <w:r w:rsidRPr="009068DB">
        <w:rPr>
          <w:rFonts w:ascii="Calibri" w:eastAsia="Times New Roman" w:hAnsi="Calibri" w:cs="Calibri"/>
          <w:b/>
          <w:bCs/>
        </w:rPr>
        <w:t xml:space="preserve">Methods </w:t>
      </w:r>
    </w:p>
    <w:p w14:paraId="5187904C" w14:textId="2D376365" w:rsidR="002633D3" w:rsidRPr="009068DB" w:rsidRDefault="005166C5" w:rsidP="002633D3">
      <w:pPr>
        <w:pStyle w:val="ListParagraph"/>
        <w:numPr>
          <w:ilvl w:val="0"/>
          <w:numId w:val="4"/>
        </w:numPr>
        <w:rPr>
          <w:rFonts w:ascii="Calibri" w:eastAsia="Times New Roman" w:hAnsi="Calibri" w:cs="Calibri"/>
          <w:b/>
          <w:bCs/>
        </w:rPr>
      </w:pPr>
      <w:r w:rsidRPr="009068DB">
        <w:rPr>
          <w:rFonts w:ascii="Calibri" w:eastAsia="Times New Roman" w:hAnsi="Calibri" w:cs="Calibri"/>
          <w:b/>
          <w:bCs/>
        </w:rPr>
        <w:t xml:space="preserve">Overview of </w:t>
      </w:r>
      <w:r w:rsidR="002633D3" w:rsidRPr="009068DB">
        <w:rPr>
          <w:rFonts w:ascii="Calibri" w:eastAsia="Times New Roman" w:hAnsi="Calibri" w:cs="Calibri"/>
          <w:b/>
          <w:bCs/>
        </w:rPr>
        <w:t>Study Design</w:t>
      </w:r>
    </w:p>
    <w:p w14:paraId="6F6DEA85" w14:textId="7838015B" w:rsidR="005166C5" w:rsidRPr="009068DB" w:rsidRDefault="002633D3" w:rsidP="00CE6A4E">
      <w:pPr>
        <w:ind w:left="720"/>
        <w:rPr>
          <w:rFonts w:ascii="Calibri" w:eastAsia="Times New Roman" w:hAnsi="Calibri" w:cs="Calibri"/>
        </w:rPr>
      </w:pPr>
      <w:r w:rsidRPr="009068DB">
        <w:rPr>
          <w:rFonts w:ascii="Calibri" w:eastAsia="Times New Roman" w:hAnsi="Calibri" w:cs="Calibri"/>
        </w:rPr>
        <w:t xml:space="preserve">This study is a retrospective cohort analysis. We will obtain data from a database known as the Veteran’s Affairs Surgical Quality Improvement Program (VASQIP). This database currently collects information on patients at multiple VA medical centers across the country undergoing a surgical procedure. Multiple variables including surgical site infection, development of deep vein thrombosis or pulmonary embolism, stroke, myocardial infarction, discharge disposition, and death are collected and tracked for quality improvement purposes. The data being analyzed will include operative data from </w:t>
      </w:r>
      <w:r w:rsidR="00EC5151" w:rsidRPr="009068DB">
        <w:rPr>
          <w:rFonts w:ascii="Calibri" w:eastAsia="Times New Roman" w:hAnsi="Calibri" w:cs="Calibri"/>
        </w:rPr>
        <w:t xml:space="preserve">2016 to </w:t>
      </w:r>
      <w:r w:rsidRPr="009068DB">
        <w:rPr>
          <w:rFonts w:ascii="Calibri" w:eastAsia="Times New Roman" w:hAnsi="Calibri" w:cs="Calibri"/>
        </w:rPr>
        <w:t>2019. We plan on calculating the Revised Analysis Index for frailty in this cohort of patients, which will be used as our referencing scoring system. We then plan on calculating the modified frailty index (</w:t>
      </w:r>
      <w:proofErr w:type="spellStart"/>
      <w:r w:rsidRPr="009068DB">
        <w:rPr>
          <w:rFonts w:ascii="Calibri" w:eastAsia="Times New Roman" w:hAnsi="Calibri" w:cs="Calibri"/>
        </w:rPr>
        <w:t>mFI</w:t>
      </w:r>
      <w:proofErr w:type="spellEnd"/>
      <w:r w:rsidRPr="009068DB">
        <w:rPr>
          <w:rFonts w:ascii="Calibri" w:eastAsia="Times New Roman" w:hAnsi="Calibri" w:cs="Calibri"/>
        </w:rPr>
        <w:t xml:space="preserve">) in the same cohort of patients. Once we have scores of each system for the same cohort, we will compare how well each scoring system correlates to nonhome discharge disposition. Our primary end point will be nonhome discharge. Secondary end points will be surgical site infection, return to the OR, DVT/PE, MI, stroke. </w:t>
      </w:r>
    </w:p>
    <w:p w14:paraId="1798F061" w14:textId="77777777" w:rsidR="00EC5151" w:rsidRPr="009068DB" w:rsidRDefault="00EC5151" w:rsidP="00EC5151">
      <w:pPr>
        <w:ind w:left="360"/>
        <w:rPr>
          <w:rFonts w:ascii="Calibri" w:eastAsia="Times New Roman" w:hAnsi="Calibri" w:cs="Calibri"/>
        </w:rPr>
      </w:pPr>
    </w:p>
    <w:p w14:paraId="1CB23B48" w14:textId="5DF4ACC2" w:rsidR="002633D3" w:rsidRPr="009068DB" w:rsidRDefault="005166C5" w:rsidP="005166C5">
      <w:pPr>
        <w:pStyle w:val="ListParagraph"/>
        <w:numPr>
          <w:ilvl w:val="0"/>
          <w:numId w:val="4"/>
        </w:numPr>
        <w:rPr>
          <w:rFonts w:ascii="Calibri" w:eastAsia="Times New Roman" w:hAnsi="Calibri" w:cs="Calibri"/>
        </w:rPr>
      </w:pPr>
      <w:r w:rsidRPr="009068DB">
        <w:rPr>
          <w:rFonts w:ascii="Calibri" w:eastAsia="Times New Roman" w:hAnsi="Calibri" w:cs="Calibri"/>
          <w:b/>
          <w:bCs/>
        </w:rPr>
        <w:t xml:space="preserve">Study </w:t>
      </w:r>
      <w:r w:rsidR="002633D3" w:rsidRPr="009068DB">
        <w:rPr>
          <w:rFonts w:ascii="Calibri" w:eastAsia="Times New Roman" w:hAnsi="Calibri" w:cs="Calibri"/>
          <w:b/>
          <w:bCs/>
        </w:rPr>
        <w:t>Subjects</w:t>
      </w:r>
    </w:p>
    <w:p w14:paraId="323F9C00" w14:textId="5444915C" w:rsidR="00495074" w:rsidRPr="009068DB" w:rsidRDefault="002633D3" w:rsidP="00EF45C1">
      <w:pPr>
        <w:ind w:left="720"/>
        <w:rPr>
          <w:rFonts w:ascii="Calibri" w:eastAsia="Times New Roman" w:hAnsi="Calibri" w:cs="Calibri"/>
        </w:rPr>
      </w:pPr>
      <w:r w:rsidRPr="009068DB">
        <w:rPr>
          <w:rFonts w:ascii="Calibri" w:eastAsia="Times New Roman" w:hAnsi="Calibri" w:cs="Calibri"/>
        </w:rPr>
        <w:t xml:space="preserve">Our target population will be all patients with vascular disease undergoing surgical or endovascular intervention. Our accessible population will be veterans from the VASQIP dataset from </w:t>
      </w:r>
      <w:r w:rsidR="00EC5151" w:rsidRPr="009068DB">
        <w:rPr>
          <w:rFonts w:ascii="Calibri" w:eastAsia="Times New Roman" w:hAnsi="Calibri" w:cs="Calibri"/>
        </w:rPr>
        <w:t xml:space="preserve">2016 to </w:t>
      </w:r>
      <w:r w:rsidRPr="009068DB">
        <w:rPr>
          <w:rFonts w:ascii="Calibri" w:eastAsia="Times New Roman" w:hAnsi="Calibri" w:cs="Calibri"/>
        </w:rPr>
        <w:t xml:space="preserve">2019 that have undergone a surgical or endovascular procedure. Inclusion criteria includes </w:t>
      </w:r>
      <w:r w:rsidRPr="009068DB">
        <w:rPr>
          <w:rFonts w:ascii="Calibri" w:hAnsi="Calibri" w:cs="Calibri"/>
        </w:rPr>
        <w:t>patients of all genders age &gt; or = 18 years old from VASQIP dataset who underwent a primary vascular surgery (endovascular or open) from January 2019</w:t>
      </w:r>
      <w:r w:rsidR="00EC5151" w:rsidRPr="009068DB">
        <w:rPr>
          <w:rFonts w:ascii="Calibri" w:hAnsi="Calibri" w:cs="Calibri"/>
        </w:rPr>
        <w:t xml:space="preserve">6 </w:t>
      </w:r>
      <w:r w:rsidRPr="009068DB">
        <w:rPr>
          <w:rFonts w:ascii="Calibri" w:hAnsi="Calibri" w:cs="Calibri"/>
        </w:rPr>
        <w:t xml:space="preserve">to December 2019. Exclusion criteria include pediatric, congenital, traumatic, or transplant patients. </w:t>
      </w:r>
      <w:r w:rsidRPr="009068DB">
        <w:rPr>
          <w:rFonts w:ascii="Calibri" w:eastAsia="Times New Roman" w:hAnsi="Calibri" w:cs="Calibri"/>
        </w:rPr>
        <w:t>Patients who are part of the VASQIP dataset are automatically enrolled when having surgery at a VA medical center as part of a national quality improvement project. Patients will not be contacted for this study. Data is obtained by chart review from quality improvement personal at each respective VA medical center. There are no specific methods to improve retention aside from data collect from chart review and typical follow-up for post-operative surgery patients. Our selection criteria and retention methods are no different compared to what is already done in practice, thus making this approach generalizable to the target population of interest.</w:t>
      </w:r>
    </w:p>
    <w:p w14:paraId="1647ADD2" w14:textId="77777777" w:rsidR="00EF45C1" w:rsidRPr="009068DB" w:rsidRDefault="00EF45C1" w:rsidP="00EF45C1">
      <w:pPr>
        <w:rPr>
          <w:rFonts w:ascii="Calibri" w:eastAsia="Times New Roman" w:hAnsi="Calibri" w:cs="Calibri"/>
        </w:rPr>
      </w:pPr>
    </w:p>
    <w:p w14:paraId="72B14C36" w14:textId="31B25444" w:rsidR="005166C5" w:rsidRPr="009068DB" w:rsidRDefault="005166C5" w:rsidP="005166C5">
      <w:pPr>
        <w:pStyle w:val="ListParagraph"/>
        <w:numPr>
          <w:ilvl w:val="0"/>
          <w:numId w:val="4"/>
        </w:numPr>
        <w:rPr>
          <w:rFonts w:ascii="Calibri" w:eastAsia="Times New Roman" w:hAnsi="Calibri" w:cs="Calibri"/>
          <w:b/>
          <w:bCs/>
        </w:rPr>
      </w:pPr>
      <w:r w:rsidRPr="009068DB">
        <w:rPr>
          <w:rFonts w:ascii="Calibri" w:eastAsia="Times New Roman" w:hAnsi="Calibri" w:cs="Calibri"/>
          <w:b/>
          <w:bCs/>
        </w:rPr>
        <w:t>Measurements</w:t>
      </w:r>
    </w:p>
    <w:p w14:paraId="1DB85A89" w14:textId="77777777" w:rsidR="00AB132E" w:rsidRPr="009068DB" w:rsidRDefault="002633D3" w:rsidP="00CE6A4E">
      <w:pPr>
        <w:ind w:left="720"/>
        <w:rPr>
          <w:rFonts w:ascii="Calibri" w:eastAsia="Times New Roman" w:hAnsi="Calibri" w:cs="Calibri"/>
        </w:rPr>
      </w:pPr>
      <w:r w:rsidRPr="009068DB">
        <w:rPr>
          <w:rFonts w:ascii="Calibri" w:eastAsia="Times New Roman" w:hAnsi="Calibri" w:cs="Calibri"/>
        </w:rPr>
        <w:t xml:space="preserve">Our predictor will be how well the </w:t>
      </w:r>
      <w:proofErr w:type="spellStart"/>
      <w:r w:rsidRPr="009068DB">
        <w:rPr>
          <w:rFonts w:ascii="Calibri" w:eastAsia="Times New Roman" w:hAnsi="Calibri" w:cs="Calibri"/>
        </w:rPr>
        <w:t>mFI</w:t>
      </w:r>
      <w:proofErr w:type="spellEnd"/>
      <w:r w:rsidRPr="009068DB">
        <w:rPr>
          <w:rFonts w:ascii="Calibri" w:eastAsia="Times New Roman" w:hAnsi="Calibri" w:cs="Calibri"/>
        </w:rPr>
        <w:t xml:space="preserve"> performs in determining nonhome discharge. Our outcome variables include post-operative complications. Nonhome discharge will be the primary end point and will be used as our main variable in comparing the two </w:t>
      </w:r>
      <w:r w:rsidRPr="009068DB">
        <w:rPr>
          <w:rFonts w:ascii="Calibri" w:eastAsia="Times New Roman" w:hAnsi="Calibri" w:cs="Calibri"/>
        </w:rPr>
        <w:lastRenderedPageBreak/>
        <w:t>scoring systems. Surgical site infection, return to the OR, DVT/PE, stoke, MI, death will be secondary outcomes. The predictor variables will be measured by assigning a score for each patient with each scoring system. The outcome variables have been captured in the dataset and thus has been measured by chart review.</w:t>
      </w:r>
    </w:p>
    <w:p w14:paraId="36DBD42B" w14:textId="77777777" w:rsidR="000B429A" w:rsidRPr="009068DB" w:rsidRDefault="000B429A" w:rsidP="00CE6A4E">
      <w:pPr>
        <w:ind w:left="720"/>
        <w:rPr>
          <w:rFonts w:ascii="Calibri" w:eastAsia="Times New Roman" w:hAnsi="Calibri" w:cs="Calibri"/>
        </w:rPr>
      </w:pPr>
    </w:p>
    <w:p w14:paraId="31741F7B" w14:textId="1BF75924" w:rsidR="002633D3" w:rsidRDefault="00AB132E" w:rsidP="00CE6A4E">
      <w:pPr>
        <w:ind w:left="720"/>
        <w:rPr>
          <w:rFonts w:ascii="Calibri" w:eastAsia="Times New Roman" w:hAnsi="Calibri" w:cs="Calibri"/>
        </w:rPr>
      </w:pPr>
      <w:r w:rsidRPr="009068DB">
        <w:rPr>
          <w:rFonts w:ascii="Calibri" w:eastAsia="Times New Roman" w:hAnsi="Calibri" w:cs="Calibri"/>
        </w:rPr>
        <w:t xml:space="preserve">Potential confounders </w:t>
      </w:r>
      <w:r w:rsidR="000B429A" w:rsidRPr="009068DB">
        <w:rPr>
          <w:rFonts w:ascii="Calibri" w:eastAsia="Times New Roman" w:hAnsi="Calibri" w:cs="Calibri"/>
        </w:rPr>
        <w:t>include patients who have undergone amputations, particular below-the-</w:t>
      </w:r>
      <w:proofErr w:type="spellStart"/>
      <w:proofErr w:type="gramStart"/>
      <w:r w:rsidR="00EF45C1" w:rsidRPr="009068DB">
        <w:rPr>
          <w:rFonts w:ascii="Calibri" w:eastAsia="Times New Roman" w:hAnsi="Calibri" w:cs="Calibri"/>
        </w:rPr>
        <w:t>knee,</w:t>
      </w:r>
      <w:r w:rsidR="000B429A" w:rsidRPr="009068DB">
        <w:rPr>
          <w:rFonts w:ascii="Calibri" w:eastAsia="Times New Roman" w:hAnsi="Calibri" w:cs="Calibri"/>
        </w:rPr>
        <w:t>or</w:t>
      </w:r>
      <w:proofErr w:type="spellEnd"/>
      <w:proofErr w:type="gramEnd"/>
      <w:r w:rsidR="000B429A" w:rsidRPr="009068DB">
        <w:rPr>
          <w:rFonts w:ascii="Calibri" w:eastAsia="Times New Roman" w:hAnsi="Calibri" w:cs="Calibri"/>
        </w:rPr>
        <w:t xml:space="preserve"> above-the-knee amputations. </w:t>
      </w:r>
      <w:proofErr w:type="gramStart"/>
      <w:r w:rsidR="000B429A" w:rsidRPr="009068DB">
        <w:rPr>
          <w:rFonts w:ascii="Calibri" w:eastAsia="Times New Roman" w:hAnsi="Calibri" w:cs="Calibri"/>
        </w:rPr>
        <w:t>The vast majority of</w:t>
      </w:r>
      <w:proofErr w:type="gramEnd"/>
      <w:r w:rsidR="000B429A" w:rsidRPr="009068DB">
        <w:rPr>
          <w:rFonts w:ascii="Calibri" w:eastAsia="Times New Roman" w:hAnsi="Calibri" w:cs="Calibri"/>
        </w:rPr>
        <w:t xml:space="preserve"> these patients are not discharged home but rather to a Skilled Nursing Facility or Rehabilitation Facility. </w:t>
      </w:r>
      <w:proofErr w:type="gramStart"/>
      <w:r w:rsidR="000B429A" w:rsidRPr="009068DB">
        <w:rPr>
          <w:rFonts w:ascii="Calibri" w:eastAsia="Times New Roman" w:hAnsi="Calibri" w:cs="Calibri"/>
        </w:rPr>
        <w:t>In order to</w:t>
      </w:r>
      <w:proofErr w:type="gramEnd"/>
      <w:r w:rsidR="000B429A" w:rsidRPr="009068DB">
        <w:rPr>
          <w:rFonts w:ascii="Calibri" w:eastAsia="Times New Roman" w:hAnsi="Calibri" w:cs="Calibri"/>
        </w:rPr>
        <w:t xml:space="preserve"> adjust for this, we will analyze these patients separately. Other potential problems that may arise include the way data is collected, which may cause random and systematic errors.   </w:t>
      </w:r>
      <w:r w:rsidR="002633D3" w:rsidRPr="009068DB">
        <w:rPr>
          <w:rFonts w:ascii="Calibri" w:eastAsia="Times New Roman" w:hAnsi="Calibri" w:cs="Calibri"/>
        </w:rPr>
        <w:t xml:space="preserve">One way to reduce random error in this study could be to ensure that the data being collected for the variables is standard across all VA medical centers, particularly those variables that are subjective like functional status. Staff at each VA medical center can be trained and observed to ensure a standard technique is utilized in data collection (this may already be done for the VASQIP data). To reduce systematic error in this study, we can ensure each VA medical center is given a manual on how to obtain the variables from chart review. This could also be done by the trainer to ensure accuracy in obtaining the data (this may also already be done for the VASQIP data). </w:t>
      </w:r>
    </w:p>
    <w:p w14:paraId="4EE880F5" w14:textId="107C465A" w:rsidR="002633D3" w:rsidRPr="009068DB" w:rsidRDefault="002633D3" w:rsidP="002633D3">
      <w:pPr>
        <w:pStyle w:val="NormalWeb"/>
        <w:spacing w:before="0" w:beforeAutospacing="0" w:after="0" w:afterAutospacing="0"/>
        <w:rPr>
          <w:rStyle w:val="Strong"/>
          <w:rFonts w:ascii="Calibri" w:hAnsi="Calibri" w:cs="Calibri"/>
          <w:u w:val="single"/>
        </w:rPr>
      </w:pPr>
    </w:p>
    <w:p w14:paraId="48A81796" w14:textId="10416D48" w:rsidR="002633D3" w:rsidRPr="009068DB" w:rsidRDefault="002633D3" w:rsidP="002633D3">
      <w:pPr>
        <w:pStyle w:val="NormalWeb"/>
        <w:spacing w:before="0" w:beforeAutospacing="0" w:after="0" w:afterAutospacing="0"/>
        <w:rPr>
          <w:rStyle w:val="Strong"/>
          <w:rFonts w:ascii="Calibri" w:hAnsi="Calibri" w:cs="Calibri"/>
        </w:rPr>
      </w:pPr>
      <w:r w:rsidRPr="009068DB">
        <w:rPr>
          <w:rStyle w:val="Strong"/>
          <w:rFonts w:ascii="Calibri" w:hAnsi="Calibri" w:cs="Calibri"/>
        </w:rPr>
        <w:t>S</w:t>
      </w:r>
      <w:r w:rsidRPr="009068DB">
        <w:rPr>
          <w:rStyle w:val="Strong"/>
          <w:rFonts w:ascii="Calibri" w:hAnsi="Calibri" w:cs="Calibri"/>
        </w:rPr>
        <w:t>tatistical Issues</w:t>
      </w:r>
    </w:p>
    <w:p w14:paraId="551614B1" w14:textId="00D4D7AD" w:rsidR="005166C5" w:rsidRPr="009068DB" w:rsidRDefault="002633D3" w:rsidP="005166C5">
      <w:pPr>
        <w:pStyle w:val="NormalWeb"/>
        <w:numPr>
          <w:ilvl w:val="0"/>
          <w:numId w:val="5"/>
        </w:numPr>
        <w:spacing w:before="0" w:beforeAutospacing="0" w:after="0" w:afterAutospacing="0"/>
        <w:rPr>
          <w:rStyle w:val="Strong"/>
          <w:rFonts w:ascii="Calibri" w:hAnsi="Calibri" w:cs="Calibri"/>
          <w:b w:val="0"/>
          <w:bCs w:val="0"/>
        </w:rPr>
      </w:pPr>
      <w:r w:rsidRPr="009068DB">
        <w:rPr>
          <w:rStyle w:val="Strong"/>
          <w:rFonts w:ascii="Calibri" w:hAnsi="Calibri" w:cs="Calibri"/>
        </w:rPr>
        <w:t>Hypothesis</w:t>
      </w:r>
    </w:p>
    <w:p w14:paraId="6651B57B" w14:textId="77777777" w:rsidR="00CE6A4E" w:rsidRPr="009068DB" w:rsidRDefault="00CE6A4E" w:rsidP="00CE6A4E">
      <w:pPr>
        <w:pStyle w:val="ListParagraph"/>
        <w:rPr>
          <w:rFonts w:ascii="Calibri" w:eastAsia="Times New Roman" w:hAnsi="Calibri" w:cs="Calibri"/>
        </w:rPr>
      </w:pPr>
      <w:r w:rsidRPr="009068DB">
        <w:rPr>
          <w:rFonts w:ascii="Calibri" w:eastAsia="Times New Roman" w:hAnsi="Calibri" w:cs="Calibri"/>
        </w:rPr>
        <w:t>We hypothesize that the modified frailty index (</w:t>
      </w:r>
      <w:proofErr w:type="spellStart"/>
      <w:r w:rsidRPr="009068DB">
        <w:rPr>
          <w:rFonts w:ascii="Calibri" w:eastAsia="Times New Roman" w:hAnsi="Calibri" w:cs="Calibri"/>
        </w:rPr>
        <w:t>mFI</w:t>
      </w:r>
      <w:proofErr w:type="spellEnd"/>
      <w:r w:rsidRPr="009068DB">
        <w:rPr>
          <w:rFonts w:ascii="Calibri" w:eastAsia="Times New Roman" w:hAnsi="Calibri" w:cs="Calibri"/>
        </w:rPr>
        <w:t>) would be able to better predict nonhome discharge among vascular surgery patients from the VASQIP dataset when compared to the revised analysis index (RAI).</w:t>
      </w:r>
    </w:p>
    <w:p w14:paraId="0062B8A1" w14:textId="77777777" w:rsidR="00CE6A4E" w:rsidRPr="009068DB" w:rsidRDefault="00CE6A4E" w:rsidP="00CE6A4E">
      <w:pPr>
        <w:pStyle w:val="NormalWeb"/>
        <w:spacing w:before="0" w:beforeAutospacing="0" w:after="0" w:afterAutospacing="0"/>
        <w:ind w:left="1440"/>
        <w:rPr>
          <w:rStyle w:val="Strong"/>
          <w:rFonts w:ascii="Calibri" w:hAnsi="Calibri" w:cs="Calibri"/>
          <w:b w:val="0"/>
          <w:bCs w:val="0"/>
        </w:rPr>
      </w:pPr>
    </w:p>
    <w:p w14:paraId="21E9C424" w14:textId="6AF8465E" w:rsidR="005166C5" w:rsidRPr="009068DB" w:rsidRDefault="002633D3" w:rsidP="005166C5">
      <w:pPr>
        <w:pStyle w:val="NormalWeb"/>
        <w:numPr>
          <w:ilvl w:val="0"/>
          <w:numId w:val="5"/>
        </w:numPr>
        <w:spacing w:before="0" w:beforeAutospacing="0" w:after="0" w:afterAutospacing="0"/>
        <w:rPr>
          <w:rStyle w:val="Strong"/>
          <w:rFonts w:ascii="Calibri" w:hAnsi="Calibri" w:cs="Calibri"/>
          <w:b w:val="0"/>
          <w:bCs w:val="0"/>
        </w:rPr>
      </w:pPr>
      <w:r w:rsidRPr="009068DB">
        <w:rPr>
          <w:rStyle w:val="Strong"/>
          <w:rFonts w:ascii="Calibri" w:hAnsi="Calibri" w:cs="Calibri"/>
        </w:rPr>
        <w:t>Analysis Plan</w:t>
      </w:r>
    </w:p>
    <w:p w14:paraId="62EF6872" w14:textId="59F580F8" w:rsidR="00EF45C1" w:rsidRPr="009068DB" w:rsidRDefault="00CE6A4E" w:rsidP="00113B9E">
      <w:pPr>
        <w:pStyle w:val="NormalWeb"/>
        <w:spacing w:before="0" w:beforeAutospacing="0" w:after="0" w:afterAutospacing="0"/>
        <w:ind w:left="720"/>
        <w:rPr>
          <w:rStyle w:val="Strong"/>
          <w:rFonts w:ascii="Calibri" w:hAnsi="Calibri" w:cs="Calibri"/>
          <w:b w:val="0"/>
          <w:bCs w:val="0"/>
        </w:rPr>
      </w:pPr>
      <w:r w:rsidRPr="009068DB">
        <w:rPr>
          <w:rFonts w:ascii="Calibri" w:hAnsi="Calibri" w:cs="Calibri"/>
        </w:rPr>
        <w:t xml:space="preserve">The predictor variables include the </w:t>
      </w:r>
      <w:proofErr w:type="spellStart"/>
      <w:r w:rsidRPr="009068DB">
        <w:rPr>
          <w:rFonts w:ascii="Calibri" w:hAnsi="Calibri" w:cs="Calibri"/>
        </w:rPr>
        <w:t>mFI</w:t>
      </w:r>
      <w:proofErr w:type="spellEnd"/>
      <w:r w:rsidRPr="009068DB">
        <w:rPr>
          <w:rFonts w:ascii="Calibri" w:hAnsi="Calibri" w:cs="Calibri"/>
        </w:rPr>
        <w:t xml:space="preserve"> and RAI scores. The outcome variables include home or nonhome discharge. I can categorize my predictor in two different ways: either as a categorical nominal or a continuous numerical, likely skewed. My outcome variable would be dichotomous. Therefore, if I were to treat each of my scoring systems as a continuous, skewed predictor, I would use reverse the role of predictor and outcome and use Wilcoxon. If I were to treat each scoring system as a categorical nominal, I would use the Chi square test for trend. </w:t>
      </w:r>
      <w:r w:rsidRPr="009068DB">
        <w:rPr>
          <w:rFonts w:ascii="Calibri" w:hAnsi="Calibri" w:cs="Calibri"/>
        </w:rPr>
        <w:t xml:space="preserve">For the purposes of simplicity, I will treat each scoring system as a categorical nominal and use the Chi Square test for trend. </w:t>
      </w:r>
      <w:r w:rsidRPr="009068DB">
        <w:rPr>
          <w:rFonts w:ascii="Calibri" w:hAnsi="Calibri" w:cs="Calibri"/>
        </w:rPr>
        <w:t xml:space="preserve">We could potentially find that those </w:t>
      </w:r>
      <w:r w:rsidRPr="009068DB">
        <w:rPr>
          <w:rFonts w:ascii="Calibri" w:hAnsi="Calibri" w:cs="Calibri"/>
        </w:rPr>
        <w:t xml:space="preserve">group into </w:t>
      </w:r>
      <w:r w:rsidRPr="009068DB">
        <w:rPr>
          <w:rFonts w:ascii="Calibri" w:hAnsi="Calibri" w:cs="Calibri"/>
        </w:rPr>
        <w:t xml:space="preserve">a higher score </w:t>
      </w:r>
      <w:r w:rsidRPr="009068DB">
        <w:rPr>
          <w:rFonts w:ascii="Calibri" w:hAnsi="Calibri" w:cs="Calibri"/>
        </w:rPr>
        <w:t>with</w:t>
      </w:r>
      <w:r w:rsidRPr="009068DB">
        <w:rPr>
          <w:rFonts w:ascii="Calibri" w:hAnsi="Calibri" w:cs="Calibri"/>
        </w:rPr>
        <w:t xml:space="preserve"> the RAI and </w:t>
      </w:r>
      <w:proofErr w:type="spellStart"/>
      <w:r w:rsidRPr="009068DB">
        <w:rPr>
          <w:rFonts w:ascii="Calibri" w:hAnsi="Calibri" w:cs="Calibri"/>
        </w:rPr>
        <w:t>mFI</w:t>
      </w:r>
      <w:proofErr w:type="spellEnd"/>
      <w:r w:rsidRPr="009068DB">
        <w:rPr>
          <w:rFonts w:ascii="Calibri" w:hAnsi="Calibri" w:cs="Calibri"/>
        </w:rPr>
        <w:t xml:space="preserve"> are more likely to have nonhome discharge. We could </w:t>
      </w:r>
      <w:r w:rsidRPr="009068DB">
        <w:rPr>
          <w:rFonts w:ascii="Calibri" w:hAnsi="Calibri" w:cs="Calibri"/>
        </w:rPr>
        <w:t>also see</w:t>
      </w:r>
      <w:r w:rsidRPr="009068DB">
        <w:rPr>
          <w:rFonts w:ascii="Calibri" w:hAnsi="Calibri" w:cs="Calibri"/>
        </w:rPr>
        <w:t xml:space="preserve"> no difference in their ability to predict nonhome discharge.</w:t>
      </w:r>
    </w:p>
    <w:p w14:paraId="6EC34CAB" w14:textId="77777777" w:rsidR="00EF45C1" w:rsidRPr="009068DB" w:rsidRDefault="00EF45C1" w:rsidP="00CE6A4E">
      <w:pPr>
        <w:pStyle w:val="NormalWeb"/>
        <w:spacing w:before="0" w:beforeAutospacing="0" w:after="0" w:afterAutospacing="0"/>
        <w:ind w:left="720"/>
        <w:rPr>
          <w:rStyle w:val="Strong"/>
          <w:rFonts w:ascii="Calibri" w:hAnsi="Calibri" w:cs="Calibri"/>
          <w:b w:val="0"/>
          <w:bCs w:val="0"/>
        </w:rPr>
      </w:pPr>
    </w:p>
    <w:p w14:paraId="3742DEBB" w14:textId="35232FB3" w:rsidR="002633D3" w:rsidRPr="009068DB" w:rsidRDefault="002633D3" w:rsidP="005166C5">
      <w:pPr>
        <w:pStyle w:val="NormalWeb"/>
        <w:numPr>
          <w:ilvl w:val="0"/>
          <w:numId w:val="5"/>
        </w:numPr>
        <w:spacing w:before="0" w:beforeAutospacing="0" w:after="0" w:afterAutospacing="0"/>
        <w:rPr>
          <w:rFonts w:ascii="Calibri" w:hAnsi="Calibri" w:cs="Calibri"/>
        </w:rPr>
      </w:pPr>
      <w:r w:rsidRPr="009068DB">
        <w:rPr>
          <w:rStyle w:val="Strong"/>
          <w:rFonts w:ascii="Calibri" w:hAnsi="Calibri" w:cs="Calibri"/>
        </w:rPr>
        <w:t>Sample Size Estimates</w:t>
      </w:r>
    </w:p>
    <w:p w14:paraId="5A089EC2" w14:textId="79A71411" w:rsidR="002633D3" w:rsidRPr="009068DB" w:rsidRDefault="00F557CE" w:rsidP="00F557CE">
      <w:pPr>
        <w:ind w:left="720"/>
        <w:rPr>
          <w:rFonts w:ascii="Calibri" w:eastAsia="Times New Roman" w:hAnsi="Calibri" w:cs="Calibri"/>
        </w:rPr>
      </w:pPr>
      <w:r w:rsidRPr="009068DB">
        <w:rPr>
          <w:rFonts w:ascii="Calibri" w:hAnsi="Calibri" w:cs="Calibri"/>
        </w:rPr>
        <w:t xml:space="preserve">Given this is a retrospective analysis, the sample size will already be determined by the number of patients enrolled in the VASQIP dataset from 2016 to 2019. We plan to determine how will the RAI and </w:t>
      </w:r>
      <w:proofErr w:type="spellStart"/>
      <w:r w:rsidRPr="009068DB">
        <w:rPr>
          <w:rFonts w:ascii="Calibri" w:hAnsi="Calibri" w:cs="Calibri"/>
        </w:rPr>
        <w:t>mFI</w:t>
      </w:r>
      <w:proofErr w:type="spellEnd"/>
      <w:r w:rsidRPr="009068DB">
        <w:rPr>
          <w:rFonts w:ascii="Calibri" w:hAnsi="Calibri" w:cs="Calibri"/>
        </w:rPr>
        <w:t xml:space="preserve"> will predict nonhome discharge in percentages. We will then calculate confidence intervals. </w:t>
      </w:r>
      <w:r w:rsidR="002633D3" w:rsidRPr="009068DB">
        <w:rPr>
          <w:rFonts w:ascii="Calibri" w:eastAsia="Times New Roman" w:hAnsi="Calibri" w:cs="Calibri"/>
        </w:rPr>
        <w:t>In previous literature, the proportion of nonhome discharge present in frailty vascular patients was about 7-8%.</w:t>
      </w:r>
      <w:r w:rsidRPr="009068DB">
        <w:rPr>
          <w:rFonts w:ascii="Calibri" w:eastAsia="Times New Roman" w:hAnsi="Calibri" w:cs="Calibri"/>
          <w:vertAlign w:val="superscript"/>
        </w:rPr>
        <w:t>4</w:t>
      </w:r>
      <w:r w:rsidRPr="009068DB">
        <w:rPr>
          <w:rFonts w:ascii="Calibri" w:eastAsia="Times New Roman" w:hAnsi="Calibri" w:cs="Calibri"/>
        </w:rPr>
        <w:t xml:space="preserve"> </w:t>
      </w:r>
      <w:r w:rsidR="002633D3" w:rsidRPr="009068DB">
        <w:rPr>
          <w:rFonts w:ascii="Calibri" w:eastAsia="Times New Roman" w:hAnsi="Calibri" w:cs="Calibri"/>
        </w:rPr>
        <w:t xml:space="preserve">Therefore, I </w:t>
      </w:r>
      <w:r w:rsidR="002633D3" w:rsidRPr="009068DB">
        <w:rPr>
          <w:rFonts w:ascii="Calibri" w:eastAsia="Times New Roman" w:hAnsi="Calibri" w:cs="Calibri"/>
        </w:rPr>
        <w:lastRenderedPageBreak/>
        <w:t>would set P1 to be 0.075 and P2 to be 0.05. The difference between the two is 0.025. I would set my alpha (one sided) to be 0.05. Therefore, if using the chi square test and the chart in 6B, I would use need 381 per group. We plan on having about 9,000 vascular surgery patients total, of which 7% would be about 630 patients. I would set beta at 0.2.</w:t>
      </w:r>
    </w:p>
    <w:p w14:paraId="5E804D6E" w14:textId="77777777" w:rsidR="002633D3" w:rsidRPr="00113B9E" w:rsidRDefault="002633D3" w:rsidP="009068DB">
      <w:pPr>
        <w:rPr>
          <w:rFonts w:ascii="Calibri" w:eastAsia="Times New Roman" w:hAnsi="Calibri" w:cs="Calibri"/>
          <w:b/>
          <w:bCs/>
        </w:rPr>
      </w:pPr>
    </w:p>
    <w:p w14:paraId="7B27602E" w14:textId="34379530" w:rsidR="002633D3" w:rsidRPr="009068DB" w:rsidRDefault="002633D3" w:rsidP="009068DB">
      <w:pPr>
        <w:rPr>
          <w:rFonts w:ascii="Calibri" w:eastAsia="Times New Roman" w:hAnsi="Calibri" w:cs="Calibri"/>
          <w:b/>
          <w:bCs/>
        </w:rPr>
      </w:pPr>
      <w:r w:rsidRPr="009068DB">
        <w:rPr>
          <w:rFonts w:ascii="Calibri" w:eastAsia="Times New Roman" w:hAnsi="Calibri" w:cs="Calibri"/>
          <w:b/>
          <w:bCs/>
        </w:rPr>
        <w:t xml:space="preserve">Ethical Considerations </w:t>
      </w:r>
    </w:p>
    <w:p w14:paraId="7FA75C62" w14:textId="5E616FEC" w:rsidR="002633D3" w:rsidRPr="009068DB" w:rsidRDefault="009068DB" w:rsidP="002633D3">
      <w:pPr>
        <w:rPr>
          <w:rFonts w:ascii="Calibri" w:eastAsia="Times New Roman" w:hAnsi="Calibri" w:cs="Calibri"/>
        </w:rPr>
      </w:pPr>
      <w:r>
        <w:rPr>
          <w:rFonts w:ascii="Calibri" w:eastAsia="Times New Roman" w:hAnsi="Calibri" w:cs="Calibri"/>
        </w:rPr>
        <w:t xml:space="preserve">Given the retrospective, de-identified nature of the dataset, overall risk to the patients is minimal. There are no interventions being performed that were not the standard of care at the time the data was collected. All patient data is de-identified. </w:t>
      </w:r>
      <w:r w:rsidR="00642A36">
        <w:rPr>
          <w:rFonts w:ascii="Calibri" w:eastAsia="Times New Roman" w:hAnsi="Calibri" w:cs="Calibri"/>
        </w:rPr>
        <w:t xml:space="preserve">Once we receive the dataset, the de-identified data will be store on encrypted devices. However, there will be no identifiers to track patients back to their electronic medical record. </w:t>
      </w:r>
    </w:p>
    <w:p w14:paraId="52902073" w14:textId="77777777" w:rsidR="002633D3" w:rsidRPr="009068DB" w:rsidRDefault="002633D3" w:rsidP="002633D3">
      <w:pPr>
        <w:rPr>
          <w:rFonts w:ascii="Calibri" w:eastAsia="Times New Roman" w:hAnsi="Calibri" w:cs="Calibri"/>
        </w:rPr>
      </w:pPr>
    </w:p>
    <w:p w14:paraId="522B5CF5" w14:textId="77777777" w:rsidR="002633D3" w:rsidRPr="009068DB" w:rsidRDefault="002633D3" w:rsidP="002633D3">
      <w:pPr>
        <w:rPr>
          <w:rFonts w:ascii="Calibri" w:eastAsia="Times New Roman" w:hAnsi="Calibri" w:cs="Calibri"/>
        </w:rPr>
      </w:pPr>
    </w:p>
    <w:p w14:paraId="649A0648" w14:textId="77777777" w:rsidR="002633D3" w:rsidRPr="009068DB" w:rsidRDefault="002633D3" w:rsidP="002633D3">
      <w:pPr>
        <w:rPr>
          <w:rFonts w:ascii="Calibri" w:eastAsia="Times New Roman" w:hAnsi="Calibri" w:cs="Calibri"/>
        </w:rPr>
      </w:pPr>
    </w:p>
    <w:p w14:paraId="40F0A389" w14:textId="77777777" w:rsidR="002633D3" w:rsidRPr="009068DB" w:rsidRDefault="002633D3" w:rsidP="002633D3">
      <w:pPr>
        <w:rPr>
          <w:rFonts w:ascii="Calibri" w:eastAsia="Times New Roman" w:hAnsi="Calibri" w:cs="Calibri"/>
        </w:rPr>
      </w:pPr>
    </w:p>
    <w:p w14:paraId="6ABE972F" w14:textId="77777777" w:rsidR="002633D3" w:rsidRPr="009068DB" w:rsidRDefault="002633D3" w:rsidP="002633D3">
      <w:pPr>
        <w:rPr>
          <w:rFonts w:ascii="Calibri" w:eastAsia="Times New Roman" w:hAnsi="Calibri" w:cs="Calibri"/>
        </w:rPr>
      </w:pPr>
    </w:p>
    <w:p w14:paraId="2CBACCCD" w14:textId="77777777" w:rsidR="002633D3" w:rsidRPr="009068DB" w:rsidRDefault="002633D3" w:rsidP="002633D3">
      <w:pPr>
        <w:rPr>
          <w:rFonts w:ascii="Calibri" w:eastAsia="Times New Roman" w:hAnsi="Calibri" w:cs="Calibri"/>
        </w:rPr>
      </w:pPr>
    </w:p>
    <w:p w14:paraId="154FAF70" w14:textId="77777777" w:rsidR="002633D3" w:rsidRPr="009068DB" w:rsidRDefault="002633D3" w:rsidP="00642A36">
      <w:pPr>
        <w:rPr>
          <w:rFonts w:ascii="Calibri" w:hAnsi="Calibri" w:cs="Calibri"/>
          <w:b/>
          <w:bCs/>
        </w:rPr>
      </w:pPr>
      <w:r w:rsidRPr="009068DB">
        <w:rPr>
          <w:rFonts w:ascii="Calibri" w:hAnsi="Calibri" w:cs="Calibri"/>
          <w:b/>
          <w:bCs/>
        </w:rPr>
        <w:t>References</w:t>
      </w:r>
    </w:p>
    <w:p w14:paraId="2D0A22CC" w14:textId="77777777" w:rsidR="002633D3" w:rsidRPr="009068DB" w:rsidRDefault="002633D3" w:rsidP="002633D3">
      <w:pPr>
        <w:pStyle w:val="ListParagraph"/>
        <w:numPr>
          <w:ilvl w:val="0"/>
          <w:numId w:val="1"/>
        </w:numPr>
        <w:autoSpaceDE w:val="0"/>
        <w:autoSpaceDN w:val="0"/>
        <w:adjustRightInd w:val="0"/>
        <w:ind w:right="-720"/>
        <w:rPr>
          <w:rFonts w:ascii="Calibri" w:hAnsi="Calibri" w:cs="Calibri"/>
        </w:rPr>
      </w:pPr>
      <w:r w:rsidRPr="009068DB">
        <w:rPr>
          <w:rFonts w:ascii="Calibri" w:hAnsi="Calibri" w:cs="Calibri"/>
        </w:rPr>
        <w:t xml:space="preserve">Hall DE, Arya S, Schmid KK, et al. Development and Initial Validation of the Risk Analysis Index for Measuring Frailty in Surgical Populations. </w:t>
      </w:r>
      <w:r w:rsidRPr="009068DB">
        <w:rPr>
          <w:rFonts w:ascii="Calibri" w:hAnsi="Calibri" w:cs="Calibri"/>
          <w:i/>
          <w:iCs/>
        </w:rPr>
        <w:t>JAMA Surg</w:t>
      </w:r>
      <w:r w:rsidRPr="009068DB">
        <w:rPr>
          <w:rFonts w:ascii="Calibri" w:hAnsi="Calibri" w:cs="Calibri"/>
        </w:rPr>
        <w:t>. Feb 1</w:t>
      </w:r>
      <w:proofErr w:type="gramStart"/>
      <w:r w:rsidRPr="009068DB">
        <w:rPr>
          <w:rFonts w:ascii="Calibri" w:hAnsi="Calibri" w:cs="Calibri"/>
        </w:rPr>
        <w:t xml:space="preserve"> 2017</w:t>
      </w:r>
      <w:proofErr w:type="gramEnd"/>
      <w:r w:rsidRPr="009068DB">
        <w:rPr>
          <w:rFonts w:ascii="Calibri" w:hAnsi="Calibri" w:cs="Calibri"/>
        </w:rPr>
        <w:t>;152(2):175-182. doi:10.1001/jamasurg.2016.4202</w:t>
      </w:r>
    </w:p>
    <w:p w14:paraId="78E5AE0B" w14:textId="77777777" w:rsidR="002633D3" w:rsidRPr="009068DB" w:rsidRDefault="002633D3" w:rsidP="002633D3">
      <w:pPr>
        <w:pStyle w:val="ListParagraph"/>
        <w:numPr>
          <w:ilvl w:val="0"/>
          <w:numId w:val="1"/>
        </w:numPr>
        <w:autoSpaceDE w:val="0"/>
        <w:autoSpaceDN w:val="0"/>
        <w:adjustRightInd w:val="0"/>
        <w:ind w:right="-720"/>
        <w:rPr>
          <w:rFonts w:ascii="Calibri" w:hAnsi="Calibri" w:cs="Calibri"/>
        </w:rPr>
      </w:pPr>
      <w:r w:rsidRPr="009068DB">
        <w:rPr>
          <w:rFonts w:ascii="Calibri" w:hAnsi="Calibri" w:cs="Calibri"/>
        </w:rPr>
        <w:t xml:space="preserve">Panayi AC, </w:t>
      </w:r>
      <w:proofErr w:type="spellStart"/>
      <w:r w:rsidRPr="009068DB">
        <w:rPr>
          <w:rFonts w:ascii="Calibri" w:hAnsi="Calibri" w:cs="Calibri"/>
        </w:rPr>
        <w:t>Orkaby</w:t>
      </w:r>
      <w:proofErr w:type="spellEnd"/>
      <w:r w:rsidRPr="009068DB">
        <w:rPr>
          <w:rFonts w:ascii="Calibri" w:hAnsi="Calibri" w:cs="Calibri"/>
        </w:rPr>
        <w:t xml:space="preserve"> AR, Sakthivel D, et al. Impact of frailty on outcomes in surgical patients: A systematic review and meta-analysis. </w:t>
      </w:r>
      <w:r w:rsidRPr="009068DB">
        <w:rPr>
          <w:rFonts w:ascii="Calibri" w:hAnsi="Calibri" w:cs="Calibri"/>
          <w:i/>
          <w:iCs/>
        </w:rPr>
        <w:t>Am J Surg</w:t>
      </w:r>
      <w:r w:rsidRPr="009068DB">
        <w:rPr>
          <w:rFonts w:ascii="Calibri" w:hAnsi="Calibri" w:cs="Calibri"/>
        </w:rPr>
        <w:t xml:space="preserve">. Aug 2019;218(2):393-400. </w:t>
      </w:r>
      <w:proofErr w:type="gramStart"/>
      <w:r w:rsidRPr="009068DB">
        <w:rPr>
          <w:rFonts w:ascii="Calibri" w:hAnsi="Calibri" w:cs="Calibri"/>
        </w:rPr>
        <w:t>doi:10.1016/j.amjsurg</w:t>
      </w:r>
      <w:proofErr w:type="gramEnd"/>
      <w:r w:rsidRPr="009068DB">
        <w:rPr>
          <w:rFonts w:ascii="Calibri" w:hAnsi="Calibri" w:cs="Calibri"/>
        </w:rPr>
        <w:t>.2018.11.020</w:t>
      </w:r>
    </w:p>
    <w:p w14:paraId="1E52D635" w14:textId="77777777" w:rsidR="002633D3" w:rsidRPr="009068DB" w:rsidRDefault="002633D3" w:rsidP="002633D3">
      <w:pPr>
        <w:pStyle w:val="ListParagraph"/>
        <w:numPr>
          <w:ilvl w:val="0"/>
          <w:numId w:val="1"/>
        </w:numPr>
        <w:autoSpaceDE w:val="0"/>
        <w:autoSpaceDN w:val="0"/>
        <w:adjustRightInd w:val="0"/>
        <w:ind w:right="-720"/>
        <w:rPr>
          <w:rFonts w:ascii="Calibri" w:hAnsi="Calibri" w:cs="Calibri"/>
        </w:rPr>
      </w:pPr>
      <w:r w:rsidRPr="009068DB">
        <w:rPr>
          <w:rFonts w:ascii="Calibri" w:hAnsi="Calibri" w:cs="Calibri"/>
        </w:rPr>
        <w:t xml:space="preserve">Rothenberg KA, George EL, Barreto N, et al. Frailty as measured by the Risk Analysis Index is associated with long-term death after carotid endarterectomy. </w:t>
      </w:r>
      <w:r w:rsidRPr="009068DB">
        <w:rPr>
          <w:rFonts w:ascii="Calibri" w:hAnsi="Calibri" w:cs="Calibri"/>
          <w:i/>
          <w:iCs/>
        </w:rPr>
        <w:t xml:space="preserve">J </w:t>
      </w:r>
      <w:proofErr w:type="spellStart"/>
      <w:r w:rsidRPr="009068DB">
        <w:rPr>
          <w:rFonts w:ascii="Calibri" w:hAnsi="Calibri" w:cs="Calibri"/>
          <w:i/>
          <w:iCs/>
        </w:rPr>
        <w:t>Vasc</w:t>
      </w:r>
      <w:proofErr w:type="spellEnd"/>
      <w:r w:rsidRPr="009068DB">
        <w:rPr>
          <w:rFonts w:ascii="Calibri" w:hAnsi="Calibri" w:cs="Calibri"/>
          <w:i/>
          <w:iCs/>
        </w:rPr>
        <w:t xml:space="preserve"> Surg</w:t>
      </w:r>
      <w:r w:rsidRPr="009068DB">
        <w:rPr>
          <w:rFonts w:ascii="Calibri" w:hAnsi="Calibri" w:cs="Calibri"/>
        </w:rPr>
        <w:t xml:space="preserve">. Nov 2020;72(5):1735-1742 e3. </w:t>
      </w:r>
      <w:proofErr w:type="gramStart"/>
      <w:r w:rsidRPr="009068DB">
        <w:rPr>
          <w:rFonts w:ascii="Calibri" w:hAnsi="Calibri" w:cs="Calibri"/>
        </w:rPr>
        <w:t>doi:10.1016/j.jvs</w:t>
      </w:r>
      <w:proofErr w:type="gramEnd"/>
      <w:r w:rsidRPr="009068DB">
        <w:rPr>
          <w:rFonts w:ascii="Calibri" w:hAnsi="Calibri" w:cs="Calibri"/>
        </w:rPr>
        <w:t>.2020.01.043</w:t>
      </w:r>
    </w:p>
    <w:p w14:paraId="6AF06C9E" w14:textId="77777777" w:rsidR="002633D3" w:rsidRPr="009068DB" w:rsidRDefault="002633D3" w:rsidP="002633D3">
      <w:pPr>
        <w:pStyle w:val="ListParagraph"/>
        <w:numPr>
          <w:ilvl w:val="0"/>
          <w:numId w:val="1"/>
        </w:numPr>
        <w:autoSpaceDE w:val="0"/>
        <w:autoSpaceDN w:val="0"/>
        <w:adjustRightInd w:val="0"/>
        <w:ind w:right="-720"/>
        <w:rPr>
          <w:rFonts w:ascii="Calibri" w:hAnsi="Calibri" w:cs="Calibri"/>
        </w:rPr>
      </w:pPr>
      <w:r w:rsidRPr="009068DB">
        <w:rPr>
          <w:rFonts w:ascii="Calibri" w:hAnsi="Calibri" w:cs="Calibri"/>
        </w:rPr>
        <w:t xml:space="preserve">Arya S, Long CA, </w:t>
      </w:r>
      <w:proofErr w:type="spellStart"/>
      <w:r w:rsidRPr="009068DB">
        <w:rPr>
          <w:rFonts w:ascii="Calibri" w:hAnsi="Calibri" w:cs="Calibri"/>
        </w:rPr>
        <w:t>Brahmbhatt</w:t>
      </w:r>
      <w:proofErr w:type="spellEnd"/>
      <w:r w:rsidRPr="009068DB">
        <w:rPr>
          <w:rFonts w:ascii="Calibri" w:hAnsi="Calibri" w:cs="Calibri"/>
        </w:rPr>
        <w:t xml:space="preserve"> R, et al. Preoperative Frailty Increases Risk of Nonhome Discharge after Elective Vascular Surgery in Home-Dwelling Patients. </w:t>
      </w:r>
      <w:r w:rsidRPr="009068DB">
        <w:rPr>
          <w:rFonts w:ascii="Calibri" w:hAnsi="Calibri" w:cs="Calibri"/>
          <w:i/>
          <w:iCs/>
        </w:rPr>
        <w:t xml:space="preserve">Ann </w:t>
      </w:r>
      <w:proofErr w:type="spellStart"/>
      <w:r w:rsidRPr="009068DB">
        <w:rPr>
          <w:rFonts w:ascii="Calibri" w:hAnsi="Calibri" w:cs="Calibri"/>
          <w:i/>
          <w:iCs/>
        </w:rPr>
        <w:t>Vasc</w:t>
      </w:r>
      <w:proofErr w:type="spellEnd"/>
      <w:r w:rsidRPr="009068DB">
        <w:rPr>
          <w:rFonts w:ascii="Calibri" w:hAnsi="Calibri" w:cs="Calibri"/>
          <w:i/>
          <w:iCs/>
        </w:rPr>
        <w:t xml:space="preserve"> Surg</w:t>
      </w:r>
      <w:r w:rsidRPr="009068DB">
        <w:rPr>
          <w:rFonts w:ascii="Calibri" w:hAnsi="Calibri" w:cs="Calibri"/>
        </w:rPr>
        <w:t xml:space="preserve">. Aug </w:t>
      </w:r>
      <w:proofErr w:type="gramStart"/>
      <w:r w:rsidRPr="009068DB">
        <w:rPr>
          <w:rFonts w:ascii="Calibri" w:hAnsi="Calibri" w:cs="Calibri"/>
        </w:rPr>
        <w:t>2016;35:19</w:t>
      </w:r>
      <w:proofErr w:type="gramEnd"/>
      <w:r w:rsidRPr="009068DB">
        <w:rPr>
          <w:rFonts w:ascii="Calibri" w:hAnsi="Calibri" w:cs="Calibri"/>
        </w:rPr>
        <w:t xml:space="preserve">-29. </w:t>
      </w:r>
      <w:proofErr w:type="gramStart"/>
      <w:r w:rsidRPr="009068DB">
        <w:rPr>
          <w:rFonts w:ascii="Calibri" w:hAnsi="Calibri" w:cs="Calibri"/>
        </w:rPr>
        <w:t>doi:10.1016/j.avsg</w:t>
      </w:r>
      <w:proofErr w:type="gramEnd"/>
      <w:r w:rsidRPr="009068DB">
        <w:rPr>
          <w:rFonts w:ascii="Calibri" w:hAnsi="Calibri" w:cs="Calibri"/>
        </w:rPr>
        <w:t>.2016.01.052</w:t>
      </w:r>
    </w:p>
    <w:p w14:paraId="359E47DB" w14:textId="32D43250" w:rsidR="002633D3" w:rsidRPr="00F036EB" w:rsidRDefault="002633D3" w:rsidP="00F036EB">
      <w:pPr>
        <w:pStyle w:val="ListParagraph"/>
        <w:numPr>
          <w:ilvl w:val="0"/>
          <w:numId w:val="1"/>
        </w:numPr>
        <w:autoSpaceDE w:val="0"/>
        <w:autoSpaceDN w:val="0"/>
        <w:adjustRightInd w:val="0"/>
        <w:ind w:right="-720"/>
        <w:rPr>
          <w:rFonts w:ascii="Calibri" w:hAnsi="Calibri" w:cs="Calibri"/>
        </w:rPr>
      </w:pPr>
      <w:r w:rsidRPr="009068DB">
        <w:rPr>
          <w:rFonts w:ascii="Calibri" w:hAnsi="Calibri" w:cs="Calibri"/>
        </w:rPr>
        <w:t xml:space="preserve">Shah R, </w:t>
      </w:r>
      <w:proofErr w:type="spellStart"/>
      <w:r w:rsidRPr="009068DB">
        <w:rPr>
          <w:rFonts w:ascii="Calibri" w:hAnsi="Calibri" w:cs="Calibri"/>
        </w:rPr>
        <w:t>Borrebach</w:t>
      </w:r>
      <w:proofErr w:type="spellEnd"/>
      <w:r w:rsidRPr="009068DB">
        <w:rPr>
          <w:rFonts w:ascii="Calibri" w:hAnsi="Calibri" w:cs="Calibri"/>
        </w:rPr>
        <w:t xml:space="preserve"> JD, Hodges JC, et al. Validation of the Risk Analysis Index for Evaluating Frailty in Ambulatory Patients. </w:t>
      </w:r>
      <w:r w:rsidRPr="009068DB">
        <w:rPr>
          <w:rFonts w:ascii="Calibri" w:hAnsi="Calibri" w:cs="Calibri"/>
          <w:i/>
          <w:iCs/>
        </w:rPr>
        <w:t xml:space="preserve">J Am </w:t>
      </w:r>
      <w:proofErr w:type="spellStart"/>
      <w:r w:rsidRPr="009068DB">
        <w:rPr>
          <w:rFonts w:ascii="Calibri" w:hAnsi="Calibri" w:cs="Calibri"/>
          <w:i/>
          <w:iCs/>
        </w:rPr>
        <w:t>Geriatr</w:t>
      </w:r>
      <w:proofErr w:type="spellEnd"/>
      <w:r w:rsidRPr="009068DB">
        <w:rPr>
          <w:rFonts w:ascii="Calibri" w:hAnsi="Calibri" w:cs="Calibri"/>
          <w:i/>
          <w:iCs/>
        </w:rPr>
        <w:t xml:space="preserve"> Soc</w:t>
      </w:r>
      <w:r w:rsidRPr="009068DB">
        <w:rPr>
          <w:rFonts w:ascii="Calibri" w:hAnsi="Calibri" w:cs="Calibri"/>
        </w:rPr>
        <w:t>. Aug 2020;68(8):1818-1824. doi:10.1111/jgs.16453</w:t>
      </w:r>
    </w:p>
    <w:sectPr w:rsidR="002633D3" w:rsidRPr="00F036EB" w:rsidSect="000C4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A57"/>
    <w:multiLevelType w:val="hybridMultilevel"/>
    <w:tmpl w:val="37A066EA"/>
    <w:lvl w:ilvl="0" w:tplc="39246CB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F0DB2"/>
    <w:multiLevelType w:val="hybridMultilevel"/>
    <w:tmpl w:val="C36C9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54495"/>
    <w:multiLevelType w:val="hybridMultilevel"/>
    <w:tmpl w:val="F7AE72CC"/>
    <w:lvl w:ilvl="0" w:tplc="A93E3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E5E03"/>
    <w:multiLevelType w:val="hybridMultilevel"/>
    <w:tmpl w:val="E604B626"/>
    <w:lvl w:ilvl="0" w:tplc="6A46911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73DAF"/>
    <w:multiLevelType w:val="hybridMultilevel"/>
    <w:tmpl w:val="42203E36"/>
    <w:lvl w:ilvl="0" w:tplc="E1D68E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D3"/>
    <w:rsid w:val="00074783"/>
    <w:rsid w:val="000930B1"/>
    <w:rsid w:val="000B429A"/>
    <w:rsid w:val="000C4385"/>
    <w:rsid w:val="000F1090"/>
    <w:rsid w:val="00113B9E"/>
    <w:rsid w:val="001371C3"/>
    <w:rsid w:val="00176E9B"/>
    <w:rsid w:val="00177172"/>
    <w:rsid w:val="001B619D"/>
    <w:rsid w:val="001D09CE"/>
    <w:rsid w:val="001E0E18"/>
    <w:rsid w:val="001E7BCA"/>
    <w:rsid w:val="00210284"/>
    <w:rsid w:val="00212BF4"/>
    <w:rsid w:val="00221EAA"/>
    <w:rsid w:val="002633D3"/>
    <w:rsid w:val="002911FE"/>
    <w:rsid w:val="002A0E2C"/>
    <w:rsid w:val="002A39B7"/>
    <w:rsid w:val="002D278B"/>
    <w:rsid w:val="00334C18"/>
    <w:rsid w:val="0036526E"/>
    <w:rsid w:val="00367783"/>
    <w:rsid w:val="003E0861"/>
    <w:rsid w:val="003F2990"/>
    <w:rsid w:val="003F2A3C"/>
    <w:rsid w:val="00463787"/>
    <w:rsid w:val="00495074"/>
    <w:rsid w:val="004B7596"/>
    <w:rsid w:val="005166C5"/>
    <w:rsid w:val="00523D44"/>
    <w:rsid w:val="0056446A"/>
    <w:rsid w:val="00590D6B"/>
    <w:rsid w:val="005D5007"/>
    <w:rsid w:val="00640FD2"/>
    <w:rsid w:val="00642A36"/>
    <w:rsid w:val="00661C2E"/>
    <w:rsid w:val="006821AE"/>
    <w:rsid w:val="007028BC"/>
    <w:rsid w:val="00715352"/>
    <w:rsid w:val="00752E4D"/>
    <w:rsid w:val="00755B47"/>
    <w:rsid w:val="00761FCA"/>
    <w:rsid w:val="0079505E"/>
    <w:rsid w:val="008631AB"/>
    <w:rsid w:val="00876829"/>
    <w:rsid w:val="008C6D9C"/>
    <w:rsid w:val="009068DB"/>
    <w:rsid w:val="00967E9C"/>
    <w:rsid w:val="009F1A83"/>
    <w:rsid w:val="00A205D6"/>
    <w:rsid w:val="00AB132E"/>
    <w:rsid w:val="00AC0511"/>
    <w:rsid w:val="00AD66B5"/>
    <w:rsid w:val="00B039CD"/>
    <w:rsid w:val="00B30234"/>
    <w:rsid w:val="00B66103"/>
    <w:rsid w:val="00BE4901"/>
    <w:rsid w:val="00BF154C"/>
    <w:rsid w:val="00BF57C2"/>
    <w:rsid w:val="00C15310"/>
    <w:rsid w:val="00CE6A4E"/>
    <w:rsid w:val="00D0708F"/>
    <w:rsid w:val="00D306E6"/>
    <w:rsid w:val="00D8000F"/>
    <w:rsid w:val="00D9449C"/>
    <w:rsid w:val="00E3433C"/>
    <w:rsid w:val="00EC5151"/>
    <w:rsid w:val="00EF45C1"/>
    <w:rsid w:val="00F036EB"/>
    <w:rsid w:val="00F557CE"/>
    <w:rsid w:val="00F77578"/>
    <w:rsid w:val="00FC5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1B120F4"/>
  <w15:chartTrackingRefBased/>
  <w15:docId w15:val="{96F88705-3564-A14E-AB29-2EF53E1C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3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3D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633D3"/>
    <w:rPr>
      <w:b/>
      <w:bCs/>
    </w:rPr>
  </w:style>
  <w:style w:type="paragraph" w:styleId="ListParagraph">
    <w:name w:val="List Paragraph"/>
    <w:basedOn w:val="Normal"/>
    <w:uiPriority w:val="34"/>
    <w:qFormat/>
    <w:rsid w:val="002633D3"/>
    <w:pPr>
      <w:ind w:left="720"/>
      <w:contextualSpacing/>
    </w:pPr>
  </w:style>
  <w:style w:type="character" w:styleId="CommentReference">
    <w:name w:val="annotation reference"/>
    <w:basedOn w:val="DefaultParagraphFont"/>
    <w:uiPriority w:val="99"/>
    <w:semiHidden/>
    <w:unhideWhenUsed/>
    <w:rsid w:val="002633D3"/>
    <w:rPr>
      <w:sz w:val="16"/>
      <w:szCs w:val="16"/>
    </w:rPr>
  </w:style>
  <w:style w:type="paragraph" w:styleId="CommentText">
    <w:name w:val="annotation text"/>
    <w:basedOn w:val="Normal"/>
    <w:link w:val="CommentTextChar"/>
    <w:uiPriority w:val="99"/>
    <w:semiHidden/>
    <w:unhideWhenUsed/>
    <w:rsid w:val="002633D3"/>
    <w:rPr>
      <w:sz w:val="20"/>
      <w:szCs w:val="20"/>
    </w:rPr>
  </w:style>
  <w:style w:type="character" w:customStyle="1" w:styleId="CommentTextChar">
    <w:name w:val="Comment Text Char"/>
    <w:basedOn w:val="DefaultParagraphFont"/>
    <w:link w:val="CommentText"/>
    <w:uiPriority w:val="99"/>
    <w:semiHidden/>
    <w:rsid w:val="002633D3"/>
    <w:rPr>
      <w:sz w:val="20"/>
      <w:szCs w:val="20"/>
    </w:rPr>
  </w:style>
  <w:style w:type="paragraph" w:styleId="CommentSubject">
    <w:name w:val="annotation subject"/>
    <w:basedOn w:val="CommentText"/>
    <w:next w:val="CommentText"/>
    <w:link w:val="CommentSubjectChar"/>
    <w:uiPriority w:val="99"/>
    <w:semiHidden/>
    <w:unhideWhenUsed/>
    <w:rsid w:val="00CE6A4E"/>
    <w:rPr>
      <w:b/>
      <w:bCs/>
    </w:rPr>
  </w:style>
  <w:style w:type="character" w:customStyle="1" w:styleId="CommentSubjectChar">
    <w:name w:val="Comment Subject Char"/>
    <w:basedOn w:val="CommentTextChar"/>
    <w:link w:val="CommentSubject"/>
    <w:uiPriority w:val="99"/>
    <w:semiHidden/>
    <w:rsid w:val="00CE6A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66114">
      <w:bodyDiv w:val="1"/>
      <w:marLeft w:val="0"/>
      <w:marRight w:val="0"/>
      <w:marTop w:val="0"/>
      <w:marBottom w:val="0"/>
      <w:divBdr>
        <w:top w:val="none" w:sz="0" w:space="0" w:color="auto"/>
        <w:left w:val="none" w:sz="0" w:space="0" w:color="auto"/>
        <w:bottom w:val="none" w:sz="0" w:space="0" w:color="auto"/>
        <w:right w:val="none" w:sz="0" w:space="0" w:color="auto"/>
      </w:divBdr>
      <w:divsChild>
        <w:div w:id="555045243">
          <w:marLeft w:val="0"/>
          <w:marRight w:val="0"/>
          <w:marTop w:val="0"/>
          <w:marBottom w:val="0"/>
          <w:divBdr>
            <w:top w:val="none" w:sz="0" w:space="0" w:color="auto"/>
            <w:left w:val="none" w:sz="0" w:space="0" w:color="auto"/>
            <w:bottom w:val="none" w:sz="0" w:space="0" w:color="auto"/>
            <w:right w:val="none" w:sz="0" w:space="0" w:color="auto"/>
          </w:divBdr>
          <w:divsChild>
            <w:div w:id="1198007211">
              <w:marLeft w:val="0"/>
              <w:marRight w:val="0"/>
              <w:marTop w:val="0"/>
              <w:marBottom w:val="0"/>
              <w:divBdr>
                <w:top w:val="none" w:sz="0" w:space="0" w:color="auto"/>
                <w:left w:val="none" w:sz="0" w:space="0" w:color="auto"/>
                <w:bottom w:val="none" w:sz="0" w:space="0" w:color="auto"/>
                <w:right w:val="none" w:sz="0" w:space="0" w:color="auto"/>
              </w:divBdr>
              <w:divsChild>
                <w:div w:id="2084911997">
                  <w:marLeft w:val="0"/>
                  <w:marRight w:val="0"/>
                  <w:marTop w:val="0"/>
                  <w:marBottom w:val="0"/>
                  <w:divBdr>
                    <w:top w:val="none" w:sz="0" w:space="0" w:color="auto"/>
                    <w:left w:val="none" w:sz="0" w:space="0" w:color="auto"/>
                    <w:bottom w:val="none" w:sz="0" w:space="0" w:color="auto"/>
                    <w:right w:val="none" w:sz="0" w:space="0" w:color="auto"/>
                  </w:divBdr>
                </w:div>
              </w:divsChild>
            </w:div>
            <w:div w:id="1275095276">
              <w:marLeft w:val="0"/>
              <w:marRight w:val="0"/>
              <w:marTop w:val="0"/>
              <w:marBottom w:val="0"/>
              <w:divBdr>
                <w:top w:val="none" w:sz="0" w:space="0" w:color="auto"/>
                <w:left w:val="none" w:sz="0" w:space="0" w:color="auto"/>
                <w:bottom w:val="none" w:sz="0" w:space="0" w:color="auto"/>
                <w:right w:val="none" w:sz="0" w:space="0" w:color="auto"/>
              </w:divBdr>
              <w:divsChild>
                <w:div w:id="918905047">
                  <w:marLeft w:val="0"/>
                  <w:marRight w:val="0"/>
                  <w:marTop w:val="0"/>
                  <w:marBottom w:val="0"/>
                  <w:divBdr>
                    <w:top w:val="none" w:sz="0" w:space="0" w:color="auto"/>
                    <w:left w:val="none" w:sz="0" w:space="0" w:color="auto"/>
                    <w:bottom w:val="none" w:sz="0" w:space="0" w:color="auto"/>
                    <w:right w:val="none" w:sz="0" w:space="0" w:color="auto"/>
                  </w:divBdr>
                </w:div>
              </w:divsChild>
            </w:div>
            <w:div w:id="319431881">
              <w:marLeft w:val="0"/>
              <w:marRight w:val="0"/>
              <w:marTop w:val="0"/>
              <w:marBottom w:val="0"/>
              <w:divBdr>
                <w:top w:val="none" w:sz="0" w:space="0" w:color="auto"/>
                <w:left w:val="none" w:sz="0" w:space="0" w:color="auto"/>
                <w:bottom w:val="none" w:sz="0" w:space="0" w:color="auto"/>
                <w:right w:val="none" w:sz="0" w:space="0" w:color="auto"/>
              </w:divBdr>
              <w:divsChild>
                <w:div w:id="1031493709">
                  <w:marLeft w:val="0"/>
                  <w:marRight w:val="0"/>
                  <w:marTop w:val="0"/>
                  <w:marBottom w:val="0"/>
                  <w:divBdr>
                    <w:top w:val="none" w:sz="0" w:space="0" w:color="auto"/>
                    <w:left w:val="none" w:sz="0" w:space="0" w:color="auto"/>
                    <w:bottom w:val="none" w:sz="0" w:space="0" w:color="auto"/>
                    <w:right w:val="none" w:sz="0" w:space="0" w:color="auto"/>
                  </w:divBdr>
                </w:div>
              </w:divsChild>
            </w:div>
            <w:div w:id="1740714117">
              <w:marLeft w:val="0"/>
              <w:marRight w:val="0"/>
              <w:marTop w:val="0"/>
              <w:marBottom w:val="0"/>
              <w:divBdr>
                <w:top w:val="none" w:sz="0" w:space="0" w:color="auto"/>
                <w:left w:val="none" w:sz="0" w:space="0" w:color="auto"/>
                <w:bottom w:val="none" w:sz="0" w:space="0" w:color="auto"/>
                <w:right w:val="none" w:sz="0" w:space="0" w:color="auto"/>
              </w:divBdr>
              <w:divsChild>
                <w:div w:id="1343628840">
                  <w:marLeft w:val="0"/>
                  <w:marRight w:val="0"/>
                  <w:marTop w:val="0"/>
                  <w:marBottom w:val="0"/>
                  <w:divBdr>
                    <w:top w:val="none" w:sz="0" w:space="0" w:color="auto"/>
                    <w:left w:val="none" w:sz="0" w:space="0" w:color="auto"/>
                    <w:bottom w:val="none" w:sz="0" w:space="0" w:color="auto"/>
                    <w:right w:val="none" w:sz="0" w:space="0" w:color="auto"/>
                  </w:divBdr>
                </w:div>
              </w:divsChild>
            </w:div>
            <w:div w:id="745687496">
              <w:marLeft w:val="0"/>
              <w:marRight w:val="0"/>
              <w:marTop w:val="0"/>
              <w:marBottom w:val="0"/>
              <w:divBdr>
                <w:top w:val="none" w:sz="0" w:space="0" w:color="auto"/>
                <w:left w:val="none" w:sz="0" w:space="0" w:color="auto"/>
                <w:bottom w:val="none" w:sz="0" w:space="0" w:color="auto"/>
                <w:right w:val="none" w:sz="0" w:space="0" w:color="auto"/>
              </w:divBdr>
              <w:divsChild>
                <w:div w:id="18679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4769">
          <w:marLeft w:val="0"/>
          <w:marRight w:val="0"/>
          <w:marTop w:val="0"/>
          <w:marBottom w:val="0"/>
          <w:divBdr>
            <w:top w:val="none" w:sz="0" w:space="0" w:color="auto"/>
            <w:left w:val="none" w:sz="0" w:space="0" w:color="auto"/>
            <w:bottom w:val="none" w:sz="0" w:space="0" w:color="auto"/>
            <w:right w:val="none" w:sz="0" w:space="0" w:color="auto"/>
          </w:divBdr>
          <w:divsChild>
            <w:div w:id="788864263">
              <w:marLeft w:val="0"/>
              <w:marRight w:val="0"/>
              <w:marTop w:val="0"/>
              <w:marBottom w:val="0"/>
              <w:divBdr>
                <w:top w:val="none" w:sz="0" w:space="0" w:color="auto"/>
                <w:left w:val="none" w:sz="0" w:space="0" w:color="auto"/>
                <w:bottom w:val="none" w:sz="0" w:space="0" w:color="auto"/>
                <w:right w:val="none" w:sz="0" w:space="0" w:color="auto"/>
              </w:divBdr>
              <w:divsChild>
                <w:div w:id="2112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0600">
      <w:bodyDiv w:val="1"/>
      <w:marLeft w:val="0"/>
      <w:marRight w:val="0"/>
      <w:marTop w:val="0"/>
      <w:marBottom w:val="0"/>
      <w:divBdr>
        <w:top w:val="none" w:sz="0" w:space="0" w:color="auto"/>
        <w:left w:val="none" w:sz="0" w:space="0" w:color="auto"/>
        <w:bottom w:val="none" w:sz="0" w:space="0" w:color="auto"/>
        <w:right w:val="none" w:sz="0" w:space="0" w:color="auto"/>
      </w:divBdr>
      <w:divsChild>
        <w:div w:id="52041862">
          <w:marLeft w:val="0"/>
          <w:marRight w:val="0"/>
          <w:marTop w:val="0"/>
          <w:marBottom w:val="0"/>
          <w:divBdr>
            <w:top w:val="none" w:sz="0" w:space="0" w:color="auto"/>
            <w:left w:val="none" w:sz="0" w:space="0" w:color="auto"/>
            <w:bottom w:val="none" w:sz="0" w:space="0" w:color="auto"/>
            <w:right w:val="none" w:sz="0" w:space="0" w:color="auto"/>
          </w:divBdr>
          <w:divsChild>
            <w:div w:id="904140995">
              <w:marLeft w:val="0"/>
              <w:marRight w:val="0"/>
              <w:marTop w:val="0"/>
              <w:marBottom w:val="0"/>
              <w:divBdr>
                <w:top w:val="none" w:sz="0" w:space="0" w:color="auto"/>
                <w:left w:val="none" w:sz="0" w:space="0" w:color="auto"/>
                <w:bottom w:val="none" w:sz="0" w:space="0" w:color="auto"/>
                <w:right w:val="none" w:sz="0" w:space="0" w:color="auto"/>
              </w:divBdr>
              <w:divsChild>
                <w:div w:id="16551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Jaramillo, Emanuel</dc:creator>
  <cp:keywords/>
  <dc:description/>
  <cp:lastModifiedBy>Jaramillo, Emanuel</cp:lastModifiedBy>
  <cp:revision>14</cp:revision>
  <dcterms:created xsi:type="dcterms:W3CDTF">2021-08-20T16:04:00Z</dcterms:created>
  <dcterms:modified xsi:type="dcterms:W3CDTF">2021-08-20T17:44:00Z</dcterms:modified>
</cp:coreProperties>
</file>