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958AE" w14:textId="4757EE65" w:rsidR="00517696" w:rsidRPr="00700758" w:rsidRDefault="00517696" w:rsidP="00643DC2">
      <w:pPr>
        <w:jc w:val="center"/>
        <w:rPr>
          <w:rFonts w:cstheme="minorHAnsi"/>
          <w:sz w:val="24"/>
          <w:szCs w:val="24"/>
        </w:rPr>
      </w:pPr>
      <w:r w:rsidRPr="00700758">
        <w:rPr>
          <w:rFonts w:cstheme="minorHAnsi"/>
          <w:sz w:val="24"/>
          <w:szCs w:val="24"/>
        </w:rPr>
        <w:t xml:space="preserve">Retrospective </w:t>
      </w:r>
      <w:r w:rsidR="00AA5A84" w:rsidRPr="00700758">
        <w:rPr>
          <w:rFonts w:cstheme="minorHAnsi"/>
          <w:sz w:val="24"/>
          <w:szCs w:val="24"/>
        </w:rPr>
        <w:t>Cross-Sectional</w:t>
      </w:r>
      <w:r w:rsidR="009E70A2" w:rsidRPr="00700758">
        <w:rPr>
          <w:rFonts w:cstheme="minorHAnsi"/>
          <w:sz w:val="24"/>
          <w:szCs w:val="24"/>
        </w:rPr>
        <w:t xml:space="preserve"> Review of VTE Prophylaxis Use at KPNC from </w:t>
      </w:r>
      <w:r w:rsidR="00143D89" w:rsidRPr="00700758">
        <w:rPr>
          <w:rFonts w:cstheme="minorHAnsi"/>
          <w:sz w:val="24"/>
          <w:szCs w:val="24"/>
        </w:rPr>
        <w:t>2013</w:t>
      </w:r>
      <w:r w:rsidR="009E70A2" w:rsidRPr="00700758">
        <w:rPr>
          <w:rFonts w:cstheme="minorHAnsi"/>
          <w:sz w:val="24"/>
          <w:szCs w:val="24"/>
        </w:rPr>
        <w:t xml:space="preserve"> to 2019.</w:t>
      </w:r>
    </w:p>
    <w:p w14:paraId="1B309E57" w14:textId="3EE96C11" w:rsidR="00643DC2" w:rsidRPr="00700758" w:rsidRDefault="00643DC2" w:rsidP="00643DC2">
      <w:pPr>
        <w:rPr>
          <w:rFonts w:cstheme="minorHAnsi"/>
          <w:sz w:val="24"/>
          <w:szCs w:val="24"/>
        </w:rPr>
      </w:pPr>
      <w:r w:rsidRPr="00700758">
        <w:rPr>
          <w:rFonts w:cstheme="minorHAnsi"/>
          <w:sz w:val="24"/>
          <w:szCs w:val="24"/>
        </w:rPr>
        <w:t>Investigators: James Xu MD, Elad Neeman MD, Raymond Liu MD</w:t>
      </w:r>
    </w:p>
    <w:p w14:paraId="1BE39282" w14:textId="423E329D" w:rsidR="00643DC2" w:rsidRPr="00700758" w:rsidRDefault="00643DC2" w:rsidP="00643DC2">
      <w:pPr>
        <w:rPr>
          <w:rFonts w:cstheme="minorHAnsi"/>
          <w:sz w:val="24"/>
          <w:szCs w:val="24"/>
        </w:rPr>
      </w:pPr>
      <w:r w:rsidRPr="00700758">
        <w:rPr>
          <w:rFonts w:cstheme="minorHAnsi"/>
          <w:sz w:val="24"/>
          <w:szCs w:val="24"/>
        </w:rPr>
        <w:t>Abstract:</w:t>
      </w:r>
    </w:p>
    <w:p w14:paraId="672877FD" w14:textId="4E799F25" w:rsidR="00643DC2" w:rsidRPr="00700758" w:rsidRDefault="00AA5A84" w:rsidP="00643DC2">
      <w:pPr>
        <w:rPr>
          <w:rFonts w:cstheme="minorHAnsi"/>
          <w:sz w:val="24"/>
          <w:szCs w:val="24"/>
        </w:rPr>
      </w:pPr>
      <w:r w:rsidRPr="00700758">
        <w:rPr>
          <w:rFonts w:cstheme="minorHAnsi"/>
          <w:sz w:val="24"/>
          <w:szCs w:val="24"/>
        </w:rPr>
        <w:t xml:space="preserve">Introduction: </w:t>
      </w:r>
      <w:r w:rsidR="005F0624" w:rsidRPr="00700758">
        <w:rPr>
          <w:rFonts w:cstheme="minorHAnsi"/>
          <w:sz w:val="24"/>
          <w:szCs w:val="24"/>
        </w:rPr>
        <w:t xml:space="preserve">VTE events have been identified as a major cause of preventable </w:t>
      </w:r>
      <w:r w:rsidR="00896D34" w:rsidRPr="00700758">
        <w:rPr>
          <w:rFonts w:cstheme="minorHAnsi"/>
          <w:sz w:val="24"/>
          <w:szCs w:val="24"/>
        </w:rPr>
        <w:t>hospitalization associated death</w:t>
      </w:r>
      <w:r w:rsidR="005F0624" w:rsidRPr="00700758">
        <w:rPr>
          <w:rFonts w:cstheme="minorHAnsi"/>
          <w:sz w:val="24"/>
          <w:szCs w:val="24"/>
        </w:rPr>
        <w:t xml:space="preserve">. </w:t>
      </w:r>
      <w:r w:rsidR="009D2045" w:rsidRPr="00700758">
        <w:rPr>
          <w:rFonts w:cstheme="minorHAnsi"/>
          <w:sz w:val="24"/>
          <w:szCs w:val="24"/>
        </w:rPr>
        <w:t xml:space="preserve">Prophylaxis against VTE for </w:t>
      </w:r>
      <w:r w:rsidR="00E7340E" w:rsidRPr="00700758">
        <w:rPr>
          <w:rFonts w:cstheme="minorHAnsi"/>
          <w:sz w:val="24"/>
          <w:szCs w:val="24"/>
        </w:rPr>
        <w:t xml:space="preserve">hospitalized </w:t>
      </w:r>
      <w:r w:rsidRPr="00700758">
        <w:rPr>
          <w:rFonts w:cstheme="minorHAnsi"/>
          <w:sz w:val="24"/>
          <w:szCs w:val="24"/>
        </w:rPr>
        <w:t>high-risk</w:t>
      </w:r>
      <w:r w:rsidR="009D2045" w:rsidRPr="00700758">
        <w:rPr>
          <w:rFonts w:cstheme="minorHAnsi"/>
          <w:sz w:val="24"/>
          <w:szCs w:val="24"/>
        </w:rPr>
        <w:t xml:space="preserve"> </w:t>
      </w:r>
      <w:r w:rsidR="00E7340E" w:rsidRPr="00700758">
        <w:rPr>
          <w:rFonts w:cstheme="minorHAnsi"/>
          <w:sz w:val="24"/>
          <w:szCs w:val="24"/>
        </w:rPr>
        <w:t xml:space="preserve">patients </w:t>
      </w:r>
      <w:r w:rsidR="009D2045" w:rsidRPr="00700758">
        <w:rPr>
          <w:rFonts w:cstheme="minorHAnsi"/>
          <w:sz w:val="24"/>
          <w:szCs w:val="24"/>
        </w:rPr>
        <w:t xml:space="preserve">is recommended by </w:t>
      </w:r>
      <w:r w:rsidR="00A3611A" w:rsidRPr="00700758">
        <w:rPr>
          <w:rFonts w:cstheme="minorHAnsi"/>
          <w:sz w:val="24"/>
          <w:szCs w:val="24"/>
        </w:rPr>
        <w:t xml:space="preserve">CHEST and AHS and is associated with reduced hospital acquired VTE events. </w:t>
      </w:r>
      <w:r w:rsidR="00195672" w:rsidRPr="00700758">
        <w:rPr>
          <w:rFonts w:cstheme="minorHAnsi"/>
          <w:sz w:val="24"/>
          <w:szCs w:val="24"/>
        </w:rPr>
        <w:t xml:space="preserve">However, a </w:t>
      </w:r>
      <w:r w:rsidR="0000437F" w:rsidRPr="00700758">
        <w:rPr>
          <w:rFonts w:cstheme="minorHAnsi"/>
          <w:sz w:val="24"/>
          <w:szCs w:val="24"/>
        </w:rPr>
        <w:t xml:space="preserve">deficiency both nationally and internationally </w:t>
      </w:r>
      <w:r w:rsidR="00195672" w:rsidRPr="00700758">
        <w:rPr>
          <w:rFonts w:cstheme="minorHAnsi"/>
          <w:sz w:val="24"/>
          <w:szCs w:val="24"/>
        </w:rPr>
        <w:t>remains in appropriate VTE prophylaxis</w:t>
      </w:r>
      <w:r w:rsidR="0000437F" w:rsidRPr="00700758">
        <w:rPr>
          <w:rFonts w:cstheme="minorHAnsi"/>
          <w:sz w:val="24"/>
          <w:szCs w:val="24"/>
        </w:rPr>
        <w:t xml:space="preserve">. </w:t>
      </w:r>
      <w:r w:rsidR="00135F14" w:rsidRPr="00700758">
        <w:rPr>
          <w:rFonts w:cstheme="minorHAnsi"/>
          <w:sz w:val="24"/>
          <w:szCs w:val="24"/>
        </w:rPr>
        <w:t xml:space="preserve">Understanding deficiencies and trends at KPNC across various populations will help </w:t>
      </w:r>
      <w:r w:rsidR="00CF5874" w:rsidRPr="00700758">
        <w:rPr>
          <w:rFonts w:cstheme="minorHAnsi"/>
          <w:sz w:val="24"/>
          <w:szCs w:val="24"/>
        </w:rPr>
        <w:t>guide efforts to</w:t>
      </w:r>
      <w:r w:rsidR="007C3EC2" w:rsidRPr="00700758">
        <w:rPr>
          <w:rFonts w:cstheme="minorHAnsi"/>
          <w:sz w:val="24"/>
          <w:szCs w:val="24"/>
        </w:rPr>
        <w:t xml:space="preserve"> provide both better and more equitable care.</w:t>
      </w:r>
    </w:p>
    <w:p w14:paraId="4BBF4394" w14:textId="03188884" w:rsidR="00AA5A84" w:rsidRPr="00700758" w:rsidRDefault="00AA5A84" w:rsidP="00643DC2">
      <w:pPr>
        <w:rPr>
          <w:rFonts w:cstheme="minorHAnsi"/>
          <w:sz w:val="24"/>
          <w:szCs w:val="24"/>
        </w:rPr>
      </w:pPr>
      <w:r w:rsidRPr="00700758">
        <w:rPr>
          <w:rFonts w:cstheme="minorHAnsi"/>
          <w:sz w:val="24"/>
          <w:szCs w:val="24"/>
        </w:rPr>
        <w:t>Methods:</w:t>
      </w:r>
      <w:r w:rsidR="007C3EC2" w:rsidRPr="00700758">
        <w:rPr>
          <w:rFonts w:cstheme="minorHAnsi"/>
          <w:sz w:val="24"/>
          <w:szCs w:val="24"/>
        </w:rPr>
        <w:t xml:space="preserve"> Retrospective Serial Cross Sectional Review of </w:t>
      </w:r>
      <w:r w:rsidR="00A35D68" w:rsidRPr="00700758">
        <w:rPr>
          <w:rFonts w:cstheme="minorHAnsi"/>
          <w:sz w:val="24"/>
          <w:szCs w:val="24"/>
        </w:rPr>
        <w:t xml:space="preserve">patients admitted to KPNC hospitals between </w:t>
      </w:r>
      <w:r w:rsidR="009A143E" w:rsidRPr="00700758">
        <w:rPr>
          <w:rFonts w:cstheme="minorHAnsi"/>
          <w:sz w:val="24"/>
          <w:szCs w:val="24"/>
        </w:rPr>
        <w:t>2013</w:t>
      </w:r>
      <w:r w:rsidR="00A35D68" w:rsidRPr="00700758">
        <w:rPr>
          <w:rFonts w:cstheme="minorHAnsi"/>
          <w:sz w:val="24"/>
          <w:szCs w:val="24"/>
        </w:rPr>
        <w:t xml:space="preserve"> and 2019.</w:t>
      </w:r>
      <w:r w:rsidR="002C0A38" w:rsidRPr="00700758">
        <w:rPr>
          <w:rFonts w:cstheme="minorHAnsi"/>
          <w:sz w:val="24"/>
          <w:szCs w:val="24"/>
        </w:rPr>
        <w:t xml:space="preserve"> Statistical comparisons will be done using Chi Square and Logistical Regression.</w:t>
      </w:r>
    </w:p>
    <w:p w14:paraId="544755F5" w14:textId="0CCBB2C8" w:rsidR="00AA5A84" w:rsidRPr="00700758" w:rsidRDefault="00AA5A84" w:rsidP="00643DC2">
      <w:pPr>
        <w:rPr>
          <w:rFonts w:cstheme="minorHAnsi"/>
          <w:sz w:val="24"/>
          <w:szCs w:val="24"/>
        </w:rPr>
      </w:pPr>
      <w:r w:rsidRPr="00700758">
        <w:rPr>
          <w:rFonts w:cstheme="minorHAnsi"/>
          <w:sz w:val="24"/>
          <w:szCs w:val="24"/>
        </w:rPr>
        <w:t>Results:</w:t>
      </w:r>
      <w:r w:rsidR="00A35D68" w:rsidRPr="00700758">
        <w:rPr>
          <w:rFonts w:cstheme="minorHAnsi"/>
          <w:sz w:val="24"/>
          <w:szCs w:val="24"/>
        </w:rPr>
        <w:t xml:space="preserve"> </w:t>
      </w:r>
      <w:r w:rsidR="002C0A38" w:rsidRPr="00700758">
        <w:rPr>
          <w:rFonts w:cstheme="minorHAnsi"/>
          <w:sz w:val="24"/>
          <w:szCs w:val="24"/>
        </w:rPr>
        <w:t xml:space="preserve">There was a statistically significant increase in appropriate VTE prophylaxis with time. However, there </w:t>
      </w:r>
      <w:r w:rsidR="005364FA" w:rsidRPr="00700758">
        <w:rPr>
          <w:rFonts w:cstheme="minorHAnsi"/>
          <w:sz w:val="24"/>
          <w:szCs w:val="24"/>
        </w:rPr>
        <w:t>remains</w:t>
      </w:r>
      <w:r w:rsidR="002C0A38" w:rsidRPr="00700758">
        <w:rPr>
          <w:rFonts w:cstheme="minorHAnsi"/>
          <w:sz w:val="24"/>
          <w:szCs w:val="24"/>
        </w:rPr>
        <w:t xml:space="preserve"> a large gap and need for further improvement especially in minority populations.</w:t>
      </w:r>
    </w:p>
    <w:p w14:paraId="68347785" w14:textId="19372BD7" w:rsidR="00AA5A84" w:rsidRPr="00700758" w:rsidRDefault="00AA5A84" w:rsidP="00643DC2">
      <w:pPr>
        <w:rPr>
          <w:rFonts w:cstheme="minorHAnsi"/>
          <w:sz w:val="24"/>
          <w:szCs w:val="24"/>
        </w:rPr>
      </w:pPr>
      <w:r w:rsidRPr="00700758">
        <w:rPr>
          <w:rFonts w:cstheme="minorHAnsi"/>
          <w:sz w:val="24"/>
          <w:szCs w:val="24"/>
        </w:rPr>
        <w:t>Conclusions:</w:t>
      </w:r>
      <w:r w:rsidR="002C0A38" w:rsidRPr="00700758">
        <w:rPr>
          <w:rFonts w:cstheme="minorHAnsi"/>
          <w:sz w:val="24"/>
          <w:szCs w:val="24"/>
        </w:rPr>
        <w:t xml:space="preserve"> We’ve identified current trends in appropriate VTE prophylaxis for patients admitted to KPNC.</w:t>
      </w:r>
      <w:r w:rsidR="001E637E" w:rsidRPr="00700758">
        <w:rPr>
          <w:rFonts w:cstheme="minorHAnsi"/>
          <w:sz w:val="24"/>
          <w:szCs w:val="24"/>
        </w:rPr>
        <w:t xml:space="preserve"> In doing so</w:t>
      </w:r>
      <w:r w:rsidR="00252F56" w:rsidRPr="00700758">
        <w:rPr>
          <w:rFonts w:cstheme="minorHAnsi"/>
          <w:sz w:val="24"/>
          <w:szCs w:val="24"/>
        </w:rPr>
        <w:t>, we found a</w:t>
      </w:r>
      <w:r w:rsidR="001E637E" w:rsidRPr="00700758">
        <w:rPr>
          <w:rFonts w:cstheme="minorHAnsi"/>
          <w:sz w:val="24"/>
          <w:szCs w:val="24"/>
        </w:rPr>
        <w:t xml:space="preserve"> a deficiency in adequate HA-VTE prevention for a large group of patients especially minority patients.</w:t>
      </w:r>
      <w:r w:rsidR="002C0A38" w:rsidRPr="00700758">
        <w:rPr>
          <w:rFonts w:cstheme="minorHAnsi"/>
          <w:sz w:val="24"/>
          <w:szCs w:val="24"/>
        </w:rPr>
        <w:t xml:space="preserve"> </w:t>
      </w:r>
      <w:r w:rsidR="001E637E" w:rsidRPr="00700758">
        <w:rPr>
          <w:rFonts w:cstheme="minorHAnsi"/>
          <w:sz w:val="24"/>
          <w:szCs w:val="24"/>
        </w:rPr>
        <w:t>Future efforts to</w:t>
      </w:r>
      <w:r w:rsidR="00252F56" w:rsidRPr="00700758">
        <w:rPr>
          <w:rFonts w:cstheme="minorHAnsi"/>
          <w:sz w:val="24"/>
          <w:szCs w:val="24"/>
        </w:rPr>
        <w:t xml:space="preserve"> address deficiencies using validated clinical decision support tools can be used and impact tracked. </w:t>
      </w:r>
    </w:p>
    <w:p w14:paraId="08C8DF88" w14:textId="7E04BD57" w:rsidR="00E4233D" w:rsidRPr="00700758" w:rsidRDefault="00E4233D" w:rsidP="003D2437">
      <w:pPr>
        <w:rPr>
          <w:rFonts w:cstheme="minorHAnsi"/>
          <w:sz w:val="24"/>
          <w:szCs w:val="24"/>
        </w:rPr>
      </w:pPr>
      <w:r w:rsidRPr="00700758">
        <w:rPr>
          <w:rFonts w:cstheme="minorHAnsi"/>
          <w:sz w:val="24"/>
          <w:szCs w:val="24"/>
        </w:rPr>
        <w:t>Research Question</w:t>
      </w:r>
      <w:r w:rsidR="003D2437" w:rsidRPr="00700758">
        <w:rPr>
          <w:rFonts w:cstheme="minorHAnsi"/>
          <w:sz w:val="24"/>
          <w:szCs w:val="24"/>
        </w:rPr>
        <w:t>:</w:t>
      </w:r>
    </w:p>
    <w:p w14:paraId="62733AC8" w14:textId="091A3BAD" w:rsidR="00E4233D" w:rsidRPr="00700758" w:rsidRDefault="00E4233D" w:rsidP="003D2437">
      <w:pPr>
        <w:rPr>
          <w:rFonts w:cstheme="minorHAnsi"/>
          <w:sz w:val="24"/>
          <w:szCs w:val="24"/>
        </w:rPr>
      </w:pPr>
      <w:r w:rsidRPr="00700758">
        <w:rPr>
          <w:rFonts w:cstheme="minorHAnsi"/>
          <w:sz w:val="24"/>
          <w:szCs w:val="24"/>
        </w:rPr>
        <w:t>What is the current gap in practice for VTE prophylaxis among hospitalized non critically ill medicine patients</w:t>
      </w:r>
      <w:r w:rsidR="007006EA" w:rsidRPr="00700758">
        <w:rPr>
          <w:rFonts w:cstheme="minorHAnsi"/>
          <w:sz w:val="24"/>
          <w:szCs w:val="24"/>
        </w:rPr>
        <w:t xml:space="preserve"> and how has this gap changed with time?</w:t>
      </w:r>
    </w:p>
    <w:p w14:paraId="13CDD1D9" w14:textId="1BE9C009" w:rsidR="00B80D85" w:rsidRPr="00700758" w:rsidRDefault="00B80D85" w:rsidP="00B80D85">
      <w:pPr>
        <w:rPr>
          <w:rFonts w:cstheme="minorHAnsi"/>
          <w:sz w:val="24"/>
          <w:szCs w:val="24"/>
        </w:rPr>
      </w:pPr>
      <w:r w:rsidRPr="00700758">
        <w:rPr>
          <w:rFonts w:cstheme="minorHAnsi"/>
          <w:sz w:val="24"/>
          <w:szCs w:val="24"/>
        </w:rPr>
        <w:t>Research Aims</w:t>
      </w:r>
      <w:r w:rsidR="00CB3CE7" w:rsidRPr="00700758">
        <w:rPr>
          <w:rFonts w:cstheme="minorHAnsi"/>
          <w:sz w:val="24"/>
          <w:szCs w:val="24"/>
        </w:rPr>
        <w:t>:</w:t>
      </w:r>
    </w:p>
    <w:p w14:paraId="1E09094B" w14:textId="43B67446" w:rsidR="00B80D85" w:rsidRPr="00700758" w:rsidRDefault="00B80D85" w:rsidP="00B80D85">
      <w:pPr>
        <w:pStyle w:val="ListParagraph"/>
        <w:numPr>
          <w:ilvl w:val="0"/>
          <w:numId w:val="4"/>
        </w:numPr>
        <w:rPr>
          <w:rFonts w:cstheme="minorHAnsi"/>
          <w:sz w:val="24"/>
          <w:szCs w:val="24"/>
        </w:rPr>
      </w:pPr>
      <w:r w:rsidRPr="00700758">
        <w:rPr>
          <w:rFonts w:cstheme="minorHAnsi"/>
          <w:sz w:val="24"/>
          <w:szCs w:val="24"/>
        </w:rPr>
        <w:t>What proportion of patients appropriate received VTE prophylaxis?</w:t>
      </w:r>
    </w:p>
    <w:p w14:paraId="473A4B5B" w14:textId="1162A56A" w:rsidR="00D01666" w:rsidRPr="00700758" w:rsidRDefault="00D01666" w:rsidP="00B80D85">
      <w:pPr>
        <w:pStyle w:val="ListParagraph"/>
        <w:numPr>
          <w:ilvl w:val="0"/>
          <w:numId w:val="4"/>
        </w:numPr>
        <w:rPr>
          <w:rFonts w:cstheme="minorHAnsi"/>
          <w:sz w:val="24"/>
          <w:szCs w:val="24"/>
        </w:rPr>
      </w:pPr>
      <w:r w:rsidRPr="00700758">
        <w:rPr>
          <w:rFonts w:cstheme="minorHAnsi"/>
          <w:sz w:val="24"/>
          <w:szCs w:val="24"/>
        </w:rPr>
        <w:t xml:space="preserve">What proportion </w:t>
      </w:r>
      <w:r w:rsidR="004B6977" w:rsidRPr="00700758">
        <w:rPr>
          <w:rFonts w:cstheme="minorHAnsi"/>
          <w:sz w:val="24"/>
          <w:szCs w:val="24"/>
        </w:rPr>
        <w:t xml:space="preserve">of patients </w:t>
      </w:r>
      <w:r w:rsidR="00F31E83" w:rsidRPr="00700758">
        <w:rPr>
          <w:rFonts w:cstheme="minorHAnsi"/>
          <w:sz w:val="24"/>
          <w:szCs w:val="24"/>
        </w:rPr>
        <w:t xml:space="preserve">received </w:t>
      </w:r>
      <w:r w:rsidR="00B80D85" w:rsidRPr="00700758">
        <w:rPr>
          <w:rFonts w:cstheme="minorHAnsi"/>
          <w:sz w:val="24"/>
          <w:szCs w:val="24"/>
        </w:rPr>
        <w:t xml:space="preserve">VTE </w:t>
      </w:r>
      <w:r w:rsidR="00F31E83" w:rsidRPr="00700758">
        <w:rPr>
          <w:rFonts w:cstheme="minorHAnsi"/>
          <w:sz w:val="24"/>
          <w:szCs w:val="24"/>
        </w:rPr>
        <w:t>prophylaxis in general?</w:t>
      </w:r>
    </w:p>
    <w:p w14:paraId="4AD2D3B4" w14:textId="7178CC38" w:rsidR="00F31E83" w:rsidRPr="00700758" w:rsidRDefault="00F31E83" w:rsidP="00B80D85">
      <w:pPr>
        <w:pStyle w:val="ListParagraph"/>
        <w:numPr>
          <w:ilvl w:val="0"/>
          <w:numId w:val="1"/>
        </w:numPr>
        <w:rPr>
          <w:rFonts w:cstheme="minorHAnsi"/>
          <w:sz w:val="24"/>
          <w:szCs w:val="24"/>
        </w:rPr>
      </w:pPr>
      <w:r w:rsidRPr="00700758">
        <w:rPr>
          <w:rFonts w:cstheme="minorHAnsi"/>
          <w:sz w:val="24"/>
          <w:szCs w:val="24"/>
        </w:rPr>
        <w:t>Is there an interaction with any of the above in relation to time?</w:t>
      </w:r>
    </w:p>
    <w:p w14:paraId="423F6DF7" w14:textId="2FA9E98F" w:rsidR="00CB3CE7" w:rsidRPr="00700758" w:rsidRDefault="00CB3CE7" w:rsidP="00CB3CE7">
      <w:pPr>
        <w:rPr>
          <w:rFonts w:cstheme="minorHAnsi"/>
          <w:sz w:val="24"/>
          <w:szCs w:val="24"/>
        </w:rPr>
      </w:pPr>
      <w:r w:rsidRPr="00700758">
        <w:rPr>
          <w:rFonts w:cstheme="minorHAnsi"/>
          <w:sz w:val="24"/>
          <w:szCs w:val="24"/>
        </w:rPr>
        <w:t>Significance:</w:t>
      </w:r>
    </w:p>
    <w:p w14:paraId="72647420" w14:textId="0EAA9BD6" w:rsidR="00CB3CE7" w:rsidRPr="00700758" w:rsidRDefault="00CB3CE7" w:rsidP="00FB220F">
      <w:pPr>
        <w:pStyle w:val="ListParagraph"/>
        <w:numPr>
          <w:ilvl w:val="0"/>
          <w:numId w:val="5"/>
        </w:numPr>
        <w:spacing w:line="256" w:lineRule="auto"/>
        <w:rPr>
          <w:rFonts w:cstheme="minorHAnsi"/>
          <w:sz w:val="24"/>
          <w:szCs w:val="24"/>
        </w:rPr>
      </w:pPr>
      <w:r w:rsidRPr="00700758">
        <w:rPr>
          <w:rFonts w:cstheme="minorHAnsi"/>
          <w:color w:val="212529"/>
          <w:sz w:val="24"/>
          <w:szCs w:val="24"/>
          <w:shd w:val="clear" w:color="auto" w:fill="FFFFFF"/>
        </w:rPr>
        <w:t>Venous thromboembolism has been identified as a major cause of death in the United States with incidence of roughly 300k annually (</w:t>
      </w:r>
      <w:proofErr w:type="spellStart"/>
      <w:r w:rsidRPr="00700758">
        <w:rPr>
          <w:rFonts w:cstheme="minorHAnsi"/>
          <w:color w:val="212529"/>
          <w:sz w:val="24"/>
          <w:szCs w:val="24"/>
          <w:shd w:val="clear" w:color="auto" w:fill="FFFFFF"/>
        </w:rPr>
        <w:t>Decousus</w:t>
      </w:r>
      <w:proofErr w:type="spellEnd"/>
      <w:r w:rsidRPr="00700758">
        <w:rPr>
          <w:rFonts w:cstheme="minorHAnsi"/>
          <w:color w:val="212529"/>
          <w:sz w:val="24"/>
          <w:szCs w:val="24"/>
          <w:shd w:val="clear" w:color="auto" w:fill="FFFFFF"/>
        </w:rPr>
        <w:t xml:space="preserve"> et al). It is estimated that roughly 50% of all VTE can be attributed to prior hospitalization, termed hospital associated VTE (</w:t>
      </w:r>
      <w:proofErr w:type="spellStart"/>
      <w:r w:rsidRPr="00700758">
        <w:rPr>
          <w:rFonts w:cstheme="minorHAnsi"/>
          <w:color w:val="212529"/>
          <w:sz w:val="24"/>
          <w:szCs w:val="24"/>
          <w:shd w:val="clear" w:color="auto" w:fill="FFFFFF"/>
        </w:rPr>
        <w:t>Shunemann</w:t>
      </w:r>
      <w:proofErr w:type="spellEnd"/>
      <w:r w:rsidRPr="00700758">
        <w:rPr>
          <w:rFonts w:cstheme="minorHAnsi"/>
          <w:color w:val="212529"/>
          <w:sz w:val="24"/>
          <w:szCs w:val="24"/>
          <w:shd w:val="clear" w:color="auto" w:fill="FFFFFF"/>
        </w:rPr>
        <w:t xml:space="preserve"> et al). Observational research has developed risk scores such as the PADUA and IMPROVE-VTE to identify hospitalized medical patients at risk of developing HA-VTE (</w:t>
      </w:r>
      <w:proofErr w:type="spellStart"/>
      <w:r w:rsidRPr="00700758">
        <w:rPr>
          <w:rFonts w:cstheme="minorHAnsi"/>
          <w:color w:val="212529"/>
          <w:sz w:val="24"/>
          <w:szCs w:val="24"/>
          <w:shd w:val="clear" w:color="auto" w:fill="FFFFFF"/>
        </w:rPr>
        <w:t>Barbar</w:t>
      </w:r>
      <w:proofErr w:type="spellEnd"/>
      <w:r w:rsidRPr="00700758">
        <w:rPr>
          <w:rFonts w:cstheme="minorHAnsi"/>
          <w:color w:val="212529"/>
          <w:sz w:val="24"/>
          <w:szCs w:val="24"/>
          <w:shd w:val="clear" w:color="auto" w:fill="FFFFFF"/>
        </w:rPr>
        <w:t xml:space="preserve"> et al., Spyropoulos et al.). </w:t>
      </w:r>
    </w:p>
    <w:p w14:paraId="09D5607B" w14:textId="02DDFC57" w:rsidR="00FB0B44" w:rsidRPr="00700758" w:rsidRDefault="00CB3CE7" w:rsidP="00FB220F">
      <w:pPr>
        <w:pStyle w:val="ListParagraph"/>
        <w:numPr>
          <w:ilvl w:val="0"/>
          <w:numId w:val="5"/>
        </w:numPr>
        <w:spacing w:line="256" w:lineRule="auto"/>
        <w:rPr>
          <w:rFonts w:cstheme="minorHAnsi"/>
          <w:sz w:val="24"/>
          <w:szCs w:val="24"/>
        </w:rPr>
      </w:pPr>
      <w:r w:rsidRPr="00700758">
        <w:rPr>
          <w:rFonts w:cstheme="minorHAnsi"/>
          <w:color w:val="212529"/>
          <w:sz w:val="24"/>
          <w:szCs w:val="24"/>
          <w:shd w:val="clear" w:color="auto" w:fill="FFFFFF"/>
        </w:rPr>
        <w:lastRenderedPageBreak/>
        <w:t>Limitations in the adoption of risk scores for appropriate VTE prophylaxis include disruption in hospital physician’s workflow and as such,</w:t>
      </w:r>
      <w:r w:rsidRPr="00700758">
        <w:rPr>
          <w:rFonts w:cstheme="minorHAnsi"/>
          <w:sz w:val="24"/>
          <w:szCs w:val="24"/>
        </w:rPr>
        <w:t xml:space="preserve"> VTE prophylaxis is accepted to be either underutilized in those at high risk or possibly overutilized in those with high bleeding risk. While some data exists on the current state of VTE </w:t>
      </w:r>
      <w:proofErr w:type="spellStart"/>
      <w:r w:rsidRPr="00700758">
        <w:rPr>
          <w:rFonts w:cstheme="minorHAnsi"/>
          <w:sz w:val="24"/>
          <w:szCs w:val="24"/>
        </w:rPr>
        <w:t>ppx</w:t>
      </w:r>
      <w:proofErr w:type="spellEnd"/>
      <w:r w:rsidRPr="00700758">
        <w:rPr>
          <w:rFonts w:cstheme="minorHAnsi"/>
          <w:sz w:val="24"/>
          <w:szCs w:val="24"/>
        </w:rPr>
        <w:t xml:space="preserve"> in medical patients within the past 5 years, these studies are either low in sample number or fail to show comparable trends over time (</w:t>
      </w:r>
      <w:proofErr w:type="spellStart"/>
      <w:r w:rsidRPr="00700758">
        <w:rPr>
          <w:rFonts w:cstheme="minorHAnsi"/>
          <w:sz w:val="24"/>
          <w:szCs w:val="24"/>
        </w:rPr>
        <w:t>Visberg</w:t>
      </w:r>
      <w:proofErr w:type="spellEnd"/>
      <w:r w:rsidRPr="00700758">
        <w:rPr>
          <w:rFonts w:cstheme="minorHAnsi"/>
          <w:sz w:val="24"/>
          <w:szCs w:val="24"/>
        </w:rPr>
        <w:t xml:space="preserve"> et al, Jaspers et al, </w:t>
      </w:r>
      <w:proofErr w:type="spellStart"/>
      <w:r w:rsidRPr="00700758">
        <w:rPr>
          <w:rFonts w:cstheme="minorHAnsi"/>
          <w:sz w:val="24"/>
          <w:szCs w:val="24"/>
        </w:rPr>
        <w:t>Joharimogha</w:t>
      </w:r>
      <w:proofErr w:type="spellEnd"/>
      <w:r w:rsidRPr="00700758">
        <w:rPr>
          <w:rFonts w:cstheme="minorHAnsi"/>
          <w:sz w:val="24"/>
          <w:szCs w:val="24"/>
        </w:rPr>
        <w:t xml:space="preserve"> et al. Mahlab </w:t>
      </w:r>
      <w:proofErr w:type="spellStart"/>
      <w:r w:rsidRPr="00700758">
        <w:rPr>
          <w:rFonts w:cstheme="minorHAnsi"/>
          <w:sz w:val="24"/>
          <w:szCs w:val="24"/>
        </w:rPr>
        <w:t>Guri</w:t>
      </w:r>
      <w:proofErr w:type="spellEnd"/>
      <w:r w:rsidRPr="00700758">
        <w:rPr>
          <w:rFonts w:cstheme="minorHAnsi"/>
          <w:sz w:val="24"/>
          <w:szCs w:val="24"/>
        </w:rPr>
        <w:t xml:space="preserve"> et al). </w:t>
      </w:r>
    </w:p>
    <w:p w14:paraId="754D8422" w14:textId="708C7F84" w:rsidR="00CB3CE7" w:rsidRPr="00700758" w:rsidRDefault="00CB3CE7" w:rsidP="00FB220F">
      <w:pPr>
        <w:pStyle w:val="ListParagraph"/>
        <w:numPr>
          <w:ilvl w:val="0"/>
          <w:numId w:val="5"/>
        </w:numPr>
        <w:spacing w:line="256" w:lineRule="auto"/>
        <w:rPr>
          <w:rFonts w:cstheme="minorHAnsi"/>
          <w:sz w:val="24"/>
          <w:szCs w:val="24"/>
        </w:rPr>
      </w:pPr>
      <w:r w:rsidRPr="00700758">
        <w:rPr>
          <w:rFonts w:cstheme="minorHAnsi"/>
          <w:sz w:val="24"/>
          <w:szCs w:val="24"/>
        </w:rPr>
        <w:t>More data is needed to know if there has been adoption of evidence based VTE prophylaxis since widespread dissemination of societal guidelines and recommendations. Such can be explored through retrospective</w:t>
      </w:r>
      <w:r w:rsidR="00BF6E4E" w:rsidRPr="00700758">
        <w:rPr>
          <w:rFonts w:cstheme="minorHAnsi"/>
          <w:sz w:val="24"/>
          <w:szCs w:val="24"/>
        </w:rPr>
        <w:t xml:space="preserve"> yearly</w:t>
      </w:r>
      <w:r w:rsidRPr="00700758">
        <w:rPr>
          <w:rFonts w:cstheme="minorHAnsi"/>
          <w:sz w:val="24"/>
          <w:szCs w:val="24"/>
        </w:rPr>
        <w:t xml:space="preserve"> review </w:t>
      </w:r>
      <w:r w:rsidRPr="00700758">
        <w:rPr>
          <w:rFonts w:cstheme="minorHAnsi"/>
          <w:color w:val="212529"/>
          <w:sz w:val="24"/>
          <w:szCs w:val="24"/>
          <w:shd w:val="clear" w:color="auto" w:fill="FFFFFF"/>
        </w:rPr>
        <w:t>of prescribing trends at Kaiser Permanente Northern California from</w:t>
      </w:r>
      <w:r w:rsidR="00BF6E4E" w:rsidRPr="00700758">
        <w:rPr>
          <w:rFonts w:cstheme="minorHAnsi"/>
          <w:color w:val="212529"/>
          <w:sz w:val="24"/>
          <w:szCs w:val="24"/>
          <w:shd w:val="clear" w:color="auto" w:fill="FFFFFF"/>
        </w:rPr>
        <w:t xml:space="preserve"> XXX to 2019</w:t>
      </w:r>
      <w:r w:rsidRPr="00700758">
        <w:rPr>
          <w:rFonts w:cstheme="minorHAnsi"/>
          <w:color w:val="212529"/>
          <w:sz w:val="24"/>
          <w:szCs w:val="24"/>
          <w:shd w:val="clear" w:color="auto" w:fill="FFFFFF"/>
        </w:rPr>
        <w:t xml:space="preserve">. Delineating these trends may help in understanding the potential need and impact </w:t>
      </w:r>
      <w:r w:rsidR="007A7241" w:rsidRPr="00700758">
        <w:rPr>
          <w:rFonts w:cstheme="minorHAnsi"/>
          <w:color w:val="212529"/>
          <w:sz w:val="24"/>
          <w:szCs w:val="24"/>
          <w:shd w:val="clear" w:color="auto" w:fill="FFFFFF"/>
        </w:rPr>
        <w:t>of methods to address deficiencies such as</w:t>
      </w:r>
      <w:r w:rsidRPr="00700758">
        <w:rPr>
          <w:rFonts w:cstheme="minorHAnsi"/>
          <w:color w:val="212529"/>
          <w:sz w:val="24"/>
          <w:szCs w:val="24"/>
          <w:shd w:val="clear" w:color="auto" w:fill="FFFFFF"/>
        </w:rPr>
        <w:t xml:space="preserve"> a clinical decision tool in changing practice within a large integrated health care system. Other interesting secondary predictors, include whether prescribing trends are affected by patient race. If so, it would be interesting to see if race blind manual risk assessment scores or automated clinical decision support tools can provide more equitable care. Information gleaned from this review will help with current efforts to develop and refine a clinical decision support tool to identify patients admitted to KPNC at high risk of HA-VTE and help admitting physicians by auto calculating their risk score and providing order recommendations as part of the initial admission order set.  The development and use of this technology will help improve the rates of appropriate VTE prophylaxis for those most at need with the lowest risk of bleeding and in doing so hopefully provide both better and more equitable care.</w:t>
      </w:r>
    </w:p>
    <w:p w14:paraId="2471EDC4" w14:textId="77777777" w:rsidR="00CB3CE7" w:rsidRPr="00700758" w:rsidRDefault="00CB3CE7" w:rsidP="00FB0B44">
      <w:pPr>
        <w:pStyle w:val="ListParagraph"/>
        <w:rPr>
          <w:rFonts w:cstheme="minorHAnsi"/>
          <w:sz w:val="24"/>
          <w:szCs w:val="24"/>
        </w:rPr>
      </w:pPr>
    </w:p>
    <w:p w14:paraId="63317C0B" w14:textId="77777777" w:rsidR="00465A08" w:rsidRPr="00700758" w:rsidRDefault="00465A08" w:rsidP="0097638E">
      <w:pPr>
        <w:pStyle w:val="ListParagraph"/>
        <w:ind w:left="1440"/>
        <w:rPr>
          <w:rFonts w:cstheme="minorHAnsi"/>
          <w:sz w:val="24"/>
          <w:szCs w:val="24"/>
        </w:rPr>
      </w:pPr>
    </w:p>
    <w:p w14:paraId="60E92378" w14:textId="77777777" w:rsidR="00FB220F" w:rsidRPr="00700758" w:rsidRDefault="00FB220F" w:rsidP="00FB220F">
      <w:pPr>
        <w:rPr>
          <w:rFonts w:cstheme="minorHAnsi"/>
          <w:sz w:val="24"/>
          <w:szCs w:val="24"/>
        </w:rPr>
      </w:pPr>
      <w:r w:rsidRPr="00700758">
        <w:rPr>
          <w:rFonts w:cstheme="minorHAnsi"/>
          <w:sz w:val="24"/>
          <w:szCs w:val="24"/>
        </w:rPr>
        <w:t>Methods:</w:t>
      </w:r>
    </w:p>
    <w:p w14:paraId="03E1A99D" w14:textId="77777777" w:rsidR="00A35108" w:rsidRPr="00700758" w:rsidRDefault="00A35108" w:rsidP="00FB220F">
      <w:pPr>
        <w:pStyle w:val="ListParagraph"/>
        <w:numPr>
          <w:ilvl w:val="0"/>
          <w:numId w:val="7"/>
        </w:numPr>
        <w:rPr>
          <w:rFonts w:cstheme="minorHAnsi"/>
          <w:sz w:val="24"/>
          <w:szCs w:val="24"/>
        </w:rPr>
      </w:pPr>
      <w:r w:rsidRPr="00700758">
        <w:rPr>
          <w:rFonts w:cstheme="minorHAnsi"/>
          <w:sz w:val="24"/>
          <w:szCs w:val="24"/>
        </w:rPr>
        <w:t>Overview of Design</w:t>
      </w:r>
    </w:p>
    <w:p w14:paraId="51D5B2EB" w14:textId="7D7F6F39" w:rsidR="00E4233D" w:rsidRPr="00700758" w:rsidRDefault="00D64F8D" w:rsidP="00A35108">
      <w:pPr>
        <w:pStyle w:val="ListParagraph"/>
        <w:numPr>
          <w:ilvl w:val="1"/>
          <w:numId w:val="7"/>
        </w:numPr>
        <w:rPr>
          <w:rFonts w:cstheme="minorHAnsi"/>
          <w:sz w:val="24"/>
          <w:szCs w:val="24"/>
        </w:rPr>
      </w:pPr>
      <w:r w:rsidRPr="00700758">
        <w:rPr>
          <w:rFonts w:cstheme="minorHAnsi"/>
          <w:sz w:val="24"/>
          <w:szCs w:val="24"/>
        </w:rPr>
        <w:t xml:space="preserve">Retrospective </w:t>
      </w:r>
      <w:r w:rsidR="00E4233D" w:rsidRPr="00700758">
        <w:rPr>
          <w:rFonts w:cstheme="minorHAnsi"/>
          <w:sz w:val="24"/>
          <w:szCs w:val="24"/>
        </w:rPr>
        <w:t>Serial Cross-Sectional Study</w:t>
      </w:r>
    </w:p>
    <w:p w14:paraId="1CDACA21" w14:textId="2136F43C" w:rsidR="00A35108" w:rsidRPr="00700758" w:rsidRDefault="00A35108" w:rsidP="00A35108">
      <w:pPr>
        <w:pStyle w:val="ListParagraph"/>
        <w:numPr>
          <w:ilvl w:val="1"/>
          <w:numId w:val="7"/>
        </w:numPr>
        <w:rPr>
          <w:rFonts w:cstheme="minorHAnsi"/>
          <w:sz w:val="24"/>
          <w:szCs w:val="24"/>
        </w:rPr>
      </w:pPr>
      <w:r w:rsidRPr="00700758">
        <w:rPr>
          <w:rFonts w:cstheme="minorHAnsi"/>
          <w:sz w:val="24"/>
          <w:szCs w:val="24"/>
        </w:rPr>
        <w:t xml:space="preserve">From </w:t>
      </w:r>
      <w:r w:rsidR="009A143E" w:rsidRPr="00700758">
        <w:rPr>
          <w:rFonts w:cstheme="minorHAnsi"/>
          <w:sz w:val="24"/>
          <w:szCs w:val="24"/>
        </w:rPr>
        <w:t>2013</w:t>
      </w:r>
      <w:r w:rsidRPr="00700758">
        <w:rPr>
          <w:rFonts w:cstheme="minorHAnsi"/>
          <w:sz w:val="24"/>
          <w:szCs w:val="24"/>
        </w:rPr>
        <w:t xml:space="preserve"> to 20</w:t>
      </w:r>
      <w:r w:rsidR="00CF15D2" w:rsidRPr="00700758">
        <w:rPr>
          <w:rFonts w:cstheme="minorHAnsi"/>
          <w:sz w:val="24"/>
          <w:szCs w:val="24"/>
        </w:rPr>
        <w:t>19</w:t>
      </w:r>
    </w:p>
    <w:p w14:paraId="1191D25D" w14:textId="4F1AF2F1" w:rsidR="00A35108" w:rsidRPr="00700758" w:rsidRDefault="00A35108" w:rsidP="00A35108">
      <w:pPr>
        <w:pStyle w:val="ListParagraph"/>
        <w:numPr>
          <w:ilvl w:val="0"/>
          <w:numId w:val="7"/>
        </w:numPr>
        <w:rPr>
          <w:rFonts w:cstheme="minorHAnsi"/>
          <w:sz w:val="24"/>
          <w:szCs w:val="24"/>
        </w:rPr>
      </w:pPr>
      <w:r w:rsidRPr="00700758">
        <w:rPr>
          <w:rFonts w:cstheme="minorHAnsi"/>
          <w:sz w:val="24"/>
          <w:szCs w:val="24"/>
        </w:rPr>
        <w:t>Study subjects</w:t>
      </w:r>
    </w:p>
    <w:p w14:paraId="03496EAD" w14:textId="77777777" w:rsidR="002F2D44" w:rsidRPr="00700758" w:rsidRDefault="00A35108" w:rsidP="00A35108">
      <w:pPr>
        <w:pStyle w:val="ListParagraph"/>
        <w:numPr>
          <w:ilvl w:val="1"/>
          <w:numId w:val="7"/>
        </w:numPr>
        <w:rPr>
          <w:rFonts w:cstheme="minorHAnsi"/>
          <w:sz w:val="24"/>
          <w:szCs w:val="24"/>
        </w:rPr>
      </w:pPr>
      <w:r w:rsidRPr="00700758">
        <w:rPr>
          <w:rFonts w:cstheme="minorHAnsi"/>
          <w:sz w:val="24"/>
          <w:szCs w:val="24"/>
        </w:rPr>
        <w:t>Target population</w:t>
      </w:r>
      <w:r w:rsidR="002F2D44" w:rsidRPr="00700758">
        <w:rPr>
          <w:rFonts w:cstheme="minorHAnsi"/>
          <w:sz w:val="24"/>
          <w:szCs w:val="24"/>
        </w:rPr>
        <w:t>:</w:t>
      </w:r>
    </w:p>
    <w:p w14:paraId="57E6E0A4" w14:textId="5C6792FE" w:rsidR="00A35108" w:rsidRPr="00700758" w:rsidRDefault="009A143E" w:rsidP="002F2D44">
      <w:pPr>
        <w:pStyle w:val="ListParagraph"/>
        <w:numPr>
          <w:ilvl w:val="2"/>
          <w:numId w:val="7"/>
        </w:numPr>
        <w:rPr>
          <w:rFonts w:cstheme="minorHAnsi"/>
          <w:sz w:val="24"/>
          <w:szCs w:val="24"/>
        </w:rPr>
      </w:pPr>
      <w:r w:rsidRPr="00700758">
        <w:rPr>
          <w:rFonts w:cstheme="minorHAnsi"/>
          <w:sz w:val="24"/>
          <w:szCs w:val="24"/>
        </w:rPr>
        <w:t>A</w:t>
      </w:r>
      <w:r w:rsidR="00A35108" w:rsidRPr="00700758">
        <w:rPr>
          <w:rFonts w:cstheme="minorHAnsi"/>
          <w:sz w:val="24"/>
          <w:szCs w:val="24"/>
        </w:rPr>
        <w:t>ll inpatient, non-surgical medical populations hospitalized in the United States</w:t>
      </w:r>
    </w:p>
    <w:p w14:paraId="6B31A3F2" w14:textId="2DE9A116" w:rsidR="002F2D44" w:rsidRPr="00700758" w:rsidRDefault="002F2D44" w:rsidP="002F2D44">
      <w:pPr>
        <w:pStyle w:val="ListParagraph"/>
        <w:numPr>
          <w:ilvl w:val="1"/>
          <w:numId w:val="7"/>
        </w:numPr>
        <w:rPr>
          <w:rFonts w:cstheme="minorHAnsi"/>
          <w:sz w:val="24"/>
          <w:szCs w:val="24"/>
        </w:rPr>
      </w:pPr>
      <w:r w:rsidRPr="00700758">
        <w:rPr>
          <w:rFonts w:cstheme="minorHAnsi"/>
          <w:sz w:val="24"/>
          <w:szCs w:val="24"/>
        </w:rPr>
        <w:t>Accessible population</w:t>
      </w:r>
    </w:p>
    <w:p w14:paraId="76D5957E" w14:textId="6167AA91" w:rsidR="002F2D44" w:rsidRPr="00700758" w:rsidRDefault="002F2D44" w:rsidP="002F2D44">
      <w:pPr>
        <w:pStyle w:val="ListParagraph"/>
        <w:numPr>
          <w:ilvl w:val="2"/>
          <w:numId w:val="7"/>
        </w:numPr>
        <w:rPr>
          <w:rFonts w:cstheme="minorHAnsi"/>
          <w:sz w:val="24"/>
          <w:szCs w:val="24"/>
        </w:rPr>
      </w:pPr>
      <w:r w:rsidRPr="00700758">
        <w:rPr>
          <w:rFonts w:cstheme="minorHAnsi"/>
          <w:sz w:val="24"/>
          <w:szCs w:val="24"/>
        </w:rPr>
        <w:t xml:space="preserve">Kaiser NC inpatients </w:t>
      </w:r>
      <w:r w:rsidR="00881F94" w:rsidRPr="00700758">
        <w:rPr>
          <w:rFonts w:cstheme="minorHAnsi"/>
          <w:sz w:val="24"/>
          <w:szCs w:val="24"/>
        </w:rPr>
        <w:t xml:space="preserve">greater </w:t>
      </w:r>
      <w:r w:rsidR="00F329ED" w:rsidRPr="00700758">
        <w:rPr>
          <w:rFonts w:cstheme="minorHAnsi"/>
          <w:sz w:val="24"/>
          <w:szCs w:val="24"/>
        </w:rPr>
        <w:t>&gt;= 18 years of age hospitalized under HBS or ICU services between 1/1/2013 – 12/31/2019 across all KPNC hospitals including those admitted with inpatient or observation status</w:t>
      </w:r>
    </w:p>
    <w:p w14:paraId="57D38047" w14:textId="58F4F8C9" w:rsidR="002F2D44" w:rsidRPr="00700758" w:rsidRDefault="002F2D44" w:rsidP="002F2D44">
      <w:pPr>
        <w:pStyle w:val="ListParagraph"/>
        <w:numPr>
          <w:ilvl w:val="1"/>
          <w:numId w:val="7"/>
        </w:numPr>
        <w:rPr>
          <w:rFonts w:cstheme="minorHAnsi"/>
          <w:sz w:val="24"/>
          <w:szCs w:val="24"/>
        </w:rPr>
      </w:pPr>
      <w:r w:rsidRPr="00700758">
        <w:rPr>
          <w:rFonts w:cstheme="minorHAnsi"/>
          <w:sz w:val="24"/>
          <w:szCs w:val="24"/>
        </w:rPr>
        <w:t>Sampling, recruiting, retaining subjects</w:t>
      </w:r>
    </w:p>
    <w:p w14:paraId="11ED6C73" w14:textId="3BAE9FAA" w:rsidR="00175F0A" w:rsidRPr="00700758" w:rsidRDefault="002F2D44" w:rsidP="00881F94">
      <w:pPr>
        <w:pStyle w:val="ListParagraph"/>
        <w:numPr>
          <w:ilvl w:val="2"/>
          <w:numId w:val="7"/>
        </w:numPr>
        <w:rPr>
          <w:rFonts w:cstheme="minorHAnsi"/>
          <w:sz w:val="24"/>
          <w:szCs w:val="24"/>
        </w:rPr>
      </w:pPr>
      <w:r w:rsidRPr="00700758">
        <w:rPr>
          <w:rFonts w:cstheme="minorHAnsi"/>
          <w:sz w:val="24"/>
          <w:szCs w:val="24"/>
        </w:rPr>
        <w:t>Retrospective EHR chart review</w:t>
      </w:r>
    </w:p>
    <w:p w14:paraId="5C66342B" w14:textId="77777777" w:rsidR="00175F0A" w:rsidRPr="00700758" w:rsidRDefault="00175F0A" w:rsidP="00175F0A">
      <w:pPr>
        <w:pStyle w:val="ListParagraph"/>
        <w:numPr>
          <w:ilvl w:val="2"/>
          <w:numId w:val="7"/>
        </w:numPr>
        <w:rPr>
          <w:rFonts w:cstheme="minorHAnsi"/>
          <w:sz w:val="24"/>
          <w:szCs w:val="24"/>
        </w:rPr>
      </w:pPr>
      <w:r w:rsidRPr="00700758">
        <w:rPr>
          <w:rFonts w:cstheme="minorHAnsi"/>
          <w:sz w:val="24"/>
          <w:szCs w:val="24"/>
        </w:rPr>
        <w:lastRenderedPageBreak/>
        <w:t>Exclusion criteria</w:t>
      </w:r>
    </w:p>
    <w:p w14:paraId="1D35B8E6" w14:textId="77777777" w:rsidR="00175F0A" w:rsidRPr="00700758" w:rsidRDefault="00175F0A" w:rsidP="00175F0A">
      <w:pPr>
        <w:pStyle w:val="ListParagraph"/>
        <w:numPr>
          <w:ilvl w:val="3"/>
          <w:numId w:val="7"/>
        </w:numPr>
        <w:rPr>
          <w:rFonts w:cstheme="minorHAnsi"/>
          <w:color w:val="FF0000"/>
          <w:sz w:val="24"/>
          <w:szCs w:val="24"/>
        </w:rPr>
      </w:pPr>
      <w:r w:rsidRPr="00700758">
        <w:rPr>
          <w:rFonts w:cstheme="minorHAnsi"/>
          <w:color w:val="FF0000"/>
          <w:sz w:val="24"/>
          <w:szCs w:val="24"/>
        </w:rPr>
        <w:t>Likely not ordered out of standard of care given high bleeding risk</w:t>
      </w:r>
    </w:p>
    <w:p w14:paraId="31032400" w14:textId="77777777" w:rsidR="00175F0A" w:rsidRPr="00700758" w:rsidRDefault="00175F0A" w:rsidP="00175F0A">
      <w:pPr>
        <w:pStyle w:val="ListParagraph"/>
        <w:numPr>
          <w:ilvl w:val="4"/>
          <w:numId w:val="7"/>
        </w:numPr>
        <w:rPr>
          <w:rFonts w:cstheme="minorHAnsi"/>
          <w:color w:val="FF0000"/>
          <w:sz w:val="24"/>
          <w:szCs w:val="24"/>
        </w:rPr>
      </w:pPr>
      <w:r w:rsidRPr="00700758">
        <w:rPr>
          <w:rFonts w:cstheme="minorHAnsi"/>
          <w:color w:val="FF0000"/>
          <w:sz w:val="24"/>
          <w:szCs w:val="24"/>
        </w:rPr>
        <w:t>Admitted for gastrointestinal bleeding</w:t>
      </w:r>
    </w:p>
    <w:p w14:paraId="6088E2AC" w14:textId="77777777" w:rsidR="00175F0A" w:rsidRPr="00700758" w:rsidRDefault="00175F0A" w:rsidP="00175F0A">
      <w:pPr>
        <w:pStyle w:val="ListParagraph"/>
        <w:numPr>
          <w:ilvl w:val="5"/>
          <w:numId w:val="7"/>
        </w:numPr>
        <w:rPr>
          <w:rFonts w:cstheme="minorHAnsi"/>
          <w:color w:val="FF0000"/>
          <w:sz w:val="24"/>
          <w:szCs w:val="24"/>
        </w:rPr>
      </w:pPr>
      <w:r w:rsidRPr="00700758">
        <w:rPr>
          <w:rFonts w:cstheme="minorHAnsi"/>
          <w:b/>
          <w:bCs/>
          <w:color w:val="FF0000"/>
          <w:sz w:val="24"/>
          <w:szCs w:val="24"/>
        </w:rPr>
        <w:t>Problem list ICD code (GIB related)</w:t>
      </w:r>
    </w:p>
    <w:p w14:paraId="7E6CD60B" w14:textId="77777777" w:rsidR="00175F0A" w:rsidRPr="00700758" w:rsidRDefault="00175F0A" w:rsidP="00175F0A">
      <w:pPr>
        <w:pStyle w:val="ListParagraph"/>
        <w:numPr>
          <w:ilvl w:val="5"/>
          <w:numId w:val="7"/>
        </w:numPr>
        <w:rPr>
          <w:rFonts w:cstheme="minorHAnsi"/>
          <w:color w:val="FF0000"/>
          <w:sz w:val="24"/>
          <w:szCs w:val="24"/>
        </w:rPr>
      </w:pPr>
      <w:r w:rsidRPr="00700758">
        <w:rPr>
          <w:rFonts w:cstheme="minorHAnsi"/>
          <w:b/>
          <w:bCs/>
          <w:color w:val="FF0000"/>
          <w:sz w:val="24"/>
          <w:szCs w:val="24"/>
        </w:rPr>
        <w:t>Has ordered PRBC before HBS Admission orderset time</w:t>
      </w:r>
    </w:p>
    <w:p w14:paraId="305C63FA" w14:textId="77777777" w:rsidR="00175F0A" w:rsidRPr="00700758" w:rsidRDefault="00175F0A" w:rsidP="00175F0A">
      <w:pPr>
        <w:pStyle w:val="ListParagraph"/>
        <w:numPr>
          <w:ilvl w:val="4"/>
          <w:numId w:val="7"/>
        </w:numPr>
        <w:rPr>
          <w:rFonts w:cstheme="minorHAnsi"/>
          <w:color w:val="FF0000"/>
          <w:sz w:val="24"/>
          <w:szCs w:val="24"/>
        </w:rPr>
      </w:pPr>
    </w:p>
    <w:p w14:paraId="63742A96" w14:textId="77777777" w:rsidR="00175F0A" w:rsidRPr="00700758" w:rsidRDefault="00175F0A" w:rsidP="00175F0A">
      <w:pPr>
        <w:pStyle w:val="ListParagraph"/>
        <w:numPr>
          <w:ilvl w:val="3"/>
          <w:numId w:val="7"/>
        </w:numPr>
        <w:rPr>
          <w:rFonts w:cstheme="minorHAnsi"/>
          <w:sz w:val="24"/>
          <w:szCs w:val="24"/>
        </w:rPr>
      </w:pPr>
      <w:r w:rsidRPr="00700758">
        <w:rPr>
          <w:rFonts w:cstheme="minorHAnsi"/>
          <w:sz w:val="24"/>
          <w:szCs w:val="24"/>
        </w:rPr>
        <w:t>Current use of therapeutic AC at time of HBS Admission orderset</w:t>
      </w:r>
    </w:p>
    <w:p w14:paraId="7A92A23E" w14:textId="77777777" w:rsidR="00175F0A" w:rsidRPr="00C0250D" w:rsidRDefault="00175F0A" w:rsidP="00175F0A">
      <w:pPr>
        <w:pStyle w:val="ListParagraph"/>
        <w:numPr>
          <w:ilvl w:val="4"/>
          <w:numId w:val="7"/>
        </w:numPr>
        <w:rPr>
          <w:rFonts w:cstheme="minorHAnsi"/>
          <w:color w:val="FF0000"/>
          <w:sz w:val="24"/>
          <w:szCs w:val="24"/>
        </w:rPr>
      </w:pPr>
      <w:r w:rsidRPr="00C0250D">
        <w:rPr>
          <w:rFonts w:cstheme="minorHAnsi"/>
          <w:color w:val="FF0000"/>
          <w:sz w:val="24"/>
          <w:szCs w:val="24"/>
        </w:rPr>
        <w:t>Use same criterion in outcome logic to find cases of HA-VTE to identify cases of therapeutic AC at time of HBS admission orderset</w:t>
      </w:r>
    </w:p>
    <w:p w14:paraId="666717FC" w14:textId="77777777" w:rsidR="00175F0A" w:rsidRPr="00700758" w:rsidRDefault="00175F0A" w:rsidP="00175F0A">
      <w:pPr>
        <w:pStyle w:val="ListParagraph"/>
        <w:numPr>
          <w:ilvl w:val="3"/>
          <w:numId w:val="7"/>
        </w:numPr>
        <w:rPr>
          <w:rFonts w:cstheme="minorHAnsi"/>
          <w:sz w:val="24"/>
          <w:szCs w:val="24"/>
        </w:rPr>
      </w:pPr>
      <w:r w:rsidRPr="00700758">
        <w:rPr>
          <w:rFonts w:cstheme="minorHAnsi"/>
          <w:sz w:val="24"/>
          <w:szCs w:val="24"/>
        </w:rPr>
        <w:t>Admitted to Surgical Service at time of HBS admission orderset (Admit to Surgery)</w:t>
      </w:r>
    </w:p>
    <w:p w14:paraId="6822FE9F" w14:textId="77777777" w:rsidR="00175F0A" w:rsidRPr="00700758" w:rsidRDefault="00175F0A" w:rsidP="00352A95">
      <w:pPr>
        <w:pStyle w:val="ListParagraph"/>
        <w:ind w:left="2160"/>
        <w:rPr>
          <w:rFonts w:cstheme="minorHAnsi"/>
          <w:sz w:val="24"/>
          <w:szCs w:val="24"/>
        </w:rPr>
      </w:pPr>
    </w:p>
    <w:p w14:paraId="7741F29B" w14:textId="5A562887" w:rsidR="002F2D44" w:rsidRPr="00700758" w:rsidRDefault="002F2D44" w:rsidP="002F2D44">
      <w:pPr>
        <w:pStyle w:val="ListParagraph"/>
        <w:numPr>
          <w:ilvl w:val="0"/>
          <w:numId w:val="7"/>
        </w:numPr>
        <w:rPr>
          <w:rFonts w:cstheme="minorHAnsi"/>
          <w:sz w:val="24"/>
          <w:szCs w:val="24"/>
        </w:rPr>
      </w:pPr>
      <w:r w:rsidRPr="00700758">
        <w:rPr>
          <w:rFonts w:cstheme="minorHAnsi"/>
          <w:sz w:val="24"/>
          <w:szCs w:val="24"/>
        </w:rPr>
        <w:t>Measurements</w:t>
      </w:r>
    </w:p>
    <w:p w14:paraId="37DE598E" w14:textId="27107C32" w:rsidR="00EF023E" w:rsidRPr="00700758" w:rsidRDefault="002F2D44" w:rsidP="00E4233D">
      <w:pPr>
        <w:pStyle w:val="ListParagraph"/>
        <w:numPr>
          <w:ilvl w:val="1"/>
          <w:numId w:val="1"/>
        </w:numPr>
        <w:rPr>
          <w:rFonts w:cstheme="minorHAnsi"/>
          <w:sz w:val="24"/>
          <w:szCs w:val="24"/>
        </w:rPr>
      </w:pPr>
      <w:r w:rsidRPr="00700758">
        <w:rPr>
          <w:rFonts w:cstheme="minorHAnsi"/>
          <w:sz w:val="24"/>
          <w:szCs w:val="24"/>
        </w:rPr>
        <w:t>Predictor Variables</w:t>
      </w:r>
    </w:p>
    <w:p w14:paraId="3E794DE6" w14:textId="1A344C0C" w:rsidR="00D54924" w:rsidRPr="00700758" w:rsidRDefault="00D54924" w:rsidP="00D54924">
      <w:pPr>
        <w:pStyle w:val="ListParagraph"/>
        <w:numPr>
          <w:ilvl w:val="2"/>
          <w:numId w:val="1"/>
        </w:numPr>
        <w:rPr>
          <w:rFonts w:cstheme="minorHAnsi"/>
          <w:sz w:val="24"/>
          <w:szCs w:val="24"/>
        </w:rPr>
      </w:pPr>
      <w:r w:rsidRPr="00700758">
        <w:rPr>
          <w:rFonts w:cstheme="minorHAnsi"/>
          <w:sz w:val="24"/>
          <w:szCs w:val="24"/>
        </w:rPr>
        <w:t>Primary</w:t>
      </w:r>
    </w:p>
    <w:p w14:paraId="58A32E85" w14:textId="63561C95" w:rsidR="00DB2B94" w:rsidRPr="00700758" w:rsidRDefault="00ED2E86" w:rsidP="00D54924">
      <w:pPr>
        <w:pStyle w:val="ListParagraph"/>
        <w:numPr>
          <w:ilvl w:val="3"/>
          <w:numId w:val="1"/>
        </w:numPr>
        <w:rPr>
          <w:rFonts w:cstheme="minorHAnsi"/>
          <w:sz w:val="24"/>
          <w:szCs w:val="24"/>
        </w:rPr>
      </w:pPr>
      <w:r w:rsidRPr="00700758">
        <w:rPr>
          <w:rFonts w:cstheme="minorHAnsi"/>
          <w:sz w:val="24"/>
          <w:szCs w:val="24"/>
        </w:rPr>
        <w:t>Serial years</w:t>
      </w:r>
      <w:r w:rsidR="003B3A2C" w:rsidRPr="00700758">
        <w:rPr>
          <w:rFonts w:cstheme="minorHAnsi"/>
          <w:sz w:val="24"/>
          <w:szCs w:val="24"/>
        </w:rPr>
        <w:t xml:space="preserve"> </w:t>
      </w:r>
      <w:r w:rsidR="00DB2B94" w:rsidRPr="00700758">
        <w:rPr>
          <w:rFonts w:cstheme="minorHAnsi"/>
          <w:sz w:val="24"/>
          <w:szCs w:val="24"/>
        </w:rPr>
        <w:t xml:space="preserve">from </w:t>
      </w:r>
      <w:r w:rsidRPr="00700758">
        <w:rPr>
          <w:rFonts w:cstheme="minorHAnsi"/>
          <w:sz w:val="24"/>
          <w:szCs w:val="24"/>
        </w:rPr>
        <w:t>2013</w:t>
      </w:r>
      <w:r w:rsidR="00DB2B94" w:rsidRPr="00700758">
        <w:rPr>
          <w:rFonts w:cstheme="minorHAnsi"/>
          <w:sz w:val="24"/>
          <w:szCs w:val="24"/>
        </w:rPr>
        <w:t xml:space="preserve"> to 2019</w:t>
      </w:r>
    </w:p>
    <w:p w14:paraId="7993711E" w14:textId="3AFD5B50" w:rsidR="00D54924" w:rsidRPr="00700758" w:rsidRDefault="00D54924" w:rsidP="00D54924">
      <w:pPr>
        <w:pStyle w:val="ListParagraph"/>
        <w:numPr>
          <w:ilvl w:val="2"/>
          <w:numId w:val="1"/>
        </w:numPr>
        <w:rPr>
          <w:rFonts w:cstheme="minorHAnsi"/>
          <w:sz w:val="24"/>
          <w:szCs w:val="24"/>
        </w:rPr>
      </w:pPr>
      <w:r w:rsidRPr="00700758">
        <w:rPr>
          <w:rFonts w:cstheme="minorHAnsi"/>
          <w:sz w:val="24"/>
          <w:szCs w:val="24"/>
        </w:rPr>
        <w:t xml:space="preserve">Secondary </w:t>
      </w:r>
    </w:p>
    <w:p w14:paraId="63F80D64" w14:textId="77777777" w:rsidR="00D54924" w:rsidRPr="00700758" w:rsidRDefault="00D54924" w:rsidP="00D54924">
      <w:pPr>
        <w:pStyle w:val="ListParagraph"/>
        <w:numPr>
          <w:ilvl w:val="3"/>
          <w:numId w:val="1"/>
        </w:numPr>
        <w:rPr>
          <w:rFonts w:cstheme="minorHAnsi"/>
          <w:sz w:val="24"/>
          <w:szCs w:val="24"/>
        </w:rPr>
      </w:pPr>
      <w:r w:rsidRPr="00700758">
        <w:rPr>
          <w:rFonts w:cstheme="minorHAnsi"/>
          <w:sz w:val="24"/>
          <w:szCs w:val="24"/>
        </w:rPr>
        <w:t>Race</w:t>
      </w:r>
    </w:p>
    <w:p w14:paraId="3E26A712" w14:textId="77777777" w:rsidR="00D54924" w:rsidRPr="00700758" w:rsidRDefault="00D54924" w:rsidP="00D54924">
      <w:pPr>
        <w:pStyle w:val="ListParagraph"/>
        <w:numPr>
          <w:ilvl w:val="4"/>
          <w:numId w:val="1"/>
        </w:numPr>
        <w:rPr>
          <w:rFonts w:cstheme="minorHAnsi"/>
          <w:sz w:val="24"/>
          <w:szCs w:val="24"/>
        </w:rPr>
      </w:pPr>
      <w:r w:rsidRPr="00700758">
        <w:rPr>
          <w:rFonts w:cstheme="minorHAnsi"/>
          <w:sz w:val="24"/>
          <w:szCs w:val="24"/>
        </w:rPr>
        <w:t>Black or African American</w:t>
      </w:r>
    </w:p>
    <w:p w14:paraId="6BE42D09" w14:textId="77777777" w:rsidR="00D54924" w:rsidRPr="00700758" w:rsidRDefault="00D54924" w:rsidP="00D54924">
      <w:pPr>
        <w:pStyle w:val="ListParagraph"/>
        <w:numPr>
          <w:ilvl w:val="4"/>
          <w:numId w:val="1"/>
        </w:numPr>
        <w:rPr>
          <w:rFonts w:cstheme="minorHAnsi"/>
          <w:sz w:val="24"/>
          <w:szCs w:val="24"/>
        </w:rPr>
      </w:pPr>
      <w:r w:rsidRPr="00700758">
        <w:rPr>
          <w:rFonts w:cstheme="minorHAnsi"/>
          <w:sz w:val="24"/>
          <w:szCs w:val="24"/>
        </w:rPr>
        <w:t>Asian</w:t>
      </w:r>
    </w:p>
    <w:p w14:paraId="2BA0A7C2" w14:textId="77777777" w:rsidR="00D54924" w:rsidRPr="00700758" w:rsidRDefault="00D54924" w:rsidP="00D54924">
      <w:pPr>
        <w:pStyle w:val="ListParagraph"/>
        <w:numPr>
          <w:ilvl w:val="4"/>
          <w:numId w:val="1"/>
        </w:numPr>
        <w:rPr>
          <w:rFonts w:cstheme="minorHAnsi"/>
          <w:sz w:val="24"/>
          <w:szCs w:val="24"/>
        </w:rPr>
      </w:pPr>
      <w:r w:rsidRPr="00700758">
        <w:rPr>
          <w:rFonts w:cstheme="minorHAnsi"/>
          <w:sz w:val="24"/>
          <w:szCs w:val="24"/>
        </w:rPr>
        <w:t>American Indian or Alaska Native</w:t>
      </w:r>
    </w:p>
    <w:p w14:paraId="4D50901F" w14:textId="77777777" w:rsidR="00D54924" w:rsidRPr="00700758" w:rsidRDefault="00D54924" w:rsidP="00D54924">
      <w:pPr>
        <w:pStyle w:val="ListParagraph"/>
        <w:numPr>
          <w:ilvl w:val="4"/>
          <w:numId w:val="1"/>
        </w:numPr>
        <w:rPr>
          <w:rFonts w:cstheme="minorHAnsi"/>
          <w:sz w:val="24"/>
          <w:szCs w:val="24"/>
        </w:rPr>
      </w:pPr>
      <w:r w:rsidRPr="00700758">
        <w:rPr>
          <w:rFonts w:cstheme="minorHAnsi"/>
          <w:sz w:val="24"/>
          <w:szCs w:val="24"/>
        </w:rPr>
        <w:t>Multi-Racial</w:t>
      </w:r>
    </w:p>
    <w:p w14:paraId="26B5DC84" w14:textId="77777777" w:rsidR="00D54924" w:rsidRPr="00700758" w:rsidRDefault="00D54924" w:rsidP="00D54924">
      <w:pPr>
        <w:pStyle w:val="ListParagraph"/>
        <w:numPr>
          <w:ilvl w:val="4"/>
          <w:numId w:val="1"/>
        </w:numPr>
        <w:rPr>
          <w:rFonts w:cstheme="minorHAnsi"/>
          <w:sz w:val="24"/>
          <w:szCs w:val="24"/>
        </w:rPr>
      </w:pPr>
      <w:r w:rsidRPr="00700758">
        <w:rPr>
          <w:rFonts w:cstheme="minorHAnsi"/>
          <w:sz w:val="24"/>
          <w:szCs w:val="24"/>
        </w:rPr>
        <w:t>White</w:t>
      </w:r>
    </w:p>
    <w:p w14:paraId="29D972F8" w14:textId="77777777" w:rsidR="00D54924" w:rsidRPr="00700758" w:rsidRDefault="00D54924" w:rsidP="00D54924">
      <w:pPr>
        <w:pStyle w:val="ListParagraph"/>
        <w:numPr>
          <w:ilvl w:val="4"/>
          <w:numId w:val="1"/>
        </w:numPr>
        <w:rPr>
          <w:rFonts w:cstheme="minorHAnsi"/>
          <w:sz w:val="24"/>
          <w:szCs w:val="24"/>
        </w:rPr>
      </w:pPr>
      <w:r w:rsidRPr="00700758">
        <w:rPr>
          <w:rFonts w:cstheme="minorHAnsi"/>
          <w:sz w:val="24"/>
          <w:szCs w:val="24"/>
        </w:rPr>
        <w:t>Other Race</w:t>
      </w:r>
    </w:p>
    <w:p w14:paraId="161C64B8" w14:textId="77777777" w:rsidR="00D54924" w:rsidRPr="00700758" w:rsidRDefault="00D54924" w:rsidP="00D54924">
      <w:pPr>
        <w:pStyle w:val="ListParagraph"/>
        <w:numPr>
          <w:ilvl w:val="4"/>
          <w:numId w:val="1"/>
        </w:numPr>
        <w:rPr>
          <w:rFonts w:cstheme="minorHAnsi"/>
          <w:sz w:val="24"/>
          <w:szCs w:val="24"/>
        </w:rPr>
      </w:pPr>
      <w:r w:rsidRPr="00700758">
        <w:rPr>
          <w:rFonts w:cstheme="minorHAnsi"/>
          <w:sz w:val="24"/>
          <w:szCs w:val="24"/>
        </w:rPr>
        <w:t>Unknown Race</w:t>
      </w:r>
    </w:p>
    <w:p w14:paraId="5A50AB67" w14:textId="77777777" w:rsidR="00D54924" w:rsidRPr="00700758" w:rsidRDefault="00D54924" w:rsidP="00D54924">
      <w:pPr>
        <w:pStyle w:val="ListParagraph"/>
        <w:numPr>
          <w:ilvl w:val="3"/>
          <w:numId w:val="1"/>
        </w:numPr>
        <w:rPr>
          <w:rFonts w:cstheme="minorHAnsi"/>
          <w:sz w:val="24"/>
          <w:szCs w:val="24"/>
        </w:rPr>
      </w:pPr>
      <w:r w:rsidRPr="00700758">
        <w:rPr>
          <w:rFonts w:cstheme="minorHAnsi"/>
          <w:sz w:val="24"/>
          <w:szCs w:val="24"/>
        </w:rPr>
        <w:t>Ethnicity</w:t>
      </w:r>
    </w:p>
    <w:p w14:paraId="63CC6FF9" w14:textId="77777777" w:rsidR="00D54924" w:rsidRPr="00700758" w:rsidRDefault="00D54924" w:rsidP="00D54924">
      <w:pPr>
        <w:pStyle w:val="ListParagraph"/>
        <w:numPr>
          <w:ilvl w:val="4"/>
          <w:numId w:val="1"/>
        </w:numPr>
        <w:rPr>
          <w:rFonts w:cstheme="minorHAnsi"/>
          <w:sz w:val="24"/>
          <w:szCs w:val="24"/>
        </w:rPr>
      </w:pPr>
      <w:r w:rsidRPr="00700758">
        <w:rPr>
          <w:rFonts w:cstheme="minorHAnsi"/>
          <w:sz w:val="24"/>
          <w:szCs w:val="24"/>
        </w:rPr>
        <w:t>Non-Hispanic</w:t>
      </w:r>
    </w:p>
    <w:p w14:paraId="34F09054" w14:textId="77777777" w:rsidR="00D54924" w:rsidRPr="00700758" w:rsidRDefault="00D54924" w:rsidP="00D54924">
      <w:pPr>
        <w:pStyle w:val="ListParagraph"/>
        <w:numPr>
          <w:ilvl w:val="4"/>
          <w:numId w:val="1"/>
        </w:numPr>
        <w:rPr>
          <w:rFonts w:cstheme="minorHAnsi"/>
          <w:sz w:val="24"/>
          <w:szCs w:val="24"/>
        </w:rPr>
      </w:pPr>
      <w:r w:rsidRPr="00700758">
        <w:rPr>
          <w:rFonts w:cstheme="minorHAnsi"/>
          <w:sz w:val="24"/>
          <w:szCs w:val="24"/>
        </w:rPr>
        <w:t>Hispanic or Latinx</w:t>
      </w:r>
    </w:p>
    <w:p w14:paraId="1E29DD79" w14:textId="77777777" w:rsidR="00D54924" w:rsidRPr="00700758" w:rsidRDefault="00D54924" w:rsidP="00D54924">
      <w:pPr>
        <w:pStyle w:val="ListParagraph"/>
        <w:numPr>
          <w:ilvl w:val="3"/>
          <w:numId w:val="1"/>
        </w:numPr>
        <w:rPr>
          <w:rFonts w:cstheme="minorHAnsi"/>
          <w:sz w:val="24"/>
          <w:szCs w:val="24"/>
        </w:rPr>
      </w:pPr>
      <w:r w:rsidRPr="00700758">
        <w:rPr>
          <w:rFonts w:cstheme="minorHAnsi"/>
          <w:sz w:val="24"/>
          <w:szCs w:val="24"/>
        </w:rPr>
        <w:t>Teaching status</w:t>
      </w:r>
    </w:p>
    <w:p w14:paraId="4722269A" w14:textId="77777777" w:rsidR="00D54924" w:rsidRPr="00700758" w:rsidRDefault="00D54924" w:rsidP="00D54924">
      <w:pPr>
        <w:pStyle w:val="ListParagraph"/>
        <w:numPr>
          <w:ilvl w:val="4"/>
          <w:numId w:val="1"/>
        </w:numPr>
        <w:rPr>
          <w:rFonts w:cstheme="minorHAnsi"/>
          <w:sz w:val="24"/>
          <w:szCs w:val="24"/>
        </w:rPr>
      </w:pPr>
      <w:r w:rsidRPr="00700758">
        <w:rPr>
          <w:rFonts w:cstheme="minorHAnsi"/>
          <w:sz w:val="24"/>
          <w:szCs w:val="24"/>
        </w:rPr>
        <w:t>Yes, teaching hospital with internal medicine residency</w:t>
      </w:r>
    </w:p>
    <w:p w14:paraId="042FABE7" w14:textId="77777777" w:rsidR="00D54924" w:rsidRPr="00700758" w:rsidRDefault="00D54924" w:rsidP="00D54924">
      <w:pPr>
        <w:pStyle w:val="ListParagraph"/>
        <w:numPr>
          <w:ilvl w:val="4"/>
          <w:numId w:val="1"/>
        </w:numPr>
        <w:rPr>
          <w:rFonts w:cstheme="minorHAnsi"/>
          <w:sz w:val="24"/>
          <w:szCs w:val="24"/>
        </w:rPr>
      </w:pPr>
      <w:r w:rsidRPr="00700758">
        <w:rPr>
          <w:rFonts w:cstheme="minorHAnsi"/>
          <w:sz w:val="24"/>
          <w:szCs w:val="24"/>
        </w:rPr>
        <w:t>Not, teaching hospital without interna medicine residency</w:t>
      </w:r>
    </w:p>
    <w:p w14:paraId="33E27B1C" w14:textId="77777777" w:rsidR="00D54924" w:rsidRPr="00700758" w:rsidRDefault="00D54924" w:rsidP="00D54924">
      <w:pPr>
        <w:pStyle w:val="ListParagraph"/>
        <w:numPr>
          <w:ilvl w:val="3"/>
          <w:numId w:val="1"/>
        </w:numPr>
        <w:rPr>
          <w:rFonts w:cstheme="minorHAnsi"/>
          <w:sz w:val="24"/>
          <w:szCs w:val="24"/>
        </w:rPr>
      </w:pPr>
      <w:r w:rsidRPr="00700758">
        <w:rPr>
          <w:rFonts w:cstheme="minorHAnsi"/>
          <w:sz w:val="24"/>
          <w:szCs w:val="24"/>
        </w:rPr>
        <w:t>First Language</w:t>
      </w:r>
    </w:p>
    <w:p w14:paraId="1299B1DF" w14:textId="77777777" w:rsidR="00D54924" w:rsidRPr="00700758" w:rsidRDefault="00D54924" w:rsidP="00D54924">
      <w:pPr>
        <w:pStyle w:val="ListParagraph"/>
        <w:numPr>
          <w:ilvl w:val="4"/>
          <w:numId w:val="1"/>
        </w:numPr>
        <w:rPr>
          <w:rFonts w:cstheme="minorHAnsi"/>
          <w:sz w:val="24"/>
          <w:szCs w:val="24"/>
        </w:rPr>
      </w:pPr>
      <w:r w:rsidRPr="00700758">
        <w:rPr>
          <w:rFonts w:cstheme="minorHAnsi"/>
          <w:sz w:val="24"/>
          <w:szCs w:val="24"/>
        </w:rPr>
        <w:t>English</w:t>
      </w:r>
    </w:p>
    <w:p w14:paraId="2D49838A" w14:textId="77777777" w:rsidR="00D54924" w:rsidRPr="00700758" w:rsidRDefault="00D54924" w:rsidP="00D54924">
      <w:pPr>
        <w:pStyle w:val="ListParagraph"/>
        <w:numPr>
          <w:ilvl w:val="4"/>
          <w:numId w:val="1"/>
        </w:numPr>
        <w:rPr>
          <w:rFonts w:cstheme="minorHAnsi"/>
          <w:sz w:val="24"/>
          <w:szCs w:val="24"/>
        </w:rPr>
      </w:pPr>
      <w:r w:rsidRPr="00700758">
        <w:rPr>
          <w:rFonts w:cstheme="minorHAnsi"/>
          <w:sz w:val="24"/>
          <w:szCs w:val="24"/>
        </w:rPr>
        <w:t>Non-English</w:t>
      </w:r>
    </w:p>
    <w:p w14:paraId="78482291" w14:textId="77777777" w:rsidR="00D54924" w:rsidRPr="00700758" w:rsidRDefault="00D54924" w:rsidP="00D54924">
      <w:pPr>
        <w:pStyle w:val="ListParagraph"/>
        <w:numPr>
          <w:ilvl w:val="3"/>
          <w:numId w:val="1"/>
        </w:numPr>
        <w:rPr>
          <w:rFonts w:cstheme="minorHAnsi"/>
          <w:sz w:val="24"/>
          <w:szCs w:val="24"/>
        </w:rPr>
      </w:pPr>
      <w:r w:rsidRPr="00700758">
        <w:rPr>
          <w:rFonts w:cstheme="minorHAnsi"/>
          <w:sz w:val="24"/>
          <w:szCs w:val="24"/>
        </w:rPr>
        <w:t>Disease Severity on Admission</w:t>
      </w:r>
    </w:p>
    <w:p w14:paraId="026301ED" w14:textId="77777777" w:rsidR="00D54924" w:rsidRPr="00700758" w:rsidRDefault="00D54924" w:rsidP="00D54924">
      <w:pPr>
        <w:pStyle w:val="ListParagraph"/>
        <w:numPr>
          <w:ilvl w:val="4"/>
          <w:numId w:val="1"/>
        </w:numPr>
        <w:rPr>
          <w:rFonts w:cstheme="minorHAnsi"/>
          <w:sz w:val="24"/>
          <w:szCs w:val="24"/>
        </w:rPr>
      </w:pPr>
      <w:r w:rsidRPr="00700758">
        <w:rPr>
          <w:rFonts w:cstheme="minorHAnsi"/>
          <w:sz w:val="24"/>
          <w:szCs w:val="24"/>
        </w:rPr>
        <w:t>COPS2 or LAPS2</w:t>
      </w:r>
    </w:p>
    <w:p w14:paraId="2B4D8E48" w14:textId="77777777" w:rsidR="00D54924" w:rsidRPr="00700758" w:rsidRDefault="00D54924" w:rsidP="00D54924">
      <w:pPr>
        <w:pStyle w:val="ListParagraph"/>
        <w:numPr>
          <w:ilvl w:val="3"/>
          <w:numId w:val="1"/>
        </w:numPr>
        <w:rPr>
          <w:rFonts w:cstheme="minorHAnsi"/>
          <w:sz w:val="24"/>
          <w:szCs w:val="24"/>
        </w:rPr>
      </w:pPr>
      <w:r w:rsidRPr="00700758">
        <w:rPr>
          <w:rFonts w:cstheme="minorHAnsi"/>
          <w:sz w:val="24"/>
          <w:szCs w:val="24"/>
        </w:rPr>
        <w:t>Padua Score</w:t>
      </w:r>
    </w:p>
    <w:p w14:paraId="595827F0" w14:textId="77777777" w:rsidR="00D54924" w:rsidRPr="00700758" w:rsidRDefault="00D54924" w:rsidP="00D54924">
      <w:pPr>
        <w:pStyle w:val="ListParagraph"/>
        <w:numPr>
          <w:ilvl w:val="4"/>
          <w:numId w:val="1"/>
        </w:numPr>
        <w:rPr>
          <w:rFonts w:cstheme="minorHAnsi"/>
          <w:sz w:val="24"/>
          <w:szCs w:val="24"/>
        </w:rPr>
      </w:pPr>
      <w:r w:rsidRPr="00700758">
        <w:rPr>
          <w:rFonts w:cstheme="minorHAnsi"/>
          <w:sz w:val="24"/>
          <w:szCs w:val="24"/>
        </w:rPr>
        <w:lastRenderedPageBreak/>
        <w:t>Calculated retrospectively via logic identified by ongoing current research team</w:t>
      </w:r>
    </w:p>
    <w:p w14:paraId="2601137B" w14:textId="77777777" w:rsidR="00D54924" w:rsidRPr="00700758" w:rsidRDefault="00D54924" w:rsidP="00D54924">
      <w:pPr>
        <w:pStyle w:val="ListParagraph"/>
        <w:numPr>
          <w:ilvl w:val="4"/>
          <w:numId w:val="1"/>
        </w:numPr>
        <w:rPr>
          <w:rFonts w:cstheme="minorHAnsi"/>
          <w:sz w:val="24"/>
          <w:szCs w:val="24"/>
        </w:rPr>
      </w:pPr>
      <w:r w:rsidRPr="00700758">
        <w:rPr>
          <w:rFonts w:cstheme="minorHAnsi"/>
          <w:sz w:val="24"/>
          <w:szCs w:val="24"/>
        </w:rPr>
        <w:t>Cancer diagnosis</w:t>
      </w:r>
    </w:p>
    <w:p w14:paraId="125521BD" w14:textId="1E63F7F8" w:rsidR="00D54924" w:rsidRPr="00700758" w:rsidRDefault="00D54924" w:rsidP="00D54924">
      <w:pPr>
        <w:pStyle w:val="ListParagraph"/>
        <w:numPr>
          <w:ilvl w:val="5"/>
          <w:numId w:val="1"/>
        </w:numPr>
        <w:rPr>
          <w:rFonts w:cstheme="minorHAnsi"/>
          <w:sz w:val="24"/>
          <w:szCs w:val="24"/>
        </w:rPr>
      </w:pPr>
      <w:r w:rsidRPr="00700758">
        <w:rPr>
          <w:rFonts w:cstheme="minorHAnsi"/>
          <w:sz w:val="24"/>
          <w:szCs w:val="24"/>
        </w:rPr>
        <w:t>Calculated retrospectively via logic identified by ongoing current research team</w:t>
      </w:r>
    </w:p>
    <w:p w14:paraId="586F8D7B" w14:textId="77777777" w:rsidR="00D54924" w:rsidRPr="00700758" w:rsidRDefault="00D54924" w:rsidP="00D54924">
      <w:pPr>
        <w:pStyle w:val="ListParagraph"/>
        <w:numPr>
          <w:ilvl w:val="4"/>
          <w:numId w:val="1"/>
        </w:numPr>
        <w:rPr>
          <w:rFonts w:cstheme="minorHAnsi"/>
          <w:sz w:val="24"/>
          <w:szCs w:val="24"/>
        </w:rPr>
      </w:pPr>
      <w:r w:rsidRPr="00700758">
        <w:rPr>
          <w:rFonts w:cstheme="minorHAnsi"/>
          <w:sz w:val="24"/>
          <w:szCs w:val="24"/>
        </w:rPr>
        <w:t>BMI</w:t>
      </w:r>
    </w:p>
    <w:p w14:paraId="4A939CCC" w14:textId="77777777" w:rsidR="00D54924" w:rsidRPr="00700758" w:rsidRDefault="00D54924" w:rsidP="00D54924">
      <w:pPr>
        <w:pStyle w:val="ListParagraph"/>
        <w:numPr>
          <w:ilvl w:val="5"/>
          <w:numId w:val="1"/>
        </w:numPr>
        <w:rPr>
          <w:rFonts w:cstheme="minorHAnsi"/>
          <w:sz w:val="24"/>
          <w:szCs w:val="24"/>
        </w:rPr>
      </w:pPr>
      <w:r w:rsidRPr="00700758">
        <w:rPr>
          <w:rFonts w:cstheme="minorHAnsi"/>
          <w:sz w:val="24"/>
          <w:szCs w:val="24"/>
        </w:rPr>
        <w:t>BMI &lt;25</w:t>
      </w:r>
    </w:p>
    <w:p w14:paraId="1BF31448" w14:textId="77777777" w:rsidR="00D54924" w:rsidRPr="00700758" w:rsidRDefault="00D54924" w:rsidP="00D54924">
      <w:pPr>
        <w:pStyle w:val="ListParagraph"/>
        <w:numPr>
          <w:ilvl w:val="5"/>
          <w:numId w:val="1"/>
        </w:numPr>
        <w:rPr>
          <w:rFonts w:cstheme="minorHAnsi"/>
          <w:sz w:val="24"/>
          <w:szCs w:val="24"/>
        </w:rPr>
      </w:pPr>
      <w:r w:rsidRPr="00700758">
        <w:rPr>
          <w:rFonts w:cstheme="minorHAnsi"/>
          <w:sz w:val="24"/>
          <w:szCs w:val="24"/>
        </w:rPr>
        <w:t>BMI &gt;25</w:t>
      </w:r>
    </w:p>
    <w:p w14:paraId="24A4DE7C" w14:textId="16758B4B" w:rsidR="00D54924" w:rsidRPr="00700758" w:rsidRDefault="00D54924" w:rsidP="00D54924">
      <w:pPr>
        <w:pStyle w:val="ListParagraph"/>
        <w:numPr>
          <w:ilvl w:val="4"/>
          <w:numId w:val="1"/>
        </w:numPr>
        <w:rPr>
          <w:rFonts w:cstheme="minorHAnsi"/>
          <w:sz w:val="24"/>
          <w:szCs w:val="24"/>
        </w:rPr>
      </w:pPr>
      <w:r w:rsidRPr="00700758">
        <w:rPr>
          <w:rFonts w:cstheme="minorHAnsi"/>
          <w:sz w:val="24"/>
          <w:szCs w:val="24"/>
        </w:rPr>
        <w:t>Age</w:t>
      </w:r>
    </w:p>
    <w:p w14:paraId="4E4D7D77" w14:textId="77777777" w:rsidR="00EF023E" w:rsidRPr="00700758" w:rsidRDefault="00EF023E" w:rsidP="002B2A0B">
      <w:pPr>
        <w:pStyle w:val="ListParagraph"/>
        <w:numPr>
          <w:ilvl w:val="1"/>
          <w:numId w:val="1"/>
        </w:numPr>
        <w:rPr>
          <w:rFonts w:cstheme="minorHAnsi"/>
          <w:sz w:val="24"/>
          <w:szCs w:val="24"/>
        </w:rPr>
      </w:pPr>
      <w:r w:rsidRPr="00700758">
        <w:rPr>
          <w:rFonts w:cstheme="minorHAnsi"/>
          <w:sz w:val="24"/>
          <w:szCs w:val="24"/>
        </w:rPr>
        <w:t>Primary outcome</w:t>
      </w:r>
    </w:p>
    <w:p w14:paraId="0DD31706" w14:textId="27475203" w:rsidR="00EF023E" w:rsidRPr="00700758" w:rsidRDefault="004D097C" w:rsidP="002B2A0B">
      <w:pPr>
        <w:pStyle w:val="ListParagraph"/>
        <w:numPr>
          <w:ilvl w:val="2"/>
          <w:numId w:val="1"/>
        </w:numPr>
        <w:rPr>
          <w:rFonts w:cstheme="minorHAnsi"/>
          <w:sz w:val="24"/>
          <w:szCs w:val="24"/>
        </w:rPr>
      </w:pPr>
      <w:r w:rsidRPr="00700758">
        <w:rPr>
          <w:rFonts w:cstheme="minorHAnsi"/>
          <w:sz w:val="24"/>
          <w:szCs w:val="24"/>
        </w:rPr>
        <w:t>Appropriate VTE prophylaxis</w:t>
      </w:r>
      <w:r w:rsidR="00C3088C" w:rsidRPr="00700758">
        <w:rPr>
          <w:rFonts w:cstheme="minorHAnsi"/>
          <w:sz w:val="24"/>
          <w:szCs w:val="24"/>
        </w:rPr>
        <w:t xml:space="preserve"> prescription</w:t>
      </w:r>
      <w:r w:rsidR="00352A95" w:rsidRPr="00700758">
        <w:rPr>
          <w:rFonts w:cstheme="minorHAnsi"/>
          <w:sz w:val="24"/>
          <w:szCs w:val="24"/>
        </w:rPr>
        <w:t xml:space="preserve"> </w:t>
      </w:r>
    </w:p>
    <w:p w14:paraId="5D5DCA6B" w14:textId="4FF0A077" w:rsidR="00C3088C" w:rsidRPr="00700758" w:rsidRDefault="00C3088C" w:rsidP="002B2A0B">
      <w:pPr>
        <w:pStyle w:val="ListParagraph"/>
        <w:numPr>
          <w:ilvl w:val="3"/>
          <w:numId w:val="1"/>
        </w:numPr>
        <w:rPr>
          <w:rFonts w:cstheme="minorHAnsi"/>
          <w:sz w:val="24"/>
          <w:szCs w:val="24"/>
        </w:rPr>
      </w:pPr>
      <w:r w:rsidRPr="00700758">
        <w:rPr>
          <w:rFonts w:cstheme="minorHAnsi"/>
          <w:sz w:val="24"/>
          <w:szCs w:val="24"/>
        </w:rPr>
        <w:t>Criterion</w:t>
      </w:r>
    </w:p>
    <w:p w14:paraId="5D48D85C" w14:textId="02E8EB97" w:rsidR="00C3088C" w:rsidRPr="00700758" w:rsidRDefault="00C9189E" w:rsidP="002B2A0B">
      <w:pPr>
        <w:pStyle w:val="ListParagraph"/>
        <w:numPr>
          <w:ilvl w:val="4"/>
          <w:numId w:val="1"/>
        </w:numPr>
        <w:rPr>
          <w:rFonts w:cstheme="minorHAnsi"/>
          <w:sz w:val="24"/>
          <w:szCs w:val="24"/>
        </w:rPr>
      </w:pPr>
      <w:r w:rsidRPr="00700758">
        <w:rPr>
          <w:rFonts w:cstheme="minorHAnsi"/>
          <w:sz w:val="24"/>
          <w:szCs w:val="24"/>
        </w:rPr>
        <w:t>VTE prophylaxis ordered</w:t>
      </w:r>
    </w:p>
    <w:p w14:paraId="3CA2A88B" w14:textId="508988B4" w:rsidR="002574E7" w:rsidRPr="00700758" w:rsidRDefault="002574E7" w:rsidP="002B2A0B">
      <w:pPr>
        <w:pStyle w:val="ListParagraph"/>
        <w:numPr>
          <w:ilvl w:val="5"/>
          <w:numId w:val="1"/>
        </w:numPr>
        <w:rPr>
          <w:rFonts w:cstheme="minorHAnsi"/>
          <w:sz w:val="24"/>
          <w:szCs w:val="24"/>
        </w:rPr>
      </w:pPr>
      <w:r w:rsidRPr="00700758">
        <w:rPr>
          <w:rFonts w:cstheme="minorHAnsi"/>
          <w:sz w:val="24"/>
          <w:szCs w:val="24"/>
        </w:rPr>
        <w:t>Medication</w:t>
      </w:r>
    </w:p>
    <w:p w14:paraId="3E01C9AC" w14:textId="0B6E656E" w:rsidR="00C9189E" w:rsidRPr="00700758" w:rsidRDefault="007308CF" w:rsidP="002B2A0B">
      <w:pPr>
        <w:pStyle w:val="ListParagraph"/>
        <w:numPr>
          <w:ilvl w:val="6"/>
          <w:numId w:val="1"/>
        </w:numPr>
        <w:rPr>
          <w:rFonts w:cstheme="minorHAnsi"/>
          <w:sz w:val="24"/>
          <w:szCs w:val="24"/>
        </w:rPr>
      </w:pPr>
      <w:r w:rsidRPr="00700758">
        <w:rPr>
          <w:rFonts w:cstheme="minorHAnsi"/>
          <w:sz w:val="24"/>
          <w:szCs w:val="24"/>
        </w:rPr>
        <w:t xml:space="preserve">Heparin 5000 U Subcutaneous </w:t>
      </w:r>
      <w:r w:rsidR="00465A08" w:rsidRPr="00700758">
        <w:rPr>
          <w:rFonts w:cstheme="minorHAnsi"/>
          <w:sz w:val="24"/>
          <w:szCs w:val="24"/>
        </w:rPr>
        <w:t>Q</w:t>
      </w:r>
      <w:r w:rsidRPr="00700758">
        <w:rPr>
          <w:rFonts w:cstheme="minorHAnsi"/>
          <w:sz w:val="24"/>
          <w:szCs w:val="24"/>
        </w:rPr>
        <w:t xml:space="preserve">12 hours, or </w:t>
      </w:r>
      <w:r w:rsidR="00465A08" w:rsidRPr="00700758">
        <w:rPr>
          <w:rFonts w:cstheme="minorHAnsi"/>
          <w:sz w:val="24"/>
          <w:szCs w:val="24"/>
        </w:rPr>
        <w:t>Q</w:t>
      </w:r>
      <w:r w:rsidRPr="00700758">
        <w:rPr>
          <w:rFonts w:cstheme="minorHAnsi"/>
          <w:sz w:val="24"/>
          <w:szCs w:val="24"/>
        </w:rPr>
        <w:t>8 hours</w:t>
      </w:r>
    </w:p>
    <w:p w14:paraId="49EC5D6B" w14:textId="451363B5" w:rsidR="007308CF" w:rsidRPr="00700758" w:rsidRDefault="007308CF" w:rsidP="002B2A0B">
      <w:pPr>
        <w:pStyle w:val="ListParagraph"/>
        <w:numPr>
          <w:ilvl w:val="6"/>
          <w:numId w:val="1"/>
        </w:numPr>
        <w:rPr>
          <w:rFonts w:cstheme="minorHAnsi"/>
          <w:sz w:val="24"/>
          <w:szCs w:val="24"/>
        </w:rPr>
      </w:pPr>
      <w:proofErr w:type="spellStart"/>
      <w:r w:rsidRPr="00700758">
        <w:rPr>
          <w:rFonts w:cstheme="minorHAnsi"/>
          <w:sz w:val="24"/>
          <w:szCs w:val="24"/>
        </w:rPr>
        <w:t>Lovenox</w:t>
      </w:r>
      <w:proofErr w:type="spellEnd"/>
      <w:r w:rsidRPr="00700758">
        <w:rPr>
          <w:rFonts w:cstheme="minorHAnsi"/>
          <w:sz w:val="24"/>
          <w:szCs w:val="24"/>
        </w:rPr>
        <w:t xml:space="preserve"> 40meq Subcutaneous Q24 hours or 30meq Subcutaneous Q12</w:t>
      </w:r>
    </w:p>
    <w:p w14:paraId="446DFC52" w14:textId="4F7EF857" w:rsidR="00C9189E" w:rsidRPr="00700758" w:rsidRDefault="002574E7" w:rsidP="002B2A0B">
      <w:pPr>
        <w:pStyle w:val="ListParagraph"/>
        <w:numPr>
          <w:ilvl w:val="5"/>
          <w:numId w:val="1"/>
        </w:numPr>
        <w:rPr>
          <w:rFonts w:cstheme="minorHAnsi"/>
          <w:sz w:val="24"/>
          <w:szCs w:val="24"/>
        </w:rPr>
      </w:pPr>
      <w:r w:rsidRPr="00700758">
        <w:rPr>
          <w:rFonts w:cstheme="minorHAnsi"/>
          <w:sz w:val="24"/>
          <w:szCs w:val="24"/>
        </w:rPr>
        <w:t>Started w</w:t>
      </w:r>
      <w:r w:rsidR="00C9189E" w:rsidRPr="00700758">
        <w:rPr>
          <w:rFonts w:cstheme="minorHAnsi"/>
          <w:sz w:val="24"/>
          <w:szCs w:val="24"/>
        </w:rPr>
        <w:t xml:space="preserve">ithin 48 </w:t>
      </w:r>
      <w:proofErr w:type="spellStart"/>
      <w:r w:rsidR="00C9189E" w:rsidRPr="00700758">
        <w:rPr>
          <w:rFonts w:cstheme="minorHAnsi"/>
          <w:sz w:val="24"/>
          <w:szCs w:val="24"/>
        </w:rPr>
        <w:t>hrs</w:t>
      </w:r>
      <w:proofErr w:type="spellEnd"/>
      <w:r w:rsidR="00C9189E" w:rsidRPr="00700758">
        <w:rPr>
          <w:rFonts w:cstheme="minorHAnsi"/>
          <w:sz w:val="24"/>
          <w:szCs w:val="24"/>
        </w:rPr>
        <w:t xml:space="preserve"> of admission</w:t>
      </w:r>
      <w:r w:rsidR="00465A08" w:rsidRPr="00700758">
        <w:rPr>
          <w:rFonts w:cstheme="minorHAnsi"/>
          <w:sz w:val="24"/>
          <w:szCs w:val="24"/>
        </w:rPr>
        <w:t xml:space="preserve"> (HBS admission order)</w:t>
      </w:r>
    </w:p>
    <w:p w14:paraId="49B15393" w14:textId="1B342ACD" w:rsidR="00C9189E" w:rsidRPr="00700758" w:rsidRDefault="002574E7" w:rsidP="002B2A0B">
      <w:pPr>
        <w:pStyle w:val="ListParagraph"/>
        <w:numPr>
          <w:ilvl w:val="5"/>
          <w:numId w:val="1"/>
        </w:numPr>
        <w:rPr>
          <w:rFonts w:cstheme="minorHAnsi"/>
          <w:sz w:val="24"/>
          <w:szCs w:val="24"/>
        </w:rPr>
      </w:pPr>
      <w:r w:rsidRPr="00700758">
        <w:rPr>
          <w:rFonts w:cstheme="minorHAnsi"/>
          <w:sz w:val="24"/>
          <w:szCs w:val="24"/>
        </w:rPr>
        <w:t xml:space="preserve">Ordered for greater than or equal to </w:t>
      </w:r>
      <w:r w:rsidR="00C9189E" w:rsidRPr="00700758">
        <w:rPr>
          <w:rFonts w:cstheme="minorHAnsi"/>
          <w:sz w:val="24"/>
          <w:szCs w:val="24"/>
        </w:rPr>
        <w:t xml:space="preserve">80% </w:t>
      </w:r>
      <w:r w:rsidR="00465A08" w:rsidRPr="00700758">
        <w:rPr>
          <w:rFonts w:cstheme="minorHAnsi"/>
          <w:sz w:val="24"/>
          <w:szCs w:val="24"/>
        </w:rPr>
        <w:t>of hours in hospital (from time of HBS admission order to discharge time)</w:t>
      </w:r>
    </w:p>
    <w:p w14:paraId="3D66E4CB" w14:textId="30C3B276" w:rsidR="002574E7" w:rsidRPr="00700758" w:rsidRDefault="00BB254E" w:rsidP="002B2A0B">
      <w:pPr>
        <w:pStyle w:val="ListParagraph"/>
        <w:numPr>
          <w:ilvl w:val="4"/>
          <w:numId w:val="1"/>
        </w:numPr>
        <w:rPr>
          <w:rFonts w:cstheme="minorHAnsi"/>
          <w:sz w:val="24"/>
          <w:szCs w:val="24"/>
        </w:rPr>
      </w:pPr>
      <w:r w:rsidRPr="00700758">
        <w:rPr>
          <w:rFonts w:cstheme="minorHAnsi"/>
          <w:sz w:val="24"/>
          <w:szCs w:val="24"/>
        </w:rPr>
        <w:t>Patient is</w:t>
      </w:r>
      <w:r w:rsidR="002574E7" w:rsidRPr="00700758">
        <w:rPr>
          <w:rFonts w:cstheme="minorHAnsi"/>
          <w:sz w:val="24"/>
          <w:szCs w:val="24"/>
        </w:rPr>
        <w:t xml:space="preserve"> </w:t>
      </w:r>
      <w:r w:rsidRPr="00700758">
        <w:rPr>
          <w:rFonts w:cstheme="minorHAnsi"/>
          <w:sz w:val="24"/>
          <w:szCs w:val="24"/>
        </w:rPr>
        <w:t>h</w:t>
      </w:r>
      <w:r w:rsidR="002574E7" w:rsidRPr="00700758">
        <w:rPr>
          <w:rFonts w:cstheme="minorHAnsi"/>
          <w:sz w:val="24"/>
          <w:szCs w:val="24"/>
        </w:rPr>
        <w:t xml:space="preserve">igh </w:t>
      </w:r>
      <w:r w:rsidRPr="00700758">
        <w:rPr>
          <w:rFonts w:cstheme="minorHAnsi"/>
          <w:sz w:val="24"/>
          <w:szCs w:val="24"/>
        </w:rPr>
        <w:t>r</w:t>
      </w:r>
      <w:r w:rsidR="002574E7" w:rsidRPr="00700758">
        <w:rPr>
          <w:rFonts w:cstheme="minorHAnsi"/>
          <w:sz w:val="24"/>
          <w:szCs w:val="24"/>
        </w:rPr>
        <w:t>isk</w:t>
      </w:r>
      <w:r w:rsidRPr="00700758">
        <w:rPr>
          <w:rFonts w:cstheme="minorHAnsi"/>
          <w:sz w:val="24"/>
          <w:szCs w:val="24"/>
        </w:rPr>
        <w:t xml:space="preserve"> for HA-VTE</w:t>
      </w:r>
    </w:p>
    <w:p w14:paraId="6DFB0B18" w14:textId="4C22B69C" w:rsidR="002574E7" w:rsidRPr="00700758" w:rsidRDefault="006126EB" w:rsidP="002B2A0B">
      <w:pPr>
        <w:pStyle w:val="ListParagraph"/>
        <w:numPr>
          <w:ilvl w:val="5"/>
          <w:numId w:val="1"/>
        </w:numPr>
        <w:rPr>
          <w:rFonts w:cstheme="minorHAnsi"/>
          <w:sz w:val="24"/>
          <w:szCs w:val="24"/>
        </w:rPr>
      </w:pPr>
      <w:r w:rsidRPr="00700758">
        <w:rPr>
          <w:rFonts w:cstheme="minorHAnsi"/>
          <w:sz w:val="24"/>
          <w:szCs w:val="24"/>
        </w:rPr>
        <w:t xml:space="preserve">Retrospective </w:t>
      </w:r>
      <w:r w:rsidR="002574E7" w:rsidRPr="00700758">
        <w:rPr>
          <w:rFonts w:cstheme="minorHAnsi"/>
          <w:sz w:val="24"/>
          <w:szCs w:val="24"/>
        </w:rPr>
        <w:t>Padua greater than or equal to 4</w:t>
      </w:r>
      <w:r w:rsidR="00F11201" w:rsidRPr="00700758">
        <w:rPr>
          <w:rFonts w:cstheme="minorHAnsi"/>
          <w:sz w:val="24"/>
          <w:szCs w:val="24"/>
        </w:rPr>
        <w:t xml:space="preserve"> at admission</w:t>
      </w:r>
      <w:r w:rsidR="002B2A0B" w:rsidRPr="00700758">
        <w:rPr>
          <w:rFonts w:cstheme="minorHAnsi"/>
          <w:sz w:val="24"/>
          <w:szCs w:val="24"/>
        </w:rPr>
        <w:t xml:space="preserve"> (Identified cohort via EHR chart review</w:t>
      </w:r>
      <w:r w:rsidR="008D717F" w:rsidRPr="00700758">
        <w:rPr>
          <w:rFonts w:cstheme="minorHAnsi"/>
          <w:sz w:val="24"/>
          <w:szCs w:val="24"/>
        </w:rPr>
        <w:t xml:space="preserve"> as part of current project with PI)</w:t>
      </w:r>
    </w:p>
    <w:p w14:paraId="7626FE05" w14:textId="6D606248" w:rsidR="00EF023E" w:rsidRPr="00700758" w:rsidRDefault="00EF023E" w:rsidP="00D54924">
      <w:pPr>
        <w:pStyle w:val="ListParagraph"/>
        <w:ind w:left="2160"/>
        <w:rPr>
          <w:rFonts w:cstheme="minorHAnsi"/>
          <w:sz w:val="24"/>
          <w:szCs w:val="24"/>
        </w:rPr>
      </w:pPr>
    </w:p>
    <w:p w14:paraId="166136DF" w14:textId="05947ECE" w:rsidR="00EF023E" w:rsidRPr="00700758" w:rsidRDefault="00EF023E" w:rsidP="00EF023E">
      <w:pPr>
        <w:pStyle w:val="ListParagraph"/>
        <w:numPr>
          <w:ilvl w:val="2"/>
          <w:numId w:val="1"/>
        </w:numPr>
        <w:rPr>
          <w:rFonts w:cstheme="minorHAnsi"/>
          <w:sz w:val="24"/>
          <w:szCs w:val="24"/>
        </w:rPr>
      </w:pPr>
      <w:r w:rsidRPr="00700758">
        <w:rPr>
          <w:rFonts w:cstheme="minorHAnsi"/>
          <w:sz w:val="24"/>
          <w:szCs w:val="24"/>
        </w:rPr>
        <w:t>Secondary Outcomes</w:t>
      </w:r>
    </w:p>
    <w:p w14:paraId="660A4DDA" w14:textId="6415486A" w:rsidR="004D0D72" w:rsidRPr="00700758" w:rsidRDefault="004D0D72" w:rsidP="00903CA1">
      <w:pPr>
        <w:pStyle w:val="ListParagraph"/>
        <w:numPr>
          <w:ilvl w:val="3"/>
          <w:numId w:val="1"/>
        </w:numPr>
        <w:rPr>
          <w:rFonts w:cstheme="minorHAnsi"/>
          <w:sz w:val="24"/>
          <w:szCs w:val="24"/>
        </w:rPr>
      </w:pPr>
      <w:r w:rsidRPr="00700758">
        <w:rPr>
          <w:rFonts w:cstheme="minorHAnsi"/>
          <w:sz w:val="24"/>
          <w:szCs w:val="24"/>
        </w:rPr>
        <w:t xml:space="preserve">HA-VTE </w:t>
      </w:r>
      <w:r w:rsidR="00903CA1" w:rsidRPr="00700758">
        <w:rPr>
          <w:rFonts w:cstheme="minorHAnsi"/>
          <w:sz w:val="24"/>
          <w:szCs w:val="24"/>
        </w:rPr>
        <w:t xml:space="preserve">events (per cohort identified </w:t>
      </w:r>
      <w:r w:rsidR="00175F0A" w:rsidRPr="00700758">
        <w:rPr>
          <w:rFonts w:cstheme="minorHAnsi"/>
          <w:sz w:val="24"/>
          <w:szCs w:val="24"/>
        </w:rPr>
        <w:t>by ongoing research team)</w:t>
      </w:r>
    </w:p>
    <w:p w14:paraId="1F87F625" w14:textId="63391F6C" w:rsidR="00700758" w:rsidRPr="00700758" w:rsidRDefault="00700758" w:rsidP="00700758">
      <w:pPr>
        <w:pStyle w:val="ListParagraph"/>
        <w:numPr>
          <w:ilvl w:val="3"/>
          <w:numId w:val="1"/>
        </w:numPr>
        <w:spacing w:after="0" w:line="240" w:lineRule="auto"/>
        <w:contextualSpacing w:val="0"/>
        <w:rPr>
          <w:rFonts w:eastAsia="Times New Roman" w:cstheme="minorHAnsi"/>
          <w:sz w:val="24"/>
          <w:szCs w:val="24"/>
        </w:rPr>
      </w:pPr>
      <w:r w:rsidRPr="00700758">
        <w:rPr>
          <w:rFonts w:eastAsia="Times New Roman" w:cstheme="minorHAnsi"/>
          <w:sz w:val="24"/>
          <w:szCs w:val="24"/>
        </w:rPr>
        <w:t xml:space="preserve">% </w:t>
      </w:r>
      <w:proofErr w:type="gramStart"/>
      <w:r w:rsidRPr="00700758">
        <w:rPr>
          <w:rFonts w:eastAsia="Times New Roman" w:cstheme="minorHAnsi"/>
          <w:sz w:val="24"/>
          <w:szCs w:val="24"/>
        </w:rPr>
        <w:t>of</w:t>
      </w:r>
      <w:proofErr w:type="gramEnd"/>
      <w:r w:rsidRPr="00700758">
        <w:rPr>
          <w:rFonts w:eastAsia="Times New Roman" w:cstheme="minorHAnsi"/>
          <w:sz w:val="24"/>
          <w:szCs w:val="24"/>
        </w:rPr>
        <w:t xml:space="preserve"> not appropriate VTE </w:t>
      </w:r>
      <w:proofErr w:type="spellStart"/>
      <w:r w:rsidRPr="00700758">
        <w:rPr>
          <w:rFonts w:eastAsia="Times New Roman" w:cstheme="minorHAnsi"/>
          <w:sz w:val="24"/>
          <w:szCs w:val="24"/>
        </w:rPr>
        <w:t>ppx</w:t>
      </w:r>
      <w:proofErr w:type="spellEnd"/>
    </w:p>
    <w:p w14:paraId="0C93AA43" w14:textId="678823B4" w:rsidR="0078203C" w:rsidRPr="00700758" w:rsidRDefault="0078203C" w:rsidP="0078203C">
      <w:pPr>
        <w:pStyle w:val="ListParagraph"/>
        <w:numPr>
          <w:ilvl w:val="3"/>
          <w:numId w:val="1"/>
        </w:numPr>
        <w:rPr>
          <w:rFonts w:cstheme="minorHAnsi"/>
          <w:color w:val="FF0000"/>
          <w:sz w:val="24"/>
          <w:szCs w:val="24"/>
        </w:rPr>
      </w:pPr>
      <w:r w:rsidRPr="00700758">
        <w:rPr>
          <w:rFonts w:cstheme="minorHAnsi"/>
          <w:color w:val="FF0000"/>
          <w:sz w:val="24"/>
          <w:szCs w:val="24"/>
        </w:rPr>
        <w:t>Bleeding events</w:t>
      </w:r>
      <w:r w:rsidR="00D84E4B" w:rsidRPr="00700758">
        <w:rPr>
          <w:rFonts w:cstheme="minorHAnsi"/>
          <w:color w:val="FF0000"/>
          <w:sz w:val="24"/>
          <w:szCs w:val="24"/>
        </w:rPr>
        <w:t xml:space="preserve"> from HBS admission orderset to</w:t>
      </w:r>
      <w:r w:rsidRPr="00700758">
        <w:rPr>
          <w:rFonts w:cstheme="minorHAnsi"/>
          <w:color w:val="FF0000"/>
          <w:sz w:val="24"/>
          <w:szCs w:val="24"/>
        </w:rPr>
        <w:t xml:space="preserve"> 90 days </w:t>
      </w:r>
      <w:r w:rsidR="00D84E4B" w:rsidRPr="00700758">
        <w:rPr>
          <w:rFonts w:cstheme="minorHAnsi"/>
          <w:color w:val="FF0000"/>
          <w:sz w:val="24"/>
          <w:szCs w:val="24"/>
        </w:rPr>
        <w:t>after</w:t>
      </w:r>
      <w:r w:rsidRPr="00700758">
        <w:rPr>
          <w:rFonts w:cstheme="minorHAnsi"/>
          <w:color w:val="FF0000"/>
          <w:sz w:val="24"/>
          <w:szCs w:val="24"/>
        </w:rPr>
        <w:t xml:space="preserve"> discharge</w:t>
      </w:r>
    </w:p>
    <w:p w14:paraId="2A2748A9" w14:textId="1C90DA81" w:rsidR="00D84E4B" w:rsidRPr="00700758" w:rsidRDefault="00D84E4B" w:rsidP="00D84E4B">
      <w:pPr>
        <w:pStyle w:val="ListParagraph"/>
        <w:numPr>
          <w:ilvl w:val="4"/>
          <w:numId w:val="1"/>
        </w:numPr>
        <w:rPr>
          <w:rFonts w:cstheme="minorHAnsi"/>
          <w:color w:val="FF0000"/>
          <w:sz w:val="24"/>
          <w:szCs w:val="24"/>
        </w:rPr>
      </w:pPr>
      <w:r w:rsidRPr="00700758">
        <w:rPr>
          <w:rFonts w:cstheme="minorHAnsi"/>
          <w:color w:val="FF0000"/>
          <w:sz w:val="24"/>
          <w:szCs w:val="24"/>
        </w:rPr>
        <w:t xml:space="preserve">Defined as any PRBC transfusion </w:t>
      </w:r>
    </w:p>
    <w:p w14:paraId="3B1294CE" w14:textId="1ADAA113" w:rsidR="00106071" w:rsidRPr="00700758" w:rsidRDefault="0078203C" w:rsidP="0071240D">
      <w:pPr>
        <w:pStyle w:val="ListParagraph"/>
        <w:numPr>
          <w:ilvl w:val="3"/>
          <w:numId w:val="1"/>
        </w:numPr>
        <w:rPr>
          <w:rFonts w:cstheme="minorHAnsi"/>
          <w:color w:val="FF0000"/>
          <w:sz w:val="24"/>
          <w:szCs w:val="24"/>
        </w:rPr>
      </w:pPr>
      <w:r w:rsidRPr="00700758">
        <w:rPr>
          <w:rFonts w:cstheme="minorHAnsi"/>
          <w:color w:val="FF0000"/>
          <w:sz w:val="24"/>
          <w:szCs w:val="24"/>
        </w:rPr>
        <w:t xml:space="preserve">All-cause mortality </w:t>
      </w:r>
      <w:r w:rsidR="0071240D" w:rsidRPr="00700758">
        <w:rPr>
          <w:rFonts w:cstheme="minorHAnsi"/>
          <w:color w:val="FF0000"/>
          <w:sz w:val="24"/>
          <w:szCs w:val="24"/>
        </w:rPr>
        <w:t>from HBS admission orderset to</w:t>
      </w:r>
      <w:r w:rsidRPr="00700758">
        <w:rPr>
          <w:rFonts w:cstheme="minorHAnsi"/>
          <w:color w:val="FF0000"/>
          <w:sz w:val="24"/>
          <w:szCs w:val="24"/>
        </w:rPr>
        <w:t xml:space="preserve"> 90 days</w:t>
      </w:r>
      <w:r w:rsidR="0071240D" w:rsidRPr="00700758">
        <w:rPr>
          <w:rFonts w:cstheme="minorHAnsi"/>
          <w:color w:val="FF0000"/>
          <w:sz w:val="24"/>
          <w:szCs w:val="24"/>
        </w:rPr>
        <w:t xml:space="preserve"> after </w:t>
      </w:r>
      <w:r w:rsidRPr="00700758">
        <w:rPr>
          <w:rFonts w:cstheme="minorHAnsi"/>
          <w:color w:val="FF0000"/>
          <w:sz w:val="24"/>
          <w:szCs w:val="24"/>
        </w:rPr>
        <w:t>discharge</w:t>
      </w:r>
    </w:p>
    <w:p w14:paraId="6E17E872" w14:textId="58FD90C9" w:rsidR="00911B76" w:rsidRPr="00700758" w:rsidRDefault="00911B76" w:rsidP="00DD269D">
      <w:pPr>
        <w:rPr>
          <w:rFonts w:cstheme="minorHAnsi"/>
          <w:sz w:val="24"/>
          <w:szCs w:val="24"/>
        </w:rPr>
      </w:pPr>
      <w:r w:rsidRPr="00700758">
        <w:rPr>
          <w:rFonts w:cstheme="minorHAnsi"/>
          <w:sz w:val="24"/>
          <w:szCs w:val="24"/>
        </w:rPr>
        <w:t>Statistical Analysis</w:t>
      </w:r>
    </w:p>
    <w:p w14:paraId="12A85719" w14:textId="139F8433" w:rsidR="00EA53C3" w:rsidRPr="00700758" w:rsidRDefault="00EA53C3" w:rsidP="00DD269D">
      <w:pPr>
        <w:pStyle w:val="ListParagraph"/>
        <w:numPr>
          <w:ilvl w:val="0"/>
          <w:numId w:val="8"/>
        </w:numPr>
        <w:rPr>
          <w:rFonts w:cstheme="minorHAnsi"/>
          <w:sz w:val="24"/>
          <w:szCs w:val="24"/>
        </w:rPr>
      </w:pPr>
      <w:r w:rsidRPr="00700758">
        <w:rPr>
          <w:rFonts w:cstheme="minorHAnsi"/>
          <w:sz w:val="24"/>
          <w:szCs w:val="24"/>
        </w:rPr>
        <w:t>Hypotheses</w:t>
      </w:r>
    </w:p>
    <w:p w14:paraId="6D75FFF8" w14:textId="77777777" w:rsidR="00EA53C3" w:rsidRPr="00700758" w:rsidRDefault="00EA53C3" w:rsidP="00C0250D">
      <w:pPr>
        <w:pStyle w:val="ListParagraph"/>
        <w:numPr>
          <w:ilvl w:val="1"/>
          <w:numId w:val="8"/>
        </w:numPr>
        <w:rPr>
          <w:rFonts w:cstheme="minorHAnsi"/>
          <w:sz w:val="24"/>
          <w:szCs w:val="24"/>
        </w:rPr>
      </w:pPr>
      <w:r w:rsidRPr="00700758">
        <w:rPr>
          <w:rFonts w:cstheme="minorHAnsi"/>
          <w:sz w:val="24"/>
          <w:szCs w:val="24"/>
        </w:rPr>
        <w:t xml:space="preserve">There is a statistically significant increase in appropriate VTE </w:t>
      </w:r>
      <w:proofErr w:type="spellStart"/>
      <w:r w:rsidRPr="00700758">
        <w:rPr>
          <w:rFonts w:cstheme="minorHAnsi"/>
          <w:sz w:val="24"/>
          <w:szCs w:val="24"/>
        </w:rPr>
        <w:t>ppx</w:t>
      </w:r>
      <w:proofErr w:type="spellEnd"/>
      <w:r w:rsidRPr="00700758">
        <w:rPr>
          <w:rFonts w:cstheme="minorHAnsi"/>
          <w:sz w:val="24"/>
          <w:szCs w:val="24"/>
        </w:rPr>
        <w:t xml:space="preserve"> use with time</w:t>
      </w:r>
    </w:p>
    <w:p w14:paraId="62E9BD2F" w14:textId="77777777" w:rsidR="00EA53C3" w:rsidRPr="00700758" w:rsidRDefault="00EA53C3" w:rsidP="00C0250D">
      <w:pPr>
        <w:pStyle w:val="ListParagraph"/>
        <w:numPr>
          <w:ilvl w:val="1"/>
          <w:numId w:val="8"/>
        </w:numPr>
        <w:rPr>
          <w:rFonts w:cstheme="minorHAnsi"/>
          <w:sz w:val="24"/>
          <w:szCs w:val="24"/>
        </w:rPr>
      </w:pPr>
      <w:r w:rsidRPr="00700758">
        <w:rPr>
          <w:rFonts w:cstheme="minorHAnsi"/>
          <w:sz w:val="24"/>
          <w:szCs w:val="24"/>
        </w:rPr>
        <w:lastRenderedPageBreak/>
        <w:t xml:space="preserve">There is a statistically significant difference in VTE </w:t>
      </w:r>
      <w:proofErr w:type="spellStart"/>
      <w:r w:rsidRPr="00700758">
        <w:rPr>
          <w:rFonts w:cstheme="minorHAnsi"/>
          <w:sz w:val="24"/>
          <w:szCs w:val="24"/>
        </w:rPr>
        <w:t>ppx</w:t>
      </w:r>
      <w:proofErr w:type="spellEnd"/>
      <w:r w:rsidRPr="00700758">
        <w:rPr>
          <w:rFonts w:cstheme="minorHAnsi"/>
          <w:sz w:val="24"/>
          <w:szCs w:val="24"/>
        </w:rPr>
        <w:t xml:space="preserve"> use between across different races, language barriers that interacts with time.</w:t>
      </w:r>
    </w:p>
    <w:p w14:paraId="3C0BAA16" w14:textId="77777777" w:rsidR="00EA53C3" w:rsidRPr="00700758" w:rsidRDefault="00EA53C3" w:rsidP="00C0250D">
      <w:pPr>
        <w:pStyle w:val="ListParagraph"/>
        <w:numPr>
          <w:ilvl w:val="1"/>
          <w:numId w:val="8"/>
        </w:numPr>
        <w:rPr>
          <w:rFonts w:cstheme="minorHAnsi"/>
          <w:sz w:val="24"/>
          <w:szCs w:val="24"/>
        </w:rPr>
      </w:pPr>
      <w:r w:rsidRPr="00700758">
        <w:rPr>
          <w:rFonts w:cstheme="minorHAnsi"/>
          <w:sz w:val="24"/>
          <w:szCs w:val="24"/>
        </w:rPr>
        <w:t xml:space="preserve">There is a statistically significant difference in appropriate VTE </w:t>
      </w:r>
      <w:proofErr w:type="spellStart"/>
      <w:r w:rsidRPr="00700758">
        <w:rPr>
          <w:rFonts w:cstheme="minorHAnsi"/>
          <w:sz w:val="24"/>
          <w:szCs w:val="24"/>
        </w:rPr>
        <w:t>ppx</w:t>
      </w:r>
      <w:proofErr w:type="spellEnd"/>
      <w:r w:rsidRPr="00700758">
        <w:rPr>
          <w:rFonts w:cstheme="minorHAnsi"/>
          <w:sz w:val="24"/>
          <w:szCs w:val="24"/>
        </w:rPr>
        <w:t xml:space="preserve"> use for teaching vs non-teaching hospitals</w:t>
      </w:r>
    </w:p>
    <w:p w14:paraId="699F4B1A" w14:textId="6A9A6CD9" w:rsidR="00EA53C3" w:rsidRPr="00700758" w:rsidRDefault="00EA53C3" w:rsidP="00C0250D">
      <w:pPr>
        <w:pStyle w:val="ListParagraph"/>
        <w:numPr>
          <w:ilvl w:val="1"/>
          <w:numId w:val="8"/>
        </w:numPr>
        <w:rPr>
          <w:rFonts w:cstheme="minorHAnsi"/>
          <w:sz w:val="24"/>
          <w:szCs w:val="24"/>
        </w:rPr>
      </w:pPr>
      <w:r w:rsidRPr="00700758">
        <w:rPr>
          <w:rFonts w:cstheme="minorHAnsi"/>
          <w:sz w:val="24"/>
          <w:szCs w:val="24"/>
        </w:rPr>
        <w:t>There is a statistically significant decrease in HA-VTE events with time.</w:t>
      </w:r>
    </w:p>
    <w:p w14:paraId="65980786" w14:textId="77777777" w:rsidR="00EA53C3" w:rsidRPr="00700758" w:rsidRDefault="00EA53C3" w:rsidP="00DD269D">
      <w:pPr>
        <w:pStyle w:val="ListParagraph"/>
        <w:numPr>
          <w:ilvl w:val="0"/>
          <w:numId w:val="8"/>
        </w:numPr>
        <w:rPr>
          <w:rFonts w:cstheme="minorHAnsi"/>
          <w:sz w:val="24"/>
          <w:szCs w:val="24"/>
        </w:rPr>
      </w:pPr>
      <w:r w:rsidRPr="00700758">
        <w:rPr>
          <w:rFonts w:cstheme="minorHAnsi"/>
          <w:sz w:val="24"/>
          <w:szCs w:val="24"/>
        </w:rPr>
        <w:t>Analysis Plan</w:t>
      </w:r>
    </w:p>
    <w:p w14:paraId="62609DEB" w14:textId="47AD7CC2" w:rsidR="00911B76" w:rsidRPr="00700758" w:rsidRDefault="00911B76" w:rsidP="00C0250D">
      <w:pPr>
        <w:pStyle w:val="ListParagraph"/>
        <w:numPr>
          <w:ilvl w:val="1"/>
          <w:numId w:val="8"/>
        </w:numPr>
        <w:rPr>
          <w:rFonts w:cstheme="minorHAnsi"/>
          <w:sz w:val="24"/>
          <w:szCs w:val="24"/>
        </w:rPr>
      </w:pPr>
      <w:r w:rsidRPr="00700758">
        <w:rPr>
          <w:rFonts w:cstheme="minorHAnsi"/>
          <w:sz w:val="24"/>
          <w:szCs w:val="24"/>
        </w:rPr>
        <w:t xml:space="preserve">For primary </w:t>
      </w:r>
      <w:r w:rsidR="009D0EC2" w:rsidRPr="00700758">
        <w:rPr>
          <w:rFonts w:cstheme="minorHAnsi"/>
          <w:sz w:val="24"/>
          <w:szCs w:val="24"/>
        </w:rPr>
        <w:t>predictor (time)</w:t>
      </w:r>
    </w:p>
    <w:p w14:paraId="5154DE47" w14:textId="609A744D" w:rsidR="009D0EC2" w:rsidRPr="00700758" w:rsidRDefault="009D0EC2" w:rsidP="00C0250D">
      <w:pPr>
        <w:pStyle w:val="ListParagraph"/>
        <w:numPr>
          <w:ilvl w:val="2"/>
          <w:numId w:val="8"/>
        </w:numPr>
        <w:rPr>
          <w:rFonts w:cstheme="minorHAnsi"/>
          <w:sz w:val="24"/>
          <w:szCs w:val="24"/>
        </w:rPr>
      </w:pPr>
      <w:r w:rsidRPr="00700758">
        <w:rPr>
          <w:rFonts w:cstheme="minorHAnsi"/>
          <w:sz w:val="24"/>
          <w:szCs w:val="24"/>
        </w:rPr>
        <w:t>Chi Square testing</w:t>
      </w:r>
    </w:p>
    <w:p w14:paraId="206C9095" w14:textId="5A462418" w:rsidR="009D0EC2" w:rsidRPr="00700758" w:rsidRDefault="009D0EC2" w:rsidP="00C0250D">
      <w:pPr>
        <w:pStyle w:val="ListParagraph"/>
        <w:numPr>
          <w:ilvl w:val="2"/>
          <w:numId w:val="8"/>
        </w:numPr>
        <w:rPr>
          <w:rFonts w:cstheme="minorHAnsi"/>
          <w:sz w:val="24"/>
          <w:szCs w:val="24"/>
        </w:rPr>
      </w:pPr>
      <w:r w:rsidRPr="00700758">
        <w:rPr>
          <w:rFonts w:cstheme="minorHAnsi"/>
          <w:sz w:val="24"/>
          <w:szCs w:val="24"/>
        </w:rPr>
        <w:t>Alpha of 0.05</w:t>
      </w:r>
    </w:p>
    <w:p w14:paraId="4FE384AF" w14:textId="170583DC" w:rsidR="009D0EC2" w:rsidRPr="00700758" w:rsidRDefault="009D0EC2" w:rsidP="00C0250D">
      <w:pPr>
        <w:pStyle w:val="ListParagraph"/>
        <w:numPr>
          <w:ilvl w:val="2"/>
          <w:numId w:val="8"/>
        </w:numPr>
        <w:rPr>
          <w:rFonts w:cstheme="minorHAnsi"/>
          <w:sz w:val="24"/>
          <w:szCs w:val="24"/>
        </w:rPr>
      </w:pPr>
      <w:r w:rsidRPr="00700758">
        <w:rPr>
          <w:rFonts w:cstheme="minorHAnsi"/>
          <w:sz w:val="24"/>
          <w:szCs w:val="24"/>
        </w:rPr>
        <w:t>Power of 0.</w:t>
      </w:r>
      <w:r w:rsidR="002833EC" w:rsidRPr="00700758">
        <w:rPr>
          <w:rFonts w:cstheme="minorHAnsi"/>
          <w:sz w:val="24"/>
          <w:szCs w:val="24"/>
        </w:rPr>
        <w:t>9</w:t>
      </w:r>
    </w:p>
    <w:p w14:paraId="39A88808" w14:textId="53472F54" w:rsidR="009D0EC2" w:rsidRPr="00700758" w:rsidRDefault="009D0EC2" w:rsidP="00C0250D">
      <w:pPr>
        <w:pStyle w:val="ListParagraph"/>
        <w:numPr>
          <w:ilvl w:val="1"/>
          <w:numId w:val="8"/>
        </w:numPr>
        <w:rPr>
          <w:rFonts w:cstheme="minorHAnsi"/>
          <w:sz w:val="24"/>
          <w:szCs w:val="24"/>
        </w:rPr>
      </w:pPr>
      <w:r w:rsidRPr="00700758">
        <w:rPr>
          <w:rFonts w:cstheme="minorHAnsi"/>
          <w:sz w:val="24"/>
          <w:szCs w:val="24"/>
        </w:rPr>
        <w:t xml:space="preserve">For secondary predictors (race, appropriate indication, </w:t>
      </w:r>
      <w:proofErr w:type="spellStart"/>
      <w:r w:rsidRPr="00700758">
        <w:rPr>
          <w:rFonts w:cstheme="minorHAnsi"/>
          <w:sz w:val="24"/>
          <w:szCs w:val="24"/>
        </w:rPr>
        <w:t>etc</w:t>
      </w:r>
      <w:proofErr w:type="spellEnd"/>
      <w:r w:rsidRPr="00700758">
        <w:rPr>
          <w:rFonts w:cstheme="minorHAnsi"/>
          <w:sz w:val="24"/>
          <w:szCs w:val="24"/>
        </w:rPr>
        <w:t>)</w:t>
      </w:r>
    </w:p>
    <w:p w14:paraId="116380C6" w14:textId="07DE123F" w:rsidR="009D0EC2" w:rsidRPr="00700758" w:rsidRDefault="009D0EC2" w:rsidP="00C0250D">
      <w:pPr>
        <w:pStyle w:val="ListParagraph"/>
        <w:numPr>
          <w:ilvl w:val="2"/>
          <w:numId w:val="8"/>
        </w:numPr>
        <w:rPr>
          <w:rFonts w:cstheme="minorHAnsi"/>
          <w:sz w:val="24"/>
          <w:szCs w:val="24"/>
        </w:rPr>
      </w:pPr>
      <w:r w:rsidRPr="00700758">
        <w:rPr>
          <w:rFonts w:cstheme="minorHAnsi"/>
          <w:sz w:val="24"/>
          <w:szCs w:val="24"/>
        </w:rPr>
        <w:t>Logistical Regression modelling to account for other aspects</w:t>
      </w:r>
    </w:p>
    <w:p w14:paraId="6D6EB794" w14:textId="5A783AF7" w:rsidR="00DF0C19" w:rsidRPr="00700758" w:rsidRDefault="00DF0C19" w:rsidP="00C0250D">
      <w:pPr>
        <w:pStyle w:val="ListParagraph"/>
        <w:numPr>
          <w:ilvl w:val="3"/>
          <w:numId w:val="8"/>
        </w:numPr>
        <w:rPr>
          <w:rFonts w:cstheme="minorHAnsi"/>
          <w:sz w:val="24"/>
          <w:szCs w:val="24"/>
        </w:rPr>
      </w:pPr>
      <w:r w:rsidRPr="00700758">
        <w:rPr>
          <w:rFonts w:cstheme="minorHAnsi"/>
          <w:sz w:val="24"/>
          <w:szCs w:val="24"/>
        </w:rPr>
        <w:t>Consider differences of differences</w:t>
      </w:r>
    </w:p>
    <w:p w14:paraId="11E48DC8" w14:textId="4CB41D6E" w:rsidR="00911B76" w:rsidRPr="00700758" w:rsidRDefault="009D0EC2" w:rsidP="00C0250D">
      <w:pPr>
        <w:pStyle w:val="ListParagraph"/>
        <w:numPr>
          <w:ilvl w:val="0"/>
          <w:numId w:val="8"/>
        </w:numPr>
        <w:rPr>
          <w:rFonts w:cstheme="minorHAnsi"/>
          <w:sz w:val="24"/>
          <w:szCs w:val="24"/>
        </w:rPr>
      </w:pPr>
      <w:r w:rsidRPr="00700758">
        <w:rPr>
          <w:rFonts w:cstheme="minorHAnsi"/>
          <w:sz w:val="24"/>
          <w:szCs w:val="24"/>
        </w:rPr>
        <w:t>Sample Size Calculation</w:t>
      </w:r>
    </w:p>
    <w:p w14:paraId="34D9E2D9" w14:textId="0CA601E0" w:rsidR="009D0EC2" w:rsidRPr="00700758" w:rsidRDefault="00F11E17" w:rsidP="00C0250D">
      <w:pPr>
        <w:pStyle w:val="ListParagraph"/>
        <w:numPr>
          <w:ilvl w:val="1"/>
          <w:numId w:val="8"/>
        </w:numPr>
        <w:rPr>
          <w:rFonts w:cstheme="minorHAnsi"/>
          <w:sz w:val="24"/>
          <w:szCs w:val="24"/>
        </w:rPr>
      </w:pPr>
      <w:r w:rsidRPr="00700758">
        <w:rPr>
          <w:rFonts w:cstheme="minorHAnsi"/>
          <w:sz w:val="24"/>
          <w:szCs w:val="24"/>
        </w:rPr>
        <w:t xml:space="preserve">If estimate baseline </w:t>
      </w:r>
      <w:r w:rsidR="000E5F87" w:rsidRPr="00700758">
        <w:rPr>
          <w:rFonts w:cstheme="minorHAnsi"/>
          <w:sz w:val="24"/>
          <w:szCs w:val="24"/>
        </w:rPr>
        <w:t xml:space="preserve">40% use of VTE </w:t>
      </w:r>
      <w:proofErr w:type="spellStart"/>
      <w:r w:rsidR="000E5F87" w:rsidRPr="00700758">
        <w:rPr>
          <w:rFonts w:cstheme="minorHAnsi"/>
          <w:sz w:val="24"/>
          <w:szCs w:val="24"/>
        </w:rPr>
        <w:t>ppx</w:t>
      </w:r>
      <w:proofErr w:type="spellEnd"/>
      <w:r w:rsidR="000E5F87" w:rsidRPr="00700758">
        <w:rPr>
          <w:rFonts w:cstheme="minorHAnsi"/>
          <w:sz w:val="24"/>
          <w:szCs w:val="24"/>
        </w:rPr>
        <w:t xml:space="preserve"> at first time interval, will need ~</w:t>
      </w:r>
      <w:r w:rsidR="00F36E6D" w:rsidRPr="00700758">
        <w:rPr>
          <w:rFonts w:cstheme="minorHAnsi"/>
          <w:sz w:val="24"/>
          <w:szCs w:val="24"/>
        </w:rPr>
        <w:t>1000</w:t>
      </w:r>
      <w:r w:rsidR="000E5F87" w:rsidRPr="00700758">
        <w:rPr>
          <w:rFonts w:cstheme="minorHAnsi"/>
          <w:sz w:val="24"/>
          <w:szCs w:val="24"/>
        </w:rPr>
        <w:t xml:space="preserve"> participants to find effect size of 10% difference across time with above alpha and power. </w:t>
      </w:r>
    </w:p>
    <w:p w14:paraId="57A29F61" w14:textId="0617018D" w:rsidR="00DD269D" w:rsidRPr="00700758" w:rsidRDefault="007E46E4" w:rsidP="00DD269D">
      <w:pPr>
        <w:rPr>
          <w:rFonts w:cstheme="minorHAnsi"/>
          <w:sz w:val="24"/>
          <w:szCs w:val="24"/>
        </w:rPr>
      </w:pPr>
      <w:r w:rsidRPr="00700758">
        <w:rPr>
          <w:rFonts w:cstheme="minorHAnsi"/>
          <w:sz w:val="24"/>
          <w:szCs w:val="24"/>
        </w:rPr>
        <w:t>Ethical Considerations</w:t>
      </w:r>
    </w:p>
    <w:p w14:paraId="3BA33825" w14:textId="32B5F49D" w:rsidR="007E46E4" w:rsidRDefault="00C0250D" w:rsidP="007E46E4">
      <w:pPr>
        <w:pStyle w:val="ListParagraph"/>
        <w:numPr>
          <w:ilvl w:val="0"/>
          <w:numId w:val="9"/>
        </w:numPr>
        <w:rPr>
          <w:rFonts w:cstheme="minorHAnsi"/>
          <w:sz w:val="24"/>
          <w:szCs w:val="24"/>
        </w:rPr>
      </w:pPr>
      <w:r>
        <w:rPr>
          <w:rFonts w:cstheme="minorHAnsi"/>
          <w:sz w:val="24"/>
          <w:szCs w:val="24"/>
        </w:rPr>
        <w:t>Potential harm to participants and ethical issues</w:t>
      </w:r>
      <w:r w:rsidR="00A63831">
        <w:rPr>
          <w:rFonts w:cstheme="minorHAnsi"/>
          <w:sz w:val="24"/>
          <w:szCs w:val="24"/>
        </w:rPr>
        <w:t xml:space="preserve"> posted by your study</w:t>
      </w:r>
    </w:p>
    <w:p w14:paraId="0975F01F" w14:textId="1B6E1F34" w:rsidR="00A63831" w:rsidRDefault="00A63831" w:rsidP="00A63831">
      <w:pPr>
        <w:pStyle w:val="ListParagraph"/>
        <w:numPr>
          <w:ilvl w:val="1"/>
          <w:numId w:val="9"/>
        </w:numPr>
        <w:rPr>
          <w:rFonts w:cstheme="minorHAnsi"/>
          <w:sz w:val="24"/>
          <w:szCs w:val="24"/>
        </w:rPr>
      </w:pPr>
      <w:r>
        <w:rPr>
          <w:rFonts w:cstheme="minorHAnsi"/>
          <w:sz w:val="24"/>
          <w:szCs w:val="24"/>
        </w:rPr>
        <w:t>Given that this is a retrospective review, possible harms include loss of confidentiality and data breach for participants and or their surviving family members in the case of individuals that have since passed</w:t>
      </w:r>
    </w:p>
    <w:p w14:paraId="6AAFE1A8" w14:textId="27FE471C" w:rsidR="00A63831" w:rsidRDefault="00A63831" w:rsidP="00A63831">
      <w:pPr>
        <w:pStyle w:val="ListParagraph"/>
        <w:numPr>
          <w:ilvl w:val="1"/>
          <w:numId w:val="9"/>
        </w:numPr>
        <w:rPr>
          <w:rFonts w:cstheme="minorHAnsi"/>
          <w:sz w:val="24"/>
          <w:szCs w:val="24"/>
        </w:rPr>
      </w:pPr>
      <w:r>
        <w:rPr>
          <w:rFonts w:cstheme="minorHAnsi"/>
          <w:sz w:val="24"/>
          <w:szCs w:val="24"/>
        </w:rPr>
        <w:t xml:space="preserve">There is the concern that results from the study may go on to lead to erroneous conclusions that may lead future populations to receive harm. For </w:t>
      </w:r>
      <w:r w:rsidR="00691892">
        <w:rPr>
          <w:rFonts w:cstheme="minorHAnsi"/>
          <w:sz w:val="24"/>
          <w:szCs w:val="24"/>
        </w:rPr>
        <w:t>example,</w:t>
      </w:r>
      <w:r>
        <w:rPr>
          <w:rFonts w:cstheme="minorHAnsi"/>
          <w:sz w:val="24"/>
          <w:szCs w:val="24"/>
        </w:rPr>
        <w:t xml:space="preserve"> the concern that we may expand anticoagulation to individuals who otherwise wouldn’t benefit or that it would be harmful</w:t>
      </w:r>
    </w:p>
    <w:p w14:paraId="25E6A6AB" w14:textId="06798877" w:rsidR="00A63831" w:rsidRPr="00700758" w:rsidRDefault="00A63831" w:rsidP="00A63831">
      <w:pPr>
        <w:pStyle w:val="ListParagraph"/>
        <w:numPr>
          <w:ilvl w:val="0"/>
          <w:numId w:val="9"/>
        </w:numPr>
        <w:rPr>
          <w:rFonts w:cstheme="minorHAnsi"/>
          <w:sz w:val="24"/>
          <w:szCs w:val="24"/>
        </w:rPr>
      </w:pPr>
      <w:r>
        <w:rPr>
          <w:rFonts w:cstheme="minorHAnsi"/>
          <w:sz w:val="24"/>
          <w:szCs w:val="24"/>
        </w:rPr>
        <w:t>Describe</w:t>
      </w:r>
      <w:r w:rsidR="00691892">
        <w:rPr>
          <w:rFonts w:cstheme="minorHAnsi"/>
          <w:sz w:val="24"/>
          <w:szCs w:val="24"/>
        </w:rPr>
        <w:t xml:space="preserve"> ways that you have attempted to mitigate ethical issues using inclusion/exclusion criteria, study design, measurements, or other approaches.</w:t>
      </w:r>
    </w:p>
    <w:p w14:paraId="1ADC9676" w14:textId="77777777" w:rsidR="00EF2E4C" w:rsidRPr="00700758" w:rsidRDefault="00EF2E4C" w:rsidP="00EF2E4C">
      <w:pPr>
        <w:pStyle w:val="ListParagraph"/>
        <w:spacing w:line="256" w:lineRule="auto"/>
        <w:ind w:left="2160"/>
        <w:rPr>
          <w:rFonts w:cstheme="minorHAnsi"/>
          <w:sz w:val="24"/>
          <w:szCs w:val="24"/>
        </w:rPr>
      </w:pPr>
    </w:p>
    <w:p w14:paraId="4BAEAAEA" w14:textId="77777777" w:rsidR="00C16CF2" w:rsidRPr="00700758" w:rsidRDefault="00C16CF2" w:rsidP="00C16CF2">
      <w:pPr>
        <w:pStyle w:val="ListParagraph"/>
        <w:spacing w:line="256" w:lineRule="auto"/>
        <w:ind w:left="1440"/>
        <w:rPr>
          <w:rFonts w:cstheme="minorHAnsi"/>
          <w:sz w:val="24"/>
          <w:szCs w:val="24"/>
        </w:rPr>
      </w:pPr>
    </w:p>
    <w:p w14:paraId="33C15CC7" w14:textId="79DA6DAE" w:rsidR="00EF023E" w:rsidRPr="00700758" w:rsidRDefault="00C16CF2" w:rsidP="00C16CF2">
      <w:pPr>
        <w:spacing w:line="256" w:lineRule="auto"/>
        <w:rPr>
          <w:rFonts w:cstheme="minorHAnsi"/>
          <w:b/>
          <w:bCs/>
          <w:sz w:val="24"/>
          <w:szCs w:val="24"/>
        </w:rPr>
      </w:pPr>
      <w:r w:rsidRPr="00700758">
        <w:rPr>
          <w:rFonts w:cstheme="minorHAnsi"/>
          <w:b/>
          <w:bCs/>
          <w:sz w:val="24"/>
          <w:szCs w:val="24"/>
        </w:rPr>
        <w:t>References</w:t>
      </w:r>
    </w:p>
    <w:p w14:paraId="302063BD" w14:textId="77777777" w:rsidR="00C16CF2" w:rsidRPr="00700758" w:rsidRDefault="00C16CF2" w:rsidP="00C16CF2">
      <w:pPr>
        <w:spacing w:after="0" w:line="480" w:lineRule="auto"/>
        <w:ind w:hanging="480"/>
        <w:rPr>
          <w:rFonts w:eastAsia="Times New Roman" w:cstheme="minorHAnsi"/>
          <w:sz w:val="24"/>
          <w:szCs w:val="24"/>
        </w:rPr>
      </w:pPr>
      <w:r w:rsidRPr="00700758">
        <w:rPr>
          <w:rFonts w:eastAsia="Times New Roman" w:cstheme="minorHAnsi"/>
          <w:i/>
          <w:iCs/>
          <w:sz w:val="24"/>
          <w:szCs w:val="24"/>
        </w:rPr>
        <w:t>Automating venous thromboembolism risk calculation using electronic health record data upon hospital admission: The automated Padua Prediction Score | Journal of Hospital Medicine</w:t>
      </w:r>
      <w:r w:rsidRPr="00700758">
        <w:rPr>
          <w:rFonts w:eastAsia="Times New Roman" w:cstheme="minorHAnsi"/>
          <w:sz w:val="24"/>
          <w:szCs w:val="24"/>
        </w:rPr>
        <w:t xml:space="preserve">. (n.d.). Retrieved July 31, 2021, from </w:t>
      </w:r>
      <w:hyperlink r:id="rId8" w:history="1">
        <w:r w:rsidRPr="00700758">
          <w:rPr>
            <w:rFonts w:eastAsia="Times New Roman" w:cstheme="minorHAnsi"/>
            <w:color w:val="0000FF"/>
            <w:sz w:val="24"/>
            <w:szCs w:val="24"/>
            <w:u w:val="single"/>
          </w:rPr>
          <w:t>https://www.journalofhospitalmedicine.com/jhospmed/article/134477/hospital-medicine/automating-venous-thromboembolism-risk-calculation-using</w:t>
        </w:r>
      </w:hyperlink>
    </w:p>
    <w:p w14:paraId="659F291E" w14:textId="77777777" w:rsidR="00C16CF2" w:rsidRPr="00700758" w:rsidRDefault="00C16CF2" w:rsidP="00C16CF2">
      <w:pPr>
        <w:spacing w:after="0" w:line="480" w:lineRule="auto"/>
        <w:ind w:hanging="480"/>
        <w:rPr>
          <w:rFonts w:eastAsia="Times New Roman" w:cstheme="minorHAnsi"/>
          <w:sz w:val="24"/>
          <w:szCs w:val="24"/>
        </w:rPr>
      </w:pPr>
      <w:proofErr w:type="spellStart"/>
      <w:r w:rsidRPr="00700758">
        <w:rPr>
          <w:rFonts w:eastAsia="Times New Roman" w:cstheme="minorHAnsi"/>
          <w:sz w:val="24"/>
          <w:szCs w:val="24"/>
        </w:rPr>
        <w:t>Barbar</w:t>
      </w:r>
      <w:proofErr w:type="spellEnd"/>
      <w:r w:rsidRPr="00700758">
        <w:rPr>
          <w:rFonts w:eastAsia="Times New Roman" w:cstheme="minorHAnsi"/>
          <w:sz w:val="24"/>
          <w:szCs w:val="24"/>
        </w:rPr>
        <w:t xml:space="preserve">, S., </w:t>
      </w:r>
      <w:proofErr w:type="spellStart"/>
      <w:r w:rsidRPr="00700758">
        <w:rPr>
          <w:rFonts w:eastAsia="Times New Roman" w:cstheme="minorHAnsi"/>
          <w:sz w:val="24"/>
          <w:szCs w:val="24"/>
        </w:rPr>
        <w:t>Noventa</w:t>
      </w:r>
      <w:proofErr w:type="spellEnd"/>
      <w:r w:rsidRPr="00700758">
        <w:rPr>
          <w:rFonts w:eastAsia="Times New Roman" w:cstheme="minorHAnsi"/>
          <w:sz w:val="24"/>
          <w:szCs w:val="24"/>
        </w:rPr>
        <w:t xml:space="preserve">, F., </w:t>
      </w:r>
      <w:proofErr w:type="spellStart"/>
      <w:r w:rsidRPr="00700758">
        <w:rPr>
          <w:rFonts w:eastAsia="Times New Roman" w:cstheme="minorHAnsi"/>
          <w:sz w:val="24"/>
          <w:szCs w:val="24"/>
        </w:rPr>
        <w:t>Rossetto</w:t>
      </w:r>
      <w:proofErr w:type="spellEnd"/>
      <w:r w:rsidRPr="00700758">
        <w:rPr>
          <w:rFonts w:eastAsia="Times New Roman" w:cstheme="minorHAnsi"/>
          <w:sz w:val="24"/>
          <w:szCs w:val="24"/>
        </w:rPr>
        <w:t xml:space="preserve">, V., Ferrari, A., </w:t>
      </w:r>
      <w:proofErr w:type="spellStart"/>
      <w:r w:rsidRPr="00700758">
        <w:rPr>
          <w:rFonts w:eastAsia="Times New Roman" w:cstheme="minorHAnsi"/>
          <w:sz w:val="24"/>
          <w:szCs w:val="24"/>
        </w:rPr>
        <w:t>Brandolin</w:t>
      </w:r>
      <w:proofErr w:type="spellEnd"/>
      <w:r w:rsidRPr="00700758">
        <w:rPr>
          <w:rFonts w:eastAsia="Times New Roman" w:cstheme="minorHAnsi"/>
          <w:sz w:val="24"/>
          <w:szCs w:val="24"/>
        </w:rPr>
        <w:t xml:space="preserve">, B., </w:t>
      </w:r>
      <w:proofErr w:type="spellStart"/>
      <w:r w:rsidRPr="00700758">
        <w:rPr>
          <w:rFonts w:eastAsia="Times New Roman" w:cstheme="minorHAnsi"/>
          <w:sz w:val="24"/>
          <w:szCs w:val="24"/>
        </w:rPr>
        <w:t>Perlati</w:t>
      </w:r>
      <w:proofErr w:type="spellEnd"/>
      <w:r w:rsidRPr="00700758">
        <w:rPr>
          <w:rFonts w:eastAsia="Times New Roman" w:cstheme="minorHAnsi"/>
          <w:sz w:val="24"/>
          <w:szCs w:val="24"/>
        </w:rPr>
        <w:t xml:space="preserve">, M., Bon, E. D., </w:t>
      </w:r>
      <w:proofErr w:type="spellStart"/>
      <w:r w:rsidRPr="00700758">
        <w:rPr>
          <w:rFonts w:eastAsia="Times New Roman" w:cstheme="minorHAnsi"/>
          <w:sz w:val="24"/>
          <w:szCs w:val="24"/>
        </w:rPr>
        <w:t>Tormene</w:t>
      </w:r>
      <w:proofErr w:type="spellEnd"/>
      <w:r w:rsidRPr="00700758">
        <w:rPr>
          <w:rFonts w:eastAsia="Times New Roman" w:cstheme="minorHAnsi"/>
          <w:sz w:val="24"/>
          <w:szCs w:val="24"/>
        </w:rPr>
        <w:t xml:space="preserve">, D., </w:t>
      </w:r>
      <w:proofErr w:type="spellStart"/>
      <w:r w:rsidRPr="00700758">
        <w:rPr>
          <w:rFonts w:eastAsia="Times New Roman" w:cstheme="minorHAnsi"/>
          <w:sz w:val="24"/>
          <w:szCs w:val="24"/>
        </w:rPr>
        <w:t>Pagnan</w:t>
      </w:r>
      <w:proofErr w:type="spellEnd"/>
      <w:r w:rsidRPr="00700758">
        <w:rPr>
          <w:rFonts w:eastAsia="Times New Roman" w:cstheme="minorHAnsi"/>
          <w:sz w:val="24"/>
          <w:szCs w:val="24"/>
        </w:rPr>
        <w:t xml:space="preserve">, A., &amp; </w:t>
      </w:r>
      <w:proofErr w:type="spellStart"/>
      <w:r w:rsidRPr="00700758">
        <w:rPr>
          <w:rFonts w:eastAsia="Times New Roman" w:cstheme="minorHAnsi"/>
          <w:sz w:val="24"/>
          <w:szCs w:val="24"/>
        </w:rPr>
        <w:t>Prandoni</w:t>
      </w:r>
      <w:proofErr w:type="spellEnd"/>
      <w:r w:rsidRPr="00700758">
        <w:rPr>
          <w:rFonts w:eastAsia="Times New Roman" w:cstheme="minorHAnsi"/>
          <w:sz w:val="24"/>
          <w:szCs w:val="24"/>
        </w:rPr>
        <w:t xml:space="preserve">, P. (2010). A risk assessment model for the identification of hospitalized medical patients at risk for venous thromboembolism: The Padua Prediction Score. </w:t>
      </w:r>
      <w:r w:rsidRPr="00700758">
        <w:rPr>
          <w:rFonts w:eastAsia="Times New Roman" w:cstheme="minorHAnsi"/>
          <w:i/>
          <w:iCs/>
          <w:sz w:val="24"/>
          <w:szCs w:val="24"/>
        </w:rPr>
        <w:t xml:space="preserve">Journal of Thrombosis and </w:t>
      </w:r>
      <w:proofErr w:type="spellStart"/>
      <w:r w:rsidRPr="00700758">
        <w:rPr>
          <w:rFonts w:eastAsia="Times New Roman" w:cstheme="minorHAnsi"/>
          <w:i/>
          <w:iCs/>
          <w:sz w:val="24"/>
          <w:szCs w:val="24"/>
        </w:rPr>
        <w:t>Haemostasis</w:t>
      </w:r>
      <w:proofErr w:type="spellEnd"/>
      <w:r w:rsidRPr="00700758">
        <w:rPr>
          <w:rFonts w:eastAsia="Times New Roman" w:cstheme="minorHAnsi"/>
          <w:sz w:val="24"/>
          <w:szCs w:val="24"/>
        </w:rPr>
        <w:t xml:space="preserve">, </w:t>
      </w:r>
      <w:r w:rsidRPr="00700758">
        <w:rPr>
          <w:rFonts w:eastAsia="Times New Roman" w:cstheme="minorHAnsi"/>
          <w:i/>
          <w:iCs/>
          <w:sz w:val="24"/>
          <w:szCs w:val="24"/>
        </w:rPr>
        <w:t>8</w:t>
      </w:r>
      <w:r w:rsidRPr="00700758">
        <w:rPr>
          <w:rFonts w:eastAsia="Times New Roman" w:cstheme="minorHAnsi"/>
          <w:sz w:val="24"/>
          <w:szCs w:val="24"/>
        </w:rPr>
        <w:t xml:space="preserve">(11), 2450–2457. </w:t>
      </w:r>
      <w:hyperlink r:id="rId9" w:history="1">
        <w:r w:rsidRPr="00700758">
          <w:rPr>
            <w:rFonts w:eastAsia="Times New Roman" w:cstheme="minorHAnsi"/>
            <w:color w:val="0000FF"/>
            <w:sz w:val="24"/>
            <w:szCs w:val="24"/>
            <w:u w:val="single"/>
          </w:rPr>
          <w:t>https://doi.org/10.1111/j.1538-7836.2010.04044.x</w:t>
        </w:r>
      </w:hyperlink>
    </w:p>
    <w:p w14:paraId="25F94D79" w14:textId="77777777" w:rsidR="00C16CF2" w:rsidRPr="00700758" w:rsidRDefault="00C16CF2" w:rsidP="00C16CF2">
      <w:pPr>
        <w:spacing w:after="0" w:line="480" w:lineRule="auto"/>
        <w:ind w:hanging="480"/>
        <w:rPr>
          <w:rFonts w:eastAsia="Times New Roman" w:cstheme="minorHAnsi"/>
          <w:sz w:val="24"/>
          <w:szCs w:val="24"/>
        </w:rPr>
      </w:pPr>
      <w:proofErr w:type="spellStart"/>
      <w:r w:rsidRPr="00700758">
        <w:rPr>
          <w:rFonts w:eastAsia="Times New Roman" w:cstheme="minorHAnsi"/>
          <w:sz w:val="24"/>
          <w:szCs w:val="24"/>
        </w:rPr>
        <w:t>Borab</w:t>
      </w:r>
      <w:proofErr w:type="spellEnd"/>
      <w:r w:rsidRPr="00700758">
        <w:rPr>
          <w:rFonts w:eastAsia="Times New Roman" w:cstheme="minorHAnsi"/>
          <w:sz w:val="24"/>
          <w:szCs w:val="24"/>
        </w:rPr>
        <w:t xml:space="preserve">, Z. M., </w:t>
      </w:r>
      <w:proofErr w:type="spellStart"/>
      <w:r w:rsidRPr="00700758">
        <w:rPr>
          <w:rFonts w:eastAsia="Times New Roman" w:cstheme="minorHAnsi"/>
          <w:sz w:val="24"/>
          <w:szCs w:val="24"/>
        </w:rPr>
        <w:t>Lanni</w:t>
      </w:r>
      <w:proofErr w:type="spellEnd"/>
      <w:r w:rsidRPr="00700758">
        <w:rPr>
          <w:rFonts w:eastAsia="Times New Roman" w:cstheme="minorHAnsi"/>
          <w:sz w:val="24"/>
          <w:szCs w:val="24"/>
        </w:rPr>
        <w:t xml:space="preserve">, M. A., </w:t>
      </w:r>
      <w:proofErr w:type="spellStart"/>
      <w:r w:rsidRPr="00700758">
        <w:rPr>
          <w:rFonts w:eastAsia="Times New Roman" w:cstheme="minorHAnsi"/>
          <w:sz w:val="24"/>
          <w:szCs w:val="24"/>
        </w:rPr>
        <w:t>Tecce</w:t>
      </w:r>
      <w:proofErr w:type="spellEnd"/>
      <w:r w:rsidRPr="00700758">
        <w:rPr>
          <w:rFonts w:eastAsia="Times New Roman" w:cstheme="minorHAnsi"/>
          <w:sz w:val="24"/>
          <w:szCs w:val="24"/>
        </w:rPr>
        <w:t xml:space="preserve">, M. G., </w:t>
      </w:r>
      <w:proofErr w:type="spellStart"/>
      <w:r w:rsidRPr="00700758">
        <w:rPr>
          <w:rFonts w:eastAsia="Times New Roman" w:cstheme="minorHAnsi"/>
          <w:sz w:val="24"/>
          <w:szCs w:val="24"/>
        </w:rPr>
        <w:t>Pannucci</w:t>
      </w:r>
      <w:proofErr w:type="spellEnd"/>
      <w:r w:rsidRPr="00700758">
        <w:rPr>
          <w:rFonts w:eastAsia="Times New Roman" w:cstheme="minorHAnsi"/>
          <w:sz w:val="24"/>
          <w:szCs w:val="24"/>
        </w:rPr>
        <w:t xml:space="preserve">, C. J., &amp; Fischer, J. P. (2017). Use of Computerized Clinical Decision Support Systems to Prevent Venous Thromboembolism in Surgical Patients: A Systematic Review and Meta-analysis. </w:t>
      </w:r>
      <w:r w:rsidRPr="00700758">
        <w:rPr>
          <w:rFonts w:eastAsia="Times New Roman" w:cstheme="minorHAnsi"/>
          <w:i/>
          <w:iCs/>
          <w:sz w:val="24"/>
          <w:szCs w:val="24"/>
        </w:rPr>
        <w:t>JAMA Surgery</w:t>
      </w:r>
      <w:r w:rsidRPr="00700758">
        <w:rPr>
          <w:rFonts w:eastAsia="Times New Roman" w:cstheme="minorHAnsi"/>
          <w:sz w:val="24"/>
          <w:szCs w:val="24"/>
        </w:rPr>
        <w:t xml:space="preserve">, </w:t>
      </w:r>
      <w:r w:rsidRPr="00700758">
        <w:rPr>
          <w:rFonts w:eastAsia="Times New Roman" w:cstheme="minorHAnsi"/>
          <w:i/>
          <w:iCs/>
          <w:sz w:val="24"/>
          <w:szCs w:val="24"/>
        </w:rPr>
        <w:t>152</w:t>
      </w:r>
      <w:r w:rsidRPr="00700758">
        <w:rPr>
          <w:rFonts w:eastAsia="Times New Roman" w:cstheme="minorHAnsi"/>
          <w:sz w:val="24"/>
          <w:szCs w:val="24"/>
        </w:rPr>
        <w:t xml:space="preserve">(7), 638–645. </w:t>
      </w:r>
      <w:hyperlink r:id="rId10" w:history="1">
        <w:r w:rsidRPr="00700758">
          <w:rPr>
            <w:rFonts w:eastAsia="Times New Roman" w:cstheme="minorHAnsi"/>
            <w:color w:val="0000FF"/>
            <w:sz w:val="24"/>
            <w:szCs w:val="24"/>
            <w:u w:val="single"/>
          </w:rPr>
          <w:t>https://doi.org/10.1001/jamasurg.2017.0131</w:t>
        </w:r>
      </w:hyperlink>
    </w:p>
    <w:p w14:paraId="681DF22C" w14:textId="77777777" w:rsidR="00C16CF2" w:rsidRPr="00700758" w:rsidRDefault="00C16CF2" w:rsidP="00C16CF2">
      <w:pPr>
        <w:spacing w:after="0" w:line="480" w:lineRule="auto"/>
        <w:ind w:hanging="480"/>
        <w:rPr>
          <w:rFonts w:eastAsia="Times New Roman" w:cstheme="minorHAnsi"/>
          <w:sz w:val="24"/>
          <w:szCs w:val="24"/>
        </w:rPr>
      </w:pPr>
      <w:r w:rsidRPr="00700758">
        <w:rPr>
          <w:rFonts w:eastAsia="Times New Roman" w:cstheme="minorHAnsi"/>
          <w:sz w:val="24"/>
          <w:szCs w:val="24"/>
        </w:rPr>
        <w:t xml:space="preserve">Correction to quality of evidence rating in: Prevention of VTE in Nonsurgical Patients: Antithrombotic Therapy and Prevention of Thrombosis, 9th ed: American College of Chest Physicians Evidence-Based Clinical Practice Guidelines. (2013). </w:t>
      </w:r>
      <w:r w:rsidRPr="00700758">
        <w:rPr>
          <w:rFonts w:eastAsia="Times New Roman" w:cstheme="minorHAnsi"/>
          <w:i/>
          <w:iCs/>
          <w:sz w:val="24"/>
          <w:szCs w:val="24"/>
        </w:rPr>
        <w:t>CHEST</w:t>
      </w:r>
      <w:r w:rsidRPr="00700758">
        <w:rPr>
          <w:rFonts w:eastAsia="Times New Roman" w:cstheme="minorHAnsi"/>
          <w:sz w:val="24"/>
          <w:szCs w:val="24"/>
        </w:rPr>
        <w:t xml:space="preserve">, </w:t>
      </w:r>
      <w:r w:rsidRPr="00700758">
        <w:rPr>
          <w:rFonts w:eastAsia="Times New Roman" w:cstheme="minorHAnsi"/>
          <w:i/>
          <w:iCs/>
          <w:sz w:val="24"/>
          <w:szCs w:val="24"/>
        </w:rPr>
        <w:t>144</w:t>
      </w:r>
      <w:r w:rsidRPr="00700758">
        <w:rPr>
          <w:rFonts w:eastAsia="Times New Roman" w:cstheme="minorHAnsi"/>
          <w:sz w:val="24"/>
          <w:szCs w:val="24"/>
        </w:rPr>
        <w:t xml:space="preserve">(4), 1428. </w:t>
      </w:r>
      <w:hyperlink r:id="rId11" w:history="1">
        <w:r w:rsidRPr="00700758">
          <w:rPr>
            <w:rFonts w:eastAsia="Times New Roman" w:cstheme="minorHAnsi"/>
            <w:color w:val="0000FF"/>
            <w:sz w:val="24"/>
            <w:szCs w:val="24"/>
            <w:u w:val="single"/>
          </w:rPr>
          <w:t>https://doi.org/10.1378/chest.13-1892</w:t>
        </w:r>
      </w:hyperlink>
    </w:p>
    <w:p w14:paraId="5FE06C4E" w14:textId="77777777" w:rsidR="00C16CF2" w:rsidRPr="00700758" w:rsidRDefault="00C16CF2" w:rsidP="00C16CF2">
      <w:pPr>
        <w:spacing w:after="0" w:line="480" w:lineRule="auto"/>
        <w:ind w:hanging="480"/>
        <w:rPr>
          <w:rFonts w:eastAsia="Times New Roman" w:cstheme="minorHAnsi"/>
          <w:sz w:val="24"/>
          <w:szCs w:val="24"/>
        </w:rPr>
      </w:pPr>
      <w:proofErr w:type="spellStart"/>
      <w:r w:rsidRPr="00700758">
        <w:rPr>
          <w:rFonts w:eastAsia="Times New Roman" w:cstheme="minorHAnsi"/>
          <w:sz w:val="24"/>
          <w:szCs w:val="24"/>
        </w:rPr>
        <w:t>Decousus</w:t>
      </w:r>
      <w:proofErr w:type="spellEnd"/>
      <w:r w:rsidRPr="00700758">
        <w:rPr>
          <w:rFonts w:eastAsia="Times New Roman" w:cstheme="minorHAnsi"/>
          <w:sz w:val="24"/>
          <w:szCs w:val="24"/>
        </w:rPr>
        <w:t xml:space="preserve">, H., </w:t>
      </w:r>
      <w:proofErr w:type="spellStart"/>
      <w:r w:rsidRPr="00700758">
        <w:rPr>
          <w:rFonts w:eastAsia="Times New Roman" w:cstheme="minorHAnsi"/>
          <w:sz w:val="24"/>
          <w:szCs w:val="24"/>
        </w:rPr>
        <w:t>Tapson</w:t>
      </w:r>
      <w:proofErr w:type="spellEnd"/>
      <w:r w:rsidRPr="00700758">
        <w:rPr>
          <w:rFonts w:eastAsia="Times New Roman" w:cstheme="minorHAnsi"/>
          <w:sz w:val="24"/>
          <w:szCs w:val="24"/>
        </w:rPr>
        <w:t xml:space="preserve">, V. F., Bergmann, J.-F., Chong, B. H., Froehlich, J. B., </w:t>
      </w:r>
      <w:proofErr w:type="spellStart"/>
      <w:r w:rsidRPr="00700758">
        <w:rPr>
          <w:rFonts w:eastAsia="Times New Roman" w:cstheme="minorHAnsi"/>
          <w:sz w:val="24"/>
          <w:szCs w:val="24"/>
        </w:rPr>
        <w:t>Kakkar</w:t>
      </w:r>
      <w:proofErr w:type="spellEnd"/>
      <w:r w:rsidRPr="00700758">
        <w:rPr>
          <w:rFonts w:eastAsia="Times New Roman" w:cstheme="minorHAnsi"/>
          <w:sz w:val="24"/>
          <w:szCs w:val="24"/>
        </w:rPr>
        <w:t xml:space="preserve">, A. K., </w:t>
      </w:r>
      <w:proofErr w:type="spellStart"/>
      <w:r w:rsidRPr="00700758">
        <w:rPr>
          <w:rFonts w:eastAsia="Times New Roman" w:cstheme="minorHAnsi"/>
          <w:sz w:val="24"/>
          <w:szCs w:val="24"/>
        </w:rPr>
        <w:t>Merli</w:t>
      </w:r>
      <w:proofErr w:type="spellEnd"/>
      <w:r w:rsidRPr="00700758">
        <w:rPr>
          <w:rFonts w:eastAsia="Times New Roman" w:cstheme="minorHAnsi"/>
          <w:sz w:val="24"/>
          <w:szCs w:val="24"/>
        </w:rPr>
        <w:t xml:space="preserve">, G. J., </w:t>
      </w:r>
      <w:proofErr w:type="spellStart"/>
      <w:r w:rsidRPr="00700758">
        <w:rPr>
          <w:rFonts w:eastAsia="Times New Roman" w:cstheme="minorHAnsi"/>
          <w:sz w:val="24"/>
          <w:szCs w:val="24"/>
        </w:rPr>
        <w:t>Monreal</w:t>
      </w:r>
      <w:proofErr w:type="spellEnd"/>
      <w:r w:rsidRPr="00700758">
        <w:rPr>
          <w:rFonts w:eastAsia="Times New Roman" w:cstheme="minorHAnsi"/>
          <w:sz w:val="24"/>
          <w:szCs w:val="24"/>
        </w:rPr>
        <w:t xml:space="preserve">, M., Nakamura, M., </w:t>
      </w:r>
      <w:proofErr w:type="spellStart"/>
      <w:r w:rsidRPr="00700758">
        <w:rPr>
          <w:rFonts w:eastAsia="Times New Roman" w:cstheme="minorHAnsi"/>
          <w:sz w:val="24"/>
          <w:szCs w:val="24"/>
        </w:rPr>
        <w:t>Pavanello</w:t>
      </w:r>
      <w:proofErr w:type="spellEnd"/>
      <w:r w:rsidRPr="00700758">
        <w:rPr>
          <w:rFonts w:eastAsia="Times New Roman" w:cstheme="minorHAnsi"/>
          <w:sz w:val="24"/>
          <w:szCs w:val="24"/>
        </w:rPr>
        <w:t xml:space="preserve">, R., </w:t>
      </w:r>
      <w:proofErr w:type="spellStart"/>
      <w:r w:rsidRPr="00700758">
        <w:rPr>
          <w:rFonts w:eastAsia="Times New Roman" w:cstheme="minorHAnsi"/>
          <w:sz w:val="24"/>
          <w:szCs w:val="24"/>
        </w:rPr>
        <w:t>Pini</w:t>
      </w:r>
      <w:proofErr w:type="spellEnd"/>
      <w:r w:rsidRPr="00700758">
        <w:rPr>
          <w:rFonts w:eastAsia="Times New Roman" w:cstheme="minorHAnsi"/>
          <w:sz w:val="24"/>
          <w:szCs w:val="24"/>
        </w:rPr>
        <w:t xml:space="preserve">, M., </w:t>
      </w:r>
      <w:proofErr w:type="spellStart"/>
      <w:r w:rsidRPr="00700758">
        <w:rPr>
          <w:rFonts w:eastAsia="Times New Roman" w:cstheme="minorHAnsi"/>
          <w:sz w:val="24"/>
          <w:szCs w:val="24"/>
        </w:rPr>
        <w:t>Piovella</w:t>
      </w:r>
      <w:proofErr w:type="spellEnd"/>
      <w:r w:rsidRPr="00700758">
        <w:rPr>
          <w:rFonts w:eastAsia="Times New Roman" w:cstheme="minorHAnsi"/>
          <w:sz w:val="24"/>
          <w:szCs w:val="24"/>
        </w:rPr>
        <w:t xml:space="preserve">, F., Spencer, F. A., Spyropoulos, A. C., </w:t>
      </w:r>
      <w:proofErr w:type="spellStart"/>
      <w:r w:rsidRPr="00700758">
        <w:rPr>
          <w:rFonts w:eastAsia="Times New Roman" w:cstheme="minorHAnsi"/>
          <w:sz w:val="24"/>
          <w:szCs w:val="24"/>
        </w:rPr>
        <w:t>Turpie</w:t>
      </w:r>
      <w:proofErr w:type="spellEnd"/>
      <w:r w:rsidRPr="00700758">
        <w:rPr>
          <w:rFonts w:eastAsia="Times New Roman" w:cstheme="minorHAnsi"/>
          <w:sz w:val="24"/>
          <w:szCs w:val="24"/>
        </w:rPr>
        <w:t xml:space="preserve">, A. G. G., Zotz, R. B., FitzGerald, G., &amp; Anderson, F. A. (2011). Factors at Admission Associated </w:t>
      </w:r>
      <w:proofErr w:type="gramStart"/>
      <w:r w:rsidRPr="00700758">
        <w:rPr>
          <w:rFonts w:eastAsia="Times New Roman" w:cstheme="minorHAnsi"/>
          <w:sz w:val="24"/>
          <w:szCs w:val="24"/>
        </w:rPr>
        <w:t>With</w:t>
      </w:r>
      <w:proofErr w:type="gramEnd"/>
      <w:r w:rsidRPr="00700758">
        <w:rPr>
          <w:rFonts w:eastAsia="Times New Roman" w:cstheme="minorHAnsi"/>
          <w:sz w:val="24"/>
          <w:szCs w:val="24"/>
        </w:rPr>
        <w:t xml:space="preserve"> Bleeding Risk in Medical Patients: Findings From the IMPROVE Investigators. </w:t>
      </w:r>
      <w:r w:rsidRPr="00700758">
        <w:rPr>
          <w:rFonts w:eastAsia="Times New Roman" w:cstheme="minorHAnsi"/>
          <w:i/>
          <w:iCs/>
          <w:sz w:val="24"/>
          <w:szCs w:val="24"/>
        </w:rPr>
        <w:t>Chest</w:t>
      </w:r>
      <w:r w:rsidRPr="00700758">
        <w:rPr>
          <w:rFonts w:eastAsia="Times New Roman" w:cstheme="minorHAnsi"/>
          <w:sz w:val="24"/>
          <w:szCs w:val="24"/>
        </w:rPr>
        <w:t xml:space="preserve">, </w:t>
      </w:r>
      <w:r w:rsidRPr="00700758">
        <w:rPr>
          <w:rFonts w:eastAsia="Times New Roman" w:cstheme="minorHAnsi"/>
          <w:i/>
          <w:iCs/>
          <w:sz w:val="24"/>
          <w:szCs w:val="24"/>
        </w:rPr>
        <w:t>139</w:t>
      </w:r>
      <w:r w:rsidRPr="00700758">
        <w:rPr>
          <w:rFonts w:eastAsia="Times New Roman" w:cstheme="minorHAnsi"/>
          <w:sz w:val="24"/>
          <w:szCs w:val="24"/>
        </w:rPr>
        <w:t xml:space="preserve">(1), 69–79. </w:t>
      </w:r>
      <w:hyperlink r:id="rId12" w:history="1">
        <w:r w:rsidRPr="00700758">
          <w:rPr>
            <w:rFonts w:eastAsia="Times New Roman" w:cstheme="minorHAnsi"/>
            <w:color w:val="0000FF"/>
            <w:sz w:val="24"/>
            <w:szCs w:val="24"/>
            <w:u w:val="single"/>
          </w:rPr>
          <w:t>https://doi.org/10.1378/chest.09-3081</w:t>
        </w:r>
      </w:hyperlink>
    </w:p>
    <w:p w14:paraId="3FA7E2DF" w14:textId="77777777" w:rsidR="00C16CF2" w:rsidRPr="00700758" w:rsidRDefault="00C16CF2" w:rsidP="00C16CF2">
      <w:pPr>
        <w:spacing w:after="0" w:line="480" w:lineRule="auto"/>
        <w:ind w:hanging="480"/>
        <w:rPr>
          <w:rFonts w:eastAsia="Times New Roman" w:cstheme="minorHAnsi"/>
          <w:sz w:val="24"/>
          <w:szCs w:val="24"/>
        </w:rPr>
      </w:pPr>
      <w:r w:rsidRPr="00700758">
        <w:rPr>
          <w:rFonts w:eastAsia="Times New Roman" w:cstheme="minorHAnsi"/>
          <w:sz w:val="24"/>
          <w:szCs w:val="24"/>
        </w:rPr>
        <w:t xml:space="preserve">Elias, P., Khanna, R., Dudley, A., Davies, J., </w:t>
      </w:r>
      <w:proofErr w:type="spellStart"/>
      <w:r w:rsidRPr="00700758">
        <w:rPr>
          <w:rFonts w:eastAsia="Times New Roman" w:cstheme="minorHAnsi"/>
          <w:sz w:val="24"/>
          <w:szCs w:val="24"/>
        </w:rPr>
        <w:t>Jacolbia</w:t>
      </w:r>
      <w:proofErr w:type="spellEnd"/>
      <w:r w:rsidRPr="00700758">
        <w:rPr>
          <w:rFonts w:eastAsia="Times New Roman" w:cstheme="minorHAnsi"/>
          <w:sz w:val="24"/>
          <w:szCs w:val="24"/>
        </w:rPr>
        <w:t xml:space="preserve">, R., McArthur, K., &amp; Auerbach, A. D. (2017). Automating Venous Thromboembolism Risk Calculation Using Electronic Health Record Data </w:t>
      </w:r>
      <w:r w:rsidRPr="00700758">
        <w:rPr>
          <w:rFonts w:eastAsia="Times New Roman" w:cstheme="minorHAnsi"/>
          <w:sz w:val="24"/>
          <w:szCs w:val="24"/>
        </w:rPr>
        <w:lastRenderedPageBreak/>
        <w:t xml:space="preserve">upon Hospital Admission: The Automated Padua Prediction Score. </w:t>
      </w:r>
      <w:r w:rsidRPr="00700758">
        <w:rPr>
          <w:rFonts w:eastAsia="Times New Roman" w:cstheme="minorHAnsi"/>
          <w:i/>
          <w:iCs/>
          <w:sz w:val="24"/>
          <w:szCs w:val="24"/>
        </w:rPr>
        <w:t>Journal of Hospital Medicine</w:t>
      </w:r>
      <w:r w:rsidRPr="00700758">
        <w:rPr>
          <w:rFonts w:eastAsia="Times New Roman" w:cstheme="minorHAnsi"/>
          <w:sz w:val="24"/>
          <w:szCs w:val="24"/>
        </w:rPr>
        <w:t xml:space="preserve">, </w:t>
      </w:r>
      <w:r w:rsidRPr="00700758">
        <w:rPr>
          <w:rFonts w:eastAsia="Times New Roman" w:cstheme="minorHAnsi"/>
          <w:i/>
          <w:iCs/>
          <w:sz w:val="24"/>
          <w:szCs w:val="24"/>
        </w:rPr>
        <w:t>12</w:t>
      </w:r>
      <w:r w:rsidRPr="00700758">
        <w:rPr>
          <w:rFonts w:eastAsia="Times New Roman" w:cstheme="minorHAnsi"/>
          <w:sz w:val="24"/>
          <w:szCs w:val="24"/>
        </w:rPr>
        <w:t xml:space="preserve">(4), 231–237. </w:t>
      </w:r>
      <w:hyperlink r:id="rId13" w:history="1">
        <w:r w:rsidRPr="00700758">
          <w:rPr>
            <w:rFonts w:eastAsia="Times New Roman" w:cstheme="minorHAnsi"/>
            <w:color w:val="0000FF"/>
            <w:sz w:val="24"/>
            <w:szCs w:val="24"/>
            <w:u w:val="single"/>
          </w:rPr>
          <w:t>https://doi.org/10.12788/jhm.2714</w:t>
        </w:r>
      </w:hyperlink>
    </w:p>
    <w:p w14:paraId="26B76C7D" w14:textId="77777777" w:rsidR="00C16CF2" w:rsidRPr="00700758" w:rsidRDefault="00C16CF2" w:rsidP="00C16CF2">
      <w:pPr>
        <w:spacing w:after="0" w:line="480" w:lineRule="auto"/>
        <w:ind w:hanging="480"/>
        <w:rPr>
          <w:rFonts w:eastAsia="Times New Roman" w:cstheme="minorHAnsi"/>
          <w:sz w:val="24"/>
          <w:szCs w:val="24"/>
        </w:rPr>
      </w:pPr>
      <w:r w:rsidRPr="00700758">
        <w:rPr>
          <w:rFonts w:eastAsia="Times New Roman" w:cstheme="minorHAnsi"/>
          <w:sz w:val="24"/>
          <w:szCs w:val="24"/>
        </w:rPr>
        <w:t xml:space="preserve">Fitzmaurice, D. A., &amp; Murray, E. (2007). Thromboprophylaxis for adults in hospital. </w:t>
      </w:r>
      <w:r w:rsidRPr="00700758">
        <w:rPr>
          <w:rFonts w:eastAsia="Times New Roman" w:cstheme="minorHAnsi"/>
          <w:i/>
          <w:iCs/>
          <w:sz w:val="24"/>
          <w:szCs w:val="24"/>
        </w:rPr>
        <w:t>BMJ</w:t>
      </w:r>
      <w:r w:rsidRPr="00700758">
        <w:rPr>
          <w:rFonts w:eastAsia="Times New Roman" w:cstheme="minorHAnsi"/>
          <w:sz w:val="24"/>
          <w:szCs w:val="24"/>
        </w:rPr>
        <w:t xml:space="preserve">, </w:t>
      </w:r>
      <w:r w:rsidRPr="00700758">
        <w:rPr>
          <w:rFonts w:eastAsia="Times New Roman" w:cstheme="minorHAnsi"/>
          <w:i/>
          <w:iCs/>
          <w:sz w:val="24"/>
          <w:szCs w:val="24"/>
        </w:rPr>
        <w:t>334</w:t>
      </w:r>
      <w:r w:rsidRPr="00700758">
        <w:rPr>
          <w:rFonts w:eastAsia="Times New Roman" w:cstheme="minorHAnsi"/>
          <w:sz w:val="24"/>
          <w:szCs w:val="24"/>
        </w:rPr>
        <w:t xml:space="preserve">(7602), 1017–1018. </w:t>
      </w:r>
      <w:hyperlink r:id="rId14" w:history="1">
        <w:r w:rsidRPr="00700758">
          <w:rPr>
            <w:rFonts w:eastAsia="Times New Roman" w:cstheme="minorHAnsi"/>
            <w:color w:val="0000FF"/>
            <w:sz w:val="24"/>
            <w:szCs w:val="24"/>
            <w:u w:val="single"/>
          </w:rPr>
          <w:t>https://doi.org/10.1136/bmj.39210.496505.BE</w:t>
        </w:r>
      </w:hyperlink>
    </w:p>
    <w:p w14:paraId="65C9CB54" w14:textId="77777777" w:rsidR="00C16CF2" w:rsidRPr="00700758" w:rsidRDefault="00C16CF2" w:rsidP="00C16CF2">
      <w:pPr>
        <w:spacing w:after="0" w:line="480" w:lineRule="auto"/>
        <w:ind w:hanging="480"/>
        <w:rPr>
          <w:rFonts w:eastAsia="Times New Roman" w:cstheme="minorHAnsi"/>
          <w:sz w:val="24"/>
          <w:szCs w:val="24"/>
        </w:rPr>
      </w:pPr>
      <w:r w:rsidRPr="00700758">
        <w:rPr>
          <w:rFonts w:eastAsia="Times New Roman" w:cstheme="minorHAnsi"/>
          <w:sz w:val="24"/>
          <w:szCs w:val="24"/>
        </w:rPr>
        <w:t xml:space="preserve">Grant, P. J., Conlon, A., Chopra, V., &amp; Flanders, S. A. (2018). Use of Venous Thromboembolism Prophylaxis in Hospitalized Patients. </w:t>
      </w:r>
      <w:r w:rsidRPr="00700758">
        <w:rPr>
          <w:rFonts w:eastAsia="Times New Roman" w:cstheme="minorHAnsi"/>
          <w:i/>
          <w:iCs/>
          <w:sz w:val="24"/>
          <w:szCs w:val="24"/>
        </w:rPr>
        <w:t>JAMA Internal Medicine</w:t>
      </w:r>
      <w:r w:rsidRPr="00700758">
        <w:rPr>
          <w:rFonts w:eastAsia="Times New Roman" w:cstheme="minorHAnsi"/>
          <w:sz w:val="24"/>
          <w:szCs w:val="24"/>
        </w:rPr>
        <w:t xml:space="preserve">, </w:t>
      </w:r>
      <w:r w:rsidRPr="00700758">
        <w:rPr>
          <w:rFonts w:eastAsia="Times New Roman" w:cstheme="minorHAnsi"/>
          <w:i/>
          <w:iCs/>
          <w:sz w:val="24"/>
          <w:szCs w:val="24"/>
        </w:rPr>
        <w:t>178</w:t>
      </w:r>
      <w:r w:rsidRPr="00700758">
        <w:rPr>
          <w:rFonts w:eastAsia="Times New Roman" w:cstheme="minorHAnsi"/>
          <w:sz w:val="24"/>
          <w:szCs w:val="24"/>
        </w:rPr>
        <w:t xml:space="preserve">(8), 1122–1124. </w:t>
      </w:r>
      <w:hyperlink r:id="rId15" w:history="1">
        <w:r w:rsidRPr="00700758">
          <w:rPr>
            <w:rFonts w:eastAsia="Times New Roman" w:cstheme="minorHAnsi"/>
            <w:color w:val="0000FF"/>
            <w:sz w:val="24"/>
            <w:szCs w:val="24"/>
            <w:u w:val="single"/>
          </w:rPr>
          <w:t>https://doi.org/10.1001/jamainternmed.2018.2022</w:t>
        </w:r>
      </w:hyperlink>
    </w:p>
    <w:p w14:paraId="098A4024" w14:textId="77777777" w:rsidR="00C16CF2" w:rsidRPr="00700758" w:rsidRDefault="00C16CF2" w:rsidP="00C16CF2">
      <w:pPr>
        <w:spacing w:after="0" w:line="480" w:lineRule="auto"/>
        <w:ind w:hanging="480"/>
        <w:rPr>
          <w:rFonts w:eastAsia="Times New Roman" w:cstheme="minorHAnsi"/>
          <w:sz w:val="24"/>
          <w:szCs w:val="24"/>
        </w:rPr>
      </w:pPr>
      <w:r w:rsidRPr="00700758">
        <w:rPr>
          <w:rFonts w:eastAsia="Times New Roman" w:cstheme="minorHAnsi"/>
          <w:sz w:val="24"/>
          <w:szCs w:val="24"/>
        </w:rPr>
        <w:t xml:space="preserve">Hostler, D. C., Marx, E. S., </w:t>
      </w:r>
      <w:proofErr w:type="spellStart"/>
      <w:r w:rsidRPr="00700758">
        <w:rPr>
          <w:rFonts w:eastAsia="Times New Roman" w:cstheme="minorHAnsi"/>
          <w:sz w:val="24"/>
          <w:szCs w:val="24"/>
        </w:rPr>
        <w:t>Moores</w:t>
      </w:r>
      <w:proofErr w:type="spellEnd"/>
      <w:r w:rsidRPr="00700758">
        <w:rPr>
          <w:rFonts w:eastAsia="Times New Roman" w:cstheme="minorHAnsi"/>
          <w:sz w:val="24"/>
          <w:szCs w:val="24"/>
        </w:rPr>
        <w:t xml:space="preserve">, L. K., </w:t>
      </w:r>
      <w:proofErr w:type="spellStart"/>
      <w:r w:rsidRPr="00700758">
        <w:rPr>
          <w:rFonts w:eastAsia="Times New Roman" w:cstheme="minorHAnsi"/>
          <w:sz w:val="24"/>
          <w:szCs w:val="24"/>
        </w:rPr>
        <w:t>Petteys</w:t>
      </w:r>
      <w:proofErr w:type="spellEnd"/>
      <w:r w:rsidRPr="00700758">
        <w:rPr>
          <w:rFonts w:eastAsia="Times New Roman" w:cstheme="minorHAnsi"/>
          <w:sz w:val="24"/>
          <w:szCs w:val="24"/>
        </w:rPr>
        <w:t xml:space="preserve">, S. K., Hostler, J. M., Mitchell, J. D., Holley, P. R., Collen, J. F., Foster, B. E., &amp; Holley, A. B. (2016). Validation of the International Medical Prevention Registry on Venous Thromboembolism Bleeding Risk Score. </w:t>
      </w:r>
      <w:r w:rsidRPr="00700758">
        <w:rPr>
          <w:rFonts w:eastAsia="Times New Roman" w:cstheme="minorHAnsi"/>
          <w:i/>
          <w:iCs/>
          <w:sz w:val="24"/>
          <w:szCs w:val="24"/>
        </w:rPr>
        <w:t>Chest</w:t>
      </w:r>
      <w:r w:rsidRPr="00700758">
        <w:rPr>
          <w:rFonts w:eastAsia="Times New Roman" w:cstheme="minorHAnsi"/>
          <w:sz w:val="24"/>
          <w:szCs w:val="24"/>
        </w:rPr>
        <w:t xml:space="preserve">, </w:t>
      </w:r>
      <w:r w:rsidRPr="00700758">
        <w:rPr>
          <w:rFonts w:eastAsia="Times New Roman" w:cstheme="minorHAnsi"/>
          <w:i/>
          <w:iCs/>
          <w:sz w:val="24"/>
          <w:szCs w:val="24"/>
        </w:rPr>
        <w:t>149</w:t>
      </w:r>
      <w:r w:rsidRPr="00700758">
        <w:rPr>
          <w:rFonts w:eastAsia="Times New Roman" w:cstheme="minorHAnsi"/>
          <w:sz w:val="24"/>
          <w:szCs w:val="24"/>
        </w:rPr>
        <w:t xml:space="preserve">(2), 372–379. </w:t>
      </w:r>
      <w:hyperlink r:id="rId16" w:history="1">
        <w:r w:rsidRPr="00700758">
          <w:rPr>
            <w:rFonts w:eastAsia="Times New Roman" w:cstheme="minorHAnsi"/>
            <w:color w:val="0000FF"/>
            <w:sz w:val="24"/>
            <w:szCs w:val="24"/>
            <w:u w:val="single"/>
          </w:rPr>
          <w:t>https://doi.org/10.1378/chest.14-2842</w:t>
        </w:r>
      </w:hyperlink>
    </w:p>
    <w:p w14:paraId="17CB6AC4" w14:textId="77777777" w:rsidR="00C16CF2" w:rsidRPr="00700758" w:rsidRDefault="00C16CF2" w:rsidP="00C16CF2">
      <w:pPr>
        <w:spacing w:after="0" w:line="480" w:lineRule="auto"/>
        <w:ind w:hanging="480"/>
        <w:rPr>
          <w:rFonts w:eastAsia="Times New Roman" w:cstheme="minorHAnsi"/>
          <w:sz w:val="24"/>
          <w:szCs w:val="24"/>
        </w:rPr>
      </w:pPr>
      <w:r w:rsidRPr="00700758">
        <w:rPr>
          <w:rFonts w:eastAsia="Times New Roman" w:cstheme="minorHAnsi"/>
          <w:sz w:val="24"/>
          <w:szCs w:val="24"/>
        </w:rPr>
        <w:t xml:space="preserve">Hull, R. D., </w:t>
      </w:r>
      <w:proofErr w:type="spellStart"/>
      <w:r w:rsidRPr="00700758">
        <w:rPr>
          <w:rFonts w:eastAsia="Times New Roman" w:cstheme="minorHAnsi"/>
          <w:sz w:val="24"/>
          <w:szCs w:val="24"/>
        </w:rPr>
        <w:t>Schellong</w:t>
      </w:r>
      <w:proofErr w:type="spellEnd"/>
      <w:r w:rsidRPr="00700758">
        <w:rPr>
          <w:rFonts w:eastAsia="Times New Roman" w:cstheme="minorHAnsi"/>
          <w:sz w:val="24"/>
          <w:szCs w:val="24"/>
        </w:rPr>
        <w:t xml:space="preserve">, S. M., </w:t>
      </w:r>
      <w:proofErr w:type="spellStart"/>
      <w:r w:rsidRPr="00700758">
        <w:rPr>
          <w:rFonts w:eastAsia="Times New Roman" w:cstheme="minorHAnsi"/>
          <w:sz w:val="24"/>
          <w:szCs w:val="24"/>
        </w:rPr>
        <w:t>Tapson</w:t>
      </w:r>
      <w:proofErr w:type="spellEnd"/>
      <w:r w:rsidRPr="00700758">
        <w:rPr>
          <w:rFonts w:eastAsia="Times New Roman" w:cstheme="minorHAnsi"/>
          <w:sz w:val="24"/>
          <w:szCs w:val="24"/>
        </w:rPr>
        <w:t xml:space="preserve">, V. F., </w:t>
      </w:r>
      <w:proofErr w:type="spellStart"/>
      <w:r w:rsidRPr="00700758">
        <w:rPr>
          <w:rFonts w:eastAsia="Times New Roman" w:cstheme="minorHAnsi"/>
          <w:sz w:val="24"/>
          <w:szCs w:val="24"/>
        </w:rPr>
        <w:t>Monreal</w:t>
      </w:r>
      <w:proofErr w:type="spellEnd"/>
      <w:r w:rsidRPr="00700758">
        <w:rPr>
          <w:rFonts w:eastAsia="Times New Roman" w:cstheme="minorHAnsi"/>
          <w:sz w:val="24"/>
          <w:szCs w:val="24"/>
        </w:rPr>
        <w:t xml:space="preserve">, M., </w:t>
      </w:r>
      <w:proofErr w:type="spellStart"/>
      <w:r w:rsidRPr="00700758">
        <w:rPr>
          <w:rFonts w:eastAsia="Times New Roman" w:cstheme="minorHAnsi"/>
          <w:sz w:val="24"/>
          <w:szCs w:val="24"/>
        </w:rPr>
        <w:t>Samama</w:t>
      </w:r>
      <w:proofErr w:type="spellEnd"/>
      <w:r w:rsidRPr="00700758">
        <w:rPr>
          <w:rFonts w:eastAsia="Times New Roman" w:cstheme="minorHAnsi"/>
          <w:sz w:val="24"/>
          <w:szCs w:val="24"/>
        </w:rPr>
        <w:t xml:space="preserve">, M.-M., Nicol, P., </w:t>
      </w:r>
      <w:proofErr w:type="spellStart"/>
      <w:r w:rsidRPr="00700758">
        <w:rPr>
          <w:rFonts w:eastAsia="Times New Roman" w:cstheme="minorHAnsi"/>
          <w:sz w:val="24"/>
          <w:szCs w:val="24"/>
        </w:rPr>
        <w:t>Vicaut</w:t>
      </w:r>
      <w:proofErr w:type="spellEnd"/>
      <w:r w:rsidRPr="00700758">
        <w:rPr>
          <w:rFonts w:eastAsia="Times New Roman" w:cstheme="minorHAnsi"/>
          <w:sz w:val="24"/>
          <w:szCs w:val="24"/>
        </w:rPr>
        <w:t xml:space="preserve">, E., </w:t>
      </w:r>
      <w:proofErr w:type="spellStart"/>
      <w:r w:rsidRPr="00700758">
        <w:rPr>
          <w:rFonts w:eastAsia="Times New Roman" w:cstheme="minorHAnsi"/>
          <w:sz w:val="24"/>
          <w:szCs w:val="24"/>
        </w:rPr>
        <w:t>Turpie</w:t>
      </w:r>
      <w:proofErr w:type="spellEnd"/>
      <w:r w:rsidRPr="00700758">
        <w:rPr>
          <w:rFonts w:eastAsia="Times New Roman" w:cstheme="minorHAnsi"/>
          <w:sz w:val="24"/>
          <w:szCs w:val="24"/>
        </w:rPr>
        <w:t xml:space="preserve">, A. G. G., &amp; Yusen, R. D. (2010). Extended-Duration Venous Thromboembolism Prophylaxis in Acutely Ill Medical Patients </w:t>
      </w:r>
      <w:proofErr w:type="gramStart"/>
      <w:r w:rsidRPr="00700758">
        <w:rPr>
          <w:rFonts w:eastAsia="Times New Roman" w:cstheme="minorHAnsi"/>
          <w:sz w:val="24"/>
          <w:szCs w:val="24"/>
        </w:rPr>
        <w:t>With</w:t>
      </w:r>
      <w:proofErr w:type="gramEnd"/>
      <w:r w:rsidRPr="00700758">
        <w:rPr>
          <w:rFonts w:eastAsia="Times New Roman" w:cstheme="minorHAnsi"/>
          <w:sz w:val="24"/>
          <w:szCs w:val="24"/>
        </w:rPr>
        <w:t xml:space="preserve"> Recently Reduced Mobility. </w:t>
      </w:r>
      <w:r w:rsidRPr="00700758">
        <w:rPr>
          <w:rFonts w:eastAsia="Times New Roman" w:cstheme="minorHAnsi"/>
          <w:i/>
          <w:iCs/>
          <w:sz w:val="24"/>
          <w:szCs w:val="24"/>
        </w:rPr>
        <w:t>Annals of Internal Medicine</w:t>
      </w:r>
      <w:r w:rsidRPr="00700758">
        <w:rPr>
          <w:rFonts w:eastAsia="Times New Roman" w:cstheme="minorHAnsi"/>
          <w:sz w:val="24"/>
          <w:szCs w:val="24"/>
        </w:rPr>
        <w:t xml:space="preserve">, </w:t>
      </w:r>
      <w:r w:rsidRPr="00700758">
        <w:rPr>
          <w:rFonts w:eastAsia="Times New Roman" w:cstheme="minorHAnsi"/>
          <w:i/>
          <w:iCs/>
          <w:sz w:val="24"/>
          <w:szCs w:val="24"/>
        </w:rPr>
        <w:t>153</w:t>
      </w:r>
      <w:r w:rsidRPr="00700758">
        <w:rPr>
          <w:rFonts w:eastAsia="Times New Roman" w:cstheme="minorHAnsi"/>
          <w:sz w:val="24"/>
          <w:szCs w:val="24"/>
        </w:rPr>
        <w:t xml:space="preserve">(1), 8–18. </w:t>
      </w:r>
      <w:hyperlink r:id="rId17" w:history="1">
        <w:r w:rsidRPr="00700758">
          <w:rPr>
            <w:rFonts w:eastAsia="Times New Roman" w:cstheme="minorHAnsi"/>
            <w:color w:val="0000FF"/>
            <w:sz w:val="24"/>
            <w:szCs w:val="24"/>
            <w:u w:val="single"/>
          </w:rPr>
          <w:t>https://doi.org/10.7326/0003-4819-153-1-201007060-00004</w:t>
        </w:r>
      </w:hyperlink>
    </w:p>
    <w:p w14:paraId="71CB91D4" w14:textId="77777777" w:rsidR="00C16CF2" w:rsidRPr="00700758" w:rsidRDefault="00C16CF2" w:rsidP="00C16CF2">
      <w:pPr>
        <w:spacing w:after="0" w:line="480" w:lineRule="auto"/>
        <w:ind w:hanging="480"/>
        <w:rPr>
          <w:rFonts w:eastAsia="Times New Roman" w:cstheme="minorHAnsi"/>
          <w:sz w:val="24"/>
          <w:szCs w:val="24"/>
        </w:rPr>
      </w:pPr>
      <w:r w:rsidRPr="00700758">
        <w:rPr>
          <w:rFonts w:eastAsia="Times New Roman" w:cstheme="minorHAnsi"/>
          <w:i/>
          <w:iCs/>
          <w:sz w:val="24"/>
          <w:szCs w:val="24"/>
        </w:rPr>
        <w:t>Improving the adoption of an electronic clinical decision support tool and evaluating its effect on venous thromboembolism prophylaxis prescribing at a Sydney tertiary teaching hospital—Soo—2019—Journal of Pharmacy Practice and Research—Wiley Online Library</w:t>
      </w:r>
      <w:r w:rsidRPr="00700758">
        <w:rPr>
          <w:rFonts w:eastAsia="Times New Roman" w:cstheme="minorHAnsi"/>
          <w:sz w:val="24"/>
          <w:szCs w:val="24"/>
        </w:rPr>
        <w:t xml:space="preserve">. (n.d.). Retrieved July 31, 2021, from </w:t>
      </w:r>
      <w:hyperlink r:id="rId18" w:history="1">
        <w:r w:rsidRPr="00700758">
          <w:rPr>
            <w:rFonts w:eastAsia="Times New Roman" w:cstheme="minorHAnsi"/>
            <w:color w:val="0000FF"/>
            <w:sz w:val="24"/>
            <w:szCs w:val="24"/>
            <w:u w:val="single"/>
          </w:rPr>
          <w:t>https://onlinelibrary.wiley.com/doi/full/10.1002/jppr.1562?casa_token=LpIUBwpfvYIAAAAA%3AE3Em7jSieZ3P7HDgwrvZEvGpqrMd8QDqusDHHDZV06oXC7msSX51RvUeYU5pW71cGUA7O1gx4TM8rdk</w:t>
        </w:r>
      </w:hyperlink>
    </w:p>
    <w:p w14:paraId="29A66DCD" w14:textId="77777777" w:rsidR="00C16CF2" w:rsidRPr="00700758" w:rsidRDefault="00C16CF2" w:rsidP="00C16CF2">
      <w:pPr>
        <w:spacing w:after="0" w:line="480" w:lineRule="auto"/>
        <w:ind w:hanging="480"/>
        <w:rPr>
          <w:rFonts w:eastAsia="Times New Roman" w:cstheme="minorHAnsi"/>
          <w:sz w:val="24"/>
          <w:szCs w:val="24"/>
        </w:rPr>
      </w:pPr>
      <w:r w:rsidRPr="00700758">
        <w:rPr>
          <w:rFonts w:eastAsia="Times New Roman" w:cstheme="minorHAnsi"/>
          <w:sz w:val="24"/>
          <w:szCs w:val="24"/>
        </w:rPr>
        <w:lastRenderedPageBreak/>
        <w:t xml:space="preserve">Jaspers, T., Duisenberg-van </w:t>
      </w:r>
      <w:proofErr w:type="spellStart"/>
      <w:r w:rsidRPr="00700758">
        <w:rPr>
          <w:rFonts w:eastAsia="Times New Roman" w:cstheme="minorHAnsi"/>
          <w:sz w:val="24"/>
          <w:szCs w:val="24"/>
        </w:rPr>
        <w:t>Essenberg</w:t>
      </w:r>
      <w:proofErr w:type="spellEnd"/>
      <w:r w:rsidRPr="00700758">
        <w:rPr>
          <w:rFonts w:eastAsia="Times New Roman" w:cstheme="minorHAnsi"/>
          <w:sz w:val="24"/>
          <w:szCs w:val="24"/>
        </w:rPr>
        <w:t xml:space="preserve">, M., Maat, B., Durian, M., van den Berg, R., &amp; van den </w:t>
      </w:r>
      <w:proofErr w:type="spellStart"/>
      <w:r w:rsidRPr="00700758">
        <w:rPr>
          <w:rFonts w:eastAsia="Times New Roman" w:cstheme="minorHAnsi"/>
          <w:sz w:val="24"/>
          <w:szCs w:val="24"/>
        </w:rPr>
        <w:t>Bemt</w:t>
      </w:r>
      <w:proofErr w:type="spellEnd"/>
      <w:r w:rsidRPr="00700758">
        <w:rPr>
          <w:rFonts w:eastAsia="Times New Roman" w:cstheme="minorHAnsi"/>
          <w:sz w:val="24"/>
          <w:szCs w:val="24"/>
        </w:rPr>
        <w:t xml:space="preserve">, P. (2021). A multifaceted clinical decision support intervention to improve adherence to thromboprophylaxis guidelines. </w:t>
      </w:r>
      <w:r w:rsidRPr="00700758">
        <w:rPr>
          <w:rFonts w:eastAsia="Times New Roman" w:cstheme="minorHAnsi"/>
          <w:i/>
          <w:iCs/>
          <w:sz w:val="24"/>
          <w:szCs w:val="24"/>
        </w:rPr>
        <w:t>International Journal of Clinical Pharmacy</w:t>
      </w:r>
      <w:r w:rsidRPr="00700758">
        <w:rPr>
          <w:rFonts w:eastAsia="Times New Roman" w:cstheme="minorHAnsi"/>
          <w:sz w:val="24"/>
          <w:szCs w:val="24"/>
        </w:rPr>
        <w:t xml:space="preserve">. </w:t>
      </w:r>
      <w:hyperlink r:id="rId19" w:history="1">
        <w:r w:rsidRPr="00700758">
          <w:rPr>
            <w:rFonts w:eastAsia="Times New Roman" w:cstheme="minorHAnsi"/>
            <w:color w:val="0000FF"/>
            <w:sz w:val="24"/>
            <w:szCs w:val="24"/>
            <w:u w:val="single"/>
          </w:rPr>
          <w:t>https://doi.org/10.1007/s11096-021-01254-x</w:t>
        </w:r>
      </w:hyperlink>
    </w:p>
    <w:p w14:paraId="70CF07A5" w14:textId="77777777" w:rsidR="00C16CF2" w:rsidRPr="00700758" w:rsidRDefault="00C16CF2" w:rsidP="00C16CF2">
      <w:pPr>
        <w:spacing w:after="0" w:line="480" w:lineRule="auto"/>
        <w:ind w:hanging="480"/>
        <w:rPr>
          <w:rFonts w:eastAsia="Times New Roman" w:cstheme="minorHAnsi"/>
          <w:sz w:val="24"/>
          <w:szCs w:val="24"/>
        </w:rPr>
      </w:pPr>
      <w:proofErr w:type="spellStart"/>
      <w:r w:rsidRPr="00700758">
        <w:rPr>
          <w:rFonts w:eastAsia="Times New Roman" w:cstheme="minorHAnsi"/>
          <w:sz w:val="24"/>
          <w:szCs w:val="24"/>
        </w:rPr>
        <w:t>Joharimoghadam</w:t>
      </w:r>
      <w:proofErr w:type="spellEnd"/>
      <w:r w:rsidRPr="00700758">
        <w:rPr>
          <w:rFonts w:eastAsia="Times New Roman" w:cstheme="minorHAnsi"/>
          <w:sz w:val="24"/>
          <w:szCs w:val="24"/>
        </w:rPr>
        <w:t xml:space="preserve">, A., </w:t>
      </w:r>
      <w:proofErr w:type="spellStart"/>
      <w:r w:rsidRPr="00700758">
        <w:rPr>
          <w:rFonts w:eastAsia="Times New Roman" w:cstheme="minorHAnsi"/>
          <w:sz w:val="24"/>
          <w:szCs w:val="24"/>
        </w:rPr>
        <w:t>Valimanesh</w:t>
      </w:r>
      <w:proofErr w:type="spellEnd"/>
      <w:r w:rsidRPr="00700758">
        <w:rPr>
          <w:rFonts w:eastAsia="Times New Roman" w:cstheme="minorHAnsi"/>
          <w:sz w:val="24"/>
          <w:szCs w:val="24"/>
        </w:rPr>
        <w:t xml:space="preserve">, H. A., </w:t>
      </w:r>
      <w:proofErr w:type="spellStart"/>
      <w:r w:rsidRPr="00700758">
        <w:rPr>
          <w:rFonts w:eastAsia="Times New Roman" w:cstheme="minorHAnsi"/>
          <w:sz w:val="24"/>
          <w:szCs w:val="24"/>
        </w:rPr>
        <w:t>Sheykhalo</w:t>
      </w:r>
      <w:proofErr w:type="spellEnd"/>
      <w:r w:rsidRPr="00700758">
        <w:rPr>
          <w:rFonts w:eastAsia="Times New Roman" w:cstheme="minorHAnsi"/>
          <w:sz w:val="24"/>
          <w:szCs w:val="24"/>
        </w:rPr>
        <w:t xml:space="preserve">, A., </w:t>
      </w:r>
      <w:proofErr w:type="spellStart"/>
      <w:r w:rsidRPr="00700758">
        <w:rPr>
          <w:rFonts w:eastAsia="Times New Roman" w:cstheme="minorHAnsi"/>
          <w:sz w:val="24"/>
          <w:szCs w:val="24"/>
        </w:rPr>
        <w:t>Musavi</w:t>
      </w:r>
      <w:proofErr w:type="spellEnd"/>
      <w:r w:rsidRPr="00700758">
        <w:rPr>
          <w:rFonts w:eastAsia="Times New Roman" w:cstheme="minorHAnsi"/>
          <w:sz w:val="24"/>
          <w:szCs w:val="24"/>
        </w:rPr>
        <w:t xml:space="preserve">, S. H., &amp; Shiri, E. (2018). Evaluation of the PADUA Prediction Score in </w:t>
      </w:r>
      <w:proofErr w:type="gramStart"/>
      <w:r w:rsidRPr="00700758">
        <w:rPr>
          <w:rFonts w:eastAsia="Times New Roman" w:cstheme="minorHAnsi"/>
          <w:sz w:val="24"/>
          <w:szCs w:val="24"/>
        </w:rPr>
        <w:t>Vein</w:t>
      </w:r>
      <w:proofErr w:type="gramEnd"/>
      <w:r w:rsidRPr="00700758">
        <w:rPr>
          <w:rFonts w:eastAsia="Times New Roman" w:cstheme="minorHAnsi"/>
          <w:sz w:val="24"/>
          <w:szCs w:val="24"/>
        </w:rPr>
        <w:t xml:space="preserve"> Thromboembolism Prophylaxis in Patients Admitted to Imam Reza Hospital in 2017. </w:t>
      </w:r>
      <w:r w:rsidRPr="00700758">
        <w:rPr>
          <w:rFonts w:eastAsia="Times New Roman" w:cstheme="minorHAnsi"/>
          <w:i/>
          <w:iCs/>
          <w:sz w:val="24"/>
          <w:szCs w:val="24"/>
        </w:rPr>
        <w:t>Annals of Military and Health Sciences Research</w:t>
      </w:r>
      <w:r w:rsidRPr="00700758">
        <w:rPr>
          <w:rFonts w:eastAsia="Times New Roman" w:cstheme="minorHAnsi"/>
          <w:sz w:val="24"/>
          <w:szCs w:val="24"/>
        </w:rPr>
        <w:t xml:space="preserve">, </w:t>
      </w:r>
      <w:r w:rsidRPr="00700758">
        <w:rPr>
          <w:rFonts w:eastAsia="Times New Roman" w:cstheme="minorHAnsi"/>
          <w:i/>
          <w:iCs/>
          <w:sz w:val="24"/>
          <w:szCs w:val="24"/>
        </w:rPr>
        <w:t>16</w:t>
      </w:r>
      <w:r w:rsidRPr="00700758">
        <w:rPr>
          <w:rFonts w:eastAsia="Times New Roman" w:cstheme="minorHAnsi"/>
          <w:sz w:val="24"/>
          <w:szCs w:val="24"/>
        </w:rPr>
        <w:t xml:space="preserve">(3), Article 3. </w:t>
      </w:r>
      <w:hyperlink r:id="rId20" w:history="1">
        <w:r w:rsidRPr="00700758">
          <w:rPr>
            <w:rFonts w:eastAsia="Times New Roman" w:cstheme="minorHAnsi"/>
            <w:color w:val="0000FF"/>
            <w:sz w:val="24"/>
            <w:szCs w:val="24"/>
            <w:u w:val="single"/>
          </w:rPr>
          <w:t>https://doi.org/10.5812/amh.83034</w:t>
        </w:r>
      </w:hyperlink>
    </w:p>
    <w:p w14:paraId="51652B4B" w14:textId="77777777" w:rsidR="00C16CF2" w:rsidRPr="00700758" w:rsidRDefault="00C16CF2" w:rsidP="00C16CF2">
      <w:pPr>
        <w:spacing w:after="0" w:line="480" w:lineRule="auto"/>
        <w:ind w:hanging="480"/>
        <w:rPr>
          <w:rFonts w:eastAsia="Times New Roman" w:cstheme="minorHAnsi"/>
          <w:sz w:val="24"/>
          <w:szCs w:val="24"/>
        </w:rPr>
      </w:pPr>
      <w:r w:rsidRPr="00700758">
        <w:rPr>
          <w:rFonts w:eastAsia="Times New Roman" w:cstheme="minorHAnsi"/>
          <w:sz w:val="24"/>
          <w:szCs w:val="24"/>
        </w:rPr>
        <w:t xml:space="preserve">Kahn, S. R., Lim, W., Dunn, A. S., Cushman, M., </w:t>
      </w:r>
      <w:proofErr w:type="spellStart"/>
      <w:r w:rsidRPr="00700758">
        <w:rPr>
          <w:rFonts w:eastAsia="Times New Roman" w:cstheme="minorHAnsi"/>
          <w:sz w:val="24"/>
          <w:szCs w:val="24"/>
        </w:rPr>
        <w:t>Dentali</w:t>
      </w:r>
      <w:proofErr w:type="spellEnd"/>
      <w:r w:rsidRPr="00700758">
        <w:rPr>
          <w:rFonts w:eastAsia="Times New Roman" w:cstheme="minorHAnsi"/>
          <w:sz w:val="24"/>
          <w:szCs w:val="24"/>
        </w:rPr>
        <w:t xml:space="preserve">, F., </w:t>
      </w:r>
      <w:proofErr w:type="spellStart"/>
      <w:r w:rsidRPr="00700758">
        <w:rPr>
          <w:rFonts w:eastAsia="Times New Roman" w:cstheme="minorHAnsi"/>
          <w:sz w:val="24"/>
          <w:szCs w:val="24"/>
        </w:rPr>
        <w:t>Akl</w:t>
      </w:r>
      <w:proofErr w:type="spellEnd"/>
      <w:r w:rsidRPr="00700758">
        <w:rPr>
          <w:rFonts w:eastAsia="Times New Roman" w:cstheme="minorHAnsi"/>
          <w:sz w:val="24"/>
          <w:szCs w:val="24"/>
        </w:rPr>
        <w:t xml:space="preserve">, E. A., Cook, D. J., </w:t>
      </w:r>
      <w:proofErr w:type="spellStart"/>
      <w:r w:rsidRPr="00700758">
        <w:rPr>
          <w:rFonts w:eastAsia="Times New Roman" w:cstheme="minorHAnsi"/>
          <w:sz w:val="24"/>
          <w:szCs w:val="24"/>
        </w:rPr>
        <w:t>Balekian</w:t>
      </w:r>
      <w:proofErr w:type="spellEnd"/>
      <w:r w:rsidRPr="00700758">
        <w:rPr>
          <w:rFonts w:eastAsia="Times New Roman" w:cstheme="minorHAnsi"/>
          <w:sz w:val="24"/>
          <w:szCs w:val="24"/>
        </w:rPr>
        <w:t xml:space="preserve">, A. A., Klein, R. C., Le, H., Schulman, S., &amp; Murad, M. H. (2012). Prevention of VTE in Nonsurgical Patients: Antithrombotic Therapy and Prevention of Thrombosis, 9th ed: American College of Chest Physicians Evidence-Based Clinical Practice Guidelines. </w:t>
      </w:r>
      <w:r w:rsidRPr="00700758">
        <w:rPr>
          <w:rFonts w:eastAsia="Times New Roman" w:cstheme="minorHAnsi"/>
          <w:i/>
          <w:iCs/>
          <w:sz w:val="24"/>
          <w:szCs w:val="24"/>
        </w:rPr>
        <w:t>CHEST</w:t>
      </w:r>
      <w:r w:rsidRPr="00700758">
        <w:rPr>
          <w:rFonts w:eastAsia="Times New Roman" w:cstheme="minorHAnsi"/>
          <w:sz w:val="24"/>
          <w:szCs w:val="24"/>
        </w:rPr>
        <w:t xml:space="preserve">, </w:t>
      </w:r>
      <w:r w:rsidRPr="00700758">
        <w:rPr>
          <w:rFonts w:eastAsia="Times New Roman" w:cstheme="minorHAnsi"/>
          <w:i/>
          <w:iCs/>
          <w:sz w:val="24"/>
          <w:szCs w:val="24"/>
        </w:rPr>
        <w:t>141</w:t>
      </w:r>
      <w:r w:rsidRPr="00700758">
        <w:rPr>
          <w:rFonts w:eastAsia="Times New Roman" w:cstheme="minorHAnsi"/>
          <w:sz w:val="24"/>
          <w:szCs w:val="24"/>
        </w:rPr>
        <w:t xml:space="preserve">(2), e195S-e226S. </w:t>
      </w:r>
      <w:hyperlink r:id="rId21" w:history="1">
        <w:r w:rsidRPr="00700758">
          <w:rPr>
            <w:rFonts w:eastAsia="Times New Roman" w:cstheme="minorHAnsi"/>
            <w:color w:val="0000FF"/>
            <w:sz w:val="24"/>
            <w:szCs w:val="24"/>
            <w:u w:val="single"/>
          </w:rPr>
          <w:t>https://doi.org/10.1378/chest.11-2296</w:t>
        </w:r>
      </w:hyperlink>
    </w:p>
    <w:p w14:paraId="313ABAE2" w14:textId="77777777" w:rsidR="00C16CF2" w:rsidRPr="00700758" w:rsidRDefault="00C16CF2" w:rsidP="00C16CF2">
      <w:pPr>
        <w:spacing w:after="0" w:line="480" w:lineRule="auto"/>
        <w:ind w:hanging="480"/>
        <w:rPr>
          <w:rFonts w:eastAsia="Times New Roman" w:cstheme="minorHAnsi"/>
          <w:sz w:val="24"/>
          <w:szCs w:val="24"/>
        </w:rPr>
      </w:pPr>
      <w:proofErr w:type="spellStart"/>
      <w:r w:rsidRPr="00700758">
        <w:rPr>
          <w:rFonts w:eastAsia="Times New Roman" w:cstheme="minorHAnsi"/>
          <w:sz w:val="24"/>
          <w:szCs w:val="24"/>
        </w:rPr>
        <w:t>Kotaska</w:t>
      </w:r>
      <w:proofErr w:type="spellEnd"/>
      <w:r w:rsidRPr="00700758">
        <w:rPr>
          <w:rFonts w:eastAsia="Times New Roman" w:cstheme="minorHAnsi"/>
          <w:sz w:val="24"/>
          <w:szCs w:val="24"/>
        </w:rPr>
        <w:t xml:space="preserve">, A. (2018). Venous thromboembolism prophylaxis may cause more harm than benefit: An evidence-based analysis of Canadian and international guidelines. </w:t>
      </w:r>
      <w:r w:rsidRPr="00700758">
        <w:rPr>
          <w:rFonts w:eastAsia="Times New Roman" w:cstheme="minorHAnsi"/>
          <w:i/>
          <w:iCs/>
          <w:sz w:val="24"/>
          <w:szCs w:val="24"/>
        </w:rPr>
        <w:t>Thrombosis Journal</w:t>
      </w:r>
      <w:r w:rsidRPr="00700758">
        <w:rPr>
          <w:rFonts w:eastAsia="Times New Roman" w:cstheme="minorHAnsi"/>
          <w:sz w:val="24"/>
          <w:szCs w:val="24"/>
        </w:rPr>
        <w:t xml:space="preserve">, </w:t>
      </w:r>
      <w:r w:rsidRPr="00700758">
        <w:rPr>
          <w:rFonts w:eastAsia="Times New Roman" w:cstheme="minorHAnsi"/>
          <w:i/>
          <w:iCs/>
          <w:sz w:val="24"/>
          <w:szCs w:val="24"/>
        </w:rPr>
        <w:t>16</w:t>
      </w:r>
      <w:r w:rsidRPr="00700758">
        <w:rPr>
          <w:rFonts w:eastAsia="Times New Roman" w:cstheme="minorHAnsi"/>
          <w:sz w:val="24"/>
          <w:szCs w:val="24"/>
        </w:rPr>
        <w:t xml:space="preserve">(1), 25. </w:t>
      </w:r>
      <w:hyperlink r:id="rId22" w:history="1">
        <w:r w:rsidRPr="00700758">
          <w:rPr>
            <w:rFonts w:eastAsia="Times New Roman" w:cstheme="minorHAnsi"/>
            <w:color w:val="0000FF"/>
            <w:sz w:val="24"/>
            <w:szCs w:val="24"/>
            <w:u w:val="single"/>
          </w:rPr>
          <w:t>https://doi.org/10.1186/s12959-018-0180-6</w:t>
        </w:r>
      </w:hyperlink>
    </w:p>
    <w:p w14:paraId="35203363" w14:textId="77777777" w:rsidR="00C16CF2" w:rsidRPr="00700758" w:rsidRDefault="00C16CF2" w:rsidP="00C16CF2">
      <w:pPr>
        <w:spacing w:after="0" w:line="480" w:lineRule="auto"/>
        <w:ind w:hanging="480"/>
        <w:rPr>
          <w:rFonts w:eastAsia="Times New Roman" w:cstheme="minorHAnsi"/>
          <w:sz w:val="24"/>
          <w:szCs w:val="24"/>
        </w:rPr>
      </w:pPr>
      <w:r w:rsidRPr="00700758">
        <w:rPr>
          <w:rFonts w:eastAsia="Times New Roman" w:cstheme="minorHAnsi"/>
          <w:sz w:val="24"/>
          <w:szCs w:val="24"/>
        </w:rPr>
        <w:t xml:space="preserve">Liu, D. S. H., Lee, M. M. W., Spelman, T., MacIsaac, C., Cade, J., Harley, N., &amp; Wolff, A. (2012). Medication Chart Intervention Improves Inpatient Thromboembolism Prophylaxis. </w:t>
      </w:r>
      <w:r w:rsidRPr="00700758">
        <w:rPr>
          <w:rFonts w:eastAsia="Times New Roman" w:cstheme="minorHAnsi"/>
          <w:i/>
          <w:iCs/>
          <w:sz w:val="24"/>
          <w:szCs w:val="24"/>
        </w:rPr>
        <w:t>Chest</w:t>
      </w:r>
      <w:r w:rsidRPr="00700758">
        <w:rPr>
          <w:rFonts w:eastAsia="Times New Roman" w:cstheme="minorHAnsi"/>
          <w:sz w:val="24"/>
          <w:szCs w:val="24"/>
        </w:rPr>
        <w:t xml:space="preserve">, </w:t>
      </w:r>
      <w:r w:rsidRPr="00700758">
        <w:rPr>
          <w:rFonts w:eastAsia="Times New Roman" w:cstheme="minorHAnsi"/>
          <w:i/>
          <w:iCs/>
          <w:sz w:val="24"/>
          <w:szCs w:val="24"/>
        </w:rPr>
        <w:t>141</w:t>
      </w:r>
      <w:r w:rsidRPr="00700758">
        <w:rPr>
          <w:rFonts w:eastAsia="Times New Roman" w:cstheme="minorHAnsi"/>
          <w:sz w:val="24"/>
          <w:szCs w:val="24"/>
        </w:rPr>
        <w:t xml:space="preserve">(3), 632–641. </w:t>
      </w:r>
      <w:hyperlink r:id="rId23" w:history="1">
        <w:r w:rsidRPr="00700758">
          <w:rPr>
            <w:rFonts w:eastAsia="Times New Roman" w:cstheme="minorHAnsi"/>
            <w:color w:val="0000FF"/>
            <w:sz w:val="24"/>
            <w:szCs w:val="24"/>
            <w:u w:val="single"/>
          </w:rPr>
          <w:t>https://doi.org/10.1378/chest.10-3162</w:t>
        </w:r>
      </w:hyperlink>
    </w:p>
    <w:p w14:paraId="2F603B27" w14:textId="77777777" w:rsidR="00C16CF2" w:rsidRPr="00700758" w:rsidRDefault="00C16CF2" w:rsidP="00C16CF2">
      <w:pPr>
        <w:spacing w:after="0" w:line="480" w:lineRule="auto"/>
        <w:ind w:hanging="480"/>
        <w:rPr>
          <w:rFonts w:eastAsia="Times New Roman" w:cstheme="minorHAnsi"/>
          <w:sz w:val="24"/>
          <w:szCs w:val="24"/>
        </w:rPr>
      </w:pPr>
      <w:r w:rsidRPr="00700758">
        <w:rPr>
          <w:rFonts w:eastAsia="Times New Roman" w:cstheme="minorHAnsi"/>
          <w:sz w:val="24"/>
          <w:szCs w:val="24"/>
        </w:rPr>
        <w:t>Mahlab-</w:t>
      </w:r>
      <w:proofErr w:type="spellStart"/>
      <w:r w:rsidRPr="00700758">
        <w:rPr>
          <w:rFonts w:eastAsia="Times New Roman" w:cstheme="minorHAnsi"/>
          <w:sz w:val="24"/>
          <w:szCs w:val="24"/>
        </w:rPr>
        <w:t>Guri</w:t>
      </w:r>
      <w:proofErr w:type="spellEnd"/>
      <w:r w:rsidRPr="00700758">
        <w:rPr>
          <w:rFonts w:eastAsia="Times New Roman" w:cstheme="minorHAnsi"/>
          <w:sz w:val="24"/>
          <w:szCs w:val="24"/>
        </w:rPr>
        <w:t xml:space="preserve">, K., </w:t>
      </w:r>
      <w:proofErr w:type="spellStart"/>
      <w:r w:rsidRPr="00700758">
        <w:rPr>
          <w:rFonts w:eastAsia="Times New Roman" w:cstheme="minorHAnsi"/>
          <w:sz w:val="24"/>
          <w:szCs w:val="24"/>
        </w:rPr>
        <w:t>Otman</w:t>
      </w:r>
      <w:proofErr w:type="spellEnd"/>
      <w:r w:rsidRPr="00700758">
        <w:rPr>
          <w:rFonts w:eastAsia="Times New Roman" w:cstheme="minorHAnsi"/>
          <w:sz w:val="24"/>
          <w:szCs w:val="24"/>
        </w:rPr>
        <w:t xml:space="preserve">, M. S., </w:t>
      </w:r>
      <w:proofErr w:type="spellStart"/>
      <w:r w:rsidRPr="00700758">
        <w:rPr>
          <w:rFonts w:eastAsia="Times New Roman" w:cstheme="minorHAnsi"/>
          <w:sz w:val="24"/>
          <w:szCs w:val="24"/>
        </w:rPr>
        <w:t>Replianski</w:t>
      </w:r>
      <w:proofErr w:type="spellEnd"/>
      <w:r w:rsidRPr="00700758">
        <w:rPr>
          <w:rFonts w:eastAsia="Times New Roman" w:cstheme="minorHAnsi"/>
          <w:sz w:val="24"/>
          <w:szCs w:val="24"/>
        </w:rPr>
        <w:t xml:space="preserve">, N., Rosenberg-Bezalel, S., </w:t>
      </w:r>
      <w:proofErr w:type="spellStart"/>
      <w:r w:rsidRPr="00700758">
        <w:rPr>
          <w:rFonts w:eastAsia="Times New Roman" w:cstheme="minorHAnsi"/>
          <w:sz w:val="24"/>
          <w:szCs w:val="24"/>
        </w:rPr>
        <w:t>Rabinovich</w:t>
      </w:r>
      <w:proofErr w:type="spellEnd"/>
      <w:r w:rsidRPr="00700758">
        <w:rPr>
          <w:rFonts w:eastAsia="Times New Roman" w:cstheme="minorHAnsi"/>
          <w:sz w:val="24"/>
          <w:szCs w:val="24"/>
        </w:rPr>
        <w:t xml:space="preserve">, I., &amp; </w:t>
      </w:r>
      <w:proofErr w:type="spellStart"/>
      <w:r w:rsidRPr="00700758">
        <w:rPr>
          <w:rFonts w:eastAsia="Times New Roman" w:cstheme="minorHAnsi"/>
          <w:sz w:val="24"/>
          <w:szCs w:val="24"/>
        </w:rPr>
        <w:t>Sthoeger</w:t>
      </w:r>
      <w:proofErr w:type="spellEnd"/>
      <w:r w:rsidRPr="00700758">
        <w:rPr>
          <w:rFonts w:eastAsia="Times New Roman" w:cstheme="minorHAnsi"/>
          <w:sz w:val="24"/>
          <w:szCs w:val="24"/>
        </w:rPr>
        <w:t xml:space="preserve">, Z. (2020). Venous thromboembolism prophylaxis in patients hospitalized in medical wards. </w:t>
      </w:r>
      <w:r w:rsidRPr="00700758">
        <w:rPr>
          <w:rFonts w:eastAsia="Times New Roman" w:cstheme="minorHAnsi"/>
          <w:i/>
          <w:iCs/>
          <w:sz w:val="24"/>
          <w:szCs w:val="24"/>
        </w:rPr>
        <w:t>Medicine</w:t>
      </w:r>
      <w:r w:rsidRPr="00700758">
        <w:rPr>
          <w:rFonts w:eastAsia="Times New Roman" w:cstheme="minorHAnsi"/>
          <w:sz w:val="24"/>
          <w:szCs w:val="24"/>
        </w:rPr>
        <w:t xml:space="preserve">, </w:t>
      </w:r>
      <w:r w:rsidRPr="00700758">
        <w:rPr>
          <w:rFonts w:eastAsia="Times New Roman" w:cstheme="minorHAnsi"/>
          <w:i/>
          <w:iCs/>
          <w:sz w:val="24"/>
          <w:szCs w:val="24"/>
        </w:rPr>
        <w:t>99</w:t>
      </w:r>
      <w:r w:rsidRPr="00700758">
        <w:rPr>
          <w:rFonts w:eastAsia="Times New Roman" w:cstheme="minorHAnsi"/>
          <w:sz w:val="24"/>
          <w:szCs w:val="24"/>
        </w:rPr>
        <w:t xml:space="preserve">(7), e19127. </w:t>
      </w:r>
      <w:hyperlink r:id="rId24" w:history="1">
        <w:r w:rsidRPr="00700758">
          <w:rPr>
            <w:rFonts w:eastAsia="Times New Roman" w:cstheme="minorHAnsi"/>
            <w:color w:val="0000FF"/>
            <w:sz w:val="24"/>
            <w:szCs w:val="24"/>
            <w:u w:val="single"/>
          </w:rPr>
          <w:t>https://doi.org/10.1097/MD.0000000000019127</w:t>
        </w:r>
      </w:hyperlink>
    </w:p>
    <w:p w14:paraId="19CA0702" w14:textId="77777777" w:rsidR="00C16CF2" w:rsidRPr="00700758" w:rsidRDefault="00C16CF2" w:rsidP="00C16CF2">
      <w:pPr>
        <w:spacing w:after="0" w:line="480" w:lineRule="auto"/>
        <w:ind w:hanging="480"/>
        <w:rPr>
          <w:rFonts w:eastAsia="Times New Roman" w:cstheme="minorHAnsi"/>
          <w:sz w:val="24"/>
          <w:szCs w:val="24"/>
        </w:rPr>
      </w:pPr>
      <w:r w:rsidRPr="00700758">
        <w:rPr>
          <w:rFonts w:eastAsia="Times New Roman" w:cstheme="minorHAnsi"/>
          <w:sz w:val="24"/>
          <w:szCs w:val="24"/>
        </w:rPr>
        <w:lastRenderedPageBreak/>
        <w:t xml:space="preserve">Park, M. Y., Fletcher, J. P., Hoffmann, C., Lance, A., </w:t>
      </w:r>
      <w:proofErr w:type="spellStart"/>
      <w:r w:rsidRPr="00700758">
        <w:rPr>
          <w:rFonts w:eastAsia="Times New Roman" w:cstheme="minorHAnsi"/>
          <w:sz w:val="24"/>
          <w:szCs w:val="24"/>
        </w:rPr>
        <w:t>Gavegan</w:t>
      </w:r>
      <w:proofErr w:type="spellEnd"/>
      <w:r w:rsidRPr="00700758">
        <w:rPr>
          <w:rFonts w:eastAsia="Times New Roman" w:cstheme="minorHAnsi"/>
          <w:sz w:val="24"/>
          <w:szCs w:val="24"/>
        </w:rPr>
        <w:t xml:space="preserve">, F., &amp; </w:t>
      </w:r>
      <w:proofErr w:type="spellStart"/>
      <w:r w:rsidRPr="00700758">
        <w:rPr>
          <w:rFonts w:eastAsia="Times New Roman" w:cstheme="minorHAnsi"/>
          <w:sz w:val="24"/>
          <w:szCs w:val="24"/>
        </w:rPr>
        <w:t>Hitos</w:t>
      </w:r>
      <w:proofErr w:type="spellEnd"/>
      <w:r w:rsidRPr="00700758">
        <w:rPr>
          <w:rFonts w:eastAsia="Times New Roman" w:cstheme="minorHAnsi"/>
          <w:sz w:val="24"/>
          <w:szCs w:val="24"/>
        </w:rPr>
        <w:t xml:space="preserve">, K. (2018). Prevention of venous thromboembolism through the implementation of a risk assessment tool: A comparative study in medical and surgical patients. </w:t>
      </w:r>
      <w:r w:rsidRPr="00700758">
        <w:rPr>
          <w:rFonts w:eastAsia="Times New Roman" w:cstheme="minorHAnsi"/>
          <w:i/>
          <w:iCs/>
          <w:sz w:val="24"/>
          <w:szCs w:val="24"/>
        </w:rPr>
        <w:t>International Angiology</w:t>
      </w:r>
      <w:r w:rsidRPr="00700758">
        <w:rPr>
          <w:rFonts w:eastAsia="Times New Roman" w:cstheme="minorHAnsi"/>
          <w:sz w:val="24"/>
          <w:szCs w:val="24"/>
        </w:rPr>
        <w:t xml:space="preserve">, </w:t>
      </w:r>
      <w:r w:rsidRPr="00700758">
        <w:rPr>
          <w:rFonts w:eastAsia="Times New Roman" w:cstheme="minorHAnsi"/>
          <w:i/>
          <w:iCs/>
          <w:sz w:val="24"/>
          <w:szCs w:val="24"/>
        </w:rPr>
        <w:t>37</w:t>
      </w:r>
      <w:r w:rsidRPr="00700758">
        <w:rPr>
          <w:rFonts w:eastAsia="Times New Roman" w:cstheme="minorHAnsi"/>
          <w:sz w:val="24"/>
          <w:szCs w:val="24"/>
        </w:rPr>
        <w:t xml:space="preserve">(5), 411–418. </w:t>
      </w:r>
      <w:hyperlink r:id="rId25" w:history="1">
        <w:r w:rsidRPr="00700758">
          <w:rPr>
            <w:rFonts w:eastAsia="Times New Roman" w:cstheme="minorHAnsi"/>
            <w:color w:val="0000FF"/>
            <w:sz w:val="24"/>
            <w:szCs w:val="24"/>
            <w:u w:val="single"/>
          </w:rPr>
          <w:t>https://doi.org/10.23736/s0392-9590.18.03969-x</w:t>
        </w:r>
      </w:hyperlink>
    </w:p>
    <w:p w14:paraId="767BA845" w14:textId="77777777" w:rsidR="00C16CF2" w:rsidRPr="00700758" w:rsidRDefault="00C16CF2" w:rsidP="00C16CF2">
      <w:pPr>
        <w:spacing w:after="0" w:line="480" w:lineRule="auto"/>
        <w:ind w:hanging="480"/>
        <w:rPr>
          <w:rFonts w:eastAsia="Times New Roman" w:cstheme="minorHAnsi"/>
          <w:sz w:val="24"/>
          <w:szCs w:val="24"/>
        </w:rPr>
      </w:pPr>
      <w:proofErr w:type="spellStart"/>
      <w:r w:rsidRPr="00700758">
        <w:rPr>
          <w:rFonts w:eastAsia="Times New Roman" w:cstheme="minorHAnsi"/>
          <w:sz w:val="24"/>
          <w:szCs w:val="24"/>
        </w:rPr>
        <w:t>Pavon</w:t>
      </w:r>
      <w:proofErr w:type="spellEnd"/>
      <w:r w:rsidRPr="00700758">
        <w:rPr>
          <w:rFonts w:eastAsia="Times New Roman" w:cstheme="minorHAnsi"/>
          <w:sz w:val="24"/>
          <w:szCs w:val="24"/>
        </w:rPr>
        <w:t>, J. M., Sloane, R. J., Pieper, C. F., Colón-</w:t>
      </w:r>
      <w:proofErr w:type="spellStart"/>
      <w:r w:rsidRPr="00700758">
        <w:rPr>
          <w:rFonts w:eastAsia="Times New Roman" w:cstheme="minorHAnsi"/>
          <w:sz w:val="24"/>
          <w:szCs w:val="24"/>
        </w:rPr>
        <w:t>Emeric</w:t>
      </w:r>
      <w:proofErr w:type="spellEnd"/>
      <w:r w:rsidRPr="00700758">
        <w:rPr>
          <w:rFonts w:eastAsia="Times New Roman" w:cstheme="minorHAnsi"/>
          <w:sz w:val="24"/>
          <w:szCs w:val="24"/>
        </w:rPr>
        <w:t xml:space="preserve">, C. S., Cohen, H. J., Gallagher, D., Morey, M. C., McCarty, M., </w:t>
      </w:r>
      <w:proofErr w:type="spellStart"/>
      <w:r w:rsidRPr="00700758">
        <w:rPr>
          <w:rFonts w:eastAsia="Times New Roman" w:cstheme="minorHAnsi"/>
          <w:sz w:val="24"/>
          <w:szCs w:val="24"/>
        </w:rPr>
        <w:t>Ortel</w:t>
      </w:r>
      <w:proofErr w:type="spellEnd"/>
      <w:r w:rsidRPr="00700758">
        <w:rPr>
          <w:rFonts w:eastAsia="Times New Roman" w:cstheme="minorHAnsi"/>
          <w:sz w:val="24"/>
          <w:szCs w:val="24"/>
        </w:rPr>
        <w:t xml:space="preserve">, T. L., &amp; Hastings, S. N. (2018). Poor adherence to risk stratification guidelines results in overuse of venous thromboembolism prophylaxis in hospitalized older adults. </w:t>
      </w:r>
      <w:r w:rsidRPr="00700758">
        <w:rPr>
          <w:rFonts w:eastAsia="Times New Roman" w:cstheme="minorHAnsi"/>
          <w:i/>
          <w:iCs/>
          <w:sz w:val="24"/>
          <w:szCs w:val="24"/>
        </w:rPr>
        <w:t>Journal of Hospital Medicine</w:t>
      </w:r>
      <w:r w:rsidRPr="00700758">
        <w:rPr>
          <w:rFonts w:eastAsia="Times New Roman" w:cstheme="minorHAnsi"/>
          <w:sz w:val="24"/>
          <w:szCs w:val="24"/>
        </w:rPr>
        <w:t xml:space="preserve">, </w:t>
      </w:r>
      <w:r w:rsidRPr="00700758">
        <w:rPr>
          <w:rFonts w:eastAsia="Times New Roman" w:cstheme="minorHAnsi"/>
          <w:i/>
          <w:iCs/>
          <w:sz w:val="24"/>
          <w:szCs w:val="24"/>
        </w:rPr>
        <w:t>13</w:t>
      </w:r>
      <w:r w:rsidRPr="00700758">
        <w:rPr>
          <w:rFonts w:eastAsia="Times New Roman" w:cstheme="minorHAnsi"/>
          <w:sz w:val="24"/>
          <w:szCs w:val="24"/>
        </w:rPr>
        <w:t xml:space="preserve">(6), 403–404. </w:t>
      </w:r>
      <w:hyperlink r:id="rId26" w:history="1">
        <w:r w:rsidRPr="00700758">
          <w:rPr>
            <w:rFonts w:eastAsia="Times New Roman" w:cstheme="minorHAnsi"/>
            <w:color w:val="0000FF"/>
            <w:sz w:val="24"/>
            <w:szCs w:val="24"/>
            <w:u w:val="single"/>
          </w:rPr>
          <w:t>https://doi.org/10.12788/jhm.2916</w:t>
        </w:r>
      </w:hyperlink>
    </w:p>
    <w:p w14:paraId="00F36963" w14:textId="77777777" w:rsidR="00C16CF2" w:rsidRPr="00700758" w:rsidRDefault="00C16CF2" w:rsidP="00C16CF2">
      <w:pPr>
        <w:spacing w:after="0" w:line="480" w:lineRule="auto"/>
        <w:ind w:hanging="480"/>
        <w:rPr>
          <w:rFonts w:eastAsia="Times New Roman" w:cstheme="minorHAnsi"/>
          <w:sz w:val="24"/>
          <w:szCs w:val="24"/>
        </w:rPr>
      </w:pPr>
      <w:r w:rsidRPr="00700758">
        <w:rPr>
          <w:rFonts w:eastAsia="Times New Roman" w:cstheme="minorHAnsi"/>
          <w:sz w:val="24"/>
          <w:szCs w:val="24"/>
        </w:rPr>
        <w:t xml:space="preserve">Raymundo, S. R. de O., Lobo, S. M. A., Hussain, K. M. K., Hussein, K. G., </w:t>
      </w:r>
      <w:proofErr w:type="spellStart"/>
      <w:r w:rsidRPr="00700758">
        <w:rPr>
          <w:rFonts w:eastAsia="Times New Roman" w:cstheme="minorHAnsi"/>
          <w:sz w:val="24"/>
          <w:szCs w:val="24"/>
        </w:rPr>
        <w:t>Secches</w:t>
      </w:r>
      <w:proofErr w:type="spellEnd"/>
      <w:r w:rsidRPr="00700758">
        <w:rPr>
          <w:rFonts w:eastAsia="Times New Roman" w:cstheme="minorHAnsi"/>
          <w:sz w:val="24"/>
          <w:szCs w:val="24"/>
        </w:rPr>
        <w:t xml:space="preserve">, I. T., Raymundo, S. R. de O., Lobo, S. M. A., Hussain, K. M. K., Hussein, K. G., &amp; </w:t>
      </w:r>
      <w:proofErr w:type="spellStart"/>
      <w:r w:rsidRPr="00700758">
        <w:rPr>
          <w:rFonts w:eastAsia="Times New Roman" w:cstheme="minorHAnsi"/>
          <w:sz w:val="24"/>
          <w:szCs w:val="24"/>
        </w:rPr>
        <w:t>Secches</w:t>
      </w:r>
      <w:proofErr w:type="spellEnd"/>
      <w:r w:rsidRPr="00700758">
        <w:rPr>
          <w:rFonts w:eastAsia="Times New Roman" w:cstheme="minorHAnsi"/>
          <w:sz w:val="24"/>
          <w:szCs w:val="24"/>
        </w:rPr>
        <w:t xml:space="preserve">, I. T. (2019). What has changed in venous thromboembolism prophylaxis for hospitalized patients over recent decades: Review article. </w:t>
      </w:r>
      <w:proofErr w:type="spellStart"/>
      <w:r w:rsidRPr="00700758">
        <w:rPr>
          <w:rFonts w:eastAsia="Times New Roman" w:cstheme="minorHAnsi"/>
          <w:i/>
          <w:iCs/>
          <w:sz w:val="24"/>
          <w:szCs w:val="24"/>
        </w:rPr>
        <w:t>Jornal</w:t>
      </w:r>
      <w:proofErr w:type="spellEnd"/>
      <w:r w:rsidRPr="00700758">
        <w:rPr>
          <w:rFonts w:eastAsia="Times New Roman" w:cstheme="minorHAnsi"/>
          <w:i/>
          <w:iCs/>
          <w:sz w:val="24"/>
          <w:szCs w:val="24"/>
        </w:rPr>
        <w:t xml:space="preserve"> Vascular </w:t>
      </w:r>
      <w:proofErr w:type="spellStart"/>
      <w:r w:rsidRPr="00700758">
        <w:rPr>
          <w:rFonts w:eastAsia="Times New Roman" w:cstheme="minorHAnsi"/>
          <w:i/>
          <w:iCs/>
          <w:sz w:val="24"/>
          <w:szCs w:val="24"/>
        </w:rPr>
        <w:t>Brasileiro</w:t>
      </w:r>
      <w:proofErr w:type="spellEnd"/>
      <w:r w:rsidRPr="00700758">
        <w:rPr>
          <w:rFonts w:eastAsia="Times New Roman" w:cstheme="minorHAnsi"/>
          <w:sz w:val="24"/>
          <w:szCs w:val="24"/>
        </w:rPr>
        <w:t xml:space="preserve">, </w:t>
      </w:r>
      <w:r w:rsidRPr="00700758">
        <w:rPr>
          <w:rFonts w:eastAsia="Times New Roman" w:cstheme="minorHAnsi"/>
          <w:i/>
          <w:iCs/>
          <w:sz w:val="24"/>
          <w:szCs w:val="24"/>
        </w:rPr>
        <w:t>18</w:t>
      </w:r>
      <w:r w:rsidRPr="00700758">
        <w:rPr>
          <w:rFonts w:eastAsia="Times New Roman" w:cstheme="minorHAnsi"/>
          <w:sz w:val="24"/>
          <w:szCs w:val="24"/>
        </w:rPr>
        <w:t xml:space="preserve">. </w:t>
      </w:r>
      <w:hyperlink r:id="rId27" w:history="1">
        <w:r w:rsidRPr="00700758">
          <w:rPr>
            <w:rFonts w:eastAsia="Times New Roman" w:cstheme="minorHAnsi"/>
            <w:color w:val="0000FF"/>
            <w:sz w:val="24"/>
            <w:szCs w:val="24"/>
            <w:u w:val="single"/>
          </w:rPr>
          <w:t>https://doi.org/10.1590/1677-5449.002118</w:t>
        </w:r>
      </w:hyperlink>
    </w:p>
    <w:p w14:paraId="151EBA6F" w14:textId="77777777" w:rsidR="00C16CF2" w:rsidRPr="00700758" w:rsidRDefault="00C16CF2" w:rsidP="00C16CF2">
      <w:pPr>
        <w:spacing w:after="0" w:line="480" w:lineRule="auto"/>
        <w:ind w:hanging="480"/>
        <w:rPr>
          <w:rFonts w:eastAsia="Times New Roman" w:cstheme="minorHAnsi"/>
          <w:sz w:val="24"/>
          <w:szCs w:val="24"/>
        </w:rPr>
      </w:pPr>
      <w:proofErr w:type="spellStart"/>
      <w:r w:rsidRPr="00700758">
        <w:rPr>
          <w:rFonts w:eastAsia="Times New Roman" w:cstheme="minorHAnsi"/>
          <w:sz w:val="24"/>
          <w:szCs w:val="24"/>
        </w:rPr>
        <w:t>Schünemann</w:t>
      </w:r>
      <w:proofErr w:type="spellEnd"/>
      <w:r w:rsidRPr="00700758">
        <w:rPr>
          <w:rFonts w:eastAsia="Times New Roman" w:cstheme="minorHAnsi"/>
          <w:sz w:val="24"/>
          <w:szCs w:val="24"/>
        </w:rPr>
        <w:t>, H. J., Cushman, M., Burnett, A. E., Kahn, S. R., Beyer-</w:t>
      </w:r>
      <w:proofErr w:type="spellStart"/>
      <w:r w:rsidRPr="00700758">
        <w:rPr>
          <w:rFonts w:eastAsia="Times New Roman" w:cstheme="minorHAnsi"/>
          <w:sz w:val="24"/>
          <w:szCs w:val="24"/>
        </w:rPr>
        <w:t>Westendorf</w:t>
      </w:r>
      <w:proofErr w:type="spellEnd"/>
      <w:r w:rsidRPr="00700758">
        <w:rPr>
          <w:rFonts w:eastAsia="Times New Roman" w:cstheme="minorHAnsi"/>
          <w:sz w:val="24"/>
          <w:szCs w:val="24"/>
        </w:rPr>
        <w:t xml:space="preserve">, J., Spencer, F. A., Rezende, S. M., </w:t>
      </w:r>
      <w:proofErr w:type="spellStart"/>
      <w:r w:rsidRPr="00700758">
        <w:rPr>
          <w:rFonts w:eastAsia="Times New Roman" w:cstheme="minorHAnsi"/>
          <w:sz w:val="24"/>
          <w:szCs w:val="24"/>
        </w:rPr>
        <w:t>Zakai</w:t>
      </w:r>
      <w:proofErr w:type="spellEnd"/>
      <w:r w:rsidRPr="00700758">
        <w:rPr>
          <w:rFonts w:eastAsia="Times New Roman" w:cstheme="minorHAnsi"/>
          <w:sz w:val="24"/>
          <w:szCs w:val="24"/>
        </w:rPr>
        <w:t xml:space="preserve">, N. A., Bauer, K. A., </w:t>
      </w:r>
      <w:proofErr w:type="spellStart"/>
      <w:r w:rsidRPr="00700758">
        <w:rPr>
          <w:rFonts w:eastAsia="Times New Roman" w:cstheme="minorHAnsi"/>
          <w:sz w:val="24"/>
          <w:szCs w:val="24"/>
        </w:rPr>
        <w:t>Dentali</w:t>
      </w:r>
      <w:proofErr w:type="spellEnd"/>
      <w:r w:rsidRPr="00700758">
        <w:rPr>
          <w:rFonts w:eastAsia="Times New Roman" w:cstheme="minorHAnsi"/>
          <w:sz w:val="24"/>
          <w:szCs w:val="24"/>
        </w:rPr>
        <w:t xml:space="preserve">, F., Lansing, J., </w:t>
      </w:r>
      <w:proofErr w:type="spellStart"/>
      <w:r w:rsidRPr="00700758">
        <w:rPr>
          <w:rFonts w:eastAsia="Times New Roman" w:cstheme="minorHAnsi"/>
          <w:sz w:val="24"/>
          <w:szCs w:val="24"/>
        </w:rPr>
        <w:t>Balduzzi</w:t>
      </w:r>
      <w:proofErr w:type="spellEnd"/>
      <w:r w:rsidRPr="00700758">
        <w:rPr>
          <w:rFonts w:eastAsia="Times New Roman" w:cstheme="minorHAnsi"/>
          <w:sz w:val="24"/>
          <w:szCs w:val="24"/>
        </w:rPr>
        <w:t xml:space="preserve">, S., Darzi, A., </w:t>
      </w:r>
      <w:proofErr w:type="spellStart"/>
      <w:r w:rsidRPr="00700758">
        <w:rPr>
          <w:rFonts w:eastAsia="Times New Roman" w:cstheme="minorHAnsi"/>
          <w:sz w:val="24"/>
          <w:szCs w:val="24"/>
        </w:rPr>
        <w:t>Morgano</w:t>
      </w:r>
      <w:proofErr w:type="spellEnd"/>
      <w:r w:rsidRPr="00700758">
        <w:rPr>
          <w:rFonts w:eastAsia="Times New Roman" w:cstheme="minorHAnsi"/>
          <w:sz w:val="24"/>
          <w:szCs w:val="24"/>
        </w:rPr>
        <w:t xml:space="preserve">, G. P., Neumann, I., </w:t>
      </w:r>
      <w:proofErr w:type="spellStart"/>
      <w:r w:rsidRPr="00700758">
        <w:rPr>
          <w:rFonts w:eastAsia="Times New Roman" w:cstheme="minorHAnsi"/>
          <w:sz w:val="24"/>
          <w:szCs w:val="24"/>
        </w:rPr>
        <w:t>Nieuwlaat</w:t>
      </w:r>
      <w:proofErr w:type="spellEnd"/>
      <w:r w:rsidRPr="00700758">
        <w:rPr>
          <w:rFonts w:eastAsia="Times New Roman" w:cstheme="minorHAnsi"/>
          <w:sz w:val="24"/>
          <w:szCs w:val="24"/>
        </w:rPr>
        <w:t xml:space="preserve">, R., </w:t>
      </w:r>
      <w:proofErr w:type="spellStart"/>
      <w:r w:rsidRPr="00700758">
        <w:rPr>
          <w:rFonts w:eastAsia="Times New Roman" w:cstheme="minorHAnsi"/>
          <w:sz w:val="24"/>
          <w:szCs w:val="24"/>
        </w:rPr>
        <w:t>Yepes-Nuñez</w:t>
      </w:r>
      <w:proofErr w:type="spellEnd"/>
      <w:r w:rsidRPr="00700758">
        <w:rPr>
          <w:rFonts w:eastAsia="Times New Roman" w:cstheme="minorHAnsi"/>
          <w:sz w:val="24"/>
          <w:szCs w:val="24"/>
        </w:rPr>
        <w:t xml:space="preserve">, J. J., Zhang, Y., &amp; </w:t>
      </w:r>
      <w:proofErr w:type="spellStart"/>
      <w:r w:rsidRPr="00700758">
        <w:rPr>
          <w:rFonts w:eastAsia="Times New Roman" w:cstheme="minorHAnsi"/>
          <w:sz w:val="24"/>
          <w:szCs w:val="24"/>
        </w:rPr>
        <w:t>Wiercioch</w:t>
      </w:r>
      <w:proofErr w:type="spellEnd"/>
      <w:r w:rsidRPr="00700758">
        <w:rPr>
          <w:rFonts w:eastAsia="Times New Roman" w:cstheme="minorHAnsi"/>
          <w:sz w:val="24"/>
          <w:szCs w:val="24"/>
        </w:rPr>
        <w:t xml:space="preserve">, W. (2018). American Society of Hematology 2018 guidelines for management of venous thromboembolism: Prophylaxis for hospitalized and </w:t>
      </w:r>
      <w:proofErr w:type="spellStart"/>
      <w:r w:rsidRPr="00700758">
        <w:rPr>
          <w:rFonts w:eastAsia="Times New Roman" w:cstheme="minorHAnsi"/>
          <w:sz w:val="24"/>
          <w:szCs w:val="24"/>
        </w:rPr>
        <w:t>nonhospitalized</w:t>
      </w:r>
      <w:proofErr w:type="spellEnd"/>
      <w:r w:rsidRPr="00700758">
        <w:rPr>
          <w:rFonts w:eastAsia="Times New Roman" w:cstheme="minorHAnsi"/>
          <w:sz w:val="24"/>
          <w:szCs w:val="24"/>
        </w:rPr>
        <w:t xml:space="preserve"> medical patients. </w:t>
      </w:r>
      <w:r w:rsidRPr="00700758">
        <w:rPr>
          <w:rFonts w:eastAsia="Times New Roman" w:cstheme="minorHAnsi"/>
          <w:i/>
          <w:iCs/>
          <w:sz w:val="24"/>
          <w:szCs w:val="24"/>
        </w:rPr>
        <w:t>Blood Advances</w:t>
      </w:r>
      <w:r w:rsidRPr="00700758">
        <w:rPr>
          <w:rFonts w:eastAsia="Times New Roman" w:cstheme="minorHAnsi"/>
          <w:sz w:val="24"/>
          <w:szCs w:val="24"/>
        </w:rPr>
        <w:t xml:space="preserve">, </w:t>
      </w:r>
      <w:r w:rsidRPr="00700758">
        <w:rPr>
          <w:rFonts w:eastAsia="Times New Roman" w:cstheme="minorHAnsi"/>
          <w:i/>
          <w:iCs/>
          <w:sz w:val="24"/>
          <w:szCs w:val="24"/>
        </w:rPr>
        <w:t>2</w:t>
      </w:r>
      <w:r w:rsidRPr="00700758">
        <w:rPr>
          <w:rFonts w:eastAsia="Times New Roman" w:cstheme="minorHAnsi"/>
          <w:sz w:val="24"/>
          <w:szCs w:val="24"/>
        </w:rPr>
        <w:t xml:space="preserve">(22), 3198–3225. </w:t>
      </w:r>
      <w:hyperlink r:id="rId28" w:history="1">
        <w:r w:rsidRPr="00700758">
          <w:rPr>
            <w:rFonts w:eastAsia="Times New Roman" w:cstheme="minorHAnsi"/>
            <w:color w:val="0000FF"/>
            <w:sz w:val="24"/>
            <w:szCs w:val="24"/>
            <w:u w:val="single"/>
          </w:rPr>
          <w:t>https://doi.org/10.1182/bloodadvances.2018022954</w:t>
        </w:r>
      </w:hyperlink>
    </w:p>
    <w:p w14:paraId="56E2E208" w14:textId="77777777" w:rsidR="00C16CF2" w:rsidRPr="00700758" w:rsidRDefault="00C16CF2" w:rsidP="00C16CF2">
      <w:pPr>
        <w:spacing w:after="0" w:line="480" w:lineRule="auto"/>
        <w:ind w:hanging="480"/>
        <w:rPr>
          <w:rFonts w:eastAsia="Times New Roman" w:cstheme="minorHAnsi"/>
          <w:sz w:val="24"/>
          <w:szCs w:val="24"/>
        </w:rPr>
      </w:pPr>
      <w:proofErr w:type="spellStart"/>
      <w:r w:rsidRPr="00700758">
        <w:rPr>
          <w:rFonts w:eastAsia="Times New Roman" w:cstheme="minorHAnsi"/>
          <w:sz w:val="24"/>
          <w:szCs w:val="24"/>
        </w:rPr>
        <w:t>Spirk</w:t>
      </w:r>
      <w:proofErr w:type="spellEnd"/>
      <w:r w:rsidRPr="00700758">
        <w:rPr>
          <w:rFonts w:eastAsia="Times New Roman" w:cstheme="minorHAnsi"/>
          <w:sz w:val="24"/>
          <w:szCs w:val="24"/>
        </w:rPr>
        <w:t xml:space="preserve">, D., Stuck, A. K., Hager, A., </w:t>
      </w:r>
      <w:proofErr w:type="spellStart"/>
      <w:r w:rsidRPr="00700758">
        <w:rPr>
          <w:rFonts w:eastAsia="Times New Roman" w:cstheme="minorHAnsi"/>
          <w:sz w:val="24"/>
          <w:szCs w:val="24"/>
        </w:rPr>
        <w:t>Engelberger</w:t>
      </w:r>
      <w:proofErr w:type="spellEnd"/>
      <w:r w:rsidRPr="00700758">
        <w:rPr>
          <w:rFonts w:eastAsia="Times New Roman" w:cstheme="minorHAnsi"/>
          <w:sz w:val="24"/>
          <w:szCs w:val="24"/>
        </w:rPr>
        <w:t xml:space="preserve">, R. P., </w:t>
      </w:r>
      <w:proofErr w:type="spellStart"/>
      <w:r w:rsidRPr="00700758">
        <w:rPr>
          <w:rFonts w:eastAsia="Times New Roman" w:cstheme="minorHAnsi"/>
          <w:sz w:val="24"/>
          <w:szCs w:val="24"/>
        </w:rPr>
        <w:t>Aujesky</w:t>
      </w:r>
      <w:proofErr w:type="spellEnd"/>
      <w:r w:rsidRPr="00700758">
        <w:rPr>
          <w:rFonts w:eastAsia="Times New Roman" w:cstheme="minorHAnsi"/>
          <w:sz w:val="24"/>
          <w:szCs w:val="24"/>
        </w:rPr>
        <w:t xml:space="preserve">, D., &amp; </w:t>
      </w:r>
      <w:proofErr w:type="spellStart"/>
      <w:r w:rsidRPr="00700758">
        <w:rPr>
          <w:rFonts w:eastAsia="Times New Roman" w:cstheme="minorHAnsi"/>
          <w:sz w:val="24"/>
          <w:szCs w:val="24"/>
        </w:rPr>
        <w:t>Kucher</w:t>
      </w:r>
      <w:proofErr w:type="spellEnd"/>
      <w:r w:rsidRPr="00700758">
        <w:rPr>
          <w:rFonts w:eastAsia="Times New Roman" w:cstheme="minorHAnsi"/>
          <w:sz w:val="24"/>
          <w:szCs w:val="24"/>
        </w:rPr>
        <w:t xml:space="preserve">, N. (2017). Electronic alert system for improving appropriate thromboprophylaxis in hospitalized medical patients: A randomized controlled trial. </w:t>
      </w:r>
      <w:r w:rsidRPr="00700758">
        <w:rPr>
          <w:rFonts w:eastAsia="Times New Roman" w:cstheme="minorHAnsi"/>
          <w:i/>
          <w:iCs/>
          <w:sz w:val="24"/>
          <w:szCs w:val="24"/>
        </w:rPr>
        <w:t xml:space="preserve">Journal of Thrombosis and </w:t>
      </w:r>
      <w:proofErr w:type="spellStart"/>
      <w:r w:rsidRPr="00700758">
        <w:rPr>
          <w:rFonts w:eastAsia="Times New Roman" w:cstheme="minorHAnsi"/>
          <w:i/>
          <w:iCs/>
          <w:sz w:val="24"/>
          <w:szCs w:val="24"/>
        </w:rPr>
        <w:t>Haemostasis</w:t>
      </w:r>
      <w:proofErr w:type="spellEnd"/>
      <w:r w:rsidRPr="00700758">
        <w:rPr>
          <w:rFonts w:eastAsia="Times New Roman" w:cstheme="minorHAnsi"/>
          <w:sz w:val="24"/>
          <w:szCs w:val="24"/>
        </w:rPr>
        <w:t xml:space="preserve">, </w:t>
      </w:r>
      <w:r w:rsidRPr="00700758">
        <w:rPr>
          <w:rFonts w:eastAsia="Times New Roman" w:cstheme="minorHAnsi"/>
          <w:i/>
          <w:iCs/>
          <w:sz w:val="24"/>
          <w:szCs w:val="24"/>
        </w:rPr>
        <w:t>15</w:t>
      </w:r>
      <w:r w:rsidRPr="00700758">
        <w:rPr>
          <w:rFonts w:eastAsia="Times New Roman" w:cstheme="minorHAnsi"/>
          <w:sz w:val="24"/>
          <w:szCs w:val="24"/>
        </w:rPr>
        <w:t xml:space="preserve">(11), 2138–2146. </w:t>
      </w:r>
      <w:hyperlink r:id="rId29" w:history="1">
        <w:r w:rsidRPr="00700758">
          <w:rPr>
            <w:rFonts w:eastAsia="Times New Roman" w:cstheme="minorHAnsi"/>
            <w:color w:val="0000FF"/>
            <w:sz w:val="24"/>
            <w:szCs w:val="24"/>
            <w:u w:val="single"/>
          </w:rPr>
          <w:t>https://doi.org/10.1111/jth.13812</w:t>
        </w:r>
      </w:hyperlink>
    </w:p>
    <w:p w14:paraId="59062A9A" w14:textId="77777777" w:rsidR="00C16CF2" w:rsidRPr="00700758" w:rsidRDefault="00C16CF2" w:rsidP="00C16CF2">
      <w:pPr>
        <w:spacing w:after="0" w:line="480" w:lineRule="auto"/>
        <w:ind w:hanging="480"/>
        <w:rPr>
          <w:rFonts w:eastAsia="Times New Roman" w:cstheme="minorHAnsi"/>
          <w:sz w:val="24"/>
          <w:szCs w:val="24"/>
        </w:rPr>
      </w:pPr>
      <w:r w:rsidRPr="00700758">
        <w:rPr>
          <w:rFonts w:eastAsia="Times New Roman" w:cstheme="minorHAnsi"/>
          <w:sz w:val="24"/>
          <w:szCs w:val="24"/>
        </w:rPr>
        <w:lastRenderedPageBreak/>
        <w:t xml:space="preserve">Spyropoulos, A. C., Anderson, F. A., FitzGerald, G., </w:t>
      </w:r>
      <w:proofErr w:type="spellStart"/>
      <w:r w:rsidRPr="00700758">
        <w:rPr>
          <w:rFonts w:eastAsia="Times New Roman" w:cstheme="minorHAnsi"/>
          <w:sz w:val="24"/>
          <w:szCs w:val="24"/>
        </w:rPr>
        <w:t>Decousus</w:t>
      </w:r>
      <w:proofErr w:type="spellEnd"/>
      <w:r w:rsidRPr="00700758">
        <w:rPr>
          <w:rFonts w:eastAsia="Times New Roman" w:cstheme="minorHAnsi"/>
          <w:sz w:val="24"/>
          <w:szCs w:val="24"/>
        </w:rPr>
        <w:t xml:space="preserve">, H., </w:t>
      </w:r>
      <w:proofErr w:type="spellStart"/>
      <w:r w:rsidRPr="00700758">
        <w:rPr>
          <w:rFonts w:eastAsia="Times New Roman" w:cstheme="minorHAnsi"/>
          <w:sz w:val="24"/>
          <w:szCs w:val="24"/>
        </w:rPr>
        <w:t>Pini</w:t>
      </w:r>
      <w:proofErr w:type="spellEnd"/>
      <w:r w:rsidRPr="00700758">
        <w:rPr>
          <w:rFonts w:eastAsia="Times New Roman" w:cstheme="minorHAnsi"/>
          <w:sz w:val="24"/>
          <w:szCs w:val="24"/>
        </w:rPr>
        <w:t xml:space="preserve">, M., Chong, B. H., Zotz, R. B., Bergmann, J.-F., </w:t>
      </w:r>
      <w:proofErr w:type="spellStart"/>
      <w:r w:rsidRPr="00700758">
        <w:rPr>
          <w:rFonts w:eastAsia="Times New Roman" w:cstheme="minorHAnsi"/>
          <w:sz w:val="24"/>
          <w:szCs w:val="24"/>
        </w:rPr>
        <w:t>Tapson</w:t>
      </w:r>
      <w:proofErr w:type="spellEnd"/>
      <w:r w:rsidRPr="00700758">
        <w:rPr>
          <w:rFonts w:eastAsia="Times New Roman" w:cstheme="minorHAnsi"/>
          <w:sz w:val="24"/>
          <w:szCs w:val="24"/>
        </w:rPr>
        <w:t xml:space="preserve">, V., Froehlich, J. B., </w:t>
      </w:r>
      <w:proofErr w:type="spellStart"/>
      <w:r w:rsidRPr="00700758">
        <w:rPr>
          <w:rFonts w:eastAsia="Times New Roman" w:cstheme="minorHAnsi"/>
          <w:sz w:val="24"/>
          <w:szCs w:val="24"/>
        </w:rPr>
        <w:t>Monreal</w:t>
      </w:r>
      <w:proofErr w:type="spellEnd"/>
      <w:r w:rsidRPr="00700758">
        <w:rPr>
          <w:rFonts w:eastAsia="Times New Roman" w:cstheme="minorHAnsi"/>
          <w:sz w:val="24"/>
          <w:szCs w:val="24"/>
        </w:rPr>
        <w:t xml:space="preserve">, M., </w:t>
      </w:r>
      <w:proofErr w:type="spellStart"/>
      <w:r w:rsidRPr="00700758">
        <w:rPr>
          <w:rFonts w:eastAsia="Times New Roman" w:cstheme="minorHAnsi"/>
          <w:sz w:val="24"/>
          <w:szCs w:val="24"/>
        </w:rPr>
        <w:t>Merli</w:t>
      </w:r>
      <w:proofErr w:type="spellEnd"/>
      <w:r w:rsidRPr="00700758">
        <w:rPr>
          <w:rFonts w:eastAsia="Times New Roman" w:cstheme="minorHAnsi"/>
          <w:sz w:val="24"/>
          <w:szCs w:val="24"/>
        </w:rPr>
        <w:t xml:space="preserve">, G. J., </w:t>
      </w:r>
      <w:proofErr w:type="spellStart"/>
      <w:r w:rsidRPr="00700758">
        <w:rPr>
          <w:rFonts w:eastAsia="Times New Roman" w:cstheme="minorHAnsi"/>
          <w:sz w:val="24"/>
          <w:szCs w:val="24"/>
        </w:rPr>
        <w:t>Pavanello</w:t>
      </w:r>
      <w:proofErr w:type="spellEnd"/>
      <w:r w:rsidRPr="00700758">
        <w:rPr>
          <w:rFonts w:eastAsia="Times New Roman" w:cstheme="minorHAnsi"/>
          <w:sz w:val="24"/>
          <w:szCs w:val="24"/>
        </w:rPr>
        <w:t xml:space="preserve">, R., </w:t>
      </w:r>
      <w:proofErr w:type="spellStart"/>
      <w:r w:rsidRPr="00700758">
        <w:rPr>
          <w:rFonts w:eastAsia="Times New Roman" w:cstheme="minorHAnsi"/>
          <w:sz w:val="24"/>
          <w:szCs w:val="24"/>
        </w:rPr>
        <w:t>Turpie</w:t>
      </w:r>
      <w:proofErr w:type="spellEnd"/>
      <w:r w:rsidRPr="00700758">
        <w:rPr>
          <w:rFonts w:eastAsia="Times New Roman" w:cstheme="minorHAnsi"/>
          <w:sz w:val="24"/>
          <w:szCs w:val="24"/>
        </w:rPr>
        <w:t xml:space="preserve">, A. G. G., Nakamura, M., </w:t>
      </w:r>
      <w:proofErr w:type="spellStart"/>
      <w:r w:rsidRPr="00700758">
        <w:rPr>
          <w:rFonts w:eastAsia="Times New Roman" w:cstheme="minorHAnsi"/>
          <w:sz w:val="24"/>
          <w:szCs w:val="24"/>
        </w:rPr>
        <w:t>Piovella</w:t>
      </w:r>
      <w:proofErr w:type="spellEnd"/>
      <w:r w:rsidRPr="00700758">
        <w:rPr>
          <w:rFonts w:eastAsia="Times New Roman" w:cstheme="minorHAnsi"/>
          <w:sz w:val="24"/>
          <w:szCs w:val="24"/>
        </w:rPr>
        <w:t xml:space="preserve">, F., </w:t>
      </w:r>
      <w:proofErr w:type="spellStart"/>
      <w:r w:rsidRPr="00700758">
        <w:rPr>
          <w:rFonts w:eastAsia="Times New Roman" w:cstheme="minorHAnsi"/>
          <w:sz w:val="24"/>
          <w:szCs w:val="24"/>
        </w:rPr>
        <w:t>Kakkar</w:t>
      </w:r>
      <w:proofErr w:type="spellEnd"/>
      <w:r w:rsidRPr="00700758">
        <w:rPr>
          <w:rFonts w:eastAsia="Times New Roman" w:cstheme="minorHAnsi"/>
          <w:sz w:val="24"/>
          <w:szCs w:val="24"/>
        </w:rPr>
        <w:t xml:space="preserve">, A. K., &amp; Spencer, F. A. (2011). Predictive and Associative Models to Identify Hospitalized Medical Patients at Risk for VTE. </w:t>
      </w:r>
      <w:r w:rsidRPr="00700758">
        <w:rPr>
          <w:rFonts w:eastAsia="Times New Roman" w:cstheme="minorHAnsi"/>
          <w:i/>
          <w:iCs/>
          <w:sz w:val="24"/>
          <w:szCs w:val="24"/>
        </w:rPr>
        <w:t>Chest</w:t>
      </w:r>
      <w:r w:rsidRPr="00700758">
        <w:rPr>
          <w:rFonts w:eastAsia="Times New Roman" w:cstheme="minorHAnsi"/>
          <w:sz w:val="24"/>
          <w:szCs w:val="24"/>
        </w:rPr>
        <w:t xml:space="preserve">, </w:t>
      </w:r>
      <w:r w:rsidRPr="00700758">
        <w:rPr>
          <w:rFonts w:eastAsia="Times New Roman" w:cstheme="minorHAnsi"/>
          <w:i/>
          <w:iCs/>
          <w:sz w:val="24"/>
          <w:szCs w:val="24"/>
        </w:rPr>
        <w:t>140</w:t>
      </w:r>
      <w:r w:rsidRPr="00700758">
        <w:rPr>
          <w:rFonts w:eastAsia="Times New Roman" w:cstheme="minorHAnsi"/>
          <w:sz w:val="24"/>
          <w:szCs w:val="24"/>
        </w:rPr>
        <w:t xml:space="preserve">(3), 706–714. </w:t>
      </w:r>
      <w:hyperlink r:id="rId30" w:history="1">
        <w:r w:rsidRPr="00700758">
          <w:rPr>
            <w:rFonts w:eastAsia="Times New Roman" w:cstheme="minorHAnsi"/>
            <w:color w:val="0000FF"/>
            <w:sz w:val="24"/>
            <w:szCs w:val="24"/>
            <w:u w:val="single"/>
          </w:rPr>
          <w:t>https://doi.org/10.1378/chest.10-1944</w:t>
        </w:r>
      </w:hyperlink>
    </w:p>
    <w:p w14:paraId="5C9D486F" w14:textId="77777777" w:rsidR="00C16CF2" w:rsidRPr="00700758" w:rsidRDefault="00C16CF2" w:rsidP="00C16CF2">
      <w:pPr>
        <w:spacing w:after="0" w:line="480" w:lineRule="auto"/>
        <w:ind w:hanging="480"/>
        <w:rPr>
          <w:rFonts w:eastAsia="Times New Roman" w:cstheme="minorHAnsi"/>
          <w:sz w:val="24"/>
          <w:szCs w:val="24"/>
        </w:rPr>
      </w:pPr>
      <w:proofErr w:type="spellStart"/>
      <w:r w:rsidRPr="00700758">
        <w:rPr>
          <w:rFonts w:eastAsia="Times New Roman" w:cstheme="minorHAnsi"/>
          <w:sz w:val="24"/>
          <w:szCs w:val="24"/>
        </w:rPr>
        <w:t>Tapson</w:t>
      </w:r>
      <w:proofErr w:type="spellEnd"/>
      <w:r w:rsidRPr="00700758">
        <w:rPr>
          <w:rFonts w:eastAsia="Times New Roman" w:cstheme="minorHAnsi"/>
          <w:sz w:val="24"/>
          <w:szCs w:val="24"/>
        </w:rPr>
        <w:t xml:space="preserve">, V. F., </w:t>
      </w:r>
      <w:proofErr w:type="spellStart"/>
      <w:r w:rsidRPr="00700758">
        <w:rPr>
          <w:rFonts w:eastAsia="Times New Roman" w:cstheme="minorHAnsi"/>
          <w:sz w:val="24"/>
          <w:szCs w:val="24"/>
        </w:rPr>
        <w:t>Decousus</w:t>
      </w:r>
      <w:proofErr w:type="spellEnd"/>
      <w:r w:rsidRPr="00700758">
        <w:rPr>
          <w:rFonts w:eastAsia="Times New Roman" w:cstheme="minorHAnsi"/>
          <w:sz w:val="24"/>
          <w:szCs w:val="24"/>
        </w:rPr>
        <w:t xml:space="preserve">, H., </w:t>
      </w:r>
      <w:proofErr w:type="spellStart"/>
      <w:r w:rsidRPr="00700758">
        <w:rPr>
          <w:rFonts w:eastAsia="Times New Roman" w:cstheme="minorHAnsi"/>
          <w:sz w:val="24"/>
          <w:szCs w:val="24"/>
        </w:rPr>
        <w:t>Pini</w:t>
      </w:r>
      <w:proofErr w:type="spellEnd"/>
      <w:r w:rsidRPr="00700758">
        <w:rPr>
          <w:rFonts w:eastAsia="Times New Roman" w:cstheme="minorHAnsi"/>
          <w:sz w:val="24"/>
          <w:szCs w:val="24"/>
        </w:rPr>
        <w:t xml:space="preserve">, M., Chong, B. H., Froehlich, J. B., </w:t>
      </w:r>
      <w:proofErr w:type="spellStart"/>
      <w:r w:rsidRPr="00700758">
        <w:rPr>
          <w:rFonts w:eastAsia="Times New Roman" w:cstheme="minorHAnsi"/>
          <w:sz w:val="24"/>
          <w:szCs w:val="24"/>
        </w:rPr>
        <w:t>Monreal</w:t>
      </w:r>
      <w:proofErr w:type="spellEnd"/>
      <w:r w:rsidRPr="00700758">
        <w:rPr>
          <w:rFonts w:eastAsia="Times New Roman" w:cstheme="minorHAnsi"/>
          <w:sz w:val="24"/>
          <w:szCs w:val="24"/>
        </w:rPr>
        <w:t xml:space="preserve">, M., Spyropoulos, A. C., </w:t>
      </w:r>
      <w:proofErr w:type="spellStart"/>
      <w:r w:rsidRPr="00700758">
        <w:rPr>
          <w:rFonts w:eastAsia="Times New Roman" w:cstheme="minorHAnsi"/>
          <w:sz w:val="24"/>
          <w:szCs w:val="24"/>
        </w:rPr>
        <w:t>Merli</w:t>
      </w:r>
      <w:proofErr w:type="spellEnd"/>
      <w:r w:rsidRPr="00700758">
        <w:rPr>
          <w:rFonts w:eastAsia="Times New Roman" w:cstheme="minorHAnsi"/>
          <w:sz w:val="24"/>
          <w:szCs w:val="24"/>
        </w:rPr>
        <w:t xml:space="preserve">, G. J., Zotz, R. B., Bergmann, J.-F., </w:t>
      </w:r>
      <w:proofErr w:type="spellStart"/>
      <w:r w:rsidRPr="00700758">
        <w:rPr>
          <w:rFonts w:eastAsia="Times New Roman" w:cstheme="minorHAnsi"/>
          <w:sz w:val="24"/>
          <w:szCs w:val="24"/>
        </w:rPr>
        <w:t>Pavanello</w:t>
      </w:r>
      <w:proofErr w:type="spellEnd"/>
      <w:r w:rsidRPr="00700758">
        <w:rPr>
          <w:rFonts w:eastAsia="Times New Roman" w:cstheme="minorHAnsi"/>
          <w:sz w:val="24"/>
          <w:szCs w:val="24"/>
        </w:rPr>
        <w:t xml:space="preserve">, R., </w:t>
      </w:r>
      <w:proofErr w:type="spellStart"/>
      <w:r w:rsidRPr="00700758">
        <w:rPr>
          <w:rFonts w:eastAsia="Times New Roman" w:cstheme="minorHAnsi"/>
          <w:sz w:val="24"/>
          <w:szCs w:val="24"/>
        </w:rPr>
        <w:t>Turpie</w:t>
      </w:r>
      <w:proofErr w:type="spellEnd"/>
      <w:r w:rsidRPr="00700758">
        <w:rPr>
          <w:rFonts w:eastAsia="Times New Roman" w:cstheme="minorHAnsi"/>
          <w:sz w:val="24"/>
          <w:szCs w:val="24"/>
        </w:rPr>
        <w:t xml:space="preserve">, A. G. G., Nakamura, M., </w:t>
      </w:r>
      <w:proofErr w:type="spellStart"/>
      <w:r w:rsidRPr="00700758">
        <w:rPr>
          <w:rFonts w:eastAsia="Times New Roman" w:cstheme="minorHAnsi"/>
          <w:sz w:val="24"/>
          <w:szCs w:val="24"/>
        </w:rPr>
        <w:t>Piovella</w:t>
      </w:r>
      <w:proofErr w:type="spellEnd"/>
      <w:r w:rsidRPr="00700758">
        <w:rPr>
          <w:rFonts w:eastAsia="Times New Roman" w:cstheme="minorHAnsi"/>
          <w:sz w:val="24"/>
          <w:szCs w:val="24"/>
        </w:rPr>
        <w:t xml:space="preserve">, F., </w:t>
      </w:r>
      <w:proofErr w:type="spellStart"/>
      <w:r w:rsidRPr="00700758">
        <w:rPr>
          <w:rFonts w:eastAsia="Times New Roman" w:cstheme="minorHAnsi"/>
          <w:sz w:val="24"/>
          <w:szCs w:val="24"/>
        </w:rPr>
        <w:t>Kakkar</w:t>
      </w:r>
      <w:proofErr w:type="spellEnd"/>
      <w:r w:rsidRPr="00700758">
        <w:rPr>
          <w:rFonts w:eastAsia="Times New Roman" w:cstheme="minorHAnsi"/>
          <w:sz w:val="24"/>
          <w:szCs w:val="24"/>
        </w:rPr>
        <w:t xml:space="preserve">, A. K., Spencer, F. A., FitzGerald, G., &amp; Anderson, F. A. (2007). Venous Thromboembolism Prophylaxis in Acutely Ill Hospitalized Medical Patients: Findings </w:t>
      </w:r>
      <w:proofErr w:type="gramStart"/>
      <w:r w:rsidRPr="00700758">
        <w:rPr>
          <w:rFonts w:eastAsia="Times New Roman" w:cstheme="minorHAnsi"/>
          <w:sz w:val="24"/>
          <w:szCs w:val="24"/>
        </w:rPr>
        <w:t>From</w:t>
      </w:r>
      <w:proofErr w:type="gramEnd"/>
      <w:r w:rsidRPr="00700758">
        <w:rPr>
          <w:rFonts w:eastAsia="Times New Roman" w:cstheme="minorHAnsi"/>
          <w:sz w:val="24"/>
          <w:szCs w:val="24"/>
        </w:rPr>
        <w:t xml:space="preserve"> the International Medical Prevention Registry on Venous Thromboembolism. </w:t>
      </w:r>
      <w:r w:rsidRPr="00700758">
        <w:rPr>
          <w:rFonts w:eastAsia="Times New Roman" w:cstheme="minorHAnsi"/>
          <w:i/>
          <w:iCs/>
          <w:sz w:val="24"/>
          <w:szCs w:val="24"/>
        </w:rPr>
        <w:t>Chest</w:t>
      </w:r>
      <w:r w:rsidRPr="00700758">
        <w:rPr>
          <w:rFonts w:eastAsia="Times New Roman" w:cstheme="minorHAnsi"/>
          <w:sz w:val="24"/>
          <w:szCs w:val="24"/>
        </w:rPr>
        <w:t xml:space="preserve">, </w:t>
      </w:r>
      <w:r w:rsidRPr="00700758">
        <w:rPr>
          <w:rFonts w:eastAsia="Times New Roman" w:cstheme="minorHAnsi"/>
          <w:i/>
          <w:iCs/>
          <w:sz w:val="24"/>
          <w:szCs w:val="24"/>
        </w:rPr>
        <w:t>132</w:t>
      </w:r>
      <w:r w:rsidRPr="00700758">
        <w:rPr>
          <w:rFonts w:eastAsia="Times New Roman" w:cstheme="minorHAnsi"/>
          <w:sz w:val="24"/>
          <w:szCs w:val="24"/>
        </w:rPr>
        <w:t xml:space="preserve">(3), 936–945. </w:t>
      </w:r>
      <w:hyperlink r:id="rId31" w:history="1">
        <w:r w:rsidRPr="00700758">
          <w:rPr>
            <w:rFonts w:eastAsia="Times New Roman" w:cstheme="minorHAnsi"/>
            <w:color w:val="0000FF"/>
            <w:sz w:val="24"/>
            <w:szCs w:val="24"/>
            <w:u w:val="single"/>
          </w:rPr>
          <w:t>https://doi.org/10.1378/chest.06-2993</w:t>
        </w:r>
      </w:hyperlink>
    </w:p>
    <w:p w14:paraId="18F0B925" w14:textId="77777777" w:rsidR="00C16CF2" w:rsidRPr="00700758" w:rsidRDefault="00C16CF2" w:rsidP="00C16CF2">
      <w:pPr>
        <w:spacing w:after="0" w:line="480" w:lineRule="auto"/>
        <w:ind w:hanging="480"/>
        <w:rPr>
          <w:rFonts w:eastAsia="Times New Roman" w:cstheme="minorHAnsi"/>
          <w:sz w:val="24"/>
          <w:szCs w:val="24"/>
        </w:rPr>
      </w:pPr>
      <w:r w:rsidRPr="00700758">
        <w:rPr>
          <w:rFonts w:eastAsia="Times New Roman" w:cstheme="minorHAnsi"/>
          <w:i/>
          <w:iCs/>
          <w:sz w:val="24"/>
          <w:szCs w:val="24"/>
        </w:rPr>
        <w:t xml:space="preserve">Thrombosis prophylaxis in medical patients: A retrospective review of clinical practice patterns | </w:t>
      </w:r>
      <w:proofErr w:type="spellStart"/>
      <w:r w:rsidRPr="00700758">
        <w:rPr>
          <w:rFonts w:eastAsia="Times New Roman" w:cstheme="minorHAnsi"/>
          <w:i/>
          <w:iCs/>
          <w:sz w:val="24"/>
          <w:szCs w:val="24"/>
        </w:rPr>
        <w:t>Haematologica</w:t>
      </w:r>
      <w:proofErr w:type="spellEnd"/>
      <w:r w:rsidRPr="00700758">
        <w:rPr>
          <w:rFonts w:eastAsia="Times New Roman" w:cstheme="minorHAnsi"/>
          <w:sz w:val="24"/>
          <w:szCs w:val="24"/>
        </w:rPr>
        <w:t xml:space="preserve">. (n.d.). Retrieved July 31, 2021, from </w:t>
      </w:r>
      <w:hyperlink r:id="rId32" w:history="1">
        <w:r w:rsidRPr="00700758">
          <w:rPr>
            <w:rFonts w:eastAsia="Times New Roman" w:cstheme="minorHAnsi"/>
            <w:color w:val="0000FF"/>
            <w:sz w:val="24"/>
            <w:szCs w:val="24"/>
            <w:u w:val="single"/>
          </w:rPr>
          <w:t>https://www.haematologica.org/article/view/2436</w:t>
        </w:r>
      </w:hyperlink>
    </w:p>
    <w:p w14:paraId="65FB8CB7" w14:textId="77777777" w:rsidR="00C16CF2" w:rsidRPr="00700758" w:rsidRDefault="00C16CF2" w:rsidP="00C16CF2">
      <w:pPr>
        <w:spacing w:after="0" w:line="480" w:lineRule="auto"/>
        <w:ind w:hanging="480"/>
        <w:rPr>
          <w:rFonts w:eastAsia="Times New Roman" w:cstheme="minorHAnsi"/>
          <w:sz w:val="24"/>
          <w:szCs w:val="24"/>
        </w:rPr>
      </w:pPr>
      <w:r w:rsidRPr="00700758">
        <w:rPr>
          <w:rFonts w:eastAsia="Times New Roman" w:cstheme="minorHAnsi"/>
          <w:sz w:val="24"/>
          <w:szCs w:val="24"/>
        </w:rPr>
        <w:t xml:space="preserve">Van der Merwe, M. (2020). </w:t>
      </w:r>
      <w:r w:rsidRPr="00700758">
        <w:rPr>
          <w:rFonts w:eastAsia="Times New Roman" w:cstheme="minorHAnsi"/>
          <w:i/>
          <w:iCs/>
          <w:sz w:val="24"/>
          <w:szCs w:val="24"/>
        </w:rPr>
        <w:t>Assessment of venous thromboembolism prophylaxis in a South African private hospital group</w:t>
      </w:r>
      <w:r w:rsidRPr="00700758">
        <w:rPr>
          <w:rFonts w:eastAsia="Times New Roman" w:cstheme="minorHAnsi"/>
          <w:sz w:val="24"/>
          <w:szCs w:val="24"/>
        </w:rPr>
        <w:t xml:space="preserve"> [Thesis, North-West University (South-Africa)]. </w:t>
      </w:r>
      <w:hyperlink r:id="rId33" w:history="1">
        <w:r w:rsidRPr="00700758">
          <w:rPr>
            <w:rFonts w:eastAsia="Times New Roman" w:cstheme="minorHAnsi"/>
            <w:color w:val="0000FF"/>
            <w:sz w:val="24"/>
            <w:szCs w:val="24"/>
            <w:u w:val="single"/>
          </w:rPr>
          <w:t>https://repository.nwu.ac.za/handle/10394/34960</w:t>
        </w:r>
      </w:hyperlink>
    </w:p>
    <w:p w14:paraId="7E52453C" w14:textId="77777777" w:rsidR="00C16CF2" w:rsidRPr="00700758" w:rsidRDefault="00C16CF2" w:rsidP="00C16CF2">
      <w:pPr>
        <w:spacing w:after="0" w:line="480" w:lineRule="auto"/>
        <w:ind w:hanging="480"/>
        <w:rPr>
          <w:rFonts w:eastAsia="Times New Roman" w:cstheme="minorHAnsi"/>
          <w:sz w:val="24"/>
          <w:szCs w:val="24"/>
        </w:rPr>
      </w:pPr>
      <w:r w:rsidRPr="00700758">
        <w:rPr>
          <w:rFonts w:eastAsia="Times New Roman" w:cstheme="minorHAnsi"/>
          <w:i/>
          <w:iCs/>
          <w:sz w:val="24"/>
          <w:szCs w:val="24"/>
        </w:rPr>
        <w:t xml:space="preserve">Venous Thromboembolism Prophylaxis and The International Medical Prevention Registry on Venous Thromboembolism (IMPROVE) Score in Medical Illness Patients | </w:t>
      </w:r>
      <w:proofErr w:type="spellStart"/>
      <w:r w:rsidRPr="00700758">
        <w:rPr>
          <w:rFonts w:eastAsia="Times New Roman" w:cstheme="minorHAnsi"/>
          <w:i/>
          <w:iCs/>
          <w:sz w:val="24"/>
          <w:szCs w:val="24"/>
        </w:rPr>
        <w:t>Riswandi</w:t>
      </w:r>
      <w:proofErr w:type="spellEnd"/>
      <w:r w:rsidRPr="00700758">
        <w:rPr>
          <w:rFonts w:eastAsia="Times New Roman" w:cstheme="minorHAnsi"/>
          <w:i/>
          <w:iCs/>
          <w:sz w:val="24"/>
          <w:szCs w:val="24"/>
        </w:rPr>
        <w:t xml:space="preserve"> | International Journal of Integrated Health Sciences</w:t>
      </w:r>
      <w:r w:rsidRPr="00700758">
        <w:rPr>
          <w:rFonts w:eastAsia="Times New Roman" w:cstheme="minorHAnsi"/>
          <w:sz w:val="24"/>
          <w:szCs w:val="24"/>
        </w:rPr>
        <w:t xml:space="preserve">. (n.d.). Retrieved July 31, 2021, from </w:t>
      </w:r>
      <w:hyperlink r:id="rId34" w:history="1">
        <w:r w:rsidRPr="00700758">
          <w:rPr>
            <w:rFonts w:eastAsia="Times New Roman" w:cstheme="minorHAnsi"/>
            <w:color w:val="0000FF"/>
            <w:sz w:val="24"/>
            <w:szCs w:val="24"/>
            <w:u w:val="single"/>
          </w:rPr>
          <w:t>http://journal.fk.unpad.ac.id/index.php/ijihs/article/view/1773</w:t>
        </w:r>
      </w:hyperlink>
    </w:p>
    <w:p w14:paraId="3536F932" w14:textId="77777777" w:rsidR="00C16CF2" w:rsidRPr="00700758" w:rsidRDefault="00C16CF2" w:rsidP="00C16CF2">
      <w:pPr>
        <w:spacing w:after="0" w:line="480" w:lineRule="auto"/>
        <w:ind w:hanging="480"/>
        <w:rPr>
          <w:rFonts w:eastAsia="Times New Roman" w:cstheme="minorHAnsi"/>
          <w:sz w:val="24"/>
          <w:szCs w:val="24"/>
        </w:rPr>
      </w:pPr>
      <w:proofErr w:type="spellStart"/>
      <w:r w:rsidRPr="00700758">
        <w:rPr>
          <w:rFonts w:eastAsia="Times New Roman" w:cstheme="minorHAnsi"/>
          <w:sz w:val="24"/>
          <w:szCs w:val="24"/>
        </w:rPr>
        <w:lastRenderedPageBreak/>
        <w:t>Visberg</w:t>
      </w:r>
      <w:proofErr w:type="spellEnd"/>
      <w:r w:rsidRPr="00700758">
        <w:rPr>
          <w:rFonts w:eastAsia="Times New Roman" w:cstheme="minorHAnsi"/>
          <w:sz w:val="24"/>
          <w:szCs w:val="24"/>
        </w:rPr>
        <w:t xml:space="preserve">, S., </w:t>
      </w:r>
      <w:proofErr w:type="spellStart"/>
      <w:r w:rsidRPr="00700758">
        <w:rPr>
          <w:rFonts w:eastAsia="Times New Roman" w:cstheme="minorHAnsi"/>
          <w:sz w:val="24"/>
          <w:szCs w:val="24"/>
        </w:rPr>
        <w:t>Hatib</w:t>
      </w:r>
      <w:proofErr w:type="spellEnd"/>
      <w:r w:rsidRPr="00700758">
        <w:rPr>
          <w:rFonts w:eastAsia="Times New Roman" w:cstheme="minorHAnsi"/>
          <w:sz w:val="24"/>
          <w:szCs w:val="24"/>
        </w:rPr>
        <w:t xml:space="preserve">, N., Ginsberg, S., Nassar, A., Schiff, E., &amp; </w:t>
      </w:r>
      <w:proofErr w:type="spellStart"/>
      <w:r w:rsidRPr="00700758">
        <w:rPr>
          <w:rFonts w:eastAsia="Times New Roman" w:cstheme="minorHAnsi"/>
          <w:sz w:val="24"/>
          <w:szCs w:val="24"/>
        </w:rPr>
        <w:t>Dotan</w:t>
      </w:r>
      <w:proofErr w:type="spellEnd"/>
      <w:r w:rsidRPr="00700758">
        <w:rPr>
          <w:rFonts w:eastAsia="Times New Roman" w:cstheme="minorHAnsi"/>
          <w:sz w:val="24"/>
          <w:szCs w:val="24"/>
        </w:rPr>
        <w:t xml:space="preserve">, Y. (2017). [A PROSPECTIVE STUDY TO INCREASE THE AWARENESS OF VENOUS THROMBOEMBOLISM PROPHYLAXIS IN INTERNAL MEDICINE WARDS]. </w:t>
      </w:r>
      <w:proofErr w:type="spellStart"/>
      <w:r w:rsidRPr="00700758">
        <w:rPr>
          <w:rFonts w:eastAsia="Times New Roman" w:cstheme="minorHAnsi"/>
          <w:i/>
          <w:iCs/>
          <w:sz w:val="24"/>
          <w:szCs w:val="24"/>
        </w:rPr>
        <w:t>Harefuah</w:t>
      </w:r>
      <w:proofErr w:type="spellEnd"/>
      <w:r w:rsidRPr="00700758">
        <w:rPr>
          <w:rFonts w:eastAsia="Times New Roman" w:cstheme="minorHAnsi"/>
          <w:sz w:val="24"/>
          <w:szCs w:val="24"/>
        </w:rPr>
        <w:t xml:space="preserve">, </w:t>
      </w:r>
      <w:r w:rsidRPr="00700758">
        <w:rPr>
          <w:rFonts w:eastAsia="Times New Roman" w:cstheme="minorHAnsi"/>
          <w:i/>
          <w:iCs/>
          <w:sz w:val="24"/>
          <w:szCs w:val="24"/>
        </w:rPr>
        <w:t>156</w:t>
      </w:r>
      <w:r w:rsidRPr="00700758">
        <w:rPr>
          <w:rFonts w:eastAsia="Times New Roman" w:cstheme="minorHAnsi"/>
          <w:sz w:val="24"/>
          <w:szCs w:val="24"/>
        </w:rPr>
        <w:t>(3), 147–151.</w:t>
      </w:r>
    </w:p>
    <w:p w14:paraId="1902CA4F" w14:textId="77777777" w:rsidR="00C16CF2" w:rsidRPr="00700758" w:rsidRDefault="00C16CF2" w:rsidP="00C16CF2">
      <w:pPr>
        <w:spacing w:after="0" w:line="480" w:lineRule="auto"/>
        <w:ind w:hanging="480"/>
        <w:rPr>
          <w:rFonts w:eastAsia="Times New Roman" w:cstheme="minorHAnsi"/>
          <w:sz w:val="24"/>
          <w:szCs w:val="24"/>
        </w:rPr>
      </w:pPr>
      <w:r w:rsidRPr="00700758">
        <w:rPr>
          <w:rFonts w:eastAsia="Times New Roman" w:cstheme="minorHAnsi"/>
          <w:sz w:val="24"/>
          <w:szCs w:val="24"/>
        </w:rPr>
        <w:t xml:space="preserve">Wein, L., Wein, S., Haas, S. J., Shaw, J., &amp; Krum, H. (2007). Pharmacological Venous Thromboembolism Prophylaxis in Hospitalized Medical Patients: A Meta-analysis of Randomized Controlled Trials. </w:t>
      </w:r>
      <w:r w:rsidRPr="00700758">
        <w:rPr>
          <w:rFonts w:eastAsia="Times New Roman" w:cstheme="minorHAnsi"/>
          <w:i/>
          <w:iCs/>
          <w:sz w:val="24"/>
          <w:szCs w:val="24"/>
        </w:rPr>
        <w:t>Archives of Internal Medicine</w:t>
      </w:r>
      <w:r w:rsidRPr="00700758">
        <w:rPr>
          <w:rFonts w:eastAsia="Times New Roman" w:cstheme="minorHAnsi"/>
          <w:sz w:val="24"/>
          <w:szCs w:val="24"/>
        </w:rPr>
        <w:t xml:space="preserve">, </w:t>
      </w:r>
      <w:r w:rsidRPr="00700758">
        <w:rPr>
          <w:rFonts w:eastAsia="Times New Roman" w:cstheme="minorHAnsi"/>
          <w:i/>
          <w:iCs/>
          <w:sz w:val="24"/>
          <w:szCs w:val="24"/>
        </w:rPr>
        <w:t>167</w:t>
      </w:r>
      <w:r w:rsidRPr="00700758">
        <w:rPr>
          <w:rFonts w:eastAsia="Times New Roman" w:cstheme="minorHAnsi"/>
          <w:sz w:val="24"/>
          <w:szCs w:val="24"/>
        </w:rPr>
        <w:t xml:space="preserve">(14), 1476–1486. </w:t>
      </w:r>
      <w:hyperlink r:id="rId35" w:history="1">
        <w:r w:rsidRPr="00700758">
          <w:rPr>
            <w:rFonts w:eastAsia="Times New Roman" w:cstheme="minorHAnsi"/>
            <w:color w:val="0000FF"/>
            <w:sz w:val="24"/>
            <w:szCs w:val="24"/>
            <w:u w:val="single"/>
          </w:rPr>
          <w:t>https://doi.org/10.1001/archinte.167.14.1476</w:t>
        </w:r>
      </w:hyperlink>
    </w:p>
    <w:p w14:paraId="1B17F5B2" w14:textId="77777777" w:rsidR="00C16CF2" w:rsidRPr="00700758" w:rsidRDefault="00C16CF2" w:rsidP="00C16CF2">
      <w:pPr>
        <w:spacing w:after="0" w:line="480" w:lineRule="auto"/>
        <w:ind w:hanging="480"/>
        <w:rPr>
          <w:rFonts w:eastAsia="Times New Roman" w:cstheme="minorHAnsi"/>
          <w:sz w:val="24"/>
          <w:szCs w:val="24"/>
        </w:rPr>
      </w:pPr>
      <w:r w:rsidRPr="00700758">
        <w:rPr>
          <w:rFonts w:eastAsia="Times New Roman" w:cstheme="minorHAnsi"/>
          <w:sz w:val="24"/>
          <w:szCs w:val="24"/>
        </w:rPr>
        <w:t xml:space="preserve">(N.d.). Retrieved July 31, 2021, from </w:t>
      </w:r>
      <w:hyperlink r:id="rId36" w:history="1">
        <w:r w:rsidRPr="00700758">
          <w:rPr>
            <w:rFonts w:eastAsia="Times New Roman" w:cstheme="minorHAnsi"/>
            <w:color w:val="0000FF"/>
            <w:sz w:val="24"/>
            <w:szCs w:val="24"/>
            <w:u w:val="single"/>
          </w:rPr>
          <w:t>https://europepmc.org/article/med/29463079</w:t>
        </w:r>
      </w:hyperlink>
    </w:p>
    <w:p w14:paraId="0094CD21" w14:textId="77777777" w:rsidR="00C16CF2" w:rsidRPr="00700758" w:rsidRDefault="00C16CF2" w:rsidP="00C16CF2">
      <w:pPr>
        <w:rPr>
          <w:rFonts w:cstheme="minorHAnsi"/>
          <w:sz w:val="24"/>
          <w:szCs w:val="24"/>
        </w:rPr>
      </w:pPr>
    </w:p>
    <w:sectPr w:rsidR="00C16CF2" w:rsidRPr="00700758">
      <w:head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6EEEF" w14:textId="77777777" w:rsidR="00B378D2" w:rsidRDefault="00B378D2" w:rsidP="002869B2">
      <w:pPr>
        <w:spacing w:after="0" w:line="240" w:lineRule="auto"/>
      </w:pPr>
      <w:r>
        <w:separator/>
      </w:r>
    </w:p>
  </w:endnote>
  <w:endnote w:type="continuationSeparator" w:id="0">
    <w:p w14:paraId="7261C92C" w14:textId="77777777" w:rsidR="00B378D2" w:rsidRDefault="00B378D2" w:rsidP="00286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9C1EC" w14:textId="77777777" w:rsidR="00B378D2" w:rsidRDefault="00B378D2" w:rsidP="002869B2">
      <w:pPr>
        <w:spacing w:after="0" w:line="240" w:lineRule="auto"/>
      </w:pPr>
      <w:r>
        <w:separator/>
      </w:r>
    </w:p>
  </w:footnote>
  <w:footnote w:type="continuationSeparator" w:id="0">
    <w:p w14:paraId="2C51BB73" w14:textId="77777777" w:rsidR="00B378D2" w:rsidRDefault="00B378D2" w:rsidP="00286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49087" w14:textId="08387E56" w:rsidR="002869B2" w:rsidRDefault="002869B2">
    <w:pPr>
      <w:pStyle w:val="Header"/>
    </w:pPr>
    <w:r>
      <w:ptab w:relativeTo="margin" w:alignment="right" w:leader="none"/>
    </w:r>
    <w:r>
      <w:t>James Xu, Amy Beck</w:t>
    </w:r>
    <w:r w:rsidR="005B7439">
      <w:t>, No Feedback</w:t>
    </w:r>
  </w:p>
  <w:p w14:paraId="555DAD57" w14:textId="77777777" w:rsidR="002869B2" w:rsidRDefault="002869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25238"/>
    <w:multiLevelType w:val="hybridMultilevel"/>
    <w:tmpl w:val="04F21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5E61A4"/>
    <w:multiLevelType w:val="hybridMultilevel"/>
    <w:tmpl w:val="3D28B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07FA6"/>
    <w:multiLevelType w:val="hybridMultilevel"/>
    <w:tmpl w:val="CCD83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4A15E4"/>
    <w:multiLevelType w:val="hybridMultilevel"/>
    <w:tmpl w:val="F25C65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1BA4561"/>
    <w:multiLevelType w:val="hybridMultilevel"/>
    <w:tmpl w:val="B584F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F721A7"/>
    <w:multiLevelType w:val="hybridMultilevel"/>
    <w:tmpl w:val="6E5C3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6D0F54"/>
    <w:multiLevelType w:val="hybridMultilevel"/>
    <w:tmpl w:val="0186C6F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B414EC"/>
    <w:multiLevelType w:val="hybridMultilevel"/>
    <w:tmpl w:val="3640A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FAC43DB"/>
    <w:multiLevelType w:val="hybridMultilevel"/>
    <w:tmpl w:val="EAB81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4"/>
  </w:num>
  <w:num w:numId="6">
    <w:abstractNumId w:val="3"/>
  </w:num>
  <w:num w:numId="7">
    <w:abstractNumId w:val="2"/>
  </w:num>
  <w:num w:numId="8">
    <w:abstractNumId w:val="1"/>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33D"/>
    <w:rsid w:val="00002CAB"/>
    <w:rsid w:val="0000437F"/>
    <w:rsid w:val="000320E9"/>
    <w:rsid w:val="0006034A"/>
    <w:rsid w:val="00066F8F"/>
    <w:rsid w:val="000D0E5B"/>
    <w:rsid w:val="000E5F87"/>
    <w:rsid w:val="00106071"/>
    <w:rsid w:val="00112143"/>
    <w:rsid w:val="00135F14"/>
    <w:rsid w:val="00143D89"/>
    <w:rsid w:val="0016721C"/>
    <w:rsid w:val="00175F0A"/>
    <w:rsid w:val="00190C14"/>
    <w:rsid w:val="00190D1C"/>
    <w:rsid w:val="00195672"/>
    <w:rsid w:val="001C45D4"/>
    <w:rsid w:val="001D0A0C"/>
    <w:rsid w:val="001D70CE"/>
    <w:rsid w:val="001E637E"/>
    <w:rsid w:val="00237F3C"/>
    <w:rsid w:val="00252F56"/>
    <w:rsid w:val="002574E7"/>
    <w:rsid w:val="00262FA7"/>
    <w:rsid w:val="002833EC"/>
    <w:rsid w:val="002869B2"/>
    <w:rsid w:val="002875A3"/>
    <w:rsid w:val="00296C82"/>
    <w:rsid w:val="002B07C3"/>
    <w:rsid w:val="002B2A0B"/>
    <w:rsid w:val="002C0A38"/>
    <w:rsid w:val="002C3535"/>
    <w:rsid w:val="002F2D44"/>
    <w:rsid w:val="00300195"/>
    <w:rsid w:val="00326940"/>
    <w:rsid w:val="00343321"/>
    <w:rsid w:val="00352A95"/>
    <w:rsid w:val="0036376C"/>
    <w:rsid w:val="003B3A2C"/>
    <w:rsid w:val="003C124D"/>
    <w:rsid w:val="003D2437"/>
    <w:rsid w:val="00465A08"/>
    <w:rsid w:val="00487EC8"/>
    <w:rsid w:val="004940A3"/>
    <w:rsid w:val="004A0AAC"/>
    <w:rsid w:val="004B6977"/>
    <w:rsid w:val="004D097C"/>
    <w:rsid w:val="004D0D72"/>
    <w:rsid w:val="004E4396"/>
    <w:rsid w:val="005110FD"/>
    <w:rsid w:val="0051374B"/>
    <w:rsid w:val="00517696"/>
    <w:rsid w:val="005364FA"/>
    <w:rsid w:val="005658F3"/>
    <w:rsid w:val="005849DD"/>
    <w:rsid w:val="005B2324"/>
    <w:rsid w:val="005B7439"/>
    <w:rsid w:val="005E15C7"/>
    <w:rsid w:val="005F0624"/>
    <w:rsid w:val="00602E9A"/>
    <w:rsid w:val="006122CF"/>
    <w:rsid w:val="006126EB"/>
    <w:rsid w:val="006368F9"/>
    <w:rsid w:val="00643DC2"/>
    <w:rsid w:val="00663D71"/>
    <w:rsid w:val="0068488F"/>
    <w:rsid w:val="00685589"/>
    <w:rsid w:val="00686015"/>
    <w:rsid w:val="00691892"/>
    <w:rsid w:val="006A0195"/>
    <w:rsid w:val="006C04FB"/>
    <w:rsid w:val="006E7780"/>
    <w:rsid w:val="006F4315"/>
    <w:rsid w:val="007006EA"/>
    <w:rsid w:val="00700758"/>
    <w:rsid w:val="0071240D"/>
    <w:rsid w:val="00714BB7"/>
    <w:rsid w:val="007308CF"/>
    <w:rsid w:val="00740B74"/>
    <w:rsid w:val="0078203C"/>
    <w:rsid w:val="00785837"/>
    <w:rsid w:val="00797BB6"/>
    <w:rsid w:val="007A5FA9"/>
    <w:rsid w:val="007A7241"/>
    <w:rsid w:val="007B57A2"/>
    <w:rsid w:val="007C04A9"/>
    <w:rsid w:val="007C3EC2"/>
    <w:rsid w:val="007E044E"/>
    <w:rsid w:val="007E46E4"/>
    <w:rsid w:val="007F6518"/>
    <w:rsid w:val="00847727"/>
    <w:rsid w:val="008805FB"/>
    <w:rsid w:val="00881F94"/>
    <w:rsid w:val="00884252"/>
    <w:rsid w:val="00896D34"/>
    <w:rsid w:val="008D717F"/>
    <w:rsid w:val="008F1BA3"/>
    <w:rsid w:val="008F372F"/>
    <w:rsid w:val="00903CA1"/>
    <w:rsid w:val="00911B76"/>
    <w:rsid w:val="009260EF"/>
    <w:rsid w:val="0097638E"/>
    <w:rsid w:val="009943A5"/>
    <w:rsid w:val="009A143E"/>
    <w:rsid w:val="009D0EC2"/>
    <w:rsid w:val="009D2045"/>
    <w:rsid w:val="009E5387"/>
    <w:rsid w:val="009E54D1"/>
    <w:rsid w:val="009E70A2"/>
    <w:rsid w:val="00A11F7F"/>
    <w:rsid w:val="00A228E1"/>
    <w:rsid w:val="00A31C13"/>
    <w:rsid w:val="00A32D0C"/>
    <w:rsid w:val="00A33189"/>
    <w:rsid w:val="00A35108"/>
    <w:rsid w:val="00A35D68"/>
    <w:rsid w:val="00A3611A"/>
    <w:rsid w:val="00A36679"/>
    <w:rsid w:val="00A57F08"/>
    <w:rsid w:val="00A63831"/>
    <w:rsid w:val="00A70E56"/>
    <w:rsid w:val="00A73B92"/>
    <w:rsid w:val="00AA5A84"/>
    <w:rsid w:val="00AB20A4"/>
    <w:rsid w:val="00AC6937"/>
    <w:rsid w:val="00AF0D0E"/>
    <w:rsid w:val="00B0609E"/>
    <w:rsid w:val="00B378D2"/>
    <w:rsid w:val="00B43F71"/>
    <w:rsid w:val="00B475F8"/>
    <w:rsid w:val="00B80D85"/>
    <w:rsid w:val="00B83A45"/>
    <w:rsid w:val="00BB254E"/>
    <w:rsid w:val="00BE69CA"/>
    <w:rsid w:val="00BF6E4E"/>
    <w:rsid w:val="00C0250D"/>
    <w:rsid w:val="00C16CF2"/>
    <w:rsid w:val="00C3088C"/>
    <w:rsid w:val="00C4716F"/>
    <w:rsid w:val="00C53A89"/>
    <w:rsid w:val="00C91830"/>
    <w:rsid w:val="00C9189E"/>
    <w:rsid w:val="00CA63C7"/>
    <w:rsid w:val="00CB3CE7"/>
    <w:rsid w:val="00CF15D2"/>
    <w:rsid w:val="00CF5874"/>
    <w:rsid w:val="00D0021D"/>
    <w:rsid w:val="00D01666"/>
    <w:rsid w:val="00D1276C"/>
    <w:rsid w:val="00D268C6"/>
    <w:rsid w:val="00D508E7"/>
    <w:rsid w:val="00D54924"/>
    <w:rsid w:val="00D64D35"/>
    <w:rsid w:val="00D64F8D"/>
    <w:rsid w:val="00D84E4B"/>
    <w:rsid w:val="00D96DC6"/>
    <w:rsid w:val="00DA4614"/>
    <w:rsid w:val="00DB2B94"/>
    <w:rsid w:val="00DC5997"/>
    <w:rsid w:val="00DD269D"/>
    <w:rsid w:val="00DF0C19"/>
    <w:rsid w:val="00E4233D"/>
    <w:rsid w:val="00E7340E"/>
    <w:rsid w:val="00E771D5"/>
    <w:rsid w:val="00EA53C3"/>
    <w:rsid w:val="00ED2E86"/>
    <w:rsid w:val="00EF023E"/>
    <w:rsid w:val="00EF2E4C"/>
    <w:rsid w:val="00F00873"/>
    <w:rsid w:val="00F10C73"/>
    <w:rsid w:val="00F11201"/>
    <w:rsid w:val="00F11E17"/>
    <w:rsid w:val="00F31E83"/>
    <w:rsid w:val="00F329ED"/>
    <w:rsid w:val="00F36E6D"/>
    <w:rsid w:val="00FB0B44"/>
    <w:rsid w:val="00FB220F"/>
    <w:rsid w:val="00FF0240"/>
    <w:rsid w:val="00FF4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99CFD"/>
  <w15:chartTrackingRefBased/>
  <w15:docId w15:val="{ADCFF0E0-6AB3-4304-A696-B469B980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33D"/>
    <w:pPr>
      <w:ind w:left="720"/>
      <w:contextualSpacing/>
    </w:pPr>
  </w:style>
  <w:style w:type="character" w:styleId="Hyperlink">
    <w:name w:val="Hyperlink"/>
    <w:basedOn w:val="DefaultParagraphFont"/>
    <w:uiPriority w:val="99"/>
    <w:semiHidden/>
    <w:unhideWhenUsed/>
    <w:rsid w:val="00C16CF2"/>
    <w:rPr>
      <w:color w:val="0000FF"/>
      <w:u w:val="single"/>
    </w:rPr>
  </w:style>
  <w:style w:type="paragraph" w:styleId="Header">
    <w:name w:val="header"/>
    <w:basedOn w:val="Normal"/>
    <w:link w:val="HeaderChar"/>
    <w:uiPriority w:val="99"/>
    <w:unhideWhenUsed/>
    <w:rsid w:val="002869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9B2"/>
  </w:style>
  <w:style w:type="paragraph" w:styleId="Footer">
    <w:name w:val="footer"/>
    <w:basedOn w:val="Normal"/>
    <w:link w:val="FooterChar"/>
    <w:uiPriority w:val="99"/>
    <w:unhideWhenUsed/>
    <w:rsid w:val="002869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68444">
      <w:bodyDiv w:val="1"/>
      <w:marLeft w:val="0"/>
      <w:marRight w:val="0"/>
      <w:marTop w:val="0"/>
      <w:marBottom w:val="0"/>
      <w:divBdr>
        <w:top w:val="none" w:sz="0" w:space="0" w:color="auto"/>
        <w:left w:val="none" w:sz="0" w:space="0" w:color="auto"/>
        <w:bottom w:val="none" w:sz="0" w:space="0" w:color="auto"/>
        <w:right w:val="none" w:sz="0" w:space="0" w:color="auto"/>
      </w:divBdr>
    </w:div>
    <w:div w:id="514393001">
      <w:bodyDiv w:val="1"/>
      <w:marLeft w:val="0"/>
      <w:marRight w:val="0"/>
      <w:marTop w:val="0"/>
      <w:marBottom w:val="0"/>
      <w:divBdr>
        <w:top w:val="none" w:sz="0" w:space="0" w:color="auto"/>
        <w:left w:val="none" w:sz="0" w:space="0" w:color="auto"/>
        <w:bottom w:val="none" w:sz="0" w:space="0" w:color="auto"/>
        <w:right w:val="none" w:sz="0" w:space="0" w:color="auto"/>
      </w:divBdr>
    </w:div>
    <w:div w:id="800349068">
      <w:bodyDiv w:val="1"/>
      <w:marLeft w:val="0"/>
      <w:marRight w:val="0"/>
      <w:marTop w:val="0"/>
      <w:marBottom w:val="0"/>
      <w:divBdr>
        <w:top w:val="none" w:sz="0" w:space="0" w:color="auto"/>
        <w:left w:val="none" w:sz="0" w:space="0" w:color="auto"/>
        <w:bottom w:val="none" w:sz="0" w:space="0" w:color="auto"/>
        <w:right w:val="none" w:sz="0" w:space="0" w:color="auto"/>
      </w:divBdr>
    </w:div>
    <w:div w:id="1860923638">
      <w:bodyDiv w:val="1"/>
      <w:marLeft w:val="0"/>
      <w:marRight w:val="0"/>
      <w:marTop w:val="0"/>
      <w:marBottom w:val="0"/>
      <w:divBdr>
        <w:top w:val="none" w:sz="0" w:space="0" w:color="auto"/>
        <w:left w:val="none" w:sz="0" w:space="0" w:color="auto"/>
        <w:bottom w:val="none" w:sz="0" w:space="0" w:color="auto"/>
        <w:right w:val="none" w:sz="0" w:space="0" w:color="auto"/>
      </w:divBdr>
      <w:divsChild>
        <w:div w:id="778723971">
          <w:marLeft w:val="480"/>
          <w:marRight w:val="0"/>
          <w:marTop w:val="0"/>
          <w:marBottom w:val="0"/>
          <w:divBdr>
            <w:top w:val="none" w:sz="0" w:space="0" w:color="auto"/>
            <w:left w:val="none" w:sz="0" w:space="0" w:color="auto"/>
            <w:bottom w:val="none" w:sz="0" w:space="0" w:color="auto"/>
            <w:right w:val="none" w:sz="0" w:space="0" w:color="auto"/>
          </w:divBdr>
          <w:divsChild>
            <w:div w:id="151650756">
              <w:marLeft w:val="0"/>
              <w:marRight w:val="0"/>
              <w:marTop w:val="0"/>
              <w:marBottom w:val="0"/>
              <w:divBdr>
                <w:top w:val="none" w:sz="0" w:space="0" w:color="auto"/>
                <w:left w:val="none" w:sz="0" w:space="0" w:color="auto"/>
                <w:bottom w:val="none" w:sz="0" w:space="0" w:color="auto"/>
                <w:right w:val="none" w:sz="0" w:space="0" w:color="auto"/>
              </w:divBdr>
            </w:div>
            <w:div w:id="1280068710">
              <w:marLeft w:val="0"/>
              <w:marRight w:val="0"/>
              <w:marTop w:val="0"/>
              <w:marBottom w:val="0"/>
              <w:divBdr>
                <w:top w:val="none" w:sz="0" w:space="0" w:color="auto"/>
                <w:left w:val="none" w:sz="0" w:space="0" w:color="auto"/>
                <w:bottom w:val="none" w:sz="0" w:space="0" w:color="auto"/>
                <w:right w:val="none" w:sz="0" w:space="0" w:color="auto"/>
              </w:divBdr>
            </w:div>
            <w:div w:id="2095776946">
              <w:marLeft w:val="0"/>
              <w:marRight w:val="0"/>
              <w:marTop w:val="0"/>
              <w:marBottom w:val="0"/>
              <w:divBdr>
                <w:top w:val="none" w:sz="0" w:space="0" w:color="auto"/>
                <w:left w:val="none" w:sz="0" w:space="0" w:color="auto"/>
                <w:bottom w:val="none" w:sz="0" w:space="0" w:color="auto"/>
                <w:right w:val="none" w:sz="0" w:space="0" w:color="auto"/>
              </w:divBdr>
            </w:div>
            <w:div w:id="875119032">
              <w:marLeft w:val="0"/>
              <w:marRight w:val="0"/>
              <w:marTop w:val="0"/>
              <w:marBottom w:val="0"/>
              <w:divBdr>
                <w:top w:val="none" w:sz="0" w:space="0" w:color="auto"/>
                <w:left w:val="none" w:sz="0" w:space="0" w:color="auto"/>
                <w:bottom w:val="none" w:sz="0" w:space="0" w:color="auto"/>
                <w:right w:val="none" w:sz="0" w:space="0" w:color="auto"/>
              </w:divBdr>
            </w:div>
            <w:div w:id="1480610949">
              <w:marLeft w:val="0"/>
              <w:marRight w:val="0"/>
              <w:marTop w:val="0"/>
              <w:marBottom w:val="0"/>
              <w:divBdr>
                <w:top w:val="none" w:sz="0" w:space="0" w:color="auto"/>
                <w:left w:val="none" w:sz="0" w:space="0" w:color="auto"/>
                <w:bottom w:val="none" w:sz="0" w:space="0" w:color="auto"/>
                <w:right w:val="none" w:sz="0" w:space="0" w:color="auto"/>
              </w:divBdr>
            </w:div>
            <w:div w:id="407925784">
              <w:marLeft w:val="0"/>
              <w:marRight w:val="0"/>
              <w:marTop w:val="0"/>
              <w:marBottom w:val="0"/>
              <w:divBdr>
                <w:top w:val="none" w:sz="0" w:space="0" w:color="auto"/>
                <w:left w:val="none" w:sz="0" w:space="0" w:color="auto"/>
                <w:bottom w:val="none" w:sz="0" w:space="0" w:color="auto"/>
                <w:right w:val="none" w:sz="0" w:space="0" w:color="auto"/>
              </w:divBdr>
            </w:div>
            <w:div w:id="1636715502">
              <w:marLeft w:val="0"/>
              <w:marRight w:val="0"/>
              <w:marTop w:val="0"/>
              <w:marBottom w:val="0"/>
              <w:divBdr>
                <w:top w:val="none" w:sz="0" w:space="0" w:color="auto"/>
                <w:left w:val="none" w:sz="0" w:space="0" w:color="auto"/>
                <w:bottom w:val="none" w:sz="0" w:space="0" w:color="auto"/>
                <w:right w:val="none" w:sz="0" w:space="0" w:color="auto"/>
              </w:divBdr>
            </w:div>
            <w:div w:id="237909765">
              <w:marLeft w:val="0"/>
              <w:marRight w:val="0"/>
              <w:marTop w:val="0"/>
              <w:marBottom w:val="0"/>
              <w:divBdr>
                <w:top w:val="none" w:sz="0" w:space="0" w:color="auto"/>
                <w:left w:val="none" w:sz="0" w:space="0" w:color="auto"/>
                <w:bottom w:val="none" w:sz="0" w:space="0" w:color="auto"/>
                <w:right w:val="none" w:sz="0" w:space="0" w:color="auto"/>
              </w:divBdr>
            </w:div>
            <w:div w:id="1217424868">
              <w:marLeft w:val="0"/>
              <w:marRight w:val="0"/>
              <w:marTop w:val="0"/>
              <w:marBottom w:val="0"/>
              <w:divBdr>
                <w:top w:val="none" w:sz="0" w:space="0" w:color="auto"/>
                <w:left w:val="none" w:sz="0" w:space="0" w:color="auto"/>
                <w:bottom w:val="none" w:sz="0" w:space="0" w:color="auto"/>
                <w:right w:val="none" w:sz="0" w:space="0" w:color="auto"/>
              </w:divBdr>
            </w:div>
            <w:div w:id="1890605774">
              <w:marLeft w:val="0"/>
              <w:marRight w:val="0"/>
              <w:marTop w:val="0"/>
              <w:marBottom w:val="0"/>
              <w:divBdr>
                <w:top w:val="none" w:sz="0" w:space="0" w:color="auto"/>
                <w:left w:val="none" w:sz="0" w:space="0" w:color="auto"/>
                <w:bottom w:val="none" w:sz="0" w:space="0" w:color="auto"/>
                <w:right w:val="none" w:sz="0" w:space="0" w:color="auto"/>
              </w:divBdr>
            </w:div>
            <w:div w:id="1073428976">
              <w:marLeft w:val="0"/>
              <w:marRight w:val="0"/>
              <w:marTop w:val="0"/>
              <w:marBottom w:val="0"/>
              <w:divBdr>
                <w:top w:val="none" w:sz="0" w:space="0" w:color="auto"/>
                <w:left w:val="none" w:sz="0" w:space="0" w:color="auto"/>
                <w:bottom w:val="none" w:sz="0" w:space="0" w:color="auto"/>
                <w:right w:val="none" w:sz="0" w:space="0" w:color="auto"/>
              </w:divBdr>
            </w:div>
            <w:div w:id="1331327746">
              <w:marLeft w:val="0"/>
              <w:marRight w:val="0"/>
              <w:marTop w:val="0"/>
              <w:marBottom w:val="0"/>
              <w:divBdr>
                <w:top w:val="none" w:sz="0" w:space="0" w:color="auto"/>
                <w:left w:val="none" w:sz="0" w:space="0" w:color="auto"/>
                <w:bottom w:val="none" w:sz="0" w:space="0" w:color="auto"/>
                <w:right w:val="none" w:sz="0" w:space="0" w:color="auto"/>
              </w:divBdr>
            </w:div>
            <w:div w:id="887188405">
              <w:marLeft w:val="0"/>
              <w:marRight w:val="0"/>
              <w:marTop w:val="0"/>
              <w:marBottom w:val="0"/>
              <w:divBdr>
                <w:top w:val="none" w:sz="0" w:space="0" w:color="auto"/>
                <w:left w:val="none" w:sz="0" w:space="0" w:color="auto"/>
                <w:bottom w:val="none" w:sz="0" w:space="0" w:color="auto"/>
                <w:right w:val="none" w:sz="0" w:space="0" w:color="auto"/>
              </w:divBdr>
            </w:div>
            <w:div w:id="579409458">
              <w:marLeft w:val="0"/>
              <w:marRight w:val="0"/>
              <w:marTop w:val="0"/>
              <w:marBottom w:val="0"/>
              <w:divBdr>
                <w:top w:val="none" w:sz="0" w:space="0" w:color="auto"/>
                <w:left w:val="none" w:sz="0" w:space="0" w:color="auto"/>
                <w:bottom w:val="none" w:sz="0" w:space="0" w:color="auto"/>
                <w:right w:val="none" w:sz="0" w:space="0" w:color="auto"/>
              </w:divBdr>
            </w:div>
            <w:div w:id="387726694">
              <w:marLeft w:val="0"/>
              <w:marRight w:val="0"/>
              <w:marTop w:val="0"/>
              <w:marBottom w:val="0"/>
              <w:divBdr>
                <w:top w:val="none" w:sz="0" w:space="0" w:color="auto"/>
                <w:left w:val="none" w:sz="0" w:space="0" w:color="auto"/>
                <w:bottom w:val="none" w:sz="0" w:space="0" w:color="auto"/>
                <w:right w:val="none" w:sz="0" w:space="0" w:color="auto"/>
              </w:divBdr>
            </w:div>
            <w:div w:id="147139730">
              <w:marLeft w:val="0"/>
              <w:marRight w:val="0"/>
              <w:marTop w:val="0"/>
              <w:marBottom w:val="0"/>
              <w:divBdr>
                <w:top w:val="none" w:sz="0" w:space="0" w:color="auto"/>
                <w:left w:val="none" w:sz="0" w:space="0" w:color="auto"/>
                <w:bottom w:val="none" w:sz="0" w:space="0" w:color="auto"/>
                <w:right w:val="none" w:sz="0" w:space="0" w:color="auto"/>
              </w:divBdr>
            </w:div>
            <w:div w:id="12152246">
              <w:marLeft w:val="0"/>
              <w:marRight w:val="0"/>
              <w:marTop w:val="0"/>
              <w:marBottom w:val="0"/>
              <w:divBdr>
                <w:top w:val="none" w:sz="0" w:space="0" w:color="auto"/>
                <w:left w:val="none" w:sz="0" w:space="0" w:color="auto"/>
                <w:bottom w:val="none" w:sz="0" w:space="0" w:color="auto"/>
                <w:right w:val="none" w:sz="0" w:space="0" w:color="auto"/>
              </w:divBdr>
            </w:div>
            <w:div w:id="2141678656">
              <w:marLeft w:val="0"/>
              <w:marRight w:val="0"/>
              <w:marTop w:val="0"/>
              <w:marBottom w:val="0"/>
              <w:divBdr>
                <w:top w:val="none" w:sz="0" w:space="0" w:color="auto"/>
                <w:left w:val="none" w:sz="0" w:space="0" w:color="auto"/>
                <w:bottom w:val="none" w:sz="0" w:space="0" w:color="auto"/>
                <w:right w:val="none" w:sz="0" w:space="0" w:color="auto"/>
              </w:divBdr>
            </w:div>
            <w:div w:id="2144540243">
              <w:marLeft w:val="0"/>
              <w:marRight w:val="0"/>
              <w:marTop w:val="0"/>
              <w:marBottom w:val="0"/>
              <w:divBdr>
                <w:top w:val="none" w:sz="0" w:space="0" w:color="auto"/>
                <w:left w:val="none" w:sz="0" w:space="0" w:color="auto"/>
                <w:bottom w:val="none" w:sz="0" w:space="0" w:color="auto"/>
                <w:right w:val="none" w:sz="0" w:space="0" w:color="auto"/>
              </w:divBdr>
            </w:div>
            <w:div w:id="1951619877">
              <w:marLeft w:val="0"/>
              <w:marRight w:val="0"/>
              <w:marTop w:val="0"/>
              <w:marBottom w:val="0"/>
              <w:divBdr>
                <w:top w:val="none" w:sz="0" w:space="0" w:color="auto"/>
                <w:left w:val="none" w:sz="0" w:space="0" w:color="auto"/>
                <w:bottom w:val="none" w:sz="0" w:space="0" w:color="auto"/>
                <w:right w:val="none" w:sz="0" w:space="0" w:color="auto"/>
              </w:divBdr>
            </w:div>
            <w:div w:id="1110321057">
              <w:marLeft w:val="0"/>
              <w:marRight w:val="0"/>
              <w:marTop w:val="0"/>
              <w:marBottom w:val="0"/>
              <w:divBdr>
                <w:top w:val="none" w:sz="0" w:space="0" w:color="auto"/>
                <w:left w:val="none" w:sz="0" w:space="0" w:color="auto"/>
                <w:bottom w:val="none" w:sz="0" w:space="0" w:color="auto"/>
                <w:right w:val="none" w:sz="0" w:space="0" w:color="auto"/>
              </w:divBdr>
            </w:div>
            <w:div w:id="1409114885">
              <w:marLeft w:val="0"/>
              <w:marRight w:val="0"/>
              <w:marTop w:val="0"/>
              <w:marBottom w:val="0"/>
              <w:divBdr>
                <w:top w:val="none" w:sz="0" w:space="0" w:color="auto"/>
                <w:left w:val="none" w:sz="0" w:space="0" w:color="auto"/>
                <w:bottom w:val="none" w:sz="0" w:space="0" w:color="auto"/>
                <w:right w:val="none" w:sz="0" w:space="0" w:color="auto"/>
              </w:divBdr>
            </w:div>
            <w:div w:id="1783719479">
              <w:marLeft w:val="0"/>
              <w:marRight w:val="0"/>
              <w:marTop w:val="0"/>
              <w:marBottom w:val="0"/>
              <w:divBdr>
                <w:top w:val="none" w:sz="0" w:space="0" w:color="auto"/>
                <w:left w:val="none" w:sz="0" w:space="0" w:color="auto"/>
                <w:bottom w:val="none" w:sz="0" w:space="0" w:color="auto"/>
                <w:right w:val="none" w:sz="0" w:space="0" w:color="auto"/>
              </w:divBdr>
            </w:div>
            <w:div w:id="1992558047">
              <w:marLeft w:val="0"/>
              <w:marRight w:val="0"/>
              <w:marTop w:val="0"/>
              <w:marBottom w:val="0"/>
              <w:divBdr>
                <w:top w:val="none" w:sz="0" w:space="0" w:color="auto"/>
                <w:left w:val="none" w:sz="0" w:space="0" w:color="auto"/>
                <w:bottom w:val="none" w:sz="0" w:space="0" w:color="auto"/>
                <w:right w:val="none" w:sz="0" w:space="0" w:color="auto"/>
              </w:divBdr>
            </w:div>
            <w:div w:id="1139765235">
              <w:marLeft w:val="0"/>
              <w:marRight w:val="0"/>
              <w:marTop w:val="0"/>
              <w:marBottom w:val="0"/>
              <w:divBdr>
                <w:top w:val="none" w:sz="0" w:space="0" w:color="auto"/>
                <w:left w:val="none" w:sz="0" w:space="0" w:color="auto"/>
                <w:bottom w:val="none" w:sz="0" w:space="0" w:color="auto"/>
                <w:right w:val="none" w:sz="0" w:space="0" w:color="auto"/>
              </w:divBdr>
            </w:div>
            <w:div w:id="1986353684">
              <w:marLeft w:val="0"/>
              <w:marRight w:val="0"/>
              <w:marTop w:val="0"/>
              <w:marBottom w:val="0"/>
              <w:divBdr>
                <w:top w:val="none" w:sz="0" w:space="0" w:color="auto"/>
                <w:left w:val="none" w:sz="0" w:space="0" w:color="auto"/>
                <w:bottom w:val="none" w:sz="0" w:space="0" w:color="auto"/>
                <w:right w:val="none" w:sz="0" w:space="0" w:color="auto"/>
              </w:divBdr>
            </w:div>
            <w:div w:id="1648824359">
              <w:marLeft w:val="0"/>
              <w:marRight w:val="0"/>
              <w:marTop w:val="0"/>
              <w:marBottom w:val="0"/>
              <w:divBdr>
                <w:top w:val="none" w:sz="0" w:space="0" w:color="auto"/>
                <w:left w:val="none" w:sz="0" w:space="0" w:color="auto"/>
                <w:bottom w:val="none" w:sz="0" w:space="0" w:color="auto"/>
                <w:right w:val="none" w:sz="0" w:space="0" w:color="auto"/>
              </w:divBdr>
            </w:div>
            <w:div w:id="695812063">
              <w:marLeft w:val="0"/>
              <w:marRight w:val="0"/>
              <w:marTop w:val="0"/>
              <w:marBottom w:val="0"/>
              <w:divBdr>
                <w:top w:val="none" w:sz="0" w:space="0" w:color="auto"/>
                <w:left w:val="none" w:sz="0" w:space="0" w:color="auto"/>
                <w:bottom w:val="none" w:sz="0" w:space="0" w:color="auto"/>
                <w:right w:val="none" w:sz="0" w:space="0" w:color="auto"/>
              </w:divBdr>
            </w:div>
            <w:div w:id="1636787781">
              <w:marLeft w:val="0"/>
              <w:marRight w:val="0"/>
              <w:marTop w:val="0"/>
              <w:marBottom w:val="0"/>
              <w:divBdr>
                <w:top w:val="none" w:sz="0" w:space="0" w:color="auto"/>
                <w:left w:val="none" w:sz="0" w:space="0" w:color="auto"/>
                <w:bottom w:val="none" w:sz="0" w:space="0" w:color="auto"/>
                <w:right w:val="none" w:sz="0" w:space="0" w:color="auto"/>
              </w:divBdr>
            </w:div>
            <w:div w:id="3285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2788/jhm.2714" TargetMode="External"/><Relationship Id="rId18" Type="http://schemas.openxmlformats.org/officeDocument/2006/relationships/hyperlink" Target="https://onlinelibrary.wiley.com/doi/full/10.1002/jppr.1562?casa_token=LpIUBwpfvYIAAAAA%3AE3Em7jSieZ3P7HDgwrvZEvGpqrMd8QDqusDHHDZV06oXC7msSX51RvUeYU5pW71cGUA7O1gx4TM8rdk" TargetMode="External"/><Relationship Id="rId26" Type="http://schemas.openxmlformats.org/officeDocument/2006/relationships/hyperlink" Target="https://doi.org/10.12788/jhm.2916" TargetMode="External"/><Relationship Id="rId39" Type="http://schemas.openxmlformats.org/officeDocument/2006/relationships/theme" Target="theme/theme1.xml"/><Relationship Id="rId21" Type="http://schemas.openxmlformats.org/officeDocument/2006/relationships/hyperlink" Target="https://doi.org/10.1378/chest.11-2296" TargetMode="External"/><Relationship Id="rId34" Type="http://schemas.openxmlformats.org/officeDocument/2006/relationships/hyperlink" Target="http://journal.fk.unpad.ac.id/index.php/ijihs/article/view/1773" TargetMode="External"/><Relationship Id="rId7" Type="http://schemas.openxmlformats.org/officeDocument/2006/relationships/endnotes" Target="endnotes.xml"/><Relationship Id="rId12" Type="http://schemas.openxmlformats.org/officeDocument/2006/relationships/hyperlink" Target="https://doi.org/10.1378/chest.09-3081" TargetMode="External"/><Relationship Id="rId17" Type="http://schemas.openxmlformats.org/officeDocument/2006/relationships/hyperlink" Target="https://doi.org/10.7326/0003-4819-153-1-201007060-00004" TargetMode="External"/><Relationship Id="rId25" Type="http://schemas.openxmlformats.org/officeDocument/2006/relationships/hyperlink" Target="https://doi.org/10.23736/s0392-9590.18.03969-x" TargetMode="External"/><Relationship Id="rId33" Type="http://schemas.openxmlformats.org/officeDocument/2006/relationships/hyperlink" Target="https://repository.nwu.ac.za/handle/10394/34960"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378/chest.14-2842" TargetMode="External"/><Relationship Id="rId20" Type="http://schemas.openxmlformats.org/officeDocument/2006/relationships/hyperlink" Target="https://doi.org/10.5812/amh.83034" TargetMode="External"/><Relationship Id="rId29" Type="http://schemas.openxmlformats.org/officeDocument/2006/relationships/hyperlink" Target="https://doi.org/10.1111/jth.138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378/chest.13-1892" TargetMode="External"/><Relationship Id="rId24" Type="http://schemas.openxmlformats.org/officeDocument/2006/relationships/hyperlink" Target="https://doi.org/10.1097/MD.0000000000019127" TargetMode="External"/><Relationship Id="rId32" Type="http://schemas.openxmlformats.org/officeDocument/2006/relationships/hyperlink" Target="https://www.haematologica.org/article/view/2436"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001/jamainternmed.2018.2022" TargetMode="External"/><Relationship Id="rId23" Type="http://schemas.openxmlformats.org/officeDocument/2006/relationships/hyperlink" Target="https://doi.org/10.1378/chest.10-3162" TargetMode="External"/><Relationship Id="rId28" Type="http://schemas.openxmlformats.org/officeDocument/2006/relationships/hyperlink" Target="https://doi.org/10.1182/bloodadvances.2018022954" TargetMode="External"/><Relationship Id="rId36" Type="http://schemas.openxmlformats.org/officeDocument/2006/relationships/hyperlink" Target="https://europepmc.org/article/med/29463079" TargetMode="External"/><Relationship Id="rId10" Type="http://schemas.openxmlformats.org/officeDocument/2006/relationships/hyperlink" Target="https://doi.org/10.1001/jamasurg.2017.0131" TargetMode="External"/><Relationship Id="rId19" Type="http://schemas.openxmlformats.org/officeDocument/2006/relationships/hyperlink" Target="https://doi.org/10.1007/s11096-021-01254-x" TargetMode="External"/><Relationship Id="rId31" Type="http://schemas.openxmlformats.org/officeDocument/2006/relationships/hyperlink" Target="https://doi.org/10.1378/chest.06-2993" TargetMode="External"/><Relationship Id="rId4" Type="http://schemas.openxmlformats.org/officeDocument/2006/relationships/settings" Target="settings.xml"/><Relationship Id="rId9" Type="http://schemas.openxmlformats.org/officeDocument/2006/relationships/hyperlink" Target="https://doi.org/10.1111/j.1538-7836.2010.04044.x" TargetMode="External"/><Relationship Id="rId14" Type="http://schemas.openxmlformats.org/officeDocument/2006/relationships/hyperlink" Target="https://doi.org/10.1136/bmj.39210.496505.BE" TargetMode="External"/><Relationship Id="rId22" Type="http://schemas.openxmlformats.org/officeDocument/2006/relationships/hyperlink" Target="https://doi.org/10.1186/s12959-018-0180-6" TargetMode="External"/><Relationship Id="rId27" Type="http://schemas.openxmlformats.org/officeDocument/2006/relationships/hyperlink" Target="https://doi.org/10.1590/1677-5449.002118" TargetMode="External"/><Relationship Id="rId30" Type="http://schemas.openxmlformats.org/officeDocument/2006/relationships/hyperlink" Target="https://doi.org/10.1378/chest.10-1944" TargetMode="External"/><Relationship Id="rId35" Type="http://schemas.openxmlformats.org/officeDocument/2006/relationships/hyperlink" Target="https://doi.org/10.1001/archinte.167.14.1476" TargetMode="External"/><Relationship Id="rId8" Type="http://schemas.openxmlformats.org/officeDocument/2006/relationships/hyperlink" Target="https://www.journalofhospitalmedicine.com/jhospmed/article/134477/hospital-medicine/automating-venous-thromboembolism-risk-calculation-using"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08B28-D4F3-4104-8080-CC6204FB2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11</Pages>
  <Words>2967</Words>
  <Characters>16914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Xu</dc:creator>
  <cp:keywords/>
  <dc:description/>
  <cp:lastModifiedBy>James Xu</cp:lastModifiedBy>
  <cp:revision>60</cp:revision>
  <dcterms:created xsi:type="dcterms:W3CDTF">2021-08-19T18:21:00Z</dcterms:created>
  <dcterms:modified xsi:type="dcterms:W3CDTF">2021-08-20T21:19:00Z</dcterms:modified>
</cp:coreProperties>
</file>