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7E0D" w14:textId="6A3B27FB" w:rsidR="00040414" w:rsidRDefault="00040414" w:rsidP="00040414">
      <w:pPr>
        <w:pStyle w:val="NoSpacing"/>
        <w:jc w:val="right"/>
        <w:rPr>
          <w:rFonts w:cstheme="minorHAnsi"/>
          <w:sz w:val="24"/>
          <w:szCs w:val="24"/>
        </w:rPr>
      </w:pPr>
      <w:r>
        <w:rPr>
          <w:rFonts w:cstheme="minorHAnsi"/>
          <w:sz w:val="24"/>
          <w:szCs w:val="24"/>
        </w:rPr>
        <w:t>Designing Clinical Research-2021</w:t>
      </w:r>
    </w:p>
    <w:p w14:paraId="7A79C90F" w14:textId="48A75523" w:rsidR="00040414" w:rsidRDefault="00040414" w:rsidP="00040414">
      <w:pPr>
        <w:pStyle w:val="NoSpacing"/>
        <w:jc w:val="right"/>
        <w:rPr>
          <w:rFonts w:cstheme="minorHAnsi"/>
          <w:sz w:val="24"/>
          <w:szCs w:val="24"/>
        </w:rPr>
      </w:pPr>
      <w:r>
        <w:rPr>
          <w:rFonts w:cstheme="minorHAnsi"/>
          <w:sz w:val="24"/>
          <w:szCs w:val="24"/>
        </w:rPr>
        <w:t>Evan R. Wright, PharmD</w:t>
      </w:r>
    </w:p>
    <w:p w14:paraId="5679FBE0" w14:textId="28AD1D90" w:rsidR="00040414" w:rsidRDefault="00040414" w:rsidP="00040414">
      <w:pPr>
        <w:pStyle w:val="NoSpacing"/>
        <w:jc w:val="right"/>
        <w:rPr>
          <w:rFonts w:cstheme="minorHAnsi"/>
          <w:sz w:val="24"/>
          <w:szCs w:val="24"/>
        </w:rPr>
      </w:pPr>
      <w:r>
        <w:rPr>
          <w:rFonts w:cstheme="minorHAnsi"/>
          <w:sz w:val="24"/>
          <w:szCs w:val="24"/>
        </w:rPr>
        <w:t>Ashwin Kotwal, MD</w:t>
      </w:r>
    </w:p>
    <w:p w14:paraId="47E577E9" w14:textId="201BD1A4" w:rsidR="00040414" w:rsidRPr="00040414" w:rsidRDefault="00040414" w:rsidP="00040414">
      <w:pPr>
        <w:pStyle w:val="NoSpacing"/>
        <w:jc w:val="right"/>
        <w:rPr>
          <w:rFonts w:cstheme="minorHAnsi"/>
          <w:sz w:val="24"/>
          <w:szCs w:val="24"/>
        </w:rPr>
      </w:pPr>
      <w:r>
        <w:rPr>
          <w:rFonts w:cstheme="minorHAnsi"/>
          <w:sz w:val="24"/>
          <w:szCs w:val="24"/>
        </w:rPr>
        <w:t>Participate in Protocol Critique: No</w:t>
      </w:r>
    </w:p>
    <w:p w14:paraId="24E5C3F6" w14:textId="77777777" w:rsidR="00040414" w:rsidRPr="00040414" w:rsidRDefault="00040414" w:rsidP="00075AA5">
      <w:pPr>
        <w:pStyle w:val="NoSpacing"/>
        <w:rPr>
          <w:rFonts w:cstheme="minorHAnsi"/>
          <w:sz w:val="24"/>
          <w:szCs w:val="24"/>
          <w:u w:val="single"/>
        </w:rPr>
      </w:pPr>
    </w:p>
    <w:p w14:paraId="4596F65F" w14:textId="2237E240" w:rsidR="003E2C7D" w:rsidRPr="00040414" w:rsidRDefault="00075AA5" w:rsidP="00075AA5">
      <w:pPr>
        <w:pStyle w:val="NoSpacing"/>
        <w:rPr>
          <w:rFonts w:cstheme="minorHAnsi"/>
          <w:b/>
          <w:bCs/>
          <w:sz w:val="28"/>
          <w:szCs w:val="28"/>
          <w:u w:val="single"/>
        </w:rPr>
      </w:pPr>
      <w:r w:rsidRPr="00040414">
        <w:rPr>
          <w:rFonts w:cstheme="minorHAnsi"/>
          <w:b/>
          <w:bCs/>
          <w:sz w:val="28"/>
          <w:szCs w:val="28"/>
          <w:u w:val="single"/>
        </w:rPr>
        <w:t xml:space="preserve">Comparing Weight-based Enoxaparin Dosing to Standard Obesity Dosing in Critically Ill Obese Patients </w:t>
      </w:r>
    </w:p>
    <w:p w14:paraId="49E4F05A" w14:textId="77777777" w:rsidR="00075AA5" w:rsidRPr="00034127" w:rsidRDefault="00075AA5" w:rsidP="00075AA5">
      <w:pPr>
        <w:pStyle w:val="NoSpacing"/>
        <w:rPr>
          <w:rFonts w:cstheme="minorHAnsi"/>
          <w:sz w:val="24"/>
          <w:szCs w:val="24"/>
        </w:rPr>
      </w:pPr>
    </w:p>
    <w:p w14:paraId="2C57B09A" w14:textId="7FC879E7" w:rsidR="00075AA5" w:rsidRPr="00034127" w:rsidRDefault="00075AA5" w:rsidP="00075AA5">
      <w:pPr>
        <w:pStyle w:val="NoSpacing"/>
        <w:rPr>
          <w:rFonts w:cstheme="minorHAnsi"/>
          <w:sz w:val="24"/>
          <w:szCs w:val="24"/>
        </w:rPr>
      </w:pPr>
      <w:r w:rsidRPr="00034127">
        <w:rPr>
          <w:rFonts w:cstheme="minorHAnsi"/>
          <w:sz w:val="24"/>
          <w:szCs w:val="24"/>
        </w:rPr>
        <w:t>Evan R. Wright, PharmD</w:t>
      </w:r>
      <w:r w:rsidRPr="00034127">
        <w:rPr>
          <w:rFonts w:cstheme="minorHAnsi"/>
          <w:sz w:val="24"/>
          <w:szCs w:val="24"/>
        </w:rPr>
        <w:t xml:space="preserve">, Sue Lee, PharmD BCCCP, Dexter </w:t>
      </w:r>
      <w:proofErr w:type="spellStart"/>
      <w:r w:rsidRPr="00034127">
        <w:rPr>
          <w:rFonts w:cstheme="minorHAnsi"/>
          <w:sz w:val="24"/>
          <w:szCs w:val="24"/>
        </w:rPr>
        <w:t>Wimer</w:t>
      </w:r>
      <w:proofErr w:type="spellEnd"/>
      <w:r w:rsidRPr="00034127">
        <w:rPr>
          <w:rFonts w:cstheme="minorHAnsi"/>
          <w:sz w:val="24"/>
          <w:szCs w:val="24"/>
        </w:rPr>
        <w:t>, PharmD BCCCP</w:t>
      </w:r>
    </w:p>
    <w:p w14:paraId="4B7669B6" w14:textId="4D13845B" w:rsidR="003E2C7D" w:rsidRPr="00034127" w:rsidRDefault="003E2C7D" w:rsidP="003E2C7D">
      <w:pPr>
        <w:pStyle w:val="NoSpacing"/>
        <w:rPr>
          <w:rFonts w:cstheme="minorHAnsi"/>
          <w:sz w:val="24"/>
          <w:szCs w:val="24"/>
        </w:rPr>
      </w:pPr>
    </w:p>
    <w:p w14:paraId="1712BF73" w14:textId="47418BA3" w:rsidR="00075AA5" w:rsidRPr="00034127" w:rsidRDefault="00075AA5" w:rsidP="003E2C7D">
      <w:pPr>
        <w:pStyle w:val="NoSpacing"/>
        <w:rPr>
          <w:rFonts w:cstheme="minorHAnsi"/>
          <w:b/>
          <w:bCs/>
          <w:sz w:val="24"/>
          <w:szCs w:val="24"/>
        </w:rPr>
      </w:pPr>
      <w:r w:rsidRPr="00034127">
        <w:rPr>
          <w:rFonts w:cstheme="minorHAnsi"/>
          <w:b/>
          <w:bCs/>
          <w:sz w:val="24"/>
          <w:szCs w:val="24"/>
        </w:rPr>
        <w:t>Abstract:</w:t>
      </w:r>
    </w:p>
    <w:p w14:paraId="3896B44C" w14:textId="749E0DDE" w:rsidR="00075AA5" w:rsidRPr="00034127" w:rsidRDefault="00F755D9" w:rsidP="00781812">
      <w:pPr>
        <w:pStyle w:val="NoSpacing"/>
        <w:ind w:firstLine="720"/>
        <w:rPr>
          <w:rFonts w:cstheme="minorHAnsi"/>
          <w:sz w:val="24"/>
          <w:szCs w:val="24"/>
        </w:rPr>
      </w:pPr>
      <w:r w:rsidRPr="00034127">
        <w:rPr>
          <w:rFonts w:cstheme="minorHAnsi"/>
          <w:sz w:val="24"/>
          <w:szCs w:val="24"/>
        </w:rPr>
        <w:t>Venous thromboembolism (VTE) and deep vein thrombosis (DVT) are common complications for patients during hospitalization due to multiple risk factors.</w:t>
      </w:r>
      <w:r w:rsidR="0062707F" w:rsidRPr="00034127">
        <w:rPr>
          <w:rFonts w:cstheme="minorHAnsi"/>
          <w:sz w:val="24"/>
          <w:szCs w:val="24"/>
        </w:rPr>
        <w:t xml:space="preserve"> In critically ill obese patients, the rates of VTE/DVT’s are even higher due to increased risk factors and comorbidities that make a patient more likely to clot. </w:t>
      </w:r>
      <w:r w:rsidRPr="00034127">
        <w:rPr>
          <w:rFonts w:cstheme="minorHAnsi"/>
          <w:sz w:val="24"/>
          <w:szCs w:val="24"/>
        </w:rPr>
        <w:t xml:space="preserve"> It is standard practice to</w:t>
      </w:r>
      <w:r w:rsidR="004C3B1F" w:rsidRPr="00034127">
        <w:rPr>
          <w:rFonts w:cstheme="minorHAnsi"/>
          <w:sz w:val="24"/>
          <w:szCs w:val="24"/>
        </w:rPr>
        <w:t xml:space="preserve"> prophylaxis in these patients using low molecular weight heparin (Enoxaparin)</w:t>
      </w:r>
      <w:r w:rsidRPr="00034127">
        <w:rPr>
          <w:rFonts w:cstheme="minorHAnsi"/>
          <w:sz w:val="24"/>
          <w:szCs w:val="24"/>
        </w:rPr>
        <w:t xml:space="preserve">. </w:t>
      </w:r>
      <w:r w:rsidR="0062707F" w:rsidRPr="00034127">
        <w:rPr>
          <w:rFonts w:cstheme="minorHAnsi"/>
          <w:sz w:val="24"/>
          <w:szCs w:val="24"/>
        </w:rPr>
        <w:t>In recent years, new studies have shown that for enoxaparin</w:t>
      </w:r>
      <w:r w:rsidR="004C3B1F" w:rsidRPr="00034127">
        <w:rPr>
          <w:rFonts w:cstheme="minorHAnsi"/>
          <w:sz w:val="24"/>
          <w:szCs w:val="24"/>
        </w:rPr>
        <w:t>,</w:t>
      </w:r>
      <w:r w:rsidR="0062707F" w:rsidRPr="00034127">
        <w:rPr>
          <w:rFonts w:cstheme="minorHAnsi"/>
          <w:sz w:val="24"/>
          <w:szCs w:val="24"/>
        </w:rPr>
        <w:t xml:space="preserve"> a weight-based dosing strategy using actual body weight has provided high rates of Anti-</w:t>
      </w:r>
      <w:proofErr w:type="spellStart"/>
      <w:r w:rsidR="0062707F" w:rsidRPr="00034127">
        <w:rPr>
          <w:rFonts w:cstheme="minorHAnsi"/>
          <w:sz w:val="24"/>
          <w:szCs w:val="24"/>
        </w:rPr>
        <w:t>Xa</w:t>
      </w:r>
      <w:proofErr w:type="spellEnd"/>
      <w:r w:rsidR="0062707F" w:rsidRPr="00034127">
        <w:rPr>
          <w:rFonts w:cstheme="minorHAnsi"/>
          <w:sz w:val="24"/>
          <w:szCs w:val="24"/>
        </w:rPr>
        <w:t xml:space="preserve"> levels in the ranges desired for prophylaxis. In our study, we seek to compare this new weight-based dosing strategy (0.5 mg/kg BID) for enoxaparin to the </w:t>
      </w:r>
      <w:r w:rsidR="004C3B1F" w:rsidRPr="00034127">
        <w:rPr>
          <w:rFonts w:cstheme="minorHAnsi"/>
          <w:sz w:val="24"/>
          <w:szCs w:val="24"/>
        </w:rPr>
        <w:t>current</w:t>
      </w:r>
      <w:r w:rsidR="0062707F" w:rsidRPr="00034127">
        <w:rPr>
          <w:rFonts w:cstheme="minorHAnsi"/>
          <w:sz w:val="24"/>
          <w:szCs w:val="24"/>
        </w:rPr>
        <w:t xml:space="preserve"> standard of care at UCSF (40 mg BID) in critically ill adult obese patients. </w:t>
      </w:r>
      <w:r w:rsidR="004C3B1F" w:rsidRPr="00034127">
        <w:rPr>
          <w:rFonts w:cstheme="minorHAnsi"/>
          <w:sz w:val="24"/>
          <w:szCs w:val="24"/>
        </w:rPr>
        <w:t>Using a retrospective cohort design, we will review how patients treated with both dosing strategies compare in terms of rates of VTEs during their hospitalization. Patients from the spring of 2018 till early 2021 that stayed in UCSF ICU will be assessed using chart reviews. Anti-</w:t>
      </w:r>
      <w:proofErr w:type="spellStart"/>
      <w:r w:rsidR="004C3B1F" w:rsidRPr="00034127">
        <w:rPr>
          <w:rFonts w:cstheme="minorHAnsi"/>
          <w:sz w:val="24"/>
          <w:szCs w:val="24"/>
        </w:rPr>
        <w:t>Xa</w:t>
      </w:r>
      <w:proofErr w:type="spellEnd"/>
      <w:r w:rsidR="004C3B1F" w:rsidRPr="00034127">
        <w:rPr>
          <w:rFonts w:cstheme="minorHAnsi"/>
          <w:sz w:val="24"/>
          <w:szCs w:val="24"/>
        </w:rPr>
        <w:t xml:space="preserve"> levels, length of stay, mortality, and bleeding events will also be analyzed to assess efficacy and safety of these dosing regimens. </w:t>
      </w:r>
    </w:p>
    <w:p w14:paraId="4E87DB15" w14:textId="77777777" w:rsidR="00075AA5" w:rsidRPr="00034127" w:rsidRDefault="00075AA5" w:rsidP="003E2C7D">
      <w:pPr>
        <w:pStyle w:val="NoSpacing"/>
        <w:rPr>
          <w:rFonts w:cstheme="minorHAnsi"/>
          <w:sz w:val="24"/>
          <w:szCs w:val="24"/>
        </w:rPr>
      </w:pPr>
    </w:p>
    <w:p w14:paraId="18C244BC" w14:textId="5696C4AC" w:rsidR="003E2C7D" w:rsidRPr="00034127" w:rsidRDefault="003E2C7D" w:rsidP="003E2C7D">
      <w:pPr>
        <w:pStyle w:val="NoSpacing"/>
        <w:rPr>
          <w:rFonts w:cstheme="minorHAnsi"/>
          <w:b/>
          <w:bCs/>
          <w:sz w:val="24"/>
          <w:szCs w:val="24"/>
        </w:rPr>
      </w:pPr>
      <w:r w:rsidRPr="00034127">
        <w:rPr>
          <w:rFonts w:cstheme="minorHAnsi"/>
          <w:b/>
          <w:bCs/>
          <w:sz w:val="24"/>
          <w:szCs w:val="24"/>
        </w:rPr>
        <w:t>Research Question</w:t>
      </w:r>
      <w:r w:rsidR="004C3B1F" w:rsidRPr="00034127">
        <w:rPr>
          <w:rFonts w:cstheme="minorHAnsi"/>
          <w:b/>
          <w:bCs/>
          <w:sz w:val="24"/>
          <w:szCs w:val="24"/>
        </w:rPr>
        <w:t xml:space="preserve"> and Specific Study Aims</w:t>
      </w:r>
      <w:r w:rsidRPr="00034127">
        <w:rPr>
          <w:rFonts w:cstheme="minorHAnsi"/>
          <w:b/>
          <w:bCs/>
          <w:sz w:val="24"/>
          <w:szCs w:val="24"/>
        </w:rPr>
        <w:t xml:space="preserve">: </w:t>
      </w:r>
    </w:p>
    <w:p w14:paraId="7103E45B" w14:textId="77777777" w:rsidR="004C3B1F" w:rsidRPr="00034127" w:rsidRDefault="004C3B1F" w:rsidP="003E2C7D">
      <w:pPr>
        <w:pStyle w:val="NoSpacing"/>
        <w:rPr>
          <w:rFonts w:cstheme="minorHAnsi"/>
          <w:b/>
          <w:bCs/>
          <w:sz w:val="24"/>
          <w:szCs w:val="24"/>
        </w:rPr>
      </w:pPr>
    </w:p>
    <w:p w14:paraId="6FD39D10" w14:textId="3D5C6A26" w:rsidR="003E2C7D" w:rsidRPr="00034127" w:rsidRDefault="003E2C7D" w:rsidP="004C3B1F">
      <w:pPr>
        <w:pStyle w:val="NoSpacing"/>
        <w:rPr>
          <w:rFonts w:cstheme="minorHAnsi"/>
          <w:color w:val="212529"/>
          <w:sz w:val="24"/>
          <w:szCs w:val="24"/>
          <w:shd w:val="clear" w:color="auto" w:fill="FFFFFF"/>
        </w:rPr>
      </w:pPr>
      <w:r w:rsidRPr="00034127">
        <w:rPr>
          <w:rFonts w:cstheme="minorHAnsi"/>
          <w:color w:val="212529"/>
          <w:sz w:val="24"/>
          <w:szCs w:val="24"/>
          <w:shd w:val="clear" w:color="auto" w:fill="FFFFFF"/>
        </w:rPr>
        <w:t xml:space="preserve">Is weight-based prophylactic enoxaparin dosing (0.5 mg/kg BID) associated with decreased risk for clinically significant Venous thromboembolism (VTE) compared to </w:t>
      </w:r>
      <w:r w:rsidR="00075AA5" w:rsidRPr="00034127">
        <w:rPr>
          <w:rFonts w:cstheme="minorHAnsi"/>
          <w:color w:val="212529"/>
          <w:sz w:val="24"/>
          <w:szCs w:val="24"/>
          <w:shd w:val="clear" w:color="auto" w:fill="FFFFFF"/>
        </w:rPr>
        <w:t>standard</w:t>
      </w:r>
      <w:r w:rsidRPr="00034127">
        <w:rPr>
          <w:rFonts w:cstheme="minorHAnsi"/>
          <w:color w:val="212529"/>
          <w:sz w:val="24"/>
          <w:szCs w:val="24"/>
          <w:shd w:val="clear" w:color="auto" w:fill="FFFFFF"/>
        </w:rPr>
        <w:t xml:space="preserve"> obesity dosing in adult critically ill obese patients? </w:t>
      </w:r>
    </w:p>
    <w:p w14:paraId="1D610DA5" w14:textId="2F55449D" w:rsidR="004C3B1F" w:rsidRPr="00034127" w:rsidRDefault="004C3B1F" w:rsidP="004C3B1F">
      <w:pPr>
        <w:pStyle w:val="NoSpacing"/>
        <w:rPr>
          <w:rFonts w:cstheme="minorHAnsi"/>
          <w:color w:val="212529"/>
          <w:sz w:val="24"/>
          <w:szCs w:val="24"/>
          <w:shd w:val="clear" w:color="auto" w:fill="FFFFFF"/>
        </w:rPr>
      </w:pPr>
    </w:p>
    <w:p w14:paraId="7536146C" w14:textId="0A3C9035" w:rsidR="004C3B1F" w:rsidRPr="00034127" w:rsidRDefault="004C3B1F" w:rsidP="004C3B1F">
      <w:pPr>
        <w:pStyle w:val="NoSpacing"/>
        <w:rPr>
          <w:rFonts w:cstheme="minorHAnsi"/>
          <w:i/>
          <w:iCs/>
          <w:color w:val="212529"/>
          <w:sz w:val="24"/>
          <w:szCs w:val="24"/>
          <w:shd w:val="clear" w:color="auto" w:fill="FFFFFF"/>
        </w:rPr>
      </w:pPr>
      <w:r w:rsidRPr="00034127">
        <w:rPr>
          <w:rFonts w:cstheme="minorHAnsi"/>
          <w:i/>
          <w:iCs/>
          <w:color w:val="212529"/>
          <w:sz w:val="24"/>
          <w:szCs w:val="24"/>
          <w:shd w:val="clear" w:color="auto" w:fill="FFFFFF"/>
        </w:rPr>
        <w:t>Study Aims:</w:t>
      </w:r>
    </w:p>
    <w:p w14:paraId="5074ED3C" w14:textId="77777777" w:rsidR="00894C3E" w:rsidRPr="00034127" w:rsidRDefault="00894C3E" w:rsidP="004C3B1F">
      <w:pPr>
        <w:pStyle w:val="NoSpacing"/>
        <w:rPr>
          <w:rFonts w:cstheme="minorHAnsi"/>
          <w:i/>
          <w:iCs/>
          <w:color w:val="212529"/>
          <w:sz w:val="24"/>
          <w:szCs w:val="24"/>
          <w:shd w:val="clear" w:color="auto" w:fill="FFFFFF"/>
        </w:rPr>
      </w:pPr>
    </w:p>
    <w:p w14:paraId="6F54E396" w14:textId="3F05B9D2" w:rsidR="004C3B1F" w:rsidRPr="00034127" w:rsidRDefault="00FF2407" w:rsidP="00FF2407">
      <w:pPr>
        <w:pStyle w:val="NoSpacing"/>
        <w:numPr>
          <w:ilvl w:val="0"/>
          <w:numId w:val="5"/>
        </w:numPr>
        <w:rPr>
          <w:rFonts w:cstheme="minorHAnsi"/>
          <w:b/>
          <w:bCs/>
          <w:sz w:val="24"/>
          <w:szCs w:val="24"/>
        </w:rPr>
      </w:pPr>
      <w:r w:rsidRPr="00034127">
        <w:rPr>
          <w:rFonts w:cstheme="minorHAnsi"/>
          <w:sz w:val="24"/>
          <w:szCs w:val="24"/>
        </w:rPr>
        <w:t>Using previously established dosing strategy, assess efficacy of weight-based enoxaparin dosing to standard twice daily dosing in terms of in range Anti-</w:t>
      </w:r>
      <w:proofErr w:type="spellStart"/>
      <w:r w:rsidRPr="00034127">
        <w:rPr>
          <w:rFonts w:cstheme="minorHAnsi"/>
          <w:sz w:val="24"/>
          <w:szCs w:val="24"/>
        </w:rPr>
        <w:t>Xa</w:t>
      </w:r>
      <w:proofErr w:type="spellEnd"/>
      <w:r w:rsidRPr="00034127">
        <w:rPr>
          <w:rFonts w:cstheme="minorHAnsi"/>
          <w:sz w:val="24"/>
          <w:szCs w:val="24"/>
        </w:rPr>
        <w:t xml:space="preserve"> levels. </w:t>
      </w:r>
    </w:p>
    <w:p w14:paraId="59B6925E" w14:textId="222555F4" w:rsidR="00FF2407" w:rsidRPr="00034127" w:rsidRDefault="00FF2407" w:rsidP="00FF2407">
      <w:pPr>
        <w:pStyle w:val="NoSpacing"/>
        <w:numPr>
          <w:ilvl w:val="0"/>
          <w:numId w:val="5"/>
        </w:numPr>
        <w:rPr>
          <w:rFonts w:cstheme="minorHAnsi"/>
          <w:b/>
          <w:bCs/>
          <w:sz w:val="24"/>
          <w:szCs w:val="24"/>
        </w:rPr>
      </w:pPr>
      <w:r w:rsidRPr="00034127">
        <w:rPr>
          <w:rFonts w:cstheme="minorHAnsi"/>
          <w:sz w:val="24"/>
          <w:szCs w:val="24"/>
        </w:rPr>
        <w:t>Investigate differences in clinical and safety outcomes for each different dosing regimen (</w:t>
      </w:r>
      <w:proofErr w:type="spellStart"/>
      <w:proofErr w:type="gramStart"/>
      <w:r w:rsidRPr="00034127">
        <w:rPr>
          <w:rFonts w:cstheme="minorHAnsi"/>
          <w:sz w:val="24"/>
          <w:szCs w:val="24"/>
        </w:rPr>
        <w:t>ie</w:t>
      </w:r>
      <w:proofErr w:type="spellEnd"/>
      <w:proofErr w:type="gramEnd"/>
      <w:r w:rsidRPr="00034127">
        <w:rPr>
          <w:rFonts w:cstheme="minorHAnsi"/>
          <w:sz w:val="24"/>
          <w:szCs w:val="24"/>
        </w:rPr>
        <w:t xml:space="preserve"> length of hospital stay, time in ICU, mortality, bleeding). </w:t>
      </w:r>
    </w:p>
    <w:p w14:paraId="243D5491" w14:textId="3C0BD2E2" w:rsidR="003E2C7D" w:rsidRPr="00034127" w:rsidRDefault="00FF2407" w:rsidP="003E2C7D">
      <w:pPr>
        <w:pStyle w:val="NoSpacing"/>
        <w:numPr>
          <w:ilvl w:val="0"/>
          <w:numId w:val="5"/>
        </w:numPr>
        <w:rPr>
          <w:rFonts w:cstheme="minorHAnsi"/>
          <w:color w:val="212529"/>
          <w:sz w:val="24"/>
          <w:szCs w:val="24"/>
          <w:shd w:val="clear" w:color="auto" w:fill="FFFFFF"/>
        </w:rPr>
      </w:pPr>
      <w:r w:rsidRPr="00034127">
        <w:rPr>
          <w:rFonts w:cstheme="minorHAnsi"/>
          <w:sz w:val="24"/>
          <w:szCs w:val="24"/>
        </w:rPr>
        <w:t xml:space="preserve">Assess </w:t>
      </w:r>
      <w:r w:rsidR="00894C3E" w:rsidRPr="00034127">
        <w:rPr>
          <w:rFonts w:cstheme="minorHAnsi"/>
          <w:sz w:val="24"/>
          <w:szCs w:val="24"/>
        </w:rPr>
        <w:t xml:space="preserve">how body weight effects the efficacy of DVT prophylaxis when using enoxaparin in critically ill adult obsess patients. </w:t>
      </w:r>
    </w:p>
    <w:p w14:paraId="46B6F6C9" w14:textId="30BE088A" w:rsidR="00894C3E" w:rsidRPr="00034127" w:rsidRDefault="00894C3E" w:rsidP="00894C3E">
      <w:pPr>
        <w:pStyle w:val="NoSpacing"/>
        <w:rPr>
          <w:rFonts w:cstheme="minorHAnsi"/>
          <w:color w:val="212529"/>
          <w:sz w:val="24"/>
          <w:szCs w:val="24"/>
          <w:shd w:val="clear" w:color="auto" w:fill="FFFFFF"/>
        </w:rPr>
      </w:pPr>
    </w:p>
    <w:p w14:paraId="055A65A3" w14:textId="1059DF4C" w:rsidR="00894C3E" w:rsidRPr="00034127" w:rsidRDefault="00894C3E" w:rsidP="00894C3E">
      <w:pPr>
        <w:pStyle w:val="NoSpacing"/>
        <w:rPr>
          <w:rFonts w:cstheme="minorHAnsi"/>
          <w:b/>
          <w:bCs/>
          <w:color w:val="212529"/>
          <w:sz w:val="24"/>
          <w:szCs w:val="24"/>
          <w:shd w:val="clear" w:color="auto" w:fill="FFFFFF"/>
        </w:rPr>
      </w:pPr>
      <w:r w:rsidRPr="00034127">
        <w:rPr>
          <w:rFonts w:cstheme="minorHAnsi"/>
          <w:b/>
          <w:bCs/>
          <w:color w:val="212529"/>
          <w:sz w:val="24"/>
          <w:szCs w:val="24"/>
          <w:shd w:val="clear" w:color="auto" w:fill="FFFFFF"/>
        </w:rPr>
        <w:t xml:space="preserve">Background and Significance: </w:t>
      </w:r>
    </w:p>
    <w:p w14:paraId="62D80DCC" w14:textId="77777777" w:rsidR="00894C3E" w:rsidRPr="00034127" w:rsidRDefault="00894C3E" w:rsidP="00894C3E">
      <w:pPr>
        <w:pStyle w:val="NoSpacing"/>
        <w:rPr>
          <w:rFonts w:cstheme="minorHAnsi"/>
          <w:b/>
          <w:bCs/>
          <w:color w:val="212529"/>
          <w:sz w:val="24"/>
          <w:szCs w:val="24"/>
          <w:shd w:val="clear" w:color="auto" w:fill="FFFFFF"/>
        </w:rPr>
      </w:pPr>
    </w:p>
    <w:p w14:paraId="5FE20BED" w14:textId="2A19601E" w:rsidR="003E2C7D" w:rsidRDefault="003E2C7D" w:rsidP="00781812">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lastRenderedPageBreak/>
        <w:t>Venous thromboembolism (VTE) prophylaxis is commonly used in most inpatient setting to prevent deep vein thromboses or pulmonary embolism from complicating care during inpatient admissions. Of all patients, those that are critically ill are at the highest risk of developing VTE’s with current risk estimated at 13-30% for those not on prophylactic medications.</w:t>
      </w:r>
      <w:r w:rsidRPr="00034127">
        <w:rPr>
          <w:rFonts w:cstheme="minorHAnsi"/>
          <w:color w:val="212529"/>
          <w:sz w:val="24"/>
          <w:szCs w:val="24"/>
          <w:shd w:val="clear" w:color="auto" w:fill="FFFFFF"/>
        </w:rPr>
        <w:fldChar w:fldCharType="begin"/>
      </w:r>
      <w:r w:rsidRPr="00034127">
        <w:rPr>
          <w:rFonts w:cstheme="minorHAnsi"/>
          <w:color w:val="212529"/>
          <w:sz w:val="24"/>
          <w:szCs w:val="24"/>
          <w:shd w:val="clear" w:color="auto" w:fill="FFFFFF"/>
        </w:rPr>
        <w:instrText xml:space="preserve"> ADDIN ZOTERO_ITEM CSL_CITATION {"citationID":"bOU4RcSk","properties":{"formattedCitation":"\\super 1\\nosupersub{}","plainCitation":"1","noteIndex":0},"citationItems":[{"id":25,"uris":["http://zotero.org/users/local/PF38rE1d/items/S734AVBC"],"uri":["http://zotero.org/users/local/PF38rE1d/items/S734AVBC"],"itemData":{"id":25,"type":"article-journal","abstract":"Venous thromboembolism (VTE), including deep vein thrombosis (DVT) and pulmonary embolism (PE), is recognized as a common complication in critically ill patients. Risk factors including critical illness, mechanical ventilation, sedative medications, and central venous catheter insertion are major contributing factors to the high risk of VTE. Because of their impaired cardiopulmonary reserve, PE arising from thrombosis in the deep veins of the calf that propagates proximally is poorly tolerated by critically ill patients. Pharmacologic prophylaxis with unfractionated heparin (UFH) or low-molecular-weight heparin (LMWH) has been shown to decrease the incidence of VTE in medical, surgical, and critically ill patients. As a result, over the past decades, VTE prophylaxis had become a standard of preventive measure in the intensive care unit (ICU). In clinical practice, the rate of VTE prophylaxis varies and may be inadequate in some centers. A perception of a high bleeding risk in critically ill patients is a major concern for most physicians that may lead to inadequate prophylaxis.","container-title":"Seminars in Thrombosis and Hemostasis","DOI":"10.1055/s-0034-1398386","ISSN":"0094-6176, 1098-9064","issue":"1","journalAbbreviation":"Semin Thromb Hemost","language":"en","note":"publisher: Thieme Medical Publishers","page":"68-74","source":"www.thieme-connect.com","title":"Venous Thromboembolism Prophylaxis in Critically Ill Patients","volume":"41","author":[{"family":"Boonyawat","given":"Kochawan"},{"family":"Crowther","given":"Mark A."}],"issued":{"date-parts":[["2015",2]]}}}],"schema":"https://github.com/citation-style-language/schema/raw/master/csl-citation.json"} </w:instrText>
      </w:r>
      <w:r w:rsidRPr="00034127">
        <w:rPr>
          <w:rFonts w:cstheme="minorHAnsi"/>
          <w:color w:val="212529"/>
          <w:sz w:val="24"/>
          <w:szCs w:val="24"/>
          <w:shd w:val="clear" w:color="auto" w:fill="FFFFFF"/>
        </w:rPr>
        <w:fldChar w:fldCharType="separate"/>
      </w:r>
      <w:r w:rsidRPr="00034127">
        <w:rPr>
          <w:rFonts w:cstheme="minorHAnsi"/>
          <w:sz w:val="24"/>
          <w:szCs w:val="24"/>
          <w:vertAlign w:val="superscript"/>
        </w:rPr>
        <w:t>1</w:t>
      </w:r>
      <w:r w:rsidRPr="00034127">
        <w:rPr>
          <w:rFonts w:cstheme="minorHAnsi"/>
          <w:color w:val="212529"/>
          <w:sz w:val="24"/>
          <w:szCs w:val="24"/>
          <w:shd w:val="clear" w:color="auto" w:fill="FFFFFF"/>
        </w:rPr>
        <w:fldChar w:fldCharType="end"/>
      </w:r>
      <w:r w:rsidRPr="00034127">
        <w:rPr>
          <w:rFonts w:cstheme="minorHAnsi"/>
          <w:sz w:val="24"/>
          <w:szCs w:val="24"/>
        </w:rPr>
        <w:t xml:space="preserve"> </w:t>
      </w:r>
      <w:r w:rsidRPr="00034127">
        <w:rPr>
          <w:rFonts w:cstheme="minorHAnsi"/>
          <w:color w:val="212529"/>
          <w:sz w:val="24"/>
          <w:szCs w:val="24"/>
          <w:shd w:val="clear" w:color="auto" w:fill="FFFFFF"/>
        </w:rPr>
        <w:t>Current trends suggest that rates of VTE’s in all populations will likely double in the next 40 years and this does not include increased incidence due to outside sources such as COVID-19, critical illness, obesity, etc.</w:t>
      </w:r>
      <w:r w:rsidRPr="00034127">
        <w:rPr>
          <w:rFonts w:cstheme="minorHAnsi"/>
          <w:color w:val="212529"/>
          <w:sz w:val="24"/>
          <w:szCs w:val="24"/>
          <w:shd w:val="clear" w:color="auto" w:fill="FFFFFF"/>
        </w:rPr>
        <w:fldChar w:fldCharType="begin"/>
      </w:r>
      <w:r w:rsidRPr="00034127">
        <w:rPr>
          <w:rFonts w:cstheme="minorHAnsi"/>
          <w:color w:val="212529"/>
          <w:sz w:val="24"/>
          <w:szCs w:val="24"/>
          <w:shd w:val="clear" w:color="auto" w:fill="FFFFFF"/>
        </w:rPr>
        <w:instrText xml:space="preserve"> ADDIN ZOTERO_ITEM CSL_CITATION {"citationID":"YeAaJOlP","properties":{"formattedCitation":"\\super 2\\nosupersub{}","plainCitation":"2","noteIndex":0},"citationItems":[{"id":22,"uris":["http://zotero.org/users/local/PF38rE1d/items/XU4HYFE3"],"uri":["http://zotero.org/users/local/PF38rE1d/items/XU4HYFE3"],"itemData":{"id":22,"type":"article-journal","container-title":"American Journal of Hematology","DOI":"10.1002/ajh.21917","ISSN":"1096-8652","issue":"2","language":"en","note":"_eprint: https://onlinelibrary.wiley.com/doi/pdf/10.1002/ajh.21917","page":"217-220","source":"Wiley Online Library","title":"Prevalence of clinical venous thromboembolism in the USA: Current trends and future projections","title-short":"Prevalence of clinical venous thromboembolism in the USA","volume":"86","author":[{"family":"Deitelzweig","given":"S. B."},{"family":"Johnson","given":"B. H."},{"family":"Lin","given":"J."},{"family":"Schulman","given":"K. L."}],"issued":{"date-parts":[["2011"]]}}}],"schema":"https://github.com/citation-style-language/schema/raw/master/csl-citation.json"} </w:instrText>
      </w:r>
      <w:r w:rsidRPr="00034127">
        <w:rPr>
          <w:rFonts w:cstheme="minorHAnsi"/>
          <w:color w:val="212529"/>
          <w:sz w:val="24"/>
          <w:szCs w:val="24"/>
          <w:shd w:val="clear" w:color="auto" w:fill="FFFFFF"/>
        </w:rPr>
        <w:fldChar w:fldCharType="separate"/>
      </w:r>
      <w:r w:rsidRPr="00034127">
        <w:rPr>
          <w:rFonts w:cstheme="minorHAnsi"/>
          <w:sz w:val="24"/>
          <w:szCs w:val="24"/>
          <w:vertAlign w:val="superscript"/>
        </w:rPr>
        <w:t>2</w:t>
      </w:r>
      <w:r w:rsidRPr="00034127">
        <w:rPr>
          <w:rFonts w:cstheme="minorHAnsi"/>
          <w:color w:val="212529"/>
          <w:sz w:val="24"/>
          <w:szCs w:val="24"/>
          <w:shd w:val="clear" w:color="auto" w:fill="FFFFFF"/>
        </w:rPr>
        <w:fldChar w:fldCharType="end"/>
      </w:r>
      <w:r w:rsidRPr="00034127">
        <w:rPr>
          <w:rFonts w:cstheme="minorHAnsi"/>
          <w:color w:val="212529"/>
          <w:sz w:val="24"/>
          <w:szCs w:val="24"/>
          <w:shd w:val="clear" w:color="auto" w:fill="FFFFFF"/>
        </w:rPr>
        <w:t xml:space="preserve">  Traditional practice has been to use either low molecular weight heparin (LMWH) or unfractionated heparin as prophylaxis to prevent VTE’s in this patient population.</w:t>
      </w:r>
      <w:r w:rsidRPr="00034127">
        <w:rPr>
          <w:rFonts w:cstheme="minorHAnsi"/>
          <w:color w:val="212529"/>
          <w:sz w:val="24"/>
          <w:szCs w:val="24"/>
          <w:shd w:val="clear" w:color="auto" w:fill="FFFFFF"/>
        </w:rPr>
        <w:fldChar w:fldCharType="begin"/>
      </w:r>
      <w:r w:rsidRPr="00034127">
        <w:rPr>
          <w:rFonts w:cstheme="minorHAnsi"/>
          <w:color w:val="212529"/>
          <w:sz w:val="24"/>
          <w:szCs w:val="24"/>
          <w:shd w:val="clear" w:color="auto" w:fill="FFFFFF"/>
        </w:rPr>
        <w:instrText xml:space="preserve"> ADDIN ZOTERO_ITEM CSL_CITATION {"citationID":"ao5a0jbU","properties":{"formattedCitation":"\\super 3\\nosupersub{}","plainCitation":"3","noteIndex":0},"citationItems":[{"id":20,"uris":["http://zotero.org/users/local/PF38rE1d/items/Q4WMI9DR"],"uri":["http://zotero.org/users/local/PF38rE1d/items/Q4WMI9DR"],"itemData":{"id":20,"type":"article-journal","container-title":"JAMA","DOI":"10.1001/jama.2016.6458","ISSN":"0098-7484","issue":"21","journalAbbreviation":"JAMA","language":"en","page":"2284","source":"DOI.org (Crossref)","title":"Trends in Obesity Among Adults in the United States, 2005 to 2014","volume":"315","author":[{"family":"Flegal","given":"Katherine M."},{"family":"Kruszon-Moran","given":"Deanna"},{"family":"Carroll","given":"Margaret D."},{"family":"Fryar","given":"Cheryl D."},{"family":"Ogden","given":"Cynthia L."}],"issued":{"date-parts":[["2016",6,7]]}}}],"schema":"https://github.com/citation-style-language/schema/raw/master/csl-citation.json"} </w:instrText>
      </w:r>
      <w:r w:rsidRPr="00034127">
        <w:rPr>
          <w:rFonts w:cstheme="minorHAnsi"/>
          <w:color w:val="212529"/>
          <w:sz w:val="24"/>
          <w:szCs w:val="24"/>
          <w:shd w:val="clear" w:color="auto" w:fill="FFFFFF"/>
        </w:rPr>
        <w:fldChar w:fldCharType="separate"/>
      </w:r>
      <w:r w:rsidRPr="00034127">
        <w:rPr>
          <w:rFonts w:cstheme="minorHAnsi"/>
          <w:sz w:val="24"/>
          <w:szCs w:val="24"/>
          <w:vertAlign w:val="superscript"/>
        </w:rPr>
        <w:t>3</w:t>
      </w:r>
      <w:r w:rsidRPr="00034127">
        <w:rPr>
          <w:rFonts w:cstheme="minorHAnsi"/>
          <w:color w:val="212529"/>
          <w:sz w:val="24"/>
          <w:szCs w:val="24"/>
          <w:shd w:val="clear" w:color="auto" w:fill="FFFFFF"/>
        </w:rPr>
        <w:fldChar w:fldCharType="end"/>
      </w:r>
      <w:r w:rsidRPr="00034127">
        <w:rPr>
          <w:rFonts w:cstheme="minorHAnsi"/>
          <w:color w:val="212529"/>
          <w:sz w:val="24"/>
          <w:szCs w:val="24"/>
          <w:shd w:val="clear" w:color="auto" w:fill="FFFFFF"/>
        </w:rPr>
        <w:t xml:space="preserve"> </w:t>
      </w:r>
    </w:p>
    <w:p w14:paraId="2A891D64" w14:textId="77777777" w:rsidR="00825363" w:rsidRPr="00034127" w:rsidRDefault="00825363" w:rsidP="00781812">
      <w:pPr>
        <w:pStyle w:val="NoSpacing"/>
        <w:ind w:firstLine="720"/>
        <w:rPr>
          <w:rFonts w:cstheme="minorHAnsi"/>
          <w:color w:val="212529"/>
          <w:sz w:val="24"/>
          <w:szCs w:val="24"/>
          <w:shd w:val="clear" w:color="auto" w:fill="FFFFFF"/>
        </w:rPr>
      </w:pPr>
    </w:p>
    <w:p w14:paraId="7491B45D" w14:textId="6BE6F550" w:rsidR="00781812" w:rsidRDefault="003E2C7D" w:rsidP="00781812">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t>In the past 30 years the number of obese adults in the United States has increased dramatically leading to an increase in obese adult critically ill patients.</w:t>
      </w:r>
      <w:r w:rsidRPr="00034127">
        <w:rPr>
          <w:rFonts w:cstheme="minorHAnsi"/>
          <w:color w:val="212529"/>
          <w:sz w:val="24"/>
          <w:szCs w:val="24"/>
          <w:shd w:val="clear" w:color="auto" w:fill="FFFFFF"/>
        </w:rPr>
        <w:fldChar w:fldCharType="begin"/>
      </w:r>
      <w:r w:rsidRPr="00034127">
        <w:rPr>
          <w:rFonts w:cstheme="minorHAnsi"/>
          <w:color w:val="212529"/>
          <w:sz w:val="24"/>
          <w:szCs w:val="24"/>
          <w:shd w:val="clear" w:color="auto" w:fill="FFFFFF"/>
        </w:rPr>
        <w:instrText xml:space="preserve"> ADDIN ZOTERO_ITEM CSL_CITATION {"citationID":"GJ0jidQx","properties":{"formattedCitation":"\\super 4\\nosupersub{}","plainCitation":"4","noteIndex":0},"citationItems":[{"id":2,"uris":["http://zotero.org/users/local/PF38rE1d/items/DY9M6HNP"],"uri":["http://zotero.org/users/local/PF38rE1d/items/DY9M6HNP"],"itemData":{"id":2,"type":"article-journal","abstract":"This chapter describes the pharmacology of approved parenteral anticoagulants, including the indirect anticoagulants, unfractionated heparin (UFH), low-molecular-weight heparins (LMWHs), fondaparinux, and danaparoid as well as the direct thrombin inhibitors hirudin, bivalirudin, and argatroban. UFH is a heterogeneous mixture of glycosaminoglycans that bind to antithrombin via a unique pentasaccharide sequence and catalyze the inactivation of thrombin factor Xa and other clotting factors. Heparin also binds to cells and other plasma proteins, endowing it with unpredictable pharmacokinetic and pharmacodynamic properties, and can lead to nonhemorrhagic side effects, such as heparin-induced thrombocytopenia (HIT) and osteoporosis. LMWHs have greater inhibitory activity against factor Xa than thrombin and exhibit less binding to cells and proteins than heparin. Consequently, LMWH preparations have more predictable pharmacokinetic and pharmacodynamic properties, have a longer half-life than heparin, and have a lower risk of nonhemorrhagic side effects. LMWHs can be administered once or twice daily by subcutaneous injection, without anticoagulant monitoring. Based on their greater convenience, LMWHs have replaced UFH for many clinical indications. Fondaparinux, a synthetic pentasaccharide, catalyzes the inhibition of factor Xa, but not thrombin, in an antithrombin-dependent fashion. Fondaparinux binds only to antithrombin; therefore, HIT and osteoporosis are unlikely to occur. Fondaparinux has excellent bioavailability when administered subcutaneously, has a longer half-life than LMWHs, and is given once daily by subcutaneous injection in fixed doses, without anticoagulant monitoring. Three parenteral direct thrombin inhibitors and danaparoid are approved as alternatives to heparin in HIT patients.","container-title":"Chest","DOI":"10.1378/chest.08-0689","ISSN":"0012-3692","issue":"6 Suppl","journalAbbreviation":"Chest","language":"eng","note":"PMID: 18574264","page":"141S-159S","source":"PubMed","title":"Parenteral anticoagulants: American College of Chest Physicians Evidence-Based Clinical Practice Guidelines (8th Edition)","title-short":"Parenteral anticoagulants","volume":"133","author":[{"family":"Hirsh","given":"Jack"},{"family":"Bauer","given":"Kenneth A."},{"family":"Donati","given":"Maria B."},{"family":"Gould","given":"Michael"},{"family":"Samama","given":"Meyer M."},{"family":"Weitz","given":"Jeffrey I."}],"issued":{"date-parts":[["2008",6]]}}}],"schema":"https://github.com/citation-style-language/schema/raw/master/csl-citation.json"} </w:instrText>
      </w:r>
      <w:r w:rsidRPr="00034127">
        <w:rPr>
          <w:rFonts w:cstheme="minorHAnsi"/>
          <w:color w:val="212529"/>
          <w:sz w:val="24"/>
          <w:szCs w:val="24"/>
          <w:shd w:val="clear" w:color="auto" w:fill="FFFFFF"/>
        </w:rPr>
        <w:fldChar w:fldCharType="separate"/>
      </w:r>
      <w:r w:rsidRPr="00034127">
        <w:rPr>
          <w:rFonts w:cstheme="minorHAnsi"/>
          <w:sz w:val="24"/>
          <w:szCs w:val="24"/>
          <w:vertAlign w:val="superscript"/>
        </w:rPr>
        <w:t>4</w:t>
      </w:r>
      <w:r w:rsidRPr="00034127">
        <w:rPr>
          <w:rFonts w:cstheme="minorHAnsi"/>
          <w:color w:val="212529"/>
          <w:sz w:val="24"/>
          <w:szCs w:val="24"/>
          <w:shd w:val="clear" w:color="auto" w:fill="FFFFFF"/>
        </w:rPr>
        <w:fldChar w:fldCharType="end"/>
      </w:r>
      <w:r w:rsidRPr="00034127">
        <w:rPr>
          <w:rFonts w:cstheme="minorHAnsi"/>
          <w:color w:val="212529"/>
          <w:sz w:val="24"/>
          <w:szCs w:val="24"/>
          <w:shd w:val="clear" w:color="auto" w:fill="FFFFFF"/>
        </w:rPr>
        <w:t xml:space="preserve"> Obesity is a significant risk factor for VTE and the current guidelines for prophylaxis in this patient population is unclear. One study found that obese patients greater than 50 years of age are 6.2 times more likely to have VTE when compared to patients with normal BMI’s.</w:t>
      </w:r>
      <w:r w:rsidRPr="00034127">
        <w:rPr>
          <w:rFonts w:cstheme="minorHAnsi"/>
          <w:color w:val="212529"/>
          <w:sz w:val="24"/>
          <w:szCs w:val="24"/>
          <w:shd w:val="clear" w:color="auto" w:fill="FFFFFF"/>
        </w:rPr>
        <w:fldChar w:fldCharType="begin"/>
      </w:r>
      <w:r w:rsidRPr="00034127">
        <w:rPr>
          <w:rFonts w:cstheme="minorHAnsi"/>
          <w:color w:val="212529"/>
          <w:sz w:val="24"/>
          <w:szCs w:val="24"/>
          <w:shd w:val="clear" w:color="auto" w:fill="FFFFFF"/>
        </w:rPr>
        <w:instrText xml:space="preserve"> ADDIN ZOTERO_ITEM CSL_CITATION {"citationID":"3tRPK2TO","properties":{"formattedCitation":"\\super 5\\nosupersub{}","plainCitation":"5","noteIndex":0},"citationItems":[{"id":17,"uris":["http://zotero.org/users/local/PF38rE1d/items/8K39VPN5"],"uri":["http://zotero.org/users/local/PF38rE1d/items/8K39VPN5"],"itemData":{"id":17,"type":"article-journal","abstract":"Background:\nThis guideline focuses on long-term administration of antithrombotic drugs\ndesigned for primary and secondary prevention of cardiovascular disease,\nincluding two new antiplatelet therapies.\n\nMethods:\nThe methods of this guideline follow those described in Methodology for the\nDevelopment of Antithrombotic Therapy and Prevention of Thrombosis\nGuidelines: Antithrombotic Therapy and Prevention of Thrombosis, 9th ed:\nAmerican College of Chest Physicians Evidence-Based Clinical Practice\nGuidelines in this supplement.\n\nResults:\nWe present 23 recommendations for pertinent clinical questions. For primary\nprevention of cardiovascular disease, we suggest low-dose aspirin (75-100\nmg/d) in patients aged &gt; 50 years over no aspirin therapy (Grade 2B).\nFor patients with established coronary artery disease, defined as patients\n1-year post-acute coronary syndrome, with prior revascularization, coronary\nstenoses &gt; 50% by coronary angiogram, and/or evidence for cardiac\nischemia on diagnostic testing, we recommend long-term low-dose aspirin or\nclopidogrel (75 mg/d) (Grade 1A). For patients with acute coronary syndromes\nwho undergo percutaneous coronary intervention (PCI) with stent placement,\nwe recommend for the first year dual antiplatelet therapy with low-dose\naspirin in combination with ticagrelor 90 mg bid, clopidogrel 75 mg/d, or\nprasugrel 10 mg/d over single antiplatelet therapy (Grade 1B). For patients\nundergoing elective PCI with stent placement, we recommend aspirin (75-325\nmg/d) and clopidogrel for a minimum duration of 1 month (bare-metal stents)\nor 3 to 6 months (drug-eluting stents) (Grade 1A). We suggest continuing\nlow-dose aspirin plus clopidogrel for 12 months for all stents (Grade 2C).\nThereafter, we recommend single antiplatelet therapy over continuation of\ndual antiplatelet therapy (Grade 1B).\n\nConclusions:\nRecommendations continue to favor single antiplatelet therapy for patients\nwith established coronary artery disease. For patients with acute coronary\nsyndromes or undergoing elective PCI with stent placement, dual antiplatelet\ntherapy for up to 1 year is warranted.","container-title":"Chest","DOI":"10.1378/chest.11-2306","ISSN":"0012-3692","issue":"2 Suppl","journalAbbreviation":"Chest","note":"PMID: 22315274\nPMCID: PMC3278064","page":"e637S-e668S","source":"PubMed Central","title":"Primary and Secondary Prevention of Cardiovascular Disease","volume":"141","author":[{"family":"Vandvik","given":"Per Olav"},{"family":"Lincoff","given":"A. Michael"},{"family":"Gore","given":"Joel M."},{"family":"Gutterman","given":"David D."},{"family":"Sonnenberg","given":"Frank A."},{"family":"Alonso-Coello","given":"Pablo"},{"family":"Akl","given":"Elie A."},{"family":"Lansberg","given":"Maarten G."},{"family":"Guyatt","given":"Gordon H."},{"family":"Spencer","given":"Frederick A."}],"issued":{"date-parts":[["2012",2]]}}}],"schema":"https://github.com/citation-style-language/schema/raw/master/csl-citation.json"} </w:instrText>
      </w:r>
      <w:r w:rsidRPr="00034127">
        <w:rPr>
          <w:rFonts w:cstheme="minorHAnsi"/>
          <w:color w:val="212529"/>
          <w:sz w:val="24"/>
          <w:szCs w:val="24"/>
          <w:shd w:val="clear" w:color="auto" w:fill="FFFFFF"/>
        </w:rPr>
        <w:fldChar w:fldCharType="separate"/>
      </w:r>
      <w:r w:rsidRPr="00034127">
        <w:rPr>
          <w:rFonts w:cstheme="minorHAnsi"/>
          <w:sz w:val="24"/>
          <w:szCs w:val="24"/>
          <w:vertAlign w:val="superscript"/>
        </w:rPr>
        <w:t>5</w:t>
      </w:r>
      <w:r w:rsidRPr="00034127">
        <w:rPr>
          <w:rFonts w:cstheme="minorHAnsi"/>
          <w:color w:val="212529"/>
          <w:sz w:val="24"/>
          <w:szCs w:val="24"/>
          <w:shd w:val="clear" w:color="auto" w:fill="FFFFFF"/>
        </w:rPr>
        <w:fldChar w:fldCharType="end"/>
      </w:r>
      <w:r w:rsidRPr="00034127">
        <w:rPr>
          <w:rFonts w:cstheme="minorHAnsi"/>
          <w:color w:val="212529"/>
          <w:sz w:val="24"/>
          <w:szCs w:val="24"/>
          <w:shd w:val="clear" w:color="auto" w:fill="FFFFFF"/>
        </w:rPr>
        <w:t xml:space="preserve"> The CHEST guidelines from 2012 suggest weight based LMWH should be used in obese patients but provide no specific dosing recommendations.</w:t>
      </w:r>
      <w:r w:rsidRPr="00034127">
        <w:rPr>
          <w:rFonts w:cstheme="minorHAnsi"/>
          <w:color w:val="212529"/>
          <w:sz w:val="24"/>
          <w:szCs w:val="24"/>
          <w:shd w:val="clear" w:color="auto" w:fill="FFFFFF"/>
        </w:rPr>
        <w:fldChar w:fldCharType="begin"/>
      </w:r>
      <w:r w:rsidRPr="00034127">
        <w:rPr>
          <w:rFonts w:cstheme="minorHAnsi"/>
          <w:color w:val="212529"/>
          <w:sz w:val="24"/>
          <w:szCs w:val="24"/>
          <w:shd w:val="clear" w:color="auto" w:fill="FFFFFF"/>
        </w:rPr>
        <w:instrText xml:space="preserve"> ADDIN ZOTERO_ITEM CSL_CITATION {"citationID":"JfX7eBs6","properties":{"formattedCitation":"\\super 3\\nosupersub{}","plainCitation":"3","noteIndex":0},"citationItems":[{"id":20,"uris":["http://zotero.org/users/local/PF38rE1d/items/Q4WMI9DR"],"uri":["http://zotero.org/users/local/PF38rE1d/items/Q4WMI9DR"],"itemData":{"id":20,"type":"article-journal","container-title":"JAMA","DOI":"10.1001/jama.2016.6458","ISSN":"0098-7484","issue":"21","journalAbbreviation":"JAMA","language":"en","page":"2284","source":"DOI.org (Crossref)","title":"Trends in Obesity Among Adults in the United States, 2005 to 2014","volume":"315","author":[{"family":"Flegal","given":"Katherine M."},{"family":"Kruszon-Moran","given":"Deanna"},{"family":"Carroll","given":"Margaret D."},{"family":"Fryar","given":"Cheryl D."},{"family":"Ogden","given":"Cynthia L."}],"issued":{"date-parts":[["2016",6,7]]}}}],"schema":"https://github.com/citation-style-language/schema/raw/master/csl-citation.json"} </w:instrText>
      </w:r>
      <w:r w:rsidRPr="00034127">
        <w:rPr>
          <w:rFonts w:cstheme="minorHAnsi"/>
          <w:color w:val="212529"/>
          <w:sz w:val="24"/>
          <w:szCs w:val="24"/>
          <w:shd w:val="clear" w:color="auto" w:fill="FFFFFF"/>
        </w:rPr>
        <w:fldChar w:fldCharType="separate"/>
      </w:r>
      <w:r w:rsidRPr="00034127">
        <w:rPr>
          <w:rFonts w:cstheme="minorHAnsi"/>
          <w:sz w:val="24"/>
          <w:szCs w:val="24"/>
          <w:vertAlign w:val="superscript"/>
        </w:rPr>
        <w:t>3</w:t>
      </w:r>
      <w:r w:rsidRPr="00034127">
        <w:rPr>
          <w:rFonts w:cstheme="minorHAnsi"/>
          <w:color w:val="212529"/>
          <w:sz w:val="24"/>
          <w:szCs w:val="24"/>
          <w:shd w:val="clear" w:color="auto" w:fill="FFFFFF"/>
        </w:rPr>
        <w:fldChar w:fldCharType="end"/>
      </w:r>
      <w:r w:rsidRPr="00034127">
        <w:rPr>
          <w:rFonts w:cstheme="minorHAnsi"/>
          <w:color w:val="212529"/>
          <w:sz w:val="24"/>
          <w:szCs w:val="24"/>
          <w:shd w:val="clear" w:color="auto" w:fill="FFFFFF"/>
          <w:vertAlign w:val="superscript"/>
        </w:rPr>
        <w:t xml:space="preserve"> </w:t>
      </w:r>
      <w:r w:rsidRPr="00034127">
        <w:rPr>
          <w:rFonts w:cstheme="minorHAnsi"/>
          <w:color w:val="212529"/>
          <w:sz w:val="24"/>
          <w:szCs w:val="24"/>
          <w:shd w:val="clear" w:color="auto" w:fill="FFFFFF"/>
        </w:rPr>
        <w:t>Consequently, i</w:t>
      </w:r>
      <w:r w:rsidRPr="00034127">
        <w:rPr>
          <w:rFonts w:cstheme="minorHAnsi"/>
          <w:color w:val="212529"/>
          <w:sz w:val="24"/>
          <w:szCs w:val="24"/>
          <w:shd w:val="clear" w:color="auto" w:fill="FFFFFF"/>
        </w:rPr>
        <w:t>n current practice dosing varies based on clinical practice and provider preferences</w:t>
      </w:r>
      <w:r w:rsidRPr="00034127">
        <w:rPr>
          <w:rFonts w:cstheme="minorHAnsi"/>
          <w:color w:val="212529"/>
          <w:sz w:val="24"/>
          <w:szCs w:val="24"/>
          <w:shd w:val="clear" w:color="auto" w:fill="FFFFFF"/>
        </w:rPr>
        <w:t xml:space="preserve"> and relies on</w:t>
      </w:r>
      <w:r w:rsidRPr="00034127">
        <w:rPr>
          <w:rFonts w:cstheme="minorHAnsi"/>
          <w:color w:val="212529"/>
          <w:sz w:val="24"/>
          <w:szCs w:val="24"/>
          <w:shd w:val="clear" w:color="auto" w:fill="FFFFFF"/>
        </w:rPr>
        <w:t xml:space="preserve"> anti-</w:t>
      </w:r>
      <w:proofErr w:type="spellStart"/>
      <w:r w:rsidRPr="00034127">
        <w:rPr>
          <w:rFonts w:cstheme="minorHAnsi"/>
          <w:color w:val="212529"/>
          <w:sz w:val="24"/>
          <w:szCs w:val="24"/>
          <w:shd w:val="clear" w:color="auto" w:fill="FFFFFF"/>
        </w:rPr>
        <w:t>Xa</w:t>
      </w:r>
      <w:proofErr w:type="spellEnd"/>
      <w:r w:rsidRPr="00034127">
        <w:rPr>
          <w:rFonts w:cstheme="minorHAnsi"/>
          <w:color w:val="212529"/>
          <w:sz w:val="24"/>
          <w:szCs w:val="24"/>
          <w:shd w:val="clear" w:color="auto" w:fill="FFFFFF"/>
        </w:rPr>
        <w:t xml:space="preserve"> levels in these patients to assess efficacy and absorption of enoxaparin in obese patients due to the lack of </w:t>
      </w:r>
      <w:r w:rsidRPr="00034127">
        <w:rPr>
          <w:rFonts w:cstheme="minorHAnsi"/>
          <w:color w:val="212529"/>
          <w:sz w:val="24"/>
          <w:szCs w:val="24"/>
          <w:shd w:val="clear" w:color="auto" w:fill="FFFFFF"/>
        </w:rPr>
        <w:t xml:space="preserve">clear </w:t>
      </w:r>
      <w:r w:rsidRPr="00034127">
        <w:rPr>
          <w:rFonts w:cstheme="minorHAnsi"/>
          <w:color w:val="212529"/>
          <w:sz w:val="24"/>
          <w:szCs w:val="24"/>
          <w:shd w:val="clear" w:color="auto" w:fill="FFFFFF"/>
        </w:rPr>
        <w:t>guidance from the medical community.</w:t>
      </w:r>
    </w:p>
    <w:p w14:paraId="165DDDF9" w14:textId="77777777" w:rsidR="00825363" w:rsidRPr="00034127" w:rsidRDefault="00825363" w:rsidP="00781812">
      <w:pPr>
        <w:pStyle w:val="NoSpacing"/>
        <w:ind w:firstLine="720"/>
        <w:rPr>
          <w:rFonts w:cstheme="minorHAnsi"/>
          <w:color w:val="212529"/>
          <w:sz w:val="24"/>
          <w:szCs w:val="24"/>
          <w:shd w:val="clear" w:color="auto" w:fill="FFFFFF"/>
        </w:rPr>
      </w:pPr>
    </w:p>
    <w:p w14:paraId="572D492D" w14:textId="08BE30FF" w:rsidR="00781812" w:rsidRDefault="00781812" w:rsidP="00781812">
      <w:pPr>
        <w:pStyle w:val="NoSpacing"/>
        <w:rPr>
          <w:rFonts w:cstheme="minorHAnsi"/>
          <w:color w:val="212529"/>
          <w:sz w:val="24"/>
          <w:szCs w:val="24"/>
          <w:shd w:val="clear" w:color="auto" w:fill="FFFFFF"/>
        </w:rPr>
      </w:pPr>
      <w:r w:rsidRPr="00034127">
        <w:rPr>
          <w:rFonts w:cstheme="minorHAnsi"/>
          <w:color w:val="212529"/>
          <w:sz w:val="24"/>
          <w:szCs w:val="24"/>
          <w:shd w:val="clear" w:color="auto" w:fill="FFFFFF"/>
        </w:rPr>
        <w:tab/>
      </w:r>
      <w:r w:rsidR="00AD1505" w:rsidRPr="00034127">
        <w:rPr>
          <w:rFonts w:cstheme="minorHAnsi"/>
          <w:color w:val="212529"/>
          <w:sz w:val="24"/>
          <w:szCs w:val="24"/>
          <w:shd w:val="clear" w:color="auto" w:fill="FFFFFF"/>
        </w:rPr>
        <w:t>The most commonly used standard of practice and the one listed on drug references (</w:t>
      </w:r>
      <w:proofErr w:type="spellStart"/>
      <w:r w:rsidR="00AD1505" w:rsidRPr="00034127">
        <w:rPr>
          <w:rFonts w:cstheme="minorHAnsi"/>
          <w:color w:val="212529"/>
          <w:sz w:val="24"/>
          <w:szCs w:val="24"/>
          <w:shd w:val="clear" w:color="auto" w:fill="FFFFFF"/>
        </w:rPr>
        <w:t>UptoDate</w:t>
      </w:r>
      <w:proofErr w:type="spellEnd"/>
      <w:r w:rsidR="00AD1505" w:rsidRPr="00034127">
        <w:rPr>
          <w:rFonts w:cstheme="minorHAnsi"/>
          <w:color w:val="212529"/>
          <w:sz w:val="24"/>
          <w:szCs w:val="24"/>
          <w:shd w:val="clear" w:color="auto" w:fill="FFFFFF"/>
        </w:rPr>
        <w:t>, Lexicomp, Micromedex….</w:t>
      </w:r>
      <w:proofErr w:type="spellStart"/>
      <w:r w:rsidR="00AD1505" w:rsidRPr="00034127">
        <w:rPr>
          <w:rFonts w:cstheme="minorHAnsi"/>
          <w:color w:val="212529"/>
          <w:sz w:val="24"/>
          <w:szCs w:val="24"/>
          <w:shd w:val="clear" w:color="auto" w:fill="FFFFFF"/>
        </w:rPr>
        <w:t>etc</w:t>
      </w:r>
      <w:proofErr w:type="spellEnd"/>
      <w:r w:rsidR="00AD1505" w:rsidRPr="00034127">
        <w:rPr>
          <w:rFonts w:cstheme="minorHAnsi"/>
          <w:color w:val="212529"/>
          <w:sz w:val="24"/>
          <w:szCs w:val="24"/>
          <w:shd w:val="clear" w:color="auto" w:fill="FFFFFF"/>
        </w:rPr>
        <w:t>) come from some studies in the early 2000’s</w:t>
      </w:r>
      <w:r w:rsidR="00A95E30" w:rsidRPr="00034127">
        <w:rPr>
          <w:rFonts w:cstheme="minorHAnsi"/>
          <w:color w:val="212529"/>
          <w:sz w:val="24"/>
          <w:szCs w:val="24"/>
          <w:shd w:val="clear" w:color="auto" w:fill="FFFFFF"/>
        </w:rPr>
        <w:t xml:space="preserve">. </w:t>
      </w:r>
      <w:r w:rsidR="00AD1505" w:rsidRPr="00034127">
        <w:rPr>
          <w:rFonts w:cstheme="minorHAnsi"/>
          <w:color w:val="212529"/>
          <w:sz w:val="24"/>
          <w:szCs w:val="24"/>
          <w:shd w:val="clear" w:color="auto" w:fill="FFFFFF"/>
        </w:rPr>
        <w:t>Two early</w:t>
      </w:r>
      <w:r w:rsidR="00A95E30" w:rsidRPr="00034127">
        <w:rPr>
          <w:rFonts w:cstheme="minorHAnsi"/>
          <w:color w:val="212529"/>
          <w:sz w:val="24"/>
          <w:szCs w:val="24"/>
          <w:shd w:val="clear" w:color="auto" w:fill="FFFFFF"/>
        </w:rPr>
        <w:t xml:space="preserve"> trial</w:t>
      </w:r>
      <w:r w:rsidR="00AD1505" w:rsidRPr="00034127">
        <w:rPr>
          <w:rFonts w:cstheme="minorHAnsi"/>
          <w:color w:val="212529"/>
          <w:sz w:val="24"/>
          <w:szCs w:val="24"/>
          <w:shd w:val="clear" w:color="auto" w:fill="FFFFFF"/>
        </w:rPr>
        <w:t>s</w:t>
      </w:r>
      <w:r w:rsidR="00A95E30" w:rsidRPr="00034127">
        <w:rPr>
          <w:rFonts w:cstheme="minorHAnsi"/>
          <w:color w:val="212529"/>
          <w:sz w:val="24"/>
          <w:szCs w:val="24"/>
          <w:shd w:val="clear" w:color="auto" w:fill="FFFFFF"/>
        </w:rPr>
        <w:t xml:space="preserve"> </w:t>
      </w:r>
      <w:r w:rsidR="00AD1505" w:rsidRPr="00034127">
        <w:rPr>
          <w:rFonts w:cstheme="minorHAnsi"/>
          <w:color w:val="212529"/>
          <w:sz w:val="24"/>
          <w:szCs w:val="24"/>
          <w:shd w:val="clear" w:color="auto" w:fill="FFFFFF"/>
        </w:rPr>
        <w:t>from</w:t>
      </w:r>
      <w:r w:rsidR="00A95E30" w:rsidRPr="00034127">
        <w:rPr>
          <w:rFonts w:cstheme="minorHAnsi"/>
          <w:color w:val="212529"/>
          <w:sz w:val="24"/>
          <w:szCs w:val="24"/>
          <w:shd w:val="clear" w:color="auto" w:fill="FFFFFF"/>
        </w:rPr>
        <w:t xml:space="preserve"> </w:t>
      </w:r>
      <w:r w:rsidR="00AD1505" w:rsidRPr="00034127">
        <w:rPr>
          <w:rFonts w:cstheme="minorHAnsi"/>
          <w:color w:val="212529"/>
          <w:sz w:val="24"/>
          <w:szCs w:val="24"/>
          <w:shd w:val="clear" w:color="auto" w:fill="FFFFFF"/>
        </w:rPr>
        <w:t xml:space="preserve">2002 and </w:t>
      </w:r>
      <w:r w:rsidR="00A95E30" w:rsidRPr="00034127">
        <w:rPr>
          <w:rFonts w:cstheme="minorHAnsi"/>
          <w:color w:val="212529"/>
          <w:sz w:val="24"/>
          <w:szCs w:val="24"/>
          <w:shd w:val="clear" w:color="auto" w:fill="FFFFFF"/>
        </w:rPr>
        <w:t>2007, showed that for patients with BMI</w:t>
      </w:r>
      <w:r w:rsidR="00AD1505" w:rsidRPr="00034127">
        <w:rPr>
          <w:rFonts w:cstheme="minorHAnsi"/>
          <w:color w:val="212529"/>
          <w:sz w:val="24"/>
          <w:szCs w:val="24"/>
          <w:shd w:val="clear" w:color="auto" w:fill="FFFFFF"/>
        </w:rPr>
        <w:t xml:space="preserve"> &gt;40 kg/m</w:t>
      </w:r>
      <w:r w:rsidR="00AD1505" w:rsidRPr="00034127">
        <w:rPr>
          <w:rFonts w:cstheme="minorHAnsi"/>
          <w:color w:val="212529"/>
          <w:sz w:val="24"/>
          <w:szCs w:val="24"/>
          <w:shd w:val="clear" w:color="auto" w:fill="FFFFFF"/>
          <w:vertAlign w:val="superscript"/>
        </w:rPr>
        <w:t>2</w:t>
      </w:r>
      <w:r w:rsidR="00AD1505" w:rsidRPr="00034127">
        <w:rPr>
          <w:rFonts w:cstheme="minorHAnsi"/>
          <w:color w:val="212529"/>
          <w:sz w:val="24"/>
          <w:szCs w:val="24"/>
          <w:shd w:val="clear" w:color="auto" w:fill="FFFFFF"/>
        </w:rPr>
        <w:t xml:space="preserve"> enoxaparin doses of 40 mg BID or 60 mg BID provided a high percentage of Anti-</w:t>
      </w:r>
      <w:proofErr w:type="spellStart"/>
      <w:r w:rsidR="00AD1505" w:rsidRPr="00034127">
        <w:rPr>
          <w:rFonts w:cstheme="minorHAnsi"/>
          <w:color w:val="212529"/>
          <w:sz w:val="24"/>
          <w:szCs w:val="24"/>
          <w:shd w:val="clear" w:color="auto" w:fill="FFFFFF"/>
        </w:rPr>
        <w:t>Xa</w:t>
      </w:r>
      <w:proofErr w:type="spellEnd"/>
      <w:r w:rsidR="00AD1505" w:rsidRPr="00034127">
        <w:rPr>
          <w:rFonts w:cstheme="minorHAnsi"/>
          <w:color w:val="212529"/>
          <w:sz w:val="24"/>
          <w:szCs w:val="24"/>
          <w:shd w:val="clear" w:color="auto" w:fill="FFFFFF"/>
        </w:rPr>
        <w:t xml:space="preserve"> levels in the prophylactic range (0.2-0.5 I/mL).</w:t>
      </w:r>
      <w:r w:rsidR="00F07176">
        <w:rPr>
          <w:rFonts w:cstheme="minorHAnsi"/>
          <w:color w:val="212529"/>
          <w:sz w:val="24"/>
          <w:szCs w:val="24"/>
          <w:shd w:val="clear" w:color="auto" w:fill="FFFFFF"/>
        </w:rPr>
        <w:fldChar w:fldCharType="begin"/>
      </w:r>
      <w:r w:rsidR="00F07176">
        <w:rPr>
          <w:rFonts w:cstheme="minorHAnsi"/>
          <w:color w:val="212529"/>
          <w:sz w:val="24"/>
          <w:szCs w:val="24"/>
          <w:shd w:val="clear" w:color="auto" w:fill="FFFFFF"/>
        </w:rPr>
        <w:instrText xml:space="preserve"> ADDIN ZOTERO_ITEM CSL_CITATION {"citationID":"S5lOglPb","properties":{"formattedCitation":"\\super 6,9\\nosupersub{}","plainCitation":"6,9","noteIndex":0},"citationItems":[{"id":15,"uris":["http://zotero.org/users/local/PF38rE1d/items/9UHY4Y8D"],"uri":["http://zotero.org/users/local/PF38rE1d/items/9UHY4Y8D"],"itemData":{"id":15,"type":"article-journal","abstract":"BACKGROUND: Deep venous thrombosis (DVT) is a significant risk in patients undergoing surgery for morbid obesity and may be associated with significant morbidity and mortality. In a consecutive group of patients in one bariatric surgery practice, the initial group of patients who received prophylaxis for DVT was given enoxaparin 30 mg q12h while the later group was given enoxaparin 40 mg q12h.\nMETHODS: 481 patients who underwent primary and revisional bariatric surgery over 38 months (October 1997-December 2000) were evaluated. All patients received a multi-modality DVT prophylaxis protocol that included: early ambulation, graduated compression stockings, intermittent pneumatic compression, and enoxaparin (LMWH) in two dosage groups. The first 92 patients (19%) in the series (Group I) received LMWH 30 mg q12h while the subsequent 389 patients (81%) (Group II) received LMWH 40 mg q12h.\nRESULTS: Group I patients were not different from Group II patients in body mass index (BMI) (51.7 vs 50.3 kg/m2), age (43.7 vs 44.3 yrs), sex (men 20.2% vs 15.8%) or history of previous DVT (3.2% vs 3.9%). Group I patients did have significantly longer procedure times (213 vs 175 min, p &lt; 0.05) and hospital stays (5.67 d vs 3.81 d, p &lt; 0.05) than Group II. There were a total of 7 (1.4%) postoperative DVT complications. 5 DVT complications occurred in Group I (5.4%) compared with 2 DVT complications in Group II (0.6%) (p &lt; 0.01 by Fisher Exact Test two-tailed). One patient in each group required treatment for hemorrhage.\nCONCLUSION: A multi-modality prophylaxis treatment protocol in patients undergoing bariatric surgery is feasible and achieves a low incidence of postoperative DVT complications. The use of a higher dose of enoxaparin, 40 mg q12h, may reduce the incidence of DVT complications in patients following bariatric surgery without an increase in bleeding complications.","container-title":"Obesity Surgery","DOI":"10.1381/096089202321144522","ISSN":"0960-8923","issue":"1","journalAbbreviation":"Obes Surg","language":"eng","note":"PMID: 11868291","page":"19-24","source":"PubMed","title":"A comparison of two different prophylactic dose regimens of low molecular weight heparin in bariatric surgery","volume":"12","author":[{"family":"Scholten","given":"Donald J."},{"family":"Hoedema","given":"Rebecca M."},{"family":"Scholten","given":"Sarah E."}],"issued":{"date-parts":[["2002",2]]}}},{"id":91,"uris":["http://zotero.org/users/local/PF38rE1d/items/RIKLAEWT"],"uri":["http://zotero.org/users/local/PF38rE1d/items/RIKLAEWT"],"itemData":{"id":91,"type":"article-journal","abstract":"Background\nMorbidly obese patients undergoing gastric bypass surgery are at risk for postoperative venous thromboembolism. Evidence-based recommendations regarding the dosing and duration of thromboprophylaxis are lacking for morbidly obese surgical patients. The aims of this study were to evaluate the safety and efficacy of an extended duration, body mass index (BMI)–stratified enoxaparin thromboprophylaxis regimen in patients undergoing Roux-en-Y gastric bypass and to determine the resultant antifactor Xa (AFXa) activity in morbidly obese surgical patients.\nMethods\nIn this prospective open trial, 223 patients (75% female, mean BMI 50.4 kg/m2) undergoing Roux-en-Y gastric bypass were assigned to receive enoxaparin 40 mg (BMI ≤50 kg/m2, n = 124) or 60 mg (BMI &gt;50 kg/m2, n = 99) every 12 hours during hospitalization and once daily for 10 days after discharge. The AFXa levels were monitored serially, and dose adjustments were made for results outside the target prophylactic range (.2–.4 IU/mL ± 10%) after the third dose. The safety and efficacy outcomes were major bleeding and venous thromboembolism.\nResults\nRoux-en-Y gastric bypass was performed laparoscopically in 208 subjects (93%). The duration of surgery averaged 99.5 ± 31 minutes, and the median length of hospitalization was 3 days. Target prophylactic AFXa concentration was achieved by 74% of patients after the third enoxaparin dose; none reached the full anticoagulation concentration. One patient developed nonfatal venous thromboembolism (.45%). Four patients required transfusion (1.79%). Bleeding was not associated with a high AFXa concentration.\nConclusion\nThis BMI-stratified, extended enoxaparin dosing regimen provided well-tolerated, effective prophylaxis against venous thromboembolism in patients undergoing gastric bypass surgery.","container-title":"Surgery for Obesity and Related Diseases","DOI":"10.1016/j.soard.2007.11.010","ISSN":"1550-7289","issue":"5","journalAbbreviation":"Surgery for Obesity and Related Diseases","language":"en","page":"625-631","source":"ScienceDirect","title":"Enoxaparin thromboprophylaxis in gastric bypass patients: extended duration, dose stratification, and antifactor Xa activity","title-short":"Enoxaparin thromboprophylaxis in gastric bypass patients","volume":"4","author":[{"family":"Borkgren-Okonek","given":"Marilyn J."},{"family":"Hart","given":"Robert W."},{"family":"Pantano","given":"John E."},{"family":"Rantis","given":"Peter C."},{"family":"Guske","given":"Paul J."},{"family":"Kane","given":"James M."},{"family":"Gordon","given":"Nancy"},{"family":"Sambol","given":"Nancy C."}],"issued":{"date-parts":[["2008",9,1]]}}}],"schema":"https://github.com/citation-style-language/schema/raw/master/csl-citation.json"} </w:instrText>
      </w:r>
      <w:r w:rsidR="00F07176">
        <w:rPr>
          <w:rFonts w:cstheme="minorHAnsi"/>
          <w:color w:val="212529"/>
          <w:sz w:val="24"/>
          <w:szCs w:val="24"/>
          <w:shd w:val="clear" w:color="auto" w:fill="FFFFFF"/>
        </w:rPr>
        <w:fldChar w:fldCharType="separate"/>
      </w:r>
      <w:r w:rsidR="00F07176" w:rsidRPr="00F07176">
        <w:rPr>
          <w:rFonts w:ascii="Calibri" w:hAnsi="Calibri" w:cs="Calibri"/>
          <w:sz w:val="24"/>
          <w:szCs w:val="24"/>
          <w:vertAlign w:val="superscript"/>
        </w:rPr>
        <w:t>6,9</w:t>
      </w:r>
      <w:r w:rsidR="00F07176">
        <w:rPr>
          <w:rFonts w:cstheme="minorHAnsi"/>
          <w:color w:val="212529"/>
          <w:sz w:val="24"/>
          <w:szCs w:val="24"/>
          <w:shd w:val="clear" w:color="auto" w:fill="FFFFFF"/>
        </w:rPr>
        <w:fldChar w:fldCharType="end"/>
      </w:r>
      <w:r w:rsidR="00AD1505" w:rsidRPr="00034127">
        <w:rPr>
          <w:rFonts w:cstheme="minorHAnsi"/>
          <w:color w:val="212529"/>
          <w:sz w:val="24"/>
          <w:szCs w:val="24"/>
          <w:shd w:val="clear" w:color="auto" w:fill="FFFFFF"/>
        </w:rPr>
        <w:t xml:space="preserve"> </w:t>
      </w:r>
      <w:r w:rsidR="00744A31" w:rsidRPr="00034127">
        <w:rPr>
          <w:rFonts w:cstheme="minorHAnsi"/>
          <w:color w:val="212529"/>
          <w:sz w:val="24"/>
          <w:szCs w:val="24"/>
          <w:shd w:val="clear" w:color="auto" w:fill="FFFFFF"/>
        </w:rPr>
        <w:t xml:space="preserve">These studies also showed no significant increase in bleeding. </w:t>
      </w:r>
      <w:r w:rsidR="00AD1505" w:rsidRPr="00034127">
        <w:rPr>
          <w:rFonts w:cstheme="minorHAnsi"/>
          <w:color w:val="212529"/>
          <w:sz w:val="24"/>
          <w:szCs w:val="24"/>
          <w:shd w:val="clear" w:color="auto" w:fill="FFFFFF"/>
        </w:rPr>
        <w:t>At many institutions, including UCSF</w:t>
      </w:r>
      <w:r w:rsidR="00744A31" w:rsidRPr="00034127">
        <w:rPr>
          <w:rFonts w:cstheme="minorHAnsi"/>
          <w:color w:val="212529"/>
          <w:sz w:val="24"/>
          <w:szCs w:val="24"/>
          <w:shd w:val="clear" w:color="auto" w:fill="FFFFFF"/>
        </w:rPr>
        <w:t>,</w:t>
      </w:r>
      <w:r w:rsidR="00AD1505" w:rsidRPr="00034127">
        <w:rPr>
          <w:rFonts w:cstheme="minorHAnsi"/>
          <w:color w:val="212529"/>
          <w:sz w:val="24"/>
          <w:szCs w:val="24"/>
          <w:shd w:val="clear" w:color="auto" w:fill="FFFFFF"/>
        </w:rPr>
        <w:t xml:space="preserve"> this has been used to adjust prophylaxis dosing in obese patients to BID dosing, but was not strong enough evidence to adjust the guidelines recommendation. </w:t>
      </w:r>
    </w:p>
    <w:p w14:paraId="23ED912B" w14:textId="77777777" w:rsidR="00825363" w:rsidRPr="00034127" w:rsidRDefault="00825363" w:rsidP="00781812">
      <w:pPr>
        <w:pStyle w:val="NoSpacing"/>
        <w:rPr>
          <w:rFonts w:cstheme="minorHAnsi"/>
          <w:color w:val="212529"/>
          <w:sz w:val="24"/>
          <w:szCs w:val="24"/>
          <w:shd w:val="clear" w:color="auto" w:fill="FFFFFF"/>
        </w:rPr>
      </w:pPr>
    </w:p>
    <w:p w14:paraId="0AB9C2E3" w14:textId="0BB4D39B" w:rsidR="003E2C7D" w:rsidRDefault="00744A31" w:rsidP="00781812">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t>A f</w:t>
      </w:r>
      <w:r w:rsidR="00781812" w:rsidRPr="00034127">
        <w:rPr>
          <w:rFonts w:cstheme="minorHAnsi"/>
          <w:color w:val="212529"/>
          <w:sz w:val="24"/>
          <w:szCs w:val="24"/>
          <w:shd w:val="clear" w:color="auto" w:fill="FFFFFF"/>
        </w:rPr>
        <w:t xml:space="preserve">ew </w:t>
      </w:r>
      <w:r w:rsidRPr="00034127">
        <w:rPr>
          <w:rFonts w:cstheme="minorHAnsi"/>
          <w:color w:val="212529"/>
          <w:sz w:val="24"/>
          <w:szCs w:val="24"/>
          <w:shd w:val="clear" w:color="auto" w:fill="FFFFFF"/>
        </w:rPr>
        <w:t>more recent</w:t>
      </w:r>
      <w:r w:rsidR="003E2C7D" w:rsidRPr="00034127">
        <w:rPr>
          <w:rFonts w:cstheme="minorHAnsi"/>
          <w:color w:val="212529"/>
          <w:sz w:val="24"/>
          <w:szCs w:val="24"/>
          <w:shd w:val="clear" w:color="auto" w:fill="FFFFFF"/>
        </w:rPr>
        <w:t xml:space="preserve"> studies have looked at weight-based dosing strategies in obese surgical patients, general medicine patients, and pregnant/post-partum patients.</w:t>
      </w:r>
      <w:r w:rsidR="00A95E30" w:rsidRPr="00034127">
        <w:rPr>
          <w:rFonts w:cstheme="minorHAnsi"/>
          <w:color w:val="212529"/>
          <w:sz w:val="24"/>
          <w:szCs w:val="24"/>
          <w:shd w:val="clear" w:color="auto" w:fill="FFFFFF"/>
        </w:rPr>
        <w:fldChar w:fldCharType="begin"/>
      </w:r>
      <w:r w:rsidR="00F07176">
        <w:rPr>
          <w:rFonts w:cstheme="minorHAnsi"/>
          <w:color w:val="212529"/>
          <w:sz w:val="24"/>
          <w:szCs w:val="24"/>
          <w:shd w:val="clear" w:color="auto" w:fill="FFFFFF"/>
        </w:rPr>
        <w:instrText xml:space="preserve"> ADDIN ZOTERO_ITEM CSL_CITATION {"citationID":"q3jcrX6J","properties":{"formattedCitation":"\\super 7,8\\nosupersub{}","plainCitation":"7,8","noteIndex":0},"citationItems":[{"id":4,"uris":["http://zotero.org/users/local/PF38rE1d/items/28SKW85L"],"uri":["http://zotero.org/users/local/PF38rE1d/items/28SKW85L"],"itemData":{"id":4,"type":"article-journal","abstract":"To compare two enoxaparin dosing strategies at achieving prophylactic anti-Xa levels in women with a body mass index (BMI) </w:instrText>
      </w:r>
      <w:r w:rsidR="00F07176">
        <w:rPr>
          <w:rFonts w:ascii="Cambria Math" w:hAnsi="Cambria Math" w:cs="Cambria Math"/>
          <w:color w:val="212529"/>
          <w:sz w:val="24"/>
          <w:szCs w:val="24"/>
          <w:shd w:val="clear" w:color="auto" w:fill="FFFFFF"/>
        </w:rPr>
        <w:instrText>⩾</w:instrText>
      </w:r>
      <w:r w:rsidR="00F07176">
        <w:rPr>
          <w:rFonts w:cstheme="minorHAnsi"/>
          <w:color w:val="212529"/>
          <w:sz w:val="24"/>
          <w:szCs w:val="24"/>
          <w:shd w:val="clear" w:color="auto" w:fill="FFFFFF"/>
        </w:rPr>
        <w:instrText xml:space="preserve">35 (kg m−2) postcesarean delivery.","container-title":"Journal of Perinatology","DOI":"10.1038/jp.2015.130","ISSN":"1476-5543","issue":"2","journalAbbreviation":"J Perinatol","language":"en","note":"Bandiera_abtest: a\nCg_type: Nature Research Journals\nnumber: 2\nPrimary_atype: Research\npublisher: Nature Publishing Group\nSubject_term: Disease prevention;Drug therapy;Surgery;Vascular diseases\nSubject_term_id: disease-prevention;drug-therapy;surgery;vascular-diseases","page":"95-99","source":"www.nature.com","title":"A randomized controlled trial of differing doses of postcesarean enoxaparin thromboprophylaxis in obese women","volume":"36","author":[{"family":"Stephenson","given":"M. L."},{"family":"Serra","given":"A. E."},{"family":"Neeper","given":"J. M."},{"family":"Caballero","given":"D. C."},{"family":"McNulty","given":"J."}],"issued":{"date-parts":[["2016",2]]}}},{"id":7,"uris":["http://zotero.org/users/local/PF38rE1d/items/V3SQAMUJ"],"uri":["http://zotero.org/users/local/PF38rE1d/items/V3SQAMUJ"],"itemData":{"id":7,"type":"article-journal","abstract":"Background: Venous thromboembolism (VTE) is a major health problem\nand common cause of morbidity and mortality in hospitalized patients. While\ntrials in both surgical and medically ill patients have demonstrated efficacy\nand safety of enoxaparin for VTE prophylaxis (VTEP), they failed to adequately\nrepresent morbidly obese (body mass index &gt; 40 kg/m2) patients.\nObjective: To assess the impact of a weight-adjusted enoxaparin\ndosing algorithm on anti–factor Xa levels, thrombosis, and bleeding in morbidly\nobese patients. Methods: A retrospective chart review was\nconducted, which included morbidly obese patients receiving VTEP with\nadjusted-dose enoxaparin. Patients received enoxaparin 0.5 mg/kg subcutaneously\nonce or twice daily based on VTE risk. An anti–factor Xa level was drawn 3 to 5\nhours after 2 or more consecutive doses. The primary outcome was the percentage\nof patients achieving target anti–factor Xa levels, defined as 0.2 to 0.6 IU/mL.\nSecondary outcomes included the incidence of symptomatic VTE and major bleeding.\nResults: Of the 182 charts reviewed, 141 anti–factor Xa levels\nfrom 130 patients met inclusion criteria. The study population was 44% male, and\nthe median body mass index was 45.6 kg/m2. A total of 120 anti–factor\nXa levels (85.1%) were within the target prophylactic range. Sixteen anti–factor\nXa levels (11.3%) were below target range, and 5 (3.4%) were above range. The\nonly significant difference among the 3 groups was baseline renal function\n(P = .035). There were 2 thromboembolic events and 1 major\nbleed in the study population. Conclusion: A weight-based VTEP\ndosing strategy for morbidly obese patients is effective without an apparent\nincrease in adverse events.","container-title":"The Journal of pharmacy technology : jPT : official publication of the Association of Pharmacy Technicians","DOI":"10.1177/8755122515593381","ISSN":"8755-1225","issue":"6","journalAbbreviation":"J Pharm Technol","note":"PMID: null\nPMCID: PMC5990203","page":"282-288","source":"PubMed Central","title":"Adjusted-Dose Enoxaparin for VTE Prevention in the Morbidly Obese","volume":"31","author":[{"family":"Parikh","given":"Saumeel"},{"family":"Jakeman","given":"Bernadette"},{"family":"Walsh","given":"Erin"},{"family":"Townsend","given":"Kelly"},{"family":"Burnett","given":"Allison"}],"issued":{"date-parts":[["2015",12]]}}}],"schema":"https://github.com/citation-style-language/schema/raw/master/csl-citation.json"} </w:instrText>
      </w:r>
      <w:r w:rsidR="00A95E30" w:rsidRPr="00034127">
        <w:rPr>
          <w:rFonts w:cstheme="minorHAnsi"/>
          <w:color w:val="212529"/>
          <w:sz w:val="24"/>
          <w:szCs w:val="24"/>
          <w:shd w:val="clear" w:color="auto" w:fill="FFFFFF"/>
        </w:rPr>
        <w:fldChar w:fldCharType="separate"/>
      </w:r>
      <w:r w:rsidR="00F07176" w:rsidRPr="00F07176">
        <w:rPr>
          <w:rFonts w:ascii="Calibri" w:hAnsi="Calibri" w:cs="Calibri"/>
          <w:sz w:val="24"/>
          <w:szCs w:val="24"/>
          <w:vertAlign w:val="superscript"/>
        </w:rPr>
        <w:t>7,8</w:t>
      </w:r>
      <w:r w:rsidR="00A95E30" w:rsidRPr="00034127">
        <w:rPr>
          <w:rFonts w:cstheme="minorHAnsi"/>
          <w:color w:val="212529"/>
          <w:sz w:val="24"/>
          <w:szCs w:val="24"/>
          <w:shd w:val="clear" w:color="auto" w:fill="FFFFFF"/>
        </w:rPr>
        <w:fldChar w:fldCharType="end"/>
      </w:r>
      <w:r w:rsidR="00894C3E" w:rsidRPr="00034127">
        <w:rPr>
          <w:rFonts w:cstheme="minorHAnsi"/>
          <w:color w:val="212529"/>
          <w:sz w:val="24"/>
          <w:szCs w:val="24"/>
          <w:shd w:val="clear" w:color="auto" w:fill="FFFFFF"/>
        </w:rPr>
        <w:t xml:space="preserve"> The studies showed that weight based dosing provided greater than 85% of Anti-</w:t>
      </w:r>
      <w:proofErr w:type="spellStart"/>
      <w:r w:rsidR="00894C3E" w:rsidRPr="00034127">
        <w:rPr>
          <w:rFonts w:cstheme="minorHAnsi"/>
          <w:color w:val="212529"/>
          <w:sz w:val="24"/>
          <w:szCs w:val="24"/>
          <w:shd w:val="clear" w:color="auto" w:fill="FFFFFF"/>
        </w:rPr>
        <w:t>Xa</w:t>
      </w:r>
      <w:proofErr w:type="spellEnd"/>
      <w:r w:rsidR="00894C3E" w:rsidRPr="00034127">
        <w:rPr>
          <w:rFonts w:cstheme="minorHAnsi"/>
          <w:color w:val="212529"/>
          <w:sz w:val="24"/>
          <w:szCs w:val="24"/>
          <w:shd w:val="clear" w:color="auto" w:fill="FFFFFF"/>
        </w:rPr>
        <w:t xml:space="preserve"> levels within the prophylactic range. Stephenson et </w:t>
      </w:r>
      <w:proofErr w:type="spellStart"/>
      <w:r w:rsidR="00894C3E" w:rsidRPr="00034127">
        <w:rPr>
          <w:rFonts w:cstheme="minorHAnsi"/>
          <w:color w:val="212529"/>
          <w:sz w:val="24"/>
          <w:szCs w:val="24"/>
          <w:shd w:val="clear" w:color="auto" w:fill="FFFFFF"/>
        </w:rPr>
        <w:t>al’s</w:t>
      </w:r>
      <w:proofErr w:type="spellEnd"/>
      <w:r w:rsidR="00894C3E" w:rsidRPr="00034127">
        <w:rPr>
          <w:rFonts w:cstheme="minorHAnsi"/>
          <w:color w:val="212529"/>
          <w:sz w:val="24"/>
          <w:szCs w:val="24"/>
          <w:shd w:val="clear" w:color="auto" w:fill="FFFFFF"/>
        </w:rPr>
        <w:t xml:space="preserve"> trial in</w:t>
      </w:r>
      <w:r w:rsidR="00781812" w:rsidRPr="00034127">
        <w:rPr>
          <w:rFonts w:cstheme="minorHAnsi"/>
          <w:color w:val="212529"/>
          <w:sz w:val="24"/>
          <w:szCs w:val="24"/>
          <w:shd w:val="clear" w:color="auto" w:fill="FFFFFF"/>
        </w:rPr>
        <w:t xml:space="preserve"> obese women</w:t>
      </w:r>
      <w:r w:rsidR="00894C3E" w:rsidRPr="00034127">
        <w:rPr>
          <w:rFonts w:cstheme="minorHAnsi"/>
          <w:color w:val="212529"/>
          <w:sz w:val="24"/>
          <w:szCs w:val="24"/>
          <w:shd w:val="clear" w:color="auto" w:fill="FFFFFF"/>
        </w:rPr>
        <w:t xml:space="preserve"> post-caesarean section </w:t>
      </w:r>
      <w:r w:rsidR="00781812" w:rsidRPr="00034127">
        <w:rPr>
          <w:rFonts w:cstheme="minorHAnsi"/>
          <w:color w:val="212529"/>
          <w:sz w:val="24"/>
          <w:szCs w:val="24"/>
          <w:shd w:val="clear" w:color="auto" w:fill="FFFFFF"/>
        </w:rPr>
        <w:t>showed that the weight based dosing of (0.5 mg/</w:t>
      </w:r>
      <w:proofErr w:type="gramStart"/>
      <w:r w:rsidR="00781812" w:rsidRPr="00034127">
        <w:rPr>
          <w:rFonts w:cstheme="minorHAnsi"/>
          <w:color w:val="212529"/>
          <w:sz w:val="24"/>
          <w:szCs w:val="24"/>
          <w:shd w:val="clear" w:color="auto" w:fill="FFFFFF"/>
        </w:rPr>
        <w:t>kg )</w:t>
      </w:r>
      <w:proofErr w:type="gramEnd"/>
      <w:r w:rsidR="00781812" w:rsidRPr="00034127">
        <w:rPr>
          <w:rFonts w:cstheme="minorHAnsi"/>
          <w:color w:val="212529"/>
          <w:sz w:val="24"/>
          <w:szCs w:val="24"/>
          <w:shd w:val="clear" w:color="auto" w:fill="FFFFFF"/>
        </w:rPr>
        <w:t xml:space="preserve"> was drastically superior to once daily dosing for keeping patients Anti-</w:t>
      </w:r>
      <w:proofErr w:type="spellStart"/>
      <w:r w:rsidR="00781812" w:rsidRPr="00034127">
        <w:rPr>
          <w:rFonts w:cstheme="minorHAnsi"/>
          <w:color w:val="212529"/>
          <w:sz w:val="24"/>
          <w:szCs w:val="24"/>
          <w:shd w:val="clear" w:color="auto" w:fill="FFFFFF"/>
        </w:rPr>
        <w:t>Xa</w:t>
      </w:r>
      <w:proofErr w:type="spellEnd"/>
      <w:r w:rsidR="00781812" w:rsidRPr="00034127">
        <w:rPr>
          <w:rFonts w:cstheme="minorHAnsi"/>
          <w:color w:val="212529"/>
          <w:sz w:val="24"/>
          <w:szCs w:val="24"/>
          <w:shd w:val="clear" w:color="auto" w:fill="FFFFFF"/>
        </w:rPr>
        <w:t xml:space="preserve"> levels within a prophylactic range (88% vs 14%, P&lt;0.001)</w:t>
      </w:r>
      <w:r w:rsidR="00AD1505" w:rsidRPr="00034127">
        <w:rPr>
          <w:rFonts w:cstheme="minorHAnsi"/>
          <w:color w:val="212529"/>
          <w:sz w:val="24"/>
          <w:szCs w:val="24"/>
          <w:shd w:val="clear" w:color="auto" w:fill="FFFFFF"/>
        </w:rPr>
        <w:t>.</w:t>
      </w:r>
      <w:r w:rsidR="00781812" w:rsidRPr="00034127">
        <w:rPr>
          <w:rFonts w:cstheme="minorHAnsi"/>
          <w:color w:val="212529"/>
          <w:sz w:val="24"/>
          <w:szCs w:val="24"/>
          <w:shd w:val="clear" w:color="auto" w:fill="FFFFFF"/>
          <w:vertAlign w:val="superscript"/>
        </w:rPr>
        <w:t>8</w:t>
      </w:r>
      <w:r w:rsidR="00781812" w:rsidRPr="00034127">
        <w:rPr>
          <w:rFonts w:cstheme="minorHAnsi"/>
          <w:color w:val="212529"/>
          <w:sz w:val="24"/>
          <w:szCs w:val="24"/>
          <w:shd w:val="clear" w:color="auto" w:fill="FFFFFF"/>
        </w:rPr>
        <w:t xml:space="preserve"> </w:t>
      </w:r>
      <w:r w:rsidR="003E2C7D" w:rsidRPr="00034127">
        <w:rPr>
          <w:rFonts w:cstheme="minorHAnsi"/>
          <w:color w:val="212529"/>
          <w:sz w:val="24"/>
          <w:szCs w:val="24"/>
          <w:shd w:val="clear" w:color="auto" w:fill="FFFFFF"/>
        </w:rPr>
        <w:t>There is little data for critically ill obese patients, especially those with varying renal function, receiving mechanical ventilation, and those receiving paralytics. These three specifically increase a patient’s risk for having complications with VTE’s or bleeding in the critical care setting.</w:t>
      </w:r>
      <w:r w:rsidR="003E2C7D" w:rsidRPr="00034127">
        <w:rPr>
          <w:rFonts w:cstheme="minorHAnsi"/>
          <w:color w:val="212529"/>
          <w:sz w:val="24"/>
          <w:szCs w:val="24"/>
          <w:shd w:val="clear" w:color="auto" w:fill="FFFFFF"/>
          <w:vertAlign w:val="superscript"/>
        </w:rPr>
        <w:t>1</w:t>
      </w:r>
      <w:r w:rsidR="003E2C7D" w:rsidRPr="00034127">
        <w:rPr>
          <w:rFonts w:cstheme="minorHAnsi"/>
          <w:color w:val="212529"/>
          <w:sz w:val="24"/>
          <w:szCs w:val="24"/>
          <w:shd w:val="clear" w:color="auto" w:fill="FFFFFF"/>
        </w:rPr>
        <w:t xml:space="preserve"> Furthermore, most of the previous studies were not powered adequately to provide definitive conclusions</w:t>
      </w:r>
      <w:r w:rsidR="003E2C7D" w:rsidRPr="00034127">
        <w:rPr>
          <w:rFonts w:cstheme="minorHAnsi"/>
          <w:color w:val="212529"/>
          <w:sz w:val="24"/>
          <w:szCs w:val="24"/>
          <w:shd w:val="clear" w:color="auto" w:fill="FFFFFF"/>
        </w:rPr>
        <w:t xml:space="preserve"> </w:t>
      </w:r>
      <w:r w:rsidR="003E2C7D" w:rsidRPr="00034127">
        <w:rPr>
          <w:rFonts w:cstheme="minorHAnsi"/>
          <w:color w:val="212529"/>
          <w:sz w:val="24"/>
          <w:szCs w:val="24"/>
          <w:shd w:val="clear" w:color="auto" w:fill="FFFFFF"/>
        </w:rPr>
        <w:t xml:space="preserve">and provided limited external validity. Given the significant risk of VTE and mortality in these patients during their hospitalization, it is important to determine optimal VTE prophylaxis dosing that is both safe and effective for these patients. </w:t>
      </w:r>
    </w:p>
    <w:p w14:paraId="61F40F2D" w14:textId="77777777" w:rsidR="00825363" w:rsidRPr="00034127" w:rsidRDefault="00825363" w:rsidP="00781812">
      <w:pPr>
        <w:pStyle w:val="NoSpacing"/>
        <w:ind w:firstLine="720"/>
        <w:rPr>
          <w:rFonts w:cstheme="minorHAnsi"/>
          <w:color w:val="212529"/>
          <w:sz w:val="24"/>
          <w:szCs w:val="24"/>
          <w:shd w:val="clear" w:color="auto" w:fill="FFFFFF"/>
        </w:rPr>
      </w:pPr>
    </w:p>
    <w:p w14:paraId="13763431" w14:textId="659D712D" w:rsidR="003E2C7D" w:rsidRPr="00034127" w:rsidRDefault="003E2C7D" w:rsidP="003E2C7D">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lastRenderedPageBreak/>
        <w:t xml:space="preserve">Our study </w:t>
      </w:r>
      <w:r w:rsidR="009A5E31" w:rsidRPr="00034127">
        <w:rPr>
          <w:rFonts w:cstheme="minorHAnsi"/>
          <w:color w:val="212529"/>
          <w:sz w:val="24"/>
          <w:szCs w:val="24"/>
          <w:shd w:val="clear" w:color="auto" w:fill="FFFFFF"/>
        </w:rPr>
        <w:t>plans</w:t>
      </w:r>
      <w:r w:rsidRPr="00034127">
        <w:rPr>
          <w:rFonts w:cstheme="minorHAnsi"/>
          <w:color w:val="212529"/>
          <w:sz w:val="24"/>
          <w:szCs w:val="24"/>
          <w:shd w:val="clear" w:color="auto" w:fill="FFFFFF"/>
        </w:rPr>
        <w:t xml:space="preserve"> to compare specific weight based LMWH dosing to the </w:t>
      </w:r>
      <w:r w:rsidR="001A5255" w:rsidRPr="00034127">
        <w:rPr>
          <w:rFonts w:cstheme="minorHAnsi"/>
          <w:color w:val="212529"/>
          <w:sz w:val="24"/>
          <w:szCs w:val="24"/>
          <w:shd w:val="clear" w:color="auto" w:fill="FFFFFF"/>
        </w:rPr>
        <w:t>standard</w:t>
      </w:r>
      <w:r w:rsidRPr="00034127">
        <w:rPr>
          <w:rFonts w:cstheme="minorHAnsi"/>
          <w:color w:val="212529"/>
          <w:sz w:val="24"/>
          <w:szCs w:val="24"/>
          <w:shd w:val="clear" w:color="auto" w:fill="FFFFFF"/>
        </w:rPr>
        <w:t xml:space="preserve"> twice daily dosing that has become more common in obese adult patients. The primary outcome will be rates of clinically significant VTE’s in critical ill patients with secondary outcomes focusing on percent of therapeutic anti-</w:t>
      </w:r>
      <w:proofErr w:type="spellStart"/>
      <w:r w:rsidRPr="00034127">
        <w:rPr>
          <w:rFonts w:cstheme="minorHAnsi"/>
          <w:color w:val="212529"/>
          <w:sz w:val="24"/>
          <w:szCs w:val="24"/>
          <w:shd w:val="clear" w:color="auto" w:fill="FFFFFF"/>
        </w:rPr>
        <w:t>Xa</w:t>
      </w:r>
      <w:proofErr w:type="spellEnd"/>
      <w:r w:rsidRPr="00034127">
        <w:rPr>
          <w:rFonts w:cstheme="minorHAnsi"/>
          <w:color w:val="212529"/>
          <w:sz w:val="24"/>
          <w:szCs w:val="24"/>
          <w:shd w:val="clear" w:color="auto" w:fill="FFFFFF"/>
        </w:rPr>
        <w:t xml:space="preserve"> levels, episodes of bleeding, overall mortality, and hospital length of stay. Given that renal function can be variable in this patient population, we </w:t>
      </w:r>
      <w:r w:rsidR="009A5E31" w:rsidRPr="00034127">
        <w:rPr>
          <w:rFonts w:cstheme="minorHAnsi"/>
          <w:color w:val="212529"/>
          <w:sz w:val="24"/>
          <w:szCs w:val="24"/>
          <w:shd w:val="clear" w:color="auto" w:fill="FFFFFF"/>
        </w:rPr>
        <w:t>plan</w:t>
      </w:r>
      <w:r w:rsidRPr="00034127">
        <w:rPr>
          <w:rFonts w:cstheme="minorHAnsi"/>
          <w:color w:val="212529"/>
          <w:sz w:val="24"/>
          <w:szCs w:val="24"/>
          <w:shd w:val="clear" w:color="auto" w:fill="FFFFFF"/>
        </w:rPr>
        <w:t xml:space="preserve"> to stratify based on creatinine clearance which will provide greater generalizability to critical ill patients. </w:t>
      </w:r>
      <w:r w:rsidR="009A5E31" w:rsidRPr="00034127">
        <w:rPr>
          <w:rFonts w:cstheme="minorHAnsi"/>
          <w:color w:val="212529"/>
          <w:sz w:val="24"/>
          <w:szCs w:val="24"/>
          <w:shd w:val="clear" w:color="auto" w:fill="FFFFFF"/>
        </w:rPr>
        <w:t xml:space="preserve">This study will </w:t>
      </w:r>
      <w:r w:rsidRPr="00034127">
        <w:rPr>
          <w:rFonts w:cstheme="minorHAnsi"/>
          <w:color w:val="212529"/>
          <w:sz w:val="24"/>
          <w:szCs w:val="24"/>
          <w:shd w:val="clear" w:color="auto" w:fill="FFFFFF"/>
        </w:rPr>
        <w:t xml:space="preserve">provide more insight into optimal dosing for critically ill obese adult patients, and ultimately provide evidence for future updates to clinical guidelines. </w:t>
      </w:r>
    </w:p>
    <w:p w14:paraId="449018D1" w14:textId="77777777" w:rsidR="003E2C7D" w:rsidRPr="00034127" w:rsidRDefault="003E2C7D" w:rsidP="003E2C7D">
      <w:pPr>
        <w:pStyle w:val="NoSpacing"/>
        <w:rPr>
          <w:rFonts w:cstheme="minorHAnsi"/>
          <w:color w:val="212529"/>
          <w:sz w:val="24"/>
          <w:szCs w:val="24"/>
          <w:shd w:val="clear" w:color="auto" w:fill="FFFFFF"/>
        </w:rPr>
      </w:pPr>
    </w:p>
    <w:p w14:paraId="6714E363" w14:textId="56A23192" w:rsidR="003E2C7D" w:rsidRPr="00034127" w:rsidRDefault="00744A31" w:rsidP="003E2C7D">
      <w:pPr>
        <w:pStyle w:val="NoSpacing"/>
        <w:rPr>
          <w:rFonts w:cstheme="minorHAnsi"/>
          <w:b/>
          <w:bCs/>
          <w:color w:val="212529"/>
          <w:sz w:val="24"/>
          <w:szCs w:val="24"/>
          <w:u w:val="single"/>
          <w:shd w:val="clear" w:color="auto" w:fill="FFFFFF"/>
        </w:rPr>
      </w:pPr>
      <w:r w:rsidRPr="00034127">
        <w:rPr>
          <w:rFonts w:cstheme="minorHAnsi"/>
          <w:b/>
          <w:bCs/>
          <w:color w:val="212529"/>
          <w:sz w:val="24"/>
          <w:szCs w:val="24"/>
          <w:u w:val="single"/>
          <w:shd w:val="clear" w:color="auto" w:fill="FFFFFF"/>
        </w:rPr>
        <w:t xml:space="preserve">Study </w:t>
      </w:r>
      <w:r w:rsidR="003E2C7D" w:rsidRPr="00034127">
        <w:rPr>
          <w:rFonts w:cstheme="minorHAnsi"/>
          <w:b/>
          <w:bCs/>
          <w:color w:val="212529"/>
          <w:sz w:val="24"/>
          <w:szCs w:val="24"/>
          <w:u w:val="single"/>
          <w:shd w:val="clear" w:color="auto" w:fill="FFFFFF"/>
        </w:rPr>
        <w:t>Design</w:t>
      </w:r>
      <w:r w:rsidR="00403E8F" w:rsidRPr="00034127">
        <w:rPr>
          <w:rFonts w:cstheme="minorHAnsi"/>
          <w:b/>
          <w:bCs/>
          <w:color w:val="212529"/>
          <w:sz w:val="24"/>
          <w:szCs w:val="24"/>
          <w:u w:val="single"/>
          <w:shd w:val="clear" w:color="auto" w:fill="FFFFFF"/>
        </w:rPr>
        <w:t xml:space="preserve"> and Methods</w:t>
      </w:r>
      <w:r w:rsidR="003E2C7D" w:rsidRPr="00034127">
        <w:rPr>
          <w:rFonts w:cstheme="minorHAnsi"/>
          <w:b/>
          <w:bCs/>
          <w:color w:val="212529"/>
          <w:sz w:val="24"/>
          <w:szCs w:val="24"/>
          <w:u w:val="single"/>
          <w:shd w:val="clear" w:color="auto" w:fill="FFFFFF"/>
        </w:rPr>
        <w:t>:</w:t>
      </w:r>
    </w:p>
    <w:p w14:paraId="27644886" w14:textId="77777777" w:rsidR="003E2C7D" w:rsidRPr="00034127" w:rsidRDefault="003E2C7D" w:rsidP="003E2C7D">
      <w:pPr>
        <w:pStyle w:val="NoSpacing"/>
        <w:rPr>
          <w:rFonts w:cstheme="minorHAnsi"/>
          <w:color w:val="212529"/>
          <w:sz w:val="24"/>
          <w:szCs w:val="24"/>
          <w:shd w:val="clear" w:color="auto" w:fill="FFFFFF"/>
        </w:rPr>
      </w:pPr>
      <w:r w:rsidRPr="00034127">
        <w:rPr>
          <w:rFonts w:cstheme="minorHAnsi"/>
          <w:color w:val="212529"/>
          <w:sz w:val="24"/>
          <w:szCs w:val="24"/>
          <w:shd w:val="clear" w:color="auto" w:fill="FFFFFF"/>
        </w:rPr>
        <w:tab/>
      </w:r>
    </w:p>
    <w:p w14:paraId="350B8E12" w14:textId="63544E8F" w:rsidR="001A5255" w:rsidRPr="00034127" w:rsidRDefault="003E2C7D" w:rsidP="003E2C7D">
      <w:pPr>
        <w:pStyle w:val="NoSpacing"/>
        <w:rPr>
          <w:rFonts w:cstheme="minorHAnsi"/>
          <w:color w:val="212529"/>
          <w:sz w:val="24"/>
          <w:szCs w:val="24"/>
          <w:shd w:val="clear" w:color="auto" w:fill="FFFFFF"/>
        </w:rPr>
      </w:pPr>
      <w:r w:rsidRPr="00034127">
        <w:rPr>
          <w:rFonts w:cstheme="minorHAnsi"/>
          <w:color w:val="212529"/>
          <w:sz w:val="24"/>
          <w:szCs w:val="24"/>
          <w:shd w:val="clear" w:color="auto" w:fill="FFFFFF"/>
        </w:rPr>
        <w:tab/>
        <w:t xml:space="preserve">The study will be a retrospective cohort focusing on critically ill adult obese patients that have been admitted to one of the UCSF intensive care units over the past </w:t>
      </w:r>
      <w:r w:rsidR="001A5255" w:rsidRPr="00034127">
        <w:rPr>
          <w:rFonts w:cstheme="minorHAnsi"/>
          <w:color w:val="212529"/>
          <w:sz w:val="24"/>
          <w:szCs w:val="24"/>
          <w:shd w:val="clear" w:color="auto" w:fill="FFFFFF"/>
        </w:rPr>
        <w:t>3 year</w:t>
      </w:r>
      <w:r w:rsidR="00744A31" w:rsidRPr="00034127">
        <w:rPr>
          <w:rFonts w:cstheme="minorHAnsi"/>
          <w:color w:val="212529"/>
          <w:sz w:val="24"/>
          <w:szCs w:val="24"/>
          <w:shd w:val="clear" w:color="auto" w:fill="FFFFFF"/>
        </w:rPr>
        <w:t>s</w:t>
      </w:r>
      <w:r w:rsidR="00F7388E" w:rsidRPr="00034127">
        <w:rPr>
          <w:rFonts w:cstheme="minorHAnsi"/>
          <w:color w:val="212529"/>
          <w:sz w:val="24"/>
          <w:szCs w:val="24"/>
          <w:shd w:val="clear" w:color="auto" w:fill="FFFFFF"/>
        </w:rPr>
        <w:t>.</w:t>
      </w:r>
      <w:r w:rsidRPr="00034127">
        <w:rPr>
          <w:rFonts w:cstheme="minorHAnsi"/>
          <w:color w:val="212529"/>
          <w:sz w:val="24"/>
          <w:szCs w:val="24"/>
          <w:shd w:val="clear" w:color="auto" w:fill="FFFFFF"/>
        </w:rPr>
        <w:t xml:space="preserve"> We will use the electronic health record and perform retrospective chart reviews looking for </w:t>
      </w:r>
      <w:r w:rsidR="001A5255" w:rsidRPr="00034127">
        <w:rPr>
          <w:rFonts w:cstheme="minorHAnsi"/>
          <w:color w:val="212529"/>
          <w:sz w:val="24"/>
          <w:szCs w:val="24"/>
          <w:shd w:val="clear" w:color="auto" w:fill="FFFFFF"/>
        </w:rPr>
        <w:t>clinical data (Anti-</w:t>
      </w:r>
      <w:proofErr w:type="spellStart"/>
      <w:r w:rsidR="001A5255" w:rsidRPr="00034127">
        <w:rPr>
          <w:rFonts w:cstheme="minorHAnsi"/>
          <w:color w:val="212529"/>
          <w:sz w:val="24"/>
          <w:szCs w:val="24"/>
          <w:shd w:val="clear" w:color="auto" w:fill="FFFFFF"/>
        </w:rPr>
        <w:t>Xa</w:t>
      </w:r>
      <w:proofErr w:type="spellEnd"/>
      <w:r w:rsidR="001A5255" w:rsidRPr="00034127">
        <w:rPr>
          <w:rFonts w:cstheme="minorHAnsi"/>
          <w:color w:val="212529"/>
          <w:sz w:val="24"/>
          <w:szCs w:val="24"/>
          <w:shd w:val="clear" w:color="auto" w:fill="FFFFFF"/>
        </w:rPr>
        <w:t xml:space="preserve"> levels, documentation of VTE’s, major bleeding episodes) to assess these two dosing regimens. Data for all outcomes will be assessed using statistical analysis once it is retrieved via chart review. </w:t>
      </w:r>
      <w:r w:rsidR="00744A31" w:rsidRPr="00034127">
        <w:rPr>
          <w:rFonts w:cstheme="minorHAnsi"/>
          <w:color w:val="212529"/>
          <w:sz w:val="24"/>
          <w:szCs w:val="24"/>
          <w:shd w:val="clear" w:color="auto" w:fill="FFFFFF"/>
        </w:rPr>
        <w:t xml:space="preserve">The planned control will be patients treated with standard dosing or 40 mg BID and we will stratify patients based on background characteristics. </w:t>
      </w:r>
    </w:p>
    <w:p w14:paraId="4961E8DE" w14:textId="77777777" w:rsidR="003E2C7D" w:rsidRPr="00034127" w:rsidRDefault="003E2C7D" w:rsidP="003E2C7D">
      <w:pPr>
        <w:pStyle w:val="NoSpacing"/>
        <w:rPr>
          <w:rFonts w:cstheme="minorHAnsi"/>
          <w:color w:val="212529"/>
          <w:sz w:val="24"/>
          <w:szCs w:val="24"/>
          <w:shd w:val="clear" w:color="auto" w:fill="FFFFFF"/>
        </w:rPr>
      </w:pPr>
    </w:p>
    <w:p w14:paraId="4C2F72ED" w14:textId="3E88067E" w:rsidR="003E2C7D" w:rsidRPr="00034127" w:rsidRDefault="00744A31" w:rsidP="003E2C7D">
      <w:pPr>
        <w:pStyle w:val="NoSpacing"/>
        <w:rPr>
          <w:rFonts w:cstheme="minorHAnsi"/>
          <w:i/>
          <w:iCs/>
          <w:color w:val="212529"/>
          <w:sz w:val="24"/>
          <w:szCs w:val="24"/>
          <w:shd w:val="clear" w:color="auto" w:fill="FFFFFF"/>
        </w:rPr>
      </w:pPr>
      <w:r w:rsidRPr="00034127">
        <w:rPr>
          <w:rFonts w:cstheme="minorHAnsi"/>
          <w:i/>
          <w:iCs/>
          <w:color w:val="212529"/>
          <w:sz w:val="24"/>
          <w:szCs w:val="24"/>
          <w:shd w:val="clear" w:color="auto" w:fill="FFFFFF"/>
        </w:rPr>
        <w:t>Study Subjects</w:t>
      </w:r>
      <w:r w:rsidR="003E2C7D" w:rsidRPr="00034127">
        <w:rPr>
          <w:rFonts w:cstheme="minorHAnsi"/>
          <w:i/>
          <w:iCs/>
          <w:color w:val="212529"/>
          <w:sz w:val="24"/>
          <w:szCs w:val="24"/>
          <w:shd w:val="clear" w:color="auto" w:fill="FFFFFF"/>
        </w:rPr>
        <w:t xml:space="preserve">: </w:t>
      </w:r>
    </w:p>
    <w:p w14:paraId="036DDEAD" w14:textId="77777777" w:rsidR="00744A31" w:rsidRPr="00034127" w:rsidRDefault="00744A31" w:rsidP="003E2C7D">
      <w:pPr>
        <w:pStyle w:val="NoSpacing"/>
        <w:rPr>
          <w:rFonts w:cstheme="minorHAnsi"/>
          <w:b/>
          <w:bCs/>
          <w:color w:val="212529"/>
          <w:sz w:val="24"/>
          <w:szCs w:val="24"/>
          <w:u w:val="single"/>
          <w:shd w:val="clear" w:color="auto" w:fill="FFFFFF"/>
        </w:rPr>
      </w:pPr>
    </w:p>
    <w:p w14:paraId="41F76729" w14:textId="07DE655F" w:rsidR="00F7388E" w:rsidRDefault="003E2C7D" w:rsidP="003E2C7D">
      <w:pPr>
        <w:pStyle w:val="NoSpacing"/>
        <w:rPr>
          <w:rFonts w:cstheme="minorHAnsi"/>
          <w:color w:val="212529"/>
          <w:sz w:val="24"/>
          <w:szCs w:val="24"/>
          <w:shd w:val="clear" w:color="auto" w:fill="FFFFFF"/>
        </w:rPr>
      </w:pPr>
      <w:r w:rsidRPr="00034127">
        <w:rPr>
          <w:rFonts w:cstheme="minorHAnsi"/>
          <w:color w:val="212529"/>
          <w:sz w:val="24"/>
          <w:szCs w:val="24"/>
          <w:shd w:val="clear" w:color="auto" w:fill="FFFFFF"/>
        </w:rPr>
        <w:tab/>
        <w:t xml:space="preserve">In our study the target population is all critically ill adult obese patients, but </w:t>
      </w:r>
      <w:r w:rsidR="009A5E31" w:rsidRPr="00034127">
        <w:rPr>
          <w:rFonts w:cstheme="minorHAnsi"/>
          <w:color w:val="212529"/>
          <w:sz w:val="24"/>
          <w:szCs w:val="24"/>
          <w:shd w:val="clear" w:color="auto" w:fill="FFFFFF"/>
        </w:rPr>
        <w:t xml:space="preserve">our goal is </w:t>
      </w:r>
      <w:r w:rsidRPr="00034127">
        <w:rPr>
          <w:rFonts w:cstheme="minorHAnsi"/>
          <w:color w:val="212529"/>
          <w:sz w:val="24"/>
          <w:szCs w:val="24"/>
          <w:shd w:val="clear" w:color="auto" w:fill="FFFFFF"/>
        </w:rPr>
        <w:t xml:space="preserve">that our data helps with DVT prophylaxis for all obese adult patients during any hospitalization. </w:t>
      </w:r>
      <w:r w:rsidR="009A5E31" w:rsidRPr="00034127">
        <w:rPr>
          <w:rFonts w:cstheme="minorHAnsi"/>
          <w:color w:val="212529"/>
          <w:sz w:val="24"/>
          <w:szCs w:val="24"/>
          <w:shd w:val="clear" w:color="auto" w:fill="FFFFFF"/>
        </w:rPr>
        <w:t>This study will give insight</w:t>
      </w:r>
      <w:r w:rsidRPr="00034127">
        <w:rPr>
          <w:rFonts w:cstheme="minorHAnsi"/>
          <w:color w:val="212529"/>
          <w:sz w:val="24"/>
          <w:szCs w:val="24"/>
          <w:shd w:val="clear" w:color="auto" w:fill="FFFFFF"/>
        </w:rPr>
        <w:t xml:space="preserve"> </w:t>
      </w:r>
      <w:r w:rsidR="009A5E31" w:rsidRPr="00034127">
        <w:rPr>
          <w:rFonts w:cstheme="minorHAnsi"/>
          <w:color w:val="212529"/>
          <w:sz w:val="24"/>
          <w:szCs w:val="24"/>
          <w:shd w:val="clear" w:color="auto" w:fill="FFFFFF"/>
        </w:rPr>
        <w:t xml:space="preserve">on how to </w:t>
      </w:r>
      <w:r w:rsidRPr="00034127">
        <w:rPr>
          <w:rFonts w:cstheme="minorHAnsi"/>
          <w:color w:val="212529"/>
          <w:sz w:val="24"/>
          <w:szCs w:val="24"/>
          <w:shd w:val="clear" w:color="auto" w:fill="FFFFFF"/>
        </w:rPr>
        <w:t>optimally dose patients with enoxaparin and provide the best possible efficacy despite variable subcutaneous absorption in this patient population. The accessible population is all critically ill adult obese patients that visited a critical care unit in the UCSF system. From there our study population will be those who fit the inclusion criteria outlined below.</w:t>
      </w:r>
    </w:p>
    <w:p w14:paraId="79E3AB8D" w14:textId="77777777" w:rsidR="00825363" w:rsidRPr="00034127" w:rsidRDefault="00825363" w:rsidP="003E2C7D">
      <w:pPr>
        <w:pStyle w:val="NoSpacing"/>
        <w:rPr>
          <w:rFonts w:cstheme="minorHAnsi"/>
          <w:color w:val="212529"/>
          <w:sz w:val="24"/>
          <w:szCs w:val="24"/>
          <w:shd w:val="clear" w:color="auto" w:fill="FFFFFF"/>
        </w:rPr>
      </w:pPr>
    </w:p>
    <w:p w14:paraId="502A8A98" w14:textId="5C230C43" w:rsidR="00744A31" w:rsidRDefault="003E2C7D" w:rsidP="003E2C7D">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t xml:space="preserve">Inclusion criteria will be adult patients greater than 18 years of age with a BMI of greater than or equal to 35 who stayed more than 24 hours in one of the UCSF Parnassus hospitals ICU and received prophylactic enoxaparin dosing. </w:t>
      </w:r>
      <w:r w:rsidR="00744A31" w:rsidRPr="00034127">
        <w:rPr>
          <w:rFonts w:cstheme="minorHAnsi"/>
          <w:color w:val="212529"/>
          <w:sz w:val="24"/>
          <w:szCs w:val="24"/>
          <w:shd w:val="clear" w:color="auto" w:fill="FFFFFF"/>
        </w:rPr>
        <w:t>The</w:t>
      </w:r>
      <w:r w:rsidRPr="00034127">
        <w:rPr>
          <w:rFonts w:cstheme="minorHAnsi"/>
          <w:color w:val="212529"/>
          <w:sz w:val="24"/>
          <w:szCs w:val="24"/>
          <w:shd w:val="clear" w:color="auto" w:fill="FFFFFF"/>
        </w:rPr>
        <w:t xml:space="preserve"> patients must also have had at least 1 anti-</w:t>
      </w:r>
      <w:proofErr w:type="spellStart"/>
      <w:r w:rsidRPr="00034127">
        <w:rPr>
          <w:rFonts w:cstheme="minorHAnsi"/>
          <w:color w:val="212529"/>
          <w:sz w:val="24"/>
          <w:szCs w:val="24"/>
          <w:shd w:val="clear" w:color="auto" w:fill="FFFFFF"/>
        </w:rPr>
        <w:t>Xa</w:t>
      </w:r>
      <w:proofErr w:type="spellEnd"/>
      <w:r w:rsidRPr="00034127">
        <w:rPr>
          <w:rFonts w:cstheme="minorHAnsi"/>
          <w:color w:val="212529"/>
          <w:sz w:val="24"/>
          <w:szCs w:val="24"/>
          <w:shd w:val="clear" w:color="auto" w:fill="FFFFFF"/>
        </w:rPr>
        <w:t xml:space="preserve"> level drawn during their ICU stay. </w:t>
      </w:r>
      <w:r w:rsidR="00744A31" w:rsidRPr="00034127">
        <w:rPr>
          <w:rFonts w:cstheme="minorHAnsi"/>
          <w:color w:val="212529"/>
          <w:sz w:val="24"/>
          <w:szCs w:val="24"/>
          <w:shd w:val="clear" w:color="auto" w:fill="FFFFFF"/>
        </w:rPr>
        <w:t>It is important to assess a</w:t>
      </w:r>
      <w:r w:rsidRPr="00034127">
        <w:rPr>
          <w:rFonts w:cstheme="minorHAnsi"/>
          <w:color w:val="212529"/>
          <w:sz w:val="24"/>
          <w:szCs w:val="24"/>
          <w:shd w:val="clear" w:color="auto" w:fill="FFFFFF"/>
        </w:rPr>
        <w:t>nti-</w:t>
      </w:r>
      <w:proofErr w:type="spellStart"/>
      <w:r w:rsidR="00744A31" w:rsidRPr="00034127">
        <w:rPr>
          <w:rFonts w:cstheme="minorHAnsi"/>
          <w:color w:val="212529"/>
          <w:sz w:val="24"/>
          <w:szCs w:val="24"/>
          <w:shd w:val="clear" w:color="auto" w:fill="FFFFFF"/>
        </w:rPr>
        <w:t>x</w:t>
      </w:r>
      <w:r w:rsidRPr="00034127">
        <w:rPr>
          <w:rFonts w:cstheme="minorHAnsi"/>
          <w:color w:val="212529"/>
          <w:sz w:val="24"/>
          <w:szCs w:val="24"/>
          <w:shd w:val="clear" w:color="auto" w:fill="FFFFFF"/>
        </w:rPr>
        <w:t>a</w:t>
      </w:r>
      <w:proofErr w:type="spellEnd"/>
      <w:r w:rsidRPr="00034127">
        <w:rPr>
          <w:rFonts w:cstheme="minorHAnsi"/>
          <w:color w:val="212529"/>
          <w:sz w:val="24"/>
          <w:szCs w:val="24"/>
          <w:shd w:val="clear" w:color="auto" w:fill="FFFFFF"/>
        </w:rPr>
        <w:t xml:space="preserve"> levels drawn because it will provide data for our secondary outcomes</w:t>
      </w:r>
      <w:r w:rsidR="00744A31" w:rsidRPr="00034127">
        <w:rPr>
          <w:rFonts w:cstheme="minorHAnsi"/>
          <w:color w:val="212529"/>
          <w:sz w:val="24"/>
          <w:szCs w:val="24"/>
          <w:shd w:val="clear" w:color="auto" w:fill="FFFFFF"/>
        </w:rPr>
        <w:t>.</w:t>
      </w:r>
    </w:p>
    <w:p w14:paraId="479A5C94" w14:textId="77777777" w:rsidR="00825363" w:rsidRPr="00034127" w:rsidRDefault="00825363" w:rsidP="003E2C7D">
      <w:pPr>
        <w:pStyle w:val="NoSpacing"/>
        <w:ind w:firstLine="720"/>
        <w:rPr>
          <w:rFonts w:cstheme="minorHAnsi"/>
          <w:color w:val="212529"/>
          <w:sz w:val="24"/>
          <w:szCs w:val="24"/>
          <w:shd w:val="clear" w:color="auto" w:fill="FFFFFF"/>
        </w:rPr>
      </w:pPr>
    </w:p>
    <w:p w14:paraId="56FFAD2C" w14:textId="68010A99" w:rsidR="00F7388E" w:rsidRDefault="003E2C7D" w:rsidP="00040414">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t xml:space="preserve">  </w:t>
      </w:r>
      <w:r w:rsidR="00744A31" w:rsidRPr="00034127">
        <w:rPr>
          <w:rFonts w:cstheme="minorHAnsi"/>
          <w:color w:val="212529"/>
          <w:sz w:val="24"/>
          <w:szCs w:val="24"/>
          <w:shd w:val="clear" w:color="auto" w:fill="FFFFFF"/>
        </w:rPr>
        <w:t xml:space="preserve">Exclusion criteria include </w:t>
      </w:r>
      <w:r w:rsidRPr="00034127">
        <w:rPr>
          <w:rFonts w:cstheme="minorHAnsi"/>
          <w:color w:val="212529"/>
          <w:sz w:val="24"/>
          <w:szCs w:val="24"/>
          <w:shd w:val="clear" w:color="auto" w:fill="FFFFFF"/>
        </w:rPr>
        <w:t xml:space="preserve">patients that have an indication for therapeutic anticoagulation, are currently receiving therapeutic anticoagulation, have a diagnosed bleeding or clotting disorder (Hemophilia, Von </w:t>
      </w:r>
      <w:proofErr w:type="spellStart"/>
      <w:r w:rsidRPr="00034127">
        <w:rPr>
          <w:rFonts w:cstheme="minorHAnsi"/>
          <w:color w:val="212529"/>
          <w:sz w:val="24"/>
          <w:szCs w:val="24"/>
          <w:shd w:val="clear" w:color="auto" w:fill="FFFFFF"/>
        </w:rPr>
        <w:t>Willebrands</w:t>
      </w:r>
      <w:proofErr w:type="spellEnd"/>
      <w:r w:rsidRPr="00034127">
        <w:rPr>
          <w:rFonts w:cstheme="minorHAnsi"/>
          <w:color w:val="212529"/>
          <w:sz w:val="24"/>
          <w:szCs w:val="24"/>
          <w:shd w:val="clear" w:color="auto" w:fill="FFFFFF"/>
        </w:rPr>
        <w:t xml:space="preserve">, </w:t>
      </w:r>
      <w:proofErr w:type="spellStart"/>
      <w:r w:rsidRPr="00034127">
        <w:rPr>
          <w:rFonts w:cstheme="minorHAnsi"/>
          <w:color w:val="212529"/>
          <w:sz w:val="24"/>
          <w:szCs w:val="24"/>
          <w:shd w:val="clear" w:color="auto" w:fill="FFFFFF"/>
        </w:rPr>
        <w:t>etc</w:t>
      </w:r>
      <w:proofErr w:type="spellEnd"/>
      <w:r w:rsidRPr="00034127">
        <w:rPr>
          <w:rFonts w:cstheme="minorHAnsi"/>
          <w:color w:val="212529"/>
          <w:sz w:val="24"/>
          <w:szCs w:val="24"/>
          <w:shd w:val="clear" w:color="auto" w:fill="FFFFFF"/>
        </w:rPr>
        <w:t>) or have been diagnosed with COVID in the past 90 days</w:t>
      </w:r>
      <w:r w:rsidR="00F7388E" w:rsidRPr="00034127">
        <w:rPr>
          <w:rFonts w:cstheme="minorHAnsi"/>
          <w:color w:val="212529"/>
          <w:sz w:val="24"/>
          <w:szCs w:val="24"/>
          <w:shd w:val="clear" w:color="auto" w:fill="FFFFFF"/>
        </w:rPr>
        <w:t>.</w:t>
      </w:r>
      <w:r w:rsidRPr="00034127">
        <w:rPr>
          <w:rFonts w:cstheme="minorHAnsi"/>
          <w:color w:val="212529"/>
          <w:sz w:val="24"/>
          <w:szCs w:val="24"/>
          <w:shd w:val="clear" w:color="auto" w:fill="FFFFFF"/>
        </w:rPr>
        <w:t xml:space="preserve"> </w:t>
      </w:r>
      <w:r w:rsidR="00744A31" w:rsidRPr="00034127">
        <w:rPr>
          <w:rFonts w:cstheme="minorHAnsi"/>
          <w:color w:val="212529"/>
          <w:sz w:val="24"/>
          <w:szCs w:val="24"/>
          <w:shd w:val="clear" w:color="auto" w:fill="FFFFFF"/>
        </w:rPr>
        <w:t>We plan to exclude patients with</w:t>
      </w:r>
      <w:r w:rsidRPr="00034127">
        <w:rPr>
          <w:rFonts w:cstheme="minorHAnsi"/>
          <w:color w:val="212529"/>
          <w:sz w:val="24"/>
          <w:szCs w:val="24"/>
          <w:shd w:val="clear" w:color="auto" w:fill="FFFFFF"/>
        </w:rPr>
        <w:t xml:space="preserve"> allerg</w:t>
      </w:r>
      <w:r w:rsidR="00744A31" w:rsidRPr="00034127">
        <w:rPr>
          <w:rFonts w:cstheme="minorHAnsi"/>
          <w:color w:val="212529"/>
          <w:sz w:val="24"/>
          <w:szCs w:val="24"/>
          <w:shd w:val="clear" w:color="auto" w:fill="FFFFFF"/>
        </w:rPr>
        <w:t>ies</w:t>
      </w:r>
      <w:r w:rsidRPr="00034127">
        <w:rPr>
          <w:rFonts w:cstheme="minorHAnsi"/>
          <w:color w:val="212529"/>
          <w:sz w:val="24"/>
          <w:szCs w:val="24"/>
          <w:shd w:val="clear" w:color="auto" w:fill="FFFFFF"/>
        </w:rPr>
        <w:t xml:space="preserve"> to heparin product</w:t>
      </w:r>
      <w:r w:rsidR="00744A31" w:rsidRPr="00034127">
        <w:rPr>
          <w:rFonts w:cstheme="minorHAnsi"/>
          <w:color w:val="212529"/>
          <w:sz w:val="24"/>
          <w:szCs w:val="24"/>
          <w:shd w:val="clear" w:color="auto" w:fill="FFFFFF"/>
        </w:rPr>
        <w:t>s</w:t>
      </w:r>
      <w:r w:rsidRPr="00034127">
        <w:rPr>
          <w:rFonts w:cstheme="minorHAnsi"/>
          <w:color w:val="212529"/>
          <w:sz w:val="24"/>
          <w:szCs w:val="24"/>
          <w:shd w:val="clear" w:color="auto" w:fill="FFFFFF"/>
        </w:rPr>
        <w:t xml:space="preserve">, or any documentation of heparin induced thrombocytopenia. We </w:t>
      </w:r>
      <w:r w:rsidR="00744A31" w:rsidRPr="00034127">
        <w:rPr>
          <w:rFonts w:cstheme="minorHAnsi"/>
          <w:color w:val="212529"/>
          <w:sz w:val="24"/>
          <w:szCs w:val="24"/>
          <w:shd w:val="clear" w:color="auto" w:fill="FFFFFF"/>
        </w:rPr>
        <w:t>will also</w:t>
      </w:r>
      <w:r w:rsidRPr="00034127">
        <w:rPr>
          <w:rFonts w:cstheme="minorHAnsi"/>
          <w:color w:val="212529"/>
          <w:sz w:val="24"/>
          <w:szCs w:val="24"/>
          <w:shd w:val="clear" w:color="auto" w:fill="FFFFFF"/>
        </w:rPr>
        <w:t xml:space="preserve"> exclude patients with liver failure or who recently received</w:t>
      </w:r>
      <w:r w:rsidR="00744A31" w:rsidRPr="00034127">
        <w:rPr>
          <w:rFonts w:cstheme="minorHAnsi"/>
          <w:color w:val="212529"/>
          <w:sz w:val="24"/>
          <w:szCs w:val="24"/>
          <w:shd w:val="clear" w:color="auto" w:fill="FFFFFF"/>
        </w:rPr>
        <w:t xml:space="preserve"> a</w:t>
      </w:r>
      <w:r w:rsidRPr="00034127">
        <w:rPr>
          <w:rFonts w:cstheme="minorHAnsi"/>
          <w:color w:val="212529"/>
          <w:sz w:val="24"/>
          <w:szCs w:val="24"/>
          <w:shd w:val="clear" w:color="auto" w:fill="FFFFFF"/>
        </w:rPr>
        <w:t xml:space="preserve"> liver transplant due to increased risk of bleeding and abnormal clotting factors.  </w:t>
      </w:r>
      <w:r w:rsidR="00744A31" w:rsidRPr="00034127">
        <w:rPr>
          <w:rFonts w:cstheme="minorHAnsi"/>
          <w:color w:val="212529"/>
          <w:sz w:val="24"/>
          <w:szCs w:val="24"/>
          <w:shd w:val="clear" w:color="auto" w:fill="FFFFFF"/>
        </w:rPr>
        <w:t>B</w:t>
      </w:r>
      <w:r w:rsidRPr="00034127">
        <w:rPr>
          <w:rFonts w:cstheme="minorHAnsi"/>
          <w:color w:val="212529"/>
          <w:sz w:val="24"/>
          <w:szCs w:val="24"/>
          <w:shd w:val="clear" w:color="auto" w:fill="FFFFFF"/>
        </w:rPr>
        <w:t xml:space="preserve">y excluding these </w:t>
      </w:r>
      <w:r w:rsidR="00825363" w:rsidRPr="00034127">
        <w:rPr>
          <w:rFonts w:cstheme="minorHAnsi"/>
          <w:color w:val="212529"/>
          <w:sz w:val="24"/>
          <w:szCs w:val="24"/>
          <w:shd w:val="clear" w:color="auto" w:fill="FFFFFF"/>
        </w:rPr>
        <w:t>patients,</w:t>
      </w:r>
      <w:r w:rsidRPr="00034127">
        <w:rPr>
          <w:rFonts w:cstheme="minorHAnsi"/>
          <w:color w:val="212529"/>
          <w:sz w:val="24"/>
          <w:szCs w:val="24"/>
          <w:shd w:val="clear" w:color="auto" w:fill="FFFFFF"/>
        </w:rPr>
        <w:t xml:space="preserve"> we will </w:t>
      </w:r>
      <w:r w:rsidR="00825363">
        <w:rPr>
          <w:rFonts w:cstheme="minorHAnsi"/>
          <w:color w:val="212529"/>
          <w:sz w:val="24"/>
          <w:szCs w:val="24"/>
          <w:shd w:val="clear" w:color="auto" w:fill="FFFFFF"/>
        </w:rPr>
        <w:t>have a better chance</w:t>
      </w:r>
      <w:r w:rsidRPr="00034127">
        <w:rPr>
          <w:rFonts w:cstheme="minorHAnsi"/>
          <w:color w:val="212529"/>
          <w:sz w:val="24"/>
          <w:szCs w:val="24"/>
          <w:shd w:val="clear" w:color="auto" w:fill="FFFFFF"/>
        </w:rPr>
        <w:t xml:space="preserve"> of</w:t>
      </w:r>
      <w:r w:rsidR="00825363">
        <w:rPr>
          <w:rFonts w:cstheme="minorHAnsi"/>
          <w:color w:val="212529"/>
          <w:sz w:val="24"/>
          <w:szCs w:val="24"/>
          <w:shd w:val="clear" w:color="auto" w:fill="FFFFFF"/>
        </w:rPr>
        <w:t xml:space="preserve"> assessing</w:t>
      </w:r>
      <w:r w:rsidRPr="00034127">
        <w:rPr>
          <w:rFonts w:cstheme="minorHAnsi"/>
          <w:color w:val="212529"/>
          <w:sz w:val="24"/>
          <w:szCs w:val="24"/>
          <w:shd w:val="clear" w:color="auto" w:fill="FFFFFF"/>
        </w:rPr>
        <w:t xml:space="preserve"> clinical VTEs or bleeding events that occurred due to the enoxaparin than from a </w:t>
      </w:r>
      <w:r w:rsidRPr="00034127">
        <w:rPr>
          <w:rFonts w:cstheme="minorHAnsi"/>
          <w:color w:val="212529"/>
          <w:sz w:val="24"/>
          <w:szCs w:val="24"/>
          <w:shd w:val="clear" w:color="auto" w:fill="FFFFFF"/>
        </w:rPr>
        <w:lastRenderedPageBreak/>
        <w:t>comorbidity the patient already has</w:t>
      </w:r>
      <w:r w:rsidR="00744A31" w:rsidRPr="00034127">
        <w:rPr>
          <w:rFonts w:cstheme="minorHAnsi"/>
          <w:color w:val="212529"/>
          <w:sz w:val="24"/>
          <w:szCs w:val="24"/>
          <w:shd w:val="clear" w:color="auto" w:fill="FFFFFF"/>
        </w:rPr>
        <w:t xml:space="preserve"> which can be difficult to assess given the complexity of these patients. </w:t>
      </w:r>
    </w:p>
    <w:p w14:paraId="0B00908A" w14:textId="77777777" w:rsidR="00040414" w:rsidRPr="00034127" w:rsidRDefault="00040414" w:rsidP="00040414">
      <w:pPr>
        <w:pStyle w:val="NoSpacing"/>
        <w:ind w:firstLine="720"/>
        <w:rPr>
          <w:rFonts w:cstheme="minorHAnsi"/>
          <w:color w:val="212529"/>
          <w:sz w:val="24"/>
          <w:szCs w:val="24"/>
          <w:shd w:val="clear" w:color="auto" w:fill="FFFFFF"/>
        </w:rPr>
      </w:pPr>
    </w:p>
    <w:p w14:paraId="080F9BB4" w14:textId="75E8EDF3" w:rsidR="00403E8F" w:rsidRPr="00034127" w:rsidRDefault="00403E8F" w:rsidP="00403E8F">
      <w:pPr>
        <w:pStyle w:val="NoSpacing"/>
        <w:rPr>
          <w:rFonts w:cstheme="minorHAnsi"/>
          <w:i/>
          <w:iCs/>
          <w:color w:val="212529"/>
          <w:sz w:val="24"/>
          <w:szCs w:val="24"/>
          <w:shd w:val="clear" w:color="auto" w:fill="FFFFFF"/>
        </w:rPr>
      </w:pPr>
      <w:r w:rsidRPr="00034127">
        <w:rPr>
          <w:rFonts w:cstheme="minorHAnsi"/>
          <w:i/>
          <w:iCs/>
          <w:color w:val="212529"/>
          <w:sz w:val="24"/>
          <w:szCs w:val="24"/>
          <w:shd w:val="clear" w:color="auto" w:fill="FFFFFF"/>
        </w:rPr>
        <w:t>Clinical Measures:</w:t>
      </w:r>
    </w:p>
    <w:p w14:paraId="03FD69A2" w14:textId="2BCA2420" w:rsidR="00403E8F" w:rsidRPr="00034127" w:rsidRDefault="00403E8F" w:rsidP="00403E8F">
      <w:pPr>
        <w:pStyle w:val="NoSpacing"/>
        <w:rPr>
          <w:rFonts w:cstheme="minorHAnsi"/>
          <w:color w:val="212529"/>
          <w:sz w:val="24"/>
          <w:szCs w:val="24"/>
          <w:shd w:val="clear" w:color="auto" w:fill="FFFFFF"/>
        </w:rPr>
      </w:pPr>
    </w:p>
    <w:p w14:paraId="04D8A2EA" w14:textId="6BF7C0A0" w:rsidR="00403E8F" w:rsidRPr="00034127" w:rsidRDefault="00403E8F" w:rsidP="00403E8F">
      <w:pPr>
        <w:pStyle w:val="NoSpacing"/>
        <w:rPr>
          <w:rFonts w:cstheme="minorHAnsi"/>
          <w:color w:val="212529"/>
          <w:sz w:val="24"/>
          <w:szCs w:val="24"/>
          <w:u w:val="single"/>
          <w:shd w:val="clear" w:color="auto" w:fill="FFFFFF"/>
        </w:rPr>
      </w:pPr>
      <w:r w:rsidRPr="00034127">
        <w:rPr>
          <w:rFonts w:cstheme="minorHAnsi"/>
          <w:color w:val="212529"/>
          <w:sz w:val="24"/>
          <w:szCs w:val="24"/>
          <w:u w:val="single"/>
          <w:shd w:val="clear" w:color="auto" w:fill="FFFFFF"/>
        </w:rPr>
        <w:t>Predictor Variables:</w:t>
      </w:r>
    </w:p>
    <w:p w14:paraId="6068F707" w14:textId="77777777" w:rsidR="00403E8F" w:rsidRPr="00034127" w:rsidRDefault="003E2C7D" w:rsidP="003E2C7D">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t xml:space="preserve">The predictor variable that we wish to study is patients being treated with either </w:t>
      </w:r>
      <w:r w:rsidR="009A5E31" w:rsidRPr="00034127">
        <w:rPr>
          <w:rFonts w:cstheme="minorHAnsi"/>
          <w:color w:val="212529"/>
          <w:sz w:val="24"/>
          <w:szCs w:val="24"/>
          <w:shd w:val="clear" w:color="auto" w:fill="FFFFFF"/>
        </w:rPr>
        <w:t>standard</w:t>
      </w:r>
      <w:r w:rsidRPr="00034127">
        <w:rPr>
          <w:rFonts w:cstheme="minorHAnsi"/>
          <w:color w:val="212529"/>
          <w:sz w:val="24"/>
          <w:szCs w:val="24"/>
          <w:shd w:val="clear" w:color="auto" w:fill="FFFFFF"/>
        </w:rPr>
        <w:t xml:space="preserve"> or weight-based enoxaparin dosing for VTE prophylaxis in obesity. The study will compare two groups, patients who received traditional prophylactic enoxaparin dosing (40 mg SUBQ twice daily) or weight based (0.5 mg/kg SUBQ twice daily) dosing.</w:t>
      </w:r>
    </w:p>
    <w:p w14:paraId="78BDA205" w14:textId="1CC43BB9" w:rsidR="00403E8F" w:rsidRPr="00034127" w:rsidRDefault="00403E8F" w:rsidP="003E2C7D">
      <w:pPr>
        <w:pStyle w:val="NoSpacing"/>
        <w:ind w:firstLine="720"/>
        <w:rPr>
          <w:rFonts w:cstheme="minorHAnsi"/>
          <w:color w:val="212529"/>
          <w:sz w:val="24"/>
          <w:szCs w:val="24"/>
          <w:shd w:val="clear" w:color="auto" w:fill="FFFFFF"/>
        </w:rPr>
      </w:pPr>
    </w:p>
    <w:p w14:paraId="2F33E14E" w14:textId="77777777" w:rsidR="00403E8F" w:rsidRPr="00034127" w:rsidRDefault="00403E8F" w:rsidP="003E2C7D">
      <w:pPr>
        <w:pStyle w:val="NoSpacing"/>
        <w:ind w:firstLine="720"/>
        <w:rPr>
          <w:rFonts w:cstheme="minorHAnsi"/>
          <w:color w:val="212529"/>
          <w:sz w:val="24"/>
          <w:szCs w:val="24"/>
          <w:shd w:val="clear" w:color="auto" w:fill="FFFFFF"/>
        </w:rPr>
      </w:pPr>
    </w:p>
    <w:p w14:paraId="74E17259" w14:textId="33E61519" w:rsidR="00403E8F" w:rsidRPr="00034127" w:rsidRDefault="00403E8F" w:rsidP="00403E8F">
      <w:pPr>
        <w:pStyle w:val="NoSpacing"/>
        <w:rPr>
          <w:rFonts w:cstheme="minorHAnsi"/>
          <w:color w:val="212529"/>
          <w:sz w:val="24"/>
          <w:szCs w:val="24"/>
          <w:u w:val="single"/>
          <w:shd w:val="clear" w:color="auto" w:fill="FFFFFF"/>
        </w:rPr>
      </w:pPr>
      <w:r w:rsidRPr="00034127">
        <w:rPr>
          <w:rFonts w:cstheme="minorHAnsi"/>
          <w:color w:val="212529"/>
          <w:sz w:val="24"/>
          <w:szCs w:val="24"/>
          <w:u w:val="single"/>
          <w:shd w:val="clear" w:color="auto" w:fill="FFFFFF"/>
        </w:rPr>
        <w:t>Outcomes Variables:</w:t>
      </w:r>
    </w:p>
    <w:p w14:paraId="53AEE5B3" w14:textId="31504F7E" w:rsidR="003E2C7D" w:rsidRPr="00034127" w:rsidRDefault="003E2C7D" w:rsidP="003E2C7D">
      <w:pPr>
        <w:pStyle w:val="NoSpacing"/>
        <w:ind w:firstLine="720"/>
        <w:rPr>
          <w:rFonts w:cstheme="minorHAnsi"/>
          <w:color w:val="212529"/>
          <w:sz w:val="24"/>
          <w:szCs w:val="24"/>
          <w:shd w:val="clear" w:color="auto" w:fill="FFFFFF"/>
        </w:rPr>
      </w:pPr>
      <w:r w:rsidRPr="00034127">
        <w:rPr>
          <w:rFonts w:cstheme="minorHAnsi"/>
          <w:color w:val="212529"/>
          <w:sz w:val="24"/>
          <w:szCs w:val="24"/>
          <w:shd w:val="clear" w:color="auto" w:fill="FFFFFF"/>
        </w:rPr>
        <w:t xml:space="preserve"> The primary outcome</w:t>
      </w:r>
      <w:r w:rsidR="00034127" w:rsidRPr="00034127">
        <w:rPr>
          <w:rFonts w:cstheme="minorHAnsi"/>
          <w:color w:val="212529"/>
          <w:sz w:val="24"/>
          <w:szCs w:val="24"/>
          <w:shd w:val="clear" w:color="auto" w:fill="FFFFFF"/>
        </w:rPr>
        <w:t xml:space="preserve"> is development</w:t>
      </w:r>
      <w:r w:rsidRPr="00034127">
        <w:rPr>
          <w:rFonts w:cstheme="minorHAnsi"/>
          <w:color w:val="212529"/>
          <w:sz w:val="24"/>
          <w:szCs w:val="24"/>
          <w:shd w:val="clear" w:color="auto" w:fill="FFFFFF"/>
        </w:rPr>
        <w:t xml:space="preserve"> </w:t>
      </w:r>
      <w:r w:rsidR="00034127" w:rsidRPr="00034127">
        <w:rPr>
          <w:rFonts w:cstheme="minorHAnsi"/>
          <w:color w:val="212529"/>
          <w:sz w:val="24"/>
          <w:szCs w:val="24"/>
          <w:shd w:val="clear" w:color="auto" w:fill="FFFFFF"/>
        </w:rPr>
        <w:t>of a</w:t>
      </w:r>
      <w:r w:rsidRPr="00034127">
        <w:rPr>
          <w:rFonts w:cstheme="minorHAnsi"/>
          <w:color w:val="212529"/>
          <w:sz w:val="24"/>
          <w:szCs w:val="24"/>
          <w:shd w:val="clear" w:color="auto" w:fill="FFFFFF"/>
        </w:rPr>
        <w:t xml:space="preserve"> clinically significant VTE with secondary outcomes focusing on major bleeding events, length of hospital </w:t>
      </w:r>
      <w:proofErr w:type="gramStart"/>
      <w:r w:rsidRPr="00034127">
        <w:rPr>
          <w:rFonts w:cstheme="minorHAnsi"/>
          <w:color w:val="212529"/>
          <w:sz w:val="24"/>
          <w:szCs w:val="24"/>
          <w:shd w:val="clear" w:color="auto" w:fill="FFFFFF"/>
        </w:rPr>
        <w:t>stay</w:t>
      </w:r>
      <w:proofErr w:type="gramEnd"/>
      <w:r w:rsidRPr="00034127">
        <w:rPr>
          <w:rFonts w:cstheme="minorHAnsi"/>
          <w:color w:val="212529"/>
          <w:sz w:val="24"/>
          <w:szCs w:val="24"/>
          <w:shd w:val="clear" w:color="auto" w:fill="FFFFFF"/>
        </w:rPr>
        <w:t>, mortality, and % of patients with therapeutic Anti-</w:t>
      </w:r>
      <w:proofErr w:type="spellStart"/>
      <w:r w:rsidRPr="00034127">
        <w:rPr>
          <w:rFonts w:cstheme="minorHAnsi"/>
          <w:color w:val="212529"/>
          <w:sz w:val="24"/>
          <w:szCs w:val="24"/>
          <w:shd w:val="clear" w:color="auto" w:fill="FFFFFF"/>
        </w:rPr>
        <w:t>Xa</w:t>
      </w:r>
      <w:proofErr w:type="spellEnd"/>
      <w:r w:rsidRPr="00034127">
        <w:rPr>
          <w:rFonts w:cstheme="minorHAnsi"/>
          <w:color w:val="212529"/>
          <w:sz w:val="24"/>
          <w:szCs w:val="24"/>
          <w:shd w:val="clear" w:color="auto" w:fill="FFFFFF"/>
        </w:rPr>
        <w:t xml:space="preserve"> levels. Data will be assessed using retrospective chart reviews using the electronic health record in which the medication orders can be analyzed to see which patients received which enoxaparin doses. The primary outcome will be assessed by reviewing the patients chart looking for specific documentation of a new VTE or DVT during their hospital stay. Each of the secondary outcomes should be available in the patient’s chart during data collection and will then be assessed during the statistical analysis. We plan to assess new DVT’s and VTE’s using diagnostic criteria outlined in 2012 CHEST guidelines. We will assess Anti-</w:t>
      </w:r>
      <w:proofErr w:type="spellStart"/>
      <w:r w:rsidRPr="00034127">
        <w:rPr>
          <w:rFonts w:cstheme="minorHAnsi"/>
          <w:color w:val="212529"/>
          <w:sz w:val="24"/>
          <w:szCs w:val="24"/>
          <w:shd w:val="clear" w:color="auto" w:fill="FFFFFF"/>
        </w:rPr>
        <w:t>Xa</w:t>
      </w:r>
      <w:proofErr w:type="spellEnd"/>
      <w:r w:rsidRPr="00034127">
        <w:rPr>
          <w:rFonts w:cstheme="minorHAnsi"/>
          <w:color w:val="212529"/>
          <w:sz w:val="24"/>
          <w:szCs w:val="24"/>
          <w:shd w:val="clear" w:color="auto" w:fill="FFFFFF"/>
        </w:rPr>
        <w:t xml:space="preserve"> levels using recognized ranges for prophylaxis efficacy as outlined in previous studies</w:t>
      </w:r>
      <w:r w:rsidRPr="00034127">
        <w:rPr>
          <w:rFonts w:cstheme="minorHAnsi"/>
          <w:color w:val="212529"/>
          <w:sz w:val="24"/>
          <w:szCs w:val="24"/>
          <w:shd w:val="clear" w:color="auto" w:fill="FFFFFF"/>
          <w:vertAlign w:val="superscript"/>
        </w:rPr>
        <w:t>7</w:t>
      </w:r>
      <w:r w:rsidRPr="00034127">
        <w:rPr>
          <w:rFonts w:cstheme="minorHAnsi"/>
          <w:color w:val="212529"/>
          <w:sz w:val="24"/>
          <w:szCs w:val="24"/>
          <w:shd w:val="clear" w:color="auto" w:fill="FFFFFF"/>
        </w:rPr>
        <w:t xml:space="preserve">. </w:t>
      </w:r>
      <w:r w:rsidR="00034127" w:rsidRPr="00034127">
        <w:rPr>
          <w:rFonts w:cstheme="minorHAnsi"/>
          <w:color w:val="212529"/>
          <w:sz w:val="24"/>
          <w:szCs w:val="24"/>
          <w:shd w:val="clear" w:color="auto" w:fill="FFFFFF"/>
        </w:rPr>
        <w:t xml:space="preserve">Major bleeding will be defined as </w:t>
      </w:r>
      <w:r w:rsidR="00034127" w:rsidRPr="00034127">
        <w:rPr>
          <w:rFonts w:cstheme="minorHAnsi"/>
          <w:color w:val="212529"/>
          <w:sz w:val="24"/>
          <w:szCs w:val="24"/>
          <w:shd w:val="clear" w:color="auto" w:fill="FFFFFF"/>
        </w:rPr>
        <w:t>overt bleeding, bleeding with anemia associated with a 2 mg/dL decrease in Hgb from baseline, or bleeding requiring operation or transfusion</w:t>
      </w:r>
      <w:r w:rsidR="00034127" w:rsidRPr="00034127">
        <w:rPr>
          <w:rFonts w:cstheme="minorHAnsi"/>
          <w:color w:val="212529"/>
          <w:sz w:val="24"/>
          <w:szCs w:val="24"/>
          <w:shd w:val="clear" w:color="auto" w:fill="FFFFFF"/>
        </w:rPr>
        <w:t xml:space="preserve"> which is </w:t>
      </w:r>
      <w:proofErr w:type="gramStart"/>
      <w:r w:rsidR="00034127" w:rsidRPr="00034127">
        <w:rPr>
          <w:rFonts w:cstheme="minorHAnsi"/>
          <w:color w:val="212529"/>
          <w:sz w:val="24"/>
          <w:szCs w:val="24"/>
          <w:shd w:val="clear" w:color="auto" w:fill="FFFFFF"/>
        </w:rPr>
        <w:t>similar to</w:t>
      </w:r>
      <w:proofErr w:type="gramEnd"/>
      <w:r w:rsidR="00034127" w:rsidRPr="00034127">
        <w:rPr>
          <w:rFonts w:cstheme="minorHAnsi"/>
          <w:color w:val="212529"/>
          <w:sz w:val="24"/>
          <w:szCs w:val="24"/>
          <w:shd w:val="clear" w:color="auto" w:fill="FFFFFF"/>
        </w:rPr>
        <w:t xml:space="preserve"> previous trials</w:t>
      </w:r>
      <w:r w:rsidR="00034127" w:rsidRPr="00034127">
        <w:rPr>
          <w:rFonts w:cstheme="minorHAnsi"/>
          <w:color w:val="212529"/>
          <w:sz w:val="24"/>
          <w:szCs w:val="24"/>
          <w:shd w:val="clear" w:color="auto" w:fill="FFFFFF"/>
          <w:vertAlign w:val="superscript"/>
        </w:rPr>
        <w:t>9</w:t>
      </w:r>
      <w:r w:rsidR="00034127" w:rsidRPr="00034127">
        <w:rPr>
          <w:rFonts w:cstheme="minorHAnsi"/>
          <w:color w:val="212529"/>
          <w:sz w:val="24"/>
          <w:szCs w:val="24"/>
          <w:shd w:val="clear" w:color="auto" w:fill="FFFFFF"/>
        </w:rPr>
        <w:t xml:space="preserve">. </w:t>
      </w:r>
    </w:p>
    <w:p w14:paraId="77AEED00" w14:textId="71065582" w:rsidR="003E2C7D" w:rsidRPr="00034127" w:rsidRDefault="003E2C7D" w:rsidP="00034127">
      <w:pPr>
        <w:pStyle w:val="NoSpacing"/>
        <w:rPr>
          <w:sz w:val="24"/>
          <w:szCs w:val="24"/>
        </w:rPr>
      </w:pPr>
      <w:bookmarkStart w:id="0" w:name="ZOTERO_BREF_yjHRfMGCDdnF"/>
    </w:p>
    <w:p w14:paraId="0ABC6AE7" w14:textId="00264534" w:rsidR="00034127" w:rsidRDefault="00034127" w:rsidP="00034127">
      <w:pPr>
        <w:pStyle w:val="NoSpacing"/>
        <w:rPr>
          <w:sz w:val="24"/>
          <w:szCs w:val="24"/>
        </w:rPr>
      </w:pPr>
      <w:r>
        <w:rPr>
          <w:i/>
          <w:iCs/>
          <w:sz w:val="24"/>
          <w:szCs w:val="24"/>
        </w:rPr>
        <w:t>Planned Statistical Analysis:</w:t>
      </w:r>
    </w:p>
    <w:p w14:paraId="57399CA1" w14:textId="77777777" w:rsidR="00034127" w:rsidRPr="00034127" w:rsidRDefault="00034127" w:rsidP="00034127">
      <w:pPr>
        <w:pStyle w:val="NoSpacing"/>
        <w:rPr>
          <w:sz w:val="24"/>
          <w:szCs w:val="24"/>
        </w:rPr>
      </w:pPr>
    </w:p>
    <w:p w14:paraId="5CAFC8B6" w14:textId="7D31D26C" w:rsidR="00034127" w:rsidRDefault="003E2C7D" w:rsidP="00034127">
      <w:pPr>
        <w:pStyle w:val="NoSpacing"/>
        <w:rPr>
          <w:sz w:val="24"/>
          <w:szCs w:val="24"/>
        </w:rPr>
      </w:pPr>
      <w:r w:rsidRPr="00034127">
        <w:rPr>
          <w:sz w:val="24"/>
          <w:szCs w:val="24"/>
        </w:rPr>
        <w:tab/>
        <w:t xml:space="preserve">The primary outcome </w:t>
      </w:r>
      <w:r w:rsidR="00034127" w:rsidRPr="00034127">
        <w:rPr>
          <w:sz w:val="24"/>
          <w:szCs w:val="24"/>
        </w:rPr>
        <w:t xml:space="preserve">is development of </w:t>
      </w:r>
      <w:r w:rsidRPr="00034127">
        <w:rPr>
          <w:sz w:val="24"/>
          <w:szCs w:val="24"/>
        </w:rPr>
        <w:t xml:space="preserve">clinically significant VTE’s experienced during hospitalization. </w:t>
      </w:r>
      <w:r w:rsidR="00034127" w:rsidRPr="00034127">
        <w:rPr>
          <w:sz w:val="24"/>
          <w:szCs w:val="24"/>
        </w:rPr>
        <w:t>We will analyze the prevalence of VTE’s in the weight-based dosing group compared to the standard dosing (control)</w:t>
      </w:r>
      <w:r w:rsidRPr="00034127">
        <w:rPr>
          <w:sz w:val="24"/>
          <w:szCs w:val="24"/>
        </w:rPr>
        <w:t xml:space="preserve"> </w:t>
      </w:r>
      <w:r w:rsidR="00034127" w:rsidRPr="00034127">
        <w:rPr>
          <w:sz w:val="24"/>
          <w:szCs w:val="24"/>
        </w:rPr>
        <w:t>using</w:t>
      </w:r>
      <w:r w:rsidRPr="00034127">
        <w:rPr>
          <w:sz w:val="24"/>
          <w:szCs w:val="24"/>
        </w:rPr>
        <w:t xml:space="preserve"> a Chi-Squared statistical test</w:t>
      </w:r>
      <w:r w:rsidR="00034127" w:rsidRPr="00034127">
        <w:rPr>
          <w:sz w:val="24"/>
          <w:szCs w:val="24"/>
        </w:rPr>
        <w:t xml:space="preserve">. </w:t>
      </w:r>
    </w:p>
    <w:p w14:paraId="785235A9" w14:textId="77777777" w:rsidR="00034127" w:rsidRPr="00034127" w:rsidRDefault="00034127" w:rsidP="00034127">
      <w:pPr>
        <w:pStyle w:val="NoSpacing"/>
        <w:rPr>
          <w:sz w:val="24"/>
          <w:szCs w:val="24"/>
        </w:rPr>
      </w:pPr>
    </w:p>
    <w:p w14:paraId="61B1EB91" w14:textId="4694DA10" w:rsidR="00034127" w:rsidRDefault="00034127" w:rsidP="00034127">
      <w:pPr>
        <w:pStyle w:val="NoSpacing"/>
        <w:rPr>
          <w:sz w:val="24"/>
          <w:szCs w:val="24"/>
        </w:rPr>
      </w:pPr>
      <w:r w:rsidRPr="00034127">
        <w:rPr>
          <w:sz w:val="24"/>
          <w:szCs w:val="24"/>
        </w:rPr>
        <w:tab/>
        <w:t xml:space="preserve">Secondary outcomes will be assessed using a T-test and will be compared between the weight-based dosing and standard dosing groups. </w:t>
      </w:r>
      <w:r w:rsidRPr="00034127">
        <w:rPr>
          <w:sz w:val="24"/>
          <w:szCs w:val="24"/>
        </w:rPr>
        <w:t xml:space="preserve">Development of major bleeding events </w:t>
      </w:r>
      <w:r>
        <w:rPr>
          <w:sz w:val="24"/>
          <w:szCs w:val="24"/>
        </w:rPr>
        <w:t xml:space="preserve">will also be assessed using Chi-Squared analysis </w:t>
      </w:r>
      <w:r w:rsidR="00825363">
        <w:rPr>
          <w:sz w:val="24"/>
          <w:szCs w:val="24"/>
        </w:rPr>
        <w:t xml:space="preserve">similar to </w:t>
      </w:r>
      <w:r>
        <w:rPr>
          <w:sz w:val="24"/>
          <w:szCs w:val="24"/>
        </w:rPr>
        <w:t>the primary outcome.</w:t>
      </w:r>
    </w:p>
    <w:p w14:paraId="59207097" w14:textId="77777777" w:rsidR="00034127" w:rsidRPr="00034127" w:rsidRDefault="00034127" w:rsidP="00034127">
      <w:pPr>
        <w:pStyle w:val="NoSpacing"/>
        <w:rPr>
          <w:sz w:val="24"/>
          <w:szCs w:val="24"/>
        </w:rPr>
      </w:pPr>
    </w:p>
    <w:p w14:paraId="4A1F3418" w14:textId="4B8B6798" w:rsidR="003E2C7D" w:rsidRDefault="00034127" w:rsidP="00034127">
      <w:pPr>
        <w:pStyle w:val="NoSpacing"/>
        <w:rPr>
          <w:sz w:val="24"/>
          <w:szCs w:val="24"/>
        </w:rPr>
      </w:pPr>
      <w:r w:rsidRPr="00034127">
        <w:rPr>
          <w:sz w:val="24"/>
          <w:szCs w:val="24"/>
        </w:rPr>
        <w:tab/>
        <w:t>Important cofounders will be comorbidities that increase risk of VTE or major bleeding</w:t>
      </w:r>
      <w:r w:rsidR="00825363">
        <w:rPr>
          <w:sz w:val="24"/>
          <w:szCs w:val="24"/>
        </w:rPr>
        <w:t xml:space="preserve">. We plan to account for these by stratifying the patient population based on comorbidities to minimize the impact of these different comorbidities. As the weight-based dosing strategy is not as common as standard dose at UCSF, it may be difficult to fully stratify each of the treatment groups. </w:t>
      </w:r>
    </w:p>
    <w:p w14:paraId="4C34176B" w14:textId="2FB5A266" w:rsidR="001C2461" w:rsidRDefault="001C2461" w:rsidP="00034127">
      <w:pPr>
        <w:pStyle w:val="NoSpacing"/>
        <w:rPr>
          <w:sz w:val="24"/>
          <w:szCs w:val="24"/>
        </w:rPr>
      </w:pPr>
    </w:p>
    <w:p w14:paraId="6623F998" w14:textId="77777777" w:rsidR="00040414" w:rsidRPr="00034127" w:rsidRDefault="00040414" w:rsidP="00034127">
      <w:pPr>
        <w:pStyle w:val="NoSpacing"/>
        <w:rPr>
          <w:sz w:val="24"/>
          <w:szCs w:val="24"/>
        </w:rPr>
      </w:pPr>
    </w:p>
    <w:p w14:paraId="2A1E49E6" w14:textId="5EB3D37E" w:rsidR="003E2C7D" w:rsidRPr="00825363" w:rsidRDefault="003E2C7D" w:rsidP="00034127">
      <w:pPr>
        <w:pStyle w:val="NoSpacing"/>
        <w:rPr>
          <w:i/>
          <w:iCs/>
          <w:sz w:val="24"/>
          <w:szCs w:val="24"/>
        </w:rPr>
      </w:pPr>
      <w:r w:rsidRPr="00825363">
        <w:rPr>
          <w:i/>
          <w:iCs/>
          <w:sz w:val="24"/>
          <w:szCs w:val="24"/>
        </w:rPr>
        <w:lastRenderedPageBreak/>
        <w:t xml:space="preserve">Sample Size: </w:t>
      </w:r>
    </w:p>
    <w:p w14:paraId="33C57FC3" w14:textId="77777777" w:rsidR="00034127" w:rsidRPr="00034127" w:rsidRDefault="00034127" w:rsidP="00034127">
      <w:pPr>
        <w:pStyle w:val="NoSpacing"/>
        <w:rPr>
          <w:sz w:val="24"/>
          <w:szCs w:val="24"/>
        </w:rPr>
      </w:pPr>
    </w:p>
    <w:p w14:paraId="6705B37A" w14:textId="3962383B" w:rsidR="003E2C7D" w:rsidRPr="00034127" w:rsidRDefault="003E2C7D" w:rsidP="00034127">
      <w:pPr>
        <w:pStyle w:val="NoSpacing"/>
        <w:rPr>
          <w:sz w:val="24"/>
          <w:szCs w:val="24"/>
        </w:rPr>
      </w:pPr>
      <w:r w:rsidRPr="00034127">
        <w:rPr>
          <w:sz w:val="24"/>
          <w:szCs w:val="24"/>
        </w:rPr>
        <w:tab/>
      </w:r>
      <w:r w:rsidR="00825363">
        <w:rPr>
          <w:sz w:val="24"/>
          <w:szCs w:val="24"/>
        </w:rPr>
        <w:t xml:space="preserve">Hypothesis: </w:t>
      </w:r>
      <w:r w:rsidRPr="00034127">
        <w:rPr>
          <w:sz w:val="24"/>
          <w:szCs w:val="24"/>
        </w:rPr>
        <w:t>Weight</w:t>
      </w:r>
      <w:r w:rsidR="00825363">
        <w:rPr>
          <w:sz w:val="24"/>
          <w:szCs w:val="24"/>
        </w:rPr>
        <w:t>-</w:t>
      </w:r>
      <w:r w:rsidRPr="00034127">
        <w:rPr>
          <w:sz w:val="24"/>
          <w:szCs w:val="24"/>
        </w:rPr>
        <w:t>based enoxaparin</w:t>
      </w:r>
      <w:r w:rsidR="00825363">
        <w:rPr>
          <w:sz w:val="24"/>
          <w:szCs w:val="24"/>
        </w:rPr>
        <w:t xml:space="preserve"> dosing</w:t>
      </w:r>
      <w:r w:rsidRPr="00034127">
        <w:rPr>
          <w:sz w:val="24"/>
          <w:szCs w:val="24"/>
        </w:rPr>
        <w:t xml:space="preserve"> is associated with reduced VTE risk compared to </w:t>
      </w:r>
      <w:r w:rsidR="00825363">
        <w:rPr>
          <w:sz w:val="24"/>
          <w:szCs w:val="24"/>
        </w:rPr>
        <w:t>standard</w:t>
      </w:r>
      <w:r w:rsidRPr="00034127">
        <w:rPr>
          <w:sz w:val="24"/>
          <w:szCs w:val="24"/>
        </w:rPr>
        <w:t xml:space="preserve"> prophylactic dosing among critically ill</w:t>
      </w:r>
      <w:r w:rsidR="00825363">
        <w:rPr>
          <w:sz w:val="24"/>
          <w:szCs w:val="24"/>
        </w:rPr>
        <w:t xml:space="preserve"> obese adult</w:t>
      </w:r>
      <w:r w:rsidRPr="00034127">
        <w:rPr>
          <w:sz w:val="24"/>
          <w:szCs w:val="24"/>
        </w:rPr>
        <w:t xml:space="preserve"> patients. </w:t>
      </w:r>
    </w:p>
    <w:p w14:paraId="60C32EA1" w14:textId="5461377A" w:rsidR="003E2C7D" w:rsidRDefault="003E2C7D" w:rsidP="00034127">
      <w:pPr>
        <w:pStyle w:val="NoSpacing"/>
        <w:rPr>
          <w:sz w:val="24"/>
          <w:szCs w:val="24"/>
        </w:rPr>
      </w:pPr>
      <w:r w:rsidRPr="00034127">
        <w:rPr>
          <w:sz w:val="24"/>
          <w:szCs w:val="24"/>
        </w:rPr>
        <w:tab/>
        <w:t xml:space="preserve"> </w:t>
      </w:r>
      <w:r w:rsidR="00825363">
        <w:rPr>
          <w:sz w:val="24"/>
          <w:szCs w:val="24"/>
        </w:rPr>
        <w:t>Null Hypothesis: Weight-based enoxaparin</w:t>
      </w:r>
      <w:r w:rsidR="001C2461">
        <w:rPr>
          <w:sz w:val="24"/>
          <w:szCs w:val="24"/>
        </w:rPr>
        <w:t xml:space="preserve"> dosing</w:t>
      </w:r>
      <w:r w:rsidR="00825363">
        <w:rPr>
          <w:sz w:val="24"/>
          <w:szCs w:val="24"/>
        </w:rPr>
        <w:t xml:space="preserve"> is no different than standard prophylactic dosing at reducing VTE risk among critically ill obese adult patients. </w:t>
      </w:r>
    </w:p>
    <w:p w14:paraId="309A2CF8" w14:textId="77777777" w:rsidR="001C2461" w:rsidRPr="00034127" w:rsidRDefault="001C2461" w:rsidP="00034127">
      <w:pPr>
        <w:pStyle w:val="NoSpacing"/>
        <w:rPr>
          <w:sz w:val="24"/>
          <w:szCs w:val="24"/>
        </w:rPr>
      </w:pPr>
    </w:p>
    <w:p w14:paraId="3AE0B220" w14:textId="76D7C9F3" w:rsidR="003E2C7D" w:rsidRPr="001C2461" w:rsidRDefault="001C2461" w:rsidP="00034127">
      <w:pPr>
        <w:pStyle w:val="NoSpacing"/>
        <w:rPr>
          <w:sz w:val="24"/>
          <w:szCs w:val="24"/>
          <w:u w:val="single"/>
        </w:rPr>
      </w:pPr>
      <w:r w:rsidRPr="001C2461">
        <w:rPr>
          <w:sz w:val="24"/>
          <w:szCs w:val="24"/>
          <w:u w:val="single"/>
        </w:rPr>
        <w:t>Estimates</w:t>
      </w:r>
      <w:r w:rsidR="003E2C7D" w:rsidRPr="001C2461">
        <w:rPr>
          <w:sz w:val="24"/>
          <w:szCs w:val="24"/>
          <w:u w:val="single"/>
        </w:rPr>
        <w:t>:</w:t>
      </w:r>
    </w:p>
    <w:p w14:paraId="0F940CC9" w14:textId="77777777" w:rsidR="001C2461" w:rsidRDefault="001C2461" w:rsidP="00034127">
      <w:pPr>
        <w:pStyle w:val="NoSpacing"/>
        <w:rPr>
          <w:sz w:val="24"/>
          <w:szCs w:val="24"/>
        </w:rPr>
      </w:pPr>
    </w:p>
    <w:p w14:paraId="7BB2F033" w14:textId="54EF2E80" w:rsidR="003E2C7D" w:rsidRDefault="001C2461" w:rsidP="00034127">
      <w:pPr>
        <w:pStyle w:val="NoSpacing"/>
        <w:rPr>
          <w:sz w:val="24"/>
          <w:szCs w:val="24"/>
        </w:rPr>
      </w:pPr>
      <w:r>
        <w:rPr>
          <w:sz w:val="24"/>
          <w:szCs w:val="24"/>
        </w:rPr>
        <w:t>We plan to use a two tailed alpha level of</w:t>
      </w:r>
      <w:r w:rsidR="003E2C7D" w:rsidRPr="00034127">
        <w:rPr>
          <w:sz w:val="24"/>
          <w:szCs w:val="24"/>
        </w:rPr>
        <w:t xml:space="preserve"> 0.05</w:t>
      </w:r>
      <w:r>
        <w:rPr>
          <w:sz w:val="24"/>
          <w:szCs w:val="24"/>
        </w:rPr>
        <w:t xml:space="preserve"> to</w:t>
      </w:r>
      <w:r w:rsidR="003E2C7D" w:rsidRPr="00034127">
        <w:rPr>
          <w:sz w:val="24"/>
          <w:szCs w:val="24"/>
        </w:rPr>
        <w:t xml:space="preserve"> reduce risk of type 1 error to 5%</w:t>
      </w:r>
      <w:r>
        <w:rPr>
          <w:sz w:val="24"/>
          <w:szCs w:val="24"/>
        </w:rPr>
        <w:t xml:space="preserve">. With a beta level of </w:t>
      </w:r>
      <w:r w:rsidR="003E2C7D" w:rsidRPr="00034127">
        <w:rPr>
          <w:sz w:val="24"/>
          <w:szCs w:val="24"/>
        </w:rPr>
        <w:t xml:space="preserve">0.2 (or 80% power) </w:t>
      </w:r>
      <w:r>
        <w:rPr>
          <w:sz w:val="24"/>
          <w:szCs w:val="24"/>
        </w:rPr>
        <w:t xml:space="preserve">to reduce the </w:t>
      </w:r>
      <w:r w:rsidR="003E2C7D" w:rsidRPr="00034127">
        <w:rPr>
          <w:sz w:val="24"/>
          <w:szCs w:val="24"/>
        </w:rPr>
        <w:t>risk of type 2 error</w:t>
      </w:r>
      <w:r>
        <w:rPr>
          <w:sz w:val="24"/>
          <w:szCs w:val="24"/>
        </w:rPr>
        <w:t xml:space="preserve"> to 20%. Using these variables and assessing that our patient population is likely not equal, we hope that 30-35% of patients received weight-based dosing, while 65-70% received standard prophylactic dosing. The study will be powered to detect a 6-8% difference in incidence of VTE between these two groups assuming the above split in patients which is </w:t>
      </w:r>
      <w:proofErr w:type="gramStart"/>
      <w:r>
        <w:rPr>
          <w:sz w:val="24"/>
          <w:szCs w:val="24"/>
        </w:rPr>
        <w:t>similar to</w:t>
      </w:r>
      <w:proofErr w:type="gramEnd"/>
      <w:r>
        <w:rPr>
          <w:sz w:val="24"/>
          <w:szCs w:val="24"/>
        </w:rPr>
        <w:t xml:space="preserve"> the rate of VTE’s found in prior studies</w:t>
      </w:r>
      <w:r>
        <w:rPr>
          <w:sz w:val="24"/>
          <w:szCs w:val="24"/>
          <w:vertAlign w:val="superscript"/>
        </w:rPr>
        <w:t>6-9</w:t>
      </w:r>
      <w:r>
        <w:rPr>
          <w:sz w:val="24"/>
          <w:szCs w:val="24"/>
        </w:rPr>
        <w:t xml:space="preserve">.  Given the retrospective nature of the study, our estimates indicate we need around 480 patients (P1=168 for weight based and P0 =312 receiving standard dosing) to detect this difference.  </w:t>
      </w:r>
    </w:p>
    <w:p w14:paraId="2C40C674" w14:textId="46ED2CC3" w:rsidR="003E2C7D" w:rsidRPr="00034127" w:rsidRDefault="003E2C7D" w:rsidP="00034127">
      <w:pPr>
        <w:pStyle w:val="NoSpacing"/>
        <w:rPr>
          <w:sz w:val="24"/>
          <w:szCs w:val="24"/>
        </w:rPr>
      </w:pPr>
      <w:r w:rsidRPr="00034127">
        <w:rPr>
          <w:sz w:val="24"/>
          <w:szCs w:val="24"/>
        </w:rPr>
        <w:tab/>
      </w:r>
      <w:r w:rsidR="00F46BDB" w:rsidRPr="00034127">
        <w:rPr>
          <w:sz w:val="24"/>
          <w:szCs w:val="24"/>
        </w:rPr>
        <w:t xml:space="preserve"> </w:t>
      </w:r>
    </w:p>
    <w:p w14:paraId="4C0A1466" w14:textId="77777777" w:rsidR="003E2C7D" w:rsidRPr="00034127" w:rsidRDefault="003E2C7D" w:rsidP="003E2C7D">
      <w:pPr>
        <w:rPr>
          <w:rFonts w:cstheme="minorHAnsi"/>
          <w:sz w:val="24"/>
          <w:szCs w:val="24"/>
        </w:rPr>
      </w:pPr>
    </w:p>
    <w:p w14:paraId="39BD791A" w14:textId="77777777" w:rsidR="003E2C7D" w:rsidRPr="00034127" w:rsidRDefault="003E2C7D" w:rsidP="00A95E30">
      <w:pPr>
        <w:pStyle w:val="Bibliography"/>
        <w:spacing w:line="240" w:lineRule="auto"/>
        <w:ind w:left="0" w:firstLine="0"/>
        <w:rPr>
          <w:rFonts w:cstheme="minorHAnsi"/>
          <w:b/>
          <w:bCs/>
          <w:sz w:val="24"/>
          <w:szCs w:val="24"/>
          <w:u w:val="single"/>
        </w:rPr>
      </w:pPr>
      <w:r w:rsidRPr="00034127">
        <w:rPr>
          <w:rFonts w:cstheme="minorHAnsi"/>
          <w:b/>
          <w:bCs/>
          <w:sz w:val="24"/>
          <w:szCs w:val="24"/>
          <w:u w:val="single"/>
        </w:rPr>
        <w:t>References:</w:t>
      </w:r>
    </w:p>
    <w:bookmarkEnd w:id="0"/>
    <w:p w14:paraId="1A817D96" w14:textId="77777777" w:rsidR="00F07176" w:rsidRPr="00F07176" w:rsidRDefault="003E2C7D" w:rsidP="00F07176">
      <w:pPr>
        <w:pStyle w:val="Bibliography"/>
        <w:spacing w:line="240" w:lineRule="auto"/>
        <w:rPr>
          <w:rFonts w:ascii="Calibri" w:hAnsi="Calibri" w:cs="Calibri"/>
          <w:sz w:val="24"/>
          <w:szCs w:val="24"/>
          <w:lang w:val="de-DE"/>
        </w:rPr>
      </w:pPr>
      <w:r w:rsidRPr="00034127">
        <w:fldChar w:fldCharType="begin"/>
      </w:r>
      <w:r w:rsidR="00A95E30" w:rsidRPr="00034127">
        <w:instrText xml:space="preserve"> ADDIN ZOTERO_BIBL {"uncited":[["http://zotero.org/users/local/PF38rE1d/items/RIKLAEWT"]],"omitted":[],"custom":[]} CSL_BIBLIOGRAPHY </w:instrText>
      </w:r>
      <w:r w:rsidRPr="00034127">
        <w:fldChar w:fldCharType="separate"/>
      </w:r>
      <w:r w:rsidR="00F07176" w:rsidRPr="00F07176">
        <w:rPr>
          <w:rFonts w:ascii="Calibri" w:hAnsi="Calibri" w:cs="Calibri"/>
          <w:sz w:val="24"/>
          <w:szCs w:val="24"/>
        </w:rPr>
        <w:t xml:space="preserve">1. </w:t>
      </w:r>
      <w:r w:rsidR="00F07176" w:rsidRPr="00F07176">
        <w:rPr>
          <w:rFonts w:ascii="Calibri" w:hAnsi="Calibri" w:cs="Calibri"/>
          <w:sz w:val="24"/>
          <w:szCs w:val="24"/>
        </w:rPr>
        <w:tab/>
      </w:r>
      <w:proofErr w:type="spellStart"/>
      <w:r w:rsidR="00F07176" w:rsidRPr="00F07176">
        <w:rPr>
          <w:rFonts w:ascii="Calibri" w:hAnsi="Calibri" w:cs="Calibri"/>
          <w:sz w:val="24"/>
          <w:szCs w:val="24"/>
        </w:rPr>
        <w:t>Boonyawat</w:t>
      </w:r>
      <w:proofErr w:type="spellEnd"/>
      <w:r w:rsidR="00F07176" w:rsidRPr="00F07176">
        <w:rPr>
          <w:rFonts w:ascii="Calibri" w:hAnsi="Calibri" w:cs="Calibri"/>
          <w:sz w:val="24"/>
          <w:szCs w:val="24"/>
        </w:rPr>
        <w:t xml:space="preserve"> K, Crowther MA. Venous Thromboembolism Prophylaxis in Critically Ill Patients. </w:t>
      </w:r>
      <w:r w:rsidR="00F07176" w:rsidRPr="00F07176">
        <w:rPr>
          <w:rFonts w:ascii="Calibri" w:hAnsi="Calibri" w:cs="Calibri"/>
          <w:i/>
          <w:iCs/>
          <w:sz w:val="24"/>
          <w:szCs w:val="24"/>
        </w:rPr>
        <w:t xml:space="preserve">Semin </w:t>
      </w:r>
      <w:proofErr w:type="spellStart"/>
      <w:r w:rsidR="00F07176" w:rsidRPr="00F07176">
        <w:rPr>
          <w:rFonts w:ascii="Calibri" w:hAnsi="Calibri" w:cs="Calibri"/>
          <w:i/>
          <w:iCs/>
          <w:sz w:val="24"/>
          <w:szCs w:val="24"/>
        </w:rPr>
        <w:t>Thromb</w:t>
      </w:r>
      <w:proofErr w:type="spellEnd"/>
      <w:r w:rsidR="00F07176" w:rsidRPr="00F07176">
        <w:rPr>
          <w:rFonts w:ascii="Calibri" w:hAnsi="Calibri" w:cs="Calibri"/>
          <w:i/>
          <w:iCs/>
          <w:sz w:val="24"/>
          <w:szCs w:val="24"/>
        </w:rPr>
        <w:t xml:space="preserve"> </w:t>
      </w:r>
      <w:proofErr w:type="spellStart"/>
      <w:r w:rsidR="00F07176" w:rsidRPr="00F07176">
        <w:rPr>
          <w:rFonts w:ascii="Calibri" w:hAnsi="Calibri" w:cs="Calibri"/>
          <w:i/>
          <w:iCs/>
          <w:sz w:val="24"/>
          <w:szCs w:val="24"/>
        </w:rPr>
        <w:t>Hemost</w:t>
      </w:r>
      <w:proofErr w:type="spellEnd"/>
      <w:r w:rsidR="00F07176" w:rsidRPr="00F07176">
        <w:rPr>
          <w:rFonts w:ascii="Calibri" w:hAnsi="Calibri" w:cs="Calibri"/>
          <w:sz w:val="24"/>
          <w:szCs w:val="24"/>
        </w:rPr>
        <w:t xml:space="preserve">. </w:t>
      </w:r>
      <w:r w:rsidR="00F07176" w:rsidRPr="00F07176">
        <w:rPr>
          <w:rFonts w:ascii="Calibri" w:hAnsi="Calibri" w:cs="Calibri"/>
          <w:sz w:val="24"/>
          <w:szCs w:val="24"/>
          <w:lang w:val="de-DE"/>
        </w:rPr>
        <w:t>2015;41(1):68-74. doi:10.1055/s-0034-1398386</w:t>
      </w:r>
    </w:p>
    <w:p w14:paraId="74BBAD4B"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lang w:val="de-DE"/>
        </w:rPr>
        <w:t xml:space="preserve">2. </w:t>
      </w:r>
      <w:r w:rsidRPr="00F07176">
        <w:rPr>
          <w:rFonts w:ascii="Calibri" w:hAnsi="Calibri" w:cs="Calibri"/>
          <w:sz w:val="24"/>
          <w:szCs w:val="24"/>
          <w:lang w:val="de-DE"/>
        </w:rPr>
        <w:tab/>
        <w:t xml:space="preserve">Deitelzweig SB, Johnson BH, Lin J, Schulman KL. </w:t>
      </w:r>
      <w:r w:rsidRPr="00F07176">
        <w:rPr>
          <w:rFonts w:ascii="Calibri" w:hAnsi="Calibri" w:cs="Calibri"/>
          <w:sz w:val="24"/>
          <w:szCs w:val="24"/>
        </w:rPr>
        <w:t xml:space="preserve">Prevalence of clinical venous thromboembolism in the USA: Current trends and future projections. </w:t>
      </w:r>
      <w:r w:rsidRPr="00F07176">
        <w:rPr>
          <w:rFonts w:ascii="Calibri" w:hAnsi="Calibri" w:cs="Calibri"/>
          <w:i/>
          <w:iCs/>
          <w:sz w:val="24"/>
          <w:szCs w:val="24"/>
        </w:rPr>
        <w:t xml:space="preserve">Am J </w:t>
      </w:r>
      <w:proofErr w:type="spellStart"/>
      <w:r w:rsidRPr="00F07176">
        <w:rPr>
          <w:rFonts w:ascii="Calibri" w:hAnsi="Calibri" w:cs="Calibri"/>
          <w:i/>
          <w:iCs/>
          <w:sz w:val="24"/>
          <w:szCs w:val="24"/>
        </w:rPr>
        <w:t>Hematol</w:t>
      </w:r>
      <w:proofErr w:type="spellEnd"/>
      <w:r w:rsidRPr="00F07176">
        <w:rPr>
          <w:rFonts w:ascii="Calibri" w:hAnsi="Calibri" w:cs="Calibri"/>
          <w:sz w:val="24"/>
          <w:szCs w:val="24"/>
        </w:rPr>
        <w:t>. 2011;86(2):217-220. doi:10.1002/ajh.21917</w:t>
      </w:r>
    </w:p>
    <w:p w14:paraId="5EF4133A"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rPr>
        <w:t xml:space="preserve">3. </w:t>
      </w:r>
      <w:r w:rsidRPr="00F07176">
        <w:rPr>
          <w:rFonts w:ascii="Calibri" w:hAnsi="Calibri" w:cs="Calibri"/>
          <w:sz w:val="24"/>
          <w:szCs w:val="24"/>
        </w:rPr>
        <w:tab/>
      </w:r>
      <w:proofErr w:type="spellStart"/>
      <w:r w:rsidRPr="00F07176">
        <w:rPr>
          <w:rFonts w:ascii="Calibri" w:hAnsi="Calibri" w:cs="Calibri"/>
          <w:sz w:val="24"/>
          <w:szCs w:val="24"/>
        </w:rPr>
        <w:t>Flegal</w:t>
      </w:r>
      <w:proofErr w:type="spellEnd"/>
      <w:r w:rsidRPr="00F07176">
        <w:rPr>
          <w:rFonts w:ascii="Calibri" w:hAnsi="Calibri" w:cs="Calibri"/>
          <w:sz w:val="24"/>
          <w:szCs w:val="24"/>
        </w:rPr>
        <w:t xml:space="preserve"> KM, </w:t>
      </w:r>
      <w:proofErr w:type="spellStart"/>
      <w:r w:rsidRPr="00F07176">
        <w:rPr>
          <w:rFonts w:ascii="Calibri" w:hAnsi="Calibri" w:cs="Calibri"/>
          <w:sz w:val="24"/>
          <w:szCs w:val="24"/>
        </w:rPr>
        <w:t>Kruszon</w:t>
      </w:r>
      <w:proofErr w:type="spellEnd"/>
      <w:r w:rsidRPr="00F07176">
        <w:rPr>
          <w:rFonts w:ascii="Calibri" w:hAnsi="Calibri" w:cs="Calibri"/>
          <w:sz w:val="24"/>
          <w:szCs w:val="24"/>
        </w:rPr>
        <w:t xml:space="preserve">-Moran D, Carroll MD, Fryar CD, Ogden CL. Trends in Obesity Among Adults in the United States, 2005 to 2014. </w:t>
      </w:r>
      <w:r w:rsidRPr="00F07176">
        <w:rPr>
          <w:rFonts w:ascii="Calibri" w:hAnsi="Calibri" w:cs="Calibri"/>
          <w:i/>
          <w:iCs/>
          <w:sz w:val="24"/>
          <w:szCs w:val="24"/>
        </w:rPr>
        <w:t>JAMA</w:t>
      </w:r>
      <w:r w:rsidRPr="00F07176">
        <w:rPr>
          <w:rFonts w:ascii="Calibri" w:hAnsi="Calibri" w:cs="Calibri"/>
          <w:sz w:val="24"/>
          <w:szCs w:val="24"/>
        </w:rPr>
        <w:t>. 2016;315(21):2284. doi:10.1001/jama.2016.6458</w:t>
      </w:r>
    </w:p>
    <w:p w14:paraId="54927102"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rPr>
        <w:t xml:space="preserve">4. </w:t>
      </w:r>
      <w:r w:rsidRPr="00F07176">
        <w:rPr>
          <w:rFonts w:ascii="Calibri" w:hAnsi="Calibri" w:cs="Calibri"/>
          <w:sz w:val="24"/>
          <w:szCs w:val="24"/>
        </w:rPr>
        <w:tab/>
        <w:t xml:space="preserve">Hirsh J, Bauer KA, </w:t>
      </w:r>
      <w:proofErr w:type="spellStart"/>
      <w:r w:rsidRPr="00F07176">
        <w:rPr>
          <w:rFonts w:ascii="Calibri" w:hAnsi="Calibri" w:cs="Calibri"/>
          <w:sz w:val="24"/>
          <w:szCs w:val="24"/>
        </w:rPr>
        <w:t>Donati</w:t>
      </w:r>
      <w:proofErr w:type="spellEnd"/>
      <w:r w:rsidRPr="00F07176">
        <w:rPr>
          <w:rFonts w:ascii="Calibri" w:hAnsi="Calibri" w:cs="Calibri"/>
          <w:sz w:val="24"/>
          <w:szCs w:val="24"/>
        </w:rPr>
        <w:t xml:space="preserve"> MB, Gould M, </w:t>
      </w:r>
      <w:proofErr w:type="spellStart"/>
      <w:r w:rsidRPr="00F07176">
        <w:rPr>
          <w:rFonts w:ascii="Calibri" w:hAnsi="Calibri" w:cs="Calibri"/>
          <w:sz w:val="24"/>
          <w:szCs w:val="24"/>
        </w:rPr>
        <w:t>Samama</w:t>
      </w:r>
      <w:proofErr w:type="spellEnd"/>
      <w:r w:rsidRPr="00F07176">
        <w:rPr>
          <w:rFonts w:ascii="Calibri" w:hAnsi="Calibri" w:cs="Calibri"/>
          <w:sz w:val="24"/>
          <w:szCs w:val="24"/>
        </w:rPr>
        <w:t xml:space="preserve"> MM, Weitz JI. Parenteral anticoagulants: American College of Chest Physicians Evidence-Based Clinical Practice Guidelines (8th Edition). </w:t>
      </w:r>
      <w:r w:rsidRPr="00F07176">
        <w:rPr>
          <w:rFonts w:ascii="Calibri" w:hAnsi="Calibri" w:cs="Calibri"/>
          <w:i/>
          <w:iCs/>
          <w:sz w:val="24"/>
          <w:szCs w:val="24"/>
        </w:rPr>
        <w:t>Chest</w:t>
      </w:r>
      <w:r w:rsidRPr="00F07176">
        <w:rPr>
          <w:rFonts w:ascii="Calibri" w:hAnsi="Calibri" w:cs="Calibri"/>
          <w:sz w:val="24"/>
          <w:szCs w:val="24"/>
        </w:rPr>
        <w:t>. 2008;133(6 Suppl):141S-159S. doi:10.1378/chest.08-0689</w:t>
      </w:r>
    </w:p>
    <w:p w14:paraId="11064ADF" w14:textId="77777777" w:rsidR="00F07176" w:rsidRPr="00F07176" w:rsidRDefault="00F07176" w:rsidP="00F07176">
      <w:pPr>
        <w:pStyle w:val="Bibliography"/>
        <w:spacing w:line="240" w:lineRule="auto"/>
        <w:rPr>
          <w:rFonts w:ascii="Calibri" w:hAnsi="Calibri" w:cs="Calibri"/>
          <w:sz w:val="24"/>
          <w:szCs w:val="24"/>
          <w:lang w:val="de-DE"/>
        </w:rPr>
      </w:pPr>
      <w:r w:rsidRPr="00F07176">
        <w:rPr>
          <w:rFonts w:ascii="Calibri" w:hAnsi="Calibri" w:cs="Calibri"/>
          <w:sz w:val="24"/>
          <w:szCs w:val="24"/>
        </w:rPr>
        <w:t xml:space="preserve">5. </w:t>
      </w:r>
      <w:r w:rsidRPr="00F07176">
        <w:rPr>
          <w:rFonts w:ascii="Calibri" w:hAnsi="Calibri" w:cs="Calibri"/>
          <w:sz w:val="24"/>
          <w:szCs w:val="24"/>
        </w:rPr>
        <w:tab/>
      </w:r>
      <w:proofErr w:type="spellStart"/>
      <w:r w:rsidRPr="00F07176">
        <w:rPr>
          <w:rFonts w:ascii="Calibri" w:hAnsi="Calibri" w:cs="Calibri"/>
          <w:sz w:val="24"/>
          <w:szCs w:val="24"/>
        </w:rPr>
        <w:t>Vandvik</w:t>
      </w:r>
      <w:proofErr w:type="spellEnd"/>
      <w:r w:rsidRPr="00F07176">
        <w:rPr>
          <w:rFonts w:ascii="Calibri" w:hAnsi="Calibri" w:cs="Calibri"/>
          <w:sz w:val="24"/>
          <w:szCs w:val="24"/>
        </w:rPr>
        <w:t xml:space="preserve"> PO, </w:t>
      </w:r>
      <w:proofErr w:type="spellStart"/>
      <w:r w:rsidRPr="00F07176">
        <w:rPr>
          <w:rFonts w:ascii="Calibri" w:hAnsi="Calibri" w:cs="Calibri"/>
          <w:sz w:val="24"/>
          <w:szCs w:val="24"/>
        </w:rPr>
        <w:t>Lincoff</w:t>
      </w:r>
      <w:proofErr w:type="spellEnd"/>
      <w:r w:rsidRPr="00F07176">
        <w:rPr>
          <w:rFonts w:ascii="Calibri" w:hAnsi="Calibri" w:cs="Calibri"/>
          <w:sz w:val="24"/>
          <w:szCs w:val="24"/>
        </w:rPr>
        <w:t xml:space="preserve"> AM, Gore JM, et al. Primary and Secondary Prevention of Cardiovascular Disease. </w:t>
      </w:r>
      <w:r w:rsidRPr="00F07176">
        <w:rPr>
          <w:rFonts w:ascii="Calibri" w:hAnsi="Calibri" w:cs="Calibri"/>
          <w:i/>
          <w:iCs/>
          <w:sz w:val="24"/>
          <w:szCs w:val="24"/>
          <w:lang w:val="de-DE"/>
        </w:rPr>
        <w:t>Chest</w:t>
      </w:r>
      <w:r w:rsidRPr="00F07176">
        <w:rPr>
          <w:rFonts w:ascii="Calibri" w:hAnsi="Calibri" w:cs="Calibri"/>
          <w:sz w:val="24"/>
          <w:szCs w:val="24"/>
          <w:lang w:val="de-DE"/>
        </w:rPr>
        <w:t>. 2012;141(2 Suppl):e637S-e668S. doi:10.1378/chest.11-2306</w:t>
      </w:r>
    </w:p>
    <w:p w14:paraId="39730B21"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lang w:val="de-DE"/>
        </w:rPr>
        <w:t xml:space="preserve">6. </w:t>
      </w:r>
      <w:r w:rsidRPr="00F07176">
        <w:rPr>
          <w:rFonts w:ascii="Calibri" w:hAnsi="Calibri" w:cs="Calibri"/>
          <w:sz w:val="24"/>
          <w:szCs w:val="24"/>
          <w:lang w:val="de-DE"/>
        </w:rPr>
        <w:tab/>
        <w:t xml:space="preserve">Scholten DJ, Hoedema RM, Scholten SE. </w:t>
      </w:r>
      <w:r w:rsidRPr="00F07176">
        <w:rPr>
          <w:rFonts w:ascii="Calibri" w:hAnsi="Calibri" w:cs="Calibri"/>
          <w:sz w:val="24"/>
          <w:szCs w:val="24"/>
        </w:rPr>
        <w:t xml:space="preserve">A comparison of two different prophylactic dose regimens of low molecular weight heparin in bariatric surgery. </w:t>
      </w:r>
      <w:proofErr w:type="spellStart"/>
      <w:r w:rsidRPr="00F07176">
        <w:rPr>
          <w:rFonts w:ascii="Calibri" w:hAnsi="Calibri" w:cs="Calibri"/>
          <w:i/>
          <w:iCs/>
          <w:sz w:val="24"/>
          <w:szCs w:val="24"/>
        </w:rPr>
        <w:t>Obes</w:t>
      </w:r>
      <w:proofErr w:type="spellEnd"/>
      <w:r w:rsidRPr="00F07176">
        <w:rPr>
          <w:rFonts w:ascii="Calibri" w:hAnsi="Calibri" w:cs="Calibri"/>
          <w:i/>
          <w:iCs/>
          <w:sz w:val="24"/>
          <w:szCs w:val="24"/>
        </w:rPr>
        <w:t xml:space="preserve"> Surg</w:t>
      </w:r>
      <w:r w:rsidRPr="00F07176">
        <w:rPr>
          <w:rFonts w:ascii="Calibri" w:hAnsi="Calibri" w:cs="Calibri"/>
          <w:sz w:val="24"/>
          <w:szCs w:val="24"/>
        </w:rPr>
        <w:t>. 2002;12(1):19-24. doi:10.1381/096089202321144522</w:t>
      </w:r>
    </w:p>
    <w:p w14:paraId="0D7EBAB9"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rPr>
        <w:t xml:space="preserve">7. </w:t>
      </w:r>
      <w:r w:rsidRPr="00F07176">
        <w:rPr>
          <w:rFonts w:ascii="Calibri" w:hAnsi="Calibri" w:cs="Calibri"/>
          <w:sz w:val="24"/>
          <w:szCs w:val="24"/>
        </w:rPr>
        <w:tab/>
        <w:t xml:space="preserve">Stephenson ML, Serra AE, </w:t>
      </w:r>
      <w:proofErr w:type="spellStart"/>
      <w:r w:rsidRPr="00F07176">
        <w:rPr>
          <w:rFonts w:ascii="Calibri" w:hAnsi="Calibri" w:cs="Calibri"/>
          <w:sz w:val="24"/>
          <w:szCs w:val="24"/>
        </w:rPr>
        <w:t>Neeper</w:t>
      </w:r>
      <w:proofErr w:type="spellEnd"/>
      <w:r w:rsidRPr="00F07176">
        <w:rPr>
          <w:rFonts w:ascii="Calibri" w:hAnsi="Calibri" w:cs="Calibri"/>
          <w:sz w:val="24"/>
          <w:szCs w:val="24"/>
        </w:rPr>
        <w:t xml:space="preserve"> JM, Caballero DC, McNulty J. A randomized controlled trial of differing doses of </w:t>
      </w:r>
      <w:proofErr w:type="spellStart"/>
      <w:r w:rsidRPr="00F07176">
        <w:rPr>
          <w:rFonts w:ascii="Calibri" w:hAnsi="Calibri" w:cs="Calibri"/>
          <w:sz w:val="24"/>
          <w:szCs w:val="24"/>
        </w:rPr>
        <w:t>postcesarean</w:t>
      </w:r>
      <w:proofErr w:type="spellEnd"/>
      <w:r w:rsidRPr="00F07176">
        <w:rPr>
          <w:rFonts w:ascii="Calibri" w:hAnsi="Calibri" w:cs="Calibri"/>
          <w:sz w:val="24"/>
          <w:szCs w:val="24"/>
        </w:rPr>
        <w:t xml:space="preserve"> enoxaparin thromboprophylaxis in obese women. </w:t>
      </w:r>
      <w:r w:rsidRPr="00F07176">
        <w:rPr>
          <w:rFonts w:ascii="Calibri" w:hAnsi="Calibri" w:cs="Calibri"/>
          <w:i/>
          <w:iCs/>
          <w:sz w:val="24"/>
          <w:szCs w:val="24"/>
        </w:rPr>
        <w:t xml:space="preserve">J </w:t>
      </w:r>
      <w:proofErr w:type="spellStart"/>
      <w:r w:rsidRPr="00F07176">
        <w:rPr>
          <w:rFonts w:ascii="Calibri" w:hAnsi="Calibri" w:cs="Calibri"/>
          <w:i/>
          <w:iCs/>
          <w:sz w:val="24"/>
          <w:szCs w:val="24"/>
        </w:rPr>
        <w:t>Perinatol</w:t>
      </w:r>
      <w:proofErr w:type="spellEnd"/>
      <w:r w:rsidRPr="00F07176">
        <w:rPr>
          <w:rFonts w:ascii="Calibri" w:hAnsi="Calibri" w:cs="Calibri"/>
          <w:sz w:val="24"/>
          <w:szCs w:val="24"/>
        </w:rPr>
        <w:t>. 2016;36(2):95-99. doi:10.1038/jp.2015.130</w:t>
      </w:r>
    </w:p>
    <w:p w14:paraId="51CDF47E"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rPr>
        <w:lastRenderedPageBreak/>
        <w:t xml:space="preserve">8. </w:t>
      </w:r>
      <w:r w:rsidRPr="00F07176">
        <w:rPr>
          <w:rFonts w:ascii="Calibri" w:hAnsi="Calibri" w:cs="Calibri"/>
          <w:sz w:val="24"/>
          <w:szCs w:val="24"/>
        </w:rPr>
        <w:tab/>
        <w:t xml:space="preserve">Parikh S, </w:t>
      </w:r>
      <w:proofErr w:type="spellStart"/>
      <w:r w:rsidRPr="00F07176">
        <w:rPr>
          <w:rFonts w:ascii="Calibri" w:hAnsi="Calibri" w:cs="Calibri"/>
          <w:sz w:val="24"/>
          <w:szCs w:val="24"/>
        </w:rPr>
        <w:t>Jakeman</w:t>
      </w:r>
      <w:proofErr w:type="spellEnd"/>
      <w:r w:rsidRPr="00F07176">
        <w:rPr>
          <w:rFonts w:ascii="Calibri" w:hAnsi="Calibri" w:cs="Calibri"/>
          <w:sz w:val="24"/>
          <w:szCs w:val="24"/>
        </w:rPr>
        <w:t xml:space="preserve"> B, Walsh E, Townsend K, Burnett A. Adjusted-Dose Enoxaparin for VTE Prevention in the Morbidly Obese. </w:t>
      </w:r>
      <w:r w:rsidRPr="00F07176">
        <w:rPr>
          <w:rFonts w:ascii="Calibri" w:hAnsi="Calibri" w:cs="Calibri"/>
          <w:i/>
          <w:iCs/>
          <w:sz w:val="24"/>
          <w:szCs w:val="24"/>
        </w:rPr>
        <w:t xml:space="preserve">J Pharm Technol JPT Off </w:t>
      </w:r>
      <w:proofErr w:type="spellStart"/>
      <w:r w:rsidRPr="00F07176">
        <w:rPr>
          <w:rFonts w:ascii="Calibri" w:hAnsi="Calibri" w:cs="Calibri"/>
          <w:i/>
          <w:iCs/>
          <w:sz w:val="24"/>
          <w:szCs w:val="24"/>
        </w:rPr>
        <w:t>Publ</w:t>
      </w:r>
      <w:proofErr w:type="spellEnd"/>
      <w:r w:rsidRPr="00F07176">
        <w:rPr>
          <w:rFonts w:ascii="Calibri" w:hAnsi="Calibri" w:cs="Calibri"/>
          <w:i/>
          <w:iCs/>
          <w:sz w:val="24"/>
          <w:szCs w:val="24"/>
        </w:rPr>
        <w:t xml:space="preserve"> Assoc Pharm Tech</w:t>
      </w:r>
      <w:r w:rsidRPr="00F07176">
        <w:rPr>
          <w:rFonts w:ascii="Calibri" w:hAnsi="Calibri" w:cs="Calibri"/>
          <w:sz w:val="24"/>
          <w:szCs w:val="24"/>
        </w:rPr>
        <w:t>. 2015;31(6):282-288. doi:10.1177/8755122515593381</w:t>
      </w:r>
    </w:p>
    <w:p w14:paraId="652962D5" w14:textId="77777777" w:rsidR="00F07176" w:rsidRPr="00F07176" w:rsidRDefault="00F07176" w:rsidP="00F07176">
      <w:pPr>
        <w:pStyle w:val="Bibliography"/>
        <w:spacing w:line="240" w:lineRule="auto"/>
        <w:rPr>
          <w:rFonts w:ascii="Calibri" w:hAnsi="Calibri" w:cs="Calibri"/>
          <w:sz w:val="24"/>
          <w:szCs w:val="24"/>
        </w:rPr>
      </w:pPr>
      <w:r w:rsidRPr="00F07176">
        <w:rPr>
          <w:rFonts w:ascii="Calibri" w:hAnsi="Calibri" w:cs="Calibri"/>
          <w:sz w:val="24"/>
          <w:szCs w:val="24"/>
          <w:lang w:val="de-DE"/>
        </w:rPr>
        <w:t xml:space="preserve">9. </w:t>
      </w:r>
      <w:r w:rsidRPr="00F07176">
        <w:rPr>
          <w:rFonts w:ascii="Calibri" w:hAnsi="Calibri" w:cs="Calibri"/>
          <w:sz w:val="24"/>
          <w:szCs w:val="24"/>
          <w:lang w:val="de-DE"/>
        </w:rPr>
        <w:tab/>
        <w:t xml:space="preserve">Borkgren-Okonek MJ, Hart RW, Pantano JE, et al. </w:t>
      </w:r>
      <w:r w:rsidRPr="00F07176">
        <w:rPr>
          <w:rFonts w:ascii="Calibri" w:hAnsi="Calibri" w:cs="Calibri"/>
          <w:sz w:val="24"/>
          <w:szCs w:val="24"/>
        </w:rPr>
        <w:t xml:space="preserve">Enoxaparin thromboprophylaxis in gastric bypass patients: extended duration, dose stratification, and </w:t>
      </w:r>
      <w:proofErr w:type="spellStart"/>
      <w:r w:rsidRPr="00F07176">
        <w:rPr>
          <w:rFonts w:ascii="Calibri" w:hAnsi="Calibri" w:cs="Calibri"/>
          <w:sz w:val="24"/>
          <w:szCs w:val="24"/>
        </w:rPr>
        <w:t>antifactor</w:t>
      </w:r>
      <w:proofErr w:type="spellEnd"/>
      <w:r w:rsidRPr="00F07176">
        <w:rPr>
          <w:rFonts w:ascii="Calibri" w:hAnsi="Calibri" w:cs="Calibri"/>
          <w:sz w:val="24"/>
          <w:szCs w:val="24"/>
        </w:rPr>
        <w:t xml:space="preserve"> </w:t>
      </w:r>
      <w:proofErr w:type="spellStart"/>
      <w:r w:rsidRPr="00F07176">
        <w:rPr>
          <w:rFonts w:ascii="Calibri" w:hAnsi="Calibri" w:cs="Calibri"/>
          <w:sz w:val="24"/>
          <w:szCs w:val="24"/>
        </w:rPr>
        <w:t>Xa</w:t>
      </w:r>
      <w:proofErr w:type="spellEnd"/>
      <w:r w:rsidRPr="00F07176">
        <w:rPr>
          <w:rFonts w:ascii="Calibri" w:hAnsi="Calibri" w:cs="Calibri"/>
          <w:sz w:val="24"/>
          <w:szCs w:val="24"/>
        </w:rPr>
        <w:t xml:space="preserve"> activity. </w:t>
      </w:r>
      <w:r w:rsidRPr="00F07176">
        <w:rPr>
          <w:rFonts w:ascii="Calibri" w:hAnsi="Calibri" w:cs="Calibri"/>
          <w:i/>
          <w:iCs/>
          <w:sz w:val="24"/>
          <w:szCs w:val="24"/>
        </w:rPr>
        <w:t xml:space="preserve">Surg </w:t>
      </w:r>
      <w:proofErr w:type="spellStart"/>
      <w:r w:rsidRPr="00F07176">
        <w:rPr>
          <w:rFonts w:ascii="Calibri" w:hAnsi="Calibri" w:cs="Calibri"/>
          <w:i/>
          <w:iCs/>
          <w:sz w:val="24"/>
          <w:szCs w:val="24"/>
        </w:rPr>
        <w:t>Obes</w:t>
      </w:r>
      <w:proofErr w:type="spellEnd"/>
      <w:r w:rsidRPr="00F07176">
        <w:rPr>
          <w:rFonts w:ascii="Calibri" w:hAnsi="Calibri" w:cs="Calibri"/>
          <w:i/>
          <w:iCs/>
          <w:sz w:val="24"/>
          <w:szCs w:val="24"/>
        </w:rPr>
        <w:t xml:space="preserve"> </w:t>
      </w:r>
      <w:proofErr w:type="spellStart"/>
      <w:r w:rsidRPr="00F07176">
        <w:rPr>
          <w:rFonts w:ascii="Calibri" w:hAnsi="Calibri" w:cs="Calibri"/>
          <w:i/>
          <w:iCs/>
          <w:sz w:val="24"/>
          <w:szCs w:val="24"/>
        </w:rPr>
        <w:t>Relat</w:t>
      </w:r>
      <w:proofErr w:type="spellEnd"/>
      <w:r w:rsidRPr="00F07176">
        <w:rPr>
          <w:rFonts w:ascii="Calibri" w:hAnsi="Calibri" w:cs="Calibri"/>
          <w:i/>
          <w:iCs/>
          <w:sz w:val="24"/>
          <w:szCs w:val="24"/>
        </w:rPr>
        <w:t xml:space="preserve"> Dis</w:t>
      </w:r>
      <w:r w:rsidRPr="00F07176">
        <w:rPr>
          <w:rFonts w:ascii="Calibri" w:hAnsi="Calibri" w:cs="Calibri"/>
          <w:sz w:val="24"/>
          <w:szCs w:val="24"/>
        </w:rPr>
        <w:t xml:space="preserve">. 2008;4(5):625-631. </w:t>
      </w:r>
      <w:proofErr w:type="gramStart"/>
      <w:r w:rsidRPr="00F07176">
        <w:rPr>
          <w:rFonts w:ascii="Calibri" w:hAnsi="Calibri" w:cs="Calibri"/>
          <w:sz w:val="24"/>
          <w:szCs w:val="24"/>
        </w:rPr>
        <w:t>doi:10.1016/j.soard</w:t>
      </w:r>
      <w:proofErr w:type="gramEnd"/>
      <w:r w:rsidRPr="00F07176">
        <w:rPr>
          <w:rFonts w:ascii="Calibri" w:hAnsi="Calibri" w:cs="Calibri"/>
          <w:sz w:val="24"/>
          <w:szCs w:val="24"/>
        </w:rPr>
        <w:t>.2007.11.010</w:t>
      </w:r>
    </w:p>
    <w:p w14:paraId="3B51E500" w14:textId="5AE73A62" w:rsidR="003E2C7D" w:rsidRPr="00034127" w:rsidRDefault="003E2C7D" w:rsidP="00F07176">
      <w:pPr>
        <w:pStyle w:val="NoSpacing"/>
        <w:rPr>
          <w:rFonts w:cstheme="minorHAnsi"/>
          <w:b/>
          <w:bCs/>
          <w:sz w:val="24"/>
          <w:szCs w:val="24"/>
        </w:rPr>
      </w:pPr>
      <w:r w:rsidRPr="00034127">
        <w:rPr>
          <w:rFonts w:cstheme="minorHAnsi"/>
          <w:b/>
          <w:bCs/>
          <w:sz w:val="24"/>
          <w:szCs w:val="24"/>
        </w:rPr>
        <w:fldChar w:fldCharType="end"/>
      </w:r>
    </w:p>
    <w:p w14:paraId="4FCAFA47" w14:textId="77777777" w:rsidR="003E2C7D" w:rsidRPr="00034127" w:rsidRDefault="003E2C7D" w:rsidP="003E2C7D">
      <w:pPr>
        <w:rPr>
          <w:rFonts w:cstheme="minorHAnsi"/>
          <w:b/>
          <w:bCs/>
          <w:sz w:val="24"/>
          <w:szCs w:val="24"/>
        </w:rPr>
      </w:pPr>
    </w:p>
    <w:p w14:paraId="38F0685C" w14:textId="77777777" w:rsidR="003E2C7D" w:rsidRPr="00034127" w:rsidRDefault="003E2C7D" w:rsidP="003E2C7D">
      <w:pPr>
        <w:rPr>
          <w:rFonts w:cstheme="minorHAnsi"/>
          <w:sz w:val="24"/>
          <w:szCs w:val="24"/>
        </w:rPr>
      </w:pPr>
    </w:p>
    <w:p w14:paraId="47979BD3" w14:textId="0D2B348F" w:rsidR="00E4364D" w:rsidRPr="00034127" w:rsidRDefault="00E4364D" w:rsidP="003E2C7D">
      <w:pPr>
        <w:rPr>
          <w:rFonts w:cstheme="minorHAnsi"/>
          <w:sz w:val="24"/>
          <w:szCs w:val="24"/>
        </w:rPr>
      </w:pPr>
    </w:p>
    <w:sectPr w:rsidR="00E4364D" w:rsidRPr="0003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DB2"/>
    <w:multiLevelType w:val="hybridMultilevel"/>
    <w:tmpl w:val="63285280"/>
    <w:lvl w:ilvl="0" w:tplc="29FAC46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729E1"/>
    <w:multiLevelType w:val="hybridMultilevel"/>
    <w:tmpl w:val="FBCA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F69D4"/>
    <w:multiLevelType w:val="hybridMultilevel"/>
    <w:tmpl w:val="6B143A22"/>
    <w:lvl w:ilvl="0" w:tplc="15E2CA74">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7608E"/>
    <w:multiLevelType w:val="hybridMultilevel"/>
    <w:tmpl w:val="665A241C"/>
    <w:lvl w:ilvl="0" w:tplc="B1B05A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94F13"/>
    <w:multiLevelType w:val="hybridMultilevel"/>
    <w:tmpl w:val="160AEAB8"/>
    <w:lvl w:ilvl="0" w:tplc="C96CD2DE">
      <w:numFmt w:val="bullet"/>
      <w:lvlText w:val="-"/>
      <w:lvlJc w:val="left"/>
      <w:pPr>
        <w:ind w:left="720" w:hanging="360"/>
      </w:pPr>
      <w:rPr>
        <w:rFonts w:ascii="Segoe UI" w:eastAsiaTheme="minorHAnsi" w:hAnsi="Segoe UI" w:cs="Segoe UI" w:hint="default"/>
        <w:b w:val="0"/>
        <w:color w:val="21252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6B"/>
    <w:rsid w:val="00034127"/>
    <w:rsid w:val="00040414"/>
    <w:rsid w:val="00045540"/>
    <w:rsid w:val="00056FF2"/>
    <w:rsid w:val="00075AA5"/>
    <w:rsid w:val="000E21EB"/>
    <w:rsid w:val="000E5813"/>
    <w:rsid w:val="0011265A"/>
    <w:rsid w:val="00165529"/>
    <w:rsid w:val="001A5255"/>
    <w:rsid w:val="001A58ED"/>
    <w:rsid w:val="001B7D9A"/>
    <w:rsid w:val="001C2461"/>
    <w:rsid w:val="0022022D"/>
    <w:rsid w:val="002B1782"/>
    <w:rsid w:val="0030306B"/>
    <w:rsid w:val="003E2C7D"/>
    <w:rsid w:val="003F1C9A"/>
    <w:rsid w:val="00403E8F"/>
    <w:rsid w:val="00493F87"/>
    <w:rsid w:val="004C3B1F"/>
    <w:rsid w:val="004E43F5"/>
    <w:rsid w:val="004F7B95"/>
    <w:rsid w:val="00540493"/>
    <w:rsid w:val="00550AC1"/>
    <w:rsid w:val="005C3434"/>
    <w:rsid w:val="0062707F"/>
    <w:rsid w:val="006A43A0"/>
    <w:rsid w:val="006C2E7D"/>
    <w:rsid w:val="006D45B7"/>
    <w:rsid w:val="00744A31"/>
    <w:rsid w:val="00781812"/>
    <w:rsid w:val="00825363"/>
    <w:rsid w:val="008915F7"/>
    <w:rsid w:val="00894C3E"/>
    <w:rsid w:val="009A1DDC"/>
    <w:rsid w:val="009A5E31"/>
    <w:rsid w:val="009D6BE6"/>
    <w:rsid w:val="00A95E30"/>
    <w:rsid w:val="00AD1505"/>
    <w:rsid w:val="00AD281C"/>
    <w:rsid w:val="00AF424C"/>
    <w:rsid w:val="00B21E89"/>
    <w:rsid w:val="00B91AC0"/>
    <w:rsid w:val="00BD5605"/>
    <w:rsid w:val="00BF701E"/>
    <w:rsid w:val="00C20643"/>
    <w:rsid w:val="00C55D39"/>
    <w:rsid w:val="00C828D3"/>
    <w:rsid w:val="00CA0D1A"/>
    <w:rsid w:val="00DD6E82"/>
    <w:rsid w:val="00E4364D"/>
    <w:rsid w:val="00E46EC0"/>
    <w:rsid w:val="00E715F8"/>
    <w:rsid w:val="00F07176"/>
    <w:rsid w:val="00F46BDB"/>
    <w:rsid w:val="00F7388E"/>
    <w:rsid w:val="00F755D9"/>
    <w:rsid w:val="00FA2DB5"/>
    <w:rsid w:val="00FF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9586"/>
  <w15:chartTrackingRefBased/>
  <w15:docId w15:val="{F9EC8FE4-3294-4214-A629-A081DE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06B"/>
    <w:pPr>
      <w:spacing w:after="0" w:line="240" w:lineRule="auto"/>
    </w:pPr>
  </w:style>
  <w:style w:type="paragraph" w:styleId="Bibliography">
    <w:name w:val="Bibliography"/>
    <w:basedOn w:val="Normal"/>
    <w:next w:val="Normal"/>
    <w:uiPriority w:val="37"/>
    <w:unhideWhenUsed/>
    <w:rsid w:val="00BD5605"/>
    <w:pPr>
      <w:spacing w:after="0" w:line="480" w:lineRule="auto"/>
      <w:ind w:left="720" w:hanging="720"/>
    </w:pPr>
  </w:style>
  <w:style w:type="character" w:styleId="CommentReference">
    <w:name w:val="annotation reference"/>
    <w:basedOn w:val="DefaultParagraphFont"/>
    <w:uiPriority w:val="99"/>
    <w:semiHidden/>
    <w:unhideWhenUsed/>
    <w:rsid w:val="000E5813"/>
    <w:rPr>
      <w:sz w:val="16"/>
      <w:szCs w:val="16"/>
    </w:rPr>
  </w:style>
  <w:style w:type="paragraph" w:styleId="CommentText">
    <w:name w:val="annotation text"/>
    <w:basedOn w:val="Normal"/>
    <w:link w:val="CommentTextChar"/>
    <w:uiPriority w:val="99"/>
    <w:semiHidden/>
    <w:unhideWhenUsed/>
    <w:rsid w:val="000E5813"/>
    <w:pPr>
      <w:spacing w:line="240" w:lineRule="auto"/>
    </w:pPr>
    <w:rPr>
      <w:sz w:val="20"/>
      <w:szCs w:val="20"/>
    </w:rPr>
  </w:style>
  <w:style w:type="character" w:customStyle="1" w:styleId="CommentTextChar">
    <w:name w:val="Comment Text Char"/>
    <w:basedOn w:val="DefaultParagraphFont"/>
    <w:link w:val="CommentText"/>
    <w:uiPriority w:val="99"/>
    <w:semiHidden/>
    <w:rsid w:val="000E58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5347</Words>
  <Characters>30480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Wright</dc:creator>
  <cp:keywords/>
  <dc:description/>
  <cp:lastModifiedBy>Evan Wright</cp:lastModifiedBy>
  <cp:revision>4</cp:revision>
  <dcterms:created xsi:type="dcterms:W3CDTF">2021-08-20T18:23:00Z</dcterms:created>
  <dcterms:modified xsi:type="dcterms:W3CDTF">2021-08-20T22:04:00Z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id="Vtcd42E2"/&gt;&lt;style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y fmtid="{D5CDD505-2E9C-101B-9397-08002B2CF9AE}" pid="4" name="ZOTERO_BREF_psjRp2Y0CLZN_1">
    <vt:lpwstr>ZOTERO_ITEM CSL_CITATION {"citationID":"VsRGOuxa","properties":{"formattedCitation":"(Boonyawat &amp; Crowther, 2015)","plainCitation":"(Boonyawat &amp; Crowther, 2015)","noteIndex":0},"citationItems":[{"id":25,"uris":["http://zotero.org/users/local/PF38rE1d/item</vt:lpwstr>
  </property>
  <property fmtid="{D5CDD505-2E9C-101B-9397-08002B2CF9AE}" pid="5" name="ZOTERO_BREF_psjRp2Y0CLZN_2">
    <vt:lpwstr>s/S734AVBC"],"uri":["http://zotero.org/users/local/PF38rE1d/items/S734AVBC"],"itemData":{"id":25,"type":"article-journal","abstract":"Venous thromboembolism (VTE), including deep vein thrombosis (DVT) and pulmonary embolism (PE), is recognized as a common</vt:lpwstr>
  </property>
  <property fmtid="{D5CDD505-2E9C-101B-9397-08002B2CF9AE}" pid="6" name="ZOTERO_BREF_psjRp2Y0CLZN_3">
    <vt:lpwstr> complication in critically ill patients. Risk factors including critical illness, mechanical ventilation, sedative medications, and central venous catheter insertion are major contributing factors to the high risk of VTE. Because of their impaired cardio</vt:lpwstr>
  </property>
  <property fmtid="{D5CDD505-2E9C-101B-9397-08002B2CF9AE}" pid="7" name="ZOTERO_BREF_psjRp2Y0CLZN_4">
    <vt:lpwstr>pulmonary reserve, PE arising from thrombosis in the deep veins of the calf that propagates proximally is poorly tolerated by critically ill patients. Pharmacologic prophylaxis with unfractionated heparin (UFH) or low-molecular-weight heparin (LMWH) has b</vt:lpwstr>
  </property>
  <property fmtid="{D5CDD505-2E9C-101B-9397-08002B2CF9AE}" pid="8" name="ZOTERO_BREF_psjRp2Y0CLZN_5">
    <vt:lpwstr>een shown to decrease the incidence of VTE in medical, surgical, and critically ill patients. As a result, over the past decades, VTE prophylaxis had become a standard of preventive measure in the intensive care unit (ICU). In clinical practice, the rate </vt:lpwstr>
  </property>
  <property fmtid="{D5CDD505-2E9C-101B-9397-08002B2CF9AE}" pid="9" name="ZOTERO_BREF_psjRp2Y0CLZN_6">
    <vt:lpwstr>of VTE prophylaxis varies and may be inadequate in some centers. A perception of a high bleeding risk in critically ill patients is a major concern for most physicians that may lead to inadequate prophylaxis.","container-title":"Seminars in Thrombosis and</vt:lpwstr>
  </property>
  <property fmtid="{D5CDD505-2E9C-101B-9397-08002B2CF9AE}" pid="10" name="ZOTERO_BREF_psjRp2Y0CLZN_7">
    <vt:lpwstr> Hemostasis","DOI":"10.1055/s-0034-1398386","ISSN":"0094-6176, 1098-9064","issue":"1","journalAbbreviation":"Semin Thromb Hemost","language":"en","note":"publisher: Thieme Medical Publishers","page":"68-74","source":"www.thieme-connect.com","title":"Venou</vt:lpwstr>
  </property>
  <property fmtid="{D5CDD505-2E9C-101B-9397-08002B2CF9AE}" pid="11" name="ZOTERO_BREF_psjRp2Y0CLZN_8">
    <vt:lpwstr>s Thromboembolism Prophylaxis in Critically Ill Patients","volume":"41","author":[{"family":"Boonyawat","given":"Kochawan"},{"family":"Crowther","given":"Mark A."}],"issued":{"date-parts":[["2015",2]]}}}],"schema":"https://github.com/citation-style-langua</vt:lpwstr>
  </property>
  <property fmtid="{D5CDD505-2E9C-101B-9397-08002B2CF9AE}" pid="12" name="ZOTERO_BREF_psjRp2Y0CLZN_9">
    <vt:lpwstr>ge/schema/raw/master/csl-citation.json"}</vt:lpwstr>
  </property>
  <property fmtid="{D5CDD505-2E9C-101B-9397-08002B2CF9AE}" pid="13" name="ZOTERO_BREF_RBk7LLsL01bD_1">
    <vt:lpwstr>ZOTERO_TEMP</vt:lpwstr>
  </property>
  <property fmtid="{D5CDD505-2E9C-101B-9397-08002B2CF9AE}" pid="14" name="ZOTERO_BREF_172lpjGY0WDb_1">
    <vt:lpwstr>ZOTERO_ITEM CSL_CITATION {"citationID":"0vUiA592","properties":{"formattedCitation":"(Boonyawat &amp; Crowther, 2015)","plainCitation":"(Boonyawat &amp; Crowther, 2015)","noteIndex":0},"citationItems":[{"id":25,"uris":["http://zotero.org/users/local/PF38rE1d/item</vt:lpwstr>
  </property>
  <property fmtid="{D5CDD505-2E9C-101B-9397-08002B2CF9AE}" pid="15" name="ZOTERO_BREF_172lpjGY0WDb_2">
    <vt:lpwstr>s/S734AVBC"],"uri":["http://zotero.org/users/local/PF38rE1d/items/S734AVBC"],"itemData":{"id":25,"type":"article-journal","abstract":"Venous thromboembolism (VTE), including deep vein thrombosis (DVT) and pulmonary embolism (PE), is recognized as a common</vt:lpwstr>
  </property>
  <property fmtid="{D5CDD505-2E9C-101B-9397-08002B2CF9AE}" pid="16" name="ZOTERO_BREF_172lpjGY0WDb_3">
    <vt:lpwstr> complication in critically ill patients. Risk factors including critical illness, mechanical ventilation, sedative medications, and central venous catheter insertion are major contributing factors to the high risk of VTE. Because of their impaired cardio</vt:lpwstr>
  </property>
  <property fmtid="{D5CDD505-2E9C-101B-9397-08002B2CF9AE}" pid="17" name="ZOTERO_BREF_172lpjGY0WDb_4">
    <vt:lpwstr>pulmonary reserve, PE arising from thrombosis in the deep veins of the calf that propagates proximally is poorly tolerated by critically ill patients. Pharmacologic prophylaxis with unfractionated heparin (UFH) or low-molecular-weight heparin (LMWH) has b</vt:lpwstr>
  </property>
  <property fmtid="{D5CDD505-2E9C-101B-9397-08002B2CF9AE}" pid="18" name="ZOTERO_BREF_172lpjGY0WDb_5">
    <vt:lpwstr>een shown to decrease the incidence of VTE in medical, surgical, and critically ill patients. As a result, over the past decades, VTE prophylaxis had become a standard of preventive measure in the intensive care unit (ICU). In clinical practice, the rate </vt:lpwstr>
  </property>
  <property fmtid="{D5CDD505-2E9C-101B-9397-08002B2CF9AE}" pid="19" name="ZOTERO_BREF_172lpjGY0WDb_6">
    <vt:lpwstr>of VTE prophylaxis varies and may be inadequate in some centers. A perception of a high bleeding risk in critically ill patients is a major concern for most physicians that may lead to inadequate prophylaxis.","container-title":"Seminars in Thrombosis and</vt:lpwstr>
  </property>
  <property fmtid="{D5CDD505-2E9C-101B-9397-08002B2CF9AE}" pid="20" name="ZOTERO_BREF_172lpjGY0WDb_7">
    <vt:lpwstr> Hemostasis","DOI":"10.1055/s-0034-1398386","ISSN":"0094-6176, 1098-9064","issue":"1","journalAbbreviation":"Semin Thromb Hemost","language":"en","note":"publisher: Thieme Medical Publishers","page":"68-74","source":"www.thieme-connect.com","title":"Venou</vt:lpwstr>
  </property>
  <property fmtid="{D5CDD505-2E9C-101B-9397-08002B2CF9AE}" pid="21" name="ZOTERO_BREF_172lpjGY0WDb_8">
    <vt:lpwstr>s Thromboembolism Prophylaxis in Critically Ill Patients","volume":"41","author":[{"family":"Boonyawat","given":"Kochawan"},{"family":"Crowther","given":"Mark A."}],"issued":{"date-parts":[["2015",2]]}}}],"schema":"https://github.com/citation-style-langua</vt:lpwstr>
  </property>
  <property fmtid="{D5CDD505-2E9C-101B-9397-08002B2CF9AE}" pid="22" name="ZOTERO_BREF_172lpjGY0WDb_9">
    <vt:lpwstr>ge/schema/raw/master/csl-citation.json"}</vt:lpwstr>
  </property>
</Properties>
</file>