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A7DEA" w14:textId="1AA1A6B6" w:rsidR="001148A7" w:rsidRDefault="00B112E1" w:rsidP="00AB2675">
      <w:pPr>
        <w:jc w:val="right"/>
      </w:pPr>
      <w:r>
        <w:t>Camille Troyer</w:t>
      </w:r>
    </w:p>
    <w:p w14:paraId="468543EC" w14:textId="4E75F71B" w:rsidR="00B112E1" w:rsidRDefault="00AB2675" w:rsidP="00AB2675">
      <w:pPr>
        <w:jc w:val="right"/>
      </w:pPr>
      <w:r>
        <w:t>Christopher Berger</w:t>
      </w:r>
    </w:p>
    <w:p w14:paraId="64D6711C" w14:textId="77777777" w:rsidR="00AB2675" w:rsidRDefault="00AB2675" w:rsidP="00AB2675">
      <w:pPr>
        <w:jc w:val="right"/>
      </w:pPr>
    </w:p>
    <w:p w14:paraId="52FEAB8E" w14:textId="13F49EB4" w:rsidR="00AB2675" w:rsidRDefault="00AB2675" w:rsidP="00A522F0">
      <w:pPr>
        <w:jc w:val="right"/>
      </w:pPr>
      <w:r>
        <w:t>Participate in Protocol Critique? No</w:t>
      </w:r>
    </w:p>
    <w:p w14:paraId="095B706C" w14:textId="77777777" w:rsidR="00A522F0" w:rsidRDefault="00A522F0"/>
    <w:p w14:paraId="7CB06FFD" w14:textId="4C4C2883" w:rsidR="00B112E1" w:rsidRDefault="00AB2675">
      <w:r w:rsidRPr="00A522F0">
        <w:rPr>
          <w:b/>
          <w:bCs/>
          <w:u w:val="single"/>
        </w:rPr>
        <w:t>Evaluation of Standard versus Reduced Dose Apixaban for the Treatment of Venous Thromboembolism (VTE) in Patients with Severe Renal Disease</w:t>
      </w:r>
      <w:r>
        <w:t xml:space="preserve">. </w:t>
      </w:r>
    </w:p>
    <w:p w14:paraId="3E5D0223" w14:textId="50466999" w:rsidR="00B112E1" w:rsidRDefault="00B112E1"/>
    <w:p w14:paraId="384DEA53" w14:textId="6F7C6EA7" w:rsidR="00A522F0" w:rsidRDefault="00A522F0">
      <w:r>
        <w:t>Lead Investigators:</w:t>
      </w:r>
    </w:p>
    <w:p w14:paraId="079DAC53" w14:textId="5F791538" w:rsidR="00A522F0" w:rsidRDefault="00A522F0" w:rsidP="00A522F0">
      <w:r>
        <w:t>Camille Troyer, Pharm.D. (UCSF)</w:t>
      </w:r>
    </w:p>
    <w:p w14:paraId="1D22E3D7" w14:textId="240E8278" w:rsidR="00A522F0" w:rsidRDefault="00A522F0" w:rsidP="00A522F0">
      <w:r>
        <w:t xml:space="preserve">Parker </w:t>
      </w:r>
      <w:proofErr w:type="spellStart"/>
      <w:r>
        <w:t>Knueppel</w:t>
      </w:r>
      <w:proofErr w:type="spellEnd"/>
      <w:r>
        <w:t>, Pharm.D. (UCD)</w:t>
      </w:r>
    </w:p>
    <w:p w14:paraId="03E85C5C" w14:textId="77951108" w:rsidR="00A522F0" w:rsidRDefault="00A522F0" w:rsidP="00A522F0">
      <w:r>
        <w:t xml:space="preserve">Alyssa </w:t>
      </w:r>
      <w:proofErr w:type="spellStart"/>
      <w:r>
        <w:t>Barriga</w:t>
      </w:r>
      <w:proofErr w:type="spellEnd"/>
      <w:r>
        <w:t>, Pharm.D. (UCI)</w:t>
      </w:r>
    </w:p>
    <w:p w14:paraId="6E84BC80" w14:textId="13ADDE61" w:rsidR="00A522F0" w:rsidRDefault="00A522F0" w:rsidP="00A522F0">
      <w:r>
        <w:t>Eileen Bang, Pharm.D. (UCSD)</w:t>
      </w:r>
    </w:p>
    <w:p w14:paraId="00F84A48" w14:textId="77777777" w:rsidR="00A522F0" w:rsidRDefault="00A522F0"/>
    <w:p w14:paraId="3516702D" w14:textId="444564B0" w:rsidR="00AB2675" w:rsidRDefault="00AB2675">
      <w:pPr>
        <w:rPr>
          <w:b/>
          <w:bCs/>
        </w:rPr>
      </w:pPr>
      <w:r w:rsidRPr="00AB2675">
        <w:rPr>
          <w:b/>
          <w:bCs/>
        </w:rPr>
        <w:t>Abstract:</w:t>
      </w:r>
    </w:p>
    <w:p w14:paraId="35349F3C" w14:textId="77777777" w:rsidR="00A522F0" w:rsidRPr="00AB2675" w:rsidRDefault="00A522F0">
      <w:pPr>
        <w:rPr>
          <w:b/>
          <w:bCs/>
          <w:u w:val="single"/>
        </w:rPr>
      </w:pPr>
    </w:p>
    <w:p w14:paraId="150247BE" w14:textId="77777777" w:rsidR="00AB2675" w:rsidRPr="00AB2675" w:rsidRDefault="00AB2675" w:rsidP="00AB2675">
      <w:pPr>
        <w:rPr>
          <w:rFonts w:eastAsia="Times New Roman" w:cs="Times New Roman"/>
        </w:rPr>
      </w:pPr>
      <w:r w:rsidRPr="00AB2675">
        <w:rPr>
          <w:rFonts w:eastAsia="Times New Roman" w:cs="Times New Roman"/>
          <w:color w:val="000000"/>
          <w:shd w:val="clear" w:color="auto" w:fill="FFFFFF"/>
        </w:rPr>
        <w:t>This is a retrospective cohort study with convenience sampling across University of California, San Francisco (UCSF), University of California, San Diego (UCSD), University of California, Irvine (UCI), and University of California, Davis (UCD) Medical Centers that aims to identify if there is a difference in bleeding events in patients with ESRD and VTE on apixaban 5 mg twice daily versus 2.5 mg twice daily. It will include a retrospective chart review of patients hospitalized at these medical centers from January 1</w:t>
      </w:r>
      <w:r w:rsidRPr="00AB2675">
        <w:rPr>
          <w:rFonts w:eastAsia="Times New Roman" w:cs="Times New Roman"/>
          <w:color w:val="000000"/>
          <w:shd w:val="clear" w:color="auto" w:fill="FFFFFF"/>
          <w:vertAlign w:val="superscript"/>
        </w:rPr>
        <w:t>st</w:t>
      </w:r>
      <w:r w:rsidRPr="00AB2675">
        <w:rPr>
          <w:rFonts w:eastAsia="Times New Roman" w:cs="Times New Roman"/>
          <w:color w:val="000000"/>
          <w:shd w:val="clear" w:color="auto" w:fill="FFFFFF"/>
        </w:rPr>
        <w:t>, 2013 – August 31</w:t>
      </w:r>
      <w:r w:rsidRPr="00AB2675">
        <w:rPr>
          <w:rFonts w:eastAsia="Times New Roman" w:cs="Times New Roman"/>
          <w:color w:val="000000"/>
          <w:shd w:val="clear" w:color="auto" w:fill="FFFFFF"/>
          <w:vertAlign w:val="superscript"/>
        </w:rPr>
        <w:t>st</w:t>
      </w:r>
      <w:r w:rsidRPr="00AB2675">
        <w:rPr>
          <w:rFonts w:eastAsia="Times New Roman" w:cs="Times New Roman"/>
          <w:color w:val="000000"/>
          <w:shd w:val="clear" w:color="auto" w:fill="FFFFFF"/>
        </w:rPr>
        <w:t>, 2021.</w:t>
      </w:r>
    </w:p>
    <w:p w14:paraId="74AB0933" w14:textId="7EFF4B63" w:rsidR="00F94836" w:rsidRDefault="00F94836"/>
    <w:p w14:paraId="715329A4" w14:textId="77777777" w:rsidR="00A522F0" w:rsidRDefault="00AB2675" w:rsidP="00AB2675">
      <w:r w:rsidRPr="00AB2675">
        <w:rPr>
          <w:b/>
          <w:bCs/>
        </w:rPr>
        <w:t>Research Question:</w:t>
      </w:r>
      <w:r>
        <w:t xml:space="preserve"> </w:t>
      </w:r>
    </w:p>
    <w:p w14:paraId="020B2438" w14:textId="77777777" w:rsidR="00A522F0" w:rsidRDefault="00A522F0" w:rsidP="00AB2675"/>
    <w:p w14:paraId="3E8C7D3B" w14:textId="1E7177BC" w:rsidR="00AB2675" w:rsidRPr="00172153" w:rsidRDefault="00AB2675" w:rsidP="00AB2675">
      <w:pPr>
        <w:rPr>
          <w:rFonts w:ascii="Times New Roman" w:eastAsia="Times New Roman" w:hAnsi="Times New Roman" w:cs="Times New Roman"/>
        </w:rPr>
      </w:pPr>
      <w:r w:rsidRPr="00172153">
        <w:rPr>
          <w:rFonts w:eastAsia="Times New Roman" w:cstheme="minorHAnsi"/>
          <w:color w:val="000000"/>
        </w:rPr>
        <w:t xml:space="preserve">Among patients with end stage renal disease (ESRD) diagnosed with venous thromboembolism (VTE) does the use of apixaban 2.5mg </w:t>
      </w:r>
      <w:r>
        <w:rPr>
          <w:rFonts w:eastAsia="Times New Roman" w:cstheme="minorHAnsi"/>
          <w:color w:val="000000"/>
        </w:rPr>
        <w:t xml:space="preserve">daily </w:t>
      </w:r>
      <w:r w:rsidRPr="00172153">
        <w:rPr>
          <w:rFonts w:eastAsia="Times New Roman" w:cstheme="minorHAnsi"/>
          <w:color w:val="000000"/>
        </w:rPr>
        <w:t xml:space="preserve">vs 5mg daily significantly </w:t>
      </w:r>
      <w:r>
        <w:rPr>
          <w:rFonts w:eastAsia="Times New Roman" w:cstheme="minorHAnsi"/>
          <w:color w:val="000000"/>
        </w:rPr>
        <w:t>impact</w:t>
      </w:r>
      <w:r w:rsidRPr="00172153">
        <w:rPr>
          <w:rFonts w:eastAsia="Times New Roman" w:cstheme="minorHAnsi"/>
          <w:color w:val="000000"/>
        </w:rPr>
        <w:t xml:space="preserve"> the risk of bleeding and/or VTE recurrence?</w:t>
      </w:r>
    </w:p>
    <w:p w14:paraId="22FC1D43" w14:textId="2EAD0FDC" w:rsidR="00AB2675" w:rsidRDefault="00AB2675"/>
    <w:p w14:paraId="41B2DE90" w14:textId="77777777" w:rsidR="00A522F0" w:rsidRDefault="00AB2675">
      <w:r w:rsidRPr="00AB2675">
        <w:rPr>
          <w:b/>
          <w:bCs/>
        </w:rPr>
        <w:t>Aims:</w:t>
      </w:r>
      <w:r>
        <w:t xml:space="preserve"> </w:t>
      </w:r>
    </w:p>
    <w:p w14:paraId="558713AA" w14:textId="77777777" w:rsidR="00A522F0" w:rsidRDefault="00A522F0"/>
    <w:p w14:paraId="40463314" w14:textId="06110204" w:rsidR="00AB2675" w:rsidRPr="00AB2675" w:rsidRDefault="00AB2675">
      <w:pPr>
        <w:rPr>
          <w:rFonts w:ascii="Times New Roman" w:eastAsia="Times New Roman" w:hAnsi="Times New Roman" w:cs="Times New Roman"/>
        </w:rPr>
      </w:pPr>
      <w:r w:rsidRPr="00AB2675">
        <w:rPr>
          <w:rFonts w:eastAsia="Times New Roman" w:cs="Times New Roman"/>
          <w:color w:val="000000"/>
          <w:shd w:val="clear" w:color="auto" w:fill="FFFFFF"/>
        </w:rPr>
        <w:t>We would like to better understand the clinical implications of apixaban 5 mg twice daily compared to 2.5 mg twice daily for the treatment of VTE in patients with severe renal impairment and ESRD, as these are currently unknown. The results from this study can provide knowledge lacking in the safety and efficacy of direct-acting oral anticoagulants (DOACs) in this patient population.</w:t>
      </w:r>
      <w:r w:rsidRPr="00AB2675">
        <w:rPr>
          <w:rFonts w:ascii="Times New Roman" w:eastAsia="Times New Roman" w:hAnsi="Times New Roman" w:cs="Times New Roman"/>
          <w:color w:val="000000"/>
          <w:shd w:val="clear" w:color="auto" w:fill="FFFFFF"/>
        </w:rPr>
        <w:t>  </w:t>
      </w:r>
    </w:p>
    <w:p w14:paraId="112E76B3" w14:textId="30680332" w:rsidR="00AB2675" w:rsidRDefault="00AB2675"/>
    <w:p w14:paraId="458A8FCC" w14:textId="3A0A5426" w:rsidR="00AB2675" w:rsidRDefault="00AB2675" w:rsidP="00AB2675">
      <w:pPr>
        <w:pStyle w:val="paragraph"/>
        <w:spacing w:before="0" w:beforeAutospacing="0" w:after="0" w:afterAutospacing="0"/>
        <w:textAlignment w:val="baseline"/>
        <w:rPr>
          <w:rFonts w:asciiTheme="minorHAnsi" w:hAnsiTheme="minorHAnsi"/>
        </w:rPr>
      </w:pPr>
      <w:r w:rsidRPr="00AB2675">
        <w:rPr>
          <w:rFonts w:asciiTheme="minorHAnsi" w:hAnsiTheme="minorHAnsi"/>
          <w:b/>
          <w:bCs/>
        </w:rPr>
        <w:t>Significance:</w:t>
      </w:r>
      <w:r w:rsidRPr="00AB2675">
        <w:rPr>
          <w:rFonts w:asciiTheme="minorHAnsi" w:hAnsiTheme="minorHAnsi"/>
        </w:rPr>
        <w:t xml:space="preserve"> </w:t>
      </w:r>
    </w:p>
    <w:p w14:paraId="394B0528" w14:textId="77777777" w:rsidR="00A522F0" w:rsidRDefault="00A522F0" w:rsidP="00AB2675">
      <w:pPr>
        <w:pStyle w:val="paragraph"/>
        <w:spacing w:before="0" w:beforeAutospacing="0" w:after="0" w:afterAutospacing="0"/>
        <w:textAlignment w:val="baseline"/>
        <w:rPr>
          <w:rFonts w:asciiTheme="minorHAnsi" w:hAnsiTheme="minorHAnsi"/>
        </w:rPr>
      </w:pPr>
    </w:p>
    <w:p w14:paraId="41152B8A" w14:textId="295F3BEC" w:rsidR="00AB2675" w:rsidRPr="00AB2675" w:rsidRDefault="00AB2675" w:rsidP="00AB2675">
      <w:pPr>
        <w:pStyle w:val="paragraph"/>
        <w:spacing w:before="0" w:beforeAutospacing="0" w:after="0" w:afterAutospacing="0"/>
        <w:textAlignment w:val="baseline"/>
        <w:rPr>
          <w:rFonts w:asciiTheme="minorHAnsi" w:hAnsiTheme="minorHAnsi" w:cs="Segoe UI"/>
        </w:rPr>
      </w:pPr>
      <w:r w:rsidRPr="00AB2675">
        <w:rPr>
          <w:rStyle w:val="normaltextrun"/>
          <w:rFonts w:asciiTheme="minorHAnsi" w:hAnsiTheme="minorHAnsi"/>
        </w:rPr>
        <w:t>The RENAL-AF</w:t>
      </w:r>
      <w:r w:rsidRPr="00AB2675">
        <w:rPr>
          <w:rStyle w:val="normaltextrun"/>
          <w:rFonts w:asciiTheme="minorHAnsi" w:hAnsiTheme="minorHAnsi"/>
          <w:vertAlign w:val="superscript"/>
        </w:rPr>
        <w:t>1</w:t>
      </w:r>
      <w:r w:rsidRPr="00AB2675">
        <w:rPr>
          <w:rStyle w:val="normaltextrun"/>
          <w:rFonts w:asciiTheme="minorHAnsi" w:hAnsiTheme="minorHAnsi"/>
        </w:rPr>
        <w:t xml:space="preserve"> trial, published in 2019, compared the safety and efficacy of apixaban 5 mg twice daily to warfarin in patients with atrial fibrillation and end stage renal disease (ESRD). The results of this trial found that patients treated with apixaban had similar rates of stroke and bleeding compared to those taking warfarin. Given the strains of warfarin therapy such as frequent INR monitoring, variability among patients, and time to therapeutic range, the use </w:t>
      </w:r>
      <w:r w:rsidRPr="00AB2675">
        <w:rPr>
          <w:rStyle w:val="normaltextrun"/>
          <w:rFonts w:asciiTheme="minorHAnsi" w:hAnsiTheme="minorHAnsi"/>
        </w:rPr>
        <w:lastRenderedPageBreak/>
        <w:t>of direct oral anticoagulants (DOACs), such as apixaban, has increasingly superseded warfarin use due to the perceived convenience of a fixed dose and minimal monitoring requirements. </w:t>
      </w:r>
      <w:r w:rsidRPr="00AB2675">
        <w:rPr>
          <w:rStyle w:val="eop"/>
          <w:rFonts w:asciiTheme="minorHAnsi" w:hAnsiTheme="minorHAnsi"/>
        </w:rPr>
        <w:t> </w:t>
      </w:r>
    </w:p>
    <w:p w14:paraId="64342313" w14:textId="77777777" w:rsidR="00AB2675" w:rsidRPr="00AB2675" w:rsidRDefault="00AB2675" w:rsidP="00AB2675">
      <w:pPr>
        <w:pStyle w:val="paragraph"/>
        <w:spacing w:before="0" w:beforeAutospacing="0" w:after="0" w:afterAutospacing="0"/>
        <w:textAlignment w:val="baseline"/>
        <w:rPr>
          <w:rFonts w:asciiTheme="minorHAnsi" w:hAnsiTheme="minorHAnsi" w:cs="Segoe UI"/>
          <w:color w:val="000000"/>
        </w:rPr>
      </w:pPr>
      <w:r w:rsidRPr="00AB2675">
        <w:rPr>
          <w:rStyle w:val="eop"/>
          <w:rFonts w:asciiTheme="minorHAnsi" w:hAnsiTheme="minorHAnsi"/>
          <w:color w:val="000000"/>
        </w:rPr>
        <w:t> </w:t>
      </w:r>
    </w:p>
    <w:p w14:paraId="214F5A66" w14:textId="67F582EE" w:rsidR="00AB2675" w:rsidRPr="00AB2675" w:rsidRDefault="00AB2675" w:rsidP="00AB2675">
      <w:pPr>
        <w:pStyle w:val="paragraph"/>
        <w:spacing w:before="0" w:beforeAutospacing="0" w:after="0" w:afterAutospacing="0"/>
        <w:textAlignment w:val="baseline"/>
        <w:rPr>
          <w:rFonts w:asciiTheme="minorHAnsi" w:hAnsiTheme="minorHAnsi" w:cs="Segoe UI"/>
          <w:color w:val="000000"/>
        </w:rPr>
      </w:pPr>
      <w:r w:rsidRPr="00AB2675">
        <w:rPr>
          <w:rStyle w:val="normaltextrun"/>
          <w:rFonts w:asciiTheme="minorHAnsi" w:hAnsiTheme="minorHAnsi"/>
          <w:color w:val="000000"/>
        </w:rPr>
        <w:t>Current CHEST Guidelines</w:t>
      </w:r>
      <w:r w:rsidRPr="00AB2675">
        <w:rPr>
          <w:rStyle w:val="normaltextrun"/>
          <w:rFonts w:asciiTheme="minorHAnsi" w:hAnsiTheme="minorHAnsi"/>
          <w:color w:val="000000"/>
          <w:vertAlign w:val="superscript"/>
        </w:rPr>
        <w:t> 2</w:t>
      </w:r>
      <w:r w:rsidRPr="00AB2675">
        <w:rPr>
          <w:rStyle w:val="normaltextrun"/>
          <w:rFonts w:asciiTheme="minorHAnsi" w:hAnsiTheme="minorHAnsi"/>
          <w:color w:val="000000"/>
        </w:rPr>
        <w:t> recommend a vitamin K antagonist (VKA), such as warfarin, as the preferred agent for patients with severe renal impairment or end stage renal disease due to the limited data available for alternative agents in this patient population. Renal dosing recommendations for apixaban are based upon the best available evidence and clinical expertise. It is a common practice to empirically reduce the dose of apixaban in renal impairment since the drug is known to be partially renally eliminated. Guidelines for dosing in atrial fibrillation currently recommend the use of dose-reduced apixaban if two or more of the following criteria apply: age ≥ 80 years old, body weight ≤ 60 kg, and/or serum creatinine ≥ 1.5 mg/</w:t>
      </w:r>
      <w:proofErr w:type="spellStart"/>
      <w:r w:rsidRPr="00AB2675">
        <w:rPr>
          <w:rStyle w:val="normaltextrun"/>
          <w:rFonts w:asciiTheme="minorHAnsi" w:hAnsiTheme="minorHAnsi"/>
          <w:color w:val="000000"/>
        </w:rPr>
        <w:t>mL.</w:t>
      </w:r>
      <w:proofErr w:type="spellEnd"/>
      <w:r w:rsidRPr="00AB2675">
        <w:rPr>
          <w:rStyle w:val="normaltextrun"/>
          <w:rFonts w:asciiTheme="minorHAnsi" w:hAnsiTheme="minorHAnsi"/>
          <w:color w:val="000000"/>
        </w:rPr>
        <w:t xml:space="preserve"> However, patients with a history of VTE are at higher risk </w:t>
      </w:r>
      <w:r w:rsidR="00A522F0">
        <w:rPr>
          <w:rStyle w:val="normaltextrun"/>
          <w:rFonts w:asciiTheme="minorHAnsi" w:hAnsiTheme="minorHAnsi"/>
          <w:color w:val="000000"/>
        </w:rPr>
        <w:t>for clot recurrence. Empirically</w:t>
      </w:r>
      <w:r w:rsidRPr="00AB2675">
        <w:rPr>
          <w:rStyle w:val="normaltextrun"/>
          <w:rFonts w:asciiTheme="minorHAnsi" w:hAnsiTheme="minorHAnsi"/>
          <w:color w:val="000000"/>
        </w:rPr>
        <w:t xml:space="preserve"> dose reducing apixaban could put a patient at higher risk for clot recurrence, hospitalization, and increased risk of morbidity and mortality.</w:t>
      </w:r>
      <w:r w:rsidRPr="00AB2675">
        <w:rPr>
          <w:rStyle w:val="eop"/>
          <w:rFonts w:asciiTheme="minorHAnsi" w:hAnsiTheme="minorHAnsi"/>
          <w:color w:val="000000"/>
        </w:rPr>
        <w:t> </w:t>
      </w:r>
    </w:p>
    <w:p w14:paraId="0341B1BB" w14:textId="77777777" w:rsidR="00AB2675" w:rsidRDefault="00AB2675"/>
    <w:p w14:paraId="40ED75F0" w14:textId="3C5DC051" w:rsidR="00B112E1" w:rsidRDefault="00AB2675">
      <w:r>
        <w:rPr>
          <w:b/>
          <w:bCs/>
        </w:rPr>
        <w:t xml:space="preserve">Methods: </w:t>
      </w:r>
    </w:p>
    <w:p w14:paraId="0418B63B" w14:textId="03584F16" w:rsidR="00B112E1" w:rsidRDefault="00B112E1" w:rsidP="00B112E1">
      <w:pPr>
        <w:rPr>
          <w:rFonts w:ascii="Times New Roman" w:eastAsia="Times New Roman" w:hAnsi="Times New Roman" w:cs="Times New Roman"/>
        </w:rPr>
      </w:pPr>
    </w:p>
    <w:p w14:paraId="49D7919B" w14:textId="067B8B00" w:rsidR="008E0F5A" w:rsidRDefault="008E0F5A" w:rsidP="00B112E1">
      <w:pPr>
        <w:rPr>
          <w:rFonts w:eastAsia="Times New Roman" w:cstheme="minorHAnsi"/>
        </w:rPr>
      </w:pPr>
      <w:r w:rsidRPr="00AB2675">
        <w:rPr>
          <w:rFonts w:eastAsia="Times New Roman" w:cstheme="minorHAnsi"/>
          <w:u w:val="single"/>
        </w:rPr>
        <w:t>Design</w:t>
      </w:r>
      <w:r>
        <w:rPr>
          <w:rFonts w:eastAsia="Times New Roman" w:cstheme="minorHAnsi"/>
          <w:b/>
          <w:bCs/>
        </w:rPr>
        <w:t xml:space="preserve">: </w:t>
      </w:r>
      <w:r w:rsidR="00172153" w:rsidRPr="00172153">
        <w:rPr>
          <w:rFonts w:eastAsia="Times New Roman" w:cstheme="minorHAnsi"/>
        </w:rPr>
        <w:t>T</w:t>
      </w:r>
      <w:r w:rsidR="003B7CD3">
        <w:rPr>
          <w:rFonts w:eastAsia="Times New Roman" w:cstheme="minorHAnsi"/>
        </w:rPr>
        <w:t xml:space="preserve">his </w:t>
      </w:r>
      <w:r w:rsidR="00172153">
        <w:rPr>
          <w:rFonts w:eastAsia="Times New Roman" w:cstheme="minorHAnsi"/>
        </w:rPr>
        <w:t>is a retrospective</w:t>
      </w:r>
      <w:r w:rsidR="00AB2675">
        <w:rPr>
          <w:rFonts w:eastAsia="Times New Roman" w:cstheme="minorHAnsi"/>
        </w:rPr>
        <w:t>, multicenter,</w:t>
      </w:r>
      <w:r w:rsidR="00172153">
        <w:rPr>
          <w:rFonts w:eastAsia="Times New Roman" w:cstheme="minorHAnsi"/>
        </w:rPr>
        <w:t xml:space="preserve"> cohort </w:t>
      </w:r>
      <w:r w:rsidR="00AB2675">
        <w:rPr>
          <w:rFonts w:eastAsia="Times New Roman" w:cstheme="minorHAnsi"/>
        </w:rPr>
        <w:t>review</w:t>
      </w:r>
      <w:r w:rsidR="00763A7A">
        <w:rPr>
          <w:rFonts w:eastAsia="Times New Roman" w:cstheme="minorHAnsi"/>
        </w:rPr>
        <w:t xml:space="preserve"> </w:t>
      </w:r>
      <w:r w:rsidR="00172153">
        <w:rPr>
          <w:rFonts w:eastAsia="Times New Roman" w:cstheme="minorHAnsi"/>
        </w:rPr>
        <w:t>with convenience sampling across UCSF, UCSD, UCI, and UC Davis. It will include a retrospective chart review</w:t>
      </w:r>
      <w:r w:rsidR="00763A7A">
        <w:rPr>
          <w:rFonts w:eastAsia="Times New Roman" w:cstheme="minorHAnsi"/>
        </w:rPr>
        <w:t xml:space="preserve"> </w:t>
      </w:r>
      <w:r w:rsidR="00172153">
        <w:rPr>
          <w:rFonts w:eastAsia="Times New Roman" w:cstheme="minorHAnsi"/>
        </w:rPr>
        <w:t>patients hospitalized at UCSF</w:t>
      </w:r>
      <w:r w:rsidR="00763A7A">
        <w:rPr>
          <w:rFonts w:eastAsia="Times New Roman" w:cstheme="minorHAnsi"/>
        </w:rPr>
        <w:t xml:space="preserve"> Medical Center, UCSD Medical Center, UC Davis Medical Center, and UCI Medical Center from January 1</w:t>
      </w:r>
      <w:r w:rsidR="00763A7A" w:rsidRPr="00763A7A">
        <w:rPr>
          <w:rFonts w:eastAsia="Times New Roman" w:cstheme="minorHAnsi"/>
          <w:vertAlign w:val="superscript"/>
        </w:rPr>
        <w:t>st</w:t>
      </w:r>
      <w:r w:rsidR="00763A7A">
        <w:rPr>
          <w:rFonts w:eastAsia="Times New Roman" w:cstheme="minorHAnsi"/>
        </w:rPr>
        <w:t>, 2013 – present</w:t>
      </w:r>
      <w:r w:rsidR="00172153">
        <w:rPr>
          <w:rFonts w:eastAsia="Times New Roman" w:cstheme="minorHAnsi"/>
        </w:rPr>
        <w:t xml:space="preserve">. </w:t>
      </w:r>
    </w:p>
    <w:p w14:paraId="7473275E" w14:textId="00BA44A7" w:rsidR="008E0F5A" w:rsidRDefault="008E0F5A" w:rsidP="00B112E1">
      <w:pPr>
        <w:rPr>
          <w:rFonts w:eastAsia="Times New Roman" w:cstheme="minorHAnsi"/>
        </w:rPr>
      </w:pPr>
    </w:p>
    <w:p w14:paraId="04E865C1" w14:textId="7E1FEBAF" w:rsidR="008E0F5A" w:rsidRPr="0098594F" w:rsidRDefault="008E0F5A" w:rsidP="00B112E1">
      <w:pPr>
        <w:rPr>
          <w:rFonts w:ascii="Times New Roman" w:eastAsia="Times New Roman" w:hAnsi="Times New Roman" w:cs="Times New Roman"/>
        </w:rPr>
      </w:pPr>
      <w:r w:rsidRPr="00AB2675">
        <w:rPr>
          <w:rFonts w:eastAsia="Times New Roman" w:cstheme="minorHAnsi"/>
          <w:u w:val="single"/>
        </w:rPr>
        <w:t>Cohort</w:t>
      </w:r>
      <w:r>
        <w:rPr>
          <w:rFonts w:eastAsia="Times New Roman" w:cstheme="minorHAnsi"/>
        </w:rPr>
        <w:t xml:space="preserve">: </w:t>
      </w:r>
      <w:r w:rsidR="0098594F">
        <w:rPr>
          <w:rFonts w:eastAsia="Times New Roman" w:cstheme="minorHAnsi"/>
        </w:rPr>
        <w:t xml:space="preserve">Patients will be included if they have ESRD (defined as </w:t>
      </w:r>
      <w:proofErr w:type="spellStart"/>
      <w:r w:rsidR="0098594F">
        <w:rPr>
          <w:rFonts w:eastAsia="Times New Roman" w:cstheme="minorHAnsi"/>
        </w:rPr>
        <w:t>CrCl</w:t>
      </w:r>
      <w:proofErr w:type="spellEnd"/>
      <w:r w:rsidR="0098594F">
        <w:rPr>
          <w:rFonts w:eastAsia="Times New Roman" w:cstheme="minorHAnsi"/>
        </w:rPr>
        <w:t xml:space="preserve"> &lt; 15 ml/min)</w:t>
      </w:r>
      <w:r w:rsidR="0097285D">
        <w:rPr>
          <w:rFonts w:eastAsia="Times New Roman" w:cstheme="minorHAnsi"/>
        </w:rPr>
        <w:t xml:space="preserve"> or</w:t>
      </w:r>
      <w:r w:rsidR="0098594F">
        <w:rPr>
          <w:rFonts w:eastAsia="Times New Roman" w:cstheme="minorHAnsi"/>
        </w:rPr>
        <w:t xml:space="preserve"> dependence on renal dialysis</w:t>
      </w:r>
      <w:r w:rsidR="0097285D">
        <w:rPr>
          <w:rFonts w:eastAsia="Times New Roman" w:cstheme="minorHAnsi"/>
        </w:rPr>
        <w:t xml:space="preserve"> or </w:t>
      </w:r>
      <w:r w:rsidR="0098594F">
        <w:rPr>
          <w:rFonts w:eastAsia="Times New Roman" w:cstheme="minorHAnsi"/>
        </w:rPr>
        <w:t xml:space="preserve">CKD stage IV, and on apixaban for VTE treatment. </w:t>
      </w:r>
      <w:r>
        <w:rPr>
          <w:rFonts w:eastAsia="Times New Roman" w:cstheme="minorHAnsi"/>
        </w:rPr>
        <w:t>Patients will be excluded if they are &lt; 18 years old, are pregnant, or if they are taking other anticoagulants</w:t>
      </w:r>
      <w:r w:rsidR="00F94836">
        <w:rPr>
          <w:rFonts w:eastAsia="Times New Roman" w:cstheme="minorHAnsi"/>
        </w:rPr>
        <w:t xml:space="preserve"> such as enoxaparin, rivaroxaban,</w:t>
      </w:r>
      <w:r w:rsidR="0098594F">
        <w:rPr>
          <w:rFonts w:eastAsia="Times New Roman" w:cstheme="minorHAnsi"/>
        </w:rPr>
        <w:t xml:space="preserve"> or</w:t>
      </w:r>
      <w:r w:rsidR="00F94836">
        <w:rPr>
          <w:rFonts w:eastAsia="Times New Roman" w:cstheme="minorHAnsi"/>
        </w:rPr>
        <w:t xml:space="preserve"> warfarin</w:t>
      </w:r>
      <w:r w:rsidR="0098594F">
        <w:rPr>
          <w:rFonts w:eastAsia="Times New Roman" w:cstheme="minorHAnsi"/>
        </w:rPr>
        <w:t xml:space="preserve">. </w:t>
      </w:r>
      <w:r w:rsidR="0098594F" w:rsidRPr="0098594F">
        <w:rPr>
          <w:rFonts w:eastAsia="Times New Roman" w:cs="Times New Roman"/>
          <w:color w:val="000000"/>
          <w:shd w:val="clear" w:color="auto" w:fill="FFFFFF"/>
        </w:rPr>
        <w:t>Patients will be screened by electronic medical record (EMR) data pull using a predetermined set of International Classification of Diseases (ICD-10) codes (See Appendix 1). EMR charts will then be reviewed independently for the presence of inclusion and exclusion factors.</w:t>
      </w:r>
      <w:r w:rsidR="0098594F" w:rsidRPr="0098594F">
        <w:rPr>
          <w:rFonts w:ascii="Times New Roman" w:eastAsia="Times New Roman" w:hAnsi="Times New Roman" w:cs="Times New Roman"/>
          <w:i/>
          <w:iCs/>
          <w:color w:val="000000"/>
          <w:shd w:val="clear" w:color="auto" w:fill="FFFFFF"/>
        </w:rPr>
        <w:t> </w:t>
      </w:r>
    </w:p>
    <w:p w14:paraId="216DE0BD" w14:textId="46965A8D" w:rsidR="008E0F5A" w:rsidRDefault="008E0F5A" w:rsidP="00B112E1">
      <w:pPr>
        <w:rPr>
          <w:rFonts w:eastAsia="Times New Roman" w:cstheme="minorHAnsi"/>
        </w:rPr>
      </w:pPr>
    </w:p>
    <w:p w14:paraId="3A415A02" w14:textId="414DC4C8" w:rsidR="0098594F" w:rsidRPr="0098594F" w:rsidRDefault="0098594F" w:rsidP="0098594F">
      <w:pPr>
        <w:pStyle w:val="paragraph"/>
        <w:spacing w:before="0" w:beforeAutospacing="0" w:after="0" w:afterAutospacing="0"/>
        <w:textAlignment w:val="baseline"/>
        <w:rPr>
          <w:rFonts w:asciiTheme="minorHAnsi" w:hAnsiTheme="minorHAnsi"/>
          <w:i/>
          <w:iCs/>
        </w:rPr>
      </w:pPr>
      <w:r w:rsidRPr="0098594F">
        <w:rPr>
          <w:rFonts w:asciiTheme="minorHAnsi" w:hAnsiTheme="minorHAnsi" w:cstheme="minorHAnsi"/>
          <w:u w:val="single"/>
        </w:rPr>
        <w:t>Data collection</w:t>
      </w:r>
      <w:r w:rsidRPr="0098594F">
        <w:rPr>
          <w:rFonts w:asciiTheme="minorHAnsi" w:hAnsiTheme="minorHAnsi" w:cstheme="minorHAnsi"/>
        </w:rPr>
        <w:t xml:space="preserve">:  </w:t>
      </w:r>
      <w:r>
        <w:rPr>
          <w:rFonts w:asciiTheme="minorHAnsi" w:hAnsiTheme="minorHAnsi" w:cstheme="minorHAnsi"/>
        </w:rPr>
        <w:t>We will r</w:t>
      </w:r>
      <w:r w:rsidRPr="0098594F">
        <w:rPr>
          <w:rFonts w:asciiTheme="minorHAnsi" w:hAnsiTheme="minorHAnsi"/>
        </w:rPr>
        <w:t>equest data pull from Epic ™ from institution’s data team using the ICD10 codes for the following data points:</w:t>
      </w:r>
      <w:r w:rsidRPr="0098594F">
        <w:rPr>
          <w:rFonts w:asciiTheme="minorHAnsi" w:hAnsiTheme="minorHAnsi"/>
          <w:i/>
          <w:iCs/>
        </w:rPr>
        <w:t> </w:t>
      </w:r>
    </w:p>
    <w:p w14:paraId="3C4830C7" w14:textId="77777777" w:rsidR="0098594F" w:rsidRPr="0098594F" w:rsidRDefault="0098594F" w:rsidP="0098594F">
      <w:pPr>
        <w:pStyle w:val="ListParagraph"/>
        <w:numPr>
          <w:ilvl w:val="0"/>
          <w:numId w:val="11"/>
        </w:numPr>
        <w:textAlignment w:val="baseline"/>
        <w:rPr>
          <w:rFonts w:asciiTheme="minorHAnsi" w:hAnsiTheme="minorHAnsi"/>
          <w:i/>
          <w:iCs/>
        </w:rPr>
      </w:pPr>
      <w:r w:rsidRPr="0098594F">
        <w:rPr>
          <w:rFonts w:asciiTheme="minorHAnsi" w:hAnsiTheme="minorHAnsi"/>
        </w:rPr>
        <w:t>Medical record number (MRN), apixaban loading dose, apixaban maintenance dose, indication, age, weight, renal function (</w:t>
      </w:r>
      <w:proofErr w:type="spellStart"/>
      <w:r w:rsidRPr="0098594F">
        <w:rPr>
          <w:rFonts w:asciiTheme="minorHAnsi" w:hAnsiTheme="minorHAnsi"/>
        </w:rPr>
        <w:t>SCr</w:t>
      </w:r>
      <w:proofErr w:type="spellEnd"/>
      <w:r w:rsidRPr="0098594F">
        <w:rPr>
          <w:rFonts w:asciiTheme="minorHAnsi" w:hAnsiTheme="minorHAnsi"/>
        </w:rPr>
        <w:t>, </w:t>
      </w:r>
      <w:proofErr w:type="spellStart"/>
      <w:r w:rsidRPr="0098594F">
        <w:rPr>
          <w:rFonts w:asciiTheme="minorHAnsi" w:hAnsiTheme="minorHAnsi"/>
        </w:rPr>
        <w:t>CrCl</w:t>
      </w:r>
      <w:proofErr w:type="spellEnd"/>
      <w:r w:rsidRPr="0098594F">
        <w:rPr>
          <w:rFonts w:asciiTheme="minorHAnsi" w:hAnsiTheme="minorHAnsi"/>
        </w:rPr>
        <w:t>, dialysis status)</w:t>
      </w:r>
      <w:r w:rsidRPr="0098594F">
        <w:rPr>
          <w:rFonts w:asciiTheme="minorHAnsi" w:hAnsiTheme="minorHAnsi"/>
          <w:i/>
          <w:iCs/>
        </w:rPr>
        <w:t> </w:t>
      </w:r>
    </w:p>
    <w:p w14:paraId="5B8BB38F" w14:textId="77777777" w:rsidR="0098594F" w:rsidRDefault="0098594F" w:rsidP="0098594F">
      <w:pPr>
        <w:textAlignment w:val="baseline"/>
      </w:pPr>
    </w:p>
    <w:p w14:paraId="0291A3E8" w14:textId="26322661" w:rsidR="0098594F" w:rsidRPr="0098594F" w:rsidRDefault="0098594F" w:rsidP="0098594F">
      <w:pPr>
        <w:textAlignment w:val="baseline"/>
        <w:rPr>
          <w:i/>
          <w:iCs/>
        </w:rPr>
      </w:pPr>
      <w:r>
        <w:t>We will then complete a c</w:t>
      </w:r>
      <w:r w:rsidRPr="0098594F">
        <w:t>hart review</w:t>
      </w:r>
      <w:r>
        <w:t xml:space="preserve"> of</w:t>
      </w:r>
      <w:r w:rsidRPr="0098594F">
        <w:t xml:space="preserve"> included patients and record additional data for the following data points:</w:t>
      </w:r>
      <w:r w:rsidRPr="0098594F">
        <w:rPr>
          <w:i/>
          <w:iCs/>
        </w:rPr>
        <w:t> </w:t>
      </w:r>
    </w:p>
    <w:p w14:paraId="2849B68D" w14:textId="77777777" w:rsidR="0098594F" w:rsidRPr="0098594F" w:rsidRDefault="0098594F" w:rsidP="0098594F">
      <w:pPr>
        <w:numPr>
          <w:ilvl w:val="0"/>
          <w:numId w:val="11"/>
        </w:numPr>
        <w:textAlignment w:val="baseline"/>
        <w:rPr>
          <w:rFonts w:eastAsia="Times New Roman" w:cs="Times New Roman"/>
          <w:i/>
          <w:iCs/>
        </w:rPr>
      </w:pPr>
      <w:r w:rsidRPr="0098594F">
        <w:rPr>
          <w:rFonts w:eastAsia="Times New Roman" w:cs="Times New Roman"/>
        </w:rPr>
        <w:t>Apixaban start date </w:t>
      </w:r>
      <w:r w:rsidRPr="0098594F">
        <w:rPr>
          <w:rFonts w:eastAsia="Times New Roman" w:cs="Times New Roman"/>
          <w:i/>
          <w:iCs/>
        </w:rPr>
        <w:t> </w:t>
      </w:r>
    </w:p>
    <w:p w14:paraId="2EED0CB4" w14:textId="77777777" w:rsidR="0098594F" w:rsidRPr="0098594F" w:rsidRDefault="0098594F" w:rsidP="0098594F">
      <w:pPr>
        <w:numPr>
          <w:ilvl w:val="0"/>
          <w:numId w:val="11"/>
        </w:numPr>
        <w:textAlignment w:val="baseline"/>
        <w:rPr>
          <w:rFonts w:eastAsia="Times New Roman" w:cs="Times New Roman"/>
          <w:i/>
          <w:iCs/>
        </w:rPr>
      </w:pPr>
      <w:r w:rsidRPr="0098594F">
        <w:rPr>
          <w:rFonts w:eastAsia="Times New Roman" w:cs="Times New Roman"/>
        </w:rPr>
        <w:t>VTE recurrence after starting apixaban (yes/no)</w:t>
      </w:r>
      <w:r w:rsidRPr="0098594F">
        <w:rPr>
          <w:rFonts w:eastAsia="Times New Roman" w:cs="Times New Roman"/>
          <w:i/>
          <w:iCs/>
        </w:rPr>
        <w:t> </w:t>
      </w:r>
    </w:p>
    <w:p w14:paraId="570D18D3" w14:textId="77777777" w:rsidR="0098594F" w:rsidRPr="0098594F" w:rsidRDefault="0098594F" w:rsidP="0098594F">
      <w:pPr>
        <w:numPr>
          <w:ilvl w:val="0"/>
          <w:numId w:val="11"/>
        </w:numPr>
        <w:textAlignment w:val="baseline"/>
        <w:rPr>
          <w:rFonts w:eastAsia="Times New Roman" w:cs="Times New Roman"/>
          <w:i/>
          <w:iCs/>
        </w:rPr>
      </w:pPr>
      <w:r w:rsidRPr="0098594F">
        <w:rPr>
          <w:rFonts w:eastAsia="Times New Roman" w:cs="Times New Roman"/>
        </w:rPr>
        <w:t>Occurrence of bleed (yes/no)</w:t>
      </w:r>
      <w:r w:rsidRPr="0098594F">
        <w:rPr>
          <w:rFonts w:eastAsia="Times New Roman" w:cs="Times New Roman"/>
          <w:i/>
          <w:iCs/>
        </w:rPr>
        <w:t> </w:t>
      </w:r>
    </w:p>
    <w:p w14:paraId="111CA1AD" w14:textId="245DA764" w:rsidR="0098594F" w:rsidRPr="0098594F" w:rsidRDefault="0098594F" w:rsidP="00B112E1">
      <w:pPr>
        <w:numPr>
          <w:ilvl w:val="0"/>
          <w:numId w:val="11"/>
        </w:numPr>
        <w:textAlignment w:val="baseline"/>
        <w:rPr>
          <w:rFonts w:eastAsia="Times New Roman" w:cs="Times New Roman"/>
          <w:i/>
          <w:iCs/>
        </w:rPr>
      </w:pPr>
      <w:r w:rsidRPr="0098594F">
        <w:rPr>
          <w:rFonts w:eastAsia="Times New Roman" w:cs="Times New Roman"/>
        </w:rPr>
        <w:t>If yes: number of bleed-free days</w:t>
      </w:r>
    </w:p>
    <w:p w14:paraId="3B4D50BB" w14:textId="77777777" w:rsidR="00426F2D" w:rsidRPr="00426F2D" w:rsidRDefault="00426F2D" w:rsidP="00426F2D">
      <w:pPr>
        <w:pStyle w:val="paragraph"/>
        <w:spacing w:before="0" w:beforeAutospacing="0" w:after="0" w:afterAutospacing="0"/>
        <w:textAlignment w:val="baseline"/>
        <w:rPr>
          <w:rStyle w:val="normaltextrun"/>
          <w:rFonts w:asciiTheme="minorHAnsi" w:hAnsiTheme="minorHAnsi"/>
        </w:rPr>
      </w:pPr>
    </w:p>
    <w:p w14:paraId="42273879" w14:textId="2F2FA2A1" w:rsidR="00426F2D" w:rsidRPr="00426F2D" w:rsidRDefault="00426F2D" w:rsidP="00426F2D">
      <w:pPr>
        <w:pStyle w:val="paragraph"/>
        <w:spacing w:before="0" w:beforeAutospacing="0" w:after="0" w:afterAutospacing="0"/>
        <w:textAlignment w:val="baseline"/>
        <w:rPr>
          <w:rFonts w:asciiTheme="minorHAnsi" w:hAnsiTheme="minorHAnsi"/>
          <w:i/>
          <w:iCs/>
        </w:rPr>
      </w:pPr>
      <w:r w:rsidRPr="00426F2D">
        <w:rPr>
          <w:rStyle w:val="normaltextrun"/>
          <w:rFonts w:asciiTheme="minorHAnsi" w:hAnsiTheme="minorHAnsi"/>
        </w:rPr>
        <w:lastRenderedPageBreak/>
        <w:t>Data will be stored on a password protected file at our respective institutions in a secure Cloud option until the end of the study and then discarded safely to not disclose any PHI</w:t>
      </w:r>
      <w:r w:rsidRPr="00426F2D">
        <w:rPr>
          <w:rStyle w:val="eop"/>
          <w:rFonts w:asciiTheme="minorHAnsi" w:hAnsiTheme="minorHAnsi"/>
          <w:i/>
          <w:iCs/>
        </w:rPr>
        <w:t xml:space="preserve">. </w:t>
      </w:r>
      <w:r w:rsidRPr="00426F2D">
        <w:rPr>
          <w:rStyle w:val="normaltextrun"/>
          <w:rFonts w:asciiTheme="minorHAnsi" w:hAnsiTheme="minorHAnsi"/>
        </w:rPr>
        <w:t>Data will not be physically transferred</w:t>
      </w:r>
      <w:r w:rsidRPr="00426F2D">
        <w:rPr>
          <w:rStyle w:val="eop"/>
          <w:rFonts w:asciiTheme="minorHAnsi" w:hAnsiTheme="minorHAnsi"/>
          <w:i/>
          <w:iCs/>
        </w:rPr>
        <w:t> </w:t>
      </w:r>
      <w:r w:rsidRPr="00426F2D">
        <w:rPr>
          <w:rFonts w:asciiTheme="minorHAnsi" w:hAnsiTheme="minorHAnsi"/>
        </w:rPr>
        <w:t xml:space="preserve">and </w:t>
      </w:r>
      <w:r w:rsidRPr="00426F2D">
        <w:rPr>
          <w:rStyle w:val="normaltextrun"/>
          <w:rFonts w:asciiTheme="minorHAnsi" w:hAnsiTheme="minorHAnsi"/>
        </w:rPr>
        <w:t>will be de-identified prior to compiling into </w:t>
      </w:r>
      <w:proofErr w:type="spellStart"/>
      <w:r w:rsidRPr="00426F2D">
        <w:rPr>
          <w:rStyle w:val="normaltextrun"/>
          <w:rFonts w:asciiTheme="minorHAnsi" w:hAnsiTheme="minorHAnsi"/>
        </w:rPr>
        <w:t>RedCap</w:t>
      </w:r>
      <w:proofErr w:type="spellEnd"/>
      <w:r w:rsidRPr="00426F2D">
        <w:rPr>
          <w:rStyle w:val="normaltextrun"/>
          <w:rFonts w:asciiTheme="minorHAnsi" w:hAnsiTheme="minorHAnsi"/>
        </w:rPr>
        <w:t> ™</w:t>
      </w:r>
      <w:r>
        <w:rPr>
          <w:rStyle w:val="normaltextrun"/>
          <w:rFonts w:asciiTheme="minorHAnsi" w:hAnsiTheme="minorHAnsi"/>
        </w:rPr>
        <w:t>.</w:t>
      </w:r>
    </w:p>
    <w:p w14:paraId="0D46445C" w14:textId="77777777" w:rsidR="00426F2D" w:rsidRDefault="00426F2D" w:rsidP="00B112E1">
      <w:pPr>
        <w:rPr>
          <w:rFonts w:eastAsia="Times New Roman" w:cstheme="minorHAnsi"/>
        </w:rPr>
      </w:pPr>
    </w:p>
    <w:p w14:paraId="532846D2" w14:textId="7D8A9E46" w:rsidR="0098594F" w:rsidRDefault="008E0F5A" w:rsidP="00B112E1">
      <w:pPr>
        <w:rPr>
          <w:rFonts w:eastAsia="Times New Roman" w:cstheme="minorHAnsi"/>
        </w:rPr>
      </w:pPr>
      <w:r w:rsidRPr="0098594F">
        <w:rPr>
          <w:rFonts w:eastAsia="Times New Roman" w:cstheme="minorHAnsi"/>
          <w:u w:val="single"/>
        </w:rPr>
        <w:t>Predictor variables and outcomes</w:t>
      </w:r>
      <w:r>
        <w:rPr>
          <w:rFonts w:eastAsia="Times New Roman" w:cstheme="minorHAnsi"/>
          <w:b/>
          <w:bCs/>
        </w:rPr>
        <w:t>:</w:t>
      </w:r>
      <w:r>
        <w:rPr>
          <w:rFonts w:eastAsia="Times New Roman" w:cstheme="minorHAnsi"/>
        </w:rPr>
        <w:t xml:space="preserve"> </w:t>
      </w:r>
      <w:r w:rsidR="00172153">
        <w:rPr>
          <w:rFonts w:eastAsia="Times New Roman" w:cstheme="minorHAnsi"/>
        </w:rPr>
        <w:t>The predictor will be the dose of apixaban the subject received (2.5mg vs 5mg) and the outcome will be the incidence of major bleed</w:t>
      </w:r>
      <w:r w:rsidR="0098594F">
        <w:rPr>
          <w:rFonts w:eastAsia="Times New Roman" w:cstheme="minorHAnsi"/>
        </w:rPr>
        <w:t xml:space="preserve"> </w:t>
      </w:r>
      <w:r w:rsidR="00172153">
        <w:rPr>
          <w:rFonts w:eastAsia="Times New Roman" w:cstheme="minorHAnsi"/>
        </w:rPr>
        <w:t xml:space="preserve">or VTE recurrence. </w:t>
      </w:r>
      <w:r>
        <w:rPr>
          <w:rFonts w:eastAsia="Times New Roman" w:cstheme="minorHAnsi"/>
        </w:rPr>
        <w:t xml:space="preserve">Data will be analyzed to determine if patients who are on a higher dose of apixaban have a significantly higher incidence or bleeding or a significantly lower recurrence of VTE when compared to patients taking 2.5mg. </w:t>
      </w:r>
    </w:p>
    <w:p w14:paraId="6E3F168A" w14:textId="5881D7E5" w:rsidR="00A75385" w:rsidRDefault="00A75385" w:rsidP="00B112E1">
      <w:pPr>
        <w:rPr>
          <w:rFonts w:eastAsia="Times New Roman" w:cstheme="minorHAnsi"/>
        </w:rPr>
      </w:pPr>
    </w:p>
    <w:p w14:paraId="08444A28" w14:textId="459A34BB" w:rsidR="00426F2D" w:rsidRPr="00426F2D" w:rsidRDefault="00426F2D" w:rsidP="00B112E1">
      <w:pPr>
        <w:rPr>
          <w:rFonts w:eastAsia="Times New Roman" w:cs="Times New Roman"/>
        </w:rPr>
      </w:pPr>
      <w:r w:rsidRPr="00426F2D">
        <w:rPr>
          <w:rFonts w:eastAsia="Times New Roman" w:cs="Times New Roman"/>
          <w:color w:val="000000"/>
          <w:u w:val="single"/>
          <w:shd w:val="clear" w:color="auto" w:fill="FFFFFF"/>
        </w:rPr>
        <w:t>Study Hypothesis</w:t>
      </w:r>
      <w:r w:rsidRPr="00426F2D">
        <w:rPr>
          <w:rFonts w:eastAsia="Times New Roman" w:cs="Times New Roman"/>
          <w:i/>
          <w:iCs/>
          <w:color w:val="000000"/>
          <w:shd w:val="clear" w:color="auto" w:fill="FFFFFF"/>
        </w:rPr>
        <w:t>:</w:t>
      </w:r>
      <w:r w:rsidRPr="00426F2D">
        <w:rPr>
          <w:rFonts w:eastAsia="Times New Roman" w:cs="Times New Roman"/>
          <w:color w:val="000000"/>
          <w:shd w:val="clear" w:color="auto" w:fill="FFFFFF"/>
        </w:rPr>
        <w:t> There is no difference in bleed-free days in patients diagnosed with severe renal disease with VTE treated with apixaban 2.5 mg twice daily compared to apixaban 5 mg twice daily. </w:t>
      </w:r>
      <w:r w:rsidRPr="00426F2D">
        <w:rPr>
          <w:rFonts w:eastAsia="Times New Roman" w:cs="Times New Roman"/>
          <w:i/>
          <w:iCs/>
          <w:color w:val="000000"/>
          <w:shd w:val="clear" w:color="auto" w:fill="FFFFFF"/>
        </w:rPr>
        <w:t> </w:t>
      </w:r>
    </w:p>
    <w:p w14:paraId="0F9DEB5C" w14:textId="682D61A7" w:rsidR="00F94836" w:rsidRDefault="00F94836" w:rsidP="00B112E1">
      <w:pPr>
        <w:rPr>
          <w:rFonts w:eastAsia="Times New Roman" w:cstheme="minorHAnsi"/>
        </w:rPr>
      </w:pPr>
    </w:p>
    <w:p w14:paraId="4315EDC0" w14:textId="4EC39E45" w:rsidR="005B0A30" w:rsidRPr="005B0A30" w:rsidRDefault="005B0A30" w:rsidP="005B0A30">
      <w:pPr>
        <w:rPr>
          <w:rFonts w:eastAsia="Times New Roman" w:cs="Arial"/>
          <w:color w:val="000000"/>
        </w:rPr>
      </w:pPr>
      <w:r w:rsidRPr="00426F2D">
        <w:rPr>
          <w:rFonts w:eastAsia="Times New Roman" w:cstheme="minorHAnsi"/>
          <w:u w:val="single"/>
        </w:rPr>
        <w:t>Null hypothesis</w:t>
      </w:r>
      <w:r>
        <w:rPr>
          <w:rFonts w:eastAsia="Times New Roman" w:cstheme="minorHAnsi"/>
        </w:rPr>
        <w:t>:</w:t>
      </w:r>
      <w:r w:rsidRPr="00F94836">
        <w:rPr>
          <w:rFonts w:eastAsia="Times New Roman" w:cs="Arial"/>
          <w:color w:val="000000"/>
        </w:rPr>
        <w:t xml:space="preserve"> Among ESRD patients 5mg of apixaban does not increase the </w:t>
      </w:r>
      <w:r>
        <w:rPr>
          <w:rFonts w:eastAsia="Times New Roman" w:cs="Arial"/>
          <w:color w:val="000000"/>
        </w:rPr>
        <w:t>number of bleed-free days</w:t>
      </w:r>
      <w:r w:rsidRPr="00F94836">
        <w:rPr>
          <w:rFonts w:eastAsia="Times New Roman" w:cs="Arial"/>
          <w:color w:val="000000"/>
        </w:rPr>
        <w:t xml:space="preserve">. </w:t>
      </w:r>
    </w:p>
    <w:p w14:paraId="3B4EC10E" w14:textId="77777777" w:rsidR="005B0A30" w:rsidRDefault="005B0A30" w:rsidP="005B0A30">
      <w:pPr>
        <w:rPr>
          <w:rFonts w:eastAsia="Times New Roman" w:cstheme="minorHAnsi"/>
        </w:rPr>
      </w:pPr>
    </w:p>
    <w:p w14:paraId="57511BEA" w14:textId="442D0D0F" w:rsidR="005B0A30" w:rsidRPr="002C2850" w:rsidRDefault="005B0A30" w:rsidP="005B0A30">
      <w:pPr>
        <w:rPr>
          <w:rFonts w:eastAsia="Times New Roman" w:cs="Arial"/>
          <w:color w:val="000000"/>
        </w:rPr>
      </w:pPr>
      <w:r w:rsidRPr="00426F2D">
        <w:rPr>
          <w:rFonts w:eastAsia="Times New Roman" w:cstheme="minorHAnsi"/>
          <w:u w:val="single"/>
        </w:rPr>
        <w:t>Alternative hypothesis:</w:t>
      </w:r>
      <w:r>
        <w:rPr>
          <w:rFonts w:eastAsia="Times New Roman" w:cstheme="minorHAnsi"/>
        </w:rPr>
        <w:t xml:space="preserve"> </w:t>
      </w:r>
      <w:r w:rsidRPr="00F94836">
        <w:rPr>
          <w:rFonts w:eastAsia="Times New Roman" w:cs="Arial"/>
          <w:color w:val="000000"/>
        </w:rPr>
        <w:t xml:space="preserve">Among ESRD patients 5mg of apixaban </w:t>
      </w:r>
      <w:r>
        <w:rPr>
          <w:rFonts w:eastAsia="Times New Roman" w:cs="Arial"/>
          <w:color w:val="000000"/>
        </w:rPr>
        <w:t xml:space="preserve">does </w:t>
      </w:r>
      <w:r w:rsidRPr="00F94836">
        <w:rPr>
          <w:rFonts w:eastAsia="Times New Roman" w:cs="Arial"/>
          <w:color w:val="000000"/>
        </w:rPr>
        <w:t xml:space="preserve">increase the </w:t>
      </w:r>
      <w:r>
        <w:rPr>
          <w:rFonts w:eastAsia="Times New Roman" w:cs="Arial"/>
          <w:color w:val="000000"/>
        </w:rPr>
        <w:t>number of bleed-free days.</w:t>
      </w:r>
    </w:p>
    <w:p w14:paraId="3008223B" w14:textId="77777777" w:rsidR="005B0A30" w:rsidRDefault="005B0A30" w:rsidP="00B112E1">
      <w:pPr>
        <w:rPr>
          <w:rFonts w:eastAsia="Times New Roman" w:cstheme="minorHAnsi"/>
        </w:rPr>
      </w:pPr>
    </w:p>
    <w:p w14:paraId="301D5BD6" w14:textId="1D235693" w:rsidR="00F94836" w:rsidRPr="00F94836" w:rsidRDefault="00F94836" w:rsidP="00B112E1">
      <w:pPr>
        <w:rPr>
          <w:rFonts w:eastAsia="Times New Roman" w:cs="Arial"/>
          <w:color w:val="000000"/>
        </w:rPr>
      </w:pPr>
      <w:r w:rsidRPr="00426F2D">
        <w:rPr>
          <w:rFonts w:eastAsia="Times New Roman" w:cs="Arial"/>
          <w:color w:val="000000"/>
          <w:u w:val="single"/>
        </w:rPr>
        <w:t>Statistical test</w:t>
      </w:r>
      <w:r>
        <w:rPr>
          <w:rFonts w:eastAsia="Times New Roman" w:cs="Arial"/>
          <w:color w:val="000000"/>
        </w:rPr>
        <w:t xml:space="preserve">: Chi-square; the predictor is the apixaban dose, which is </w:t>
      </w:r>
      <w:r w:rsidR="004D0BBF">
        <w:rPr>
          <w:rFonts w:eastAsia="Times New Roman" w:cs="Arial"/>
          <w:color w:val="000000"/>
        </w:rPr>
        <w:t>dichotomous,</w:t>
      </w:r>
      <w:r>
        <w:rPr>
          <w:rFonts w:eastAsia="Times New Roman" w:cs="Arial"/>
          <w:color w:val="000000"/>
        </w:rPr>
        <w:t xml:space="preserve"> and the outcome is the presence of bleeding, also dichotomous. </w:t>
      </w:r>
    </w:p>
    <w:p w14:paraId="5618F051" w14:textId="47E5BB75" w:rsidR="002C2850" w:rsidRDefault="002C2850" w:rsidP="00F94836">
      <w:pPr>
        <w:rPr>
          <w:rFonts w:eastAsia="Times New Roman" w:cs="Times New Roman"/>
        </w:rPr>
      </w:pPr>
    </w:p>
    <w:p w14:paraId="535542F5" w14:textId="666EF460" w:rsidR="00426F2D" w:rsidRPr="00426F2D" w:rsidRDefault="00426F2D" w:rsidP="00F94836">
      <w:pPr>
        <w:rPr>
          <w:rFonts w:eastAsia="Times New Roman" w:cs="Times New Roman"/>
          <w:u w:val="single"/>
        </w:rPr>
      </w:pPr>
      <w:r w:rsidRPr="00426F2D">
        <w:rPr>
          <w:rFonts w:eastAsia="Times New Roman" w:cs="Times New Roman"/>
          <w:u w:val="single"/>
        </w:rPr>
        <w:t>Effect size and power:</w:t>
      </w:r>
    </w:p>
    <w:p w14:paraId="302E86AE" w14:textId="7356E33C" w:rsidR="00F94836" w:rsidRPr="00426F2D" w:rsidRDefault="00F94836" w:rsidP="00426F2D">
      <w:pPr>
        <w:pStyle w:val="ListParagraph"/>
        <w:numPr>
          <w:ilvl w:val="0"/>
          <w:numId w:val="13"/>
        </w:numPr>
        <w:rPr>
          <w:rFonts w:asciiTheme="minorHAnsi" w:hAnsiTheme="minorHAnsi" w:cstheme="minorHAnsi"/>
        </w:rPr>
      </w:pPr>
      <w:r w:rsidRPr="00426F2D">
        <w:rPr>
          <w:rFonts w:asciiTheme="minorHAnsi" w:hAnsiTheme="minorHAnsi" w:cstheme="minorHAnsi"/>
        </w:rPr>
        <w:t>Alpha = 0.05</w:t>
      </w:r>
    </w:p>
    <w:p w14:paraId="675872E6" w14:textId="4A3BB752" w:rsidR="00F94836" w:rsidRPr="00426F2D" w:rsidRDefault="00F94836" w:rsidP="00426F2D">
      <w:pPr>
        <w:pStyle w:val="ListParagraph"/>
        <w:numPr>
          <w:ilvl w:val="0"/>
          <w:numId w:val="13"/>
        </w:numPr>
        <w:rPr>
          <w:rFonts w:asciiTheme="minorHAnsi" w:hAnsiTheme="minorHAnsi" w:cstheme="minorHAnsi"/>
        </w:rPr>
      </w:pPr>
      <w:r w:rsidRPr="00426F2D">
        <w:rPr>
          <w:rFonts w:asciiTheme="minorHAnsi" w:hAnsiTheme="minorHAnsi" w:cstheme="minorHAnsi"/>
        </w:rPr>
        <w:t>Beta = 0.20</w:t>
      </w:r>
    </w:p>
    <w:p w14:paraId="71FDC196" w14:textId="6769EAC2" w:rsidR="00F94836" w:rsidRPr="00426F2D" w:rsidRDefault="00F94836" w:rsidP="00426F2D">
      <w:pPr>
        <w:pStyle w:val="ListParagraph"/>
        <w:numPr>
          <w:ilvl w:val="0"/>
          <w:numId w:val="13"/>
        </w:numPr>
        <w:rPr>
          <w:rFonts w:asciiTheme="minorHAnsi" w:hAnsiTheme="minorHAnsi" w:cstheme="minorHAnsi"/>
        </w:rPr>
      </w:pPr>
      <w:r w:rsidRPr="00426F2D">
        <w:rPr>
          <w:rFonts w:asciiTheme="minorHAnsi" w:hAnsiTheme="minorHAnsi" w:cstheme="minorHAnsi"/>
        </w:rPr>
        <w:t xml:space="preserve">Expected difference between P1 and P2 = </w:t>
      </w:r>
      <w:r w:rsidR="004D0BBF" w:rsidRPr="00426F2D">
        <w:rPr>
          <w:rFonts w:asciiTheme="minorHAnsi" w:hAnsiTheme="minorHAnsi" w:cstheme="minorHAnsi"/>
        </w:rPr>
        <w:t>13% (effect size 12% vs 25%)</w:t>
      </w:r>
    </w:p>
    <w:p w14:paraId="656009D0" w14:textId="63D410E3" w:rsidR="004D0BBF" w:rsidRPr="00426F2D" w:rsidRDefault="004D0BBF" w:rsidP="00426F2D">
      <w:pPr>
        <w:pStyle w:val="ListParagraph"/>
        <w:numPr>
          <w:ilvl w:val="0"/>
          <w:numId w:val="13"/>
        </w:numPr>
        <w:rPr>
          <w:rFonts w:asciiTheme="minorHAnsi" w:hAnsiTheme="minorHAnsi" w:cstheme="minorHAnsi"/>
        </w:rPr>
      </w:pPr>
      <w:r w:rsidRPr="00426F2D">
        <w:rPr>
          <w:rFonts w:asciiTheme="minorHAnsi" w:hAnsiTheme="minorHAnsi" w:cstheme="minorHAnsi"/>
        </w:rPr>
        <w:t>Sample size = 139 (per study group arm) * 2 = 278</w:t>
      </w:r>
    </w:p>
    <w:p w14:paraId="5998B4E5" w14:textId="5260ACA0" w:rsidR="004D0BBF" w:rsidRDefault="004D0BBF" w:rsidP="00B112E1">
      <w:pPr>
        <w:rPr>
          <w:rFonts w:eastAsia="Times New Roman" w:cstheme="minorHAnsi"/>
        </w:rPr>
      </w:pPr>
    </w:p>
    <w:p w14:paraId="61CB647E" w14:textId="0F5DB284" w:rsidR="004D0BBF" w:rsidRDefault="004D0BBF" w:rsidP="00B112E1">
      <w:pPr>
        <w:rPr>
          <w:rFonts w:eastAsia="Times New Roman" w:cstheme="minorHAnsi"/>
        </w:rPr>
      </w:pPr>
      <w:r w:rsidRPr="00426F2D">
        <w:rPr>
          <w:rFonts w:eastAsia="Times New Roman" w:cstheme="minorHAnsi"/>
          <w:u w:val="single"/>
        </w:rPr>
        <w:t>Rationale for effect size:</w:t>
      </w:r>
      <w:r>
        <w:rPr>
          <w:rFonts w:eastAsia="Times New Roman" w:cstheme="minorHAnsi"/>
        </w:rPr>
        <w:t xml:space="preserve"> The RENAL-AF</w:t>
      </w:r>
      <w:r w:rsidR="002C2850" w:rsidRPr="002C2850">
        <w:rPr>
          <w:rFonts w:eastAsia="Times New Roman" w:cstheme="minorHAnsi"/>
          <w:vertAlign w:val="superscript"/>
        </w:rPr>
        <w:t>1</w:t>
      </w:r>
      <w:r>
        <w:rPr>
          <w:rFonts w:eastAsia="Times New Roman" w:cstheme="minorHAnsi"/>
        </w:rPr>
        <w:t xml:space="preserve"> trial had a rate of 30% of clinically relevant non-major bleeding with apixaban 5 mg BID in dialysis patients. The Stuber, et. al.</w:t>
      </w:r>
      <w:r w:rsidR="00A522F0">
        <w:rPr>
          <w:rFonts w:eastAsia="Times New Roman" w:cstheme="minorHAnsi"/>
          <w:vertAlign w:val="superscript"/>
        </w:rPr>
        <w:t>3</w:t>
      </w:r>
      <w:r>
        <w:rPr>
          <w:rFonts w:eastAsia="Times New Roman" w:cstheme="minorHAnsi"/>
        </w:rPr>
        <w:t xml:space="preserve"> study of apixaban in patients with ESRD, bleeding events occurred in 15% of the population. Knowing this, a 15% effect size was originally chosen. However, after further discussion it was realized the relative difference was much greater than 50%, which </w:t>
      </w:r>
      <w:r w:rsidR="002C2850">
        <w:rPr>
          <w:rFonts w:eastAsia="Times New Roman" w:cstheme="minorHAnsi"/>
        </w:rPr>
        <w:t>was</w:t>
      </w:r>
      <w:r>
        <w:rPr>
          <w:rFonts w:eastAsia="Times New Roman" w:cstheme="minorHAnsi"/>
        </w:rPr>
        <w:t xml:space="preserve"> too generous. </w:t>
      </w:r>
      <w:r w:rsidR="002C2850">
        <w:rPr>
          <w:rFonts w:eastAsia="Times New Roman" w:cstheme="minorHAnsi"/>
        </w:rPr>
        <w:t>The effect size was then set to 13% (12% vs 25%) and the required sample size was calculated at 278 (139 per each treatment group).</w:t>
      </w:r>
    </w:p>
    <w:p w14:paraId="4216EA9F" w14:textId="0E1190B9" w:rsidR="002C2850" w:rsidRDefault="002C2850" w:rsidP="00B112E1">
      <w:pPr>
        <w:rPr>
          <w:rFonts w:eastAsia="Times New Roman" w:cstheme="minorHAnsi"/>
        </w:rPr>
      </w:pPr>
    </w:p>
    <w:p w14:paraId="52E9BDBB" w14:textId="6022C12F" w:rsidR="00A522F0" w:rsidRPr="00A522F0" w:rsidRDefault="00A522F0" w:rsidP="00B112E1">
      <w:pPr>
        <w:rPr>
          <w:rFonts w:eastAsia="Times New Roman" w:cstheme="minorHAnsi"/>
          <w:b/>
          <w:bCs/>
        </w:rPr>
      </w:pPr>
      <w:r>
        <w:rPr>
          <w:rFonts w:eastAsia="Times New Roman" w:cstheme="minorHAnsi"/>
          <w:b/>
          <w:bCs/>
        </w:rPr>
        <w:t>Ethical Considerations:</w:t>
      </w:r>
    </w:p>
    <w:p w14:paraId="3911AFBF" w14:textId="4927BD4E" w:rsidR="00A522F0" w:rsidRDefault="00A522F0" w:rsidP="00B112E1">
      <w:pPr>
        <w:rPr>
          <w:rFonts w:eastAsia="Times New Roman" w:cstheme="minorHAnsi"/>
        </w:rPr>
      </w:pPr>
    </w:p>
    <w:p w14:paraId="14962790" w14:textId="2D22A986" w:rsidR="00A522F0" w:rsidRDefault="00A522F0" w:rsidP="00B112E1">
      <w:pPr>
        <w:rPr>
          <w:rFonts w:eastAsia="Times New Roman" w:cstheme="minorHAnsi"/>
        </w:rPr>
      </w:pPr>
      <w:r>
        <w:rPr>
          <w:rFonts w:eastAsia="Times New Roman" w:cstheme="minorHAnsi"/>
        </w:rPr>
        <w:t xml:space="preserve">Since this is a retrospective study, there is no additional risk presented to the patient via this research. Protected health information will be safeguarded through de-identification of participants in </w:t>
      </w:r>
      <w:proofErr w:type="spellStart"/>
      <w:r>
        <w:rPr>
          <w:rFonts w:eastAsia="Times New Roman" w:cstheme="minorHAnsi"/>
        </w:rPr>
        <w:t>RedCap</w:t>
      </w:r>
      <w:proofErr w:type="spellEnd"/>
      <w:r>
        <w:rPr>
          <w:rFonts w:eastAsia="Times New Roman" w:cstheme="minorHAnsi"/>
        </w:rPr>
        <w:t xml:space="preserve"> as required by local information security policies. </w:t>
      </w:r>
      <w:r w:rsidRPr="00A522F0">
        <w:rPr>
          <w:rFonts w:eastAsia="Times New Roman" w:cs="Times New Roman"/>
          <w:color w:val="000000"/>
          <w:shd w:val="clear" w:color="auto" w:fill="FFFFFF"/>
        </w:rPr>
        <w:t xml:space="preserve">Data will be stored on a password protected file at our respective institutions in a secure Cloud option until the end of </w:t>
      </w:r>
      <w:r w:rsidRPr="00A522F0">
        <w:rPr>
          <w:rFonts w:eastAsia="Times New Roman" w:cs="Times New Roman"/>
          <w:color w:val="000000"/>
          <w:shd w:val="clear" w:color="auto" w:fill="FFFFFF"/>
        </w:rPr>
        <w:lastRenderedPageBreak/>
        <w:t>the study and then discarded safely to not disclose any PHI</w:t>
      </w:r>
      <w:r w:rsidRPr="00A522F0">
        <w:rPr>
          <w:rFonts w:eastAsia="Times New Roman" w:cs="Times New Roman"/>
          <w:i/>
          <w:iCs/>
          <w:color w:val="000000"/>
          <w:shd w:val="clear" w:color="auto" w:fill="FFFFFF"/>
        </w:rPr>
        <w:t xml:space="preserve">. </w:t>
      </w:r>
      <w:r w:rsidRPr="00A522F0">
        <w:rPr>
          <w:rFonts w:eastAsia="Times New Roman" w:cstheme="minorHAnsi"/>
        </w:rPr>
        <w:t xml:space="preserve">Any device that accesses the data will be kept locked via password and encrypted. </w:t>
      </w:r>
      <w:r>
        <w:rPr>
          <w:rFonts w:eastAsia="Times New Roman" w:cstheme="minorHAnsi"/>
        </w:rPr>
        <w:t xml:space="preserve">Data will not be physically transferred. </w:t>
      </w:r>
    </w:p>
    <w:p w14:paraId="10F9A02E" w14:textId="5382BDF5" w:rsidR="00A522F0" w:rsidRDefault="00A522F0" w:rsidP="00B112E1">
      <w:pPr>
        <w:rPr>
          <w:rFonts w:eastAsia="Times New Roman" w:cstheme="minorHAnsi"/>
        </w:rPr>
      </w:pPr>
    </w:p>
    <w:p w14:paraId="3518F6F1" w14:textId="65FAEF33" w:rsidR="0097285D" w:rsidRDefault="00A522F0" w:rsidP="00B112E1">
      <w:pPr>
        <w:rPr>
          <w:rFonts w:eastAsia="Times New Roman" w:cs="Times New Roman"/>
          <w:i/>
          <w:iCs/>
          <w:color w:val="000000"/>
          <w:shd w:val="clear" w:color="auto" w:fill="FFFFFF"/>
        </w:rPr>
      </w:pPr>
      <w:r w:rsidRPr="00A522F0">
        <w:rPr>
          <w:rFonts w:eastAsia="Times New Roman" w:cs="Times New Roman"/>
          <w:color w:val="000000"/>
          <w:shd w:val="clear" w:color="auto" w:fill="FFFFFF"/>
        </w:rPr>
        <w:t xml:space="preserve">All required approvals </w:t>
      </w:r>
      <w:r w:rsidRPr="00A522F0">
        <w:rPr>
          <w:rFonts w:eastAsia="Times New Roman" w:cs="Times New Roman"/>
          <w:color w:val="000000"/>
          <w:shd w:val="clear" w:color="auto" w:fill="FFFFFF"/>
        </w:rPr>
        <w:t>will be</w:t>
      </w:r>
      <w:r w:rsidRPr="00A522F0">
        <w:rPr>
          <w:rFonts w:eastAsia="Times New Roman" w:cs="Times New Roman"/>
          <w:color w:val="000000"/>
          <w:shd w:val="clear" w:color="auto" w:fill="FFFFFF"/>
        </w:rPr>
        <w:t> obtained at each site (including approval by the primary IRB of record, UC Davis Medical Center) via Reliance. </w:t>
      </w:r>
      <w:r w:rsidRPr="00A522F0">
        <w:rPr>
          <w:rFonts w:eastAsia="Times New Roman" w:cs="Times New Roman"/>
          <w:i/>
          <w:iCs/>
          <w:color w:val="000000"/>
          <w:shd w:val="clear" w:color="auto" w:fill="FFFFFF"/>
        </w:rPr>
        <w:t> </w:t>
      </w:r>
    </w:p>
    <w:p w14:paraId="66B76D9D" w14:textId="77777777" w:rsidR="0097285D" w:rsidRPr="0097285D" w:rsidRDefault="0097285D" w:rsidP="00B112E1">
      <w:pPr>
        <w:rPr>
          <w:rFonts w:eastAsia="Times New Roman" w:cs="Times New Roman"/>
          <w:i/>
          <w:iCs/>
          <w:color w:val="000000"/>
          <w:shd w:val="clear" w:color="auto" w:fill="FFFFFF"/>
        </w:rPr>
      </w:pPr>
    </w:p>
    <w:p w14:paraId="2D3EA311" w14:textId="3A8EB9E3" w:rsidR="00A522F0" w:rsidRPr="0097285D" w:rsidRDefault="00A522F0" w:rsidP="00B112E1">
      <w:pPr>
        <w:rPr>
          <w:rFonts w:eastAsia="Times New Roman" w:cs="Times New Roman"/>
          <w:b/>
          <w:bCs/>
        </w:rPr>
      </w:pPr>
      <w:r w:rsidRPr="0097285D">
        <w:rPr>
          <w:rFonts w:eastAsia="Times New Roman" w:cs="Times New Roman"/>
          <w:b/>
          <w:bCs/>
        </w:rPr>
        <w:t>Appendix 1: ICD-10 Codes for Eligibility Screening</w:t>
      </w:r>
    </w:p>
    <w:p w14:paraId="7DCD5D03" w14:textId="77777777" w:rsidR="00A522F0" w:rsidRPr="0097285D" w:rsidRDefault="00A522F0" w:rsidP="00A522F0">
      <w:pPr>
        <w:pStyle w:val="paragraph"/>
        <w:numPr>
          <w:ilvl w:val="0"/>
          <w:numId w:val="18"/>
        </w:numPr>
        <w:tabs>
          <w:tab w:val="clear" w:pos="720"/>
        </w:tabs>
        <w:spacing w:before="0" w:beforeAutospacing="0" w:after="0" w:afterAutospacing="0"/>
        <w:textAlignment w:val="baseline"/>
        <w:rPr>
          <w:rFonts w:asciiTheme="minorHAnsi" w:hAnsiTheme="minorHAnsi"/>
          <w:color w:val="000000"/>
        </w:rPr>
      </w:pPr>
      <w:r w:rsidRPr="0097285D">
        <w:rPr>
          <w:rStyle w:val="normaltextrun"/>
          <w:rFonts w:asciiTheme="minorHAnsi" w:hAnsiTheme="minorHAnsi"/>
          <w:color w:val="000000"/>
        </w:rPr>
        <w:t>End-Stage Renal Disease (Diagnosis) [ICD-10 Grouper] </w:t>
      </w:r>
      <w:r w:rsidRPr="0097285D">
        <w:rPr>
          <w:rStyle w:val="eop"/>
          <w:rFonts w:asciiTheme="minorHAnsi" w:hAnsiTheme="minorHAnsi"/>
          <w:color w:val="000000"/>
        </w:rPr>
        <w:t> </w:t>
      </w:r>
    </w:p>
    <w:p w14:paraId="4A764AD4" w14:textId="77777777" w:rsidR="00A522F0" w:rsidRPr="0097285D" w:rsidRDefault="00A522F0" w:rsidP="00A522F0">
      <w:pPr>
        <w:pStyle w:val="paragraph"/>
        <w:numPr>
          <w:ilvl w:val="0"/>
          <w:numId w:val="18"/>
        </w:numPr>
        <w:tabs>
          <w:tab w:val="clear" w:pos="720"/>
        </w:tabs>
        <w:spacing w:before="0" w:beforeAutospacing="0" w:after="0" w:afterAutospacing="0"/>
        <w:textAlignment w:val="baseline"/>
        <w:rPr>
          <w:rFonts w:asciiTheme="minorHAnsi" w:hAnsiTheme="minorHAnsi"/>
          <w:color w:val="000000"/>
        </w:rPr>
      </w:pPr>
      <w:r w:rsidRPr="0097285D">
        <w:rPr>
          <w:rStyle w:val="normaltextrun"/>
          <w:rFonts w:asciiTheme="minorHAnsi" w:hAnsiTheme="minorHAnsi"/>
          <w:color w:val="000000"/>
        </w:rPr>
        <w:t>Dependence on renal dialysis (ICD-10-CM: Z99.3) </w:t>
      </w:r>
      <w:r w:rsidRPr="0097285D">
        <w:rPr>
          <w:rStyle w:val="eop"/>
          <w:rFonts w:asciiTheme="minorHAnsi" w:hAnsiTheme="minorHAnsi"/>
          <w:color w:val="000000"/>
        </w:rPr>
        <w:t> </w:t>
      </w:r>
    </w:p>
    <w:p w14:paraId="372181E8" w14:textId="77777777" w:rsidR="00A522F0" w:rsidRPr="0097285D" w:rsidRDefault="00A522F0" w:rsidP="00A522F0">
      <w:pPr>
        <w:pStyle w:val="paragraph"/>
        <w:numPr>
          <w:ilvl w:val="0"/>
          <w:numId w:val="18"/>
        </w:numPr>
        <w:tabs>
          <w:tab w:val="clear" w:pos="720"/>
        </w:tabs>
        <w:spacing w:before="0" w:beforeAutospacing="0" w:after="0" w:afterAutospacing="0"/>
        <w:textAlignment w:val="baseline"/>
        <w:rPr>
          <w:rFonts w:asciiTheme="minorHAnsi" w:hAnsiTheme="minorHAnsi"/>
          <w:color w:val="000000"/>
        </w:rPr>
      </w:pPr>
      <w:r w:rsidRPr="0097285D">
        <w:rPr>
          <w:rStyle w:val="normaltextrun"/>
          <w:rFonts w:asciiTheme="minorHAnsi" w:hAnsiTheme="minorHAnsi"/>
          <w:color w:val="000000"/>
        </w:rPr>
        <w:t>Chronic kidney disease, stage 4 (severe) (ICD-10-CM: N18.4) </w:t>
      </w:r>
      <w:r w:rsidRPr="0097285D">
        <w:rPr>
          <w:rStyle w:val="eop"/>
          <w:rFonts w:asciiTheme="minorHAnsi" w:hAnsiTheme="minorHAnsi"/>
          <w:color w:val="000000"/>
        </w:rPr>
        <w:t> </w:t>
      </w:r>
    </w:p>
    <w:p w14:paraId="1B81616C" w14:textId="77777777" w:rsidR="00A522F0" w:rsidRPr="0097285D" w:rsidRDefault="00A522F0" w:rsidP="00A522F0">
      <w:pPr>
        <w:pStyle w:val="paragraph"/>
        <w:numPr>
          <w:ilvl w:val="0"/>
          <w:numId w:val="18"/>
        </w:numPr>
        <w:tabs>
          <w:tab w:val="clear" w:pos="720"/>
        </w:tabs>
        <w:spacing w:before="0" w:beforeAutospacing="0" w:after="0" w:afterAutospacing="0"/>
        <w:textAlignment w:val="baseline"/>
        <w:rPr>
          <w:rFonts w:asciiTheme="minorHAnsi" w:hAnsiTheme="minorHAnsi"/>
          <w:color w:val="000000"/>
        </w:rPr>
      </w:pPr>
      <w:r w:rsidRPr="0097285D">
        <w:rPr>
          <w:rStyle w:val="normaltextrun"/>
          <w:rFonts w:asciiTheme="minorHAnsi" w:hAnsiTheme="minorHAnsi"/>
          <w:color w:val="000000"/>
        </w:rPr>
        <w:t>VTE Diagnoses [ICD-10 Grouper] </w:t>
      </w:r>
      <w:r w:rsidRPr="0097285D">
        <w:rPr>
          <w:rStyle w:val="eop"/>
          <w:rFonts w:asciiTheme="minorHAnsi" w:hAnsiTheme="minorHAnsi"/>
          <w:color w:val="000000"/>
        </w:rPr>
        <w:t> </w:t>
      </w:r>
    </w:p>
    <w:p w14:paraId="4D83324B" w14:textId="77777777" w:rsidR="00A522F0" w:rsidRPr="0097285D" w:rsidRDefault="00A522F0" w:rsidP="00A522F0">
      <w:pPr>
        <w:pStyle w:val="paragraph"/>
        <w:numPr>
          <w:ilvl w:val="0"/>
          <w:numId w:val="18"/>
        </w:numPr>
        <w:tabs>
          <w:tab w:val="clear" w:pos="720"/>
        </w:tabs>
        <w:spacing w:before="0" w:beforeAutospacing="0" w:after="0" w:afterAutospacing="0"/>
        <w:textAlignment w:val="baseline"/>
        <w:rPr>
          <w:rFonts w:asciiTheme="minorHAnsi" w:hAnsiTheme="minorHAnsi"/>
          <w:color w:val="000000"/>
        </w:rPr>
      </w:pPr>
      <w:r w:rsidRPr="0097285D">
        <w:rPr>
          <w:rStyle w:val="normaltextrun"/>
          <w:rFonts w:asciiTheme="minorHAnsi" w:hAnsiTheme="minorHAnsi"/>
          <w:color w:val="000000"/>
        </w:rPr>
        <w:t>Other venous embolism and thrombosis (I</w:t>
      </w:r>
      <w:proofErr w:type="gramStart"/>
      <w:r w:rsidRPr="0097285D">
        <w:rPr>
          <w:rStyle w:val="normaltextrun"/>
          <w:rFonts w:asciiTheme="minorHAnsi" w:hAnsiTheme="minorHAnsi"/>
          <w:color w:val="000000"/>
        </w:rPr>
        <w:t>82.*</w:t>
      </w:r>
      <w:proofErr w:type="gramEnd"/>
      <w:r w:rsidRPr="0097285D">
        <w:rPr>
          <w:rStyle w:val="normaltextrun"/>
          <w:rFonts w:asciiTheme="minorHAnsi" w:hAnsiTheme="minorHAnsi"/>
          <w:color w:val="000000"/>
        </w:rPr>
        <w:t>) [ICD-10 Group] </w:t>
      </w:r>
      <w:r w:rsidRPr="0097285D">
        <w:rPr>
          <w:rStyle w:val="eop"/>
          <w:rFonts w:asciiTheme="minorHAnsi" w:hAnsiTheme="minorHAnsi"/>
          <w:color w:val="000000"/>
        </w:rPr>
        <w:t> </w:t>
      </w:r>
    </w:p>
    <w:p w14:paraId="3D2D3AB7" w14:textId="77777777" w:rsidR="00A522F0" w:rsidRPr="0097285D" w:rsidRDefault="00A522F0" w:rsidP="00A522F0">
      <w:pPr>
        <w:pStyle w:val="paragraph"/>
        <w:numPr>
          <w:ilvl w:val="0"/>
          <w:numId w:val="18"/>
        </w:numPr>
        <w:tabs>
          <w:tab w:val="clear" w:pos="720"/>
        </w:tabs>
        <w:spacing w:before="0" w:beforeAutospacing="0" w:after="0" w:afterAutospacing="0"/>
        <w:textAlignment w:val="baseline"/>
        <w:rPr>
          <w:rFonts w:asciiTheme="minorHAnsi" w:hAnsiTheme="minorHAnsi"/>
          <w:color w:val="000000"/>
        </w:rPr>
      </w:pPr>
      <w:r w:rsidRPr="0097285D">
        <w:rPr>
          <w:rStyle w:val="normaltextrun"/>
          <w:rFonts w:asciiTheme="minorHAnsi" w:hAnsiTheme="minorHAnsi"/>
          <w:color w:val="000000"/>
        </w:rPr>
        <w:t>Pulmonary embolism (ICD-10-CM: I</w:t>
      </w:r>
      <w:proofErr w:type="gramStart"/>
      <w:r w:rsidRPr="0097285D">
        <w:rPr>
          <w:rStyle w:val="normaltextrun"/>
          <w:rFonts w:asciiTheme="minorHAnsi" w:hAnsiTheme="minorHAnsi"/>
          <w:color w:val="000000"/>
        </w:rPr>
        <w:t>26.*</w:t>
      </w:r>
      <w:proofErr w:type="gramEnd"/>
      <w:r w:rsidRPr="0097285D">
        <w:rPr>
          <w:rStyle w:val="normaltextrun"/>
          <w:rFonts w:asciiTheme="minorHAnsi" w:hAnsiTheme="minorHAnsi"/>
          <w:color w:val="000000"/>
        </w:rPr>
        <w:t>) [ICD-10 Group] </w:t>
      </w:r>
      <w:r w:rsidRPr="0097285D">
        <w:rPr>
          <w:rStyle w:val="eop"/>
          <w:rFonts w:asciiTheme="minorHAnsi" w:hAnsiTheme="minorHAnsi"/>
          <w:color w:val="000000"/>
        </w:rPr>
        <w:t> </w:t>
      </w:r>
    </w:p>
    <w:p w14:paraId="0B3265A9" w14:textId="77777777" w:rsidR="00A522F0" w:rsidRPr="0097285D" w:rsidRDefault="00A522F0" w:rsidP="00A522F0">
      <w:pPr>
        <w:pStyle w:val="paragraph"/>
        <w:numPr>
          <w:ilvl w:val="0"/>
          <w:numId w:val="18"/>
        </w:numPr>
        <w:tabs>
          <w:tab w:val="clear" w:pos="720"/>
        </w:tabs>
        <w:spacing w:before="0" w:beforeAutospacing="0" w:after="0" w:afterAutospacing="0"/>
        <w:textAlignment w:val="baseline"/>
        <w:rPr>
          <w:rFonts w:asciiTheme="minorHAnsi" w:hAnsiTheme="minorHAnsi"/>
          <w:color w:val="000000"/>
        </w:rPr>
      </w:pPr>
      <w:r w:rsidRPr="0097285D">
        <w:rPr>
          <w:rStyle w:val="normaltextrun"/>
          <w:rFonts w:asciiTheme="minorHAnsi" w:hAnsiTheme="minorHAnsi"/>
          <w:color w:val="000000"/>
        </w:rPr>
        <w:t>Chronic pulmonary embolism (ICD-10-CM: I27.82) </w:t>
      </w:r>
      <w:r w:rsidRPr="0097285D">
        <w:rPr>
          <w:rStyle w:val="eop"/>
          <w:rFonts w:asciiTheme="minorHAnsi" w:hAnsiTheme="minorHAnsi"/>
          <w:color w:val="000000"/>
        </w:rPr>
        <w:t> </w:t>
      </w:r>
    </w:p>
    <w:p w14:paraId="050D277A" w14:textId="2EA30179" w:rsidR="00A522F0" w:rsidRPr="0097285D" w:rsidRDefault="00A522F0" w:rsidP="00A522F0">
      <w:pPr>
        <w:pStyle w:val="paragraph"/>
        <w:numPr>
          <w:ilvl w:val="1"/>
          <w:numId w:val="18"/>
        </w:numPr>
        <w:tabs>
          <w:tab w:val="clear" w:pos="1440"/>
        </w:tabs>
        <w:spacing w:before="0" w:beforeAutospacing="0" w:after="0" w:afterAutospacing="0"/>
        <w:textAlignment w:val="baseline"/>
        <w:rPr>
          <w:rFonts w:asciiTheme="minorHAnsi" w:hAnsiTheme="minorHAnsi"/>
          <w:color w:val="000000"/>
        </w:rPr>
      </w:pPr>
      <w:r w:rsidRPr="0097285D">
        <w:rPr>
          <w:rStyle w:val="normaltextrun"/>
          <w:rFonts w:asciiTheme="minorHAnsi" w:hAnsiTheme="minorHAnsi"/>
          <w:color w:val="000000"/>
        </w:rPr>
        <w:t>Personal history of other venous thrombosis and embolism (ICD-10-CM:</w:t>
      </w:r>
      <w:r w:rsidRPr="0097285D">
        <w:rPr>
          <w:rStyle w:val="normaltextrun"/>
          <w:rFonts w:asciiTheme="minorHAnsi" w:hAnsiTheme="minorHAnsi"/>
          <w:color w:val="000000"/>
        </w:rPr>
        <w:t xml:space="preserve"> </w:t>
      </w:r>
      <w:r w:rsidRPr="0097285D">
        <w:rPr>
          <w:rStyle w:val="normaltextrun"/>
          <w:rFonts w:asciiTheme="minorHAnsi" w:hAnsiTheme="minorHAnsi"/>
          <w:color w:val="000000"/>
        </w:rPr>
        <w:t>Z86.718) </w:t>
      </w:r>
      <w:r w:rsidRPr="0097285D">
        <w:rPr>
          <w:rStyle w:val="eop"/>
          <w:rFonts w:asciiTheme="minorHAnsi" w:hAnsiTheme="minorHAnsi"/>
          <w:color w:val="000000"/>
        </w:rPr>
        <w:t> </w:t>
      </w:r>
    </w:p>
    <w:p w14:paraId="107E10AF" w14:textId="642583C1" w:rsidR="00A522F0" w:rsidRPr="0097285D" w:rsidRDefault="00A522F0" w:rsidP="00A522F0">
      <w:pPr>
        <w:pStyle w:val="paragraph"/>
        <w:numPr>
          <w:ilvl w:val="0"/>
          <w:numId w:val="18"/>
        </w:numPr>
        <w:tabs>
          <w:tab w:val="clear" w:pos="720"/>
        </w:tabs>
        <w:spacing w:before="0" w:beforeAutospacing="0" w:after="0" w:afterAutospacing="0"/>
        <w:textAlignment w:val="baseline"/>
        <w:rPr>
          <w:rFonts w:asciiTheme="minorHAnsi" w:hAnsiTheme="minorHAnsi"/>
          <w:color w:val="000000"/>
        </w:rPr>
      </w:pPr>
      <w:r w:rsidRPr="0097285D">
        <w:rPr>
          <w:rStyle w:val="normaltextrun"/>
          <w:rFonts w:asciiTheme="minorHAnsi" w:hAnsiTheme="minorHAnsi"/>
          <w:color w:val="000000"/>
        </w:rPr>
        <w:t>Cerebral infarction due to cerebral venous thrombosis, </w:t>
      </w:r>
      <w:proofErr w:type="spellStart"/>
      <w:r w:rsidRPr="0097285D">
        <w:rPr>
          <w:rStyle w:val="normaltextrun"/>
          <w:rFonts w:asciiTheme="minorHAnsi" w:hAnsiTheme="minorHAnsi"/>
          <w:color w:val="000000"/>
        </w:rPr>
        <w:t>nonpyogenic</w:t>
      </w:r>
      <w:proofErr w:type="spellEnd"/>
      <w:r w:rsidRPr="0097285D">
        <w:rPr>
          <w:rStyle w:val="normaltextrun"/>
          <w:rFonts w:asciiTheme="minorHAnsi" w:hAnsiTheme="minorHAnsi"/>
          <w:color w:val="000000"/>
        </w:rPr>
        <w:t> (ICD-10-CM: I63.6) </w:t>
      </w:r>
      <w:r w:rsidRPr="0097285D">
        <w:rPr>
          <w:rStyle w:val="eop"/>
          <w:rFonts w:asciiTheme="minorHAnsi" w:hAnsiTheme="minorHAnsi"/>
          <w:color w:val="000000"/>
        </w:rPr>
        <w:t> </w:t>
      </w:r>
    </w:p>
    <w:p w14:paraId="052720F3" w14:textId="77777777" w:rsidR="00A522F0" w:rsidRPr="0097285D" w:rsidRDefault="00A522F0" w:rsidP="00B112E1">
      <w:pPr>
        <w:rPr>
          <w:rFonts w:eastAsia="Times New Roman" w:cstheme="minorHAnsi"/>
        </w:rPr>
      </w:pPr>
    </w:p>
    <w:p w14:paraId="4FF560D2" w14:textId="3F2FCF46" w:rsidR="002C2850" w:rsidRPr="0097285D" w:rsidRDefault="00A522F0" w:rsidP="00B112E1">
      <w:pPr>
        <w:rPr>
          <w:rFonts w:eastAsia="Times New Roman" w:cstheme="minorHAnsi"/>
          <w:b/>
          <w:bCs/>
        </w:rPr>
      </w:pPr>
      <w:r w:rsidRPr="0097285D">
        <w:rPr>
          <w:rFonts w:eastAsia="Times New Roman" w:cstheme="minorHAnsi"/>
          <w:b/>
          <w:bCs/>
        </w:rPr>
        <w:t>References</w:t>
      </w:r>
      <w:r w:rsidR="002C2850" w:rsidRPr="0097285D">
        <w:rPr>
          <w:rFonts w:eastAsia="Times New Roman" w:cstheme="minorHAnsi"/>
          <w:b/>
          <w:bCs/>
        </w:rPr>
        <w:t>:</w:t>
      </w:r>
    </w:p>
    <w:p w14:paraId="29F7D1A7" w14:textId="331FDBBD" w:rsidR="00A522F0" w:rsidRPr="0097285D" w:rsidRDefault="00A522F0" w:rsidP="00A522F0">
      <w:pPr>
        <w:pStyle w:val="ListParagraph"/>
        <w:numPr>
          <w:ilvl w:val="0"/>
          <w:numId w:val="4"/>
        </w:numPr>
        <w:rPr>
          <w:rFonts w:asciiTheme="minorHAnsi" w:hAnsiTheme="minorHAnsi"/>
        </w:rPr>
      </w:pPr>
      <w:r w:rsidRPr="0097285D">
        <w:rPr>
          <w:rFonts w:asciiTheme="minorHAnsi" w:hAnsiTheme="minorHAnsi"/>
          <w:color w:val="000000"/>
          <w:shd w:val="clear" w:color="auto" w:fill="FFFFFF"/>
        </w:rPr>
        <w:t>Granger CB, </w:t>
      </w:r>
      <w:proofErr w:type="spellStart"/>
      <w:r w:rsidRPr="0097285D">
        <w:rPr>
          <w:rFonts w:asciiTheme="minorHAnsi" w:hAnsiTheme="minorHAnsi"/>
          <w:color w:val="000000"/>
          <w:shd w:val="clear" w:color="auto" w:fill="FFFFFF"/>
        </w:rPr>
        <w:t>Chertow</w:t>
      </w:r>
      <w:proofErr w:type="spellEnd"/>
      <w:r w:rsidRPr="0097285D">
        <w:rPr>
          <w:rFonts w:asciiTheme="minorHAnsi" w:hAnsiTheme="minorHAnsi"/>
          <w:color w:val="000000"/>
          <w:shd w:val="clear" w:color="auto" w:fill="FFFFFF"/>
        </w:rPr>
        <w:t> GM. </w:t>
      </w:r>
      <w:proofErr w:type="spellStart"/>
      <w:r w:rsidRPr="0097285D">
        <w:rPr>
          <w:rFonts w:asciiTheme="minorHAnsi" w:hAnsiTheme="minorHAnsi"/>
          <w:color w:val="000000"/>
          <w:shd w:val="clear" w:color="auto" w:fill="FFFFFF"/>
        </w:rPr>
        <w:t>RENal</w:t>
      </w:r>
      <w:proofErr w:type="spellEnd"/>
      <w:r w:rsidRPr="0097285D">
        <w:rPr>
          <w:rFonts w:asciiTheme="minorHAnsi" w:hAnsiTheme="minorHAnsi"/>
          <w:color w:val="000000"/>
          <w:shd w:val="clear" w:color="auto" w:fill="FFFFFF"/>
        </w:rPr>
        <w:t> hemodialysis patients </w:t>
      </w:r>
      <w:proofErr w:type="spellStart"/>
      <w:r w:rsidRPr="0097285D">
        <w:rPr>
          <w:rFonts w:asciiTheme="minorHAnsi" w:hAnsiTheme="minorHAnsi"/>
          <w:color w:val="000000"/>
          <w:shd w:val="clear" w:color="auto" w:fill="FFFFFF"/>
        </w:rPr>
        <w:t>ALlocated</w:t>
      </w:r>
      <w:proofErr w:type="spellEnd"/>
      <w:r w:rsidRPr="0097285D">
        <w:rPr>
          <w:rFonts w:asciiTheme="minorHAnsi" w:hAnsiTheme="minorHAnsi"/>
          <w:color w:val="000000"/>
          <w:shd w:val="clear" w:color="auto" w:fill="FFFFFF"/>
        </w:rPr>
        <w:t> apixaban versus warfarin in Atrial Fibrillation (RENAL-AF) Randomized Clinical Trial. </w:t>
      </w:r>
    </w:p>
    <w:p w14:paraId="427306C6" w14:textId="12217E52" w:rsidR="00A522F0" w:rsidRPr="0097285D" w:rsidRDefault="00A522F0" w:rsidP="00A522F0">
      <w:pPr>
        <w:pStyle w:val="ListParagraph"/>
        <w:numPr>
          <w:ilvl w:val="0"/>
          <w:numId w:val="4"/>
        </w:numPr>
        <w:rPr>
          <w:rFonts w:asciiTheme="minorHAnsi" w:hAnsiTheme="minorHAnsi"/>
        </w:rPr>
      </w:pPr>
      <w:r w:rsidRPr="0097285D">
        <w:rPr>
          <w:rFonts w:asciiTheme="minorHAnsi" w:hAnsiTheme="minorHAnsi"/>
          <w:color w:val="212121"/>
          <w:shd w:val="clear" w:color="auto" w:fill="FFFFFF"/>
        </w:rPr>
        <w:t>Kearon C, </w:t>
      </w:r>
      <w:proofErr w:type="spellStart"/>
      <w:r w:rsidRPr="0097285D">
        <w:rPr>
          <w:rFonts w:asciiTheme="minorHAnsi" w:hAnsiTheme="minorHAnsi"/>
          <w:color w:val="212121"/>
          <w:shd w:val="clear" w:color="auto" w:fill="FFFFFF"/>
        </w:rPr>
        <w:t>Akl</w:t>
      </w:r>
      <w:proofErr w:type="spellEnd"/>
      <w:r w:rsidRPr="0097285D">
        <w:rPr>
          <w:rFonts w:asciiTheme="minorHAnsi" w:hAnsiTheme="minorHAnsi"/>
          <w:color w:val="212121"/>
          <w:shd w:val="clear" w:color="auto" w:fill="FFFFFF"/>
        </w:rPr>
        <w:t> EA, Ornelas J, et al. Antithrombotic Therapy for VTE Disease: CHEST Guideline and Expert Panel Report [published correction appears in Chest. 2016 Oct;150(4):988]. </w:t>
      </w:r>
      <w:r w:rsidRPr="0097285D">
        <w:rPr>
          <w:rFonts w:asciiTheme="minorHAnsi" w:hAnsiTheme="minorHAnsi"/>
          <w:i/>
          <w:iCs/>
          <w:color w:val="212121"/>
          <w:shd w:val="clear" w:color="auto" w:fill="FFFFFF"/>
        </w:rPr>
        <w:t>Chest</w:t>
      </w:r>
      <w:r w:rsidRPr="0097285D">
        <w:rPr>
          <w:rFonts w:asciiTheme="minorHAnsi" w:hAnsiTheme="minorHAnsi"/>
          <w:color w:val="212121"/>
          <w:shd w:val="clear" w:color="auto" w:fill="FFFFFF"/>
        </w:rPr>
        <w:t>. 2016;149(2):315-352. </w:t>
      </w:r>
      <w:proofErr w:type="gramStart"/>
      <w:r w:rsidRPr="0097285D">
        <w:rPr>
          <w:rFonts w:asciiTheme="minorHAnsi" w:hAnsiTheme="minorHAnsi"/>
          <w:color w:val="212121"/>
          <w:shd w:val="clear" w:color="auto" w:fill="FFFFFF"/>
        </w:rPr>
        <w:t>doi:10.1016/j.chest</w:t>
      </w:r>
      <w:proofErr w:type="gramEnd"/>
      <w:r w:rsidRPr="0097285D">
        <w:rPr>
          <w:rFonts w:asciiTheme="minorHAnsi" w:hAnsiTheme="minorHAnsi"/>
          <w:color w:val="212121"/>
          <w:shd w:val="clear" w:color="auto" w:fill="FFFFFF"/>
        </w:rPr>
        <w:t>.2015.11.026 </w:t>
      </w:r>
    </w:p>
    <w:p w14:paraId="60B53C7D" w14:textId="005298B8" w:rsidR="00172153" w:rsidRPr="0097285D" w:rsidRDefault="002C2850" w:rsidP="002C2850">
      <w:pPr>
        <w:pStyle w:val="ListParagraph"/>
        <w:numPr>
          <w:ilvl w:val="0"/>
          <w:numId w:val="4"/>
        </w:numPr>
        <w:rPr>
          <w:rFonts w:asciiTheme="minorHAnsi" w:hAnsiTheme="minorHAnsi"/>
        </w:rPr>
      </w:pPr>
      <w:proofErr w:type="spellStart"/>
      <w:r w:rsidRPr="0097285D">
        <w:rPr>
          <w:rFonts w:asciiTheme="minorHAnsi" w:hAnsiTheme="minorHAnsi" w:cstheme="minorHAnsi"/>
        </w:rPr>
        <w:t>Steuber</w:t>
      </w:r>
      <w:proofErr w:type="spellEnd"/>
      <w:r w:rsidRPr="0097285D">
        <w:rPr>
          <w:rFonts w:asciiTheme="minorHAnsi" w:hAnsiTheme="minorHAnsi" w:cstheme="minorHAnsi"/>
        </w:rPr>
        <w:t xml:space="preserve"> TD, </w:t>
      </w:r>
      <w:proofErr w:type="spellStart"/>
      <w:r w:rsidRPr="0097285D">
        <w:rPr>
          <w:rFonts w:asciiTheme="minorHAnsi" w:hAnsiTheme="minorHAnsi" w:cstheme="minorHAnsi"/>
        </w:rPr>
        <w:t>Shiltz</w:t>
      </w:r>
      <w:proofErr w:type="spellEnd"/>
      <w:r w:rsidRPr="0097285D">
        <w:rPr>
          <w:rFonts w:asciiTheme="minorHAnsi" w:hAnsiTheme="minorHAnsi" w:cstheme="minorHAnsi"/>
        </w:rPr>
        <w:t xml:space="preserve"> DL, Cairns AC, et. al. A multicenter analysis of factors associated with apixaban-related bleeding in hospitalized patients with end-stage renal disease on hemodialysis. Annals of Pharmacotherapy. 2017;51(11):954-960</w:t>
      </w:r>
      <w:r w:rsidR="00763A7A" w:rsidRPr="0097285D">
        <w:rPr>
          <w:rFonts w:asciiTheme="minorHAnsi" w:hAnsiTheme="minorHAnsi" w:cstheme="minorHAnsi"/>
        </w:rPr>
        <w:t>.</w:t>
      </w:r>
    </w:p>
    <w:sectPr w:rsidR="00172153" w:rsidRPr="00972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FB0"/>
    <w:multiLevelType w:val="multilevel"/>
    <w:tmpl w:val="5EA8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C3ED4"/>
    <w:multiLevelType w:val="multilevel"/>
    <w:tmpl w:val="53BCBF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9B60AD"/>
    <w:multiLevelType w:val="multilevel"/>
    <w:tmpl w:val="23FE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02BF8"/>
    <w:multiLevelType w:val="multilevel"/>
    <w:tmpl w:val="2D50D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40FA2"/>
    <w:multiLevelType w:val="hybridMultilevel"/>
    <w:tmpl w:val="C5002256"/>
    <w:lvl w:ilvl="0" w:tplc="04090001">
      <w:start w:val="1"/>
      <w:numFmt w:val="bullet"/>
      <w:lvlText w:val=""/>
      <w:lvlJc w:val="left"/>
      <w:pPr>
        <w:ind w:left="720" w:hanging="360"/>
      </w:pPr>
      <w:rPr>
        <w:rFonts w:ascii="Symbol" w:hAnsi="Symbol" w:hint="default"/>
      </w:rPr>
    </w:lvl>
    <w:lvl w:ilvl="1" w:tplc="3E383FD0" w:tentative="1">
      <w:start w:val="1"/>
      <w:numFmt w:val="bullet"/>
      <w:lvlText w:val="Ø"/>
      <w:lvlJc w:val="left"/>
      <w:pPr>
        <w:tabs>
          <w:tab w:val="num" w:pos="1440"/>
        </w:tabs>
        <w:ind w:left="1440" w:hanging="360"/>
      </w:pPr>
      <w:rPr>
        <w:rFonts w:ascii="Wingdings" w:hAnsi="Wingdings" w:hint="default"/>
      </w:rPr>
    </w:lvl>
    <w:lvl w:ilvl="2" w:tplc="9ABED54E" w:tentative="1">
      <w:start w:val="1"/>
      <w:numFmt w:val="bullet"/>
      <w:lvlText w:val="Ø"/>
      <w:lvlJc w:val="left"/>
      <w:pPr>
        <w:tabs>
          <w:tab w:val="num" w:pos="2160"/>
        </w:tabs>
        <w:ind w:left="2160" w:hanging="360"/>
      </w:pPr>
      <w:rPr>
        <w:rFonts w:ascii="Wingdings" w:hAnsi="Wingdings" w:hint="default"/>
      </w:rPr>
    </w:lvl>
    <w:lvl w:ilvl="3" w:tplc="B492BD1E" w:tentative="1">
      <w:start w:val="1"/>
      <w:numFmt w:val="bullet"/>
      <w:lvlText w:val="Ø"/>
      <w:lvlJc w:val="left"/>
      <w:pPr>
        <w:tabs>
          <w:tab w:val="num" w:pos="2880"/>
        </w:tabs>
        <w:ind w:left="2880" w:hanging="360"/>
      </w:pPr>
      <w:rPr>
        <w:rFonts w:ascii="Wingdings" w:hAnsi="Wingdings" w:hint="default"/>
      </w:rPr>
    </w:lvl>
    <w:lvl w:ilvl="4" w:tplc="CD3C1C86" w:tentative="1">
      <w:start w:val="1"/>
      <w:numFmt w:val="bullet"/>
      <w:lvlText w:val="Ø"/>
      <w:lvlJc w:val="left"/>
      <w:pPr>
        <w:tabs>
          <w:tab w:val="num" w:pos="3600"/>
        </w:tabs>
        <w:ind w:left="3600" w:hanging="360"/>
      </w:pPr>
      <w:rPr>
        <w:rFonts w:ascii="Wingdings" w:hAnsi="Wingdings" w:hint="default"/>
      </w:rPr>
    </w:lvl>
    <w:lvl w:ilvl="5" w:tplc="BA526DC0" w:tentative="1">
      <w:start w:val="1"/>
      <w:numFmt w:val="bullet"/>
      <w:lvlText w:val="Ø"/>
      <w:lvlJc w:val="left"/>
      <w:pPr>
        <w:tabs>
          <w:tab w:val="num" w:pos="4320"/>
        </w:tabs>
        <w:ind w:left="4320" w:hanging="360"/>
      </w:pPr>
      <w:rPr>
        <w:rFonts w:ascii="Wingdings" w:hAnsi="Wingdings" w:hint="default"/>
      </w:rPr>
    </w:lvl>
    <w:lvl w:ilvl="6" w:tplc="C05639C0" w:tentative="1">
      <w:start w:val="1"/>
      <w:numFmt w:val="bullet"/>
      <w:lvlText w:val="Ø"/>
      <w:lvlJc w:val="left"/>
      <w:pPr>
        <w:tabs>
          <w:tab w:val="num" w:pos="5040"/>
        </w:tabs>
        <w:ind w:left="5040" w:hanging="360"/>
      </w:pPr>
      <w:rPr>
        <w:rFonts w:ascii="Wingdings" w:hAnsi="Wingdings" w:hint="default"/>
      </w:rPr>
    </w:lvl>
    <w:lvl w:ilvl="7" w:tplc="DB5C018C" w:tentative="1">
      <w:start w:val="1"/>
      <w:numFmt w:val="bullet"/>
      <w:lvlText w:val="Ø"/>
      <w:lvlJc w:val="left"/>
      <w:pPr>
        <w:tabs>
          <w:tab w:val="num" w:pos="5760"/>
        </w:tabs>
        <w:ind w:left="5760" w:hanging="360"/>
      </w:pPr>
      <w:rPr>
        <w:rFonts w:ascii="Wingdings" w:hAnsi="Wingdings" w:hint="default"/>
      </w:rPr>
    </w:lvl>
    <w:lvl w:ilvl="8" w:tplc="BEA8BAB4" w:tentative="1">
      <w:start w:val="1"/>
      <w:numFmt w:val="bullet"/>
      <w:lvlText w:val="Ø"/>
      <w:lvlJc w:val="left"/>
      <w:pPr>
        <w:tabs>
          <w:tab w:val="num" w:pos="6480"/>
        </w:tabs>
        <w:ind w:left="6480" w:hanging="360"/>
      </w:pPr>
      <w:rPr>
        <w:rFonts w:ascii="Wingdings" w:hAnsi="Wingdings" w:hint="default"/>
      </w:rPr>
    </w:lvl>
  </w:abstractNum>
  <w:abstractNum w:abstractNumId="5" w15:restartNumberingAfterBreak="0">
    <w:nsid w:val="366153A4"/>
    <w:multiLevelType w:val="multilevel"/>
    <w:tmpl w:val="E1E818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8BF26B1"/>
    <w:multiLevelType w:val="multilevel"/>
    <w:tmpl w:val="F6222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59349C8"/>
    <w:multiLevelType w:val="multilevel"/>
    <w:tmpl w:val="7E92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30008D"/>
    <w:multiLevelType w:val="multilevel"/>
    <w:tmpl w:val="7BAE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A1665A"/>
    <w:multiLevelType w:val="hybridMultilevel"/>
    <w:tmpl w:val="AFB8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44CAE"/>
    <w:multiLevelType w:val="multilevel"/>
    <w:tmpl w:val="F3E0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1C28E9"/>
    <w:multiLevelType w:val="hybridMultilevel"/>
    <w:tmpl w:val="16DE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028F6"/>
    <w:multiLevelType w:val="multilevel"/>
    <w:tmpl w:val="53BCBF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67564C"/>
    <w:multiLevelType w:val="hybridMultilevel"/>
    <w:tmpl w:val="1B5CD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303FB"/>
    <w:multiLevelType w:val="multilevel"/>
    <w:tmpl w:val="D81A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054745"/>
    <w:multiLevelType w:val="hybridMultilevel"/>
    <w:tmpl w:val="B3123D3A"/>
    <w:lvl w:ilvl="0" w:tplc="49D4ACB6">
      <w:start w:val="1"/>
      <w:numFmt w:val="bullet"/>
      <w:lvlText w:val="Ø"/>
      <w:lvlJc w:val="left"/>
      <w:pPr>
        <w:tabs>
          <w:tab w:val="num" w:pos="720"/>
        </w:tabs>
        <w:ind w:left="720" w:hanging="360"/>
      </w:pPr>
      <w:rPr>
        <w:rFonts w:ascii="Wingdings" w:hAnsi="Wingdings" w:hint="default"/>
      </w:rPr>
    </w:lvl>
    <w:lvl w:ilvl="1" w:tplc="4606C44C" w:tentative="1">
      <w:start w:val="1"/>
      <w:numFmt w:val="bullet"/>
      <w:lvlText w:val="Ø"/>
      <w:lvlJc w:val="left"/>
      <w:pPr>
        <w:tabs>
          <w:tab w:val="num" w:pos="1440"/>
        </w:tabs>
        <w:ind w:left="1440" w:hanging="360"/>
      </w:pPr>
      <w:rPr>
        <w:rFonts w:ascii="Wingdings" w:hAnsi="Wingdings" w:hint="default"/>
      </w:rPr>
    </w:lvl>
    <w:lvl w:ilvl="2" w:tplc="23A86BB2" w:tentative="1">
      <w:start w:val="1"/>
      <w:numFmt w:val="bullet"/>
      <w:lvlText w:val="Ø"/>
      <w:lvlJc w:val="left"/>
      <w:pPr>
        <w:tabs>
          <w:tab w:val="num" w:pos="2160"/>
        </w:tabs>
        <w:ind w:left="2160" w:hanging="360"/>
      </w:pPr>
      <w:rPr>
        <w:rFonts w:ascii="Wingdings" w:hAnsi="Wingdings" w:hint="default"/>
      </w:rPr>
    </w:lvl>
    <w:lvl w:ilvl="3" w:tplc="0340EDD4" w:tentative="1">
      <w:start w:val="1"/>
      <w:numFmt w:val="bullet"/>
      <w:lvlText w:val="Ø"/>
      <w:lvlJc w:val="left"/>
      <w:pPr>
        <w:tabs>
          <w:tab w:val="num" w:pos="2880"/>
        </w:tabs>
        <w:ind w:left="2880" w:hanging="360"/>
      </w:pPr>
      <w:rPr>
        <w:rFonts w:ascii="Wingdings" w:hAnsi="Wingdings" w:hint="default"/>
      </w:rPr>
    </w:lvl>
    <w:lvl w:ilvl="4" w:tplc="8F623EEE" w:tentative="1">
      <w:start w:val="1"/>
      <w:numFmt w:val="bullet"/>
      <w:lvlText w:val="Ø"/>
      <w:lvlJc w:val="left"/>
      <w:pPr>
        <w:tabs>
          <w:tab w:val="num" w:pos="3600"/>
        </w:tabs>
        <w:ind w:left="3600" w:hanging="360"/>
      </w:pPr>
      <w:rPr>
        <w:rFonts w:ascii="Wingdings" w:hAnsi="Wingdings" w:hint="default"/>
      </w:rPr>
    </w:lvl>
    <w:lvl w:ilvl="5" w:tplc="A81CBC30" w:tentative="1">
      <w:start w:val="1"/>
      <w:numFmt w:val="bullet"/>
      <w:lvlText w:val="Ø"/>
      <w:lvlJc w:val="left"/>
      <w:pPr>
        <w:tabs>
          <w:tab w:val="num" w:pos="4320"/>
        </w:tabs>
        <w:ind w:left="4320" w:hanging="360"/>
      </w:pPr>
      <w:rPr>
        <w:rFonts w:ascii="Wingdings" w:hAnsi="Wingdings" w:hint="default"/>
      </w:rPr>
    </w:lvl>
    <w:lvl w:ilvl="6" w:tplc="FAD45456" w:tentative="1">
      <w:start w:val="1"/>
      <w:numFmt w:val="bullet"/>
      <w:lvlText w:val="Ø"/>
      <w:lvlJc w:val="left"/>
      <w:pPr>
        <w:tabs>
          <w:tab w:val="num" w:pos="5040"/>
        </w:tabs>
        <w:ind w:left="5040" w:hanging="360"/>
      </w:pPr>
      <w:rPr>
        <w:rFonts w:ascii="Wingdings" w:hAnsi="Wingdings" w:hint="default"/>
      </w:rPr>
    </w:lvl>
    <w:lvl w:ilvl="7" w:tplc="D602CBCA" w:tentative="1">
      <w:start w:val="1"/>
      <w:numFmt w:val="bullet"/>
      <w:lvlText w:val="Ø"/>
      <w:lvlJc w:val="left"/>
      <w:pPr>
        <w:tabs>
          <w:tab w:val="num" w:pos="5760"/>
        </w:tabs>
        <w:ind w:left="5760" w:hanging="360"/>
      </w:pPr>
      <w:rPr>
        <w:rFonts w:ascii="Wingdings" w:hAnsi="Wingdings" w:hint="default"/>
      </w:rPr>
    </w:lvl>
    <w:lvl w:ilvl="8" w:tplc="A17EEC84" w:tentative="1">
      <w:start w:val="1"/>
      <w:numFmt w:val="bullet"/>
      <w:lvlText w:val="Ø"/>
      <w:lvlJc w:val="left"/>
      <w:pPr>
        <w:tabs>
          <w:tab w:val="num" w:pos="6480"/>
        </w:tabs>
        <w:ind w:left="6480" w:hanging="360"/>
      </w:pPr>
      <w:rPr>
        <w:rFonts w:ascii="Wingdings" w:hAnsi="Wingdings" w:hint="default"/>
      </w:rPr>
    </w:lvl>
  </w:abstractNum>
  <w:abstractNum w:abstractNumId="16" w15:restartNumberingAfterBreak="0">
    <w:nsid w:val="76DD3C8E"/>
    <w:multiLevelType w:val="hybridMultilevel"/>
    <w:tmpl w:val="CA2819C8"/>
    <w:lvl w:ilvl="0" w:tplc="8758D87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901D13"/>
    <w:multiLevelType w:val="multilevel"/>
    <w:tmpl w:val="4E1C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37DC0"/>
    <w:multiLevelType w:val="multilevel"/>
    <w:tmpl w:val="FEA6D5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15"/>
  </w:num>
  <w:num w:numId="3">
    <w:abstractNumId w:val="2"/>
  </w:num>
  <w:num w:numId="4">
    <w:abstractNumId w:val="13"/>
  </w:num>
  <w:num w:numId="5">
    <w:abstractNumId w:val="14"/>
  </w:num>
  <w:num w:numId="6">
    <w:abstractNumId w:val="6"/>
  </w:num>
  <w:num w:numId="7">
    <w:abstractNumId w:val="17"/>
  </w:num>
  <w:num w:numId="8">
    <w:abstractNumId w:val="18"/>
  </w:num>
  <w:num w:numId="9">
    <w:abstractNumId w:val="5"/>
  </w:num>
  <w:num w:numId="10">
    <w:abstractNumId w:val="3"/>
  </w:num>
  <w:num w:numId="11">
    <w:abstractNumId w:val="11"/>
  </w:num>
  <w:num w:numId="12">
    <w:abstractNumId w:val="10"/>
  </w:num>
  <w:num w:numId="13">
    <w:abstractNumId w:val="9"/>
  </w:num>
  <w:num w:numId="14">
    <w:abstractNumId w:val="7"/>
  </w:num>
  <w:num w:numId="15">
    <w:abstractNumId w:val="12"/>
  </w:num>
  <w:num w:numId="16">
    <w:abstractNumId w:val="0"/>
  </w:num>
  <w:num w:numId="17">
    <w:abstractNumId w:val="8"/>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E1"/>
    <w:rsid w:val="00033AC1"/>
    <w:rsid w:val="001148A7"/>
    <w:rsid w:val="00172153"/>
    <w:rsid w:val="002C2850"/>
    <w:rsid w:val="003B7CD3"/>
    <w:rsid w:val="00426F2D"/>
    <w:rsid w:val="004931C3"/>
    <w:rsid w:val="004D0BBF"/>
    <w:rsid w:val="005B0A30"/>
    <w:rsid w:val="005F263D"/>
    <w:rsid w:val="00763A7A"/>
    <w:rsid w:val="00875253"/>
    <w:rsid w:val="008E0F5A"/>
    <w:rsid w:val="0097285D"/>
    <w:rsid w:val="0098594F"/>
    <w:rsid w:val="00A522F0"/>
    <w:rsid w:val="00A75385"/>
    <w:rsid w:val="00AB2675"/>
    <w:rsid w:val="00B112E1"/>
    <w:rsid w:val="00BC29EE"/>
    <w:rsid w:val="00F9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3A5623"/>
  <w15:chartTrackingRefBased/>
  <w15:docId w15:val="{9BEC687A-3283-7C4F-AE2A-04D5455A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2E1"/>
    <w:pPr>
      <w:ind w:left="720"/>
      <w:contextualSpacing/>
    </w:pPr>
    <w:rPr>
      <w:rFonts w:ascii="Times New Roman" w:eastAsia="Times New Roman" w:hAnsi="Times New Roman" w:cs="Times New Roman"/>
    </w:rPr>
  </w:style>
  <w:style w:type="paragraph" w:styleId="NormalWeb">
    <w:name w:val="Normal (Web)"/>
    <w:basedOn w:val="Normal"/>
    <w:uiPriority w:val="99"/>
    <w:semiHidden/>
    <w:unhideWhenUsed/>
    <w:rsid w:val="00172153"/>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B7CD3"/>
    <w:rPr>
      <w:sz w:val="16"/>
      <w:szCs w:val="16"/>
    </w:rPr>
  </w:style>
  <w:style w:type="paragraph" w:styleId="CommentText">
    <w:name w:val="annotation text"/>
    <w:basedOn w:val="Normal"/>
    <w:link w:val="CommentTextChar"/>
    <w:uiPriority w:val="99"/>
    <w:semiHidden/>
    <w:unhideWhenUsed/>
    <w:rsid w:val="003B7CD3"/>
    <w:rPr>
      <w:sz w:val="20"/>
      <w:szCs w:val="20"/>
    </w:rPr>
  </w:style>
  <w:style w:type="character" w:customStyle="1" w:styleId="CommentTextChar">
    <w:name w:val="Comment Text Char"/>
    <w:basedOn w:val="DefaultParagraphFont"/>
    <w:link w:val="CommentText"/>
    <w:uiPriority w:val="99"/>
    <w:semiHidden/>
    <w:rsid w:val="003B7CD3"/>
    <w:rPr>
      <w:sz w:val="20"/>
      <w:szCs w:val="20"/>
    </w:rPr>
  </w:style>
  <w:style w:type="paragraph" w:styleId="CommentSubject">
    <w:name w:val="annotation subject"/>
    <w:basedOn w:val="CommentText"/>
    <w:next w:val="CommentText"/>
    <w:link w:val="CommentSubjectChar"/>
    <w:uiPriority w:val="99"/>
    <w:semiHidden/>
    <w:unhideWhenUsed/>
    <w:rsid w:val="003B7CD3"/>
    <w:rPr>
      <w:b/>
      <w:bCs/>
    </w:rPr>
  </w:style>
  <w:style w:type="character" w:customStyle="1" w:styleId="CommentSubjectChar">
    <w:name w:val="Comment Subject Char"/>
    <w:basedOn w:val="CommentTextChar"/>
    <w:link w:val="CommentSubject"/>
    <w:uiPriority w:val="99"/>
    <w:semiHidden/>
    <w:rsid w:val="003B7CD3"/>
    <w:rPr>
      <w:b/>
      <w:bCs/>
      <w:sz w:val="20"/>
      <w:szCs w:val="20"/>
    </w:rPr>
  </w:style>
  <w:style w:type="paragraph" w:customStyle="1" w:styleId="paragraph">
    <w:name w:val="paragraph"/>
    <w:basedOn w:val="Normal"/>
    <w:rsid w:val="00AB267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B2675"/>
  </w:style>
  <w:style w:type="character" w:customStyle="1" w:styleId="eop">
    <w:name w:val="eop"/>
    <w:basedOn w:val="DefaultParagraphFont"/>
    <w:rsid w:val="00AB2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9849">
      <w:bodyDiv w:val="1"/>
      <w:marLeft w:val="0"/>
      <w:marRight w:val="0"/>
      <w:marTop w:val="0"/>
      <w:marBottom w:val="0"/>
      <w:divBdr>
        <w:top w:val="none" w:sz="0" w:space="0" w:color="auto"/>
        <w:left w:val="none" w:sz="0" w:space="0" w:color="auto"/>
        <w:bottom w:val="none" w:sz="0" w:space="0" w:color="auto"/>
        <w:right w:val="none" w:sz="0" w:space="0" w:color="auto"/>
      </w:divBdr>
    </w:div>
    <w:div w:id="100271455">
      <w:bodyDiv w:val="1"/>
      <w:marLeft w:val="0"/>
      <w:marRight w:val="0"/>
      <w:marTop w:val="0"/>
      <w:marBottom w:val="0"/>
      <w:divBdr>
        <w:top w:val="none" w:sz="0" w:space="0" w:color="auto"/>
        <w:left w:val="none" w:sz="0" w:space="0" w:color="auto"/>
        <w:bottom w:val="none" w:sz="0" w:space="0" w:color="auto"/>
        <w:right w:val="none" w:sz="0" w:space="0" w:color="auto"/>
      </w:divBdr>
      <w:divsChild>
        <w:div w:id="648754001">
          <w:marLeft w:val="0"/>
          <w:marRight w:val="0"/>
          <w:marTop w:val="0"/>
          <w:marBottom w:val="0"/>
          <w:divBdr>
            <w:top w:val="none" w:sz="0" w:space="0" w:color="auto"/>
            <w:left w:val="none" w:sz="0" w:space="0" w:color="auto"/>
            <w:bottom w:val="none" w:sz="0" w:space="0" w:color="auto"/>
            <w:right w:val="none" w:sz="0" w:space="0" w:color="auto"/>
          </w:divBdr>
        </w:div>
        <w:div w:id="1418286021">
          <w:marLeft w:val="0"/>
          <w:marRight w:val="0"/>
          <w:marTop w:val="0"/>
          <w:marBottom w:val="0"/>
          <w:divBdr>
            <w:top w:val="none" w:sz="0" w:space="0" w:color="auto"/>
            <w:left w:val="none" w:sz="0" w:space="0" w:color="auto"/>
            <w:bottom w:val="none" w:sz="0" w:space="0" w:color="auto"/>
            <w:right w:val="none" w:sz="0" w:space="0" w:color="auto"/>
          </w:divBdr>
        </w:div>
        <w:div w:id="1525559229">
          <w:marLeft w:val="0"/>
          <w:marRight w:val="0"/>
          <w:marTop w:val="0"/>
          <w:marBottom w:val="0"/>
          <w:divBdr>
            <w:top w:val="none" w:sz="0" w:space="0" w:color="auto"/>
            <w:left w:val="none" w:sz="0" w:space="0" w:color="auto"/>
            <w:bottom w:val="none" w:sz="0" w:space="0" w:color="auto"/>
            <w:right w:val="none" w:sz="0" w:space="0" w:color="auto"/>
          </w:divBdr>
        </w:div>
      </w:divsChild>
    </w:div>
    <w:div w:id="397091940">
      <w:bodyDiv w:val="1"/>
      <w:marLeft w:val="0"/>
      <w:marRight w:val="0"/>
      <w:marTop w:val="0"/>
      <w:marBottom w:val="0"/>
      <w:divBdr>
        <w:top w:val="none" w:sz="0" w:space="0" w:color="auto"/>
        <w:left w:val="none" w:sz="0" w:space="0" w:color="auto"/>
        <w:bottom w:val="none" w:sz="0" w:space="0" w:color="auto"/>
        <w:right w:val="none" w:sz="0" w:space="0" w:color="auto"/>
      </w:divBdr>
    </w:div>
    <w:div w:id="540704191">
      <w:bodyDiv w:val="1"/>
      <w:marLeft w:val="0"/>
      <w:marRight w:val="0"/>
      <w:marTop w:val="0"/>
      <w:marBottom w:val="0"/>
      <w:divBdr>
        <w:top w:val="none" w:sz="0" w:space="0" w:color="auto"/>
        <w:left w:val="none" w:sz="0" w:space="0" w:color="auto"/>
        <w:bottom w:val="none" w:sz="0" w:space="0" w:color="auto"/>
        <w:right w:val="none" w:sz="0" w:space="0" w:color="auto"/>
      </w:divBdr>
      <w:divsChild>
        <w:div w:id="1642732364">
          <w:marLeft w:val="0"/>
          <w:marRight w:val="0"/>
          <w:marTop w:val="0"/>
          <w:marBottom w:val="0"/>
          <w:divBdr>
            <w:top w:val="none" w:sz="0" w:space="0" w:color="auto"/>
            <w:left w:val="none" w:sz="0" w:space="0" w:color="auto"/>
            <w:bottom w:val="none" w:sz="0" w:space="0" w:color="auto"/>
            <w:right w:val="none" w:sz="0" w:space="0" w:color="auto"/>
          </w:divBdr>
        </w:div>
        <w:div w:id="61297036">
          <w:marLeft w:val="0"/>
          <w:marRight w:val="0"/>
          <w:marTop w:val="0"/>
          <w:marBottom w:val="0"/>
          <w:divBdr>
            <w:top w:val="none" w:sz="0" w:space="0" w:color="auto"/>
            <w:left w:val="none" w:sz="0" w:space="0" w:color="auto"/>
            <w:bottom w:val="none" w:sz="0" w:space="0" w:color="auto"/>
            <w:right w:val="none" w:sz="0" w:space="0" w:color="auto"/>
          </w:divBdr>
        </w:div>
        <w:div w:id="1178547073">
          <w:marLeft w:val="0"/>
          <w:marRight w:val="0"/>
          <w:marTop w:val="0"/>
          <w:marBottom w:val="0"/>
          <w:divBdr>
            <w:top w:val="none" w:sz="0" w:space="0" w:color="auto"/>
            <w:left w:val="none" w:sz="0" w:space="0" w:color="auto"/>
            <w:bottom w:val="none" w:sz="0" w:space="0" w:color="auto"/>
            <w:right w:val="none" w:sz="0" w:space="0" w:color="auto"/>
          </w:divBdr>
        </w:div>
        <w:div w:id="1305433709">
          <w:marLeft w:val="0"/>
          <w:marRight w:val="0"/>
          <w:marTop w:val="0"/>
          <w:marBottom w:val="0"/>
          <w:divBdr>
            <w:top w:val="none" w:sz="0" w:space="0" w:color="auto"/>
            <w:left w:val="none" w:sz="0" w:space="0" w:color="auto"/>
            <w:bottom w:val="none" w:sz="0" w:space="0" w:color="auto"/>
            <w:right w:val="none" w:sz="0" w:space="0" w:color="auto"/>
          </w:divBdr>
        </w:div>
        <w:div w:id="995492809">
          <w:marLeft w:val="0"/>
          <w:marRight w:val="0"/>
          <w:marTop w:val="0"/>
          <w:marBottom w:val="0"/>
          <w:divBdr>
            <w:top w:val="none" w:sz="0" w:space="0" w:color="auto"/>
            <w:left w:val="none" w:sz="0" w:space="0" w:color="auto"/>
            <w:bottom w:val="none" w:sz="0" w:space="0" w:color="auto"/>
            <w:right w:val="none" w:sz="0" w:space="0" w:color="auto"/>
          </w:divBdr>
        </w:div>
        <w:div w:id="809983360">
          <w:marLeft w:val="0"/>
          <w:marRight w:val="0"/>
          <w:marTop w:val="0"/>
          <w:marBottom w:val="0"/>
          <w:divBdr>
            <w:top w:val="none" w:sz="0" w:space="0" w:color="auto"/>
            <w:left w:val="none" w:sz="0" w:space="0" w:color="auto"/>
            <w:bottom w:val="none" w:sz="0" w:space="0" w:color="auto"/>
            <w:right w:val="none" w:sz="0" w:space="0" w:color="auto"/>
          </w:divBdr>
        </w:div>
      </w:divsChild>
    </w:div>
    <w:div w:id="584921797">
      <w:bodyDiv w:val="1"/>
      <w:marLeft w:val="0"/>
      <w:marRight w:val="0"/>
      <w:marTop w:val="0"/>
      <w:marBottom w:val="0"/>
      <w:divBdr>
        <w:top w:val="none" w:sz="0" w:space="0" w:color="auto"/>
        <w:left w:val="none" w:sz="0" w:space="0" w:color="auto"/>
        <w:bottom w:val="none" w:sz="0" w:space="0" w:color="auto"/>
        <w:right w:val="none" w:sz="0" w:space="0" w:color="auto"/>
      </w:divBdr>
    </w:div>
    <w:div w:id="899944022">
      <w:bodyDiv w:val="1"/>
      <w:marLeft w:val="0"/>
      <w:marRight w:val="0"/>
      <w:marTop w:val="0"/>
      <w:marBottom w:val="0"/>
      <w:divBdr>
        <w:top w:val="none" w:sz="0" w:space="0" w:color="auto"/>
        <w:left w:val="none" w:sz="0" w:space="0" w:color="auto"/>
        <w:bottom w:val="none" w:sz="0" w:space="0" w:color="auto"/>
        <w:right w:val="none" w:sz="0" w:space="0" w:color="auto"/>
      </w:divBdr>
    </w:div>
    <w:div w:id="951475239">
      <w:bodyDiv w:val="1"/>
      <w:marLeft w:val="0"/>
      <w:marRight w:val="0"/>
      <w:marTop w:val="0"/>
      <w:marBottom w:val="0"/>
      <w:divBdr>
        <w:top w:val="none" w:sz="0" w:space="0" w:color="auto"/>
        <w:left w:val="none" w:sz="0" w:space="0" w:color="auto"/>
        <w:bottom w:val="none" w:sz="0" w:space="0" w:color="auto"/>
        <w:right w:val="none" w:sz="0" w:space="0" w:color="auto"/>
      </w:divBdr>
      <w:divsChild>
        <w:div w:id="1415784746">
          <w:marLeft w:val="547"/>
          <w:marRight w:val="0"/>
          <w:marTop w:val="134"/>
          <w:marBottom w:val="0"/>
          <w:divBdr>
            <w:top w:val="none" w:sz="0" w:space="0" w:color="auto"/>
            <w:left w:val="none" w:sz="0" w:space="0" w:color="auto"/>
            <w:bottom w:val="none" w:sz="0" w:space="0" w:color="auto"/>
            <w:right w:val="none" w:sz="0" w:space="0" w:color="auto"/>
          </w:divBdr>
        </w:div>
      </w:divsChild>
    </w:div>
    <w:div w:id="1036658895">
      <w:bodyDiv w:val="1"/>
      <w:marLeft w:val="0"/>
      <w:marRight w:val="0"/>
      <w:marTop w:val="0"/>
      <w:marBottom w:val="0"/>
      <w:divBdr>
        <w:top w:val="none" w:sz="0" w:space="0" w:color="auto"/>
        <w:left w:val="none" w:sz="0" w:space="0" w:color="auto"/>
        <w:bottom w:val="none" w:sz="0" w:space="0" w:color="auto"/>
        <w:right w:val="none" w:sz="0" w:space="0" w:color="auto"/>
      </w:divBdr>
    </w:div>
    <w:div w:id="1217279087">
      <w:bodyDiv w:val="1"/>
      <w:marLeft w:val="0"/>
      <w:marRight w:val="0"/>
      <w:marTop w:val="0"/>
      <w:marBottom w:val="0"/>
      <w:divBdr>
        <w:top w:val="none" w:sz="0" w:space="0" w:color="auto"/>
        <w:left w:val="none" w:sz="0" w:space="0" w:color="auto"/>
        <w:bottom w:val="none" w:sz="0" w:space="0" w:color="auto"/>
        <w:right w:val="none" w:sz="0" w:space="0" w:color="auto"/>
      </w:divBdr>
    </w:div>
    <w:div w:id="1218397131">
      <w:bodyDiv w:val="1"/>
      <w:marLeft w:val="0"/>
      <w:marRight w:val="0"/>
      <w:marTop w:val="0"/>
      <w:marBottom w:val="0"/>
      <w:divBdr>
        <w:top w:val="none" w:sz="0" w:space="0" w:color="auto"/>
        <w:left w:val="none" w:sz="0" w:space="0" w:color="auto"/>
        <w:bottom w:val="none" w:sz="0" w:space="0" w:color="auto"/>
        <w:right w:val="none" w:sz="0" w:space="0" w:color="auto"/>
      </w:divBdr>
    </w:div>
    <w:div w:id="1249120113">
      <w:bodyDiv w:val="1"/>
      <w:marLeft w:val="0"/>
      <w:marRight w:val="0"/>
      <w:marTop w:val="0"/>
      <w:marBottom w:val="0"/>
      <w:divBdr>
        <w:top w:val="none" w:sz="0" w:space="0" w:color="auto"/>
        <w:left w:val="none" w:sz="0" w:space="0" w:color="auto"/>
        <w:bottom w:val="none" w:sz="0" w:space="0" w:color="auto"/>
        <w:right w:val="none" w:sz="0" w:space="0" w:color="auto"/>
      </w:divBdr>
    </w:div>
    <w:div w:id="1262568790">
      <w:bodyDiv w:val="1"/>
      <w:marLeft w:val="0"/>
      <w:marRight w:val="0"/>
      <w:marTop w:val="0"/>
      <w:marBottom w:val="0"/>
      <w:divBdr>
        <w:top w:val="none" w:sz="0" w:space="0" w:color="auto"/>
        <w:left w:val="none" w:sz="0" w:space="0" w:color="auto"/>
        <w:bottom w:val="none" w:sz="0" w:space="0" w:color="auto"/>
        <w:right w:val="none" w:sz="0" w:space="0" w:color="auto"/>
      </w:divBdr>
      <w:divsChild>
        <w:div w:id="2115436810">
          <w:marLeft w:val="0"/>
          <w:marRight w:val="0"/>
          <w:marTop w:val="0"/>
          <w:marBottom w:val="0"/>
          <w:divBdr>
            <w:top w:val="none" w:sz="0" w:space="0" w:color="auto"/>
            <w:left w:val="none" w:sz="0" w:space="0" w:color="auto"/>
            <w:bottom w:val="none" w:sz="0" w:space="0" w:color="auto"/>
            <w:right w:val="none" w:sz="0" w:space="0" w:color="auto"/>
          </w:divBdr>
        </w:div>
        <w:div w:id="362824205">
          <w:marLeft w:val="0"/>
          <w:marRight w:val="0"/>
          <w:marTop w:val="0"/>
          <w:marBottom w:val="0"/>
          <w:divBdr>
            <w:top w:val="none" w:sz="0" w:space="0" w:color="auto"/>
            <w:left w:val="none" w:sz="0" w:space="0" w:color="auto"/>
            <w:bottom w:val="none" w:sz="0" w:space="0" w:color="auto"/>
            <w:right w:val="none" w:sz="0" w:space="0" w:color="auto"/>
          </w:divBdr>
        </w:div>
        <w:div w:id="130708743">
          <w:marLeft w:val="0"/>
          <w:marRight w:val="0"/>
          <w:marTop w:val="0"/>
          <w:marBottom w:val="0"/>
          <w:divBdr>
            <w:top w:val="none" w:sz="0" w:space="0" w:color="auto"/>
            <w:left w:val="none" w:sz="0" w:space="0" w:color="auto"/>
            <w:bottom w:val="none" w:sz="0" w:space="0" w:color="auto"/>
            <w:right w:val="none" w:sz="0" w:space="0" w:color="auto"/>
          </w:divBdr>
        </w:div>
        <w:div w:id="606931143">
          <w:marLeft w:val="0"/>
          <w:marRight w:val="0"/>
          <w:marTop w:val="0"/>
          <w:marBottom w:val="0"/>
          <w:divBdr>
            <w:top w:val="none" w:sz="0" w:space="0" w:color="auto"/>
            <w:left w:val="none" w:sz="0" w:space="0" w:color="auto"/>
            <w:bottom w:val="none" w:sz="0" w:space="0" w:color="auto"/>
            <w:right w:val="none" w:sz="0" w:space="0" w:color="auto"/>
          </w:divBdr>
        </w:div>
      </w:divsChild>
    </w:div>
    <w:div w:id="1389917772">
      <w:bodyDiv w:val="1"/>
      <w:marLeft w:val="0"/>
      <w:marRight w:val="0"/>
      <w:marTop w:val="0"/>
      <w:marBottom w:val="0"/>
      <w:divBdr>
        <w:top w:val="none" w:sz="0" w:space="0" w:color="auto"/>
        <w:left w:val="none" w:sz="0" w:space="0" w:color="auto"/>
        <w:bottom w:val="none" w:sz="0" w:space="0" w:color="auto"/>
        <w:right w:val="none" w:sz="0" w:space="0" w:color="auto"/>
      </w:divBdr>
    </w:div>
    <w:div w:id="1402945920">
      <w:bodyDiv w:val="1"/>
      <w:marLeft w:val="0"/>
      <w:marRight w:val="0"/>
      <w:marTop w:val="0"/>
      <w:marBottom w:val="0"/>
      <w:divBdr>
        <w:top w:val="none" w:sz="0" w:space="0" w:color="auto"/>
        <w:left w:val="none" w:sz="0" w:space="0" w:color="auto"/>
        <w:bottom w:val="none" w:sz="0" w:space="0" w:color="auto"/>
        <w:right w:val="none" w:sz="0" w:space="0" w:color="auto"/>
      </w:divBdr>
      <w:divsChild>
        <w:div w:id="1885213171">
          <w:marLeft w:val="446"/>
          <w:marRight w:val="0"/>
          <w:marTop w:val="0"/>
          <w:marBottom w:val="0"/>
          <w:divBdr>
            <w:top w:val="none" w:sz="0" w:space="0" w:color="auto"/>
            <w:left w:val="none" w:sz="0" w:space="0" w:color="auto"/>
            <w:bottom w:val="none" w:sz="0" w:space="0" w:color="auto"/>
            <w:right w:val="none" w:sz="0" w:space="0" w:color="auto"/>
          </w:divBdr>
        </w:div>
        <w:div w:id="1848053500">
          <w:marLeft w:val="446"/>
          <w:marRight w:val="0"/>
          <w:marTop w:val="0"/>
          <w:marBottom w:val="0"/>
          <w:divBdr>
            <w:top w:val="none" w:sz="0" w:space="0" w:color="auto"/>
            <w:left w:val="none" w:sz="0" w:space="0" w:color="auto"/>
            <w:bottom w:val="none" w:sz="0" w:space="0" w:color="auto"/>
            <w:right w:val="none" w:sz="0" w:space="0" w:color="auto"/>
          </w:divBdr>
        </w:div>
      </w:divsChild>
    </w:div>
    <w:div w:id="1466312450">
      <w:bodyDiv w:val="1"/>
      <w:marLeft w:val="0"/>
      <w:marRight w:val="0"/>
      <w:marTop w:val="0"/>
      <w:marBottom w:val="0"/>
      <w:divBdr>
        <w:top w:val="none" w:sz="0" w:space="0" w:color="auto"/>
        <w:left w:val="none" w:sz="0" w:space="0" w:color="auto"/>
        <w:bottom w:val="none" w:sz="0" w:space="0" w:color="auto"/>
        <w:right w:val="none" w:sz="0" w:space="0" w:color="auto"/>
      </w:divBdr>
    </w:div>
    <w:div w:id="1698040256">
      <w:bodyDiv w:val="1"/>
      <w:marLeft w:val="0"/>
      <w:marRight w:val="0"/>
      <w:marTop w:val="0"/>
      <w:marBottom w:val="0"/>
      <w:divBdr>
        <w:top w:val="none" w:sz="0" w:space="0" w:color="auto"/>
        <w:left w:val="none" w:sz="0" w:space="0" w:color="auto"/>
        <w:bottom w:val="none" w:sz="0" w:space="0" w:color="auto"/>
        <w:right w:val="none" w:sz="0" w:space="0" w:color="auto"/>
      </w:divBdr>
    </w:div>
    <w:div w:id="1936472812">
      <w:bodyDiv w:val="1"/>
      <w:marLeft w:val="0"/>
      <w:marRight w:val="0"/>
      <w:marTop w:val="0"/>
      <w:marBottom w:val="0"/>
      <w:divBdr>
        <w:top w:val="none" w:sz="0" w:space="0" w:color="auto"/>
        <w:left w:val="none" w:sz="0" w:space="0" w:color="auto"/>
        <w:bottom w:val="none" w:sz="0" w:space="0" w:color="auto"/>
        <w:right w:val="none" w:sz="0" w:space="0" w:color="auto"/>
      </w:divBdr>
    </w:div>
    <w:div w:id="1975596050">
      <w:bodyDiv w:val="1"/>
      <w:marLeft w:val="0"/>
      <w:marRight w:val="0"/>
      <w:marTop w:val="0"/>
      <w:marBottom w:val="0"/>
      <w:divBdr>
        <w:top w:val="none" w:sz="0" w:space="0" w:color="auto"/>
        <w:left w:val="none" w:sz="0" w:space="0" w:color="auto"/>
        <w:bottom w:val="none" w:sz="0" w:space="0" w:color="auto"/>
        <w:right w:val="none" w:sz="0" w:space="0" w:color="auto"/>
      </w:divBdr>
    </w:div>
    <w:div w:id="199729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Troyer, Camille</dc:creator>
  <cp:keywords/>
  <dc:description/>
  <cp:lastModifiedBy>Troyer, Camille</cp:lastModifiedBy>
  <cp:revision>6</cp:revision>
  <dcterms:created xsi:type="dcterms:W3CDTF">2021-08-20T04:13:00Z</dcterms:created>
  <dcterms:modified xsi:type="dcterms:W3CDTF">2021-08-20T23:24:00Z</dcterms:modified>
</cp:coreProperties>
</file>