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DF29" w14:textId="355F7C4B" w:rsidR="006C6D2D" w:rsidRDefault="006C6D2D" w:rsidP="00EC5E6E">
      <w:pPr>
        <w:shd w:val="clear" w:color="auto" w:fill="FFFFFF"/>
        <w:spacing w:after="240" w:line="240" w:lineRule="auto"/>
        <w:rPr>
          <w:color w:val="212529"/>
          <w:sz w:val="24"/>
          <w:szCs w:val="24"/>
        </w:rPr>
      </w:pPr>
      <w:r>
        <w:rPr>
          <w:b/>
          <w:sz w:val="24"/>
          <w:szCs w:val="24"/>
        </w:rPr>
        <w:t xml:space="preserve">Title: </w:t>
      </w:r>
      <w:r>
        <w:rPr>
          <w:sz w:val="24"/>
          <w:szCs w:val="24"/>
        </w:rPr>
        <w:t xml:space="preserve">Antibiotic prescribing patterns at hospital discharge </w:t>
      </w:r>
    </w:p>
    <w:p w14:paraId="3A031358" w14:textId="77777777" w:rsidR="006C6D2D" w:rsidRDefault="006C6D2D" w:rsidP="00EC5E6E">
      <w:pPr>
        <w:spacing w:line="240" w:lineRule="auto"/>
        <w:rPr>
          <w:b/>
          <w:sz w:val="24"/>
          <w:szCs w:val="24"/>
        </w:rPr>
      </w:pPr>
      <w:r>
        <w:rPr>
          <w:b/>
          <w:sz w:val="24"/>
          <w:szCs w:val="24"/>
        </w:rPr>
        <w:t xml:space="preserve">Investigators: </w:t>
      </w:r>
    </w:p>
    <w:p w14:paraId="2309DCBB" w14:textId="77777777" w:rsidR="006C6D2D" w:rsidRDefault="006C6D2D" w:rsidP="00EC5E6E">
      <w:pPr>
        <w:spacing w:line="240" w:lineRule="auto"/>
        <w:rPr>
          <w:b/>
          <w:sz w:val="24"/>
          <w:szCs w:val="24"/>
        </w:rPr>
      </w:pPr>
    </w:p>
    <w:p w14:paraId="4C65A988" w14:textId="6B979DEE" w:rsidR="006C6D2D" w:rsidRDefault="006C6D2D" w:rsidP="00EC5E6E">
      <w:pPr>
        <w:spacing w:line="240" w:lineRule="auto"/>
        <w:rPr>
          <w:sz w:val="24"/>
          <w:szCs w:val="24"/>
        </w:rPr>
      </w:pPr>
      <w:proofErr w:type="spellStart"/>
      <w:r>
        <w:rPr>
          <w:sz w:val="24"/>
          <w:szCs w:val="24"/>
        </w:rPr>
        <w:t>Ahmi</w:t>
      </w:r>
      <w:proofErr w:type="spellEnd"/>
      <w:r>
        <w:rPr>
          <w:sz w:val="24"/>
          <w:szCs w:val="24"/>
        </w:rPr>
        <w:t xml:space="preserve"> Lim, PharmD. </w:t>
      </w:r>
    </w:p>
    <w:p w14:paraId="732597B3" w14:textId="29B5B825" w:rsidR="006C6D2D" w:rsidRDefault="006C6D2D" w:rsidP="00EC5E6E">
      <w:pPr>
        <w:spacing w:line="240" w:lineRule="auto"/>
        <w:rPr>
          <w:sz w:val="24"/>
          <w:szCs w:val="24"/>
        </w:rPr>
      </w:pPr>
      <w:r>
        <w:rPr>
          <w:sz w:val="24"/>
          <w:szCs w:val="24"/>
        </w:rPr>
        <w:t>Trang Trinh, Pharm</w:t>
      </w:r>
      <w:r w:rsidR="00E66B43">
        <w:rPr>
          <w:sz w:val="24"/>
          <w:szCs w:val="24"/>
        </w:rPr>
        <w:t>D, MPH</w:t>
      </w:r>
    </w:p>
    <w:p w14:paraId="74703737" w14:textId="590ADF42" w:rsidR="006C6D2D" w:rsidRDefault="006C6D2D" w:rsidP="00EC5E6E">
      <w:pPr>
        <w:spacing w:line="240" w:lineRule="auto"/>
        <w:rPr>
          <w:sz w:val="24"/>
          <w:szCs w:val="24"/>
        </w:rPr>
      </w:pPr>
      <w:proofErr w:type="spellStart"/>
      <w:r>
        <w:rPr>
          <w:sz w:val="24"/>
          <w:szCs w:val="24"/>
        </w:rPr>
        <w:t>Ripal</w:t>
      </w:r>
      <w:proofErr w:type="spellEnd"/>
      <w:r>
        <w:rPr>
          <w:sz w:val="24"/>
          <w:szCs w:val="24"/>
        </w:rPr>
        <w:t xml:space="preserve"> Jariwala, Pharm</w:t>
      </w:r>
      <w:r w:rsidR="00E66B43">
        <w:rPr>
          <w:sz w:val="24"/>
          <w:szCs w:val="24"/>
        </w:rPr>
        <w:t>D, BCIDP, AAHIVP</w:t>
      </w:r>
    </w:p>
    <w:p w14:paraId="0439B14E" w14:textId="77777777" w:rsidR="006C6D2D" w:rsidRDefault="006C6D2D" w:rsidP="00EC5E6E">
      <w:pPr>
        <w:spacing w:line="240" w:lineRule="auto"/>
        <w:rPr>
          <w:sz w:val="24"/>
          <w:szCs w:val="24"/>
        </w:rPr>
      </w:pPr>
    </w:p>
    <w:p w14:paraId="0B0BDDB8" w14:textId="584A7C96" w:rsidR="006C6D2D" w:rsidRDefault="006C6D2D" w:rsidP="00EC5E6E">
      <w:pPr>
        <w:spacing w:line="240" w:lineRule="auto"/>
        <w:rPr>
          <w:b/>
          <w:sz w:val="24"/>
          <w:szCs w:val="24"/>
        </w:rPr>
      </w:pPr>
      <w:r>
        <w:rPr>
          <w:b/>
          <w:sz w:val="24"/>
          <w:szCs w:val="24"/>
        </w:rPr>
        <w:t>Abstract:</w:t>
      </w:r>
    </w:p>
    <w:p w14:paraId="3C9A6FC4" w14:textId="77777777" w:rsidR="00EC5E6E" w:rsidRDefault="00EC5E6E" w:rsidP="00EC5E6E">
      <w:pPr>
        <w:spacing w:line="240" w:lineRule="auto"/>
        <w:rPr>
          <w:b/>
          <w:sz w:val="24"/>
          <w:szCs w:val="24"/>
        </w:rPr>
      </w:pPr>
    </w:p>
    <w:p w14:paraId="26180E4F" w14:textId="2A164BB8" w:rsidR="006C6D2D" w:rsidRPr="006C6D2D" w:rsidRDefault="006C6D2D" w:rsidP="00EC5E6E">
      <w:pPr>
        <w:spacing w:line="240" w:lineRule="auto"/>
        <w:ind w:firstLine="720"/>
        <w:rPr>
          <w:bCs/>
          <w:sz w:val="24"/>
          <w:szCs w:val="24"/>
        </w:rPr>
      </w:pPr>
      <w:r w:rsidRPr="006C6D2D">
        <w:rPr>
          <w:sz w:val="24"/>
          <w:szCs w:val="24"/>
        </w:rPr>
        <w:t>Increasing antimicrobial resistance is linked with inappropriate prescribing of antibiotics. While inappropriate prescribing occurs in both inpatient and outpatient settings, prior studies have shown that inappropriate prescribing can be seen during transitions of care when patients get discharged from the hospital. The purpose of this study is to identify the antibiotic prescribing patterns on hospital discharge for community-acquired pneumonia at UCSF Medical Center. This will be a retrospective cohort study of adult patients who are discharged from UCSF Medical Center with an ICD-10 discharge code of community-acquired pneumonia</w:t>
      </w:r>
      <w:r>
        <w:rPr>
          <w:sz w:val="24"/>
          <w:szCs w:val="24"/>
        </w:rPr>
        <w:t xml:space="preserve"> </w:t>
      </w:r>
      <w:r w:rsidRPr="006C6D2D">
        <w:rPr>
          <w:sz w:val="24"/>
          <w:szCs w:val="24"/>
        </w:rPr>
        <w:t xml:space="preserve">between January 1, </w:t>
      </w:r>
      <w:proofErr w:type="gramStart"/>
      <w:r w:rsidRPr="006C6D2D">
        <w:rPr>
          <w:sz w:val="24"/>
          <w:szCs w:val="24"/>
        </w:rPr>
        <w:t>2019</w:t>
      </w:r>
      <w:proofErr w:type="gramEnd"/>
      <w:r w:rsidRPr="006C6D2D">
        <w:rPr>
          <w:sz w:val="24"/>
          <w:szCs w:val="24"/>
        </w:rPr>
        <w:t xml:space="preserve"> and December 31, 2021. The primary outcome will evaluate whether the patients that received antibiotics at hospital discharge received inappropriate antibiotic therapy by utilizing the national 2019 IDSA/ATS Community-acquired Pneumonia guideline and institutional antibiotic clinical practice recommendations. Of the group of patients that are classified to have received inappropriate antibiotic therapy, secondary outcomes will assess clinical outcomes through our study’s desirability of outcome ranking (DOOR) classified by the patient’s clinical response and outcomes. </w:t>
      </w:r>
    </w:p>
    <w:p w14:paraId="4527C7FF" w14:textId="77777777" w:rsidR="006C6D2D" w:rsidRDefault="006C6D2D" w:rsidP="00EC5E6E">
      <w:pPr>
        <w:spacing w:line="240" w:lineRule="auto"/>
        <w:rPr>
          <w:sz w:val="24"/>
          <w:szCs w:val="24"/>
        </w:rPr>
      </w:pPr>
    </w:p>
    <w:p w14:paraId="22304CCB" w14:textId="77777777" w:rsidR="006C6D2D" w:rsidRDefault="006C6D2D" w:rsidP="00EC5E6E">
      <w:pPr>
        <w:spacing w:line="240" w:lineRule="auto"/>
        <w:rPr>
          <w:b/>
          <w:sz w:val="24"/>
          <w:szCs w:val="24"/>
        </w:rPr>
      </w:pPr>
      <w:r>
        <w:rPr>
          <w:b/>
          <w:sz w:val="24"/>
          <w:szCs w:val="24"/>
        </w:rPr>
        <w:t xml:space="preserve">Research question: </w:t>
      </w:r>
    </w:p>
    <w:p w14:paraId="31FEC257" w14:textId="77777777" w:rsidR="006C6D2D" w:rsidRDefault="006C6D2D" w:rsidP="00EC5E6E">
      <w:pPr>
        <w:spacing w:line="240" w:lineRule="auto"/>
        <w:rPr>
          <w:b/>
          <w:sz w:val="24"/>
          <w:szCs w:val="24"/>
        </w:rPr>
      </w:pPr>
    </w:p>
    <w:p w14:paraId="15725F19" w14:textId="363911F7" w:rsidR="006C6D2D" w:rsidRDefault="006C6D2D" w:rsidP="00EC5E6E">
      <w:pPr>
        <w:spacing w:line="240" w:lineRule="auto"/>
        <w:rPr>
          <w:sz w:val="24"/>
          <w:szCs w:val="24"/>
        </w:rPr>
      </w:pPr>
      <w:r>
        <w:rPr>
          <w:sz w:val="24"/>
          <w:szCs w:val="24"/>
        </w:rPr>
        <w:t>Does ID involvement (</w:t>
      </w:r>
      <w:proofErr w:type="gramStart"/>
      <w:r>
        <w:rPr>
          <w:sz w:val="24"/>
          <w:szCs w:val="24"/>
        </w:rPr>
        <w:t>i.e.</w:t>
      </w:r>
      <w:proofErr w:type="gramEnd"/>
      <w:r>
        <w:rPr>
          <w:sz w:val="24"/>
          <w:szCs w:val="24"/>
        </w:rPr>
        <w:t xml:space="preserve"> ID consult or ID ASP oversight) on antibiotic course at hospital discharge </w:t>
      </w:r>
      <w:r w:rsidR="00EC5E6E">
        <w:rPr>
          <w:sz w:val="24"/>
          <w:szCs w:val="24"/>
        </w:rPr>
        <w:t xml:space="preserve">lead to more appropriate use of </w:t>
      </w:r>
      <w:r>
        <w:rPr>
          <w:sz w:val="24"/>
          <w:szCs w:val="24"/>
        </w:rPr>
        <w:t>antibiotic</w:t>
      </w:r>
      <w:r w:rsidR="00EC5E6E">
        <w:rPr>
          <w:sz w:val="24"/>
          <w:szCs w:val="24"/>
        </w:rPr>
        <w:t>s</w:t>
      </w:r>
      <w:r>
        <w:rPr>
          <w:sz w:val="24"/>
          <w:szCs w:val="24"/>
        </w:rPr>
        <w:t xml:space="preserve"> </w:t>
      </w:r>
      <w:r w:rsidR="00EC5E6E">
        <w:rPr>
          <w:sz w:val="24"/>
          <w:szCs w:val="24"/>
        </w:rPr>
        <w:t xml:space="preserve">and better clinical outcomes? </w:t>
      </w:r>
    </w:p>
    <w:p w14:paraId="5FB6ED3D" w14:textId="77777777" w:rsidR="006C6D2D" w:rsidRDefault="006C6D2D" w:rsidP="00EC5E6E">
      <w:pPr>
        <w:spacing w:line="240" w:lineRule="auto"/>
        <w:rPr>
          <w:sz w:val="24"/>
          <w:szCs w:val="24"/>
        </w:rPr>
      </w:pPr>
    </w:p>
    <w:p w14:paraId="07B82EFB" w14:textId="77777777" w:rsidR="006C6D2D" w:rsidRDefault="006C6D2D" w:rsidP="00EC5E6E">
      <w:pPr>
        <w:spacing w:line="240" w:lineRule="auto"/>
        <w:rPr>
          <w:b/>
          <w:sz w:val="24"/>
          <w:szCs w:val="24"/>
        </w:rPr>
      </w:pPr>
      <w:r>
        <w:rPr>
          <w:b/>
          <w:sz w:val="24"/>
          <w:szCs w:val="24"/>
        </w:rPr>
        <w:t xml:space="preserve">Specific aims: </w:t>
      </w:r>
    </w:p>
    <w:p w14:paraId="3FEF034A" w14:textId="77777777" w:rsidR="006C6D2D" w:rsidRDefault="006C6D2D" w:rsidP="00EC5E6E">
      <w:pPr>
        <w:spacing w:line="240" w:lineRule="auto"/>
        <w:rPr>
          <w:b/>
          <w:sz w:val="24"/>
          <w:szCs w:val="24"/>
        </w:rPr>
      </w:pPr>
    </w:p>
    <w:p w14:paraId="4F5DF8E3" w14:textId="33763114" w:rsidR="006C6D2D" w:rsidRDefault="006C6D2D" w:rsidP="00EC5E6E">
      <w:pPr>
        <w:spacing w:line="240" w:lineRule="auto"/>
        <w:rPr>
          <w:sz w:val="24"/>
          <w:szCs w:val="24"/>
        </w:rPr>
      </w:pPr>
      <w:r>
        <w:rPr>
          <w:sz w:val="24"/>
          <w:szCs w:val="24"/>
        </w:rPr>
        <w:t xml:space="preserve">To provide insight into UCSF Medical Center’s antibiotic prescribing patterns at hospital discharge for </w:t>
      </w:r>
      <w:r w:rsidR="00EC5E6E">
        <w:rPr>
          <w:sz w:val="24"/>
          <w:szCs w:val="24"/>
        </w:rPr>
        <w:t>patients</w:t>
      </w:r>
      <w:r>
        <w:rPr>
          <w:sz w:val="24"/>
          <w:szCs w:val="24"/>
        </w:rPr>
        <w:t xml:space="preserve"> with ICD-10 diagnosis code for community-acquired pneumonia and to see if ID involvement is associated with more appropriate use of antibiotics as well as better clinical outcomes. </w:t>
      </w:r>
    </w:p>
    <w:p w14:paraId="6321EF7C" w14:textId="77777777" w:rsidR="006C6D2D" w:rsidRDefault="006C6D2D" w:rsidP="00EC5E6E">
      <w:pPr>
        <w:spacing w:line="240" w:lineRule="auto"/>
        <w:rPr>
          <w:sz w:val="24"/>
          <w:szCs w:val="24"/>
        </w:rPr>
      </w:pPr>
    </w:p>
    <w:p w14:paraId="27ED4BC7" w14:textId="77777777" w:rsidR="006C6D2D" w:rsidRDefault="006C6D2D" w:rsidP="00EC5E6E">
      <w:pPr>
        <w:spacing w:line="240" w:lineRule="auto"/>
        <w:rPr>
          <w:b/>
          <w:sz w:val="24"/>
          <w:szCs w:val="24"/>
        </w:rPr>
      </w:pPr>
      <w:r>
        <w:rPr>
          <w:b/>
          <w:sz w:val="24"/>
          <w:szCs w:val="24"/>
        </w:rPr>
        <w:t>Background and Significance:</w:t>
      </w:r>
    </w:p>
    <w:p w14:paraId="4C6D78AC" w14:textId="77777777" w:rsidR="006C6D2D" w:rsidRDefault="006C6D2D" w:rsidP="00EC5E6E">
      <w:pPr>
        <w:spacing w:line="240" w:lineRule="auto"/>
        <w:rPr>
          <w:b/>
          <w:sz w:val="24"/>
          <w:szCs w:val="24"/>
        </w:rPr>
      </w:pPr>
    </w:p>
    <w:p w14:paraId="6649143D" w14:textId="55F8D722" w:rsidR="006C6D2D" w:rsidRDefault="006C6D2D" w:rsidP="00EC5E6E">
      <w:pPr>
        <w:spacing w:line="240" w:lineRule="auto"/>
        <w:ind w:firstLine="720"/>
        <w:rPr>
          <w:sz w:val="24"/>
          <w:szCs w:val="24"/>
        </w:rPr>
      </w:pPr>
      <w:r w:rsidRPr="006C6D2D">
        <w:rPr>
          <w:sz w:val="24"/>
          <w:szCs w:val="24"/>
        </w:rPr>
        <w:t>Antimicrobial resistance is an increasing concern as resistant organisms infect more than 2.8 million people and contribute to 35,000 deaths annually in the United States.</w:t>
      </w:r>
      <w:r w:rsidRPr="00EC5E6E">
        <w:rPr>
          <w:sz w:val="24"/>
          <w:szCs w:val="24"/>
          <w:vertAlign w:val="superscript"/>
        </w:rPr>
        <w:t xml:space="preserve">1 </w:t>
      </w:r>
      <w:r w:rsidRPr="006C6D2D">
        <w:rPr>
          <w:sz w:val="24"/>
          <w:szCs w:val="24"/>
        </w:rPr>
        <w:t>A major driver of antimicrobial resistance is the inappropriate prescribing and use of antibiotics, which leads to increased disease severity and duration, increased rates of adverse drug reactions, and increased healthcare costs.</w:t>
      </w:r>
      <w:r w:rsidRPr="00EC5E6E">
        <w:rPr>
          <w:sz w:val="24"/>
          <w:szCs w:val="24"/>
          <w:vertAlign w:val="superscript"/>
        </w:rPr>
        <w:t>2</w:t>
      </w:r>
      <w:r w:rsidR="00EC5E6E">
        <w:rPr>
          <w:sz w:val="24"/>
          <w:szCs w:val="24"/>
          <w:vertAlign w:val="superscript"/>
        </w:rPr>
        <w:t xml:space="preserve"> </w:t>
      </w:r>
      <w:r w:rsidR="00EC5E6E">
        <w:rPr>
          <w:sz w:val="24"/>
          <w:szCs w:val="24"/>
        </w:rPr>
        <w:t>In</w:t>
      </w:r>
      <w:r w:rsidRPr="006C6D2D">
        <w:rPr>
          <w:sz w:val="24"/>
          <w:szCs w:val="24"/>
        </w:rPr>
        <w:t xml:space="preserve">appropriate </w:t>
      </w:r>
      <w:r w:rsidRPr="006C6D2D">
        <w:rPr>
          <w:sz w:val="24"/>
          <w:szCs w:val="24"/>
        </w:rPr>
        <w:lastRenderedPageBreak/>
        <w:t>prescribing occurs in both inpatient and outpatient settings</w:t>
      </w:r>
      <w:r w:rsidRPr="00EC5E6E">
        <w:rPr>
          <w:sz w:val="24"/>
          <w:szCs w:val="24"/>
          <w:vertAlign w:val="superscript"/>
        </w:rPr>
        <w:t xml:space="preserve">3,4 </w:t>
      </w:r>
      <w:r w:rsidRPr="006C6D2D">
        <w:rPr>
          <w:sz w:val="24"/>
          <w:szCs w:val="24"/>
        </w:rPr>
        <w:t>but it is also seen during the transitions of care when patients get discharged from the hospital.</w:t>
      </w:r>
      <w:r w:rsidRPr="00EC5E6E">
        <w:rPr>
          <w:sz w:val="24"/>
          <w:szCs w:val="24"/>
          <w:vertAlign w:val="superscript"/>
        </w:rPr>
        <w:t>5,6,7</w:t>
      </w:r>
      <w:r w:rsidRPr="006C6D2D">
        <w:rPr>
          <w:sz w:val="24"/>
          <w:szCs w:val="24"/>
        </w:rPr>
        <w:t xml:space="preserve"> Prior studies have found that 50-70% of these prescriptions contain errors such as prolonged treatment, improper dose, and spectrum of therapy.</w:t>
      </w:r>
      <w:r w:rsidRPr="00EC5E6E">
        <w:rPr>
          <w:sz w:val="24"/>
          <w:szCs w:val="24"/>
          <w:vertAlign w:val="superscript"/>
        </w:rPr>
        <w:t>6,7</w:t>
      </w:r>
      <w:r w:rsidRPr="006C6D2D">
        <w:rPr>
          <w:sz w:val="24"/>
          <w:szCs w:val="24"/>
        </w:rPr>
        <w:t xml:space="preserve"> Additionally, nearly 1 in 5 patients discharged on antibiotics are readmitted to the hospital within 30 days.</w:t>
      </w:r>
      <w:r w:rsidRPr="00EC5E6E">
        <w:rPr>
          <w:sz w:val="24"/>
          <w:szCs w:val="24"/>
          <w:vertAlign w:val="superscript"/>
        </w:rPr>
        <w:t>6</w:t>
      </w:r>
      <w:r w:rsidRPr="006C6D2D">
        <w:rPr>
          <w:sz w:val="24"/>
          <w:szCs w:val="24"/>
        </w:rPr>
        <w:t xml:space="preserve"> This is an area of big concern considering that roughly 20% of all patients receive antibiotics at discharge out of the 50% of all patients in the United States who are prescribed antibiotics during their hospital stay.</w:t>
      </w:r>
      <w:r w:rsidRPr="00EC5E6E">
        <w:rPr>
          <w:sz w:val="24"/>
          <w:szCs w:val="24"/>
          <w:vertAlign w:val="superscript"/>
        </w:rPr>
        <w:t xml:space="preserve">8,9 </w:t>
      </w:r>
      <w:r w:rsidRPr="006C6D2D">
        <w:rPr>
          <w:sz w:val="24"/>
          <w:szCs w:val="24"/>
        </w:rPr>
        <w:t>To help combat this growing concern, antimicrobial stewardship has been increasingly implemented in the hospital setting. Inpatient antimicrobial stewardship has proven effective in promoting successfully patient outcomes, limiting the spread of antimicrobial resistance, and improving hospital cost-effectiveness.</w:t>
      </w:r>
      <w:r w:rsidRPr="00EC5E6E">
        <w:rPr>
          <w:sz w:val="24"/>
          <w:szCs w:val="24"/>
          <w:vertAlign w:val="superscript"/>
        </w:rPr>
        <w:t>10,11</w:t>
      </w:r>
      <w:r w:rsidRPr="006C6D2D">
        <w:rPr>
          <w:sz w:val="24"/>
          <w:szCs w:val="24"/>
        </w:rPr>
        <w:t xml:space="preserve"> However, despite the success of antimicrobial stewardship in the inpatient setting, there is a lack of oversight of transitions of care such as daily review of antibiotics that are being prescribed to patients at hospital discharge.</w:t>
      </w:r>
      <w:r w:rsidRPr="00EC5E6E">
        <w:rPr>
          <w:sz w:val="24"/>
          <w:szCs w:val="24"/>
          <w:vertAlign w:val="superscript"/>
        </w:rPr>
        <w:t>12</w:t>
      </w:r>
      <w:r w:rsidRPr="006C6D2D">
        <w:rPr>
          <w:sz w:val="24"/>
          <w:szCs w:val="24"/>
        </w:rPr>
        <w:t xml:space="preserve"> While studies have looked into prescribing practices in the hospital and in the outpatient setting, data describing antibiotic prescribing upon hospital discharge remains few.</w:t>
      </w:r>
      <w:r w:rsidRPr="00EC5E6E">
        <w:rPr>
          <w:sz w:val="24"/>
          <w:szCs w:val="24"/>
          <w:vertAlign w:val="superscript"/>
        </w:rPr>
        <w:t xml:space="preserve">6 </w:t>
      </w:r>
    </w:p>
    <w:p w14:paraId="35733B22" w14:textId="77777777" w:rsidR="006C6D2D" w:rsidRPr="00EC5E6E" w:rsidRDefault="006C6D2D" w:rsidP="00EC5E6E">
      <w:pPr>
        <w:spacing w:line="240" w:lineRule="auto"/>
        <w:ind w:firstLine="720"/>
        <w:rPr>
          <w:sz w:val="24"/>
          <w:szCs w:val="24"/>
          <w:vertAlign w:val="superscript"/>
        </w:rPr>
      </w:pPr>
      <w:r w:rsidRPr="006C6D2D">
        <w:rPr>
          <w:sz w:val="24"/>
          <w:szCs w:val="24"/>
        </w:rPr>
        <w:t>The primary objective of this study will be to first identify the antibiotic prescribing patterns on hospital discharge at UCSF Medical Center and based on the data collected, will secondarily assess the appropriateness of antibiotic therapy, and identify other factors associated with inappropriate antibiotic prescribing at hospital discharge at UCSF Medical Center such as infectious disease involvement with antibiotic discharge plans. The outcomes that our study will assess will be the clinical outcomes of patients that received inappropriate antibiotic defined by either the wrong antibiotic choice, dose, frequency, and/or duration. Clinical outcomes will be classified into our study’s desirability of outcome ranking (DOOR). By utilizing a ranking system for clinical outcomes, this will provide a more comprehensive synthesis of the results for an individual patient and will help limit distortion of outcome interpretation and inadequate evaluation of benefits and harms at the patient level.</w:t>
      </w:r>
      <w:r w:rsidRPr="00EC5E6E">
        <w:rPr>
          <w:sz w:val="24"/>
          <w:szCs w:val="24"/>
          <w:vertAlign w:val="superscript"/>
        </w:rPr>
        <w:t>13</w:t>
      </w:r>
    </w:p>
    <w:p w14:paraId="24499203" w14:textId="77777777" w:rsidR="006C6D2D" w:rsidRPr="006C6D2D" w:rsidRDefault="006C6D2D" w:rsidP="00EC5E6E">
      <w:pPr>
        <w:spacing w:line="240" w:lineRule="auto"/>
        <w:ind w:firstLine="720"/>
        <w:rPr>
          <w:sz w:val="24"/>
          <w:szCs w:val="24"/>
        </w:rPr>
      </w:pPr>
    </w:p>
    <w:p w14:paraId="2EAA3980" w14:textId="77777777" w:rsidR="006C6D2D" w:rsidRDefault="006C6D2D" w:rsidP="00EC5E6E">
      <w:pPr>
        <w:spacing w:line="240" w:lineRule="auto"/>
        <w:rPr>
          <w:sz w:val="24"/>
          <w:szCs w:val="24"/>
        </w:rPr>
      </w:pPr>
    </w:p>
    <w:p w14:paraId="536CB745" w14:textId="77777777" w:rsidR="006C6D2D" w:rsidRDefault="006C6D2D" w:rsidP="00EC5E6E">
      <w:pPr>
        <w:spacing w:line="240" w:lineRule="auto"/>
        <w:rPr>
          <w:b/>
          <w:sz w:val="24"/>
          <w:szCs w:val="24"/>
        </w:rPr>
      </w:pPr>
      <w:r>
        <w:rPr>
          <w:b/>
          <w:sz w:val="24"/>
          <w:szCs w:val="24"/>
        </w:rPr>
        <w:t>Methods</w:t>
      </w:r>
    </w:p>
    <w:p w14:paraId="0CBFAEC2" w14:textId="77777777" w:rsidR="006C6D2D" w:rsidRDefault="006C6D2D" w:rsidP="00EC5E6E">
      <w:pPr>
        <w:spacing w:line="240" w:lineRule="auto"/>
        <w:rPr>
          <w:sz w:val="24"/>
          <w:szCs w:val="24"/>
        </w:rPr>
      </w:pPr>
    </w:p>
    <w:p w14:paraId="309FF00A" w14:textId="77777777" w:rsidR="006C6D2D" w:rsidRDefault="006C6D2D" w:rsidP="00EC5E6E">
      <w:pPr>
        <w:spacing w:line="240" w:lineRule="auto"/>
        <w:rPr>
          <w:b/>
          <w:sz w:val="24"/>
          <w:szCs w:val="24"/>
        </w:rPr>
      </w:pPr>
      <w:r>
        <w:rPr>
          <w:b/>
          <w:sz w:val="24"/>
          <w:szCs w:val="24"/>
        </w:rPr>
        <w:t>Study Design and Study Subjects:</w:t>
      </w:r>
    </w:p>
    <w:p w14:paraId="21822676" w14:textId="25DD67A0" w:rsidR="006C6D2D" w:rsidRDefault="00EC5E6E" w:rsidP="00EC5E6E">
      <w:pPr>
        <w:pBdr>
          <w:top w:val="nil"/>
          <w:left w:val="nil"/>
          <w:bottom w:val="nil"/>
          <w:right w:val="nil"/>
          <w:between w:val="nil"/>
        </w:pBdr>
        <w:spacing w:line="240" w:lineRule="auto"/>
        <w:ind w:right="720"/>
        <w:rPr>
          <w:sz w:val="24"/>
          <w:szCs w:val="24"/>
          <w:highlight w:val="white"/>
        </w:rPr>
      </w:pPr>
      <w:r>
        <w:rPr>
          <w:sz w:val="24"/>
          <w:szCs w:val="24"/>
          <w:highlight w:val="white"/>
        </w:rPr>
        <w:t>Th</w:t>
      </w:r>
      <w:r w:rsidR="006C6D2D" w:rsidRPr="006C6D2D">
        <w:rPr>
          <w:sz w:val="24"/>
          <w:szCs w:val="24"/>
          <w:highlight w:val="white"/>
        </w:rPr>
        <w:t xml:space="preserve">is is a retrospective cohort study of patients at UCSF Health between January 1, </w:t>
      </w:r>
      <w:proofErr w:type="gramStart"/>
      <w:r w:rsidR="006C6D2D" w:rsidRPr="006C6D2D">
        <w:rPr>
          <w:sz w:val="24"/>
          <w:szCs w:val="24"/>
          <w:highlight w:val="white"/>
        </w:rPr>
        <w:t>2019</w:t>
      </w:r>
      <w:proofErr w:type="gramEnd"/>
      <w:r w:rsidR="006C6D2D" w:rsidRPr="006C6D2D">
        <w:rPr>
          <w:sz w:val="24"/>
          <w:szCs w:val="24"/>
          <w:highlight w:val="white"/>
        </w:rPr>
        <w:t xml:space="preserve"> and December 31, 2021. The study group will be patients who have been discharged from UCSF Medical Center with an ICD-10 diagnosis code for community-acquired pneumonia. Data will be collected through a retrospective chart review of the electronic medical record and stored in the </w:t>
      </w:r>
      <w:proofErr w:type="spellStart"/>
      <w:r w:rsidR="006C6D2D" w:rsidRPr="006C6D2D">
        <w:rPr>
          <w:sz w:val="24"/>
          <w:szCs w:val="24"/>
          <w:highlight w:val="white"/>
        </w:rPr>
        <w:t>REDcap</w:t>
      </w:r>
      <w:proofErr w:type="spellEnd"/>
      <w:r w:rsidR="006C6D2D" w:rsidRPr="006C6D2D">
        <w:rPr>
          <w:sz w:val="24"/>
          <w:szCs w:val="24"/>
          <w:highlight w:val="white"/>
        </w:rPr>
        <w:t xml:space="preserve"> system. Baseline characteristics will include: age, gender, race, primary admission diagnosis, service team at hospital discharge, comorbidities using </w:t>
      </w:r>
      <w:proofErr w:type="spellStart"/>
      <w:r w:rsidR="006C6D2D" w:rsidRPr="006C6D2D">
        <w:rPr>
          <w:sz w:val="24"/>
          <w:szCs w:val="24"/>
          <w:highlight w:val="white"/>
        </w:rPr>
        <w:t>Charlson</w:t>
      </w:r>
      <w:proofErr w:type="spellEnd"/>
      <w:r w:rsidR="006C6D2D" w:rsidRPr="006C6D2D">
        <w:rPr>
          <w:sz w:val="24"/>
          <w:szCs w:val="24"/>
          <w:highlight w:val="white"/>
        </w:rPr>
        <w:t xml:space="preserve"> Comorbidity Index, hospitalization and parenteral antibiotic use in prior 90 days, use of intravenous in prior 90 days, allergy, history of respiratory MRSA or P. </w:t>
      </w:r>
      <w:proofErr w:type="spellStart"/>
      <w:r w:rsidR="006C6D2D" w:rsidRPr="006C6D2D">
        <w:rPr>
          <w:sz w:val="24"/>
          <w:szCs w:val="24"/>
          <w:highlight w:val="white"/>
        </w:rPr>
        <w:t>aeruginoa</w:t>
      </w:r>
      <w:proofErr w:type="spellEnd"/>
      <w:r w:rsidR="006C6D2D" w:rsidRPr="006C6D2D">
        <w:rPr>
          <w:sz w:val="24"/>
          <w:szCs w:val="24"/>
          <w:highlight w:val="white"/>
        </w:rPr>
        <w:t xml:space="preserve"> in prior 365 days, radiologic evidence of pneumonia, microbiology data, length of hospital stay, length of ICU stay, inpatient antibiotic, duration of inpatient antibiotic treatment, outpatient antibiotic, duration of outpatient antibiotic </w:t>
      </w:r>
      <w:r w:rsidR="006C6D2D" w:rsidRPr="006C6D2D">
        <w:rPr>
          <w:sz w:val="24"/>
          <w:szCs w:val="24"/>
          <w:highlight w:val="white"/>
        </w:rPr>
        <w:lastRenderedPageBreak/>
        <w:t xml:space="preserve">treatment, and infectious disease consultation documented through a progress note. </w:t>
      </w:r>
    </w:p>
    <w:p w14:paraId="75D335AA" w14:textId="77777777" w:rsidR="00EC5E6E" w:rsidRDefault="00EC5E6E" w:rsidP="00EC5E6E">
      <w:pPr>
        <w:pBdr>
          <w:top w:val="nil"/>
          <w:left w:val="nil"/>
          <w:bottom w:val="nil"/>
          <w:right w:val="nil"/>
          <w:between w:val="nil"/>
        </w:pBdr>
        <w:spacing w:line="240" w:lineRule="auto"/>
        <w:ind w:right="720"/>
        <w:rPr>
          <w:b/>
          <w:sz w:val="24"/>
          <w:szCs w:val="24"/>
          <w:highlight w:val="white"/>
        </w:rPr>
      </w:pPr>
    </w:p>
    <w:p w14:paraId="6BEA803B" w14:textId="4B0CFBA6" w:rsidR="006C6D2D" w:rsidRDefault="006C6D2D" w:rsidP="00EC5E6E">
      <w:pPr>
        <w:shd w:val="clear" w:color="auto" w:fill="FFFFFF"/>
        <w:spacing w:after="240" w:line="240" w:lineRule="auto"/>
        <w:rPr>
          <w:sz w:val="24"/>
          <w:szCs w:val="24"/>
          <w:highlight w:val="white"/>
        </w:rPr>
      </w:pPr>
      <w:r>
        <w:rPr>
          <w:b/>
          <w:sz w:val="24"/>
          <w:szCs w:val="24"/>
          <w:highlight w:val="white"/>
        </w:rPr>
        <w:t>Predictor variables:</w:t>
      </w:r>
      <w:r w:rsidR="00EC5E6E">
        <w:rPr>
          <w:b/>
          <w:sz w:val="24"/>
          <w:szCs w:val="24"/>
        </w:rPr>
        <w:t xml:space="preserve"> </w:t>
      </w:r>
      <w:r w:rsidR="00EC5E6E" w:rsidRPr="00964352">
        <w:rPr>
          <w:rFonts w:ascii="Calibri" w:eastAsia="Calibri" w:hAnsi="Calibri" w:cs="Calibri"/>
          <w:iCs/>
          <w:sz w:val="20"/>
          <w:szCs w:val="20"/>
        </w:rPr>
        <w:t xml:space="preserve"> </w:t>
      </w:r>
      <w:r w:rsidR="00EC5E6E" w:rsidRPr="00EC5E6E">
        <w:rPr>
          <w:sz w:val="24"/>
          <w:szCs w:val="24"/>
          <w:highlight w:val="white"/>
        </w:rPr>
        <w:t>Infectious disease involvement (i.e., ASP or ID consult progress notes that discuss antibiotic plans at hospital discharge)</w:t>
      </w:r>
    </w:p>
    <w:p w14:paraId="571716CE" w14:textId="77777777" w:rsidR="00EC5E6E" w:rsidRDefault="006C6D2D" w:rsidP="00EC5E6E">
      <w:pPr>
        <w:shd w:val="clear" w:color="auto" w:fill="FFFFFF"/>
        <w:spacing w:after="240" w:line="240" w:lineRule="auto"/>
        <w:rPr>
          <w:sz w:val="24"/>
          <w:szCs w:val="24"/>
        </w:rPr>
      </w:pPr>
      <w:r>
        <w:rPr>
          <w:b/>
          <w:sz w:val="24"/>
          <w:szCs w:val="24"/>
          <w:highlight w:val="white"/>
        </w:rPr>
        <w:t>Outcome variables:</w:t>
      </w:r>
      <w:r>
        <w:rPr>
          <w:sz w:val="24"/>
          <w:szCs w:val="24"/>
          <w:highlight w:val="white"/>
        </w:rPr>
        <w:t xml:space="preserve"> </w:t>
      </w:r>
    </w:p>
    <w:p w14:paraId="70A75E31" w14:textId="2F7D8C27" w:rsidR="00EC5E6E" w:rsidRDefault="00EC5E6E" w:rsidP="00EC5E6E">
      <w:pPr>
        <w:pStyle w:val="ListParagraph"/>
        <w:numPr>
          <w:ilvl w:val="0"/>
          <w:numId w:val="5"/>
        </w:numPr>
        <w:shd w:val="clear" w:color="auto" w:fill="FFFFFF"/>
        <w:spacing w:after="240" w:line="240" w:lineRule="auto"/>
        <w:rPr>
          <w:sz w:val="24"/>
          <w:szCs w:val="24"/>
          <w:highlight w:val="white"/>
        </w:rPr>
      </w:pPr>
      <w:r w:rsidRPr="00EC5E6E">
        <w:rPr>
          <w:sz w:val="24"/>
          <w:szCs w:val="24"/>
          <w:highlight w:val="white"/>
        </w:rPr>
        <w:t>Primary outcome = inappropriate antibiotic</w:t>
      </w:r>
      <w:r w:rsidR="00CC50B4" w:rsidRPr="00CC50B4">
        <w:rPr>
          <w:sz w:val="24"/>
          <w:szCs w:val="24"/>
          <w:highlight w:val="white"/>
        </w:rPr>
        <w:t xml:space="preserve"> </w:t>
      </w:r>
      <w:r w:rsidR="00CC50B4" w:rsidRPr="00CC50B4">
        <w:rPr>
          <w:sz w:val="24"/>
          <w:szCs w:val="24"/>
          <w:highlight w:val="white"/>
        </w:rPr>
        <w:t>course per national and institutional guidelines</w:t>
      </w:r>
    </w:p>
    <w:p w14:paraId="21982A50" w14:textId="2FC9ED75" w:rsidR="00EC5E6E" w:rsidRPr="00EC5E6E" w:rsidRDefault="00EC5E6E" w:rsidP="00EC5E6E">
      <w:pPr>
        <w:pStyle w:val="ListParagraph"/>
        <w:numPr>
          <w:ilvl w:val="0"/>
          <w:numId w:val="5"/>
        </w:numPr>
        <w:shd w:val="clear" w:color="auto" w:fill="FFFFFF"/>
        <w:spacing w:after="240" w:line="240" w:lineRule="auto"/>
        <w:rPr>
          <w:sz w:val="24"/>
          <w:szCs w:val="24"/>
          <w:highlight w:val="white"/>
        </w:rPr>
      </w:pPr>
      <w:r w:rsidRPr="00EC5E6E">
        <w:rPr>
          <w:sz w:val="24"/>
          <w:szCs w:val="24"/>
          <w:highlight w:val="white"/>
        </w:rPr>
        <w:t>Secondary outcome = Of the patient’s classified to have received inappropriate antibiotic therapy at hospital discharge, utilize the study’s desirability of outcome ranking (DOOR):</w:t>
      </w:r>
    </w:p>
    <w:p w14:paraId="659C07E4" w14:textId="77777777" w:rsidR="00EC5E6E" w:rsidRPr="00EC5E6E" w:rsidRDefault="00EC5E6E" w:rsidP="00EC5E6E">
      <w:pPr>
        <w:numPr>
          <w:ilvl w:val="0"/>
          <w:numId w:val="3"/>
        </w:numPr>
        <w:spacing w:line="240" w:lineRule="auto"/>
        <w:rPr>
          <w:sz w:val="24"/>
          <w:szCs w:val="24"/>
          <w:highlight w:val="white"/>
        </w:rPr>
      </w:pPr>
      <w:r w:rsidRPr="00EC5E6E">
        <w:rPr>
          <w:sz w:val="24"/>
          <w:szCs w:val="24"/>
          <w:highlight w:val="white"/>
        </w:rPr>
        <w:t>Adequate clinical response, no adverse drug event</w:t>
      </w:r>
    </w:p>
    <w:p w14:paraId="2DE7A4F3" w14:textId="77777777" w:rsidR="00EC5E6E" w:rsidRPr="00EC5E6E" w:rsidRDefault="00EC5E6E" w:rsidP="00EC5E6E">
      <w:pPr>
        <w:numPr>
          <w:ilvl w:val="0"/>
          <w:numId w:val="3"/>
        </w:numPr>
        <w:spacing w:line="240" w:lineRule="auto"/>
        <w:rPr>
          <w:sz w:val="24"/>
          <w:szCs w:val="24"/>
          <w:highlight w:val="white"/>
        </w:rPr>
      </w:pPr>
      <w:r w:rsidRPr="00EC5E6E">
        <w:rPr>
          <w:sz w:val="24"/>
          <w:szCs w:val="24"/>
          <w:highlight w:val="white"/>
        </w:rPr>
        <w:t>Adequate clinical response, adverse drug event</w:t>
      </w:r>
    </w:p>
    <w:p w14:paraId="2AAFC011" w14:textId="77777777" w:rsidR="00EC5E6E" w:rsidRPr="00EC5E6E" w:rsidRDefault="00EC5E6E" w:rsidP="00EC5E6E">
      <w:pPr>
        <w:numPr>
          <w:ilvl w:val="0"/>
          <w:numId w:val="3"/>
        </w:numPr>
        <w:spacing w:line="240" w:lineRule="auto"/>
        <w:rPr>
          <w:sz w:val="24"/>
          <w:szCs w:val="24"/>
          <w:highlight w:val="white"/>
        </w:rPr>
      </w:pPr>
      <w:r w:rsidRPr="00EC5E6E">
        <w:rPr>
          <w:sz w:val="24"/>
          <w:szCs w:val="24"/>
          <w:highlight w:val="white"/>
        </w:rPr>
        <w:t>Readmission within 30 days, infection-related</w:t>
      </w:r>
    </w:p>
    <w:p w14:paraId="55F8E0AF" w14:textId="779FB326" w:rsidR="00EC5E6E" w:rsidRPr="00EC5E6E" w:rsidRDefault="00EC5E6E" w:rsidP="00EC5E6E">
      <w:pPr>
        <w:numPr>
          <w:ilvl w:val="0"/>
          <w:numId w:val="3"/>
        </w:numPr>
        <w:spacing w:line="240" w:lineRule="auto"/>
        <w:rPr>
          <w:sz w:val="24"/>
          <w:szCs w:val="24"/>
          <w:highlight w:val="white"/>
        </w:rPr>
      </w:pPr>
      <w:r w:rsidRPr="00EC5E6E">
        <w:rPr>
          <w:sz w:val="24"/>
          <w:szCs w:val="24"/>
          <w:highlight w:val="white"/>
        </w:rPr>
        <w:t xml:space="preserve">Mortality within 30 days </w:t>
      </w:r>
    </w:p>
    <w:p w14:paraId="32A04705" w14:textId="77777777" w:rsidR="00EC5E6E" w:rsidRDefault="00EC5E6E" w:rsidP="00EC5E6E">
      <w:pPr>
        <w:shd w:val="clear" w:color="auto" w:fill="FFFFFF"/>
        <w:spacing w:after="240" w:line="240" w:lineRule="auto"/>
        <w:rPr>
          <w:sz w:val="24"/>
          <w:szCs w:val="24"/>
          <w:highlight w:val="white"/>
        </w:rPr>
      </w:pPr>
    </w:p>
    <w:p w14:paraId="6850B566" w14:textId="77777777" w:rsidR="00E66B43" w:rsidRDefault="006C6D2D" w:rsidP="00EC5E6E">
      <w:pPr>
        <w:shd w:val="clear" w:color="auto" w:fill="FFFFFF"/>
        <w:spacing w:after="240" w:line="240" w:lineRule="auto"/>
        <w:rPr>
          <w:b/>
          <w:sz w:val="24"/>
          <w:szCs w:val="24"/>
          <w:highlight w:val="white"/>
        </w:rPr>
      </w:pPr>
      <w:r>
        <w:rPr>
          <w:b/>
          <w:sz w:val="24"/>
          <w:szCs w:val="24"/>
          <w:highlight w:val="white"/>
        </w:rPr>
        <w:t xml:space="preserve">Confounders: </w:t>
      </w:r>
    </w:p>
    <w:p w14:paraId="6BD0B5C2" w14:textId="097E4BA8" w:rsidR="00EC5E6E" w:rsidRPr="00E66B43" w:rsidRDefault="00E66B43" w:rsidP="00EC5E6E">
      <w:pPr>
        <w:shd w:val="clear" w:color="auto" w:fill="FFFFFF"/>
        <w:spacing w:after="240" w:line="240" w:lineRule="auto"/>
        <w:rPr>
          <w:rFonts w:ascii="Calibri" w:eastAsia="Calibri" w:hAnsi="Calibri" w:cs="Calibri"/>
          <w:iCs/>
          <w:sz w:val="20"/>
          <w:szCs w:val="20"/>
        </w:rPr>
      </w:pPr>
      <w:r>
        <w:rPr>
          <w:sz w:val="24"/>
          <w:szCs w:val="24"/>
          <w:highlight w:val="white"/>
        </w:rPr>
        <w:t>Potential confounders include i</w:t>
      </w:r>
      <w:r w:rsidR="00EC5E6E" w:rsidRPr="00EC5E6E">
        <w:rPr>
          <w:sz w:val="24"/>
          <w:szCs w:val="24"/>
          <w:highlight w:val="white"/>
        </w:rPr>
        <w:t>mmunocompromised patients</w:t>
      </w:r>
      <w:r>
        <w:rPr>
          <w:sz w:val="24"/>
          <w:szCs w:val="24"/>
          <w:highlight w:val="white"/>
        </w:rPr>
        <w:t xml:space="preserve"> (</w:t>
      </w:r>
      <w:proofErr w:type="gramStart"/>
      <w:r>
        <w:rPr>
          <w:sz w:val="24"/>
          <w:szCs w:val="24"/>
          <w:highlight w:val="white"/>
        </w:rPr>
        <w:t>i.e.</w:t>
      </w:r>
      <w:proofErr w:type="gramEnd"/>
      <w:r>
        <w:rPr>
          <w:sz w:val="24"/>
          <w:szCs w:val="24"/>
          <w:highlight w:val="white"/>
        </w:rPr>
        <w:t xml:space="preserve"> diabetes, transplant, HIV, oncology patients)</w:t>
      </w:r>
      <w:r w:rsidR="00EC5E6E" w:rsidRPr="00EC5E6E">
        <w:rPr>
          <w:sz w:val="24"/>
          <w:szCs w:val="24"/>
          <w:highlight w:val="white"/>
        </w:rPr>
        <w:t>, co-infections, service team at hospital discharge</w:t>
      </w:r>
      <w:r>
        <w:rPr>
          <w:sz w:val="24"/>
          <w:szCs w:val="24"/>
          <w:highlight w:val="white"/>
        </w:rPr>
        <w:t xml:space="preserve">. These potential </w:t>
      </w:r>
      <w:r w:rsidR="00F3707E">
        <w:rPr>
          <w:sz w:val="24"/>
          <w:szCs w:val="24"/>
          <w:highlight w:val="white"/>
        </w:rPr>
        <w:t>confounders</w:t>
      </w:r>
      <w:r>
        <w:rPr>
          <w:sz w:val="24"/>
          <w:szCs w:val="24"/>
          <w:highlight w:val="white"/>
        </w:rPr>
        <w:t xml:space="preserve"> will be addressed through a multivariate sub analysis. Another major </w:t>
      </w:r>
      <w:r w:rsidR="00EC5E6E" w:rsidRPr="00EC5E6E">
        <w:rPr>
          <w:sz w:val="24"/>
          <w:szCs w:val="24"/>
          <w:highlight w:val="white"/>
        </w:rPr>
        <w:t>limitation to our study will be potential lost in follow-up as patients may be readmitted at an outside institution or followed-up on an adverse reaction with an outside provider.</w:t>
      </w:r>
      <w:r>
        <w:rPr>
          <w:sz w:val="24"/>
          <w:szCs w:val="24"/>
        </w:rPr>
        <w:t xml:space="preserve"> This will be accounted for by a subgroup analysis of patients who receive outpatient care at UCSF Medical Center (defined by having a UCSF PCP and with at least two visits within the past two years). </w:t>
      </w:r>
    </w:p>
    <w:p w14:paraId="199DABA4" w14:textId="77777777" w:rsidR="006C6D2D" w:rsidRDefault="006C6D2D" w:rsidP="00EC5E6E">
      <w:pPr>
        <w:shd w:val="clear" w:color="auto" w:fill="FFFFFF"/>
        <w:spacing w:after="240" w:line="240" w:lineRule="auto"/>
        <w:rPr>
          <w:color w:val="212529"/>
          <w:sz w:val="24"/>
          <w:szCs w:val="24"/>
          <w:highlight w:val="white"/>
        </w:rPr>
      </w:pPr>
      <w:r>
        <w:rPr>
          <w:b/>
          <w:sz w:val="24"/>
          <w:szCs w:val="24"/>
          <w:highlight w:val="white"/>
        </w:rPr>
        <w:t>Statistical Analysis</w:t>
      </w:r>
    </w:p>
    <w:p w14:paraId="21175D50" w14:textId="77777777" w:rsidR="00E66B43" w:rsidRPr="00E66B43" w:rsidRDefault="00EC5E6E" w:rsidP="00E66B43">
      <w:pPr>
        <w:shd w:val="clear" w:color="auto" w:fill="FFFFFF"/>
        <w:spacing w:after="240" w:line="240" w:lineRule="auto"/>
        <w:rPr>
          <w:sz w:val="24"/>
          <w:szCs w:val="24"/>
          <w:highlight w:val="white"/>
        </w:rPr>
      </w:pPr>
      <w:r w:rsidRPr="00E66B43">
        <w:rPr>
          <w:sz w:val="24"/>
          <w:szCs w:val="24"/>
          <w:highlight w:val="white"/>
        </w:rPr>
        <w:t xml:space="preserve">Our current hypothesis is that there will be a difference in rates of inappropriate antibiotic prescribing between those with ID involvement vs no ID involvement on antibiotic discharge plans. The predictor variable is ID involvement vs no ID </w:t>
      </w:r>
      <w:r w:rsidR="00E66B43" w:rsidRPr="00E66B43">
        <w:rPr>
          <w:sz w:val="24"/>
          <w:szCs w:val="24"/>
          <w:highlight w:val="white"/>
        </w:rPr>
        <w:t>involvement</w:t>
      </w:r>
      <w:r w:rsidRPr="00E66B43">
        <w:rPr>
          <w:sz w:val="24"/>
          <w:szCs w:val="24"/>
          <w:highlight w:val="white"/>
        </w:rPr>
        <w:t xml:space="preserve"> so this will be a dichotomous predictor. The primary outcome is appropriate vs inappropriate antibiotic course at </w:t>
      </w:r>
      <w:r w:rsidR="00E66B43" w:rsidRPr="00E66B43">
        <w:rPr>
          <w:sz w:val="24"/>
          <w:szCs w:val="24"/>
          <w:highlight w:val="white"/>
        </w:rPr>
        <w:t>hospital</w:t>
      </w:r>
      <w:r w:rsidRPr="00E66B43">
        <w:rPr>
          <w:sz w:val="24"/>
          <w:szCs w:val="24"/>
          <w:highlight w:val="white"/>
        </w:rPr>
        <w:t xml:space="preserve"> discharge which is a </w:t>
      </w:r>
      <w:r w:rsidR="00E66B43" w:rsidRPr="00E66B43">
        <w:rPr>
          <w:sz w:val="24"/>
          <w:szCs w:val="24"/>
          <w:highlight w:val="white"/>
        </w:rPr>
        <w:t>dichotomous</w:t>
      </w:r>
      <w:r w:rsidRPr="00E66B43">
        <w:rPr>
          <w:sz w:val="24"/>
          <w:szCs w:val="24"/>
          <w:highlight w:val="white"/>
        </w:rPr>
        <w:t xml:space="preserve"> outcome. Based on this information, a chi-square would be most </w:t>
      </w:r>
      <w:r w:rsidR="00E66B43" w:rsidRPr="00E66B43">
        <w:rPr>
          <w:sz w:val="24"/>
          <w:szCs w:val="24"/>
          <w:highlight w:val="white"/>
        </w:rPr>
        <w:t>appropriate</w:t>
      </w:r>
      <w:r w:rsidRPr="00E66B43">
        <w:rPr>
          <w:sz w:val="24"/>
          <w:szCs w:val="24"/>
          <w:highlight w:val="white"/>
        </w:rPr>
        <w:t xml:space="preserve"> to analyze our outcome. </w:t>
      </w:r>
    </w:p>
    <w:p w14:paraId="6456BDFC" w14:textId="246FAEF4" w:rsidR="00E66B43" w:rsidRPr="00E66B43" w:rsidRDefault="00E66B43" w:rsidP="00E66B43">
      <w:pPr>
        <w:shd w:val="clear" w:color="auto" w:fill="FFFFFF"/>
        <w:spacing w:after="240" w:line="240" w:lineRule="auto"/>
        <w:rPr>
          <w:color w:val="000000" w:themeColor="text1"/>
          <w:sz w:val="24"/>
          <w:szCs w:val="24"/>
          <w:highlight w:val="white"/>
        </w:rPr>
      </w:pPr>
      <w:r>
        <w:rPr>
          <w:color w:val="000000" w:themeColor="text1"/>
          <w:sz w:val="24"/>
          <w:szCs w:val="24"/>
          <w:highlight w:val="white"/>
        </w:rPr>
        <w:t xml:space="preserve">Prior literature was reviewed to help estimate study sample size. </w:t>
      </w:r>
      <w:r w:rsidR="00EC5E6E" w:rsidRPr="00E66B43">
        <w:rPr>
          <w:color w:val="000000" w:themeColor="text1"/>
          <w:sz w:val="24"/>
          <w:szCs w:val="24"/>
          <w:highlight w:val="white"/>
        </w:rPr>
        <w:t>A retrospective cohort study found that hospital discharge antibiotic prescriptions were inappropriate in 79 of the 150 cases (53%) that were reviewed.</w:t>
      </w:r>
      <w:r w:rsidR="00EC5E6E" w:rsidRPr="00E66B43">
        <w:rPr>
          <w:color w:val="000000" w:themeColor="text1"/>
          <w:sz w:val="24"/>
          <w:szCs w:val="24"/>
          <w:highlight w:val="white"/>
          <w:vertAlign w:val="superscript"/>
        </w:rPr>
        <w:t>14</w:t>
      </w:r>
      <w:r w:rsidR="00EC5E6E" w:rsidRPr="00E66B43">
        <w:rPr>
          <w:color w:val="000000" w:themeColor="text1"/>
          <w:sz w:val="24"/>
          <w:szCs w:val="24"/>
          <w:highlight w:val="white"/>
        </w:rPr>
        <w:t xml:space="preserve"> Another retrospective descriptive study that assessed the impact of transitions of care pharmacists have on optimizing antimicrobial use for patients at high risk for mortality at hospital discharge found that of the 1100 patients that were analyzed, interventions on antibiotic therapy at hospital discharge </w:t>
      </w:r>
      <w:r w:rsidR="00EC5E6E" w:rsidRPr="00E66B43">
        <w:rPr>
          <w:color w:val="000000" w:themeColor="text1"/>
          <w:sz w:val="24"/>
          <w:szCs w:val="24"/>
          <w:highlight w:val="white"/>
        </w:rPr>
        <w:lastRenderedPageBreak/>
        <w:t>affected 255 (23.2%) patients.</w:t>
      </w:r>
      <w:r w:rsidR="00EC5E6E" w:rsidRPr="00E66B43">
        <w:rPr>
          <w:color w:val="000000" w:themeColor="text1"/>
          <w:sz w:val="24"/>
          <w:szCs w:val="24"/>
          <w:highlight w:val="white"/>
          <w:vertAlign w:val="superscript"/>
        </w:rPr>
        <w:t xml:space="preserve">5 </w:t>
      </w:r>
      <w:r w:rsidR="00EC5E6E" w:rsidRPr="00E66B43">
        <w:rPr>
          <w:color w:val="000000" w:themeColor="text1"/>
          <w:sz w:val="24"/>
          <w:szCs w:val="24"/>
          <w:highlight w:val="white"/>
        </w:rPr>
        <w:t xml:space="preserve">Based on these findings, our projected sample size to detect a difference of approximately 30% will be 94 patients </w:t>
      </w:r>
    </w:p>
    <w:p w14:paraId="5C4AE07B" w14:textId="7D6344E3" w:rsidR="00EC5E6E" w:rsidRPr="00E66B43" w:rsidRDefault="00EC5E6E" w:rsidP="00E66B43">
      <w:pPr>
        <w:shd w:val="clear" w:color="auto" w:fill="FFFFFF"/>
        <w:spacing w:after="240" w:line="240" w:lineRule="auto"/>
        <w:rPr>
          <w:color w:val="000000" w:themeColor="text1"/>
          <w:sz w:val="24"/>
          <w:szCs w:val="24"/>
          <w:highlight w:val="white"/>
        </w:rPr>
      </w:pPr>
      <w:r w:rsidRPr="00E66B43">
        <w:rPr>
          <w:color w:val="000000" w:themeColor="text1"/>
          <w:sz w:val="24"/>
          <w:szCs w:val="24"/>
          <w:highlight w:val="white"/>
        </w:rPr>
        <w:t xml:space="preserve">With a projected total sample size of 94 patients, the study would have 80% power to detect an absolute risk difference of 30%, using a chi-square test at a two-sided alpha level of 0.05. </w:t>
      </w:r>
    </w:p>
    <w:p w14:paraId="3531BD61" w14:textId="77777777" w:rsidR="006C6D2D" w:rsidRDefault="006C6D2D" w:rsidP="00EC5E6E">
      <w:pPr>
        <w:shd w:val="clear" w:color="auto" w:fill="FFFFFF"/>
        <w:spacing w:after="240" w:line="240" w:lineRule="auto"/>
        <w:rPr>
          <w:sz w:val="24"/>
          <w:szCs w:val="24"/>
        </w:rPr>
      </w:pPr>
      <w:r>
        <w:rPr>
          <w:b/>
          <w:sz w:val="24"/>
          <w:szCs w:val="24"/>
          <w:highlight w:val="white"/>
        </w:rPr>
        <w:t xml:space="preserve">Ethical Considerations: </w:t>
      </w:r>
      <w:r>
        <w:rPr>
          <w:sz w:val="24"/>
          <w:szCs w:val="24"/>
          <w:highlight w:val="white"/>
        </w:rPr>
        <w:t xml:space="preserve">Data collected via chart reviews will have already been part of each patient’s work-up and treatment plan. Once </w:t>
      </w:r>
      <w:proofErr w:type="gramStart"/>
      <w:r>
        <w:rPr>
          <w:sz w:val="24"/>
          <w:szCs w:val="24"/>
          <w:highlight w:val="white"/>
        </w:rPr>
        <w:t>entered into</w:t>
      </w:r>
      <w:proofErr w:type="gramEnd"/>
      <w:r>
        <w:rPr>
          <w:sz w:val="24"/>
          <w:szCs w:val="24"/>
          <w:highlight w:val="white"/>
        </w:rPr>
        <w:t xml:space="preserve"> our data collection tool </w:t>
      </w:r>
      <w:proofErr w:type="spellStart"/>
      <w:r>
        <w:rPr>
          <w:sz w:val="24"/>
          <w:szCs w:val="24"/>
          <w:highlight w:val="white"/>
        </w:rPr>
        <w:t>REDCap</w:t>
      </w:r>
      <w:proofErr w:type="spellEnd"/>
      <w:r>
        <w:rPr>
          <w:sz w:val="24"/>
          <w:szCs w:val="24"/>
          <w:highlight w:val="white"/>
        </w:rPr>
        <w:t>, no identifying information will be utilized.</w:t>
      </w:r>
    </w:p>
    <w:p w14:paraId="503AF200" w14:textId="77777777" w:rsidR="006C6D2D" w:rsidRDefault="006C6D2D" w:rsidP="00EC5E6E">
      <w:pPr>
        <w:spacing w:line="240" w:lineRule="auto"/>
        <w:rPr>
          <w:sz w:val="24"/>
          <w:szCs w:val="24"/>
        </w:rPr>
      </w:pPr>
    </w:p>
    <w:p w14:paraId="35B52CD1" w14:textId="44117A94" w:rsidR="00117527" w:rsidRDefault="006C6D2D" w:rsidP="00EC5E6E">
      <w:pPr>
        <w:spacing w:line="240" w:lineRule="auto"/>
        <w:rPr>
          <w:b/>
          <w:sz w:val="24"/>
          <w:szCs w:val="24"/>
        </w:rPr>
      </w:pPr>
      <w:r>
        <w:rPr>
          <w:b/>
          <w:sz w:val="24"/>
          <w:szCs w:val="24"/>
        </w:rPr>
        <w:t>References</w:t>
      </w:r>
    </w:p>
    <w:p w14:paraId="6D9862D2" w14:textId="0A13F114" w:rsidR="00EC5E6E" w:rsidRDefault="00EC5E6E" w:rsidP="00EC5E6E">
      <w:pPr>
        <w:spacing w:line="240" w:lineRule="auto"/>
        <w:rPr>
          <w:b/>
          <w:sz w:val="24"/>
          <w:szCs w:val="24"/>
        </w:rPr>
      </w:pPr>
    </w:p>
    <w:p w14:paraId="34967C70" w14:textId="77777777" w:rsidR="00EC5E6E" w:rsidRPr="00E66B43" w:rsidRDefault="00EC5E6E" w:rsidP="00EC5E6E">
      <w:pPr>
        <w:numPr>
          <w:ilvl w:val="0"/>
          <w:numId w:val="6"/>
        </w:numPr>
        <w:spacing w:line="240" w:lineRule="auto"/>
        <w:rPr>
          <w:sz w:val="24"/>
          <w:szCs w:val="24"/>
          <w:highlight w:val="white"/>
        </w:rPr>
      </w:pPr>
      <w:r w:rsidRPr="00E66B43">
        <w:rPr>
          <w:sz w:val="24"/>
          <w:szCs w:val="24"/>
          <w:highlight w:val="white"/>
        </w:rPr>
        <w:t>CDC. Antibiotic-resistant germs: new threats. Centers for Disease Control and Prevention.</w:t>
      </w:r>
    </w:p>
    <w:p w14:paraId="0C30B785" w14:textId="77777777" w:rsidR="00EC5E6E" w:rsidRPr="00E66B43" w:rsidRDefault="00EC5E6E" w:rsidP="00EC5E6E">
      <w:pPr>
        <w:numPr>
          <w:ilvl w:val="0"/>
          <w:numId w:val="6"/>
        </w:numPr>
        <w:spacing w:line="240" w:lineRule="auto"/>
        <w:rPr>
          <w:sz w:val="24"/>
          <w:szCs w:val="24"/>
          <w:highlight w:val="white"/>
        </w:rPr>
      </w:pPr>
      <w:proofErr w:type="spellStart"/>
      <w:r w:rsidRPr="00E66B43">
        <w:rPr>
          <w:sz w:val="24"/>
          <w:szCs w:val="24"/>
          <w:highlight w:val="white"/>
        </w:rPr>
        <w:t>Llor</w:t>
      </w:r>
      <w:proofErr w:type="spellEnd"/>
      <w:r w:rsidRPr="00E66B43">
        <w:rPr>
          <w:sz w:val="24"/>
          <w:szCs w:val="24"/>
          <w:highlight w:val="white"/>
        </w:rPr>
        <w:t xml:space="preserve"> C, Bjerrum L. Antimicrobial resistance: risk associated with antibiotic overuse and initiatives to reduce the problem. </w:t>
      </w:r>
      <w:proofErr w:type="spellStart"/>
      <w:r w:rsidRPr="00E66B43">
        <w:rPr>
          <w:sz w:val="24"/>
          <w:szCs w:val="24"/>
          <w:highlight w:val="white"/>
        </w:rPr>
        <w:t>Ther</w:t>
      </w:r>
      <w:proofErr w:type="spellEnd"/>
      <w:r w:rsidRPr="00E66B43">
        <w:rPr>
          <w:sz w:val="24"/>
          <w:szCs w:val="24"/>
          <w:highlight w:val="white"/>
        </w:rPr>
        <w:t xml:space="preserve"> Adv Drug </w:t>
      </w:r>
      <w:proofErr w:type="spellStart"/>
      <w:r w:rsidRPr="00E66B43">
        <w:rPr>
          <w:sz w:val="24"/>
          <w:szCs w:val="24"/>
          <w:highlight w:val="white"/>
        </w:rPr>
        <w:t>Saf</w:t>
      </w:r>
      <w:proofErr w:type="spellEnd"/>
      <w:r w:rsidRPr="00E66B43">
        <w:rPr>
          <w:sz w:val="24"/>
          <w:szCs w:val="24"/>
          <w:highlight w:val="white"/>
        </w:rPr>
        <w:t>. 2014;5(6):229-241.</w:t>
      </w:r>
    </w:p>
    <w:p w14:paraId="43FD3332" w14:textId="77777777" w:rsidR="00EC5E6E" w:rsidRPr="00E66B43" w:rsidRDefault="00EC5E6E" w:rsidP="00EC5E6E">
      <w:pPr>
        <w:numPr>
          <w:ilvl w:val="0"/>
          <w:numId w:val="6"/>
        </w:numPr>
        <w:spacing w:line="240" w:lineRule="auto"/>
        <w:rPr>
          <w:sz w:val="24"/>
          <w:szCs w:val="24"/>
          <w:highlight w:val="white"/>
        </w:rPr>
      </w:pPr>
      <w:r w:rsidRPr="00E66B43">
        <w:rPr>
          <w:sz w:val="24"/>
          <w:szCs w:val="24"/>
          <w:highlight w:val="white"/>
        </w:rPr>
        <w:t>Fleming-Dutra KE, Hersh AL, Shapiro DJ, et al. Prevalence of inappropriate antibiotic prescriptions among us ambulatory care visits, 2010-2011. JAMA. 2016;315(17):1864-1873.</w:t>
      </w:r>
    </w:p>
    <w:p w14:paraId="63A1E2BF" w14:textId="77777777" w:rsidR="00EC5E6E" w:rsidRPr="00E66B43" w:rsidRDefault="00EC5E6E" w:rsidP="00EC5E6E">
      <w:pPr>
        <w:numPr>
          <w:ilvl w:val="0"/>
          <w:numId w:val="6"/>
        </w:numPr>
        <w:spacing w:line="240" w:lineRule="auto"/>
        <w:rPr>
          <w:sz w:val="24"/>
          <w:szCs w:val="24"/>
          <w:highlight w:val="white"/>
        </w:rPr>
      </w:pPr>
      <w:proofErr w:type="spellStart"/>
      <w:r w:rsidRPr="00E66B43">
        <w:rPr>
          <w:sz w:val="24"/>
          <w:szCs w:val="24"/>
          <w:highlight w:val="white"/>
        </w:rPr>
        <w:t>Dellit</w:t>
      </w:r>
      <w:proofErr w:type="spellEnd"/>
      <w:r w:rsidRPr="00E66B43">
        <w:rPr>
          <w:sz w:val="24"/>
          <w:szCs w:val="24"/>
          <w:highlight w:val="white"/>
        </w:rPr>
        <w:t xml:space="preserve"> TH, Owens RC, McGowan </w:t>
      </w:r>
      <w:proofErr w:type="spellStart"/>
      <w:r w:rsidRPr="00E66B43">
        <w:rPr>
          <w:sz w:val="24"/>
          <w:szCs w:val="24"/>
          <w:highlight w:val="white"/>
        </w:rPr>
        <w:t>JEJr</w:t>
      </w:r>
      <w:proofErr w:type="spellEnd"/>
      <w:r w:rsidRPr="00E66B43">
        <w:rPr>
          <w:sz w:val="24"/>
          <w:szCs w:val="24"/>
          <w:highlight w:val="white"/>
        </w:rPr>
        <w:t xml:space="preserve">, et al. Infectious Diseases Society of America and the Society for Healthcare Epidemiology of America guidelines for developing an institutional program to enhance antimicrobial stewardship. Clin Infect Dis </w:t>
      </w:r>
      <w:proofErr w:type="gramStart"/>
      <w:r w:rsidRPr="00E66B43">
        <w:rPr>
          <w:sz w:val="24"/>
          <w:szCs w:val="24"/>
          <w:highlight w:val="white"/>
        </w:rPr>
        <w:t>2007;44:159</w:t>
      </w:r>
      <w:proofErr w:type="gramEnd"/>
      <w:r w:rsidRPr="00E66B43">
        <w:rPr>
          <w:sz w:val="24"/>
          <w:szCs w:val="24"/>
          <w:highlight w:val="white"/>
        </w:rPr>
        <w:t>-77</w:t>
      </w:r>
    </w:p>
    <w:p w14:paraId="5484B491" w14:textId="77777777" w:rsidR="00EC5E6E" w:rsidRPr="00E66B43" w:rsidRDefault="00EC5E6E" w:rsidP="00EC5E6E">
      <w:pPr>
        <w:numPr>
          <w:ilvl w:val="0"/>
          <w:numId w:val="6"/>
        </w:numPr>
        <w:spacing w:line="240" w:lineRule="auto"/>
        <w:rPr>
          <w:sz w:val="24"/>
          <w:szCs w:val="24"/>
          <w:highlight w:val="white"/>
        </w:rPr>
      </w:pPr>
      <w:proofErr w:type="spellStart"/>
      <w:r w:rsidRPr="00E66B43">
        <w:rPr>
          <w:sz w:val="24"/>
          <w:szCs w:val="24"/>
          <w:highlight w:val="white"/>
        </w:rPr>
        <w:t>Leja</w:t>
      </w:r>
      <w:proofErr w:type="spellEnd"/>
      <w:r w:rsidRPr="00E66B43">
        <w:rPr>
          <w:sz w:val="24"/>
          <w:szCs w:val="24"/>
          <w:highlight w:val="white"/>
        </w:rPr>
        <w:t xml:space="preserve"> N, Collins CD, </w:t>
      </w:r>
      <w:proofErr w:type="spellStart"/>
      <w:r w:rsidRPr="00E66B43">
        <w:rPr>
          <w:sz w:val="24"/>
          <w:szCs w:val="24"/>
          <w:highlight w:val="white"/>
        </w:rPr>
        <w:t>Duker</w:t>
      </w:r>
      <w:proofErr w:type="spellEnd"/>
      <w:r w:rsidRPr="00E66B43">
        <w:rPr>
          <w:sz w:val="24"/>
          <w:szCs w:val="24"/>
          <w:highlight w:val="white"/>
        </w:rPr>
        <w:t xml:space="preserve"> J. Antimicrobial stewardship by transitions of care pharmacists at hospital discharge. Hosp Pharm. Published online August 19, 2020:0018578720951170.</w:t>
      </w:r>
    </w:p>
    <w:p w14:paraId="02101032" w14:textId="77777777" w:rsidR="00EC5E6E" w:rsidRPr="00E66B43" w:rsidRDefault="00EC5E6E" w:rsidP="00EC5E6E">
      <w:pPr>
        <w:numPr>
          <w:ilvl w:val="0"/>
          <w:numId w:val="6"/>
        </w:numPr>
        <w:spacing w:line="240" w:lineRule="auto"/>
        <w:rPr>
          <w:sz w:val="24"/>
          <w:szCs w:val="24"/>
          <w:highlight w:val="white"/>
        </w:rPr>
      </w:pPr>
      <w:proofErr w:type="spellStart"/>
      <w:r w:rsidRPr="00E66B43">
        <w:rPr>
          <w:sz w:val="24"/>
          <w:szCs w:val="24"/>
          <w:highlight w:val="white"/>
        </w:rPr>
        <w:t>Scarpato</w:t>
      </w:r>
      <w:proofErr w:type="spellEnd"/>
      <w:r w:rsidRPr="00E66B43">
        <w:rPr>
          <w:sz w:val="24"/>
          <w:szCs w:val="24"/>
          <w:highlight w:val="white"/>
        </w:rPr>
        <w:t xml:space="preserve"> SJ, Timko DR, </w:t>
      </w:r>
      <w:proofErr w:type="spellStart"/>
      <w:r w:rsidRPr="00E66B43">
        <w:rPr>
          <w:sz w:val="24"/>
          <w:szCs w:val="24"/>
          <w:highlight w:val="white"/>
        </w:rPr>
        <w:t>Cluzet</w:t>
      </w:r>
      <w:proofErr w:type="spellEnd"/>
      <w:r w:rsidRPr="00E66B43">
        <w:rPr>
          <w:sz w:val="24"/>
          <w:szCs w:val="24"/>
          <w:highlight w:val="white"/>
        </w:rPr>
        <w:t xml:space="preserve"> VC, et al. An evaluation of antibiotic prescribing practices upon hospital discharge. Infect Control Hosp Epidemiol. 2017;38(3):353-355.</w:t>
      </w:r>
    </w:p>
    <w:p w14:paraId="3D4A08C2" w14:textId="77777777" w:rsidR="00EC5E6E" w:rsidRPr="00E66B43" w:rsidRDefault="00EC5E6E" w:rsidP="00EC5E6E">
      <w:pPr>
        <w:numPr>
          <w:ilvl w:val="0"/>
          <w:numId w:val="6"/>
        </w:numPr>
        <w:spacing w:line="240" w:lineRule="auto"/>
        <w:rPr>
          <w:sz w:val="24"/>
          <w:szCs w:val="24"/>
          <w:highlight w:val="white"/>
        </w:rPr>
      </w:pPr>
      <w:proofErr w:type="spellStart"/>
      <w:r w:rsidRPr="00E66B43">
        <w:rPr>
          <w:sz w:val="24"/>
          <w:szCs w:val="24"/>
          <w:highlight w:val="white"/>
        </w:rPr>
        <w:t>Yogo</w:t>
      </w:r>
      <w:proofErr w:type="spellEnd"/>
      <w:r w:rsidRPr="00E66B43">
        <w:rPr>
          <w:sz w:val="24"/>
          <w:szCs w:val="24"/>
          <w:highlight w:val="white"/>
        </w:rPr>
        <w:t xml:space="preserve"> N, </w:t>
      </w:r>
      <w:proofErr w:type="spellStart"/>
      <w:r w:rsidRPr="00E66B43">
        <w:rPr>
          <w:sz w:val="24"/>
          <w:szCs w:val="24"/>
          <w:highlight w:val="white"/>
        </w:rPr>
        <w:t>Shihadeh</w:t>
      </w:r>
      <w:proofErr w:type="spellEnd"/>
      <w:r w:rsidRPr="00E66B43">
        <w:rPr>
          <w:sz w:val="24"/>
          <w:szCs w:val="24"/>
          <w:highlight w:val="white"/>
        </w:rPr>
        <w:t xml:space="preserve"> K, Young H, et al. Intervention to reduce broad-spectrum antibiotics and treatment durations prescribed at the time of hospital discharge: a novel stewardship approach. Infect Control Hosp Epidemiol. 2017;38(5):534-541.</w:t>
      </w:r>
    </w:p>
    <w:p w14:paraId="5C3ED5F7" w14:textId="77777777" w:rsidR="00EC5E6E" w:rsidRPr="00E66B43" w:rsidRDefault="00EC5E6E" w:rsidP="00EC5E6E">
      <w:pPr>
        <w:numPr>
          <w:ilvl w:val="0"/>
          <w:numId w:val="6"/>
        </w:numPr>
        <w:spacing w:line="240" w:lineRule="auto"/>
        <w:rPr>
          <w:sz w:val="24"/>
          <w:szCs w:val="24"/>
          <w:highlight w:val="white"/>
        </w:rPr>
      </w:pPr>
      <w:proofErr w:type="spellStart"/>
      <w:r w:rsidRPr="00E66B43">
        <w:rPr>
          <w:sz w:val="24"/>
          <w:szCs w:val="24"/>
          <w:highlight w:val="white"/>
        </w:rPr>
        <w:t>Baggs</w:t>
      </w:r>
      <w:proofErr w:type="spellEnd"/>
      <w:r w:rsidRPr="00E66B43">
        <w:rPr>
          <w:sz w:val="24"/>
          <w:szCs w:val="24"/>
          <w:highlight w:val="white"/>
        </w:rPr>
        <w:t xml:space="preserve"> J, </w:t>
      </w:r>
      <w:proofErr w:type="spellStart"/>
      <w:r w:rsidRPr="00E66B43">
        <w:rPr>
          <w:sz w:val="24"/>
          <w:szCs w:val="24"/>
          <w:highlight w:val="white"/>
        </w:rPr>
        <w:t>Fridkin</w:t>
      </w:r>
      <w:proofErr w:type="spellEnd"/>
      <w:r w:rsidRPr="00E66B43">
        <w:rPr>
          <w:sz w:val="24"/>
          <w:szCs w:val="24"/>
          <w:highlight w:val="white"/>
        </w:rPr>
        <w:t xml:space="preserve"> SK, Pollack LA, Srinivasan A, Jernigan JA. Estimating national trends in inpatient antibiotic use among US hospitals from 2006 to 2012. JAMA Int Med. 2016;176(11):1639-1648.</w:t>
      </w:r>
    </w:p>
    <w:p w14:paraId="71A34D41" w14:textId="77777777" w:rsidR="00EC5E6E" w:rsidRPr="00E66B43" w:rsidRDefault="00EC5E6E" w:rsidP="00EC5E6E">
      <w:pPr>
        <w:numPr>
          <w:ilvl w:val="0"/>
          <w:numId w:val="6"/>
        </w:numPr>
        <w:spacing w:line="240" w:lineRule="auto"/>
        <w:rPr>
          <w:sz w:val="24"/>
          <w:szCs w:val="24"/>
          <w:highlight w:val="white"/>
        </w:rPr>
      </w:pPr>
      <w:r w:rsidRPr="00E66B43">
        <w:rPr>
          <w:sz w:val="24"/>
          <w:szCs w:val="24"/>
          <w:highlight w:val="white"/>
        </w:rPr>
        <w:t>Weber BR, Noble BN, Bearden DT, et al. Antibiotic prescribing upon discharge from the hospital to long-term care facilities: implications for antimicrobial stewardship requirements in post-acute settings. Infect Control Hosp Epidemiology. 2019;40(1):18-23.</w:t>
      </w:r>
    </w:p>
    <w:p w14:paraId="20D79F5E" w14:textId="77777777" w:rsidR="00EC5E6E" w:rsidRPr="00E66B43" w:rsidRDefault="00EC5E6E" w:rsidP="00EC5E6E">
      <w:pPr>
        <w:numPr>
          <w:ilvl w:val="0"/>
          <w:numId w:val="6"/>
        </w:numPr>
        <w:spacing w:line="240" w:lineRule="auto"/>
        <w:rPr>
          <w:sz w:val="24"/>
          <w:szCs w:val="24"/>
          <w:highlight w:val="white"/>
        </w:rPr>
      </w:pPr>
      <w:r w:rsidRPr="00E66B43">
        <w:rPr>
          <w:sz w:val="24"/>
          <w:szCs w:val="24"/>
          <w:highlight w:val="white"/>
        </w:rPr>
        <w:t>File TM, Srinivasan A, Bartlett JG. Antimicrobial stewardship: importance for patient and public health. Clin Infect Dis 2014;</w:t>
      </w:r>
      <w:proofErr w:type="gramStart"/>
      <w:r w:rsidRPr="00E66B43">
        <w:rPr>
          <w:sz w:val="24"/>
          <w:szCs w:val="24"/>
          <w:highlight w:val="white"/>
        </w:rPr>
        <w:t>59:S</w:t>
      </w:r>
      <w:proofErr w:type="gramEnd"/>
      <w:r w:rsidRPr="00E66B43">
        <w:rPr>
          <w:sz w:val="24"/>
          <w:szCs w:val="24"/>
          <w:highlight w:val="white"/>
        </w:rPr>
        <w:t xml:space="preserve">93–S96.                                               </w:t>
      </w:r>
    </w:p>
    <w:p w14:paraId="0B098A3B" w14:textId="77777777" w:rsidR="00EC5E6E" w:rsidRPr="00E66B43" w:rsidRDefault="00EC5E6E" w:rsidP="00EC5E6E">
      <w:pPr>
        <w:numPr>
          <w:ilvl w:val="0"/>
          <w:numId w:val="6"/>
        </w:numPr>
        <w:spacing w:line="240" w:lineRule="auto"/>
        <w:rPr>
          <w:sz w:val="24"/>
          <w:szCs w:val="24"/>
          <w:highlight w:val="white"/>
        </w:rPr>
      </w:pPr>
      <w:proofErr w:type="spellStart"/>
      <w:r w:rsidRPr="00E66B43">
        <w:rPr>
          <w:sz w:val="24"/>
          <w:szCs w:val="24"/>
          <w:highlight w:val="white"/>
        </w:rPr>
        <w:t>Dellit</w:t>
      </w:r>
      <w:proofErr w:type="spellEnd"/>
      <w:r w:rsidRPr="00E66B43">
        <w:rPr>
          <w:sz w:val="24"/>
          <w:szCs w:val="24"/>
          <w:highlight w:val="white"/>
        </w:rPr>
        <w:t xml:space="preserve"> TH, Owens RC, McGowan JE, et al. Infectious Diseases Society of America and the Society for Healthcare Epidemiology of America guidelines for </w:t>
      </w:r>
      <w:r w:rsidRPr="00E66B43">
        <w:rPr>
          <w:sz w:val="24"/>
          <w:szCs w:val="24"/>
          <w:highlight w:val="white"/>
        </w:rPr>
        <w:lastRenderedPageBreak/>
        <w:t xml:space="preserve">developing an institutional program to enhance antimicrobial stewardship. Clin Infect Dis </w:t>
      </w:r>
      <w:proofErr w:type="gramStart"/>
      <w:r w:rsidRPr="00E66B43">
        <w:rPr>
          <w:sz w:val="24"/>
          <w:szCs w:val="24"/>
          <w:highlight w:val="white"/>
        </w:rPr>
        <w:t>2007;44:159</w:t>
      </w:r>
      <w:proofErr w:type="gramEnd"/>
      <w:r w:rsidRPr="00E66B43">
        <w:rPr>
          <w:sz w:val="24"/>
          <w:szCs w:val="24"/>
          <w:highlight w:val="white"/>
        </w:rPr>
        <w:t xml:space="preserve">–177.       </w:t>
      </w:r>
    </w:p>
    <w:p w14:paraId="0808ABF0" w14:textId="77777777" w:rsidR="00EC5E6E" w:rsidRPr="00E66B43" w:rsidRDefault="00EC5E6E" w:rsidP="00EC5E6E">
      <w:pPr>
        <w:numPr>
          <w:ilvl w:val="0"/>
          <w:numId w:val="6"/>
        </w:numPr>
        <w:pBdr>
          <w:top w:val="nil"/>
          <w:left w:val="nil"/>
          <w:bottom w:val="nil"/>
          <w:right w:val="nil"/>
          <w:between w:val="nil"/>
        </w:pBdr>
        <w:spacing w:line="240" w:lineRule="auto"/>
        <w:rPr>
          <w:sz w:val="24"/>
          <w:szCs w:val="24"/>
          <w:highlight w:val="white"/>
        </w:rPr>
      </w:pPr>
      <w:r w:rsidRPr="00E66B43">
        <w:rPr>
          <w:sz w:val="24"/>
          <w:szCs w:val="24"/>
          <w:highlight w:val="white"/>
        </w:rPr>
        <w:t xml:space="preserve">Truong WR, </w:t>
      </w:r>
      <w:proofErr w:type="spellStart"/>
      <w:r w:rsidRPr="00E66B43">
        <w:rPr>
          <w:sz w:val="24"/>
          <w:szCs w:val="24"/>
          <w:highlight w:val="white"/>
        </w:rPr>
        <w:t>Yamaki</w:t>
      </w:r>
      <w:proofErr w:type="spellEnd"/>
      <w:r w:rsidRPr="00E66B43">
        <w:rPr>
          <w:sz w:val="24"/>
          <w:szCs w:val="24"/>
          <w:highlight w:val="white"/>
        </w:rPr>
        <w:t xml:space="preserve"> J. The hospital antimicrobial use process: from beginning to end. Open Forum Infectious Diseases. 2018;5(6).</w:t>
      </w:r>
    </w:p>
    <w:p w14:paraId="4FB8D9FF" w14:textId="77777777" w:rsidR="00EC5E6E" w:rsidRPr="00E66B43" w:rsidRDefault="00EC5E6E" w:rsidP="00EC5E6E">
      <w:pPr>
        <w:numPr>
          <w:ilvl w:val="0"/>
          <w:numId w:val="6"/>
        </w:numPr>
        <w:pBdr>
          <w:top w:val="nil"/>
          <w:left w:val="nil"/>
          <w:bottom w:val="nil"/>
          <w:right w:val="nil"/>
          <w:between w:val="nil"/>
        </w:pBdr>
        <w:spacing w:line="240" w:lineRule="auto"/>
        <w:rPr>
          <w:sz w:val="24"/>
          <w:szCs w:val="24"/>
          <w:highlight w:val="white"/>
        </w:rPr>
      </w:pPr>
      <w:r w:rsidRPr="00E66B43">
        <w:rPr>
          <w:sz w:val="24"/>
          <w:szCs w:val="24"/>
          <w:highlight w:val="white"/>
        </w:rPr>
        <w:t xml:space="preserve">Evans SR, Rubin D, </w:t>
      </w:r>
      <w:proofErr w:type="spellStart"/>
      <w:r w:rsidRPr="00E66B43">
        <w:rPr>
          <w:sz w:val="24"/>
          <w:szCs w:val="24"/>
          <w:highlight w:val="white"/>
        </w:rPr>
        <w:t>Follmann</w:t>
      </w:r>
      <w:proofErr w:type="spellEnd"/>
      <w:r w:rsidRPr="00E66B43">
        <w:rPr>
          <w:sz w:val="24"/>
          <w:szCs w:val="24"/>
          <w:highlight w:val="white"/>
        </w:rPr>
        <w:t xml:space="preserve"> D, et al. Desirability of outcome ranking (Door) and response adjusted for duration of antibiotic </w:t>
      </w:r>
      <w:proofErr w:type="gramStart"/>
      <w:r w:rsidRPr="00E66B43">
        <w:rPr>
          <w:sz w:val="24"/>
          <w:szCs w:val="24"/>
          <w:highlight w:val="white"/>
        </w:rPr>
        <w:t>risk(</w:t>
      </w:r>
      <w:proofErr w:type="gramEnd"/>
      <w:r w:rsidRPr="00E66B43">
        <w:rPr>
          <w:sz w:val="24"/>
          <w:szCs w:val="24"/>
          <w:highlight w:val="white"/>
        </w:rPr>
        <w:t>Radar). Clin Infect Dis. 2015;61(5):800-806.</w:t>
      </w:r>
    </w:p>
    <w:p w14:paraId="018FF43E" w14:textId="77777777" w:rsidR="00EC5E6E" w:rsidRPr="00E66B43" w:rsidRDefault="00EC5E6E" w:rsidP="00EC5E6E">
      <w:pPr>
        <w:numPr>
          <w:ilvl w:val="0"/>
          <w:numId w:val="6"/>
        </w:numPr>
        <w:pBdr>
          <w:top w:val="nil"/>
          <w:left w:val="nil"/>
          <w:bottom w:val="nil"/>
          <w:right w:val="nil"/>
          <w:between w:val="nil"/>
        </w:pBdr>
        <w:spacing w:line="240" w:lineRule="auto"/>
        <w:rPr>
          <w:sz w:val="24"/>
          <w:szCs w:val="24"/>
          <w:highlight w:val="white"/>
        </w:rPr>
      </w:pPr>
      <w:proofErr w:type="spellStart"/>
      <w:r w:rsidRPr="00E66B43">
        <w:rPr>
          <w:sz w:val="24"/>
          <w:szCs w:val="24"/>
          <w:highlight w:val="white"/>
        </w:rPr>
        <w:t>Yogo</w:t>
      </w:r>
      <w:proofErr w:type="spellEnd"/>
      <w:r w:rsidRPr="00E66B43">
        <w:rPr>
          <w:sz w:val="24"/>
          <w:szCs w:val="24"/>
          <w:highlight w:val="white"/>
        </w:rPr>
        <w:t xml:space="preserve"> N, Haas MK, Knepper BC, Burman WJ, </w:t>
      </w:r>
      <w:proofErr w:type="spellStart"/>
      <w:r w:rsidRPr="00E66B43">
        <w:rPr>
          <w:sz w:val="24"/>
          <w:szCs w:val="24"/>
          <w:highlight w:val="white"/>
        </w:rPr>
        <w:t>Mehler</w:t>
      </w:r>
      <w:proofErr w:type="spellEnd"/>
      <w:r w:rsidRPr="00E66B43">
        <w:rPr>
          <w:sz w:val="24"/>
          <w:szCs w:val="24"/>
          <w:highlight w:val="white"/>
        </w:rPr>
        <w:t xml:space="preserve"> PS, Jenkins TC. Antibiotic prescribing at the transition from hospitalization to discharge: a target for antibiotic stewardship. Infect Control Hosp Epidemiol. 2015;36(4):474-478.</w:t>
      </w:r>
    </w:p>
    <w:p w14:paraId="0A999185" w14:textId="77777777" w:rsidR="00EC5E6E" w:rsidRPr="00E66B43" w:rsidRDefault="00EC5E6E" w:rsidP="00EC5E6E">
      <w:pPr>
        <w:pBdr>
          <w:top w:val="nil"/>
          <w:left w:val="nil"/>
          <w:bottom w:val="nil"/>
          <w:right w:val="nil"/>
          <w:between w:val="nil"/>
        </w:pBdr>
        <w:spacing w:line="240" w:lineRule="auto"/>
        <w:rPr>
          <w:sz w:val="24"/>
          <w:szCs w:val="24"/>
          <w:highlight w:val="white"/>
        </w:rPr>
      </w:pPr>
    </w:p>
    <w:p w14:paraId="3A143733" w14:textId="77777777" w:rsidR="00EC5E6E" w:rsidRPr="00E66B43" w:rsidRDefault="00EC5E6E" w:rsidP="00EC5E6E">
      <w:pPr>
        <w:spacing w:line="240" w:lineRule="auto"/>
        <w:rPr>
          <w:sz w:val="24"/>
          <w:szCs w:val="24"/>
          <w:highlight w:val="white"/>
        </w:rPr>
      </w:pPr>
    </w:p>
    <w:sectPr w:rsidR="00EC5E6E" w:rsidRPr="00E66B43" w:rsidSect="007901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B337" w14:textId="77777777" w:rsidR="00557E63" w:rsidRDefault="00557E63" w:rsidP="006C6D2D">
      <w:pPr>
        <w:spacing w:line="240" w:lineRule="auto"/>
      </w:pPr>
      <w:r>
        <w:separator/>
      </w:r>
    </w:p>
  </w:endnote>
  <w:endnote w:type="continuationSeparator" w:id="0">
    <w:p w14:paraId="14F17DAC" w14:textId="77777777" w:rsidR="00557E63" w:rsidRDefault="00557E63" w:rsidP="006C6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5FFA" w14:textId="77777777" w:rsidR="00E66B43" w:rsidRDefault="00E66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040C" w14:textId="77777777" w:rsidR="00E66B43" w:rsidRDefault="00E66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38A9" w14:textId="77777777" w:rsidR="00E66B43" w:rsidRDefault="00E6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044A" w14:textId="77777777" w:rsidR="00557E63" w:rsidRDefault="00557E63" w:rsidP="006C6D2D">
      <w:pPr>
        <w:spacing w:line="240" w:lineRule="auto"/>
      </w:pPr>
      <w:r>
        <w:separator/>
      </w:r>
    </w:p>
  </w:footnote>
  <w:footnote w:type="continuationSeparator" w:id="0">
    <w:p w14:paraId="5C1966C0" w14:textId="77777777" w:rsidR="00557E63" w:rsidRDefault="00557E63" w:rsidP="006C6D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A884" w14:textId="77777777" w:rsidR="00E66B43" w:rsidRDefault="00E66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35B6" w14:textId="05F3A9E6" w:rsidR="006C6D2D" w:rsidRPr="00E66B43" w:rsidRDefault="006C6D2D" w:rsidP="006C6D2D">
    <w:pPr>
      <w:pStyle w:val="Header"/>
      <w:jc w:val="right"/>
      <w:rPr>
        <w:color w:val="000000" w:themeColor="text1"/>
        <w:sz w:val="24"/>
        <w:szCs w:val="24"/>
      </w:rPr>
    </w:pPr>
    <w:proofErr w:type="spellStart"/>
    <w:r w:rsidRPr="00E66B43">
      <w:rPr>
        <w:color w:val="000000" w:themeColor="text1"/>
        <w:sz w:val="24"/>
        <w:szCs w:val="24"/>
      </w:rPr>
      <w:t>Ahmi</w:t>
    </w:r>
    <w:proofErr w:type="spellEnd"/>
    <w:r w:rsidRPr="00E66B43">
      <w:rPr>
        <w:color w:val="000000" w:themeColor="text1"/>
        <w:sz w:val="24"/>
        <w:szCs w:val="24"/>
      </w:rPr>
      <w:t xml:space="preserve"> Lim </w:t>
    </w:r>
  </w:p>
  <w:p w14:paraId="6FC98217" w14:textId="457D2FC7" w:rsidR="006C6D2D" w:rsidRPr="00E66B43" w:rsidRDefault="006C6D2D" w:rsidP="006C6D2D">
    <w:pPr>
      <w:pStyle w:val="Header"/>
      <w:jc w:val="right"/>
      <w:rPr>
        <w:color w:val="000000" w:themeColor="text1"/>
        <w:sz w:val="24"/>
        <w:szCs w:val="24"/>
      </w:rPr>
    </w:pPr>
    <w:r w:rsidRPr="00E66B43">
      <w:rPr>
        <w:color w:val="000000" w:themeColor="text1"/>
        <w:sz w:val="24"/>
        <w:szCs w:val="24"/>
      </w:rPr>
      <w:t xml:space="preserve">Section Leader: Jeff </w:t>
    </w:r>
    <w:proofErr w:type="spellStart"/>
    <w:r w:rsidRPr="00E66B43">
      <w:rPr>
        <w:color w:val="000000" w:themeColor="text1"/>
        <w:sz w:val="24"/>
        <w:szCs w:val="24"/>
      </w:rPr>
      <w:t>Kohlwes</w:t>
    </w:r>
    <w:proofErr w:type="spellEnd"/>
    <w:r w:rsidRPr="00E66B43">
      <w:rPr>
        <w:color w:val="000000" w:themeColor="text1"/>
        <w:sz w:val="24"/>
        <w:szCs w:val="24"/>
      </w:rPr>
      <w:t>, MD</w:t>
    </w:r>
  </w:p>
  <w:p w14:paraId="05E2AA74" w14:textId="77777777" w:rsidR="006C6D2D" w:rsidRPr="00E66B43" w:rsidRDefault="006C6D2D">
    <w:pPr>
      <w:pStyle w:val="Header"/>
      <w:rPr>
        <w:color w:val="000000" w:themeColor="text1"/>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D27A" w14:textId="77777777" w:rsidR="00E66B43" w:rsidRDefault="00E66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316D"/>
    <w:multiLevelType w:val="multilevel"/>
    <w:tmpl w:val="D35ACDE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6C6785"/>
    <w:multiLevelType w:val="hybridMultilevel"/>
    <w:tmpl w:val="57D88676"/>
    <w:lvl w:ilvl="0" w:tplc="CF349AFC">
      <w:numFmt w:val="bullet"/>
      <w:lvlText w:val=""/>
      <w:lvlJc w:val="left"/>
      <w:pPr>
        <w:ind w:left="720" w:hanging="360"/>
      </w:pPr>
      <w:rPr>
        <w:rFonts w:ascii="Symbol" w:eastAsia="Arial"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33559"/>
    <w:multiLevelType w:val="multilevel"/>
    <w:tmpl w:val="A13E7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E677EC"/>
    <w:multiLevelType w:val="multilevel"/>
    <w:tmpl w:val="EE328A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4A0C7085"/>
    <w:multiLevelType w:val="multilevel"/>
    <w:tmpl w:val="C6CE53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07805C5"/>
    <w:multiLevelType w:val="multilevel"/>
    <w:tmpl w:val="1BE4569E"/>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2D"/>
    <w:rsid w:val="004511BD"/>
    <w:rsid w:val="004C333A"/>
    <w:rsid w:val="00557E63"/>
    <w:rsid w:val="006C6D2D"/>
    <w:rsid w:val="007901F7"/>
    <w:rsid w:val="00B55E85"/>
    <w:rsid w:val="00CC50B4"/>
    <w:rsid w:val="00E66B43"/>
    <w:rsid w:val="00EC5E6E"/>
    <w:rsid w:val="00F370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4E6D"/>
  <w15:chartTrackingRefBased/>
  <w15:docId w15:val="{54FC1EA3-F828-F048-9EC3-32BDA016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2D"/>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D2D"/>
    <w:pPr>
      <w:tabs>
        <w:tab w:val="center" w:pos="4680"/>
        <w:tab w:val="right" w:pos="9360"/>
      </w:tabs>
      <w:spacing w:line="240" w:lineRule="auto"/>
    </w:pPr>
  </w:style>
  <w:style w:type="character" w:customStyle="1" w:styleId="HeaderChar">
    <w:name w:val="Header Char"/>
    <w:basedOn w:val="DefaultParagraphFont"/>
    <w:link w:val="Header"/>
    <w:uiPriority w:val="99"/>
    <w:rsid w:val="006C6D2D"/>
    <w:rPr>
      <w:rFonts w:ascii="Arial" w:eastAsia="Arial" w:hAnsi="Arial" w:cs="Arial"/>
      <w:sz w:val="22"/>
      <w:szCs w:val="22"/>
      <w:lang w:val="en"/>
    </w:rPr>
  </w:style>
  <w:style w:type="paragraph" w:styleId="Footer">
    <w:name w:val="footer"/>
    <w:basedOn w:val="Normal"/>
    <w:link w:val="FooterChar"/>
    <w:uiPriority w:val="99"/>
    <w:unhideWhenUsed/>
    <w:rsid w:val="006C6D2D"/>
    <w:pPr>
      <w:tabs>
        <w:tab w:val="center" w:pos="4680"/>
        <w:tab w:val="right" w:pos="9360"/>
      </w:tabs>
      <w:spacing w:line="240" w:lineRule="auto"/>
    </w:pPr>
  </w:style>
  <w:style w:type="character" w:customStyle="1" w:styleId="FooterChar">
    <w:name w:val="Footer Char"/>
    <w:basedOn w:val="DefaultParagraphFont"/>
    <w:link w:val="Footer"/>
    <w:uiPriority w:val="99"/>
    <w:rsid w:val="006C6D2D"/>
    <w:rPr>
      <w:rFonts w:ascii="Arial" w:eastAsia="Arial" w:hAnsi="Arial" w:cs="Arial"/>
      <w:sz w:val="22"/>
      <w:szCs w:val="22"/>
      <w:lang w:val="en"/>
    </w:rPr>
  </w:style>
  <w:style w:type="character" w:styleId="CommentReference">
    <w:name w:val="annotation reference"/>
    <w:basedOn w:val="DefaultParagraphFont"/>
    <w:uiPriority w:val="99"/>
    <w:semiHidden/>
    <w:unhideWhenUsed/>
    <w:rsid w:val="00EC5E6E"/>
    <w:rPr>
      <w:sz w:val="16"/>
      <w:szCs w:val="16"/>
    </w:rPr>
  </w:style>
  <w:style w:type="paragraph" w:styleId="CommentText">
    <w:name w:val="annotation text"/>
    <w:basedOn w:val="Normal"/>
    <w:link w:val="CommentTextChar"/>
    <w:uiPriority w:val="99"/>
    <w:semiHidden/>
    <w:unhideWhenUsed/>
    <w:rsid w:val="00EC5E6E"/>
    <w:pPr>
      <w:spacing w:line="240" w:lineRule="auto"/>
    </w:pPr>
    <w:rPr>
      <w:rFonts w:ascii="Cambria" w:eastAsia="Cambria" w:hAnsi="Cambria" w:cs="Cambria"/>
      <w:sz w:val="20"/>
      <w:szCs w:val="20"/>
      <w:lang w:val="en-US"/>
    </w:rPr>
  </w:style>
  <w:style w:type="character" w:customStyle="1" w:styleId="CommentTextChar">
    <w:name w:val="Comment Text Char"/>
    <w:basedOn w:val="DefaultParagraphFont"/>
    <w:link w:val="CommentText"/>
    <w:uiPriority w:val="99"/>
    <w:semiHidden/>
    <w:rsid w:val="00EC5E6E"/>
    <w:rPr>
      <w:rFonts w:ascii="Cambria" w:eastAsia="Cambria" w:hAnsi="Cambria" w:cs="Cambria"/>
      <w:sz w:val="20"/>
      <w:szCs w:val="20"/>
    </w:rPr>
  </w:style>
  <w:style w:type="paragraph" w:styleId="ListParagraph">
    <w:name w:val="List Paragraph"/>
    <w:basedOn w:val="Normal"/>
    <w:uiPriority w:val="34"/>
    <w:qFormat/>
    <w:rsid w:val="00EC5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Ahmi Lim</dc:creator>
  <cp:keywords/>
  <dc:description/>
  <cp:lastModifiedBy>Ahmi Lim</cp:lastModifiedBy>
  <cp:revision>3</cp:revision>
  <dcterms:created xsi:type="dcterms:W3CDTF">2021-09-30T06:59:00Z</dcterms:created>
  <dcterms:modified xsi:type="dcterms:W3CDTF">2021-09-30T07:47:00Z</dcterms:modified>
</cp:coreProperties>
</file>