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shd w:fill="ffffff" w:val="clear"/>
        <w:spacing w:after="240" w:line="240" w:lineRule="auto"/>
        <w:ind w:left="0" w:firstLine="0"/>
        <w:rPr>
          <w:b w:val="1"/>
          <w:sz w:val="24"/>
          <w:szCs w:val="24"/>
        </w:rPr>
      </w:pPr>
      <w:r w:rsidDel="00000000" w:rsidR="00000000" w:rsidRPr="00000000">
        <w:rPr>
          <w:rtl w:val="0"/>
        </w:rPr>
      </w:r>
    </w:p>
    <w:p w:rsidR="00000000" w:rsidDel="00000000" w:rsidP="00000000" w:rsidRDefault="00000000" w:rsidRPr="00000000" w14:paraId="00000002">
      <w:pPr>
        <w:shd w:fill="ffffff" w:val="clear"/>
        <w:spacing w:after="240" w:line="240" w:lineRule="auto"/>
        <w:ind w:left="0" w:firstLine="0"/>
        <w:rPr>
          <w:color w:val="212529"/>
          <w:sz w:val="24"/>
          <w:szCs w:val="24"/>
        </w:rPr>
      </w:pPr>
      <w:r w:rsidDel="00000000" w:rsidR="00000000" w:rsidRPr="00000000">
        <w:rPr>
          <w:b w:val="1"/>
          <w:sz w:val="24"/>
          <w:szCs w:val="24"/>
          <w:rtl w:val="0"/>
        </w:rPr>
        <w:t xml:space="preserve">Title: </w:t>
      </w:r>
      <w:r w:rsidDel="00000000" w:rsidR="00000000" w:rsidRPr="00000000">
        <w:rPr>
          <w:sz w:val="24"/>
          <w:szCs w:val="24"/>
          <w:rtl w:val="0"/>
        </w:rPr>
        <w:t xml:space="preserve">Bamlanivimab and Casirivimab/Imdevimab Use in Mild to Moderate COVID-19 Patients in the Emergency Department</w:t>
      </w:r>
      <w:r w:rsidDel="00000000" w:rsidR="00000000" w:rsidRPr="00000000">
        <w:rPr>
          <w:rtl w:val="0"/>
        </w:rPr>
      </w:r>
    </w:p>
    <w:p w:rsidR="00000000" w:rsidDel="00000000" w:rsidP="00000000" w:rsidRDefault="00000000" w:rsidRPr="00000000" w14:paraId="00000003">
      <w:pPr>
        <w:spacing w:line="240" w:lineRule="auto"/>
        <w:rPr>
          <w:b w:val="1"/>
          <w:sz w:val="24"/>
          <w:szCs w:val="24"/>
        </w:rPr>
      </w:pPr>
      <w:r w:rsidDel="00000000" w:rsidR="00000000" w:rsidRPr="00000000">
        <w:rPr>
          <w:b w:val="1"/>
          <w:sz w:val="24"/>
          <w:szCs w:val="24"/>
          <w:rtl w:val="0"/>
        </w:rPr>
        <w:t xml:space="preserve">Investigators: </w:t>
      </w:r>
    </w:p>
    <w:p w:rsidR="00000000" w:rsidDel="00000000" w:rsidP="00000000" w:rsidRDefault="00000000" w:rsidRPr="00000000" w14:paraId="00000004">
      <w:pPr>
        <w:spacing w:line="240" w:lineRule="auto"/>
        <w:rPr>
          <w:b w:val="1"/>
          <w:sz w:val="24"/>
          <w:szCs w:val="24"/>
        </w:rPr>
      </w:pPr>
      <w:r w:rsidDel="00000000" w:rsidR="00000000" w:rsidRPr="00000000">
        <w:rPr>
          <w:rtl w:val="0"/>
        </w:rPr>
      </w:r>
    </w:p>
    <w:p w:rsidR="00000000" w:rsidDel="00000000" w:rsidP="00000000" w:rsidRDefault="00000000" w:rsidRPr="00000000" w14:paraId="00000005">
      <w:pPr>
        <w:spacing w:line="240" w:lineRule="auto"/>
        <w:rPr>
          <w:sz w:val="24"/>
          <w:szCs w:val="24"/>
        </w:rPr>
      </w:pPr>
      <w:r w:rsidDel="00000000" w:rsidR="00000000" w:rsidRPr="00000000">
        <w:rPr>
          <w:sz w:val="24"/>
          <w:szCs w:val="24"/>
          <w:rtl w:val="0"/>
        </w:rPr>
        <w:t xml:space="preserve">Allison Lee, Pharm.D. </w:t>
      </w:r>
    </w:p>
    <w:p w:rsidR="00000000" w:rsidDel="00000000" w:rsidP="00000000" w:rsidRDefault="00000000" w:rsidRPr="00000000" w14:paraId="00000006">
      <w:pPr>
        <w:spacing w:line="240" w:lineRule="auto"/>
        <w:rPr>
          <w:sz w:val="24"/>
          <w:szCs w:val="24"/>
        </w:rPr>
      </w:pPr>
      <w:r w:rsidDel="00000000" w:rsidR="00000000" w:rsidRPr="00000000">
        <w:rPr>
          <w:sz w:val="24"/>
          <w:szCs w:val="24"/>
          <w:rtl w:val="0"/>
        </w:rPr>
        <w:t xml:space="preserve">Zlatan Coralic, Pharm.D., BCPS</w:t>
      </w:r>
    </w:p>
    <w:p w:rsidR="00000000" w:rsidDel="00000000" w:rsidP="00000000" w:rsidRDefault="00000000" w:rsidRPr="00000000" w14:paraId="00000007">
      <w:pPr>
        <w:spacing w:line="240" w:lineRule="auto"/>
        <w:rPr>
          <w:sz w:val="24"/>
          <w:szCs w:val="24"/>
        </w:rPr>
      </w:pPr>
      <w:r w:rsidDel="00000000" w:rsidR="00000000" w:rsidRPr="00000000">
        <w:rPr>
          <w:rtl w:val="0"/>
        </w:rPr>
      </w:r>
    </w:p>
    <w:p w:rsidR="00000000" w:rsidDel="00000000" w:rsidP="00000000" w:rsidRDefault="00000000" w:rsidRPr="00000000" w14:paraId="00000008">
      <w:pPr>
        <w:spacing w:line="240" w:lineRule="auto"/>
        <w:rPr>
          <w:b w:val="1"/>
          <w:sz w:val="24"/>
          <w:szCs w:val="24"/>
        </w:rPr>
      </w:pPr>
      <w:r w:rsidDel="00000000" w:rsidR="00000000" w:rsidRPr="00000000">
        <w:rPr>
          <w:b w:val="1"/>
          <w:sz w:val="24"/>
          <w:szCs w:val="24"/>
          <w:rtl w:val="0"/>
        </w:rPr>
        <w:t xml:space="preserve">Abstract:</w:t>
      </w:r>
    </w:p>
    <w:p w:rsidR="00000000" w:rsidDel="00000000" w:rsidP="00000000" w:rsidRDefault="00000000" w:rsidRPr="00000000" w14:paraId="00000009">
      <w:pPr>
        <w:spacing w:line="240" w:lineRule="auto"/>
        <w:rPr>
          <w:b w:val="1"/>
          <w:sz w:val="24"/>
          <w:szCs w:val="24"/>
        </w:rPr>
      </w:pPr>
      <w:r w:rsidDel="00000000" w:rsidR="00000000" w:rsidRPr="00000000">
        <w:rPr>
          <w:rtl w:val="0"/>
        </w:rPr>
      </w:r>
    </w:p>
    <w:p w:rsidR="00000000" w:rsidDel="00000000" w:rsidP="00000000" w:rsidRDefault="00000000" w:rsidRPr="00000000" w14:paraId="0000000A">
      <w:pPr>
        <w:spacing w:line="240" w:lineRule="auto"/>
        <w:rPr>
          <w:sz w:val="24"/>
          <w:szCs w:val="24"/>
        </w:rPr>
      </w:pPr>
      <w:r w:rsidDel="00000000" w:rsidR="00000000" w:rsidRPr="00000000">
        <w:rPr>
          <w:sz w:val="24"/>
          <w:szCs w:val="24"/>
          <w:rtl w:val="0"/>
        </w:rPr>
        <w:t xml:space="preserve">Bamlanivumab and casirivimab/imdevimab are monoclonal antibodies with an off-label indication for the treatment of mild to moderate COVID-19 infection, previously under emergency use authorization (EUA) by the Food and Drug Administration (FDA). In preliminary studies, bamlanivumab was found to reduce emergency department (ED) revisits and re-hospitalizations compared to placebo. Bamlanivumab and casirivimab/imdevimab treatment requires facilities like the ED with capabilities of administering IV infusions and managing anaphylaxis. All patients receiving bamlanivimab and casirivimab/imdevimab are subsequently discharged from the ED and do not require hospitalization during the index ED visit. Currently, there are no published studies on the impact of bamlanivumab and casirivimab/imdevimab infusions in the ED. By April 2021, the EUA was revoked due to increased evidence of treatment failure and resistance towards new COVID-19 strains. As a result, bamlanivumab was no longer administered in the UCSF ED. We will perform a retrospective chart review of all patients testing positive for COVID-19 between March 11, 2020 and March 26, 2021. We compare the differences in patients receiving bamlanivumab or casirivimab/imdevimab therapy to those patients prior to the drug’s approval and implementation of the bamlanivumab infusion protocol. We hope to compare the effects of bamlanivumab on ED length of stay and 30-day ED return. </w:t>
      </w:r>
    </w:p>
    <w:p w:rsidR="00000000" w:rsidDel="00000000" w:rsidP="00000000" w:rsidRDefault="00000000" w:rsidRPr="00000000" w14:paraId="0000000B">
      <w:pPr>
        <w:spacing w:line="240" w:lineRule="auto"/>
        <w:rPr>
          <w:sz w:val="24"/>
          <w:szCs w:val="24"/>
        </w:rPr>
      </w:pPr>
      <w:r w:rsidDel="00000000" w:rsidR="00000000" w:rsidRPr="00000000">
        <w:rPr>
          <w:rtl w:val="0"/>
        </w:rPr>
      </w:r>
    </w:p>
    <w:p w:rsidR="00000000" w:rsidDel="00000000" w:rsidP="00000000" w:rsidRDefault="00000000" w:rsidRPr="00000000" w14:paraId="0000000C">
      <w:pPr>
        <w:spacing w:line="240" w:lineRule="auto"/>
        <w:rPr>
          <w:b w:val="1"/>
          <w:sz w:val="24"/>
          <w:szCs w:val="24"/>
        </w:rPr>
      </w:pPr>
      <w:r w:rsidDel="00000000" w:rsidR="00000000" w:rsidRPr="00000000">
        <w:rPr>
          <w:b w:val="1"/>
          <w:sz w:val="24"/>
          <w:szCs w:val="24"/>
          <w:rtl w:val="0"/>
        </w:rPr>
        <w:t xml:space="preserve">Research question: </w:t>
      </w:r>
    </w:p>
    <w:p w:rsidR="00000000" w:rsidDel="00000000" w:rsidP="00000000" w:rsidRDefault="00000000" w:rsidRPr="00000000" w14:paraId="0000000D">
      <w:pPr>
        <w:spacing w:line="240" w:lineRule="auto"/>
        <w:rPr>
          <w:b w:val="1"/>
          <w:sz w:val="24"/>
          <w:szCs w:val="24"/>
        </w:rPr>
      </w:pPr>
      <w:r w:rsidDel="00000000" w:rsidR="00000000" w:rsidRPr="00000000">
        <w:rPr>
          <w:rtl w:val="0"/>
        </w:rPr>
      </w:r>
    </w:p>
    <w:p w:rsidR="00000000" w:rsidDel="00000000" w:rsidP="00000000" w:rsidRDefault="00000000" w:rsidRPr="00000000" w14:paraId="0000000E">
      <w:pPr>
        <w:spacing w:line="240" w:lineRule="auto"/>
        <w:rPr>
          <w:sz w:val="24"/>
          <w:szCs w:val="24"/>
        </w:rPr>
      </w:pPr>
      <w:r w:rsidDel="00000000" w:rsidR="00000000" w:rsidRPr="00000000">
        <w:rPr>
          <w:sz w:val="24"/>
          <w:szCs w:val="24"/>
          <w:rtl w:val="0"/>
        </w:rPr>
        <w:t xml:space="preserve">Does bamlanivumab or casirivimab/imdevimab therapy reduce ED length of stay and 30-day ED return in UCSF patients with mild-moderate COVID-19?</w:t>
      </w:r>
    </w:p>
    <w:p w:rsidR="00000000" w:rsidDel="00000000" w:rsidP="00000000" w:rsidRDefault="00000000" w:rsidRPr="00000000" w14:paraId="0000000F">
      <w:pPr>
        <w:spacing w:line="240" w:lineRule="auto"/>
        <w:rPr>
          <w:sz w:val="24"/>
          <w:szCs w:val="24"/>
        </w:rPr>
      </w:pPr>
      <w:r w:rsidDel="00000000" w:rsidR="00000000" w:rsidRPr="00000000">
        <w:rPr>
          <w:rtl w:val="0"/>
        </w:rPr>
      </w:r>
    </w:p>
    <w:p w:rsidR="00000000" w:rsidDel="00000000" w:rsidP="00000000" w:rsidRDefault="00000000" w:rsidRPr="00000000" w14:paraId="00000010">
      <w:pPr>
        <w:spacing w:line="240" w:lineRule="auto"/>
        <w:rPr>
          <w:b w:val="1"/>
          <w:sz w:val="24"/>
          <w:szCs w:val="24"/>
        </w:rPr>
      </w:pPr>
      <w:r w:rsidDel="00000000" w:rsidR="00000000" w:rsidRPr="00000000">
        <w:rPr>
          <w:b w:val="1"/>
          <w:sz w:val="24"/>
          <w:szCs w:val="24"/>
          <w:rtl w:val="0"/>
        </w:rPr>
        <w:t xml:space="preserve">Specific aims: </w:t>
      </w:r>
    </w:p>
    <w:p w:rsidR="00000000" w:rsidDel="00000000" w:rsidP="00000000" w:rsidRDefault="00000000" w:rsidRPr="00000000" w14:paraId="00000011">
      <w:pPr>
        <w:spacing w:line="240" w:lineRule="auto"/>
        <w:rPr>
          <w:b w:val="1"/>
          <w:sz w:val="24"/>
          <w:szCs w:val="24"/>
        </w:rPr>
      </w:pPr>
      <w:r w:rsidDel="00000000" w:rsidR="00000000" w:rsidRPr="00000000">
        <w:rPr>
          <w:rtl w:val="0"/>
        </w:rPr>
      </w:r>
    </w:p>
    <w:p w:rsidR="00000000" w:rsidDel="00000000" w:rsidP="00000000" w:rsidRDefault="00000000" w:rsidRPr="00000000" w14:paraId="00000012">
      <w:pPr>
        <w:spacing w:line="240" w:lineRule="auto"/>
        <w:rPr>
          <w:sz w:val="24"/>
          <w:szCs w:val="24"/>
        </w:rPr>
      </w:pPr>
      <w:r w:rsidDel="00000000" w:rsidR="00000000" w:rsidRPr="00000000">
        <w:rPr>
          <w:sz w:val="24"/>
          <w:szCs w:val="24"/>
          <w:rtl w:val="0"/>
        </w:rPr>
        <w:t xml:space="preserve">To provide insight into novel monoclonal antibody infusion therapies such as bamlanivumab or casirivimab/imdevimab for the treatment of mild-moderate COVID-19 and its effect in reducing encounters in the hospital. </w:t>
      </w:r>
    </w:p>
    <w:p w:rsidR="00000000" w:rsidDel="00000000" w:rsidP="00000000" w:rsidRDefault="00000000" w:rsidRPr="00000000" w14:paraId="00000013">
      <w:pPr>
        <w:spacing w:line="240" w:lineRule="auto"/>
        <w:rPr>
          <w:sz w:val="24"/>
          <w:szCs w:val="24"/>
        </w:rPr>
      </w:pPr>
      <w:r w:rsidDel="00000000" w:rsidR="00000000" w:rsidRPr="00000000">
        <w:rPr>
          <w:rtl w:val="0"/>
        </w:rPr>
      </w:r>
    </w:p>
    <w:p w:rsidR="00000000" w:rsidDel="00000000" w:rsidP="00000000" w:rsidRDefault="00000000" w:rsidRPr="00000000" w14:paraId="00000014">
      <w:pPr>
        <w:spacing w:line="240" w:lineRule="auto"/>
        <w:rPr>
          <w:b w:val="1"/>
          <w:sz w:val="24"/>
          <w:szCs w:val="24"/>
        </w:rPr>
      </w:pPr>
      <w:r w:rsidDel="00000000" w:rsidR="00000000" w:rsidRPr="00000000">
        <w:rPr>
          <w:b w:val="1"/>
          <w:sz w:val="24"/>
          <w:szCs w:val="24"/>
          <w:rtl w:val="0"/>
        </w:rPr>
        <w:t xml:space="preserve">Background and Significance:</w:t>
      </w:r>
      <w:r w:rsidDel="00000000" w:rsidR="00000000" w:rsidRPr="00000000">
        <w:rPr>
          <w:rtl w:val="0"/>
        </w:rPr>
      </w:r>
    </w:p>
    <w:p w:rsidR="00000000" w:rsidDel="00000000" w:rsidP="00000000" w:rsidRDefault="00000000" w:rsidRPr="00000000" w14:paraId="00000015">
      <w:pPr>
        <w:spacing w:line="240" w:lineRule="auto"/>
        <w:rPr>
          <w:sz w:val="24"/>
          <w:szCs w:val="24"/>
        </w:rPr>
      </w:pPr>
      <w:r w:rsidDel="00000000" w:rsidR="00000000" w:rsidRPr="00000000">
        <w:rPr>
          <w:rtl w:val="0"/>
        </w:rPr>
      </w:r>
    </w:p>
    <w:p w:rsidR="00000000" w:rsidDel="00000000" w:rsidP="00000000" w:rsidRDefault="00000000" w:rsidRPr="00000000" w14:paraId="00000016">
      <w:pPr>
        <w:spacing w:line="240" w:lineRule="auto"/>
        <w:rPr>
          <w:b w:val="1"/>
          <w:sz w:val="24"/>
          <w:szCs w:val="24"/>
        </w:rPr>
      </w:pPr>
      <w:r w:rsidDel="00000000" w:rsidR="00000000" w:rsidRPr="00000000">
        <w:rPr>
          <w:rtl w:val="0"/>
        </w:rPr>
      </w:r>
    </w:p>
    <w:p w:rsidR="00000000" w:rsidDel="00000000" w:rsidP="00000000" w:rsidRDefault="00000000" w:rsidRPr="00000000" w14:paraId="00000017">
      <w:pPr>
        <w:spacing w:line="240" w:lineRule="auto"/>
        <w:rPr>
          <w:sz w:val="24"/>
          <w:szCs w:val="24"/>
        </w:rPr>
      </w:pPr>
      <w:r w:rsidDel="00000000" w:rsidR="00000000" w:rsidRPr="00000000">
        <w:rPr>
          <w:sz w:val="24"/>
          <w:szCs w:val="24"/>
          <w:rtl w:val="0"/>
        </w:rPr>
        <w:t xml:space="preserve">Severe acute respiratory syndrome coronavirus 2 (SARS-CoV-2) can lead to coronavirus disease which may present in patients with a range of symptoms from few or no symptoms to acute hypoxia leading to hospitalization. </w:t>
      </w:r>
      <w:r w:rsidDel="00000000" w:rsidR="00000000" w:rsidRPr="00000000">
        <w:rPr>
          <w:sz w:val="24"/>
          <w:szCs w:val="24"/>
          <w:rtl w:val="0"/>
        </w:rPr>
        <w:t xml:space="preserve">Bamlanivumab and casirivimab/imdevimab are monoclonal antibodies with an off-label indication for the treatment of mild to moderate COVID-19 infection, previously under emergency use authorization (EUA) by the Food and Drug Administration (FDA). In preliminary studies, bamlanivumab was found to reduce viral loads and emergency department (ED) revisits and re-hospitalizations compared to placebo.</w:t>
      </w:r>
      <w:hyperlink r:id="rId6">
        <w:r w:rsidDel="00000000" w:rsidR="00000000" w:rsidRPr="00000000">
          <w:rPr>
            <w:b w:val="0"/>
            <w:color w:val="000000"/>
            <w:sz w:val="24"/>
            <w:szCs w:val="24"/>
            <w:u w:val="none"/>
            <w:vertAlign w:val="superscript"/>
            <w:rtl w:val="0"/>
          </w:rPr>
          <w:t xml:space="preserve">1</w:t>
        </w:r>
      </w:hyperlink>
      <w:r w:rsidDel="00000000" w:rsidR="00000000" w:rsidRPr="00000000">
        <w:rPr>
          <w:sz w:val="24"/>
          <w:szCs w:val="24"/>
          <w:rtl w:val="0"/>
        </w:rPr>
        <w:t xml:space="preserve"> Casirivimab/imdevimab was found to similarly decrease viral loads and reduce the incidence of hospital visits in mild-moderate COVID-19 patients.</w:t>
      </w:r>
      <w:hyperlink r:id="rId7">
        <w:r w:rsidDel="00000000" w:rsidR="00000000" w:rsidRPr="00000000">
          <w:rPr>
            <w:b w:val="0"/>
            <w:color w:val="000000"/>
            <w:sz w:val="24"/>
            <w:szCs w:val="24"/>
            <w:u w:val="none"/>
            <w:vertAlign w:val="superscript"/>
            <w:rtl w:val="0"/>
          </w:rPr>
          <w:t xml:space="preserve">2</w:t>
        </w:r>
      </w:hyperlink>
      <w:r w:rsidDel="00000000" w:rsidR="00000000" w:rsidRPr="00000000">
        <w:rPr>
          <w:vertAlign w:val="superscript"/>
          <w:rtl w:val="0"/>
        </w:rPr>
        <w:t xml:space="preserve">,</w:t>
      </w:r>
      <w:hyperlink r:id="rId8">
        <w:r w:rsidDel="00000000" w:rsidR="00000000" w:rsidRPr="00000000">
          <w:rPr>
            <w:b w:val="0"/>
            <w:color w:val="000000"/>
            <w:u w:val="none"/>
            <w:vertAlign w:val="superscript"/>
            <w:rtl w:val="0"/>
          </w:rPr>
          <w:t xml:space="preserve">3</w:t>
        </w:r>
      </w:hyperlink>
      <w:r w:rsidDel="00000000" w:rsidR="00000000" w:rsidRPr="00000000">
        <w:rPr>
          <w:sz w:val="24"/>
          <w:szCs w:val="24"/>
          <w:rtl w:val="0"/>
        </w:rPr>
        <w:t xml:space="preserve"> </w:t>
      </w:r>
    </w:p>
    <w:p w:rsidR="00000000" w:rsidDel="00000000" w:rsidP="00000000" w:rsidRDefault="00000000" w:rsidRPr="00000000" w14:paraId="00000018">
      <w:pPr>
        <w:spacing w:line="240" w:lineRule="auto"/>
        <w:rPr>
          <w:sz w:val="24"/>
          <w:szCs w:val="24"/>
        </w:rPr>
      </w:pPr>
      <w:r w:rsidDel="00000000" w:rsidR="00000000" w:rsidRPr="00000000">
        <w:rPr>
          <w:rtl w:val="0"/>
        </w:rPr>
      </w:r>
    </w:p>
    <w:p w:rsidR="00000000" w:rsidDel="00000000" w:rsidP="00000000" w:rsidRDefault="00000000" w:rsidRPr="00000000" w14:paraId="00000019">
      <w:pPr>
        <w:spacing w:line="240" w:lineRule="auto"/>
        <w:rPr>
          <w:sz w:val="24"/>
          <w:szCs w:val="24"/>
        </w:rPr>
      </w:pPr>
      <w:r w:rsidDel="00000000" w:rsidR="00000000" w:rsidRPr="00000000">
        <w:rPr>
          <w:sz w:val="24"/>
          <w:szCs w:val="24"/>
          <w:rtl w:val="0"/>
        </w:rPr>
        <w:t xml:space="preserve">Bamlanivumab and casirivimab/imdevimab treatment requires facilities like an ED with capabilities of administering IV infusions and managing anaphylaxis. All patients receiving bamlanivimab and casirivimab/imdevimab are subsequently discharged from the ED and do not require hospitalization during the index ED visit. Currently, there are no published studies comparing the impact of bamlanivumab and casirivimab/imdevimab infusions on rates of ED readmission and hospitalization. One study had identified that bamlanivimab and casirivimab/imdevimab combined are associated with lower hospitalization rates, but there has been no direct comparison between the two therapies.</w:t>
      </w:r>
      <w:hyperlink r:id="rId9">
        <w:r w:rsidDel="00000000" w:rsidR="00000000" w:rsidRPr="00000000">
          <w:rPr>
            <w:b w:val="0"/>
            <w:color w:val="000000"/>
            <w:sz w:val="24"/>
            <w:szCs w:val="24"/>
            <w:u w:val="none"/>
            <w:vertAlign w:val="superscript"/>
            <w:rtl w:val="0"/>
          </w:rPr>
          <w:t xml:space="preserve">4</w:t>
        </w:r>
      </w:hyperlink>
      <w:r w:rsidDel="00000000" w:rsidR="00000000" w:rsidRPr="00000000">
        <w:rPr>
          <w:sz w:val="24"/>
          <w:szCs w:val="24"/>
          <w:rtl w:val="0"/>
        </w:rPr>
        <w:t xml:space="preserve"> By April 2021, the EUA for bamlanivimab was revoked due to increased evidence of treatment failure and resistance towards new COVID-19 strains. As a result, bamlanivumab was no longer administered in the UCSF ED. </w:t>
      </w:r>
    </w:p>
    <w:p w:rsidR="00000000" w:rsidDel="00000000" w:rsidP="00000000" w:rsidRDefault="00000000" w:rsidRPr="00000000" w14:paraId="0000001A">
      <w:pPr>
        <w:spacing w:line="240" w:lineRule="auto"/>
        <w:rPr>
          <w:sz w:val="24"/>
          <w:szCs w:val="24"/>
        </w:rPr>
      </w:pPr>
      <w:r w:rsidDel="00000000" w:rsidR="00000000" w:rsidRPr="00000000">
        <w:rPr>
          <w:rtl w:val="0"/>
        </w:rPr>
      </w:r>
    </w:p>
    <w:p w:rsidR="00000000" w:rsidDel="00000000" w:rsidP="00000000" w:rsidRDefault="00000000" w:rsidRPr="00000000" w14:paraId="0000001B">
      <w:pPr>
        <w:spacing w:line="240" w:lineRule="auto"/>
        <w:rPr>
          <w:sz w:val="24"/>
          <w:szCs w:val="24"/>
        </w:rPr>
      </w:pPr>
      <w:r w:rsidDel="00000000" w:rsidR="00000000" w:rsidRPr="00000000">
        <w:rPr>
          <w:sz w:val="24"/>
          <w:szCs w:val="24"/>
          <w:rtl w:val="0"/>
        </w:rPr>
        <w:t xml:space="preserve">This study is clinically significant because although bamlanivimab monotherapy is not in use anymore, a combination therapy with bamlanivimab and etesevimab in addition to casirivimab/imdevimab are still being used today for the same indication. Being able to identify the effects of bamlanivimab and casirivimab/imdevimab in terms of ED length of stay and ED readmissions may help confirm the benefits of this monoclonal antibody treatment and confirm that this is truly a mainstay treatment for our COVID-19 patients.</w:t>
      </w:r>
    </w:p>
    <w:p w:rsidR="00000000" w:rsidDel="00000000" w:rsidP="00000000" w:rsidRDefault="00000000" w:rsidRPr="00000000" w14:paraId="0000001C">
      <w:pPr>
        <w:spacing w:line="240" w:lineRule="auto"/>
        <w:rPr>
          <w:sz w:val="24"/>
          <w:szCs w:val="24"/>
        </w:rPr>
      </w:pPr>
      <w:r w:rsidDel="00000000" w:rsidR="00000000" w:rsidRPr="00000000">
        <w:rPr>
          <w:rtl w:val="0"/>
        </w:rPr>
      </w:r>
    </w:p>
    <w:p w:rsidR="00000000" w:rsidDel="00000000" w:rsidP="00000000" w:rsidRDefault="00000000" w:rsidRPr="00000000" w14:paraId="0000001D">
      <w:pPr>
        <w:spacing w:line="240" w:lineRule="auto"/>
        <w:rPr>
          <w:b w:val="1"/>
          <w:sz w:val="24"/>
          <w:szCs w:val="24"/>
        </w:rPr>
      </w:pPr>
      <w:r w:rsidDel="00000000" w:rsidR="00000000" w:rsidRPr="00000000">
        <w:rPr>
          <w:b w:val="1"/>
          <w:sz w:val="24"/>
          <w:szCs w:val="24"/>
          <w:rtl w:val="0"/>
        </w:rPr>
        <w:t xml:space="preserve">Methods</w:t>
      </w:r>
    </w:p>
    <w:p w:rsidR="00000000" w:rsidDel="00000000" w:rsidP="00000000" w:rsidRDefault="00000000" w:rsidRPr="00000000" w14:paraId="0000001E">
      <w:pPr>
        <w:spacing w:line="240" w:lineRule="auto"/>
        <w:rPr>
          <w:sz w:val="24"/>
          <w:szCs w:val="24"/>
        </w:rPr>
      </w:pPr>
      <w:r w:rsidDel="00000000" w:rsidR="00000000" w:rsidRPr="00000000">
        <w:rPr>
          <w:rtl w:val="0"/>
        </w:rPr>
      </w:r>
    </w:p>
    <w:p w:rsidR="00000000" w:rsidDel="00000000" w:rsidP="00000000" w:rsidRDefault="00000000" w:rsidRPr="00000000" w14:paraId="0000001F">
      <w:pPr>
        <w:spacing w:line="240" w:lineRule="auto"/>
        <w:rPr>
          <w:b w:val="1"/>
          <w:sz w:val="24"/>
          <w:szCs w:val="24"/>
        </w:rPr>
      </w:pPr>
      <w:r w:rsidDel="00000000" w:rsidR="00000000" w:rsidRPr="00000000">
        <w:rPr>
          <w:b w:val="1"/>
          <w:sz w:val="24"/>
          <w:szCs w:val="24"/>
          <w:rtl w:val="0"/>
        </w:rPr>
        <w:t xml:space="preserve">Study Design and Study Subjects:</w:t>
      </w:r>
    </w:p>
    <w:p w:rsidR="00000000" w:rsidDel="00000000" w:rsidP="00000000" w:rsidRDefault="00000000" w:rsidRPr="00000000" w14:paraId="00000020">
      <w:pPr>
        <w:shd w:fill="ffffff" w:val="clear"/>
        <w:spacing w:after="240" w:line="240" w:lineRule="auto"/>
        <w:rPr>
          <w:sz w:val="24"/>
          <w:szCs w:val="24"/>
          <w:highlight w:val="white"/>
        </w:rPr>
      </w:pPr>
      <w:r w:rsidDel="00000000" w:rsidR="00000000" w:rsidRPr="00000000">
        <w:rPr>
          <w:sz w:val="24"/>
          <w:szCs w:val="24"/>
          <w:rtl w:val="0"/>
        </w:rPr>
        <w:t xml:space="preserve">Our current study will be a retrospective cohort study looking into patients diagnosed with mild-moderate COVID-19 admitted to the UCSF Emergency Department (ED) from March 2020 to October 2021. We will be comparing the rates of ED readmission and rehospitalizations between patients who received bamlanivimab vs. </w:t>
      </w:r>
      <w:r w:rsidDel="00000000" w:rsidR="00000000" w:rsidRPr="00000000">
        <w:rPr>
          <w:sz w:val="24"/>
          <w:szCs w:val="24"/>
          <w:highlight w:val="white"/>
          <w:rtl w:val="0"/>
        </w:rPr>
        <w:t xml:space="preserve">casirivimab/imdevimab vs. no monoclonal antibody infusion. The control group (patients who did not receive any monoclonal antibody infusions) are patients with mild-moderate COVID-19 and were diagnosed prior to November 2020, which was when the first monoclonal antibody, bamlanivimab, was approved and administered to patients in the ED and outpatient infusion clinics. </w:t>
      </w:r>
    </w:p>
    <w:p w:rsidR="00000000" w:rsidDel="00000000" w:rsidP="00000000" w:rsidRDefault="00000000" w:rsidRPr="00000000" w14:paraId="00000021">
      <w:pPr>
        <w:shd w:fill="ffffff" w:val="clear"/>
        <w:spacing w:after="240" w:line="240" w:lineRule="auto"/>
        <w:rPr>
          <w:sz w:val="24"/>
          <w:szCs w:val="24"/>
          <w:highlight w:val="white"/>
        </w:rPr>
      </w:pPr>
      <w:r w:rsidDel="00000000" w:rsidR="00000000" w:rsidRPr="00000000">
        <w:rPr>
          <w:sz w:val="24"/>
          <w:szCs w:val="24"/>
          <w:highlight w:val="white"/>
          <w:rtl w:val="0"/>
        </w:rPr>
        <w:t xml:space="preserve">We will further identify patients in the control group who would have met the eligibility criteria for any monoclonal antibody infusion (either bamlanivimab or casirivimab/imdevimab) so that the comparison will be the most accurate. The eligibility criteria for these monoclonal antibody infusions are any patient who have been diagnosed with mild-moderate COVID-19 with positive results of direct SARS-CoV-2 viral testing, and who are at high risk of progressing to severe COVID-19 and/or hospitalization. Those at high risk must have one of the following medical conditions: older age, obesity, pregnancy, chronic kidney disease, diabetes, immunosuppressive disease, cardiovascular disease, chronic lung disease, liver disease, sickle cell disease, neurodevelopmental disorders and/or having technological dependence ie. tracheostomy, positive pressure ventilation. Of note, not all COVID-19 patients received COVID-19 PCR tests in the UCSF ED at the beginning of the COVID-19 pandemic (March 2020-November 2020) which may lead to an underestimated number of patients in our control group. </w:t>
      </w:r>
    </w:p>
    <w:p w:rsidR="00000000" w:rsidDel="00000000" w:rsidP="00000000" w:rsidRDefault="00000000" w:rsidRPr="00000000" w14:paraId="00000022">
      <w:pPr>
        <w:shd w:fill="ffffff" w:val="clear"/>
        <w:spacing w:after="240" w:line="240" w:lineRule="auto"/>
        <w:rPr>
          <w:sz w:val="24"/>
          <w:szCs w:val="24"/>
          <w:highlight w:val="white"/>
        </w:rPr>
      </w:pPr>
      <w:r w:rsidDel="00000000" w:rsidR="00000000" w:rsidRPr="00000000">
        <w:rPr>
          <w:sz w:val="24"/>
          <w:szCs w:val="24"/>
          <w:highlight w:val="white"/>
          <w:rtl w:val="0"/>
        </w:rPr>
        <w:t xml:space="preserve">Our study subjects in the bamlanivimab and casirivimab/imdevimab group will include any patient who received either monoclonal antibody treatment for mild-moderate COVID-19 between March 2020-October 2021. We will note the time the infusions were ordered and administered to each patient. For all patients, we measure their ED length of stay, ED readmission within 30 days and rehospitalizations within 30 days via data extraction with Slicer Dicer. </w:t>
      </w:r>
    </w:p>
    <w:p w:rsidR="00000000" w:rsidDel="00000000" w:rsidP="00000000" w:rsidRDefault="00000000" w:rsidRPr="00000000" w14:paraId="00000023">
      <w:pPr>
        <w:shd w:fill="ffffff" w:val="clear"/>
        <w:spacing w:after="240" w:line="240" w:lineRule="auto"/>
        <w:rPr>
          <w:sz w:val="24"/>
          <w:szCs w:val="24"/>
          <w:highlight w:val="white"/>
        </w:rPr>
      </w:pPr>
      <w:r w:rsidDel="00000000" w:rsidR="00000000" w:rsidRPr="00000000">
        <w:rPr>
          <w:b w:val="1"/>
          <w:sz w:val="24"/>
          <w:szCs w:val="24"/>
          <w:highlight w:val="white"/>
          <w:rtl w:val="0"/>
        </w:rPr>
        <w:t xml:space="preserve">Predictor variables: </w:t>
      </w:r>
      <w:r w:rsidDel="00000000" w:rsidR="00000000" w:rsidRPr="00000000">
        <w:rPr>
          <w:sz w:val="24"/>
          <w:szCs w:val="24"/>
          <w:highlight w:val="white"/>
          <w:rtl w:val="0"/>
        </w:rPr>
        <w:t xml:space="preserve">B</w:t>
      </w:r>
      <w:r w:rsidDel="00000000" w:rsidR="00000000" w:rsidRPr="00000000">
        <w:rPr>
          <w:sz w:val="24"/>
          <w:szCs w:val="24"/>
          <w:highlight w:val="white"/>
          <w:rtl w:val="0"/>
        </w:rPr>
        <w:t xml:space="preserve">amlanivimab, casirivimab/imdevimab</w:t>
      </w:r>
    </w:p>
    <w:p w:rsidR="00000000" w:rsidDel="00000000" w:rsidP="00000000" w:rsidRDefault="00000000" w:rsidRPr="00000000" w14:paraId="00000024">
      <w:pPr>
        <w:shd w:fill="ffffff" w:val="clear"/>
        <w:spacing w:after="240" w:line="240" w:lineRule="auto"/>
        <w:rPr>
          <w:sz w:val="24"/>
          <w:szCs w:val="24"/>
          <w:highlight w:val="white"/>
        </w:rPr>
      </w:pPr>
      <w:r w:rsidDel="00000000" w:rsidR="00000000" w:rsidRPr="00000000">
        <w:rPr>
          <w:b w:val="1"/>
          <w:sz w:val="24"/>
          <w:szCs w:val="24"/>
          <w:highlight w:val="white"/>
          <w:rtl w:val="0"/>
        </w:rPr>
        <w:t xml:space="preserve">Outcome variables:</w:t>
      </w:r>
      <w:r w:rsidDel="00000000" w:rsidR="00000000" w:rsidRPr="00000000">
        <w:rPr>
          <w:sz w:val="24"/>
          <w:szCs w:val="24"/>
          <w:highlight w:val="white"/>
          <w:rtl w:val="0"/>
        </w:rPr>
        <w:t xml:space="preserve"> ED length of stay, ED readmission within 30 days, rehospitalizations within 30 days</w:t>
      </w:r>
    </w:p>
    <w:p w:rsidR="00000000" w:rsidDel="00000000" w:rsidP="00000000" w:rsidRDefault="00000000" w:rsidRPr="00000000" w14:paraId="00000025">
      <w:pPr>
        <w:shd w:fill="ffffff" w:val="clear"/>
        <w:spacing w:after="240" w:line="240" w:lineRule="auto"/>
        <w:rPr>
          <w:sz w:val="24"/>
          <w:szCs w:val="24"/>
          <w:highlight w:val="white"/>
        </w:rPr>
      </w:pPr>
      <w:r w:rsidDel="00000000" w:rsidR="00000000" w:rsidRPr="00000000">
        <w:rPr>
          <w:b w:val="1"/>
          <w:sz w:val="24"/>
          <w:szCs w:val="24"/>
          <w:highlight w:val="white"/>
          <w:rtl w:val="0"/>
        </w:rPr>
        <w:t xml:space="preserve">Confounders: </w:t>
      </w:r>
      <w:r w:rsidDel="00000000" w:rsidR="00000000" w:rsidRPr="00000000">
        <w:rPr>
          <w:sz w:val="24"/>
          <w:szCs w:val="24"/>
          <w:highlight w:val="white"/>
          <w:rtl w:val="0"/>
        </w:rPr>
        <w:t xml:space="preserve">Comorbidities ie. chronic lung disease, diabetes, cardiovascular disease, immunosuppression, COVID vaccine (Moderna, Pfizer or Johnson and Johnson)</w:t>
      </w:r>
    </w:p>
    <w:p w:rsidR="00000000" w:rsidDel="00000000" w:rsidP="00000000" w:rsidRDefault="00000000" w:rsidRPr="00000000" w14:paraId="00000026">
      <w:pPr>
        <w:shd w:fill="ffffff" w:val="clear"/>
        <w:spacing w:after="240" w:line="240" w:lineRule="auto"/>
        <w:rPr>
          <w:color w:val="212529"/>
          <w:sz w:val="24"/>
          <w:szCs w:val="24"/>
          <w:highlight w:val="white"/>
        </w:rPr>
      </w:pPr>
      <w:r w:rsidDel="00000000" w:rsidR="00000000" w:rsidRPr="00000000">
        <w:rPr>
          <w:b w:val="1"/>
          <w:sz w:val="24"/>
          <w:szCs w:val="24"/>
          <w:highlight w:val="white"/>
          <w:rtl w:val="0"/>
        </w:rPr>
        <w:t xml:space="preserve">Statistical Analysis</w:t>
      </w:r>
      <w:r w:rsidDel="00000000" w:rsidR="00000000" w:rsidRPr="00000000">
        <w:rPr>
          <w:rtl w:val="0"/>
        </w:rPr>
      </w:r>
    </w:p>
    <w:p w:rsidR="00000000" w:rsidDel="00000000" w:rsidP="00000000" w:rsidRDefault="00000000" w:rsidRPr="00000000" w14:paraId="00000027">
      <w:pPr>
        <w:shd w:fill="ffffff" w:val="clear"/>
        <w:spacing w:after="240" w:line="240" w:lineRule="auto"/>
        <w:rPr>
          <w:color w:val="212529"/>
          <w:sz w:val="24"/>
          <w:szCs w:val="24"/>
          <w:highlight w:val="white"/>
        </w:rPr>
      </w:pPr>
      <w:r w:rsidDel="00000000" w:rsidR="00000000" w:rsidRPr="00000000">
        <w:rPr>
          <w:color w:val="212529"/>
          <w:sz w:val="24"/>
          <w:szCs w:val="24"/>
          <w:highlight w:val="white"/>
          <w:rtl w:val="0"/>
        </w:rPr>
        <w:t xml:space="preserve">Our current hypothesis is that there will be a difference in rates of hospitalization and ED readmission between those who received either MAB infusions vs. no MAB at all. The predictor variables are bamlanivumab, casirivimab/imdevimab vs. no MAB so this will be more dichotomous in nature. The outcome is continuous and skewed as the time to ED readmission or hospitalization within 30 days is measured in days. Based on this information, a Kaplan-Meier would be most appropriate to analyze our outcome as survival analyses are best fit for continuous data. </w:t>
      </w:r>
    </w:p>
    <w:p w:rsidR="00000000" w:rsidDel="00000000" w:rsidP="00000000" w:rsidRDefault="00000000" w:rsidRPr="00000000" w14:paraId="00000028">
      <w:pPr>
        <w:shd w:fill="ffffff" w:val="clear"/>
        <w:spacing w:after="240" w:line="240" w:lineRule="auto"/>
        <w:rPr>
          <w:sz w:val="24"/>
          <w:szCs w:val="24"/>
          <w:highlight w:val="white"/>
        </w:rPr>
      </w:pPr>
      <w:r w:rsidDel="00000000" w:rsidR="00000000" w:rsidRPr="00000000">
        <w:rPr>
          <w:color w:val="212529"/>
          <w:sz w:val="24"/>
          <w:szCs w:val="24"/>
          <w:highlight w:val="white"/>
          <w:rtl w:val="0"/>
        </w:rPr>
        <w:t xml:space="preserve">With comparator populations of n=400 (MABs) and n=200 (controls) and the effect size~0.15, the study would have 80% power to detect a P1 of 0.072 and the risk ratio= 0.480. Therefore if the patients who received MABs have half of the risk compared to those who did not receive MABs, then there may be a detectable difference.</w:t>
      </w:r>
      <w:r w:rsidDel="00000000" w:rsidR="00000000" w:rsidRPr="00000000">
        <w:rPr>
          <w:rtl w:val="0"/>
        </w:rPr>
      </w:r>
    </w:p>
    <w:p w:rsidR="00000000" w:rsidDel="00000000" w:rsidP="00000000" w:rsidRDefault="00000000" w:rsidRPr="00000000" w14:paraId="00000029">
      <w:pPr>
        <w:shd w:fill="ffffff" w:val="clear"/>
        <w:spacing w:after="240" w:line="240" w:lineRule="auto"/>
        <w:rPr>
          <w:b w:val="1"/>
          <w:sz w:val="24"/>
          <w:szCs w:val="24"/>
          <w:highlight w:val="white"/>
        </w:rPr>
      </w:pPr>
      <w:r w:rsidDel="00000000" w:rsidR="00000000" w:rsidRPr="00000000">
        <w:rPr>
          <w:color w:val="212529"/>
          <w:sz w:val="24"/>
          <w:szCs w:val="24"/>
          <w:highlight w:val="white"/>
          <w:rtl w:val="0"/>
        </w:rPr>
        <w:t xml:space="preserve">We decided to go with a two tailed test because we are unsure of whether the rate of hospitalizations/ED readmissions will be greater than or less than those who did not receive MABs. This will give us larger flexibility because we cannot be too confident that the outcome would be one-directional.</w:t>
      </w:r>
      <w:r w:rsidDel="00000000" w:rsidR="00000000" w:rsidRPr="00000000">
        <w:rPr>
          <w:rtl w:val="0"/>
        </w:rPr>
      </w:r>
    </w:p>
    <w:p w:rsidR="00000000" w:rsidDel="00000000" w:rsidP="00000000" w:rsidRDefault="00000000" w:rsidRPr="00000000" w14:paraId="0000002A">
      <w:pPr>
        <w:shd w:fill="ffffff" w:val="clear"/>
        <w:spacing w:after="240" w:line="240" w:lineRule="auto"/>
        <w:rPr>
          <w:sz w:val="24"/>
          <w:szCs w:val="24"/>
        </w:rPr>
      </w:pPr>
      <w:r w:rsidDel="00000000" w:rsidR="00000000" w:rsidRPr="00000000">
        <w:rPr>
          <w:b w:val="1"/>
          <w:sz w:val="24"/>
          <w:szCs w:val="24"/>
          <w:highlight w:val="white"/>
          <w:rtl w:val="0"/>
        </w:rPr>
        <w:t xml:space="preserve">Ethical Considerations: </w:t>
      </w:r>
      <w:r w:rsidDel="00000000" w:rsidR="00000000" w:rsidRPr="00000000">
        <w:rPr>
          <w:sz w:val="24"/>
          <w:szCs w:val="24"/>
          <w:highlight w:val="white"/>
          <w:rtl w:val="0"/>
        </w:rPr>
        <w:t xml:space="preserve">Data collected via chart reviews will have already been part of each patient’s work-up and treatment plan. Once entered into our data collection tool REDCap, no identifying information will be utilized.</w:t>
      </w:r>
      <w:r w:rsidDel="00000000" w:rsidR="00000000" w:rsidRPr="00000000">
        <w:rPr>
          <w:rtl w:val="0"/>
        </w:rPr>
      </w:r>
    </w:p>
    <w:p w:rsidR="00000000" w:rsidDel="00000000" w:rsidP="00000000" w:rsidRDefault="00000000" w:rsidRPr="00000000" w14:paraId="0000002B">
      <w:pPr>
        <w:spacing w:line="240" w:lineRule="auto"/>
        <w:rPr>
          <w:sz w:val="24"/>
          <w:szCs w:val="24"/>
        </w:rPr>
      </w:pPr>
      <w:r w:rsidDel="00000000" w:rsidR="00000000" w:rsidRPr="00000000">
        <w:rPr>
          <w:rtl w:val="0"/>
        </w:rPr>
      </w:r>
    </w:p>
    <w:p w:rsidR="00000000" w:rsidDel="00000000" w:rsidP="00000000" w:rsidRDefault="00000000" w:rsidRPr="00000000" w14:paraId="0000002C">
      <w:pPr>
        <w:spacing w:line="240" w:lineRule="auto"/>
        <w:rPr>
          <w:b w:val="1"/>
          <w:sz w:val="24"/>
          <w:szCs w:val="24"/>
        </w:rPr>
      </w:pPr>
      <w:r w:rsidDel="00000000" w:rsidR="00000000" w:rsidRPr="00000000">
        <w:rPr>
          <w:b w:val="1"/>
          <w:sz w:val="24"/>
          <w:szCs w:val="24"/>
          <w:rtl w:val="0"/>
        </w:rPr>
        <w:t xml:space="preserve">References</w:t>
      </w:r>
      <w:r w:rsidDel="00000000" w:rsidR="00000000" w:rsidRPr="00000000">
        <w:rPr>
          <w:rtl w:val="0"/>
        </w:rPr>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240" w:before="240" w:line="240" w:lineRule="auto"/>
        <w:ind w:left="480" w:right="0" w:hanging="480"/>
        <w:jc w:val="left"/>
        <w:rPr>
          <w:b w:val="0"/>
          <w:i w:val="0"/>
          <w:color w:val="000000"/>
          <w:sz w:val="24"/>
          <w:szCs w:val="24"/>
        </w:rPr>
      </w:pPr>
      <w:r w:rsidDel="00000000" w:rsidR="00000000" w:rsidRPr="00000000">
        <w:rPr>
          <w:b w:val="0"/>
          <w:i w:val="0"/>
          <w:color w:val="000000"/>
          <w:sz w:val="24"/>
          <w:szCs w:val="24"/>
          <w:rtl w:val="0"/>
        </w:rPr>
        <w:t xml:space="preserve">1. </w:t>
        <w:tab/>
      </w:r>
      <w:hyperlink r:id="rId10">
        <w:r w:rsidDel="00000000" w:rsidR="00000000" w:rsidRPr="00000000">
          <w:rPr>
            <w:b w:val="0"/>
            <w:i w:val="0"/>
            <w:color w:val="000000"/>
            <w:sz w:val="24"/>
            <w:szCs w:val="24"/>
            <w:u w:val="none"/>
            <w:rtl w:val="0"/>
          </w:rPr>
          <w:t xml:space="preserve">Chen P, Nirula A, Heller B, et al. SARS-CoV-2 Neutralizing Antibody LY-CoV555 in Outpatients with Covid-19. </w:t>
        </w:r>
      </w:hyperlink>
      <w:hyperlink r:id="rId11">
        <w:r w:rsidDel="00000000" w:rsidR="00000000" w:rsidRPr="00000000">
          <w:rPr>
            <w:b w:val="0"/>
            <w:i w:val="1"/>
            <w:color w:val="000000"/>
            <w:sz w:val="24"/>
            <w:szCs w:val="24"/>
            <w:u w:val="none"/>
            <w:rtl w:val="0"/>
          </w:rPr>
          <w:t xml:space="preserve">N Engl J Med</w:t>
        </w:r>
      </w:hyperlink>
      <w:hyperlink r:id="rId12">
        <w:r w:rsidDel="00000000" w:rsidR="00000000" w:rsidRPr="00000000">
          <w:rPr>
            <w:b w:val="0"/>
            <w:i w:val="0"/>
            <w:color w:val="000000"/>
            <w:sz w:val="24"/>
            <w:szCs w:val="24"/>
            <w:u w:val="none"/>
            <w:rtl w:val="0"/>
          </w:rPr>
          <w:t xml:space="preserve">. 2021;384(3):229-237.</w:t>
        </w:r>
      </w:hyperlink>
      <w:r w:rsidDel="00000000" w:rsidR="00000000" w:rsidRPr="00000000">
        <w:rPr>
          <w:rtl w:val="0"/>
        </w:rPr>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240" w:before="0" w:line="240" w:lineRule="auto"/>
        <w:ind w:left="480" w:right="0" w:hanging="480"/>
        <w:jc w:val="left"/>
        <w:rPr>
          <w:b w:val="0"/>
          <w:i w:val="0"/>
          <w:color w:val="000000"/>
          <w:sz w:val="24"/>
          <w:szCs w:val="24"/>
        </w:rPr>
      </w:pPr>
      <w:r w:rsidDel="00000000" w:rsidR="00000000" w:rsidRPr="00000000">
        <w:rPr>
          <w:b w:val="0"/>
          <w:i w:val="0"/>
          <w:color w:val="000000"/>
          <w:sz w:val="24"/>
          <w:szCs w:val="24"/>
          <w:rtl w:val="0"/>
        </w:rPr>
        <w:t xml:space="preserve">2. </w:t>
        <w:tab/>
      </w:r>
      <w:hyperlink r:id="rId13">
        <w:r w:rsidDel="00000000" w:rsidR="00000000" w:rsidRPr="00000000">
          <w:rPr>
            <w:b w:val="0"/>
            <w:i w:val="0"/>
            <w:color w:val="000000"/>
            <w:sz w:val="24"/>
            <w:szCs w:val="24"/>
            <w:u w:val="none"/>
            <w:rtl w:val="0"/>
          </w:rPr>
          <w:t xml:space="preserve">Weinreich DM, Sivapalasingam S, Norton T, et al. REGN-COV2, a Neutralizing Antibody Cocktail, in Outpatients with Covid-19. </w:t>
        </w:r>
      </w:hyperlink>
      <w:hyperlink r:id="rId14">
        <w:r w:rsidDel="00000000" w:rsidR="00000000" w:rsidRPr="00000000">
          <w:rPr>
            <w:b w:val="0"/>
            <w:i w:val="1"/>
            <w:color w:val="000000"/>
            <w:sz w:val="24"/>
            <w:szCs w:val="24"/>
            <w:u w:val="none"/>
            <w:rtl w:val="0"/>
          </w:rPr>
          <w:t xml:space="preserve">N Engl J Med</w:t>
        </w:r>
      </w:hyperlink>
      <w:hyperlink r:id="rId15">
        <w:r w:rsidDel="00000000" w:rsidR="00000000" w:rsidRPr="00000000">
          <w:rPr>
            <w:b w:val="0"/>
            <w:i w:val="0"/>
            <w:color w:val="000000"/>
            <w:sz w:val="24"/>
            <w:szCs w:val="24"/>
            <w:u w:val="none"/>
            <w:rtl w:val="0"/>
          </w:rPr>
          <w:t xml:space="preserve">. 2021;384(3):238-251.</w:t>
        </w:r>
      </w:hyperlink>
      <w:r w:rsidDel="00000000" w:rsidR="00000000" w:rsidRPr="00000000">
        <w:rPr>
          <w:rtl w:val="0"/>
        </w:rPr>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240" w:before="0" w:line="240" w:lineRule="auto"/>
        <w:ind w:left="480" w:right="0" w:hanging="480"/>
        <w:jc w:val="left"/>
        <w:rPr>
          <w:b w:val="0"/>
          <w:i w:val="0"/>
          <w:color w:val="000000"/>
          <w:sz w:val="24"/>
          <w:szCs w:val="24"/>
        </w:rPr>
      </w:pPr>
      <w:r w:rsidDel="00000000" w:rsidR="00000000" w:rsidRPr="00000000">
        <w:rPr>
          <w:b w:val="0"/>
          <w:i w:val="0"/>
          <w:color w:val="000000"/>
          <w:sz w:val="24"/>
          <w:szCs w:val="24"/>
          <w:rtl w:val="0"/>
        </w:rPr>
        <w:t xml:space="preserve">3. </w:t>
        <w:tab/>
      </w:r>
      <w:hyperlink r:id="rId16">
        <w:r w:rsidDel="00000000" w:rsidR="00000000" w:rsidRPr="00000000">
          <w:rPr>
            <w:b w:val="0"/>
            <w:i w:val="0"/>
            <w:color w:val="000000"/>
            <w:sz w:val="24"/>
            <w:szCs w:val="24"/>
            <w:u w:val="none"/>
            <w:rtl w:val="0"/>
          </w:rPr>
          <w:t xml:space="preserve">Casirivimab–Imdevimab treatment is associated with reduced rates of hospitalization among high-risk patients with mild to moderate coronavirus disease-19. </w:t>
        </w:r>
      </w:hyperlink>
      <w:hyperlink r:id="rId17">
        <w:r w:rsidDel="00000000" w:rsidR="00000000" w:rsidRPr="00000000">
          <w:rPr>
            <w:b w:val="0"/>
            <w:i w:val="1"/>
            <w:color w:val="000000"/>
            <w:sz w:val="24"/>
            <w:szCs w:val="24"/>
            <w:u w:val="none"/>
            <w:rtl w:val="0"/>
          </w:rPr>
          <w:t xml:space="preserve">EClinicalMedicine</w:t>
        </w:r>
      </w:hyperlink>
      <w:hyperlink r:id="rId18">
        <w:r w:rsidDel="00000000" w:rsidR="00000000" w:rsidRPr="00000000">
          <w:rPr>
            <w:b w:val="0"/>
            <w:i w:val="0"/>
            <w:color w:val="000000"/>
            <w:sz w:val="24"/>
            <w:szCs w:val="24"/>
            <w:u w:val="none"/>
            <w:rtl w:val="0"/>
          </w:rPr>
          <w:t xml:space="preserve">. Published online August 30, 2021:101102.</w:t>
        </w:r>
      </w:hyperlink>
      <w:r w:rsidDel="00000000" w:rsidR="00000000" w:rsidRPr="00000000">
        <w:rPr>
          <w:rtl w:val="0"/>
        </w:rPr>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240" w:before="0" w:line="240" w:lineRule="auto"/>
        <w:ind w:left="480" w:right="0" w:hanging="480"/>
        <w:jc w:val="left"/>
        <w:rPr>
          <w:b w:val="0"/>
          <w:i w:val="0"/>
          <w:color w:val="000000"/>
          <w:sz w:val="24"/>
          <w:szCs w:val="24"/>
        </w:rPr>
      </w:pPr>
      <w:r w:rsidDel="00000000" w:rsidR="00000000" w:rsidRPr="00000000">
        <w:rPr>
          <w:b w:val="0"/>
          <w:i w:val="0"/>
          <w:color w:val="000000"/>
          <w:sz w:val="24"/>
          <w:szCs w:val="24"/>
          <w:rtl w:val="0"/>
        </w:rPr>
        <w:t xml:space="preserve">4. </w:t>
        <w:tab/>
      </w:r>
      <w:hyperlink r:id="rId19">
        <w:r w:rsidDel="00000000" w:rsidR="00000000" w:rsidRPr="00000000">
          <w:rPr>
            <w:b w:val="0"/>
            <w:i w:val="0"/>
            <w:color w:val="000000"/>
            <w:sz w:val="24"/>
            <w:szCs w:val="24"/>
            <w:u w:val="none"/>
            <w:rtl w:val="0"/>
          </w:rPr>
          <w:t xml:space="preserve">Ganesh R, Philpot LM, Bierle DM, et al. Real-World Clinical Outcomes of Bamlanivimab and Casirivimab-Imdevimab among High-Risk Patients with Mild to Moderate Coronavirus Disease 2019. </w:t>
        </w:r>
      </w:hyperlink>
      <w:hyperlink r:id="rId20">
        <w:r w:rsidDel="00000000" w:rsidR="00000000" w:rsidRPr="00000000">
          <w:rPr>
            <w:b w:val="0"/>
            <w:i w:val="1"/>
            <w:color w:val="000000"/>
            <w:sz w:val="24"/>
            <w:szCs w:val="24"/>
            <w:u w:val="none"/>
            <w:rtl w:val="0"/>
          </w:rPr>
          <w:t xml:space="preserve">J Infect Dis</w:t>
        </w:r>
      </w:hyperlink>
      <w:hyperlink r:id="rId21">
        <w:r w:rsidDel="00000000" w:rsidR="00000000" w:rsidRPr="00000000">
          <w:rPr>
            <w:b w:val="0"/>
            <w:i w:val="0"/>
            <w:color w:val="000000"/>
            <w:sz w:val="24"/>
            <w:szCs w:val="24"/>
            <w:u w:val="none"/>
            <w:rtl w:val="0"/>
          </w:rPr>
          <w:t xml:space="preserve">. Published online July 19, 2021. doi:</w:t>
        </w:r>
      </w:hyperlink>
      <w:hyperlink r:id="rId22">
        <w:r w:rsidDel="00000000" w:rsidR="00000000" w:rsidRPr="00000000">
          <w:rPr>
            <w:b w:val="0"/>
            <w:i w:val="0"/>
            <w:color w:val="000000"/>
            <w:sz w:val="24"/>
            <w:szCs w:val="24"/>
            <w:u w:val="none"/>
            <w:rtl w:val="0"/>
          </w:rPr>
          <w:t xml:space="preserve">10.1093/infdis/jiab377</w:t>
        </w:r>
      </w:hyperlink>
      <w:r w:rsidDel="00000000" w:rsidR="00000000" w:rsidRPr="00000000">
        <w:rPr>
          <w:rtl w:val="0"/>
        </w:rPr>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highlight w:val="yellow"/>
        </w:rPr>
      </w:pPr>
      <w:r w:rsidDel="00000000" w:rsidR="00000000" w:rsidRPr="00000000">
        <w:rPr>
          <w:rtl w:val="0"/>
        </w:rPr>
      </w:r>
    </w:p>
    <w:sectPr>
      <w:headerReference r:id="rId23"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2">
    <w:pPr>
      <w:jc w:val="right"/>
      <w:rPr/>
    </w:pPr>
    <w:r w:rsidDel="00000000" w:rsidR="00000000" w:rsidRPr="00000000">
      <w:rPr>
        <w:rtl w:val="0"/>
      </w:rPr>
      <w:t xml:space="preserve">Allison Lee</w:t>
    </w:r>
  </w:p>
  <w:p w:rsidR="00000000" w:rsidDel="00000000" w:rsidP="00000000" w:rsidRDefault="00000000" w:rsidRPr="00000000" w14:paraId="00000033">
    <w:pPr>
      <w:jc w:val="right"/>
      <w:rPr/>
    </w:pPr>
    <w:r w:rsidDel="00000000" w:rsidR="00000000" w:rsidRPr="00000000">
      <w:rPr>
        <w:rtl w:val="0"/>
      </w:rPr>
      <w:t xml:space="preserve">Section Leader: Valerie Flaherman</w:t>
    </w:r>
  </w:p>
  <w:p w:rsidR="00000000" w:rsidDel="00000000" w:rsidP="00000000" w:rsidRDefault="00000000" w:rsidRPr="00000000" w14:paraId="00000034">
    <w:pPr>
      <w:jc w:val="right"/>
      <w:rPr>
        <w:i w:val="1"/>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20" Type="http://schemas.openxmlformats.org/officeDocument/2006/relationships/hyperlink" Target="http://paperpile.com/b/hbSovB/4jn0" TargetMode="External"/><Relationship Id="rId11" Type="http://schemas.openxmlformats.org/officeDocument/2006/relationships/hyperlink" Target="http://paperpile.com/b/hbSovB/nMcw" TargetMode="External"/><Relationship Id="rId22" Type="http://schemas.openxmlformats.org/officeDocument/2006/relationships/hyperlink" Target="http://dx.doi.org/10.1093/infdis/jiab377" TargetMode="External"/><Relationship Id="rId10" Type="http://schemas.openxmlformats.org/officeDocument/2006/relationships/hyperlink" Target="http://paperpile.com/b/hbSovB/nMcw" TargetMode="External"/><Relationship Id="rId21" Type="http://schemas.openxmlformats.org/officeDocument/2006/relationships/hyperlink" Target="http://paperpile.com/b/hbSovB/4jn0" TargetMode="External"/><Relationship Id="rId13" Type="http://schemas.openxmlformats.org/officeDocument/2006/relationships/hyperlink" Target="http://paperpile.com/b/hbSovB/9aTp" TargetMode="External"/><Relationship Id="rId12" Type="http://schemas.openxmlformats.org/officeDocument/2006/relationships/hyperlink" Target="http://paperpile.com/b/hbSovB/nMcw" TargetMode="External"/><Relationship Id="rId23" Type="http://schemas.openxmlformats.org/officeDocument/2006/relationships/header" Target="head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paperpile.com/c/hbSovB/4jn0" TargetMode="External"/><Relationship Id="rId15" Type="http://schemas.openxmlformats.org/officeDocument/2006/relationships/hyperlink" Target="http://paperpile.com/b/hbSovB/9aTp" TargetMode="External"/><Relationship Id="rId14" Type="http://schemas.openxmlformats.org/officeDocument/2006/relationships/hyperlink" Target="http://paperpile.com/b/hbSovB/9aTp" TargetMode="External"/><Relationship Id="rId17" Type="http://schemas.openxmlformats.org/officeDocument/2006/relationships/hyperlink" Target="http://paperpile.com/b/hbSovB/SGG6" TargetMode="External"/><Relationship Id="rId16" Type="http://schemas.openxmlformats.org/officeDocument/2006/relationships/hyperlink" Target="http://paperpile.com/b/hbSovB/SGG6" TargetMode="External"/><Relationship Id="rId5" Type="http://schemas.openxmlformats.org/officeDocument/2006/relationships/styles" Target="styles.xml"/><Relationship Id="rId19" Type="http://schemas.openxmlformats.org/officeDocument/2006/relationships/hyperlink" Target="http://paperpile.com/b/hbSovB/4jn0" TargetMode="External"/><Relationship Id="rId6" Type="http://schemas.openxmlformats.org/officeDocument/2006/relationships/hyperlink" Target="https://paperpile.com/c/hbSovB/nMcw" TargetMode="External"/><Relationship Id="rId18" Type="http://schemas.openxmlformats.org/officeDocument/2006/relationships/hyperlink" Target="http://paperpile.com/b/hbSovB/SGG6" TargetMode="External"/><Relationship Id="rId7" Type="http://schemas.openxmlformats.org/officeDocument/2006/relationships/hyperlink" Target="https://paperpile.com/c/hbSovB/9aTp" TargetMode="External"/><Relationship Id="rId8" Type="http://schemas.openxmlformats.org/officeDocument/2006/relationships/hyperlink" Target="https://paperpile.com/c/hbSovB/SGG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