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DA31" w14:textId="138825F4" w:rsidR="0009784A" w:rsidRPr="0009784A" w:rsidRDefault="0009784A" w:rsidP="0009784A">
      <w:pPr>
        <w:ind w:left="720" w:hanging="360"/>
        <w:jc w:val="right"/>
        <w:rPr>
          <w:rFonts w:ascii="Times New Roman" w:hAnsi="Times New Roman" w:cs="Times New Roman"/>
        </w:rPr>
      </w:pPr>
      <w:r w:rsidRPr="0009784A">
        <w:rPr>
          <w:rFonts w:ascii="Times New Roman" w:hAnsi="Times New Roman" w:cs="Times New Roman"/>
        </w:rPr>
        <w:t>Megan Humphrey, MD</w:t>
      </w:r>
    </w:p>
    <w:p w14:paraId="6D69C9E8" w14:textId="61A21D0B" w:rsidR="0009784A" w:rsidRPr="0009784A" w:rsidRDefault="0009784A" w:rsidP="0009784A">
      <w:pPr>
        <w:ind w:left="720" w:hanging="360"/>
        <w:jc w:val="right"/>
        <w:rPr>
          <w:rFonts w:ascii="Times New Roman" w:hAnsi="Times New Roman" w:cs="Times New Roman"/>
        </w:rPr>
      </w:pPr>
      <w:r w:rsidRPr="0009784A">
        <w:rPr>
          <w:rFonts w:ascii="Times New Roman" w:hAnsi="Times New Roman" w:cs="Times New Roman"/>
        </w:rPr>
        <w:t>Beth Cohen, MD</w:t>
      </w:r>
    </w:p>
    <w:p w14:paraId="12DAA653" w14:textId="304806CE" w:rsidR="0009784A" w:rsidRPr="0009784A" w:rsidRDefault="0009784A" w:rsidP="00AA4EB0">
      <w:pPr>
        <w:ind w:left="720" w:hanging="360"/>
        <w:rPr>
          <w:rFonts w:ascii="Times New Roman" w:hAnsi="Times New Roman" w:cs="Times New Roman"/>
        </w:rPr>
      </w:pPr>
    </w:p>
    <w:p w14:paraId="5639CA5A" w14:textId="49DE78AD" w:rsidR="0009784A" w:rsidRPr="0009784A" w:rsidRDefault="0009784A" w:rsidP="0009784A">
      <w:pPr>
        <w:ind w:left="720" w:hanging="360"/>
        <w:jc w:val="right"/>
        <w:rPr>
          <w:rFonts w:ascii="Times New Roman" w:hAnsi="Times New Roman" w:cs="Times New Roman"/>
        </w:rPr>
      </w:pPr>
      <w:r w:rsidRPr="0009784A">
        <w:rPr>
          <w:rFonts w:ascii="Times New Roman" w:hAnsi="Times New Roman" w:cs="Times New Roman"/>
        </w:rPr>
        <w:t>Participate in Protocol Critique?</w:t>
      </w:r>
    </w:p>
    <w:p w14:paraId="7FC902AE" w14:textId="6C094762" w:rsidR="0009784A" w:rsidRDefault="0009784A" w:rsidP="0009784A">
      <w:pPr>
        <w:ind w:left="720" w:hanging="360"/>
        <w:jc w:val="right"/>
        <w:rPr>
          <w:rFonts w:ascii="Times New Roman" w:hAnsi="Times New Roman" w:cs="Times New Roman"/>
        </w:rPr>
      </w:pPr>
      <w:r w:rsidRPr="0009784A">
        <w:rPr>
          <w:rFonts w:ascii="Times New Roman" w:hAnsi="Times New Roman" w:cs="Times New Roman"/>
        </w:rPr>
        <w:t>No</w:t>
      </w:r>
    </w:p>
    <w:p w14:paraId="3B046261" w14:textId="77777777" w:rsidR="0054267E" w:rsidRPr="0009784A" w:rsidRDefault="0054267E" w:rsidP="0009784A">
      <w:pPr>
        <w:ind w:left="720" w:hanging="360"/>
        <w:jc w:val="right"/>
        <w:rPr>
          <w:rFonts w:ascii="Times New Roman" w:hAnsi="Times New Roman" w:cs="Times New Roman"/>
        </w:rPr>
      </w:pPr>
    </w:p>
    <w:p w14:paraId="42EC7C93" w14:textId="0573E71A" w:rsidR="0009784A" w:rsidRPr="0009784A" w:rsidRDefault="0009784A" w:rsidP="00AA4EB0">
      <w:pPr>
        <w:ind w:left="720" w:hanging="360"/>
        <w:rPr>
          <w:rFonts w:ascii="Times New Roman" w:hAnsi="Times New Roman" w:cs="Times New Roman"/>
        </w:rPr>
      </w:pPr>
    </w:p>
    <w:p w14:paraId="4A757FCD" w14:textId="43C1779C" w:rsidR="0009784A" w:rsidRPr="0009784A" w:rsidRDefault="0009784A" w:rsidP="0009784A">
      <w:pPr>
        <w:ind w:left="720" w:hanging="360"/>
        <w:jc w:val="center"/>
        <w:rPr>
          <w:rFonts w:ascii="Times New Roman" w:hAnsi="Times New Roman" w:cs="Times New Roman"/>
        </w:rPr>
      </w:pPr>
      <w:r w:rsidRPr="0009784A">
        <w:rPr>
          <w:rFonts w:ascii="Times New Roman" w:hAnsi="Times New Roman" w:cs="Times New Roman"/>
        </w:rPr>
        <w:t xml:space="preserve">A Comparison of </w:t>
      </w:r>
      <w:proofErr w:type="spellStart"/>
      <w:r w:rsidRPr="0009784A">
        <w:rPr>
          <w:rFonts w:ascii="Times New Roman" w:hAnsi="Times New Roman" w:cs="Times New Roman"/>
        </w:rPr>
        <w:t>Entrustable</w:t>
      </w:r>
      <w:proofErr w:type="spellEnd"/>
      <w:r w:rsidRPr="0009784A">
        <w:rPr>
          <w:rFonts w:ascii="Times New Roman" w:hAnsi="Times New Roman" w:cs="Times New Roman"/>
        </w:rPr>
        <w:t xml:space="preserve"> Professional Activities to Traditional Milestone Evaluations</w:t>
      </w:r>
    </w:p>
    <w:p w14:paraId="70167EF3" w14:textId="7E892C00" w:rsidR="0009784A" w:rsidRPr="0009784A" w:rsidRDefault="0009784A" w:rsidP="0009784A">
      <w:pPr>
        <w:ind w:left="720" w:hanging="360"/>
        <w:jc w:val="center"/>
        <w:rPr>
          <w:rFonts w:ascii="Times New Roman" w:hAnsi="Times New Roman" w:cs="Times New Roman"/>
        </w:rPr>
      </w:pPr>
      <w:r w:rsidRPr="0009784A">
        <w:rPr>
          <w:rFonts w:ascii="Times New Roman" w:hAnsi="Times New Roman" w:cs="Times New Roman"/>
        </w:rPr>
        <w:t xml:space="preserve">Megan Humphrey, MD, Jeff </w:t>
      </w:r>
      <w:proofErr w:type="spellStart"/>
      <w:r w:rsidRPr="0009784A">
        <w:rPr>
          <w:rFonts w:ascii="Times New Roman" w:hAnsi="Times New Roman" w:cs="Times New Roman"/>
        </w:rPr>
        <w:t>K</w:t>
      </w:r>
      <w:r w:rsidRPr="0009784A">
        <w:rPr>
          <w:rFonts w:ascii="Times New Roman" w:hAnsi="Times New Roman" w:cs="Times New Roman"/>
        </w:rPr>
        <w:t>ohlwes</w:t>
      </w:r>
      <w:proofErr w:type="spellEnd"/>
      <w:r w:rsidRPr="0009784A">
        <w:rPr>
          <w:rFonts w:ascii="Times New Roman" w:hAnsi="Times New Roman" w:cs="Times New Roman"/>
        </w:rPr>
        <w:t>, MD, MPH</w:t>
      </w:r>
    </w:p>
    <w:p w14:paraId="6F69F35C" w14:textId="5D4E3984" w:rsidR="0009784A" w:rsidRDefault="00513BDA" w:rsidP="0009784A">
      <w:pPr>
        <w:ind w:left="720" w:hanging="360"/>
        <w:jc w:val="center"/>
        <w:rPr>
          <w:rFonts w:ascii="Times New Roman" w:hAnsi="Times New Roman" w:cs="Times New Roman"/>
        </w:rPr>
      </w:pPr>
      <w:r>
        <w:rPr>
          <w:rFonts w:ascii="Times New Roman" w:hAnsi="Times New Roman" w:cs="Times New Roman"/>
        </w:rPr>
        <w:t>University of California, San Francisco</w:t>
      </w:r>
    </w:p>
    <w:p w14:paraId="1D0168ED" w14:textId="77777777" w:rsidR="00B43CB6" w:rsidRDefault="00B43CB6" w:rsidP="0009784A">
      <w:pPr>
        <w:ind w:left="720" w:hanging="360"/>
        <w:jc w:val="center"/>
        <w:rPr>
          <w:rFonts w:ascii="Times New Roman" w:hAnsi="Times New Roman" w:cs="Times New Roman"/>
        </w:rPr>
      </w:pPr>
    </w:p>
    <w:p w14:paraId="330D1622" w14:textId="77777777" w:rsidR="0054267E" w:rsidRPr="0009784A" w:rsidRDefault="0054267E" w:rsidP="0009784A">
      <w:pPr>
        <w:ind w:left="720" w:hanging="360"/>
        <w:jc w:val="center"/>
        <w:rPr>
          <w:rFonts w:ascii="Times New Roman" w:hAnsi="Times New Roman" w:cs="Times New Roman"/>
        </w:rPr>
      </w:pPr>
    </w:p>
    <w:p w14:paraId="6998068C" w14:textId="0F0E88DA" w:rsidR="0009784A" w:rsidRDefault="0009784A" w:rsidP="0009784A">
      <w:pPr>
        <w:ind w:left="720" w:hanging="360"/>
        <w:rPr>
          <w:rFonts w:ascii="Times New Roman" w:hAnsi="Times New Roman" w:cs="Times New Roman"/>
          <w:i/>
          <w:iCs/>
        </w:rPr>
      </w:pPr>
      <w:r w:rsidRPr="0009784A">
        <w:rPr>
          <w:rFonts w:ascii="Times New Roman" w:hAnsi="Times New Roman" w:cs="Times New Roman"/>
          <w:i/>
          <w:iCs/>
        </w:rPr>
        <w:t xml:space="preserve">Abstract: </w:t>
      </w:r>
    </w:p>
    <w:p w14:paraId="3BA4CF97" w14:textId="77777777" w:rsidR="00B43CB6" w:rsidRPr="0009784A" w:rsidRDefault="00B43CB6" w:rsidP="0009784A">
      <w:pPr>
        <w:ind w:left="720" w:hanging="360"/>
        <w:rPr>
          <w:rFonts w:ascii="Times New Roman" w:hAnsi="Times New Roman" w:cs="Times New Roman"/>
          <w:i/>
          <w:iCs/>
        </w:rPr>
      </w:pPr>
    </w:p>
    <w:p w14:paraId="563041FE" w14:textId="5A239748" w:rsidR="0009784A" w:rsidRPr="0009784A" w:rsidRDefault="0009784A" w:rsidP="0009784A">
      <w:pPr>
        <w:ind w:left="360"/>
        <w:rPr>
          <w:rFonts w:ascii="Times New Roman" w:hAnsi="Times New Roman" w:cs="Times New Roman"/>
        </w:rPr>
      </w:pPr>
      <w:r w:rsidRPr="0009784A">
        <w:rPr>
          <w:rFonts w:ascii="Times New Roman" w:hAnsi="Times New Roman" w:cs="Times New Roman"/>
        </w:rPr>
        <w:t xml:space="preserve">Written evaluations are a backbone of residency feedback and a tool used to determine a resident’s competency and assist a programs ability to determine if a residency can be considered for promotion. At University of California, San Francisco (UCSF), the Internal Medicine Residency wards rotations at different sites have implemented two different evaluation tools: traditional milestone evaluation and </w:t>
      </w:r>
      <w:proofErr w:type="spellStart"/>
      <w:r w:rsidRPr="0009784A">
        <w:rPr>
          <w:rFonts w:ascii="Times New Roman" w:hAnsi="Times New Roman" w:cs="Times New Roman"/>
        </w:rPr>
        <w:t>entrustable</w:t>
      </w:r>
      <w:proofErr w:type="spellEnd"/>
      <w:r w:rsidRPr="0009784A">
        <w:rPr>
          <w:rFonts w:ascii="Times New Roman" w:hAnsi="Times New Roman" w:cs="Times New Roman"/>
        </w:rPr>
        <w:t xml:space="preserve"> professional activities (EPA) evaluation. Since the employment of EPA at UCSF, no comparison has been made to determine if these two tools are comparable in their ability to provide feedback. This study plans to compare the two evaluation tools to deem if </w:t>
      </w:r>
      <w:r w:rsidRPr="0009784A">
        <w:rPr>
          <w:rFonts w:ascii="Times New Roman" w:hAnsi="Times New Roman" w:cs="Times New Roman"/>
          <w:color w:val="212529"/>
        </w:rPr>
        <w:t>EPA evaluations and milestone evaluations will have statistical insignificant differences in average evaluation scores.</w:t>
      </w:r>
    </w:p>
    <w:p w14:paraId="006C86ED" w14:textId="02266874" w:rsidR="0009784A" w:rsidRDefault="0009784A" w:rsidP="0009784A">
      <w:pPr>
        <w:rPr>
          <w:rFonts w:ascii="Times New Roman" w:hAnsi="Times New Roman" w:cs="Times New Roman"/>
        </w:rPr>
      </w:pPr>
    </w:p>
    <w:p w14:paraId="1681DD2B" w14:textId="77777777" w:rsidR="00B43CB6" w:rsidRPr="0009784A" w:rsidRDefault="00B43CB6" w:rsidP="0009784A">
      <w:pPr>
        <w:rPr>
          <w:rFonts w:ascii="Times New Roman" w:hAnsi="Times New Roman" w:cs="Times New Roman"/>
        </w:rPr>
      </w:pPr>
    </w:p>
    <w:p w14:paraId="3334318F" w14:textId="733F4C1A" w:rsidR="0009784A" w:rsidRDefault="00AA4EB0" w:rsidP="0009784A">
      <w:pPr>
        <w:ind w:left="360"/>
        <w:rPr>
          <w:rFonts w:ascii="Times New Roman" w:hAnsi="Times New Roman" w:cs="Times New Roman"/>
          <w:i/>
          <w:iCs/>
        </w:rPr>
      </w:pPr>
      <w:r w:rsidRPr="0009784A">
        <w:rPr>
          <w:rFonts w:ascii="Times New Roman" w:hAnsi="Times New Roman" w:cs="Times New Roman"/>
          <w:i/>
          <w:iCs/>
        </w:rPr>
        <w:t>Research question:</w:t>
      </w:r>
    </w:p>
    <w:p w14:paraId="5E57817F" w14:textId="77777777" w:rsidR="00D87E0C" w:rsidRPr="0009784A" w:rsidRDefault="00D87E0C" w:rsidP="0009784A">
      <w:pPr>
        <w:ind w:left="360"/>
        <w:rPr>
          <w:rFonts w:ascii="Times New Roman" w:hAnsi="Times New Roman" w:cs="Times New Roman"/>
          <w:i/>
          <w:iCs/>
        </w:rPr>
      </w:pPr>
    </w:p>
    <w:p w14:paraId="4DEF946C" w14:textId="4B56951A" w:rsidR="0009784A" w:rsidRDefault="0009784A" w:rsidP="0009784A">
      <w:pPr>
        <w:ind w:left="360"/>
        <w:rPr>
          <w:rFonts w:ascii="Times New Roman" w:hAnsi="Times New Roman" w:cs="Times New Roman"/>
        </w:rPr>
      </w:pPr>
      <w:r w:rsidRPr="0009784A">
        <w:rPr>
          <w:rFonts w:ascii="Times New Roman" w:hAnsi="Times New Roman" w:cs="Times New Roman"/>
        </w:rPr>
        <w:t>A</w:t>
      </w:r>
      <w:r w:rsidRPr="0009784A">
        <w:rPr>
          <w:rFonts w:ascii="Times New Roman" w:hAnsi="Times New Roman" w:cs="Times New Roman"/>
        </w:rPr>
        <w:t>re average EPA and milestone scores equivalent among IM residents on inpatient ward rotations</w:t>
      </w:r>
      <w:r w:rsidRPr="0009784A">
        <w:rPr>
          <w:rFonts w:ascii="Times New Roman" w:hAnsi="Times New Roman" w:cs="Times New Roman"/>
        </w:rPr>
        <w:t>?</w:t>
      </w:r>
    </w:p>
    <w:p w14:paraId="53A2E00F" w14:textId="2A7A8295" w:rsidR="0009784A" w:rsidRDefault="0009784A" w:rsidP="0009784A">
      <w:pPr>
        <w:ind w:left="360"/>
        <w:rPr>
          <w:rFonts w:ascii="Times New Roman" w:hAnsi="Times New Roman" w:cs="Times New Roman"/>
        </w:rPr>
      </w:pPr>
    </w:p>
    <w:p w14:paraId="1F90F24D" w14:textId="77777777" w:rsidR="00D87E0C" w:rsidRDefault="0009784A" w:rsidP="0009784A">
      <w:pPr>
        <w:ind w:left="360"/>
        <w:rPr>
          <w:rFonts w:ascii="Times New Roman" w:hAnsi="Times New Roman" w:cs="Times New Roman"/>
          <w:i/>
          <w:iCs/>
        </w:rPr>
      </w:pPr>
      <w:r w:rsidRPr="0009784A">
        <w:rPr>
          <w:rFonts w:ascii="Times New Roman" w:hAnsi="Times New Roman" w:cs="Times New Roman"/>
          <w:i/>
          <w:iCs/>
        </w:rPr>
        <w:t>Significance/Introduction:</w:t>
      </w:r>
    </w:p>
    <w:p w14:paraId="4461E045" w14:textId="5E0FCF4F" w:rsidR="0009784A" w:rsidRPr="0009784A" w:rsidRDefault="0009784A" w:rsidP="0009784A">
      <w:pPr>
        <w:ind w:left="360"/>
        <w:rPr>
          <w:rFonts w:ascii="Times New Roman" w:hAnsi="Times New Roman" w:cs="Times New Roman"/>
          <w:i/>
          <w:iCs/>
        </w:rPr>
      </w:pPr>
      <w:r w:rsidRPr="0009784A">
        <w:rPr>
          <w:rFonts w:ascii="Times New Roman" w:hAnsi="Times New Roman" w:cs="Times New Roman"/>
          <w:i/>
          <w:iCs/>
        </w:rPr>
        <w:t xml:space="preserve"> </w:t>
      </w:r>
    </w:p>
    <w:p w14:paraId="7661D6D8" w14:textId="1B6845A4" w:rsidR="0009784A" w:rsidRPr="0009784A" w:rsidRDefault="00AA4EB0" w:rsidP="0009784A">
      <w:pPr>
        <w:ind w:left="360"/>
        <w:rPr>
          <w:rFonts w:ascii="Times New Roman" w:hAnsi="Times New Roman" w:cs="Times New Roman"/>
          <w:color w:val="000000"/>
          <w:shd w:val="clear" w:color="auto" w:fill="FFFFFF"/>
        </w:rPr>
      </w:pPr>
      <w:r w:rsidRPr="0009784A">
        <w:rPr>
          <w:rFonts w:ascii="Times New Roman" w:hAnsi="Times New Roman" w:cs="Times New Roman"/>
          <w:color w:val="000000"/>
          <w:shd w:val="clear" w:color="auto" w:fill="FFFFFF"/>
        </w:rPr>
        <w:t>The purpose of medical residency is to take recently honed, medical learners and in a few short years turn them into proficient, skillful physicians. The expectation and responsibility fall to the training program to ensure expected competencies are met.</w:t>
      </w:r>
      <w:r w:rsidRPr="0009784A">
        <w:rPr>
          <w:rFonts w:ascii="Times New Roman" w:hAnsi="Times New Roman" w:cs="Times New Roman"/>
          <w:color w:val="000000"/>
          <w:shd w:val="clear" w:color="auto" w:fill="FFFFFF"/>
          <w:vertAlign w:val="superscript"/>
        </w:rPr>
        <w:t>1,</w:t>
      </w:r>
      <w:r w:rsidR="00517F8F" w:rsidRPr="0009784A">
        <w:rPr>
          <w:rFonts w:ascii="Times New Roman" w:hAnsi="Times New Roman" w:cs="Times New Roman"/>
          <w:color w:val="000000"/>
          <w:shd w:val="clear" w:color="auto" w:fill="FFFFFF"/>
          <w:vertAlign w:val="superscript"/>
        </w:rPr>
        <w:t>4</w:t>
      </w:r>
      <w:r w:rsidRPr="0009784A">
        <w:rPr>
          <w:rFonts w:ascii="Times New Roman" w:hAnsi="Times New Roman" w:cs="Times New Roman"/>
          <w:color w:val="000000"/>
          <w:shd w:val="clear" w:color="auto" w:fill="FFFFFF"/>
          <w:vertAlign w:val="superscript"/>
        </w:rPr>
        <w:t xml:space="preserve"> </w:t>
      </w:r>
      <w:r w:rsidRPr="0009784A">
        <w:rPr>
          <w:rFonts w:ascii="Times New Roman" w:hAnsi="Times New Roman" w:cs="Times New Roman"/>
          <w:color w:val="000000"/>
          <w:shd w:val="clear" w:color="auto" w:fill="FFFFFF"/>
        </w:rPr>
        <w:t>Traditionally, these assessments came in the form of evaluations from supervisors via concrete objective review, which are then used to determine a trainee’s promotion.</w:t>
      </w:r>
      <w:r w:rsidRPr="0009784A">
        <w:rPr>
          <w:rFonts w:ascii="Times New Roman" w:hAnsi="Times New Roman" w:cs="Times New Roman"/>
          <w:color w:val="000000"/>
          <w:shd w:val="clear" w:color="auto" w:fill="FFFFFF"/>
          <w:vertAlign w:val="superscript"/>
        </w:rPr>
        <w:t xml:space="preserve">1 </w:t>
      </w:r>
      <w:r w:rsidRPr="0009784A">
        <w:rPr>
          <w:rFonts w:ascii="Times New Roman" w:hAnsi="Times New Roman" w:cs="Times New Roman"/>
          <w:color w:val="000000"/>
          <w:shd w:val="clear" w:color="auto" w:fill="FFFFFF"/>
        </w:rPr>
        <w:t>However, despite intended goals to ensure comparable environments and exposures, it’s fair to say that no two-residency experience is identical. It calls into question, are traditional evaluations effective in conveying the nuances of a trainee’s experience?</w:t>
      </w:r>
    </w:p>
    <w:p w14:paraId="0A446DB6" w14:textId="77777777" w:rsidR="0009784A" w:rsidRPr="0009784A" w:rsidRDefault="0009784A" w:rsidP="0009784A">
      <w:pPr>
        <w:ind w:left="360"/>
        <w:rPr>
          <w:rFonts w:ascii="Times New Roman" w:hAnsi="Times New Roman" w:cs="Times New Roman"/>
        </w:rPr>
      </w:pPr>
    </w:p>
    <w:p w14:paraId="10F2330F" w14:textId="77777777" w:rsidR="0009784A" w:rsidRPr="0009784A" w:rsidRDefault="00AA4EB0" w:rsidP="0009784A">
      <w:pPr>
        <w:ind w:left="360"/>
        <w:rPr>
          <w:rFonts w:ascii="Times New Roman" w:hAnsi="Times New Roman" w:cs="Times New Roman"/>
        </w:rPr>
      </w:pPr>
      <w:r w:rsidRPr="0009784A">
        <w:rPr>
          <w:rFonts w:ascii="Times New Roman" w:hAnsi="Times New Roman" w:cs="Times New Roman"/>
          <w:color w:val="000000"/>
          <w:shd w:val="clear" w:color="auto" w:fill="FFFFFF"/>
        </w:rPr>
        <w:t xml:space="preserve">To account for </w:t>
      </w:r>
      <w:r w:rsidR="00F07662" w:rsidRPr="0009784A">
        <w:rPr>
          <w:rFonts w:ascii="Times New Roman" w:hAnsi="Times New Roman" w:cs="Times New Roman"/>
          <w:color w:val="000000"/>
          <w:shd w:val="clear" w:color="auto" w:fill="FFFFFF"/>
        </w:rPr>
        <w:t xml:space="preserve">these </w:t>
      </w:r>
      <w:r w:rsidRPr="0009784A">
        <w:rPr>
          <w:rFonts w:ascii="Times New Roman" w:hAnsi="Times New Roman" w:cs="Times New Roman"/>
          <w:color w:val="000000"/>
          <w:shd w:val="clear" w:color="auto" w:fill="FFFFFF"/>
        </w:rPr>
        <w:t xml:space="preserve">distinctions, the implementation of </w:t>
      </w:r>
      <w:proofErr w:type="spellStart"/>
      <w:r w:rsidRPr="0009784A">
        <w:rPr>
          <w:rFonts w:ascii="Times New Roman" w:hAnsi="Times New Roman" w:cs="Times New Roman"/>
          <w:color w:val="000000"/>
          <w:shd w:val="clear" w:color="auto" w:fill="FFFFFF"/>
        </w:rPr>
        <w:t>entrustable</w:t>
      </w:r>
      <w:proofErr w:type="spellEnd"/>
      <w:r w:rsidRPr="0009784A">
        <w:rPr>
          <w:rFonts w:ascii="Times New Roman" w:hAnsi="Times New Roman" w:cs="Times New Roman"/>
          <w:color w:val="000000"/>
          <w:shd w:val="clear" w:color="auto" w:fill="FFFFFF"/>
        </w:rPr>
        <w:t xml:space="preserve"> professional activities (EPAs) has resulted in a practical approach to assessing competency in real-world settings.</w:t>
      </w:r>
      <w:r w:rsidR="00F07662" w:rsidRPr="0009784A">
        <w:rPr>
          <w:rFonts w:ascii="Times New Roman" w:hAnsi="Times New Roman" w:cs="Times New Roman"/>
          <w:color w:val="000000"/>
          <w:shd w:val="clear" w:color="auto" w:fill="FFFFFF"/>
          <w:vertAlign w:val="superscript"/>
        </w:rPr>
        <w:t>1,6</w:t>
      </w:r>
      <w:r w:rsidR="00517F8F" w:rsidRPr="0009784A">
        <w:rPr>
          <w:rFonts w:ascii="Times New Roman" w:hAnsi="Times New Roman" w:cs="Times New Roman"/>
          <w:color w:val="000000"/>
          <w:shd w:val="clear" w:color="auto" w:fill="FFFFFF"/>
          <w:vertAlign w:val="superscript"/>
        </w:rPr>
        <w:t>,7</w:t>
      </w:r>
      <w:r w:rsidRPr="0009784A">
        <w:rPr>
          <w:rFonts w:ascii="Times New Roman" w:hAnsi="Times New Roman" w:cs="Times New Roman"/>
          <w:color w:val="000000"/>
          <w:shd w:val="clear" w:color="auto" w:fill="FFFFFF"/>
        </w:rPr>
        <w:t xml:space="preserve"> EPAs refer to clinical activities that a physician can be expected to encounter day to day.</w:t>
      </w:r>
      <w:r w:rsidR="00517F8F" w:rsidRPr="0009784A">
        <w:rPr>
          <w:rFonts w:ascii="Times New Roman" w:hAnsi="Times New Roman" w:cs="Times New Roman"/>
          <w:color w:val="000000"/>
          <w:shd w:val="clear" w:color="auto" w:fill="FFFFFF"/>
          <w:vertAlign w:val="superscript"/>
        </w:rPr>
        <w:t>3</w:t>
      </w:r>
      <w:r w:rsidRPr="0009784A">
        <w:rPr>
          <w:rFonts w:ascii="Times New Roman" w:hAnsi="Times New Roman" w:cs="Times New Roman"/>
          <w:color w:val="000000"/>
          <w:shd w:val="clear" w:color="auto" w:fill="FFFFFF"/>
          <w:vertAlign w:val="superscript"/>
        </w:rPr>
        <w:t>,</w:t>
      </w:r>
      <w:r w:rsidR="00517F8F" w:rsidRPr="0009784A">
        <w:rPr>
          <w:rFonts w:ascii="Times New Roman" w:hAnsi="Times New Roman" w:cs="Times New Roman"/>
          <w:color w:val="000000"/>
          <w:shd w:val="clear" w:color="auto" w:fill="FFFFFF"/>
          <w:vertAlign w:val="superscript"/>
        </w:rPr>
        <w:t>6</w:t>
      </w:r>
      <w:r w:rsidRPr="0009784A">
        <w:rPr>
          <w:rFonts w:ascii="Times New Roman" w:hAnsi="Times New Roman" w:cs="Times New Roman"/>
          <w:color w:val="000000"/>
          <w:shd w:val="clear" w:color="auto" w:fill="FFFFFF"/>
          <w:vertAlign w:val="superscript"/>
        </w:rPr>
        <w:t xml:space="preserve"> </w:t>
      </w:r>
      <w:r w:rsidRPr="0009784A">
        <w:rPr>
          <w:rFonts w:ascii="Times New Roman" w:hAnsi="Times New Roman" w:cs="Times New Roman"/>
          <w:color w:val="000000"/>
          <w:shd w:val="clear" w:color="auto" w:fill="FFFFFF"/>
        </w:rPr>
        <w:t>Using EPAs as a marker of competency, a holistic review can be made to infer a resident’s ability to conduct a task independently.</w:t>
      </w:r>
      <w:r w:rsidR="00517F8F" w:rsidRPr="0009784A">
        <w:rPr>
          <w:rFonts w:ascii="Times New Roman" w:hAnsi="Times New Roman" w:cs="Times New Roman"/>
          <w:color w:val="000000"/>
          <w:shd w:val="clear" w:color="auto" w:fill="FFFFFF"/>
          <w:vertAlign w:val="superscript"/>
        </w:rPr>
        <w:t>3</w:t>
      </w:r>
      <w:r w:rsidRPr="0009784A">
        <w:rPr>
          <w:rFonts w:ascii="Times New Roman" w:hAnsi="Times New Roman" w:cs="Times New Roman"/>
          <w:color w:val="000000"/>
          <w:shd w:val="clear" w:color="auto" w:fill="FFFFFF"/>
          <w:vertAlign w:val="superscript"/>
        </w:rPr>
        <w:t>,</w:t>
      </w:r>
      <w:r w:rsidR="00517F8F" w:rsidRPr="0009784A">
        <w:rPr>
          <w:rFonts w:ascii="Times New Roman" w:hAnsi="Times New Roman" w:cs="Times New Roman"/>
          <w:color w:val="000000"/>
          <w:shd w:val="clear" w:color="auto" w:fill="FFFFFF"/>
          <w:vertAlign w:val="superscript"/>
        </w:rPr>
        <w:t>5</w:t>
      </w:r>
      <w:r w:rsidRPr="0009784A">
        <w:rPr>
          <w:rFonts w:ascii="Times New Roman" w:hAnsi="Times New Roman" w:cs="Times New Roman"/>
          <w:color w:val="000000"/>
          <w:shd w:val="clear" w:color="auto" w:fill="FFFFFF"/>
          <w:vertAlign w:val="superscript"/>
        </w:rPr>
        <w:t>,</w:t>
      </w:r>
      <w:r w:rsidR="00517F8F" w:rsidRPr="0009784A">
        <w:rPr>
          <w:rFonts w:ascii="Times New Roman" w:hAnsi="Times New Roman" w:cs="Times New Roman"/>
          <w:color w:val="000000"/>
          <w:shd w:val="clear" w:color="auto" w:fill="FFFFFF"/>
          <w:vertAlign w:val="superscript"/>
        </w:rPr>
        <w:t>6</w:t>
      </w:r>
      <w:r w:rsidRPr="0009784A">
        <w:rPr>
          <w:rFonts w:ascii="Times New Roman" w:hAnsi="Times New Roman" w:cs="Times New Roman"/>
          <w:color w:val="000000"/>
          <w:shd w:val="clear" w:color="auto" w:fill="FFFFFF"/>
        </w:rPr>
        <w:t xml:space="preserve"> </w:t>
      </w:r>
    </w:p>
    <w:p w14:paraId="510DD9C5" w14:textId="77777777" w:rsidR="0009784A" w:rsidRPr="0009784A" w:rsidRDefault="0009784A" w:rsidP="0009784A">
      <w:pPr>
        <w:ind w:left="360"/>
        <w:rPr>
          <w:rFonts w:ascii="Times New Roman" w:hAnsi="Times New Roman" w:cs="Times New Roman"/>
        </w:rPr>
      </w:pPr>
    </w:p>
    <w:p w14:paraId="63436EB9" w14:textId="77777777" w:rsidR="00B43CB6" w:rsidRDefault="006506AC" w:rsidP="00B43CB6">
      <w:pPr>
        <w:ind w:left="360"/>
        <w:rPr>
          <w:rFonts w:ascii="Times New Roman" w:hAnsi="Times New Roman" w:cs="Times New Roman"/>
        </w:rPr>
      </w:pPr>
      <w:r w:rsidRPr="0009784A">
        <w:rPr>
          <w:rFonts w:ascii="Times New Roman" w:hAnsi="Times New Roman" w:cs="Times New Roman"/>
          <w:color w:val="000000"/>
          <w:shd w:val="clear" w:color="auto" w:fill="FFFFFF"/>
        </w:rPr>
        <w:t xml:space="preserve">In </w:t>
      </w:r>
      <w:r w:rsidR="0009784A">
        <w:rPr>
          <w:rFonts w:ascii="Times New Roman" w:hAnsi="Times New Roman" w:cs="Times New Roman"/>
          <w:color w:val="000000"/>
          <w:shd w:val="clear" w:color="auto" w:fill="FFFFFF"/>
        </w:rPr>
        <w:t>2017*</w:t>
      </w:r>
      <w:r w:rsidRPr="0009784A">
        <w:rPr>
          <w:rFonts w:ascii="Times New Roman" w:hAnsi="Times New Roman" w:cs="Times New Roman"/>
          <w:color w:val="000000"/>
          <w:shd w:val="clear" w:color="auto" w:fill="FFFFFF"/>
        </w:rPr>
        <w:t xml:space="preserve">, UCSF Internal Medicine Wards converted from </w:t>
      </w:r>
      <w:r w:rsidR="0009784A" w:rsidRPr="0009784A">
        <w:rPr>
          <w:rFonts w:ascii="Times New Roman" w:hAnsi="Times New Roman" w:cs="Times New Roman"/>
          <w:color w:val="000000"/>
          <w:shd w:val="clear" w:color="auto" w:fill="FFFFFF"/>
        </w:rPr>
        <w:t>milestone-based</w:t>
      </w:r>
      <w:r w:rsidRPr="0009784A">
        <w:rPr>
          <w:rFonts w:ascii="Times New Roman" w:hAnsi="Times New Roman" w:cs="Times New Roman"/>
          <w:color w:val="000000"/>
          <w:shd w:val="clear" w:color="auto" w:fill="FFFFFF"/>
        </w:rPr>
        <w:t xml:space="preserve"> evaluations to EPAs at two of their three sites. Since then, no comparison has been made to assess if the two evaluation systems result in </w:t>
      </w:r>
      <w:r w:rsidR="0009784A" w:rsidRPr="0009784A">
        <w:rPr>
          <w:rFonts w:ascii="Times New Roman" w:hAnsi="Times New Roman" w:cs="Times New Roman"/>
          <w:color w:val="000000"/>
          <w:shd w:val="clear" w:color="auto" w:fill="FFFFFF"/>
        </w:rPr>
        <w:t>average</w:t>
      </w:r>
      <w:r w:rsidRPr="0009784A">
        <w:rPr>
          <w:rFonts w:ascii="Times New Roman" w:hAnsi="Times New Roman" w:cs="Times New Roman"/>
          <w:color w:val="000000"/>
          <w:shd w:val="clear" w:color="auto" w:fill="FFFFFF"/>
        </w:rPr>
        <w:t xml:space="preserve"> scores. </w:t>
      </w:r>
    </w:p>
    <w:p w14:paraId="4C8E1773" w14:textId="77777777" w:rsidR="00B43CB6" w:rsidRDefault="00B43CB6" w:rsidP="00B43CB6">
      <w:pPr>
        <w:ind w:left="360"/>
        <w:rPr>
          <w:rFonts w:ascii="Times New Roman" w:hAnsi="Times New Roman" w:cs="Times New Roman"/>
        </w:rPr>
      </w:pPr>
    </w:p>
    <w:p w14:paraId="2821C0A9" w14:textId="16AC3D55" w:rsidR="0009784A" w:rsidRDefault="0009784A" w:rsidP="00B43CB6">
      <w:pPr>
        <w:ind w:left="360"/>
        <w:rPr>
          <w:rFonts w:ascii="Times New Roman" w:hAnsi="Times New Roman" w:cs="Times New Roman"/>
          <w:i/>
          <w:iCs/>
        </w:rPr>
      </w:pPr>
      <w:r w:rsidRPr="0009784A">
        <w:rPr>
          <w:rFonts w:ascii="Times New Roman" w:hAnsi="Times New Roman" w:cs="Times New Roman"/>
          <w:i/>
          <w:iCs/>
        </w:rPr>
        <w:t>Methods:</w:t>
      </w:r>
    </w:p>
    <w:p w14:paraId="68B992AF" w14:textId="77777777" w:rsidR="00D87E0C" w:rsidRPr="00B43CB6" w:rsidRDefault="00D87E0C" w:rsidP="00B43CB6">
      <w:pPr>
        <w:ind w:left="360"/>
        <w:rPr>
          <w:rFonts w:ascii="Times New Roman" w:hAnsi="Times New Roman" w:cs="Times New Roman"/>
        </w:rPr>
      </w:pPr>
    </w:p>
    <w:p w14:paraId="35386F1C" w14:textId="3F9F80CA" w:rsidR="0009784A" w:rsidRPr="0054267E" w:rsidRDefault="006506AC" w:rsidP="0009784A">
      <w:pPr>
        <w:ind w:left="360"/>
        <w:rPr>
          <w:rFonts w:ascii="Times New Roman" w:hAnsi="Times New Roman" w:cs="Times New Roman"/>
        </w:rPr>
      </w:pPr>
      <w:r w:rsidRPr="0054267E">
        <w:rPr>
          <w:rFonts w:ascii="Times New Roman" w:hAnsi="Times New Roman" w:cs="Times New Roman"/>
          <w:color w:val="000000"/>
          <w:shd w:val="clear" w:color="auto" w:fill="FFFFFF"/>
        </w:rPr>
        <w:t xml:space="preserve">The ideal study population to evaluate the </w:t>
      </w:r>
      <w:r w:rsidR="00F16E00" w:rsidRPr="0054267E">
        <w:rPr>
          <w:rFonts w:ascii="Times New Roman" w:hAnsi="Times New Roman" w:cs="Times New Roman"/>
          <w:color w:val="000000"/>
          <w:shd w:val="clear" w:color="auto" w:fill="FFFFFF"/>
        </w:rPr>
        <w:t xml:space="preserve">comparability </w:t>
      </w:r>
      <w:r w:rsidRPr="0054267E">
        <w:rPr>
          <w:rFonts w:ascii="Times New Roman" w:hAnsi="Times New Roman" w:cs="Times New Roman"/>
          <w:color w:val="000000"/>
          <w:shd w:val="clear" w:color="auto" w:fill="FFFFFF"/>
        </w:rPr>
        <w:t xml:space="preserve">of EPAs would be internal medicine residents across the nation at all ACGME certified intuitions. </w:t>
      </w:r>
      <w:r w:rsidR="0054267E" w:rsidRPr="0054267E">
        <w:rPr>
          <w:rFonts w:ascii="Times New Roman" w:hAnsi="Times New Roman" w:cs="Times New Roman"/>
          <w:color w:val="000000"/>
          <w:shd w:val="clear" w:color="auto" w:fill="FFFFFF"/>
        </w:rPr>
        <w:t>Our study</w:t>
      </w:r>
      <w:r w:rsidRPr="0054267E">
        <w:rPr>
          <w:rFonts w:ascii="Times New Roman" w:hAnsi="Times New Roman" w:cs="Times New Roman"/>
          <w:color w:val="000000"/>
          <w:shd w:val="clear" w:color="auto" w:fill="FFFFFF"/>
        </w:rPr>
        <w:t xml:space="preserve"> chose to use data from the University of California at San Francisco (UCSF) internal medicine residents enrolled from years </w:t>
      </w:r>
      <w:r w:rsidR="0009784A" w:rsidRPr="0054267E">
        <w:rPr>
          <w:rFonts w:ascii="Times New Roman" w:hAnsi="Times New Roman" w:cs="Times New Roman"/>
          <w:color w:val="000000"/>
          <w:shd w:val="clear" w:color="auto" w:fill="FFFFFF"/>
        </w:rPr>
        <w:t>2017</w:t>
      </w:r>
      <w:r w:rsidRPr="0054267E">
        <w:rPr>
          <w:rFonts w:ascii="Times New Roman" w:hAnsi="Times New Roman" w:cs="Times New Roman"/>
          <w:color w:val="000000"/>
          <w:shd w:val="clear" w:color="auto" w:fill="FFFFFF"/>
        </w:rPr>
        <w:t xml:space="preserve">* to </w:t>
      </w:r>
      <w:r w:rsidR="0009784A" w:rsidRPr="0054267E">
        <w:rPr>
          <w:rFonts w:ascii="Times New Roman" w:hAnsi="Times New Roman" w:cs="Times New Roman"/>
          <w:color w:val="000000"/>
          <w:shd w:val="clear" w:color="auto" w:fill="FFFFFF"/>
        </w:rPr>
        <w:t>2019</w:t>
      </w:r>
      <w:r w:rsidRPr="0054267E">
        <w:rPr>
          <w:rFonts w:ascii="Times New Roman" w:hAnsi="Times New Roman" w:cs="Times New Roman"/>
          <w:color w:val="000000"/>
          <w:shd w:val="clear" w:color="auto" w:fill="FFFFFF"/>
        </w:rPr>
        <w:t>*. This would</w:t>
      </w:r>
      <w:r w:rsidR="00F16E00" w:rsidRPr="0054267E">
        <w:rPr>
          <w:rFonts w:ascii="Times New Roman" w:hAnsi="Times New Roman" w:cs="Times New Roman"/>
          <w:color w:val="000000"/>
          <w:shd w:val="clear" w:color="auto" w:fill="FFFFFF"/>
        </w:rPr>
        <w:t xml:space="preserve"> all</w:t>
      </w:r>
      <w:r w:rsidRPr="0054267E">
        <w:rPr>
          <w:rFonts w:ascii="Times New Roman" w:hAnsi="Times New Roman" w:cs="Times New Roman"/>
          <w:color w:val="000000"/>
          <w:shd w:val="clear" w:color="auto" w:fill="FFFFFF"/>
        </w:rPr>
        <w:t xml:space="preserve"> include </w:t>
      </w:r>
      <w:r w:rsidR="0009784A" w:rsidRPr="0054267E">
        <w:rPr>
          <w:rFonts w:ascii="Times New Roman" w:hAnsi="Times New Roman" w:cs="Times New Roman"/>
          <w:color w:val="000000"/>
          <w:shd w:val="clear" w:color="auto" w:fill="FFFFFF"/>
        </w:rPr>
        <w:t xml:space="preserve">180 residents; </w:t>
      </w:r>
      <w:r w:rsidRPr="0054267E">
        <w:rPr>
          <w:rFonts w:ascii="Times New Roman" w:hAnsi="Times New Roman" w:cs="Times New Roman"/>
          <w:color w:val="000000"/>
          <w:shd w:val="clear" w:color="auto" w:fill="FFFFFF"/>
        </w:rPr>
        <w:t>*** categorical</w:t>
      </w:r>
      <w:r w:rsidR="00F16E00" w:rsidRPr="0054267E">
        <w:rPr>
          <w:rFonts w:ascii="Times New Roman" w:hAnsi="Times New Roman" w:cs="Times New Roman"/>
          <w:color w:val="000000"/>
          <w:shd w:val="clear" w:color="auto" w:fill="FFFFFF"/>
        </w:rPr>
        <w:t xml:space="preserve">, </w:t>
      </w:r>
      <w:r w:rsidRPr="0054267E">
        <w:rPr>
          <w:rFonts w:ascii="Times New Roman" w:hAnsi="Times New Roman" w:cs="Times New Roman"/>
          <w:color w:val="000000"/>
          <w:shd w:val="clear" w:color="auto" w:fill="FFFFFF"/>
        </w:rPr>
        <w:t>*** primary care</w:t>
      </w:r>
      <w:r w:rsidR="00F16E00" w:rsidRPr="0054267E">
        <w:rPr>
          <w:rFonts w:ascii="Times New Roman" w:hAnsi="Times New Roman" w:cs="Times New Roman"/>
          <w:color w:val="000000"/>
          <w:shd w:val="clear" w:color="auto" w:fill="FFFFFF"/>
        </w:rPr>
        <w:t>, and *** preliminary neurology</w:t>
      </w:r>
      <w:r w:rsidR="0099701E" w:rsidRPr="0054267E">
        <w:rPr>
          <w:rFonts w:ascii="Times New Roman" w:hAnsi="Times New Roman" w:cs="Times New Roman"/>
          <w:color w:val="000000"/>
          <w:shd w:val="clear" w:color="auto" w:fill="FFFFFF"/>
        </w:rPr>
        <w:t>,</w:t>
      </w:r>
      <w:r w:rsidR="00F16E00" w:rsidRPr="0054267E">
        <w:rPr>
          <w:rFonts w:ascii="Times New Roman" w:hAnsi="Times New Roman" w:cs="Times New Roman"/>
          <w:color w:val="000000"/>
          <w:shd w:val="clear" w:color="auto" w:fill="FFFFFF"/>
        </w:rPr>
        <w:t xml:space="preserve"> interns and residents</w:t>
      </w:r>
      <w:r w:rsidRPr="0054267E">
        <w:rPr>
          <w:rFonts w:ascii="Times New Roman" w:hAnsi="Times New Roman" w:cs="Times New Roman"/>
          <w:color w:val="000000"/>
          <w:shd w:val="clear" w:color="auto" w:fill="FFFFFF"/>
        </w:rPr>
        <w:t xml:space="preserve">, rotating at the three systems care hospitals, </w:t>
      </w:r>
      <w:r w:rsidR="0099701E" w:rsidRPr="0054267E">
        <w:rPr>
          <w:rFonts w:ascii="Times New Roman" w:hAnsi="Times New Roman" w:cs="Times New Roman"/>
          <w:color w:val="000000"/>
          <w:shd w:val="clear" w:color="auto" w:fill="FFFFFF"/>
        </w:rPr>
        <w:t>including</w:t>
      </w:r>
      <w:r w:rsidRPr="0054267E">
        <w:rPr>
          <w:rFonts w:ascii="Times New Roman" w:hAnsi="Times New Roman" w:cs="Times New Roman"/>
          <w:color w:val="000000"/>
          <w:shd w:val="clear" w:color="auto" w:fill="FFFFFF"/>
        </w:rPr>
        <w:t xml:space="preserve"> tertiary care center, public county, and Veterans Affairs</w:t>
      </w:r>
      <w:r w:rsidR="00F16E00" w:rsidRPr="0054267E">
        <w:rPr>
          <w:rFonts w:ascii="Times New Roman" w:hAnsi="Times New Roman" w:cs="Times New Roman"/>
          <w:color w:val="000000"/>
          <w:shd w:val="clear" w:color="auto" w:fill="FFFFFF"/>
        </w:rPr>
        <w:t>, during this time period</w:t>
      </w:r>
      <w:r w:rsidRPr="0054267E">
        <w:rPr>
          <w:rFonts w:ascii="Times New Roman" w:hAnsi="Times New Roman" w:cs="Times New Roman"/>
          <w:color w:val="000000"/>
          <w:shd w:val="clear" w:color="auto" w:fill="FFFFFF"/>
        </w:rPr>
        <w:t xml:space="preserve">. </w:t>
      </w:r>
      <w:r w:rsidR="00F16E00" w:rsidRPr="0054267E">
        <w:rPr>
          <w:rFonts w:ascii="Times New Roman" w:hAnsi="Times New Roman" w:cs="Times New Roman"/>
          <w:color w:val="000000"/>
          <w:shd w:val="clear" w:color="auto" w:fill="FFFFFF"/>
        </w:rPr>
        <w:t xml:space="preserve">No exclusions were made for residents who did not matriculate, deferred promotion, or had extended leave of absences, as only active enrollment at time of supervisory assessment, not date submitted, is </w:t>
      </w:r>
      <w:r w:rsidR="0099701E" w:rsidRPr="0054267E">
        <w:rPr>
          <w:rFonts w:ascii="Times New Roman" w:hAnsi="Times New Roman" w:cs="Times New Roman"/>
          <w:color w:val="000000"/>
          <w:shd w:val="clear" w:color="auto" w:fill="FFFFFF"/>
        </w:rPr>
        <w:t xml:space="preserve">required for </w:t>
      </w:r>
      <w:r w:rsidR="00F16E00" w:rsidRPr="0054267E">
        <w:rPr>
          <w:rFonts w:ascii="Times New Roman" w:hAnsi="Times New Roman" w:cs="Times New Roman"/>
          <w:color w:val="000000"/>
          <w:shd w:val="clear" w:color="auto" w:fill="FFFFFF"/>
        </w:rPr>
        <w:t xml:space="preserve">inclusion. </w:t>
      </w:r>
    </w:p>
    <w:p w14:paraId="3B79D113" w14:textId="77777777" w:rsidR="0009784A" w:rsidRPr="0054267E" w:rsidRDefault="0009784A" w:rsidP="0009784A">
      <w:pPr>
        <w:ind w:left="360"/>
        <w:rPr>
          <w:rFonts w:ascii="Times New Roman" w:hAnsi="Times New Roman" w:cs="Times New Roman"/>
        </w:rPr>
      </w:pPr>
    </w:p>
    <w:p w14:paraId="1ADE7CB5" w14:textId="5B4B425F" w:rsidR="0009784A" w:rsidRPr="0054267E" w:rsidRDefault="00F16E00" w:rsidP="0009784A">
      <w:pPr>
        <w:ind w:left="360"/>
        <w:rPr>
          <w:rFonts w:ascii="Times New Roman" w:hAnsi="Times New Roman" w:cs="Times New Roman"/>
        </w:rPr>
      </w:pPr>
      <w:r w:rsidRPr="0054267E">
        <w:rPr>
          <w:rFonts w:ascii="Times New Roman" w:hAnsi="Times New Roman" w:cs="Times New Roman"/>
          <w:color w:val="000000"/>
          <w:shd w:val="clear" w:color="auto" w:fill="FFFFFF"/>
        </w:rPr>
        <w:t>Data will be collected</w:t>
      </w:r>
      <w:r w:rsidR="0099701E" w:rsidRPr="0054267E">
        <w:rPr>
          <w:rFonts w:ascii="Times New Roman" w:hAnsi="Times New Roman" w:cs="Times New Roman"/>
          <w:color w:val="000000"/>
          <w:shd w:val="clear" w:color="auto" w:fill="FFFFFF"/>
        </w:rPr>
        <w:t>, via retrospective data review,</w:t>
      </w:r>
      <w:r w:rsidRPr="0054267E">
        <w:rPr>
          <w:rFonts w:ascii="Times New Roman" w:hAnsi="Times New Roman" w:cs="Times New Roman"/>
          <w:color w:val="000000"/>
          <w:shd w:val="clear" w:color="auto" w:fill="FFFFFF"/>
        </w:rPr>
        <w:t xml:space="preserve"> from submitted evaluations EPAs and traditional milestone evaluations via </w:t>
      </w:r>
      <w:proofErr w:type="spellStart"/>
      <w:r w:rsidRPr="0054267E">
        <w:rPr>
          <w:rFonts w:ascii="Times New Roman" w:hAnsi="Times New Roman" w:cs="Times New Roman"/>
          <w:color w:val="000000"/>
          <w:shd w:val="clear" w:color="auto" w:fill="FFFFFF"/>
        </w:rPr>
        <w:t>Medhub</w:t>
      </w:r>
      <w:proofErr w:type="spellEnd"/>
      <w:r w:rsidRPr="0054267E">
        <w:rPr>
          <w:rFonts w:ascii="Times New Roman" w:hAnsi="Times New Roman" w:cs="Times New Roman"/>
          <w:color w:val="000000"/>
          <w:shd w:val="clear" w:color="auto" w:fill="FFFFFF"/>
        </w:rPr>
        <w:t xml:space="preserve"> from this time period. </w:t>
      </w:r>
      <w:r w:rsidR="00387FEB">
        <w:rPr>
          <w:rFonts w:ascii="Times New Roman" w:hAnsi="Times New Roman" w:cs="Times New Roman"/>
          <w:color w:val="000000"/>
          <w:shd w:val="clear" w:color="auto" w:fill="FFFFFF"/>
        </w:rPr>
        <w:t xml:space="preserve">All data will be redacted for confidentiality at the primary level before any </w:t>
      </w:r>
    </w:p>
    <w:p w14:paraId="79028591" w14:textId="16AB6DF1" w:rsidR="0009784A" w:rsidRPr="0054267E" w:rsidRDefault="00A75848" w:rsidP="0009784A">
      <w:pPr>
        <w:ind w:left="360"/>
        <w:rPr>
          <w:rFonts w:ascii="Times New Roman" w:hAnsi="Times New Roman" w:cs="Times New Roman"/>
        </w:rPr>
      </w:pPr>
      <w:r w:rsidRPr="0054267E">
        <w:rPr>
          <w:rFonts w:ascii="Times New Roman" w:hAnsi="Times New Roman" w:cs="Times New Roman"/>
          <w:color w:val="000000"/>
          <w:shd w:val="clear" w:color="auto" w:fill="FFFFFF"/>
        </w:rPr>
        <w:br/>
        <w:t xml:space="preserve">We aim to compare </w:t>
      </w:r>
      <w:r w:rsidR="0054267E">
        <w:rPr>
          <w:rFonts w:ascii="Times New Roman" w:hAnsi="Times New Roman" w:cs="Times New Roman"/>
          <w:color w:val="000000"/>
          <w:shd w:val="clear" w:color="auto" w:fill="FFFFFF"/>
        </w:rPr>
        <w:t>average</w:t>
      </w:r>
      <w:r w:rsidRPr="0054267E">
        <w:rPr>
          <w:rFonts w:ascii="Times New Roman" w:hAnsi="Times New Roman" w:cs="Times New Roman"/>
          <w:color w:val="000000"/>
          <w:shd w:val="clear" w:color="auto" w:fill="FFFFFF"/>
        </w:rPr>
        <w:t xml:space="preserve"> scores generated in either EPA or traditional milestone assessments, to determine if the</w:t>
      </w:r>
      <w:r w:rsidR="00764E5D" w:rsidRPr="0054267E">
        <w:rPr>
          <w:rFonts w:ascii="Times New Roman" w:hAnsi="Times New Roman" w:cs="Times New Roman"/>
          <w:color w:val="000000"/>
          <w:shd w:val="clear" w:color="auto" w:fill="FFFFFF"/>
        </w:rPr>
        <w:t xml:space="preserve"> evaluations</w:t>
      </w:r>
      <w:r w:rsidRPr="0054267E">
        <w:rPr>
          <w:rFonts w:ascii="Times New Roman" w:hAnsi="Times New Roman" w:cs="Times New Roman"/>
          <w:color w:val="000000"/>
          <w:shd w:val="clear" w:color="auto" w:fill="FFFFFF"/>
        </w:rPr>
        <w:t xml:space="preserve"> are equivalent tools. We will do so by collecting entrustment scores </w:t>
      </w:r>
      <w:r w:rsidR="00FD591B" w:rsidRPr="0054267E">
        <w:rPr>
          <w:rFonts w:ascii="Times New Roman" w:hAnsi="Times New Roman" w:cs="Times New Roman"/>
          <w:color w:val="000000"/>
          <w:shd w:val="clear" w:color="auto" w:fill="FFFFFF"/>
        </w:rPr>
        <w:t xml:space="preserve">included with each evaluation from the VA and public county site </w:t>
      </w:r>
      <w:r w:rsidRPr="0054267E">
        <w:rPr>
          <w:rFonts w:ascii="Times New Roman" w:hAnsi="Times New Roman" w:cs="Times New Roman"/>
          <w:color w:val="000000"/>
          <w:shd w:val="clear" w:color="auto" w:fill="FFFFFF"/>
        </w:rPr>
        <w:t xml:space="preserve">and </w:t>
      </w:r>
      <w:r w:rsidR="00764E5D" w:rsidRPr="0054267E">
        <w:rPr>
          <w:rFonts w:ascii="Times New Roman" w:hAnsi="Times New Roman" w:cs="Times New Roman"/>
          <w:color w:val="000000"/>
          <w:shd w:val="clear" w:color="auto" w:fill="FFFFFF"/>
        </w:rPr>
        <w:t>a</w:t>
      </w:r>
      <w:r w:rsidR="00FD591B" w:rsidRPr="0054267E">
        <w:rPr>
          <w:rFonts w:ascii="Times New Roman" w:hAnsi="Times New Roman" w:cs="Times New Roman"/>
          <w:color w:val="000000"/>
          <w:shd w:val="clear" w:color="auto" w:fill="FFFFFF"/>
        </w:rPr>
        <w:t xml:space="preserve"> generated</w:t>
      </w:r>
      <w:r w:rsidRPr="0054267E">
        <w:rPr>
          <w:rFonts w:ascii="Times New Roman" w:hAnsi="Times New Roman" w:cs="Times New Roman"/>
          <w:color w:val="000000"/>
          <w:shd w:val="clear" w:color="auto" w:fill="FFFFFF"/>
        </w:rPr>
        <w:t xml:space="preserve"> averaged milestone score</w:t>
      </w:r>
      <w:r w:rsidR="00FD591B" w:rsidRPr="0054267E">
        <w:rPr>
          <w:rFonts w:ascii="Times New Roman" w:hAnsi="Times New Roman" w:cs="Times New Roman"/>
          <w:color w:val="000000"/>
          <w:shd w:val="clear" w:color="auto" w:fill="FFFFFF"/>
        </w:rPr>
        <w:t xml:space="preserve"> from the tertiary care center, categorized</w:t>
      </w:r>
      <w:r w:rsidRPr="0054267E">
        <w:rPr>
          <w:rFonts w:ascii="Times New Roman" w:hAnsi="Times New Roman" w:cs="Times New Roman"/>
          <w:color w:val="000000"/>
          <w:shd w:val="clear" w:color="auto" w:fill="FFFFFF"/>
        </w:rPr>
        <w:t xml:space="preserve"> by each year of residen</w:t>
      </w:r>
      <w:r w:rsidR="00FD591B" w:rsidRPr="0054267E">
        <w:rPr>
          <w:rFonts w:ascii="Times New Roman" w:hAnsi="Times New Roman" w:cs="Times New Roman"/>
          <w:color w:val="000000"/>
          <w:shd w:val="clear" w:color="auto" w:fill="FFFFFF"/>
        </w:rPr>
        <w:t>cy</w:t>
      </w:r>
      <w:r w:rsidR="00764E5D" w:rsidRPr="0054267E">
        <w:rPr>
          <w:rFonts w:ascii="Times New Roman" w:hAnsi="Times New Roman" w:cs="Times New Roman"/>
          <w:color w:val="000000"/>
          <w:shd w:val="clear" w:color="auto" w:fill="FFFFFF"/>
        </w:rPr>
        <w:t xml:space="preserve">. This means for each of the years captured in our study, we will have three cohorts, PGY1, PGY2, PGY3, respectively, used for comparison.   </w:t>
      </w:r>
    </w:p>
    <w:p w14:paraId="39D29A35" w14:textId="77777777" w:rsidR="0009784A" w:rsidRPr="0054267E" w:rsidRDefault="0009784A" w:rsidP="0009784A">
      <w:pPr>
        <w:ind w:left="360"/>
        <w:rPr>
          <w:rFonts w:ascii="Times New Roman" w:hAnsi="Times New Roman" w:cs="Times New Roman"/>
        </w:rPr>
      </w:pPr>
    </w:p>
    <w:p w14:paraId="254DECA0" w14:textId="77777777" w:rsidR="000200B7" w:rsidRDefault="00A75848" w:rsidP="0009784A">
      <w:pPr>
        <w:ind w:left="360"/>
        <w:rPr>
          <w:rFonts w:ascii="Times New Roman" w:hAnsi="Times New Roman" w:cs="Times New Roman"/>
          <w:color w:val="000000"/>
          <w:shd w:val="clear" w:color="auto" w:fill="FFFFFF"/>
        </w:rPr>
      </w:pPr>
      <w:r w:rsidRPr="0054267E">
        <w:rPr>
          <w:rFonts w:ascii="Times New Roman" w:hAnsi="Times New Roman" w:cs="Times New Roman"/>
          <w:color w:val="000000"/>
          <w:shd w:val="clear" w:color="auto" w:fill="FFFFFF"/>
        </w:rPr>
        <w:t>In additional, we will look at the trends of scores between residency years, word count in subjective portion of evaluation, percent completion (</w:t>
      </w:r>
      <w:proofErr w:type="spellStart"/>
      <w:proofErr w:type="gramStart"/>
      <w:r w:rsidRPr="0054267E">
        <w:rPr>
          <w:rFonts w:ascii="Times New Roman" w:hAnsi="Times New Roman" w:cs="Times New Roman"/>
          <w:color w:val="000000"/>
          <w:shd w:val="clear" w:color="auto" w:fill="FFFFFF"/>
        </w:rPr>
        <w:t>ie</w:t>
      </w:r>
      <w:proofErr w:type="spellEnd"/>
      <w:proofErr w:type="gramEnd"/>
      <w:r w:rsidRPr="0054267E">
        <w:rPr>
          <w:rFonts w:ascii="Times New Roman" w:hAnsi="Times New Roman" w:cs="Times New Roman"/>
          <w:color w:val="000000"/>
          <w:shd w:val="clear" w:color="auto" w:fill="FFFFFF"/>
        </w:rPr>
        <w:t xml:space="preserve"> of evaluations assigned to supervisor, how many are submitted), </w:t>
      </w:r>
      <w:r w:rsidR="00764E5D" w:rsidRPr="0054267E">
        <w:rPr>
          <w:rFonts w:ascii="Times New Roman" w:hAnsi="Times New Roman" w:cs="Times New Roman"/>
          <w:color w:val="000000"/>
          <w:shd w:val="clear" w:color="auto" w:fill="FFFFFF"/>
        </w:rPr>
        <w:t xml:space="preserve">and </w:t>
      </w:r>
      <w:r w:rsidRPr="0054267E">
        <w:rPr>
          <w:rFonts w:ascii="Times New Roman" w:hAnsi="Times New Roman" w:cs="Times New Roman"/>
          <w:color w:val="000000"/>
          <w:shd w:val="clear" w:color="auto" w:fill="FFFFFF"/>
        </w:rPr>
        <w:t>time to completion</w:t>
      </w:r>
      <w:r w:rsidR="00764E5D" w:rsidRPr="0054267E">
        <w:rPr>
          <w:rFonts w:ascii="Times New Roman" w:hAnsi="Times New Roman" w:cs="Times New Roman"/>
          <w:color w:val="000000"/>
          <w:shd w:val="clear" w:color="auto" w:fill="FFFFFF"/>
        </w:rPr>
        <w:t xml:space="preserve">. </w:t>
      </w:r>
      <w:r w:rsidR="00764E5D" w:rsidRPr="0054267E">
        <w:rPr>
          <w:rFonts w:ascii="Times New Roman" w:hAnsi="Times New Roman" w:cs="Times New Roman"/>
          <w:color w:val="000000"/>
          <w:shd w:val="clear" w:color="auto" w:fill="FFFFFF"/>
        </w:rPr>
        <w:br/>
      </w:r>
      <w:r w:rsidR="00764E5D" w:rsidRPr="0054267E">
        <w:rPr>
          <w:rFonts w:ascii="Times New Roman" w:hAnsi="Times New Roman" w:cs="Times New Roman"/>
          <w:color w:val="000000"/>
          <w:shd w:val="clear" w:color="auto" w:fill="FFFFFF"/>
        </w:rPr>
        <w:br/>
      </w:r>
      <w:r w:rsidR="00706FC0" w:rsidRPr="0054267E">
        <w:rPr>
          <w:rFonts w:ascii="Times New Roman" w:hAnsi="Times New Roman" w:cs="Times New Roman"/>
          <w:color w:val="000000"/>
          <w:shd w:val="clear" w:color="auto" w:fill="FFFFFF"/>
        </w:rPr>
        <w:t>We do not anticipate missing data points, as evaluations cannot be submitted until fully completed. We will try to minimize random errors by using verified data collection software and manually reviewing the data for discrepancies.</w:t>
      </w:r>
    </w:p>
    <w:p w14:paraId="52C21A40" w14:textId="77777777" w:rsidR="000200B7" w:rsidRDefault="000200B7" w:rsidP="0009784A">
      <w:pPr>
        <w:ind w:left="360"/>
        <w:rPr>
          <w:rFonts w:ascii="Times New Roman" w:hAnsi="Times New Roman" w:cs="Times New Roman"/>
          <w:color w:val="000000"/>
          <w:shd w:val="clear" w:color="auto" w:fill="FFFFFF"/>
        </w:rPr>
      </w:pPr>
    </w:p>
    <w:p w14:paraId="2D620907" w14:textId="77777777" w:rsidR="000200B7" w:rsidRDefault="000200B7" w:rsidP="000200B7">
      <w:pPr>
        <w:ind w:left="36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 total of 2160 wards rotations evaluations will be used for the study. </w:t>
      </w:r>
      <w:r w:rsidRPr="000200B7">
        <w:rPr>
          <w:rFonts w:ascii="Times New Roman" w:hAnsi="Times New Roman" w:cs="Times New Roman"/>
          <w:i/>
          <w:iCs/>
          <w:color w:val="000000"/>
          <w:shd w:val="clear" w:color="auto" w:fill="FFFFFF"/>
        </w:rPr>
        <w:t>(Estimated to be near 1500 for this write up. In actuality, we will have a predetermined number. based on 4-6 wards rotation PGY1, and an average of 3 wards rotations PGY2 and PGY3. Therefore 180 residents with average of 12 wards rotations each evaluation collected for 3 years, results in about 2160, assuming all evaluations are submitted)</w:t>
      </w:r>
      <w:r>
        <w:rPr>
          <w:rFonts w:ascii="Times New Roman" w:hAnsi="Times New Roman" w:cs="Times New Roman"/>
          <w:color w:val="000000"/>
          <w:shd w:val="clear" w:color="auto" w:fill="FFFFFF"/>
        </w:rPr>
        <w:t xml:space="preserve">. Two-thirds of which will be EPA evaluations completed at the VA and SFGH sites, 1425. The subsequent third at UCW, 735 </w:t>
      </w:r>
      <w:r w:rsidRPr="000200B7">
        <w:rPr>
          <w:rFonts w:ascii="Times New Roman" w:hAnsi="Times New Roman" w:cs="Times New Roman"/>
          <w:color w:val="000000"/>
          <w:shd w:val="clear" w:color="auto" w:fill="FFFFFF"/>
        </w:rPr>
        <w:t>in total.</w:t>
      </w:r>
    </w:p>
    <w:p w14:paraId="34CB2FBD" w14:textId="77777777" w:rsidR="000200B7" w:rsidRDefault="000200B7" w:rsidP="000200B7">
      <w:pPr>
        <w:ind w:left="360"/>
        <w:rPr>
          <w:rFonts w:ascii="Times New Roman" w:hAnsi="Times New Roman" w:cs="Times New Roman"/>
          <w:color w:val="000000"/>
          <w:shd w:val="clear" w:color="auto" w:fill="FFFFFF"/>
        </w:rPr>
      </w:pPr>
    </w:p>
    <w:p w14:paraId="62D608EA" w14:textId="77777777" w:rsidR="00145F82" w:rsidRDefault="000200B7" w:rsidP="00145F82">
      <w:pPr>
        <w:ind w:left="360"/>
        <w:rPr>
          <w:rFonts w:ascii="Times New Roman" w:hAnsi="Times New Roman" w:cs="Times New Roman"/>
          <w:b/>
          <w:bCs/>
        </w:rPr>
      </w:pPr>
      <w:r w:rsidRPr="0009784A">
        <w:rPr>
          <w:rFonts w:ascii="Times New Roman" w:hAnsi="Times New Roman" w:cs="Times New Roman"/>
          <w:color w:val="212529"/>
        </w:rPr>
        <w:t xml:space="preserve">Once averages (means) are generated for each of the evaluation types, subcategorized into residency years, we will calculate </w:t>
      </w:r>
      <w:r>
        <w:rPr>
          <w:rFonts w:ascii="Times New Roman" w:hAnsi="Times New Roman" w:cs="Times New Roman"/>
          <w:color w:val="212529"/>
        </w:rPr>
        <w:t>standard deviation (SD)</w:t>
      </w:r>
      <w:r w:rsidRPr="0009784A">
        <w:rPr>
          <w:rFonts w:ascii="Times New Roman" w:hAnsi="Times New Roman" w:cs="Times New Roman"/>
          <w:color w:val="212529"/>
        </w:rPr>
        <w:t xml:space="preserve"> from the mean.</w:t>
      </w:r>
      <w:r>
        <w:rPr>
          <w:rFonts w:ascii="Times New Roman" w:hAnsi="Times New Roman" w:cs="Times New Roman"/>
          <w:color w:val="212529"/>
        </w:rPr>
        <w:t xml:space="preserve"> </w:t>
      </w:r>
      <w:r>
        <w:rPr>
          <w:rFonts w:ascii="Times New Roman" w:hAnsi="Times New Roman" w:cs="Times New Roman"/>
          <w:color w:val="000000"/>
          <w:shd w:val="clear" w:color="auto" w:fill="FFFFFF"/>
        </w:rPr>
        <w:t>From this SD</w:t>
      </w:r>
      <w:r w:rsidRPr="000200B7">
        <w:rPr>
          <w:rFonts w:ascii="Times New Roman" w:hAnsi="Times New Roman" w:cs="Times New Roman"/>
          <w:color w:val="000000"/>
          <w:shd w:val="clear" w:color="auto" w:fill="FFFFFF"/>
        </w:rPr>
        <w:t xml:space="preserve">, we </w:t>
      </w:r>
      <w:r w:rsidRPr="000200B7">
        <w:rPr>
          <w:rFonts w:ascii="Times New Roman" w:hAnsi="Times New Roman" w:cs="Times New Roman"/>
          <w:color w:val="000000"/>
          <w:shd w:val="clear" w:color="auto" w:fill="FFFFFF"/>
        </w:rPr>
        <w:lastRenderedPageBreak/>
        <w:t xml:space="preserve">will be able to determine </w:t>
      </w:r>
      <w:r w:rsidRPr="000200B7">
        <w:rPr>
          <w:rFonts w:ascii="Times New Roman" w:hAnsi="Times New Roman" w:cs="Times New Roman"/>
        </w:rPr>
        <w:t>the minimum detectable effect size</w:t>
      </w:r>
      <w:r>
        <w:rPr>
          <w:rFonts w:ascii="Times New Roman" w:hAnsi="Times New Roman" w:cs="Times New Roman"/>
        </w:rPr>
        <w:t xml:space="preserve">. Based on an estimated SD of 1 an effective size </w:t>
      </w:r>
      <w:r w:rsidRPr="000200B7">
        <w:rPr>
          <w:rFonts w:ascii="Times New Roman" w:hAnsi="Times New Roman" w:cs="Times New Roman"/>
        </w:rPr>
        <w:t>of 0.1</w:t>
      </w:r>
      <w:r w:rsidRPr="000200B7">
        <w:rPr>
          <w:rFonts w:ascii="Times New Roman" w:hAnsi="Times New Roman" w:cs="Times New Roman"/>
        </w:rPr>
        <w:t>27</w:t>
      </w:r>
      <w:r w:rsidRPr="000200B7">
        <w:rPr>
          <w:rFonts w:ascii="Times New Roman" w:hAnsi="Times New Roman" w:cs="Times New Roman"/>
        </w:rPr>
        <w:t xml:space="preserve"> points difference</w:t>
      </w:r>
      <w:r>
        <w:rPr>
          <w:rFonts w:ascii="Times New Roman" w:hAnsi="Times New Roman" w:cs="Times New Roman"/>
        </w:rPr>
        <w:t xml:space="preserve"> </w:t>
      </w:r>
      <w:r w:rsidRPr="000200B7">
        <w:rPr>
          <w:rFonts w:ascii="Times New Roman" w:hAnsi="Times New Roman" w:cs="Times New Roman"/>
        </w:rPr>
        <w:t>and 0.0</w:t>
      </w:r>
      <w:r w:rsidRPr="000200B7">
        <w:rPr>
          <w:rFonts w:ascii="Times New Roman" w:hAnsi="Times New Roman" w:cs="Times New Roman"/>
        </w:rPr>
        <w:t>6</w:t>
      </w:r>
      <w:r w:rsidRPr="000200B7">
        <w:rPr>
          <w:rFonts w:ascii="Times New Roman" w:hAnsi="Times New Roman" w:cs="Times New Roman"/>
        </w:rPr>
        <w:t xml:space="preserve">4 difference in scores if </w:t>
      </w:r>
      <w:r w:rsidRPr="000200B7">
        <w:rPr>
          <w:rFonts w:ascii="Times New Roman" w:hAnsi="Times New Roman" w:cs="Times New Roman"/>
        </w:rPr>
        <w:t>the</w:t>
      </w:r>
      <w:r w:rsidRPr="000200B7">
        <w:rPr>
          <w:rFonts w:ascii="Times New Roman" w:hAnsi="Times New Roman" w:cs="Times New Roman"/>
        </w:rPr>
        <w:t xml:space="preserve"> SD is 0.5</w:t>
      </w:r>
      <w:r>
        <w:rPr>
          <w:rFonts w:ascii="Times New Roman" w:hAnsi="Times New Roman" w:cs="Times New Roman"/>
        </w:rPr>
        <w:t xml:space="preserve">, was calculated, with alpha preset at 0.05 and 80% power. </w:t>
      </w:r>
      <w:r w:rsidRPr="0009784A">
        <w:rPr>
          <w:rFonts w:ascii="Times New Roman" w:hAnsi="Times New Roman" w:cs="Times New Roman"/>
          <w:color w:val="000000"/>
          <w:shd w:val="clear" w:color="auto" w:fill="FFFFFF"/>
        </w:rPr>
        <w:t xml:space="preserve">We feel this is an acceptable amount of chance and risk of inaccuracy. To improve our accuracy, we will proceed with a two-tailed t-test. </w:t>
      </w:r>
      <w:r w:rsidRPr="0009784A">
        <w:rPr>
          <w:rFonts w:ascii="Times New Roman" w:hAnsi="Times New Roman" w:cs="Times New Roman"/>
          <w:color w:val="000000"/>
          <w:shd w:val="clear" w:color="auto" w:fill="FFFFFF"/>
        </w:rPr>
        <w:br/>
      </w:r>
      <w:r w:rsidRPr="0009784A">
        <w:rPr>
          <w:rFonts w:ascii="Times New Roman" w:hAnsi="Times New Roman" w:cs="Times New Roman"/>
          <w:color w:val="000000"/>
          <w:shd w:val="clear" w:color="auto" w:fill="FFFFFF"/>
        </w:rPr>
        <w:br/>
        <w:t>For some of our other study goals (</w:t>
      </w:r>
      <w:proofErr w:type="spellStart"/>
      <w:r w:rsidRPr="0009784A">
        <w:rPr>
          <w:rFonts w:ascii="Times New Roman" w:hAnsi="Times New Roman" w:cs="Times New Roman"/>
          <w:color w:val="000000"/>
          <w:shd w:val="clear" w:color="auto" w:fill="FFFFFF"/>
        </w:rPr>
        <w:t>ie</w:t>
      </w:r>
      <w:proofErr w:type="spellEnd"/>
      <w:r w:rsidRPr="0009784A">
        <w:rPr>
          <w:rFonts w:ascii="Times New Roman" w:hAnsi="Times New Roman" w:cs="Times New Roman"/>
          <w:color w:val="000000"/>
          <w:shd w:val="clear" w:color="auto" w:fill="FFFFFF"/>
        </w:rPr>
        <w:t>. percent completion of evaluations), we will be using a chi-squared test to see if there is a statistically significant difference in completion rates between sites. Based on prior research, there appears to be a completion rate of about 66% for faculty evaluations.</w:t>
      </w:r>
      <w:r w:rsidRPr="0009784A">
        <w:rPr>
          <w:rFonts w:ascii="Times New Roman" w:hAnsi="Times New Roman" w:cs="Times New Roman"/>
          <w:color w:val="000000"/>
          <w:shd w:val="clear" w:color="auto" w:fill="FFFFFF"/>
          <w:vertAlign w:val="superscript"/>
        </w:rPr>
        <w:t>2</w:t>
      </w:r>
      <w:r w:rsidRPr="0009784A">
        <w:rPr>
          <w:rFonts w:ascii="Times New Roman" w:hAnsi="Times New Roman" w:cs="Times New Roman"/>
          <w:color w:val="000000"/>
          <w:shd w:val="clear" w:color="auto" w:fill="FFFFFF"/>
        </w:rPr>
        <w:t xml:space="preserve"> However, based on ACGME regulations there is an expected completion of 70% and programs will be flagged for not meeting this threshold.</w:t>
      </w:r>
    </w:p>
    <w:p w14:paraId="34683631" w14:textId="1CF3BA5D" w:rsidR="00145F82" w:rsidRDefault="00145F82" w:rsidP="00145F82">
      <w:pPr>
        <w:rPr>
          <w:rFonts w:ascii="Times New Roman" w:hAnsi="Times New Roman" w:cs="Times New Roman"/>
          <w:i/>
          <w:iCs/>
          <w:color w:val="000000"/>
          <w:shd w:val="clear" w:color="auto" w:fill="FFFFFF"/>
        </w:rPr>
      </w:pPr>
    </w:p>
    <w:p w14:paraId="29899C2C" w14:textId="6E804D62" w:rsidR="00145F82" w:rsidRDefault="00145F82" w:rsidP="00145F82">
      <w:pPr>
        <w:ind w:left="36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Since our study is being completed at three difference sites, </w:t>
      </w:r>
      <w:r w:rsidRPr="0054267E">
        <w:rPr>
          <w:rFonts w:ascii="Times New Roman" w:hAnsi="Times New Roman" w:cs="Times New Roman"/>
          <w:color w:val="000000"/>
          <w:shd w:val="clear" w:color="auto" w:fill="FFFFFF"/>
        </w:rPr>
        <w:t>including</w:t>
      </w:r>
      <w:r>
        <w:rPr>
          <w:rFonts w:ascii="Times New Roman" w:hAnsi="Times New Roman" w:cs="Times New Roman"/>
          <w:color w:val="000000"/>
          <w:shd w:val="clear" w:color="auto" w:fill="FFFFFF"/>
        </w:rPr>
        <w:t xml:space="preserve"> a</w:t>
      </w:r>
      <w:r w:rsidRPr="0054267E">
        <w:rPr>
          <w:rFonts w:ascii="Times New Roman" w:hAnsi="Times New Roman" w:cs="Times New Roman"/>
          <w:color w:val="000000"/>
          <w:shd w:val="clear" w:color="auto" w:fill="FFFFFF"/>
        </w:rPr>
        <w:t xml:space="preserve"> tertiary care center, public county, and Veterans Affairs</w:t>
      </w:r>
      <w:r>
        <w:rPr>
          <w:rFonts w:ascii="Times New Roman" w:hAnsi="Times New Roman" w:cs="Times New Roman"/>
          <w:color w:val="000000"/>
          <w:shd w:val="clear" w:color="auto" w:fill="FFFFFF"/>
        </w:rPr>
        <w:t xml:space="preserve"> hospital, we anticipate there being inherent differences in results. Each of these sites has differing hiring processes, expected faculty duties, clinical hours – specifically teaching ward service, and patient populations, which we anticipate will have effect of some of the measures in our study. While we cannot adjust for these differences, </w:t>
      </w:r>
      <w:r>
        <w:rPr>
          <w:rFonts w:ascii="Times New Roman" w:hAnsi="Times New Roman" w:cs="Times New Roman"/>
          <w:color w:val="000000"/>
          <w:shd w:val="clear" w:color="auto" w:fill="FFFFFF"/>
        </w:rPr>
        <w:t xml:space="preserve">we </w:t>
      </w:r>
      <w:r>
        <w:rPr>
          <w:rFonts w:ascii="Times New Roman" w:hAnsi="Times New Roman" w:cs="Times New Roman"/>
          <w:color w:val="000000"/>
          <w:shd w:val="clear" w:color="auto" w:fill="FFFFFF"/>
        </w:rPr>
        <w:t>plan to</w:t>
      </w:r>
      <w:r>
        <w:rPr>
          <w:rFonts w:ascii="Times New Roman" w:hAnsi="Times New Roman" w:cs="Times New Roman"/>
          <w:color w:val="000000"/>
          <w:shd w:val="clear" w:color="auto" w:fill="FFFFFF"/>
        </w:rPr>
        <w:t xml:space="preserve"> also like to look at characteristics of supervisors responsible for completing surveys.</w:t>
      </w:r>
      <w:r>
        <w:rPr>
          <w:rFonts w:ascii="Times New Roman" w:hAnsi="Times New Roman" w:cs="Times New Roman"/>
          <w:color w:val="000000"/>
          <w:shd w:val="clear" w:color="auto" w:fill="FFFFFF"/>
        </w:rPr>
        <w:t xml:space="preserve"> We will attempt to gather information relating to average age of faculty and average designated clinical teaching time. We will also look at any external incentives for evaluation completion. </w:t>
      </w:r>
    </w:p>
    <w:p w14:paraId="6B798D7F" w14:textId="38F1FC12" w:rsidR="00145F82" w:rsidRDefault="00145F82" w:rsidP="00145F82">
      <w:pPr>
        <w:ind w:left="360"/>
        <w:rPr>
          <w:rFonts w:ascii="Times New Roman" w:hAnsi="Times New Roman" w:cs="Times New Roman"/>
          <w:color w:val="000000"/>
          <w:shd w:val="clear" w:color="auto" w:fill="FFFFFF"/>
        </w:rPr>
      </w:pPr>
    </w:p>
    <w:p w14:paraId="36601E60" w14:textId="207A0891" w:rsidR="00E217A8" w:rsidRDefault="00E217A8" w:rsidP="00145F82">
      <w:pPr>
        <w:ind w:left="360"/>
        <w:rPr>
          <w:rFonts w:ascii="Times New Roman" w:hAnsi="Times New Roman" w:cs="Times New Roman"/>
          <w:color w:val="000000"/>
          <w:shd w:val="clear" w:color="auto" w:fill="FFFFFF"/>
        </w:rPr>
      </w:pPr>
    </w:p>
    <w:p w14:paraId="04A7654A" w14:textId="16A29F86" w:rsidR="00E217A8" w:rsidRDefault="00E217A8" w:rsidP="00145F82">
      <w:pPr>
        <w:ind w:left="36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Please see attached example evaluations for review ***</w:t>
      </w:r>
    </w:p>
    <w:p w14:paraId="07FFC92B" w14:textId="77777777" w:rsidR="00145F82" w:rsidRDefault="00145F82" w:rsidP="00145F82">
      <w:pPr>
        <w:ind w:left="360"/>
        <w:rPr>
          <w:rFonts w:ascii="Times New Roman" w:hAnsi="Times New Roman" w:cs="Times New Roman"/>
          <w:color w:val="000000"/>
          <w:shd w:val="clear" w:color="auto" w:fill="FFFFFF"/>
        </w:rPr>
      </w:pPr>
    </w:p>
    <w:p w14:paraId="5B3A8748" w14:textId="30468C62" w:rsidR="001C0DA9" w:rsidRDefault="001C0DA9" w:rsidP="00D9343B">
      <w:pPr>
        <w:rPr>
          <w:rFonts w:ascii="Times New Roman" w:hAnsi="Times New Roman" w:cs="Times New Roman"/>
          <w:color w:val="000000"/>
          <w:shd w:val="clear" w:color="auto" w:fill="FFFFFF"/>
        </w:rPr>
      </w:pPr>
    </w:p>
    <w:p w14:paraId="1D846358" w14:textId="7AE3F557" w:rsidR="0009784A" w:rsidRDefault="0009784A" w:rsidP="00D9343B">
      <w:pPr>
        <w:rPr>
          <w:rFonts w:ascii="Times New Roman" w:hAnsi="Times New Roman" w:cs="Times New Roman"/>
          <w:color w:val="000000"/>
          <w:shd w:val="clear" w:color="auto" w:fill="FFFFFF"/>
        </w:rPr>
      </w:pPr>
    </w:p>
    <w:p w14:paraId="16480AA9" w14:textId="64CDB934" w:rsidR="0009784A" w:rsidRDefault="0009784A" w:rsidP="00D9343B">
      <w:pPr>
        <w:rPr>
          <w:rFonts w:ascii="Times New Roman" w:hAnsi="Times New Roman" w:cs="Times New Roman"/>
          <w:color w:val="000000"/>
          <w:shd w:val="clear" w:color="auto" w:fill="FFFFFF"/>
        </w:rPr>
      </w:pPr>
    </w:p>
    <w:p w14:paraId="4346E87E" w14:textId="1251F322" w:rsidR="0009784A" w:rsidRDefault="0009784A" w:rsidP="00D9343B">
      <w:pPr>
        <w:rPr>
          <w:rFonts w:ascii="Times New Roman" w:hAnsi="Times New Roman" w:cs="Times New Roman"/>
          <w:color w:val="000000"/>
          <w:shd w:val="clear" w:color="auto" w:fill="FFFFFF"/>
        </w:rPr>
      </w:pPr>
    </w:p>
    <w:p w14:paraId="6CE90C28" w14:textId="43844C33" w:rsidR="0009784A" w:rsidRDefault="0009784A" w:rsidP="00D9343B">
      <w:pPr>
        <w:rPr>
          <w:rFonts w:ascii="Times New Roman" w:hAnsi="Times New Roman" w:cs="Times New Roman"/>
          <w:color w:val="000000"/>
          <w:shd w:val="clear" w:color="auto" w:fill="FFFFFF"/>
        </w:rPr>
      </w:pPr>
    </w:p>
    <w:p w14:paraId="456C0922" w14:textId="5CA73790" w:rsidR="0009784A" w:rsidRDefault="0009784A" w:rsidP="00D9343B">
      <w:pPr>
        <w:rPr>
          <w:rFonts w:ascii="Times New Roman" w:hAnsi="Times New Roman" w:cs="Times New Roman"/>
          <w:color w:val="000000"/>
          <w:shd w:val="clear" w:color="auto" w:fill="FFFFFF"/>
        </w:rPr>
      </w:pPr>
    </w:p>
    <w:p w14:paraId="4D456552" w14:textId="6A822431" w:rsidR="000200B7" w:rsidRDefault="000200B7" w:rsidP="00D9343B">
      <w:pPr>
        <w:rPr>
          <w:rFonts w:ascii="Times New Roman" w:hAnsi="Times New Roman" w:cs="Times New Roman"/>
          <w:color w:val="000000"/>
          <w:shd w:val="clear" w:color="auto" w:fill="FFFFFF"/>
        </w:rPr>
      </w:pPr>
    </w:p>
    <w:p w14:paraId="1DB36423" w14:textId="7D4EA823" w:rsidR="00513413" w:rsidRDefault="00513413" w:rsidP="00D9343B">
      <w:pPr>
        <w:rPr>
          <w:rFonts w:ascii="Times New Roman" w:hAnsi="Times New Roman" w:cs="Times New Roman"/>
          <w:color w:val="000000"/>
          <w:shd w:val="clear" w:color="auto" w:fill="FFFFFF"/>
        </w:rPr>
      </w:pPr>
    </w:p>
    <w:p w14:paraId="7085F628" w14:textId="5E415C6F" w:rsidR="000200B7" w:rsidRDefault="000200B7" w:rsidP="00D9343B">
      <w:pPr>
        <w:rPr>
          <w:rFonts w:ascii="Times New Roman" w:hAnsi="Times New Roman" w:cs="Times New Roman"/>
          <w:color w:val="000000"/>
          <w:shd w:val="clear" w:color="auto" w:fill="FFFFFF"/>
        </w:rPr>
      </w:pPr>
    </w:p>
    <w:p w14:paraId="0C83EA90" w14:textId="3BCA60CB" w:rsidR="000200B7" w:rsidRDefault="000200B7" w:rsidP="00D9343B">
      <w:pPr>
        <w:rPr>
          <w:rFonts w:ascii="Times New Roman" w:hAnsi="Times New Roman" w:cs="Times New Roman"/>
          <w:color w:val="000000"/>
          <w:shd w:val="clear" w:color="auto" w:fill="FFFFFF"/>
        </w:rPr>
      </w:pPr>
    </w:p>
    <w:p w14:paraId="5DF0145A" w14:textId="5E499AE8" w:rsidR="000200B7" w:rsidRDefault="000200B7" w:rsidP="00D9343B">
      <w:pPr>
        <w:rPr>
          <w:rFonts w:ascii="Times New Roman" w:hAnsi="Times New Roman" w:cs="Times New Roman"/>
          <w:color w:val="000000"/>
          <w:shd w:val="clear" w:color="auto" w:fill="FFFFFF"/>
        </w:rPr>
      </w:pPr>
    </w:p>
    <w:p w14:paraId="48C8AACB" w14:textId="554D18E4" w:rsidR="000200B7" w:rsidRDefault="000200B7" w:rsidP="00D9343B">
      <w:pPr>
        <w:rPr>
          <w:rFonts w:ascii="Times New Roman" w:hAnsi="Times New Roman" w:cs="Times New Roman"/>
          <w:color w:val="000000"/>
          <w:shd w:val="clear" w:color="auto" w:fill="FFFFFF"/>
        </w:rPr>
      </w:pPr>
    </w:p>
    <w:p w14:paraId="09C0D94B" w14:textId="465CCC64" w:rsidR="000200B7" w:rsidRDefault="000200B7" w:rsidP="00D9343B">
      <w:pPr>
        <w:rPr>
          <w:rFonts w:ascii="Times New Roman" w:hAnsi="Times New Roman" w:cs="Times New Roman"/>
          <w:color w:val="000000"/>
          <w:shd w:val="clear" w:color="auto" w:fill="FFFFFF"/>
        </w:rPr>
      </w:pPr>
    </w:p>
    <w:p w14:paraId="7119F05E" w14:textId="0B273066" w:rsidR="000200B7" w:rsidRDefault="000200B7" w:rsidP="00D9343B">
      <w:pPr>
        <w:rPr>
          <w:rFonts w:ascii="Times New Roman" w:hAnsi="Times New Roman" w:cs="Times New Roman"/>
          <w:color w:val="000000"/>
          <w:shd w:val="clear" w:color="auto" w:fill="FFFFFF"/>
        </w:rPr>
      </w:pPr>
    </w:p>
    <w:p w14:paraId="79788268" w14:textId="1F2FC951" w:rsidR="000200B7" w:rsidRDefault="000200B7" w:rsidP="00D9343B">
      <w:pPr>
        <w:rPr>
          <w:rFonts w:ascii="Times New Roman" w:hAnsi="Times New Roman" w:cs="Times New Roman"/>
          <w:color w:val="000000"/>
          <w:shd w:val="clear" w:color="auto" w:fill="FFFFFF"/>
        </w:rPr>
      </w:pPr>
    </w:p>
    <w:p w14:paraId="074AF3E2" w14:textId="617AD534" w:rsidR="000200B7" w:rsidRDefault="000200B7" w:rsidP="00D9343B">
      <w:pPr>
        <w:rPr>
          <w:rFonts w:ascii="Times New Roman" w:hAnsi="Times New Roman" w:cs="Times New Roman"/>
          <w:color w:val="000000"/>
          <w:shd w:val="clear" w:color="auto" w:fill="FFFFFF"/>
        </w:rPr>
      </w:pPr>
    </w:p>
    <w:p w14:paraId="40521D42" w14:textId="29394000" w:rsidR="000200B7" w:rsidRDefault="000200B7" w:rsidP="00D9343B">
      <w:pPr>
        <w:rPr>
          <w:rFonts w:ascii="Times New Roman" w:hAnsi="Times New Roman" w:cs="Times New Roman"/>
          <w:color w:val="000000"/>
          <w:shd w:val="clear" w:color="auto" w:fill="FFFFFF"/>
        </w:rPr>
      </w:pPr>
    </w:p>
    <w:p w14:paraId="44D15D4D" w14:textId="18A088C2" w:rsidR="0009784A" w:rsidRDefault="0009784A" w:rsidP="00D9343B">
      <w:pPr>
        <w:rPr>
          <w:rFonts w:ascii="Times New Roman" w:hAnsi="Times New Roman" w:cs="Times New Roman"/>
          <w:color w:val="000000"/>
          <w:shd w:val="clear" w:color="auto" w:fill="FFFFFF"/>
        </w:rPr>
      </w:pPr>
    </w:p>
    <w:p w14:paraId="61AB300C" w14:textId="7F5F37B0" w:rsidR="00387FEB" w:rsidRDefault="00387FEB" w:rsidP="00D9343B">
      <w:pPr>
        <w:rPr>
          <w:rFonts w:ascii="Times New Roman" w:hAnsi="Times New Roman" w:cs="Times New Roman"/>
          <w:color w:val="000000"/>
          <w:shd w:val="clear" w:color="auto" w:fill="FFFFFF"/>
        </w:rPr>
      </w:pPr>
    </w:p>
    <w:p w14:paraId="061B6CFC" w14:textId="4D953A54" w:rsidR="001C0DA9" w:rsidRDefault="001C0DA9" w:rsidP="00D9343B">
      <w:pPr>
        <w:rPr>
          <w:rFonts w:ascii="Times New Roman" w:hAnsi="Times New Roman" w:cs="Times New Roman"/>
          <w:color w:val="000000"/>
          <w:shd w:val="clear" w:color="auto" w:fill="FFFFFF"/>
        </w:rPr>
      </w:pPr>
    </w:p>
    <w:p w14:paraId="70EB8CD8" w14:textId="77777777" w:rsidR="00513413" w:rsidRDefault="00513413" w:rsidP="00D9343B">
      <w:pPr>
        <w:rPr>
          <w:rFonts w:ascii="Times New Roman" w:hAnsi="Times New Roman" w:cs="Times New Roman"/>
          <w:color w:val="000000"/>
          <w:shd w:val="clear" w:color="auto" w:fill="FFFFFF"/>
        </w:rPr>
      </w:pPr>
    </w:p>
    <w:p w14:paraId="4C85B927" w14:textId="767637C6" w:rsidR="0009784A" w:rsidRPr="0009784A" w:rsidRDefault="0009784A" w:rsidP="00D9343B">
      <w:pPr>
        <w:rPr>
          <w:rFonts w:ascii="Times New Roman" w:hAnsi="Times New Roman" w:cs="Times New Roman"/>
          <w:i/>
          <w:iCs/>
          <w:color w:val="000000"/>
          <w:shd w:val="clear" w:color="auto" w:fill="FFFFFF"/>
        </w:rPr>
      </w:pPr>
      <w:r w:rsidRPr="0009784A">
        <w:rPr>
          <w:rFonts w:ascii="Times New Roman" w:hAnsi="Times New Roman" w:cs="Times New Roman"/>
          <w:i/>
          <w:iCs/>
          <w:color w:val="000000"/>
          <w:shd w:val="clear" w:color="auto" w:fill="FFFFFF"/>
        </w:rPr>
        <w:lastRenderedPageBreak/>
        <w:t>References:</w:t>
      </w:r>
    </w:p>
    <w:p w14:paraId="43FF8282" w14:textId="77777777" w:rsidR="00D9343B" w:rsidRPr="0009784A" w:rsidRDefault="00D9343B" w:rsidP="00D9343B">
      <w:pPr>
        <w:rPr>
          <w:rFonts w:ascii="Times New Roman" w:hAnsi="Times New Roman" w:cs="Times New Roman"/>
          <w:color w:val="000000"/>
          <w:shd w:val="clear" w:color="auto" w:fill="FFFFFF"/>
        </w:rPr>
      </w:pPr>
    </w:p>
    <w:p w14:paraId="79E5056C" w14:textId="77777777" w:rsidR="00AA4EB0" w:rsidRPr="0009784A" w:rsidRDefault="00AA4EB0" w:rsidP="00AA4EB0">
      <w:pPr>
        <w:pStyle w:val="ListParagraph"/>
        <w:numPr>
          <w:ilvl w:val="0"/>
          <w:numId w:val="2"/>
        </w:numPr>
        <w:rPr>
          <w:color w:val="000000"/>
        </w:rPr>
      </w:pPr>
      <w:r w:rsidRPr="0009784A">
        <w:rPr>
          <w:i/>
          <w:iCs/>
          <w:color w:val="000000"/>
        </w:rPr>
        <w:t>About the residency performance and competency evaluation process</w:t>
      </w:r>
      <w:r w:rsidRPr="0009784A">
        <w:rPr>
          <w:color w:val="000000"/>
        </w:rPr>
        <w:t xml:space="preserve">. ACP. (n.d.). </w:t>
      </w:r>
      <w:hyperlink r:id="rId5" w:history="1">
        <w:r w:rsidRPr="0009784A">
          <w:rPr>
            <w:rStyle w:val="Hyperlink"/>
          </w:rPr>
          <w:t>https://www.acponline.org/about-acp/about-internal-medicine/career-paths/residency-career-counseling/preparing-for-internal-medicine-board-certification/the-board-certification-process/about-the-residency-performance-and-competency-evaluation-process</w:t>
        </w:r>
      </w:hyperlink>
      <w:r w:rsidRPr="0009784A">
        <w:rPr>
          <w:color w:val="000000"/>
        </w:rPr>
        <w:t>. </w:t>
      </w:r>
    </w:p>
    <w:p w14:paraId="620DFB44" w14:textId="77777777" w:rsidR="00AA4EB0" w:rsidRPr="0009784A" w:rsidRDefault="00AA4EB0" w:rsidP="00AA4EB0">
      <w:pPr>
        <w:pStyle w:val="ListParagraph"/>
        <w:rPr>
          <w:color w:val="303030"/>
          <w:shd w:val="clear" w:color="auto" w:fill="FFFFFF"/>
        </w:rPr>
      </w:pPr>
    </w:p>
    <w:p w14:paraId="6751E97B" w14:textId="0AC61665" w:rsidR="00517F8F" w:rsidRPr="0009784A" w:rsidRDefault="00517F8F" w:rsidP="00517F8F">
      <w:pPr>
        <w:pStyle w:val="ListParagraph"/>
        <w:numPr>
          <w:ilvl w:val="0"/>
          <w:numId w:val="2"/>
        </w:numPr>
      </w:pPr>
      <w:proofErr w:type="spellStart"/>
      <w:r w:rsidRPr="0009784A">
        <w:rPr>
          <w:color w:val="303030"/>
          <w:shd w:val="clear" w:color="auto" w:fill="FFFFFF"/>
        </w:rPr>
        <w:t>Blankush</w:t>
      </w:r>
      <w:proofErr w:type="spellEnd"/>
      <w:r w:rsidRPr="0009784A">
        <w:rPr>
          <w:color w:val="303030"/>
          <w:shd w:val="clear" w:color="auto" w:fill="FFFFFF"/>
        </w:rPr>
        <w:t xml:space="preserve">, Joseph M et al. “What are the associations between the quantity of faculty evaluations and residents' perception of quality </w:t>
      </w:r>
      <w:proofErr w:type="gramStart"/>
      <w:r w:rsidRPr="0009784A">
        <w:rPr>
          <w:color w:val="303030"/>
          <w:shd w:val="clear" w:color="auto" w:fill="FFFFFF"/>
        </w:rPr>
        <w:t>feedback?.</w:t>
      </w:r>
      <w:proofErr w:type="gramEnd"/>
      <w:r w:rsidRPr="0009784A">
        <w:rPr>
          <w:color w:val="303030"/>
          <w:shd w:val="clear" w:color="auto" w:fill="FFFFFF"/>
        </w:rPr>
        <w:t>” </w:t>
      </w:r>
      <w:r w:rsidRPr="0009784A">
        <w:rPr>
          <w:i/>
          <w:iCs/>
          <w:color w:val="303030"/>
        </w:rPr>
        <w:t>Annals of medicine and surgery (2012)</w:t>
      </w:r>
      <w:r w:rsidRPr="0009784A">
        <w:rPr>
          <w:color w:val="303030"/>
          <w:shd w:val="clear" w:color="auto" w:fill="FFFFFF"/>
        </w:rPr>
        <w:t xml:space="preserve"> vol. 16 40-43. 6 Mar. 2017, </w:t>
      </w:r>
      <w:proofErr w:type="gramStart"/>
      <w:r w:rsidRPr="0009784A">
        <w:rPr>
          <w:color w:val="303030"/>
          <w:shd w:val="clear" w:color="auto" w:fill="FFFFFF"/>
        </w:rPr>
        <w:t>doi:10.1016/j.amsu</w:t>
      </w:r>
      <w:proofErr w:type="gramEnd"/>
      <w:r w:rsidRPr="0009784A">
        <w:rPr>
          <w:color w:val="303030"/>
          <w:shd w:val="clear" w:color="auto" w:fill="FFFFFF"/>
        </w:rPr>
        <w:t>.2017.03.001</w:t>
      </w:r>
      <w:r w:rsidRPr="0009784A">
        <w:rPr>
          <w:color w:val="303030"/>
          <w:shd w:val="clear" w:color="auto" w:fill="FFFFFF"/>
        </w:rPr>
        <w:br/>
      </w:r>
    </w:p>
    <w:p w14:paraId="4D6D436F" w14:textId="46DE9BC0" w:rsidR="00AA4EB0" w:rsidRPr="0009784A" w:rsidRDefault="00AA4EB0" w:rsidP="00517F8F">
      <w:pPr>
        <w:pStyle w:val="ListParagraph"/>
        <w:numPr>
          <w:ilvl w:val="0"/>
          <w:numId w:val="2"/>
        </w:numPr>
        <w:rPr>
          <w:color w:val="000000"/>
        </w:rPr>
      </w:pPr>
      <w:r w:rsidRPr="0009784A">
        <w:rPr>
          <w:color w:val="303030"/>
          <w:shd w:val="clear" w:color="auto" w:fill="FFFFFF"/>
        </w:rPr>
        <w:t xml:space="preserve">Cate O. T. (2018). A primer on </w:t>
      </w:r>
      <w:proofErr w:type="spellStart"/>
      <w:r w:rsidRPr="0009784A">
        <w:rPr>
          <w:color w:val="303030"/>
          <w:shd w:val="clear" w:color="auto" w:fill="FFFFFF"/>
        </w:rPr>
        <w:t>entrustable</w:t>
      </w:r>
      <w:proofErr w:type="spellEnd"/>
      <w:r w:rsidRPr="0009784A">
        <w:rPr>
          <w:color w:val="303030"/>
          <w:shd w:val="clear" w:color="auto" w:fill="FFFFFF"/>
        </w:rPr>
        <w:t xml:space="preserve"> professional activities. </w:t>
      </w:r>
      <w:r w:rsidRPr="0009784A">
        <w:rPr>
          <w:i/>
          <w:iCs/>
          <w:color w:val="303030"/>
        </w:rPr>
        <w:t>Korean journal of medical education</w:t>
      </w:r>
      <w:r w:rsidRPr="0009784A">
        <w:rPr>
          <w:color w:val="303030"/>
          <w:shd w:val="clear" w:color="auto" w:fill="FFFFFF"/>
        </w:rPr>
        <w:t>, </w:t>
      </w:r>
      <w:r w:rsidRPr="0009784A">
        <w:rPr>
          <w:i/>
          <w:iCs/>
          <w:color w:val="303030"/>
        </w:rPr>
        <w:t>30</w:t>
      </w:r>
      <w:r w:rsidRPr="0009784A">
        <w:rPr>
          <w:color w:val="303030"/>
          <w:shd w:val="clear" w:color="auto" w:fill="FFFFFF"/>
        </w:rPr>
        <w:t>(1), 1–10. https://doi.org/10.3946/kjme.2018.76</w:t>
      </w:r>
    </w:p>
    <w:p w14:paraId="73C0CA18" w14:textId="77777777" w:rsidR="00AA4EB0" w:rsidRPr="0009784A" w:rsidRDefault="00AA4EB0" w:rsidP="00AA4EB0">
      <w:pPr>
        <w:pStyle w:val="ListParagraph"/>
        <w:rPr>
          <w:color w:val="303030"/>
          <w:shd w:val="clear" w:color="auto" w:fill="FFFFFF"/>
        </w:rPr>
      </w:pPr>
    </w:p>
    <w:p w14:paraId="4615F394" w14:textId="77777777" w:rsidR="00AA4EB0" w:rsidRPr="0009784A" w:rsidRDefault="00AA4EB0" w:rsidP="00AA4EB0">
      <w:pPr>
        <w:pStyle w:val="ListParagraph"/>
        <w:numPr>
          <w:ilvl w:val="0"/>
          <w:numId w:val="2"/>
        </w:numPr>
      </w:pPr>
      <w:r w:rsidRPr="0009784A">
        <w:rPr>
          <w:color w:val="303030"/>
          <w:shd w:val="clear" w:color="auto" w:fill="FFFFFF"/>
        </w:rPr>
        <w:t>Cooney, T G. “Evaluation of residents: challenges and opportunities.”</w:t>
      </w:r>
      <w:r w:rsidRPr="0009784A">
        <w:rPr>
          <w:rStyle w:val="apple-converted-space"/>
          <w:color w:val="303030"/>
          <w:shd w:val="clear" w:color="auto" w:fill="FFFFFF"/>
        </w:rPr>
        <w:t> </w:t>
      </w:r>
      <w:r w:rsidRPr="0009784A">
        <w:rPr>
          <w:i/>
          <w:iCs/>
          <w:color w:val="303030"/>
        </w:rPr>
        <w:t>Journal of general internal medicine</w:t>
      </w:r>
      <w:r w:rsidRPr="0009784A">
        <w:rPr>
          <w:rStyle w:val="apple-converted-space"/>
          <w:color w:val="303030"/>
          <w:shd w:val="clear" w:color="auto" w:fill="FFFFFF"/>
        </w:rPr>
        <w:t> </w:t>
      </w:r>
      <w:r w:rsidRPr="0009784A">
        <w:rPr>
          <w:color w:val="303030"/>
          <w:shd w:val="clear" w:color="auto" w:fill="FFFFFF"/>
        </w:rPr>
        <w:t>vol. 16,7 (2001): 498-9. doi:10.1046/j.1525-1497.</w:t>
      </w:r>
      <w:proofErr w:type="gramStart"/>
      <w:r w:rsidRPr="0009784A">
        <w:rPr>
          <w:color w:val="303030"/>
          <w:shd w:val="clear" w:color="auto" w:fill="FFFFFF"/>
        </w:rPr>
        <w:t>2001.016007498.x</w:t>
      </w:r>
      <w:proofErr w:type="gramEnd"/>
    </w:p>
    <w:p w14:paraId="532E4E27" w14:textId="77777777" w:rsidR="00AA4EB0" w:rsidRPr="0009784A" w:rsidRDefault="00AA4EB0" w:rsidP="00AA4EB0">
      <w:pPr>
        <w:pStyle w:val="ListParagraph"/>
        <w:ind w:left="1080"/>
      </w:pPr>
    </w:p>
    <w:p w14:paraId="6C37383A" w14:textId="45E45028" w:rsidR="00AA4EB0" w:rsidRPr="0009784A" w:rsidRDefault="00AA4EB0" w:rsidP="00AA4EB0">
      <w:pPr>
        <w:pStyle w:val="ListParagraph"/>
        <w:numPr>
          <w:ilvl w:val="0"/>
          <w:numId w:val="2"/>
        </w:numPr>
      </w:pPr>
      <w:r w:rsidRPr="0009784A">
        <w:rPr>
          <w:color w:val="1A1A1A"/>
          <w:shd w:val="clear" w:color="auto" w:fill="FFFFFF"/>
        </w:rPr>
        <w:t xml:space="preserve">Karen E. Hauer, Jeffrey </w:t>
      </w:r>
      <w:proofErr w:type="spellStart"/>
      <w:r w:rsidRPr="0009784A">
        <w:rPr>
          <w:color w:val="1A1A1A"/>
          <w:shd w:val="clear" w:color="auto" w:fill="FFFFFF"/>
        </w:rPr>
        <w:t>Kohlwes</w:t>
      </w:r>
      <w:proofErr w:type="spellEnd"/>
      <w:r w:rsidRPr="0009784A">
        <w:rPr>
          <w:color w:val="1A1A1A"/>
          <w:shd w:val="clear" w:color="auto" w:fill="FFFFFF"/>
        </w:rPr>
        <w:t xml:space="preserve">, Patricia Cornett, Harry Hollander, </w:t>
      </w:r>
      <w:proofErr w:type="spellStart"/>
      <w:r w:rsidRPr="0009784A">
        <w:rPr>
          <w:color w:val="1A1A1A"/>
          <w:shd w:val="clear" w:color="auto" w:fill="FFFFFF"/>
        </w:rPr>
        <w:t>Olle</w:t>
      </w:r>
      <w:proofErr w:type="spellEnd"/>
      <w:r w:rsidRPr="0009784A">
        <w:rPr>
          <w:color w:val="1A1A1A"/>
          <w:shd w:val="clear" w:color="auto" w:fill="FFFFFF"/>
        </w:rPr>
        <w:t xml:space="preserve"> ten Cate, </w:t>
      </w:r>
      <w:proofErr w:type="spellStart"/>
      <w:r w:rsidRPr="0009784A">
        <w:rPr>
          <w:color w:val="1A1A1A"/>
          <w:shd w:val="clear" w:color="auto" w:fill="FFFFFF"/>
        </w:rPr>
        <w:t>Sumant</w:t>
      </w:r>
      <w:proofErr w:type="spellEnd"/>
      <w:r w:rsidRPr="0009784A">
        <w:rPr>
          <w:color w:val="1A1A1A"/>
          <w:shd w:val="clear" w:color="auto" w:fill="FFFFFF"/>
        </w:rPr>
        <w:t xml:space="preserve"> R. </w:t>
      </w:r>
      <w:proofErr w:type="spellStart"/>
      <w:r w:rsidRPr="0009784A">
        <w:rPr>
          <w:color w:val="1A1A1A"/>
          <w:shd w:val="clear" w:color="auto" w:fill="FFFFFF"/>
        </w:rPr>
        <w:t>Ranji</w:t>
      </w:r>
      <w:proofErr w:type="spellEnd"/>
      <w:r w:rsidRPr="0009784A">
        <w:rPr>
          <w:color w:val="1A1A1A"/>
          <w:shd w:val="clear" w:color="auto" w:fill="FFFFFF"/>
        </w:rPr>
        <w:t xml:space="preserve">, Krishan </w:t>
      </w:r>
      <w:proofErr w:type="spellStart"/>
      <w:r w:rsidRPr="0009784A">
        <w:rPr>
          <w:color w:val="1A1A1A"/>
          <w:shd w:val="clear" w:color="auto" w:fill="FFFFFF"/>
        </w:rPr>
        <w:t>Soni</w:t>
      </w:r>
      <w:proofErr w:type="spellEnd"/>
      <w:r w:rsidRPr="0009784A">
        <w:rPr>
          <w:color w:val="1A1A1A"/>
          <w:shd w:val="clear" w:color="auto" w:fill="FFFFFF"/>
        </w:rPr>
        <w:t xml:space="preserve">, William </w:t>
      </w:r>
      <w:proofErr w:type="spellStart"/>
      <w:r w:rsidRPr="0009784A">
        <w:rPr>
          <w:color w:val="1A1A1A"/>
          <w:shd w:val="clear" w:color="auto" w:fill="FFFFFF"/>
        </w:rPr>
        <w:t>Iobst</w:t>
      </w:r>
      <w:proofErr w:type="spellEnd"/>
      <w:r w:rsidRPr="0009784A">
        <w:rPr>
          <w:color w:val="1A1A1A"/>
          <w:shd w:val="clear" w:color="auto" w:fill="FFFFFF"/>
        </w:rPr>
        <w:t xml:space="preserve">, Patricia O'Sullivan; Identifying </w:t>
      </w:r>
      <w:proofErr w:type="spellStart"/>
      <w:r w:rsidRPr="0009784A">
        <w:rPr>
          <w:color w:val="1A1A1A"/>
          <w:shd w:val="clear" w:color="auto" w:fill="FFFFFF"/>
        </w:rPr>
        <w:t>Entrustable</w:t>
      </w:r>
      <w:proofErr w:type="spellEnd"/>
      <w:r w:rsidRPr="0009784A">
        <w:rPr>
          <w:color w:val="1A1A1A"/>
          <w:shd w:val="clear" w:color="auto" w:fill="FFFFFF"/>
        </w:rPr>
        <w:t xml:space="preserve"> Professional Activities in Internal Medicine Training. </w:t>
      </w:r>
      <w:r w:rsidRPr="0009784A">
        <w:rPr>
          <w:i/>
          <w:iCs/>
          <w:color w:val="1A1A1A"/>
          <w:bdr w:val="none" w:sz="0" w:space="0" w:color="auto" w:frame="1"/>
        </w:rPr>
        <w:t>J Grad Med Educ</w:t>
      </w:r>
      <w:r w:rsidRPr="0009784A">
        <w:rPr>
          <w:color w:val="1A1A1A"/>
          <w:shd w:val="clear" w:color="auto" w:fill="FFFFFF"/>
        </w:rPr>
        <w:t xml:space="preserve"> 1 March 2013; 5 (1): 54–59. </w:t>
      </w:r>
      <w:proofErr w:type="spellStart"/>
      <w:r w:rsidRPr="0009784A">
        <w:rPr>
          <w:color w:val="1A1A1A"/>
          <w:shd w:val="clear" w:color="auto" w:fill="FFFFFF"/>
        </w:rPr>
        <w:t>doi</w:t>
      </w:r>
      <w:proofErr w:type="spellEnd"/>
      <w:r w:rsidRPr="0009784A">
        <w:rPr>
          <w:color w:val="1A1A1A"/>
          <w:shd w:val="clear" w:color="auto" w:fill="FFFFFF"/>
        </w:rPr>
        <w:t>: </w:t>
      </w:r>
      <w:hyperlink r:id="rId6" w:tgtFrame="_blank" w:history="1">
        <w:r w:rsidRPr="0009784A">
          <w:rPr>
            <w:color w:val="0952AB"/>
            <w:u w:val="single"/>
            <w:bdr w:val="none" w:sz="0" w:space="0" w:color="auto" w:frame="1"/>
          </w:rPr>
          <w:t>https://doi.org/10.4300/JGME-D-12-00060.1</w:t>
        </w:r>
      </w:hyperlink>
    </w:p>
    <w:p w14:paraId="5B1464AB" w14:textId="77777777" w:rsidR="00AA4EB0" w:rsidRPr="0009784A" w:rsidRDefault="00AA4EB0" w:rsidP="00AA4EB0">
      <w:pPr>
        <w:pStyle w:val="ListParagraph"/>
      </w:pPr>
    </w:p>
    <w:p w14:paraId="62E3DFFA" w14:textId="77777777" w:rsidR="00AA4EB0" w:rsidRPr="0009784A" w:rsidRDefault="00AA4EB0" w:rsidP="00AA4EB0">
      <w:pPr>
        <w:pStyle w:val="ListParagraph"/>
        <w:ind w:left="1080"/>
      </w:pPr>
    </w:p>
    <w:p w14:paraId="1D74FB6A" w14:textId="76EEBCCD" w:rsidR="00AA4EB0" w:rsidRPr="0009784A" w:rsidRDefault="00AA4EB0" w:rsidP="00AA4EB0">
      <w:pPr>
        <w:pStyle w:val="ListParagraph"/>
        <w:numPr>
          <w:ilvl w:val="0"/>
          <w:numId w:val="2"/>
        </w:numPr>
      </w:pPr>
      <w:proofErr w:type="spellStart"/>
      <w:r w:rsidRPr="0009784A">
        <w:t>Sklar</w:t>
      </w:r>
      <w:proofErr w:type="spellEnd"/>
      <w:r w:rsidRPr="0009784A">
        <w:t xml:space="preserve">, David P. MD Competencies, Milestones, and </w:t>
      </w:r>
      <w:proofErr w:type="spellStart"/>
      <w:r w:rsidRPr="0009784A">
        <w:t>Entrustable</w:t>
      </w:r>
      <w:proofErr w:type="spellEnd"/>
      <w:r w:rsidRPr="0009784A">
        <w:t xml:space="preserve"> Professional Activities, Academic Medicine: April 2015 - Volume 90 - Issue 4 - p 395-397 </w:t>
      </w:r>
      <w:proofErr w:type="spellStart"/>
      <w:r w:rsidRPr="0009784A">
        <w:t>doi</w:t>
      </w:r>
      <w:proofErr w:type="spellEnd"/>
      <w:r w:rsidRPr="0009784A">
        <w:t>: 10.1097/ACM.0000000000000659</w:t>
      </w:r>
    </w:p>
    <w:p w14:paraId="3FCDF83D" w14:textId="77777777" w:rsidR="00AA4EB0" w:rsidRPr="0009784A" w:rsidRDefault="00AA4EB0" w:rsidP="00AA4EB0">
      <w:pPr>
        <w:rPr>
          <w:rFonts w:ascii="Times New Roman" w:hAnsi="Times New Roman" w:cs="Times New Roman"/>
        </w:rPr>
      </w:pPr>
    </w:p>
    <w:p w14:paraId="2BDDCC2E" w14:textId="77777777" w:rsidR="00AA4EB0" w:rsidRPr="0009784A" w:rsidRDefault="00AA4EB0" w:rsidP="00AA4EB0">
      <w:pPr>
        <w:pStyle w:val="ListParagraph"/>
        <w:numPr>
          <w:ilvl w:val="0"/>
          <w:numId w:val="2"/>
        </w:numPr>
        <w:rPr>
          <w:color w:val="000000"/>
          <w:shd w:val="clear" w:color="auto" w:fill="FFFFFF"/>
        </w:rPr>
      </w:pPr>
      <w:r w:rsidRPr="0009784A">
        <w:rPr>
          <w:color w:val="303030"/>
          <w:shd w:val="clear" w:color="auto" w:fill="FFFFFF"/>
        </w:rPr>
        <w:t xml:space="preserve">Ten Cate, </w:t>
      </w:r>
      <w:proofErr w:type="spellStart"/>
      <w:r w:rsidRPr="0009784A">
        <w:rPr>
          <w:color w:val="303030"/>
          <w:shd w:val="clear" w:color="auto" w:fill="FFFFFF"/>
        </w:rPr>
        <w:t>Olle</w:t>
      </w:r>
      <w:proofErr w:type="spellEnd"/>
      <w:r w:rsidRPr="0009784A">
        <w:rPr>
          <w:color w:val="303030"/>
          <w:shd w:val="clear" w:color="auto" w:fill="FFFFFF"/>
        </w:rPr>
        <w:t xml:space="preserve">. “Nuts and bolts of </w:t>
      </w:r>
      <w:proofErr w:type="spellStart"/>
      <w:r w:rsidRPr="0009784A">
        <w:rPr>
          <w:color w:val="303030"/>
          <w:shd w:val="clear" w:color="auto" w:fill="FFFFFF"/>
        </w:rPr>
        <w:t>entrustable</w:t>
      </w:r>
      <w:proofErr w:type="spellEnd"/>
      <w:r w:rsidRPr="0009784A">
        <w:rPr>
          <w:color w:val="303030"/>
          <w:shd w:val="clear" w:color="auto" w:fill="FFFFFF"/>
        </w:rPr>
        <w:t xml:space="preserve"> professional activities.” </w:t>
      </w:r>
      <w:r w:rsidRPr="0009784A">
        <w:rPr>
          <w:i/>
          <w:iCs/>
          <w:color w:val="303030"/>
        </w:rPr>
        <w:t>Journal of graduate medical education</w:t>
      </w:r>
      <w:r w:rsidRPr="0009784A">
        <w:rPr>
          <w:color w:val="303030"/>
          <w:shd w:val="clear" w:color="auto" w:fill="FFFFFF"/>
        </w:rPr>
        <w:t> vol. 5,1 (2013): 157-8. doi:10.4300/JGME-D-12-00380.1</w:t>
      </w:r>
    </w:p>
    <w:p w14:paraId="640A7E62" w14:textId="2548E9DB" w:rsidR="003560F5" w:rsidRPr="0009784A" w:rsidRDefault="00600F6E">
      <w:pPr>
        <w:rPr>
          <w:rFonts w:ascii="Times New Roman" w:hAnsi="Times New Roman" w:cs="Times New Roman"/>
        </w:rPr>
      </w:pPr>
    </w:p>
    <w:p w14:paraId="3C54EB1F" w14:textId="70697DFB" w:rsidR="0009784A" w:rsidRDefault="0009784A" w:rsidP="0009784A">
      <w:pPr>
        <w:rPr>
          <w:rFonts w:ascii="Times New Roman" w:hAnsi="Times New Roman" w:cs="Times New Roman"/>
        </w:rPr>
      </w:pPr>
    </w:p>
    <w:p w14:paraId="1A12EA5E" w14:textId="62B5C614" w:rsidR="0009784A" w:rsidRDefault="0009784A" w:rsidP="0009784A">
      <w:pPr>
        <w:rPr>
          <w:rFonts w:ascii="Times New Roman" w:hAnsi="Times New Roman" w:cs="Times New Roman"/>
        </w:rPr>
      </w:pPr>
    </w:p>
    <w:p w14:paraId="727CD45D" w14:textId="39EBF197" w:rsidR="0009784A" w:rsidRDefault="0009784A" w:rsidP="0009784A">
      <w:pPr>
        <w:rPr>
          <w:rFonts w:ascii="Times New Roman" w:hAnsi="Times New Roman" w:cs="Times New Roman"/>
        </w:rPr>
      </w:pPr>
    </w:p>
    <w:p w14:paraId="2BA006CC" w14:textId="35318AE4" w:rsidR="0009784A" w:rsidRDefault="0009784A" w:rsidP="0009784A">
      <w:pPr>
        <w:rPr>
          <w:rFonts w:ascii="Times New Roman" w:hAnsi="Times New Roman" w:cs="Times New Roman"/>
        </w:rPr>
      </w:pPr>
    </w:p>
    <w:p w14:paraId="48AA0AF2" w14:textId="3E72AFA5" w:rsidR="0009784A" w:rsidRDefault="0009784A" w:rsidP="0009784A">
      <w:pPr>
        <w:rPr>
          <w:rFonts w:ascii="Times New Roman" w:hAnsi="Times New Roman" w:cs="Times New Roman"/>
        </w:rPr>
      </w:pPr>
    </w:p>
    <w:p w14:paraId="50C91C97" w14:textId="4E5AA9EA" w:rsidR="0009784A" w:rsidRDefault="0009784A" w:rsidP="0009784A">
      <w:pPr>
        <w:rPr>
          <w:rFonts w:ascii="Times New Roman" w:hAnsi="Times New Roman" w:cs="Times New Roman"/>
        </w:rPr>
      </w:pPr>
    </w:p>
    <w:p w14:paraId="073566C7" w14:textId="26B4A1EF" w:rsidR="0009784A" w:rsidRDefault="0009784A" w:rsidP="0009784A">
      <w:pPr>
        <w:rPr>
          <w:rFonts w:ascii="Times New Roman" w:hAnsi="Times New Roman" w:cs="Times New Roman"/>
        </w:rPr>
      </w:pPr>
    </w:p>
    <w:p w14:paraId="7AB505CB" w14:textId="0DAC30E3" w:rsidR="0009784A" w:rsidRDefault="0009784A" w:rsidP="0009784A">
      <w:pPr>
        <w:rPr>
          <w:rFonts w:ascii="Times New Roman" w:hAnsi="Times New Roman" w:cs="Times New Roman"/>
        </w:rPr>
      </w:pPr>
    </w:p>
    <w:p w14:paraId="21DC3CEC" w14:textId="1919F604" w:rsidR="0009784A" w:rsidRDefault="0009784A" w:rsidP="0009784A">
      <w:pPr>
        <w:rPr>
          <w:rFonts w:ascii="Times New Roman" w:hAnsi="Times New Roman" w:cs="Times New Roman"/>
        </w:rPr>
      </w:pPr>
    </w:p>
    <w:p w14:paraId="13FFA77C" w14:textId="51C90415" w:rsidR="0009784A" w:rsidRDefault="0009784A" w:rsidP="0009784A">
      <w:pPr>
        <w:rPr>
          <w:rFonts w:ascii="Times New Roman" w:hAnsi="Times New Roman" w:cs="Times New Roman"/>
        </w:rPr>
      </w:pPr>
    </w:p>
    <w:p w14:paraId="27AE70C6" w14:textId="6A2918EB" w:rsidR="0009784A" w:rsidRDefault="0009784A" w:rsidP="0009784A">
      <w:pPr>
        <w:rPr>
          <w:rFonts w:ascii="Times New Roman" w:hAnsi="Times New Roman" w:cs="Times New Roman"/>
        </w:rPr>
      </w:pPr>
    </w:p>
    <w:p w14:paraId="21596BCC" w14:textId="2EF52CD0" w:rsidR="0009784A" w:rsidRDefault="0009784A" w:rsidP="0009784A">
      <w:pPr>
        <w:rPr>
          <w:rFonts w:ascii="Times New Roman" w:hAnsi="Times New Roman" w:cs="Times New Roman"/>
        </w:rPr>
      </w:pPr>
    </w:p>
    <w:p w14:paraId="0EC4F93D" w14:textId="77777777" w:rsidR="0009784A" w:rsidRDefault="0009784A" w:rsidP="0009784A">
      <w:pPr>
        <w:rPr>
          <w:rFonts w:ascii="Times New Roman" w:hAnsi="Times New Roman" w:cs="Times New Roman"/>
        </w:rPr>
      </w:pPr>
    </w:p>
    <w:p w14:paraId="6F5A32A4" w14:textId="77777777" w:rsidR="0009784A" w:rsidRDefault="0009784A" w:rsidP="0009784A">
      <w:pPr>
        <w:rPr>
          <w:rFonts w:ascii="Times New Roman" w:hAnsi="Times New Roman" w:cs="Times New Roman"/>
        </w:rPr>
      </w:pPr>
    </w:p>
    <w:p w14:paraId="50BB08C6" w14:textId="20CCE42C" w:rsidR="0009784A" w:rsidRPr="0085289E" w:rsidRDefault="0009784A" w:rsidP="0009784A">
      <w:pPr>
        <w:rPr>
          <w:rFonts w:ascii="Times New Roman" w:hAnsi="Times New Roman" w:cs="Times New Roman"/>
          <w:b/>
          <w:bCs/>
        </w:rPr>
      </w:pPr>
      <w:r w:rsidRPr="0085289E">
        <w:rPr>
          <w:rFonts w:ascii="Times New Roman" w:hAnsi="Times New Roman" w:cs="Times New Roman"/>
          <w:b/>
          <w:bCs/>
        </w:rPr>
        <w:lastRenderedPageBreak/>
        <w:t>Example Milestone Evaluation: UCW</w:t>
      </w:r>
    </w:p>
    <w:p w14:paraId="24E42E95" w14:textId="4086B4E8" w:rsidR="0009784A" w:rsidRDefault="0009784A">
      <w:pPr>
        <w:rPr>
          <w:rFonts w:ascii="Times New Roman" w:hAnsi="Times New Roman" w:cs="Times New Roman"/>
        </w:rPr>
      </w:pPr>
      <w:r>
        <w:rPr>
          <w:rFonts w:ascii="Times New Roman" w:hAnsi="Times New Roman" w:cs="Times New Roman"/>
          <w:noProof/>
        </w:rPr>
        <w:drawing>
          <wp:inline distT="0" distB="0" distL="0" distR="0" wp14:anchorId="563BAF97" wp14:editId="39116A4F">
            <wp:extent cx="4001770" cy="357466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9310" cy="3626059"/>
                    </a:xfrm>
                    <a:prstGeom prst="rect">
                      <a:avLst/>
                    </a:prstGeom>
                  </pic:spPr>
                </pic:pic>
              </a:graphicData>
            </a:graphic>
          </wp:inline>
        </w:drawing>
      </w:r>
    </w:p>
    <w:p w14:paraId="5B2DD4B2" w14:textId="59059E00" w:rsidR="0009784A" w:rsidRDefault="0009784A">
      <w:pPr>
        <w:rPr>
          <w:rFonts w:ascii="Times New Roman" w:hAnsi="Times New Roman" w:cs="Times New Roman"/>
        </w:rPr>
      </w:pPr>
      <w:r>
        <w:rPr>
          <w:rFonts w:ascii="Times New Roman" w:hAnsi="Times New Roman" w:cs="Times New Roman"/>
          <w:noProof/>
        </w:rPr>
        <w:drawing>
          <wp:inline distT="0" distB="0" distL="0" distR="0" wp14:anchorId="1EAAD01C" wp14:editId="25D97A4F">
            <wp:extent cx="4001791" cy="399495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5283" cy="4018403"/>
                    </a:xfrm>
                    <a:prstGeom prst="rect">
                      <a:avLst/>
                    </a:prstGeom>
                  </pic:spPr>
                </pic:pic>
              </a:graphicData>
            </a:graphic>
          </wp:inline>
        </w:drawing>
      </w:r>
    </w:p>
    <w:p w14:paraId="478B3AE5" w14:textId="689B67DF" w:rsidR="0009784A" w:rsidRDefault="0009784A">
      <w:pPr>
        <w:rPr>
          <w:rFonts w:ascii="Times New Roman" w:hAnsi="Times New Roman" w:cs="Times New Roman"/>
        </w:rPr>
      </w:pPr>
    </w:p>
    <w:p w14:paraId="5DE9615D" w14:textId="77777777" w:rsidR="0085289E" w:rsidRDefault="0085289E">
      <w:pPr>
        <w:rPr>
          <w:rFonts w:ascii="Times New Roman" w:hAnsi="Times New Roman" w:cs="Times New Roman"/>
        </w:rPr>
      </w:pPr>
    </w:p>
    <w:p w14:paraId="37A006EE" w14:textId="5D49129C" w:rsidR="0009784A" w:rsidRPr="0085289E" w:rsidRDefault="0009784A">
      <w:pPr>
        <w:rPr>
          <w:rFonts w:ascii="Times New Roman" w:hAnsi="Times New Roman" w:cs="Times New Roman"/>
          <w:b/>
          <w:bCs/>
        </w:rPr>
      </w:pPr>
      <w:r w:rsidRPr="0085289E">
        <w:rPr>
          <w:rFonts w:ascii="Times New Roman" w:hAnsi="Times New Roman" w:cs="Times New Roman"/>
          <w:b/>
          <w:bCs/>
        </w:rPr>
        <w:lastRenderedPageBreak/>
        <w:t>Example EPA Evaluation: VAW</w:t>
      </w:r>
    </w:p>
    <w:p w14:paraId="6B2634A2" w14:textId="0877A109" w:rsidR="0009784A" w:rsidRDefault="0009784A">
      <w:pPr>
        <w:rPr>
          <w:rFonts w:ascii="Times New Roman" w:hAnsi="Times New Roman" w:cs="Times New Roman"/>
        </w:rPr>
      </w:pPr>
      <w:r>
        <w:rPr>
          <w:rFonts w:ascii="Times New Roman" w:hAnsi="Times New Roman" w:cs="Times New Roman"/>
          <w:noProof/>
        </w:rPr>
        <w:drawing>
          <wp:inline distT="0" distB="0" distL="0" distR="0" wp14:anchorId="475D8F3E" wp14:editId="71B1CE55">
            <wp:extent cx="5943600" cy="2992120"/>
            <wp:effectExtent l="0" t="0" r="0" b="508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2992120"/>
                    </a:xfrm>
                    <a:prstGeom prst="rect">
                      <a:avLst/>
                    </a:prstGeom>
                  </pic:spPr>
                </pic:pic>
              </a:graphicData>
            </a:graphic>
          </wp:inline>
        </w:drawing>
      </w:r>
    </w:p>
    <w:p w14:paraId="20CE921D" w14:textId="2A9C3653" w:rsidR="0009784A" w:rsidRPr="0009784A" w:rsidRDefault="0009784A">
      <w:pPr>
        <w:rPr>
          <w:rFonts w:ascii="Times New Roman" w:hAnsi="Times New Roman" w:cs="Times New Roman"/>
        </w:rPr>
      </w:pPr>
      <w:r>
        <w:rPr>
          <w:rFonts w:ascii="Times New Roman" w:hAnsi="Times New Roman" w:cs="Times New Roman"/>
          <w:noProof/>
        </w:rPr>
        <w:drawing>
          <wp:inline distT="0" distB="0" distL="0" distR="0" wp14:anchorId="45DCD5B5" wp14:editId="4259C216">
            <wp:extent cx="5943600" cy="1642110"/>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1642110"/>
                    </a:xfrm>
                    <a:prstGeom prst="rect">
                      <a:avLst/>
                    </a:prstGeom>
                  </pic:spPr>
                </pic:pic>
              </a:graphicData>
            </a:graphic>
          </wp:inline>
        </w:drawing>
      </w:r>
    </w:p>
    <w:sectPr w:rsidR="0009784A" w:rsidRPr="00097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68B3"/>
    <w:multiLevelType w:val="hybridMultilevel"/>
    <w:tmpl w:val="83167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14875"/>
    <w:multiLevelType w:val="multilevel"/>
    <w:tmpl w:val="EB607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842C8"/>
    <w:multiLevelType w:val="hybridMultilevel"/>
    <w:tmpl w:val="56F44F26"/>
    <w:lvl w:ilvl="0" w:tplc="E6B680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021F1B"/>
    <w:multiLevelType w:val="multilevel"/>
    <w:tmpl w:val="26B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F03EE"/>
    <w:multiLevelType w:val="multilevel"/>
    <w:tmpl w:val="CC5C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75D39"/>
    <w:multiLevelType w:val="hybridMultilevel"/>
    <w:tmpl w:val="83CE0E9E"/>
    <w:lvl w:ilvl="0" w:tplc="8632B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6221A7"/>
    <w:multiLevelType w:val="hybridMultilevel"/>
    <w:tmpl w:val="D9648F2E"/>
    <w:lvl w:ilvl="0" w:tplc="6D2C9C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5077B1"/>
    <w:multiLevelType w:val="hybridMultilevel"/>
    <w:tmpl w:val="C3F87762"/>
    <w:lvl w:ilvl="0" w:tplc="2D1C12A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7A4439"/>
    <w:multiLevelType w:val="multilevel"/>
    <w:tmpl w:val="1D6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3"/>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B0"/>
    <w:rsid w:val="000200B7"/>
    <w:rsid w:val="0009784A"/>
    <w:rsid w:val="00145F82"/>
    <w:rsid w:val="001730CF"/>
    <w:rsid w:val="001C0DA9"/>
    <w:rsid w:val="002E30C6"/>
    <w:rsid w:val="00387FEB"/>
    <w:rsid w:val="004871EB"/>
    <w:rsid w:val="00513413"/>
    <w:rsid w:val="00513BDA"/>
    <w:rsid w:val="00517F8F"/>
    <w:rsid w:val="0054267E"/>
    <w:rsid w:val="00600F6E"/>
    <w:rsid w:val="006506AC"/>
    <w:rsid w:val="00706FC0"/>
    <w:rsid w:val="00764E5D"/>
    <w:rsid w:val="0080053C"/>
    <w:rsid w:val="0085289E"/>
    <w:rsid w:val="00896B0C"/>
    <w:rsid w:val="008A1D17"/>
    <w:rsid w:val="0099701E"/>
    <w:rsid w:val="00A75848"/>
    <w:rsid w:val="00AA4EB0"/>
    <w:rsid w:val="00AD77A0"/>
    <w:rsid w:val="00B43CB6"/>
    <w:rsid w:val="00B96767"/>
    <w:rsid w:val="00CF717B"/>
    <w:rsid w:val="00D87E0C"/>
    <w:rsid w:val="00D9343B"/>
    <w:rsid w:val="00E217A8"/>
    <w:rsid w:val="00F07662"/>
    <w:rsid w:val="00F16E00"/>
    <w:rsid w:val="00F474C2"/>
    <w:rsid w:val="00F57FEE"/>
    <w:rsid w:val="00FD144E"/>
    <w:rsid w:val="00FD2140"/>
    <w:rsid w:val="00FD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FF24FA"/>
  <w15:chartTrackingRefBased/>
  <w15:docId w15:val="{A30C543D-61DE-DE44-8C42-E0118440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4EB0"/>
  </w:style>
  <w:style w:type="paragraph" w:styleId="ListParagraph">
    <w:name w:val="List Paragraph"/>
    <w:basedOn w:val="Normal"/>
    <w:uiPriority w:val="34"/>
    <w:qFormat/>
    <w:rsid w:val="00AA4EB0"/>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AA4EB0"/>
    <w:rPr>
      <w:color w:val="0000FF"/>
      <w:u w:val="single"/>
    </w:rPr>
  </w:style>
  <w:style w:type="paragraph" w:styleId="NormalWeb">
    <w:name w:val="Normal (Web)"/>
    <w:basedOn w:val="Normal"/>
    <w:uiPriority w:val="99"/>
    <w:semiHidden/>
    <w:unhideWhenUsed/>
    <w:rsid w:val="006506A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506AC"/>
    <w:rPr>
      <w:b/>
      <w:bCs/>
    </w:rPr>
  </w:style>
  <w:style w:type="character" w:styleId="CommentReference">
    <w:name w:val="annotation reference"/>
    <w:basedOn w:val="DefaultParagraphFont"/>
    <w:uiPriority w:val="99"/>
    <w:semiHidden/>
    <w:unhideWhenUsed/>
    <w:rsid w:val="000200B7"/>
    <w:rPr>
      <w:sz w:val="16"/>
      <w:szCs w:val="16"/>
    </w:rPr>
  </w:style>
  <w:style w:type="paragraph" w:styleId="CommentText">
    <w:name w:val="annotation text"/>
    <w:basedOn w:val="Normal"/>
    <w:link w:val="CommentTextChar"/>
    <w:uiPriority w:val="99"/>
    <w:unhideWhenUsed/>
    <w:rsid w:val="000200B7"/>
    <w:rPr>
      <w:sz w:val="20"/>
      <w:szCs w:val="20"/>
    </w:rPr>
  </w:style>
  <w:style w:type="character" w:customStyle="1" w:styleId="CommentTextChar">
    <w:name w:val="Comment Text Char"/>
    <w:basedOn w:val="DefaultParagraphFont"/>
    <w:link w:val="CommentText"/>
    <w:uiPriority w:val="99"/>
    <w:rsid w:val="000200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8597">
      <w:bodyDiv w:val="1"/>
      <w:marLeft w:val="0"/>
      <w:marRight w:val="0"/>
      <w:marTop w:val="0"/>
      <w:marBottom w:val="0"/>
      <w:divBdr>
        <w:top w:val="none" w:sz="0" w:space="0" w:color="auto"/>
        <w:left w:val="none" w:sz="0" w:space="0" w:color="auto"/>
        <w:bottom w:val="none" w:sz="0" w:space="0" w:color="auto"/>
        <w:right w:val="none" w:sz="0" w:space="0" w:color="auto"/>
      </w:divBdr>
    </w:div>
    <w:div w:id="1278366113">
      <w:bodyDiv w:val="1"/>
      <w:marLeft w:val="0"/>
      <w:marRight w:val="0"/>
      <w:marTop w:val="0"/>
      <w:marBottom w:val="0"/>
      <w:divBdr>
        <w:top w:val="none" w:sz="0" w:space="0" w:color="auto"/>
        <w:left w:val="none" w:sz="0" w:space="0" w:color="auto"/>
        <w:bottom w:val="none" w:sz="0" w:space="0" w:color="auto"/>
        <w:right w:val="none" w:sz="0" w:space="0" w:color="auto"/>
      </w:divBdr>
    </w:div>
    <w:div w:id="1345786332">
      <w:bodyDiv w:val="1"/>
      <w:marLeft w:val="0"/>
      <w:marRight w:val="0"/>
      <w:marTop w:val="0"/>
      <w:marBottom w:val="0"/>
      <w:divBdr>
        <w:top w:val="none" w:sz="0" w:space="0" w:color="auto"/>
        <w:left w:val="none" w:sz="0" w:space="0" w:color="auto"/>
        <w:bottom w:val="none" w:sz="0" w:space="0" w:color="auto"/>
        <w:right w:val="none" w:sz="0" w:space="0" w:color="auto"/>
      </w:divBdr>
    </w:div>
    <w:div w:id="1749690993">
      <w:bodyDiv w:val="1"/>
      <w:marLeft w:val="0"/>
      <w:marRight w:val="0"/>
      <w:marTop w:val="0"/>
      <w:marBottom w:val="0"/>
      <w:divBdr>
        <w:top w:val="none" w:sz="0" w:space="0" w:color="auto"/>
        <w:left w:val="none" w:sz="0" w:space="0" w:color="auto"/>
        <w:bottom w:val="none" w:sz="0" w:space="0" w:color="auto"/>
        <w:right w:val="none" w:sz="0" w:space="0" w:color="auto"/>
      </w:divBdr>
    </w:div>
    <w:div w:id="1923559051">
      <w:bodyDiv w:val="1"/>
      <w:marLeft w:val="0"/>
      <w:marRight w:val="0"/>
      <w:marTop w:val="0"/>
      <w:marBottom w:val="0"/>
      <w:divBdr>
        <w:top w:val="none" w:sz="0" w:space="0" w:color="auto"/>
        <w:left w:val="none" w:sz="0" w:space="0" w:color="auto"/>
        <w:bottom w:val="none" w:sz="0" w:space="0" w:color="auto"/>
        <w:right w:val="none" w:sz="0" w:space="0" w:color="auto"/>
      </w:divBdr>
    </w:div>
    <w:div w:id="1988243073">
      <w:bodyDiv w:val="1"/>
      <w:marLeft w:val="0"/>
      <w:marRight w:val="0"/>
      <w:marTop w:val="0"/>
      <w:marBottom w:val="0"/>
      <w:divBdr>
        <w:top w:val="none" w:sz="0" w:space="0" w:color="auto"/>
        <w:left w:val="none" w:sz="0" w:space="0" w:color="auto"/>
        <w:bottom w:val="none" w:sz="0" w:space="0" w:color="auto"/>
        <w:right w:val="none" w:sz="0" w:space="0" w:color="auto"/>
      </w:divBdr>
    </w:div>
    <w:div w:id="20176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300/JGME-D-12-00060.1" TargetMode="External"/><Relationship Id="rId11" Type="http://schemas.openxmlformats.org/officeDocument/2006/relationships/fontTable" Target="fontTable.xml"/><Relationship Id="rId5" Type="http://schemas.openxmlformats.org/officeDocument/2006/relationships/hyperlink" Target="https://www.acponline.org/about-acp/about-internal-medicine/career-paths/residency-career-counseling/preparing-for-internal-medicine-board-certification/the-board-certification-process/about-the-residency-performance-and-competency-evaluation-proces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 Megan</dc:creator>
  <cp:keywords/>
  <dc:description/>
  <cp:lastModifiedBy>Humphrey, Megan</cp:lastModifiedBy>
  <cp:revision>2</cp:revision>
  <dcterms:created xsi:type="dcterms:W3CDTF">2021-09-03T19:21:00Z</dcterms:created>
  <dcterms:modified xsi:type="dcterms:W3CDTF">2021-09-03T19:21:00Z</dcterms:modified>
</cp:coreProperties>
</file>