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E2135" w14:textId="60ECA7EE" w:rsidR="00F142E0" w:rsidRPr="004041A4" w:rsidRDefault="00E44272" w:rsidP="00E44272">
      <w:pPr>
        <w:spacing w:after="0" w:line="480" w:lineRule="auto"/>
        <w:ind w:left="5040"/>
        <w:jc w:val="right"/>
        <w:rPr>
          <w:rFonts w:ascii="Times New Roman" w:hAnsi="Times New Roman" w:cs="Times New Roman"/>
          <w:sz w:val="24"/>
          <w:szCs w:val="24"/>
        </w:rPr>
      </w:pPr>
      <w:r>
        <w:rPr>
          <w:rFonts w:ascii="Times New Roman" w:hAnsi="Times New Roman" w:cs="Times New Roman"/>
          <w:b/>
          <w:bCs/>
          <w:sz w:val="24"/>
          <w:szCs w:val="24"/>
        </w:rPr>
        <w:t xml:space="preserve">          </w:t>
      </w:r>
      <w:r w:rsidRPr="00E44272">
        <w:rPr>
          <w:rFonts w:ascii="Times New Roman" w:hAnsi="Times New Roman" w:cs="Times New Roman"/>
          <w:b/>
          <w:bCs/>
          <w:sz w:val="24"/>
          <w:szCs w:val="24"/>
        </w:rPr>
        <w:t>NOT submitting for protocol review</w:t>
      </w:r>
      <w:r w:rsidR="00F142E0" w:rsidRPr="00E44272">
        <w:rPr>
          <w:rFonts w:ascii="Times New Roman" w:hAnsi="Times New Roman" w:cs="Times New Roman"/>
          <w:b/>
          <w:bCs/>
          <w:sz w:val="24"/>
          <w:szCs w:val="24"/>
        </w:rPr>
        <w:tab/>
      </w:r>
      <w:r w:rsidR="00F142E0">
        <w:rPr>
          <w:rFonts w:ascii="Times New Roman" w:hAnsi="Times New Roman" w:cs="Times New Roman"/>
          <w:b/>
          <w:bCs/>
          <w:sz w:val="24"/>
          <w:szCs w:val="24"/>
        </w:rPr>
        <w:tab/>
      </w:r>
      <w:r>
        <w:rPr>
          <w:rFonts w:ascii="Times New Roman" w:hAnsi="Times New Roman" w:cs="Times New Roman"/>
          <w:b/>
          <w:bCs/>
          <w:sz w:val="24"/>
          <w:szCs w:val="24"/>
        </w:rPr>
        <w:tab/>
      </w:r>
      <w:r w:rsidR="00F142E0" w:rsidRPr="004041A4">
        <w:rPr>
          <w:rFonts w:ascii="Times New Roman" w:hAnsi="Times New Roman" w:cs="Times New Roman"/>
          <w:sz w:val="24"/>
          <w:szCs w:val="24"/>
        </w:rPr>
        <w:t>Asha Choudhur</w:t>
      </w:r>
      <w:r w:rsidR="007F49DD" w:rsidRPr="004041A4">
        <w:rPr>
          <w:rFonts w:ascii="Times New Roman" w:hAnsi="Times New Roman" w:cs="Times New Roman"/>
          <w:sz w:val="24"/>
          <w:szCs w:val="24"/>
        </w:rPr>
        <w:t>y</w:t>
      </w:r>
    </w:p>
    <w:p w14:paraId="71F3348B" w14:textId="77C083E7" w:rsidR="004041A4" w:rsidRPr="004041A4" w:rsidRDefault="004041A4" w:rsidP="00E44272">
      <w:pPr>
        <w:spacing w:after="0" w:line="480" w:lineRule="auto"/>
        <w:ind w:left="5040"/>
        <w:jc w:val="right"/>
        <w:rPr>
          <w:rFonts w:ascii="Times New Roman" w:hAnsi="Times New Roman" w:cs="Times New Roman"/>
          <w:sz w:val="24"/>
          <w:szCs w:val="24"/>
        </w:rPr>
      </w:pPr>
      <w:r w:rsidRPr="004041A4">
        <w:rPr>
          <w:rFonts w:ascii="Times New Roman" w:hAnsi="Times New Roman" w:cs="Times New Roman"/>
          <w:sz w:val="24"/>
          <w:szCs w:val="24"/>
        </w:rPr>
        <w:t>Section Leader – Scott Bauer</w:t>
      </w:r>
    </w:p>
    <w:p w14:paraId="3A99640B" w14:textId="77777777" w:rsidR="00F9776F" w:rsidRDefault="00F9776F" w:rsidP="00F9776F">
      <w:pPr>
        <w:spacing w:after="0" w:line="480" w:lineRule="auto"/>
        <w:rPr>
          <w:rFonts w:ascii="Times New Roman" w:hAnsi="Times New Roman" w:cs="Times New Roman"/>
          <w:b/>
          <w:bCs/>
          <w:sz w:val="24"/>
          <w:szCs w:val="24"/>
        </w:rPr>
      </w:pPr>
      <w:r w:rsidRPr="00F9776F">
        <w:rPr>
          <w:rFonts w:ascii="Times New Roman" w:hAnsi="Times New Roman" w:cs="Times New Roman"/>
          <w:b/>
          <w:bCs/>
          <w:sz w:val="24"/>
          <w:szCs w:val="24"/>
        </w:rPr>
        <w:t>RESEARCH QUESTION</w:t>
      </w:r>
    </w:p>
    <w:p w14:paraId="37EBEE8E" w14:textId="21D66FFD" w:rsidR="00513674" w:rsidRDefault="001A5BB0" w:rsidP="00F9776F">
      <w:pPr>
        <w:spacing w:after="0" w:line="480" w:lineRule="auto"/>
        <w:rPr>
          <w:rFonts w:ascii="Times New Roman" w:hAnsi="Times New Roman" w:cs="Times New Roman"/>
          <w:sz w:val="24"/>
          <w:szCs w:val="24"/>
        </w:rPr>
      </w:pPr>
      <w:r w:rsidRPr="00F9776F">
        <w:rPr>
          <w:rFonts w:ascii="Times New Roman" w:hAnsi="Times New Roman" w:cs="Times New Roman"/>
          <w:sz w:val="24"/>
          <w:szCs w:val="24"/>
        </w:rPr>
        <w:t>Does participation</w:t>
      </w:r>
      <w:r w:rsidR="003F29BE" w:rsidRPr="00F9776F">
        <w:rPr>
          <w:rFonts w:ascii="Times New Roman" w:hAnsi="Times New Roman" w:cs="Times New Roman"/>
          <w:sz w:val="24"/>
          <w:szCs w:val="24"/>
        </w:rPr>
        <w:t xml:space="preserve"> over a one-year period</w:t>
      </w:r>
      <w:r w:rsidRPr="00F9776F">
        <w:rPr>
          <w:rFonts w:ascii="Times New Roman" w:hAnsi="Times New Roman" w:cs="Times New Roman"/>
          <w:sz w:val="24"/>
          <w:szCs w:val="24"/>
        </w:rPr>
        <w:t xml:space="preserve"> in a violence prevention program</w:t>
      </w:r>
      <w:r w:rsidR="00F9776F" w:rsidRPr="00F9776F">
        <w:rPr>
          <w:rFonts w:ascii="Times New Roman" w:hAnsi="Times New Roman" w:cs="Times New Roman"/>
          <w:sz w:val="24"/>
          <w:szCs w:val="24"/>
        </w:rPr>
        <w:t xml:space="preserve"> </w:t>
      </w:r>
      <w:r w:rsidR="003F29BE" w:rsidRPr="00F9776F">
        <w:rPr>
          <w:rFonts w:ascii="Times New Roman" w:hAnsi="Times New Roman" w:cs="Times New Roman"/>
          <w:sz w:val="24"/>
          <w:szCs w:val="24"/>
        </w:rPr>
        <w:t>improve report of self-efficacy</w:t>
      </w:r>
      <w:r w:rsidR="00F9776F" w:rsidRPr="00F9776F">
        <w:rPr>
          <w:rFonts w:ascii="Times New Roman" w:hAnsi="Times New Roman" w:cs="Times New Roman"/>
          <w:sz w:val="24"/>
          <w:szCs w:val="24"/>
        </w:rPr>
        <w:t xml:space="preserve"> of patients who </w:t>
      </w:r>
      <w:r w:rsidR="00325498">
        <w:rPr>
          <w:rFonts w:ascii="Times New Roman" w:hAnsi="Times New Roman" w:cs="Times New Roman"/>
          <w:sz w:val="24"/>
          <w:szCs w:val="24"/>
        </w:rPr>
        <w:t xml:space="preserve">have </w:t>
      </w:r>
      <w:r w:rsidR="00F9776F" w:rsidRPr="00F9776F">
        <w:rPr>
          <w:rFonts w:ascii="Times New Roman" w:hAnsi="Times New Roman" w:cs="Times New Roman"/>
          <w:sz w:val="24"/>
          <w:szCs w:val="24"/>
        </w:rPr>
        <w:t>experienced violent injury?</w:t>
      </w:r>
    </w:p>
    <w:p w14:paraId="1CA8DF93" w14:textId="23E96C2F" w:rsidR="00435BF7" w:rsidRDefault="00435BF7" w:rsidP="00F9776F">
      <w:pPr>
        <w:spacing w:after="0" w:line="480" w:lineRule="auto"/>
        <w:rPr>
          <w:rFonts w:ascii="Times New Roman" w:hAnsi="Times New Roman" w:cs="Times New Roman"/>
          <w:b/>
          <w:bCs/>
          <w:sz w:val="24"/>
          <w:szCs w:val="24"/>
        </w:rPr>
      </w:pPr>
      <w:r w:rsidRPr="00435BF7">
        <w:rPr>
          <w:rFonts w:ascii="Times New Roman" w:hAnsi="Times New Roman" w:cs="Times New Roman"/>
          <w:b/>
          <w:bCs/>
          <w:sz w:val="24"/>
          <w:szCs w:val="24"/>
        </w:rPr>
        <w:t>SIGNIFICANCE</w:t>
      </w:r>
    </w:p>
    <w:p w14:paraId="6879EFF2" w14:textId="2070C095" w:rsidR="007931E1" w:rsidRDefault="00435BF7" w:rsidP="007931E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Violence is a </w:t>
      </w:r>
      <w:r w:rsidR="00325498">
        <w:rPr>
          <w:rFonts w:ascii="Times New Roman" w:hAnsi="Times New Roman" w:cs="Times New Roman"/>
          <w:sz w:val="24"/>
          <w:szCs w:val="24"/>
        </w:rPr>
        <w:t xml:space="preserve">public health </w:t>
      </w:r>
      <w:r w:rsidR="00B979D1">
        <w:rPr>
          <w:rFonts w:ascii="Times New Roman" w:hAnsi="Times New Roman" w:cs="Times New Roman"/>
          <w:sz w:val="24"/>
          <w:szCs w:val="24"/>
        </w:rPr>
        <w:t>crisis.</w:t>
      </w:r>
      <w:r w:rsidR="00325498">
        <w:rPr>
          <w:rFonts w:ascii="Times New Roman" w:hAnsi="Times New Roman" w:cs="Times New Roman"/>
          <w:sz w:val="24"/>
          <w:szCs w:val="24"/>
        </w:rPr>
        <w:t xml:space="preserve"> </w:t>
      </w:r>
      <w:r w:rsidR="00B979D1">
        <w:rPr>
          <w:rFonts w:ascii="Times New Roman" w:hAnsi="Times New Roman" w:cs="Times New Roman"/>
          <w:sz w:val="24"/>
          <w:szCs w:val="24"/>
        </w:rPr>
        <w:t>Homicide was responsible for nearly 20,000 deaths in 2016, translating to more than 600,000 potential life years lost.</w:t>
      </w:r>
      <w:r w:rsidR="00F652E9">
        <w:rPr>
          <w:rFonts w:ascii="Times New Roman" w:hAnsi="Times New Roman" w:cs="Times New Roman"/>
          <w:sz w:val="24"/>
          <w:szCs w:val="24"/>
        </w:rPr>
        <w:t xml:space="preserve"> (CDC, 2016) </w:t>
      </w:r>
      <w:r w:rsidR="00B979D1">
        <w:rPr>
          <w:rFonts w:ascii="Times New Roman" w:hAnsi="Times New Roman" w:cs="Times New Roman"/>
          <w:sz w:val="24"/>
          <w:szCs w:val="24"/>
        </w:rPr>
        <w:t xml:space="preserve">Non-fatal violent injuries outnumber fatal violent injury by more than 100 to one. </w:t>
      </w:r>
      <w:r w:rsidR="00F652E9">
        <w:rPr>
          <w:rFonts w:ascii="Times New Roman" w:hAnsi="Times New Roman" w:cs="Times New Roman"/>
          <w:sz w:val="24"/>
          <w:szCs w:val="24"/>
        </w:rPr>
        <w:t xml:space="preserve">(CDC, 2015) </w:t>
      </w:r>
      <w:r w:rsidR="00B02FBF">
        <w:rPr>
          <w:rFonts w:ascii="Times New Roman" w:hAnsi="Times New Roman" w:cs="Times New Roman"/>
          <w:sz w:val="24"/>
          <w:szCs w:val="24"/>
        </w:rPr>
        <w:t>It is not uncommon for people who have experience violent injury to experience it again</w:t>
      </w:r>
      <w:r w:rsidR="002631D6">
        <w:rPr>
          <w:rFonts w:ascii="Times New Roman" w:hAnsi="Times New Roman" w:cs="Times New Roman"/>
          <w:sz w:val="24"/>
          <w:szCs w:val="24"/>
        </w:rPr>
        <w:t xml:space="preserve">; one systematic review of “violent recidivism” found that across 19 studies, the median rate of reinjury was 27% (Greene, 2016). </w:t>
      </w:r>
      <w:r w:rsidR="00B979D1">
        <w:rPr>
          <w:rFonts w:ascii="Times New Roman" w:hAnsi="Times New Roman" w:cs="Times New Roman"/>
          <w:sz w:val="24"/>
          <w:szCs w:val="24"/>
        </w:rPr>
        <w:t>In additional to physical injury, there are significant mental health ramifications</w:t>
      </w:r>
      <w:r w:rsidR="002631D6">
        <w:rPr>
          <w:rFonts w:ascii="Times New Roman" w:hAnsi="Times New Roman" w:cs="Times New Roman"/>
          <w:sz w:val="24"/>
          <w:szCs w:val="24"/>
        </w:rPr>
        <w:t xml:space="preserve"> associated with violent reinjury including </w:t>
      </w:r>
      <w:r w:rsidR="00B02FBF">
        <w:rPr>
          <w:rFonts w:ascii="Times New Roman" w:hAnsi="Times New Roman" w:cs="Times New Roman"/>
          <w:sz w:val="24"/>
          <w:szCs w:val="24"/>
        </w:rPr>
        <w:t xml:space="preserve">post-traumatic stress disorder, </w:t>
      </w:r>
      <w:r w:rsidR="002631D6">
        <w:rPr>
          <w:rFonts w:ascii="Times New Roman" w:hAnsi="Times New Roman" w:cs="Times New Roman"/>
          <w:sz w:val="24"/>
          <w:szCs w:val="24"/>
        </w:rPr>
        <w:t>depression, and substance use disorders. (Johansen, 2013</w:t>
      </w:r>
      <w:r w:rsidR="00B02FBF">
        <w:rPr>
          <w:rFonts w:ascii="Times New Roman" w:hAnsi="Times New Roman" w:cs="Times New Roman"/>
          <w:sz w:val="24"/>
          <w:szCs w:val="24"/>
        </w:rPr>
        <w:t xml:space="preserve">) </w:t>
      </w:r>
      <w:r w:rsidR="00BF5EAC">
        <w:rPr>
          <w:rFonts w:ascii="Times New Roman" w:hAnsi="Times New Roman" w:cs="Times New Roman"/>
          <w:sz w:val="24"/>
          <w:szCs w:val="24"/>
        </w:rPr>
        <w:t>H</w:t>
      </w:r>
      <w:r w:rsidR="002631D6">
        <w:rPr>
          <w:rFonts w:ascii="Times New Roman" w:hAnsi="Times New Roman" w:cs="Times New Roman"/>
          <w:sz w:val="24"/>
          <w:szCs w:val="24"/>
        </w:rPr>
        <w:t xml:space="preserve">ospital-based violence </w:t>
      </w:r>
      <w:r w:rsidR="00BF5EAC">
        <w:rPr>
          <w:rFonts w:ascii="Times New Roman" w:hAnsi="Times New Roman" w:cs="Times New Roman"/>
          <w:sz w:val="24"/>
          <w:szCs w:val="24"/>
        </w:rPr>
        <w:t xml:space="preserve">intervention </w:t>
      </w:r>
      <w:r w:rsidR="002631D6">
        <w:rPr>
          <w:rFonts w:ascii="Times New Roman" w:hAnsi="Times New Roman" w:cs="Times New Roman"/>
          <w:sz w:val="24"/>
          <w:szCs w:val="24"/>
        </w:rPr>
        <w:t xml:space="preserve">programs </w:t>
      </w:r>
      <w:r w:rsidR="00BF5EAC">
        <w:rPr>
          <w:rFonts w:ascii="Times New Roman" w:hAnsi="Times New Roman" w:cs="Times New Roman"/>
          <w:sz w:val="24"/>
          <w:szCs w:val="24"/>
        </w:rPr>
        <w:t>seek to break the cycle of reinjury and retaliation and promote recovery from violent injury by offering supportive</w:t>
      </w:r>
      <w:r w:rsidR="00873698">
        <w:rPr>
          <w:rFonts w:ascii="Times New Roman" w:hAnsi="Times New Roman" w:cs="Times New Roman"/>
          <w:sz w:val="24"/>
          <w:szCs w:val="24"/>
        </w:rPr>
        <w:t xml:space="preserve"> </w:t>
      </w:r>
      <w:r w:rsidR="00BF5EAC">
        <w:rPr>
          <w:rFonts w:ascii="Times New Roman" w:hAnsi="Times New Roman" w:cs="Times New Roman"/>
          <w:sz w:val="24"/>
          <w:szCs w:val="24"/>
        </w:rPr>
        <w:t xml:space="preserve">services and skills. </w:t>
      </w:r>
      <w:r w:rsidR="008E54BA">
        <w:rPr>
          <w:rFonts w:ascii="Times New Roman" w:hAnsi="Times New Roman" w:cs="Times New Roman"/>
          <w:sz w:val="24"/>
          <w:szCs w:val="24"/>
        </w:rPr>
        <w:t xml:space="preserve">There have been several evaluations of hospital violence prevention programs, with some </w:t>
      </w:r>
      <w:r w:rsidR="00B02FBF">
        <w:rPr>
          <w:rFonts w:ascii="Times New Roman" w:hAnsi="Times New Roman" w:cs="Times New Roman"/>
          <w:sz w:val="24"/>
          <w:szCs w:val="24"/>
        </w:rPr>
        <w:t xml:space="preserve">randomized controlled trials showing </w:t>
      </w:r>
      <w:r w:rsidR="008E54BA">
        <w:rPr>
          <w:rFonts w:ascii="Times New Roman" w:hAnsi="Times New Roman" w:cs="Times New Roman"/>
          <w:sz w:val="24"/>
          <w:szCs w:val="24"/>
        </w:rPr>
        <w:t>significant reduction in re-injury or rehospitalization. (Cheng, 2008) (Cooper, 2006) (</w:t>
      </w:r>
      <w:proofErr w:type="spellStart"/>
      <w:r w:rsidR="008E54BA">
        <w:rPr>
          <w:rFonts w:ascii="Times New Roman" w:hAnsi="Times New Roman" w:cs="Times New Roman"/>
          <w:sz w:val="24"/>
          <w:szCs w:val="24"/>
        </w:rPr>
        <w:t>Zun</w:t>
      </w:r>
      <w:proofErr w:type="spellEnd"/>
      <w:r w:rsidR="008E54BA">
        <w:rPr>
          <w:rFonts w:ascii="Times New Roman" w:hAnsi="Times New Roman" w:cs="Times New Roman"/>
          <w:sz w:val="24"/>
          <w:szCs w:val="24"/>
        </w:rPr>
        <w:t xml:space="preserve">, 2006) Data from the </w:t>
      </w:r>
      <w:r w:rsidR="00B02FBF" w:rsidRPr="00C45F0D">
        <w:rPr>
          <w:rFonts w:ascii="Times New Roman" w:hAnsi="Times New Roman" w:cs="Times New Roman"/>
          <w:sz w:val="24"/>
          <w:szCs w:val="24"/>
        </w:rPr>
        <w:t>UCSF Wraparound Project</w:t>
      </w:r>
      <w:r w:rsidR="00C45F0D">
        <w:rPr>
          <w:rFonts w:ascii="Times New Roman" w:hAnsi="Times New Roman" w:cs="Times New Roman"/>
          <w:sz w:val="24"/>
          <w:szCs w:val="24"/>
        </w:rPr>
        <w:t>, a hospital violence prevention program based at San Francisco General Hospital,</w:t>
      </w:r>
      <w:r w:rsidR="00B02FBF" w:rsidRPr="00C45F0D">
        <w:rPr>
          <w:rFonts w:ascii="Times New Roman" w:hAnsi="Times New Roman" w:cs="Times New Roman"/>
          <w:sz w:val="24"/>
          <w:szCs w:val="24"/>
        </w:rPr>
        <w:t xml:space="preserve"> </w:t>
      </w:r>
      <w:r w:rsidR="008E54BA" w:rsidRPr="00C45F0D">
        <w:rPr>
          <w:rFonts w:ascii="Times New Roman" w:hAnsi="Times New Roman" w:cs="Times New Roman"/>
          <w:sz w:val="24"/>
          <w:szCs w:val="24"/>
        </w:rPr>
        <w:t>shows</w:t>
      </w:r>
      <w:r w:rsidR="008E54BA">
        <w:rPr>
          <w:rFonts w:ascii="Times New Roman" w:hAnsi="Times New Roman" w:cs="Times New Roman"/>
          <w:sz w:val="24"/>
          <w:szCs w:val="24"/>
        </w:rPr>
        <w:t xml:space="preserve"> that hospital violence prevention programs also </w:t>
      </w:r>
      <w:proofErr w:type="gramStart"/>
      <w:r w:rsidR="008E54BA">
        <w:rPr>
          <w:rFonts w:ascii="Times New Roman" w:hAnsi="Times New Roman" w:cs="Times New Roman"/>
          <w:sz w:val="24"/>
          <w:szCs w:val="24"/>
        </w:rPr>
        <w:t>have the opportunity to</w:t>
      </w:r>
      <w:proofErr w:type="gramEnd"/>
      <w:r w:rsidR="008E54BA">
        <w:rPr>
          <w:rFonts w:ascii="Times New Roman" w:hAnsi="Times New Roman" w:cs="Times New Roman"/>
          <w:sz w:val="24"/>
          <w:szCs w:val="24"/>
        </w:rPr>
        <w:t xml:space="preserve"> optimize the mental health and psychological recovery of enrollees. 51% of program participants over a 10-year period reported mental health as a need</w:t>
      </w:r>
      <w:r w:rsidR="00873698">
        <w:rPr>
          <w:rFonts w:ascii="Times New Roman" w:hAnsi="Times New Roman" w:cs="Times New Roman"/>
          <w:sz w:val="24"/>
          <w:szCs w:val="24"/>
        </w:rPr>
        <w:t xml:space="preserve">, though there is little data on the effectiveness of </w:t>
      </w:r>
      <w:r w:rsidR="00873698">
        <w:rPr>
          <w:rFonts w:ascii="Times New Roman" w:hAnsi="Times New Roman" w:cs="Times New Roman"/>
          <w:sz w:val="24"/>
          <w:szCs w:val="24"/>
        </w:rPr>
        <w:lastRenderedPageBreak/>
        <w:t xml:space="preserve">enrollment in a hospital violence prevention program on mental health outcomes. (Julliard, 2016) </w:t>
      </w:r>
      <w:r w:rsidR="001568C1">
        <w:rPr>
          <w:rFonts w:ascii="Times New Roman" w:hAnsi="Times New Roman" w:cs="Times New Roman"/>
          <w:sz w:val="24"/>
          <w:szCs w:val="24"/>
        </w:rPr>
        <w:t>Ma</w:t>
      </w:r>
      <w:r w:rsidR="00873698">
        <w:rPr>
          <w:rFonts w:ascii="Times New Roman" w:hAnsi="Times New Roman" w:cs="Times New Roman"/>
          <w:sz w:val="24"/>
          <w:szCs w:val="24"/>
        </w:rPr>
        <w:t>ny hospital violence intervention programs include</w:t>
      </w:r>
      <w:r w:rsidR="001568C1">
        <w:rPr>
          <w:rFonts w:ascii="Times New Roman" w:hAnsi="Times New Roman" w:cs="Times New Roman"/>
          <w:sz w:val="24"/>
          <w:szCs w:val="24"/>
        </w:rPr>
        <w:t xml:space="preserve"> wraparound services such as housing, vocational training, legal support, and family counseling, the effects of which have also not been evaluated regularly. This study seeks to </w:t>
      </w:r>
      <w:r w:rsidR="007931E1">
        <w:rPr>
          <w:rFonts w:ascii="Times New Roman" w:hAnsi="Times New Roman" w:cs="Times New Roman"/>
          <w:sz w:val="24"/>
          <w:szCs w:val="24"/>
        </w:rPr>
        <w:t>determine if</w:t>
      </w:r>
      <w:r w:rsidR="008C3EA5">
        <w:rPr>
          <w:rFonts w:ascii="Times New Roman" w:hAnsi="Times New Roman" w:cs="Times New Roman"/>
          <w:sz w:val="24"/>
          <w:szCs w:val="24"/>
        </w:rPr>
        <w:t xml:space="preserve"> participation in</w:t>
      </w:r>
      <w:r w:rsidR="007931E1">
        <w:rPr>
          <w:rFonts w:ascii="Times New Roman" w:hAnsi="Times New Roman" w:cs="Times New Roman"/>
          <w:sz w:val="24"/>
          <w:szCs w:val="24"/>
        </w:rPr>
        <w:t xml:space="preserve"> the UCSF Wraparound Project </w:t>
      </w:r>
      <w:r w:rsidR="00240824">
        <w:rPr>
          <w:rFonts w:ascii="Times New Roman" w:hAnsi="Times New Roman" w:cs="Times New Roman"/>
          <w:sz w:val="24"/>
          <w:szCs w:val="24"/>
        </w:rPr>
        <w:t xml:space="preserve">for at least 12 months </w:t>
      </w:r>
      <w:r w:rsidR="007931E1">
        <w:rPr>
          <w:rFonts w:ascii="Times New Roman" w:hAnsi="Times New Roman" w:cs="Times New Roman"/>
          <w:sz w:val="24"/>
          <w:szCs w:val="24"/>
        </w:rPr>
        <w:t>is associated with improved self-efficacy</w:t>
      </w:r>
      <w:r w:rsidR="003F47E6">
        <w:rPr>
          <w:rFonts w:ascii="Times New Roman" w:hAnsi="Times New Roman" w:cs="Times New Roman"/>
          <w:sz w:val="24"/>
          <w:szCs w:val="24"/>
        </w:rPr>
        <w:t xml:space="preserve"> compared to participation for &lt;12 months</w:t>
      </w:r>
      <w:r w:rsidR="00B02FBF">
        <w:rPr>
          <w:rFonts w:ascii="Times New Roman" w:hAnsi="Times New Roman" w:cs="Times New Roman"/>
          <w:sz w:val="24"/>
          <w:szCs w:val="24"/>
        </w:rPr>
        <w:t>.</w:t>
      </w:r>
    </w:p>
    <w:p w14:paraId="13FD1726" w14:textId="791CF162" w:rsidR="007931E1" w:rsidRDefault="00F4065A" w:rsidP="007931E1">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STUDY DESIGN</w:t>
      </w:r>
      <w:r w:rsidR="00E72D1A">
        <w:rPr>
          <w:rFonts w:ascii="Times New Roman" w:hAnsi="Times New Roman" w:cs="Times New Roman"/>
          <w:b/>
          <w:bCs/>
          <w:sz w:val="24"/>
          <w:szCs w:val="24"/>
        </w:rPr>
        <w:t xml:space="preserve">, </w:t>
      </w:r>
      <w:r w:rsidR="007931E1" w:rsidRPr="007931E1">
        <w:rPr>
          <w:rFonts w:ascii="Times New Roman" w:hAnsi="Times New Roman" w:cs="Times New Roman"/>
          <w:b/>
          <w:bCs/>
          <w:sz w:val="24"/>
          <w:szCs w:val="24"/>
        </w:rPr>
        <w:t>SUBJECT</w:t>
      </w:r>
      <w:r w:rsidR="00635D2C">
        <w:rPr>
          <w:rFonts w:ascii="Times New Roman" w:hAnsi="Times New Roman" w:cs="Times New Roman"/>
          <w:b/>
          <w:bCs/>
          <w:sz w:val="24"/>
          <w:szCs w:val="24"/>
        </w:rPr>
        <w:t>S</w:t>
      </w:r>
      <w:r w:rsidR="00E72D1A">
        <w:rPr>
          <w:rFonts w:ascii="Times New Roman" w:hAnsi="Times New Roman" w:cs="Times New Roman"/>
          <w:b/>
          <w:bCs/>
          <w:sz w:val="24"/>
          <w:szCs w:val="24"/>
        </w:rPr>
        <w:t>,</w:t>
      </w:r>
      <w:r w:rsidR="00635D2C">
        <w:rPr>
          <w:rFonts w:ascii="Times New Roman" w:hAnsi="Times New Roman" w:cs="Times New Roman"/>
          <w:b/>
          <w:bCs/>
          <w:sz w:val="24"/>
          <w:szCs w:val="24"/>
        </w:rPr>
        <w:t xml:space="preserve"> AND VARIABLES</w:t>
      </w:r>
    </w:p>
    <w:p w14:paraId="74B11FA6" w14:textId="0E78286C" w:rsidR="00635D2C" w:rsidRDefault="00EB6B03" w:rsidP="007931E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study will employ a retrospective </w:t>
      </w:r>
      <w:r w:rsidR="00F4065A">
        <w:rPr>
          <w:rFonts w:ascii="Times New Roman" w:hAnsi="Times New Roman" w:cs="Times New Roman"/>
          <w:sz w:val="24"/>
          <w:szCs w:val="24"/>
        </w:rPr>
        <w:t xml:space="preserve">observational cohort approach. </w:t>
      </w:r>
      <w:r w:rsidR="00452747">
        <w:rPr>
          <w:rFonts w:ascii="Times New Roman" w:hAnsi="Times New Roman" w:cs="Times New Roman"/>
          <w:sz w:val="24"/>
          <w:szCs w:val="24"/>
        </w:rPr>
        <w:t xml:space="preserve">The target population is patients who </w:t>
      </w:r>
      <w:r w:rsidR="00B02FBF">
        <w:rPr>
          <w:rFonts w:ascii="Times New Roman" w:hAnsi="Times New Roman" w:cs="Times New Roman"/>
          <w:sz w:val="24"/>
          <w:szCs w:val="24"/>
        </w:rPr>
        <w:t xml:space="preserve">are eligible to </w:t>
      </w:r>
      <w:r w:rsidR="00452747">
        <w:rPr>
          <w:rFonts w:ascii="Times New Roman" w:hAnsi="Times New Roman" w:cs="Times New Roman"/>
          <w:sz w:val="24"/>
          <w:szCs w:val="24"/>
        </w:rPr>
        <w:t>enroll in hospital</w:t>
      </w:r>
      <w:r w:rsidR="00635D2C">
        <w:rPr>
          <w:rFonts w:ascii="Times New Roman" w:hAnsi="Times New Roman" w:cs="Times New Roman"/>
          <w:sz w:val="24"/>
          <w:szCs w:val="24"/>
        </w:rPr>
        <w:t>-</w:t>
      </w:r>
      <w:r w:rsidR="00452747">
        <w:rPr>
          <w:rFonts w:ascii="Times New Roman" w:hAnsi="Times New Roman" w:cs="Times New Roman"/>
          <w:sz w:val="24"/>
          <w:szCs w:val="24"/>
        </w:rPr>
        <w:t xml:space="preserve">based violence prevention programs after violent injury. The accessible population for this study </w:t>
      </w:r>
      <w:r w:rsidR="003949C7">
        <w:rPr>
          <w:rFonts w:ascii="Times New Roman" w:hAnsi="Times New Roman" w:cs="Times New Roman"/>
          <w:sz w:val="24"/>
          <w:szCs w:val="24"/>
        </w:rPr>
        <w:t xml:space="preserve">is </w:t>
      </w:r>
      <w:r w:rsidR="00452747">
        <w:rPr>
          <w:rFonts w:ascii="Times New Roman" w:hAnsi="Times New Roman" w:cs="Times New Roman"/>
          <w:sz w:val="24"/>
          <w:szCs w:val="24"/>
        </w:rPr>
        <w:t>patients who have experienced violent injury and are</w:t>
      </w:r>
      <w:r w:rsidR="00F4065A">
        <w:rPr>
          <w:rFonts w:ascii="Times New Roman" w:hAnsi="Times New Roman" w:cs="Times New Roman"/>
          <w:sz w:val="24"/>
          <w:szCs w:val="24"/>
        </w:rPr>
        <w:t xml:space="preserve"> followed by the SFGH outpatient clinic system </w:t>
      </w:r>
      <w:r w:rsidR="00452747">
        <w:rPr>
          <w:rFonts w:ascii="Times New Roman" w:hAnsi="Times New Roman" w:cs="Times New Roman"/>
          <w:sz w:val="24"/>
          <w:szCs w:val="24"/>
        </w:rPr>
        <w:t>for at least a year</w:t>
      </w:r>
      <w:r w:rsidR="00F4065A">
        <w:rPr>
          <w:rFonts w:ascii="Times New Roman" w:hAnsi="Times New Roman" w:cs="Times New Roman"/>
          <w:sz w:val="24"/>
          <w:szCs w:val="24"/>
        </w:rPr>
        <w:t xml:space="preserve"> </w:t>
      </w:r>
      <w:r w:rsidR="00CB5DA7">
        <w:rPr>
          <w:rFonts w:ascii="Times New Roman" w:hAnsi="Times New Roman" w:cs="Times New Roman"/>
          <w:sz w:val="24"/>
          <w:szCs w:val="24"/>
        </w:rPr>
        <w:t>between</w:t>
      </w:r>
      <w:r w:rsidR="00F4065A">
        <w:rPr>
          <w:rFonts w:ascii="Times New Roman" w:hAnsi="Times New Roman" w:cs="Times New Roman"/>
          <w:sz w:val="24"/>
          <w:szCs w:val="24"/>
        </w:rPr>
        <w:t xml:space="preserve"> January 2009 through December 2016.</w:t>
      </w:r>
    </w:p>
    <w:p w14:paraId="17AD2B4B" w14:textId="1EA51FE4" w:rsidR="00635D2C" w:rsidRDefault="00635D2C" w:rsidP="007931E1">
      <w:pPr>
        <w:spacing w:after="0" w:line="480" w:lineRule="auto"/>
        <w:rPr>
          <w:rFonts w:ascii="Times New Roman" w:hAnsi="Times New Roman" w:cs="Times New Roman"/>
          <w:sz w:val="24"/>
          <w:szCs w:val="24"/>
        </w:rPr>
      </w:pPr>
      <w:r>
        <w:rPr>
          <w:rFonts w:ascii="Times New Roman" w:hAnsi="Times New Roman" w:cs="Times New Roman"/>
          <w:sz w:val="24"/>
          <w:szCs w:val="24"/>
        </w:rPr>
        <w:t>The primary predictor will be participation in the UCSF Wraparound Project for hospital violence prevention</w:t>
      </w:r>
      <w:r w:rsidR="00312BD0">
        <w:rPr>
          <w:rFonts w:ascii="Times New Roman" w:hAnsi="Times New Roman" w:cs="Times New Roman"/>
          <w:sz w:val="24"/>
          <w:szCs w:val="24"/>
        </w:rPr>
        <w:t xml:space="preserve"> for at least a 1-year period. </w:t>
      </w:r>
      <w:r>
        <w:rPr>
          <w:rFonts w:ascii="Times New Roman" w:hAnsi="Times New Roman" w:cs="Times New Roman"/>
          <w:sz w:val="24"/>
          <w:szCs w:val="24"/>
        </w:rPr>
        <w:t>This will be a dichotomous variable. The comparison group will include patients who are not followed by the UCSF Wraparound Project. The two groups are comparable in the sense that they are comprised of patients of similar demographics who have experienced violent injury, though there may be selection bias that impacts differential enrollment into the UCSF Wraparound Project when compared to the comparison group.</w:t>
      </w:r>
    </w:p>
    <w:p w14:paraId="0A9D4D82" w14:textId="59DF29DC" w:rsidR="00452747" w:rsidRPr="00452747" w:rsidRDefault="00F4065A" w:rsidP="007931E1">
      <w:pPr>
        <w:spacing w:after="0" w:line="480" w:lineRule="auto"/>
        <w:rPr>
          <w:rFonts w:ascii="Times New Roman" w:hAnsi="Times New Roman" w:cs="Times New Roman"/>
          <w:sz w:val="24"/>
          <w:szCs w:val="24"/>
        </w:rPr>
      </w:pPr>
      <w:r>
        <w:rPr>
          <w:rFonts w:ascii="Times New Roman" w:hAnsi="Times New Roman" w:cs="Times New Roman"/>
          <w:sz w:val="24"/>
          <w:szCs w:val="24"/>
        </w:rPr>
        <w:t>One limitation</w:t>
      </w:r>
      <w:r w:rsidR="00DF3DE4">
        <w:rPr>
          <w:rFonts w:ascii="Times New Roman" w:hAnsi="Times New Roman" w:cs="Times New Roman"/>
          <w:sz w:val="24"/>
          <w:szCs w:val="24"/>
        </w:rPr>
        <w:t xml:space="preserve"> of this approach is that there will likely be some loss to follow-up resulting in missing data.</w:t>
      </w:r>
      <w:r w:rsidR="00DF3DE4" w:rsidRPr="00DF3DE4">
        <w:rPr>
          <w:rFonts w:ascii="Times New Roman" w:hAnsi="Times New Roman" w:cs="Times New Roman"/>
          <w:sz w:val="24"/>
          <w:szCs w:val="24"/>
        </w:rPr>
        <w:t xml:space="preserve"> </w:t>
      </w:r>
      <w:r w:rsidR="00DF3DE4">
        <w:rPr>
          <w:rFonts w:ascii="Times New Roman" w:hAnsi="Times New Roman" w:cs="Times New Roman"/>
          <w:sz w:val="24"/>
          <w:szCs w:val="24"/>
        </w:rPr>
        <w:t xml:space="preserve">An alternate study design would be a cross-sectional study that assesses self-efficacy scores at 1-year after the violent injury for patients enrolled and not enrolled in the </w:t>
      </w:r>
      <w:r w:rsidR="00DF3DE4">
        <w:rPr>
          <w:rFonts w:ascii="Times New Roman" w:hAnsi="Times New Roman" w:cs="Times New Roman"/>
          <w:sz w:val="24"/>
          <w:szCs w:val="24"/>
        </w:rPr>
        <w:lastRenderedPageBreak/>
        <w:t>UCSF Wraparound Project. This analysis will be limited by the absence of a “baseline” value, which will impact our ability to assess change over the 1-year period.</w:t>
      </w:r>
    </w:p>
    <w:p w14:paraId="04D0B76B" w14:textId="26DF288C" w:rsidR="00522C4E" w:rsidRDefault="00822B0E" w:rsidP="00522C4E">
      <w:pPr>
        <w:spacing w:after="0" w:line="480" w:lineRule="auto"/>
        <w:rPr>
          <w:rFonts w:ascii="Times New Roman" w:hAnsi="Times New Roman" w:cs="Times New Roman"/>
          <w:sz w:val="24"/>
          <w:szCs w:val="24"/>
        </w:rPr>
      </w:pPr>
      <w:r>
        <w:rPr>
          <w:rFonts w:ascii="Times New Roman" w:hAnsi="Times New Roman" w:cs="Times New Roman"/>
          <w:sz w:val="24"/>
          <w:szCs w:val="24"/>
        </w:rPr>
        <w:t>The primary outcome variable will be</w:t>
      </w:r>
      <w:r w:rsidR="00CB5DA7">
        <w:rPr>
          <w:rFonts w:ascii="Times New Roman" w:hAnsi="Times New Roman" w:cs="Times New Roman"/>
          <w:sz w:val="24"/>
          <w:szCs w:val="24"/>
        </w:rPr>
        <w:t xml:space="preserve"> change in self efficacy. The baseline value will be that obtained soonest </w:t>
      </w:r>
      <w:r w:rsidR="00E44272">
        <w:rPr>
          <w:rFonts w:ascii="Times New Roman" w:hAnsi="Times New Roman" w:cs="Times New Roman"/>
          <w:sz w:val="24"/>
          <w:szCs w:val="24"/>
        </w:rPr>
        <w:t xml:space="preserve">after enrollment in </w:t>
      </w:r>
      <w:r w:rsidR="00CB5DA7">
        <w:rPr>
          <w:rFonts w:ascii="Times New Roman" w:hAnsi="Times New Roman" w:cs="Times New Roman"/>
          <w:sz w:val="24"/>
          <w:szCs w:val="24"/>
        </w:rPr>
        <w:t xml:space="preserve">the UCSF Wraparound Program for the intervention group and the first score after violent injury for the comparison group. This data will be paired with the next value obtained by the participant after a minimum of a 1-year period. </w:t>
      </w:r>
      <w:r w:rsidR="007F59B3">
        <w:rPr>
          <w:rFonts w:ascii="Times New Roman" w:hAnsi="Times New Roman" w:cs="Times New Roman"/>
          <w:sz w:val="24"/>
          <w:szCs w:val="24"/>
        </w:rPr>
        <w:t>S</w:t>
      </w:r>
      <w:r w:rsidR="00184A6C">
        <w:rPr>
          <w:rFonts w:ascii="Times New Roman" w:hAnsi="Times New Roman" w:cs="Times New Roman"/>
          <w:sz w:val="24"/>
          <w:szCs w:val="24"/>
        </w:rPr>
        <w:t xml:space="preserve">elf-efficacy </w:t>
      </w:r>
      <w:r w:rsidR="007F59B3">
        <w:rPr>
          <w:rFonts w:ascii="Times New Roman" w:hAnsi="Times New Roman" w:cs="Times New Roman"/>
          <w:sz w:val="24"/>
          <w:szCs w:val="24"/>
        </w:rPr>
        <w:t xml:space="preserve">will be </w:t>
      </w:r>
      <w:r w:rsidR="00184A6C">
        <w:rPr>
          <w:rFonts w:ascii="Times New Roman" w:hAnsi="Times New Roman" w:cs="Times New Roman"/>
          <w:sz w:val="24"/>
          <w:szCs w:val="24"/>
        </w:rPr>
        <w:t>measured by General Self-Efficacy Scale</w:t>
      </w:r>
      <w:r w:rsidR="00A84AD7">
        <w:rPr>
          <w:rFonts w:ascii="Times New Roman" w:hAnsi="Times New Roman" w:cs="Times New Roman"/>
          <w:sz w:val="24"/>
          <w:szCs w:val="24"/>
        </w:rPr>
        <w:t xml:space="preserve"> (GSES)</w:t>
      </w:r>
      <w:r w:rsidR="00184A6C">
        <w:rPr>
          <w:rFonts w:ascii="Times New Roman" w:hAnsi="Times New Roman" w:cs="Times New Roman"/>
          <w:sz w:val="24"/>
          <w:szCs w:val="24"/>
        </w:rPr>
        <w:t xml:space="preserve">, an instrument with good internal reliability (Cronbach’s alpha 0.76-0.90). (Schwarzer, 1995) This will provide continuous data with total scores ranging from 10 to 40. </w:t>
      </w:r>
    </w:p>
    <w:p w14:paraId="22642C60" w14:textId="3BF674DD" w:rsidR="00522C4E" w:rsidRDefault="00522C4E" w:rsidP="00522C4E">
      <w:pPr>
        <w:spacing w:after="0" w:line="480" w:lineRule="auto"/>
        <w:rPr>
          <w:rFonts w:ascii="Times New Roman" w:hAnsi="Times New Roman" w:cs="Times New Roman"/>
          <w:b/>
          <w:bCs/>
          <w:sz w:val="24"/>
          <w:szCs w:val="24"/>
        </w:rPr>
      </w:pPr>
      <w:r w:rsidRPr="00522C4E">
        <w:rPr>
          <w:rFonts w:ascii="Times New Roman" w:hAnsi="Times New Roman" w:cs="Times New Roman"/>
          <w:b/>
          <w:bCs/>
          <w:sz w:val="24"/>
          <w:szCs w:val="24"/>
        </w:rPr>
        <w:t>STATISTICS</w:t>
      </w:r>
      <w:r w:rsidR="000A1C63">
        <w:rPr>
          <w:rFonts w:ascii="Times New Roman" w:hAnsi="Times New Roman" w:cs="Times New Roman"/>
          <w:b/>
          <w:bCs/>
          <w:sz w:val="24"/>
          <w:szCs w:val="24"/>
        </w:rPr>
        <w:t xml:space="preserve">, </w:t>
      </w:r>
      <w:r w:rsidR="000A1C63" w:rsidRPr="00522C4E">
        <w:rPr>
          <w:rFonts w:ascii="Times New Roman" w:hAnsi="Times New Roman" w:cs="Times New Roman"/>
          <w:b/>
          <w:bCs/>
          <w:sz w:val="24"/>
          <w:szCs w:val="24"/>
        </w:rPr>
        <w:t>SAMPLE SIZE</w:t>
      </w:r>
      <w:r w:rsidR="000A1C63">
        <w:rPr>
          <w:rFonts w:ascii="Times New Roman" w:hAnsi="Times New Roman" w:cs="Times New Roman"/>
          <w:b/>
          <w:bCs/>
          <w:sz w:val="24"/>
          <w:szCs w:val="24"/>
        </w:rPr>
        <w:t>,</w:t>
      </w:r>
      <w:r w:rsidR="000A1C63" w:rsidRPr="00522C4E">
        <w:rPr>
          <w:rFonts w:ascii="Times New Roman" w:hAnsi="Times New Roman" w:cs="Times New Roman"/>
          <w:b/>
          <w:bCs/>
          <w:sz w:val="24"/>
          <w:szCs w:val="24"/>
        </w:rPr>
        <w:t xml:space="preserve"> AND POWER</w:t>
      </w:r>
    </w:p>
    <w:p w14:paraId="1911350D" w14:textId="39FEA350" w:rsidR="00F61A23" w:rsidRPr="00F61A23" w:rsidRDefault="00CC6941" w:rsidP="00522C4E">
      <w:pPr>
        <w:spacing w:after="0" w:line="480" w:lineRule="auto"/>
        <w:rPr>
          <w:rFonts w:ascii="Times New Roman" w:hAnsi="Times New Roman" w:cs="Times New Roman"/>
          <w:sz w:val="24"/>
          <w:szCs w:val="24"/>
        </w:rPr>
      </w:pPr>
      <w:r>
        <w:rPr>
          <w:rFonts w:ascii="Times New Roman" w:hAnsi="Times New Roman" w:cs="Times New Roman"/>
          <w:sz w:val="24"/>
          <w:szCs w:val="24"/>
        </w:rPr>
        <w:t>A paired</w:t>
      </w:r>
      <w:r w:rsidR="00F61A23">
        <w:rPr>
          <w:rFonts w:ascii="Times New Roman" w:hAnsi="Times New Roman" w:cs="Times New Roman"/>
          <w:sz w:val="24"/>
          <w:szCs w:val="24"/>
        </w:rPr>
        <w:t xml:space="preserve"> t-test</w:t>
      </w:r>
      <w:r w:rsidR="00EA044F">
        <w:rPr>
          <w:rFonts w:ascii="Times New Roman" w:hAnsi="Times New Roman" w:cs="Times New Roman"/>
          <w:sz w:val="24"/>
          <w:szCs w:val="24"/>
        </w:rPr>
        <w:t xml:space="preserve"> </w:t>
      </w:r>
      <w:r>
        <w:rPr>
          <w:rFonts w:ascii="Times New Roman" w:hAnsi="Times New Roman" w:cs="Times New Roman"/>
          <w:sz w:val="24"/>
          <w:szCs w:val="24"/>
        </w:rPr>
        <w:t xml:space="preserve">will be utilized </w:t>
      </w:r>
      <w:r w:rsidR="00EA044F">
        <w:rPr>
          <w:rFonts w:ascii="Times New Roman" w:hAnsi="Times New Roman" w:cs="Times New Roman"/>
          <w:sz w:val="24"/>
          <w:szCs w:val="24"/>
        </w:rPr>
        <w:t>to measure change in self-efficacy score</w:t>
      </w:r>
      <w:r>
        <w:rPr>
          <w:rFonts w:ascii="Times New Roman" w:hAnsi="Times New Roman" w:cs="Times New Roman"/>
          <w:sz w:val="24"/>
          <w:szCs w:val="24"/>
        </w:rPr>
        <w:t xml:space="preserve">. </w:t>
      </w:r>
      <w:r w:rsidR="000A1C63">
        <w:rPr>
          <w:rFonts w:ascii="Times New Roman" w:hAnsi="Times New Roman" w:cs="Times New Roman"/>
          <w:sz w:val="24"/>
          <w:szCs w:val="24"/>
        </w:rPr>
        <w:t xml:space="preserve">The null hypothesis will be that is no difference change in self-efficacy scores in participants of the UCSF Wraparound Project obtained after at least 1 year of enrollment when compared to the comparison group. The alternative hypothesis is that 1-year participation in the UCSF Wraparound project is associated with a difference in change in self-efficacy scores when compared to scores of non-participants. </w:t>
      </w:r>
      <w:r>
        <w:rPr>
          <w:rFonts w:ascii="Times New Roman" w:hAnsi="Times New Roman" w:cs="Times New Roman"/>
          <w:sz w:val="24"/>
          <w:szCs w:val="24"/>
        </w:rPr>
        <w:t xml:space="preserve">An anticipated result will be a t-value that corresponds to a p-value of &lt;0.05 and a CI that does not include 1. From this data, we may reject the null hypothesis and conclude that 1-year participation in the UCSF Wraparound Project is associated with a </w:t>
      </w:r>
      <w:r w:rsidR="00E44272">
        <w:rPr>
          <w:rFonts w:ascii="Times New Roman" w:hAnsi="Times New Roman" w:cs="Times New Roman"/>
          <w:sz w:val="24"/>
          <w:szCs w:val="24"/>
        </w:rPr>
        <w:t>different change in</w:t>
      </w:r>
      <w:r>
        <w:rPr>
          <w:rFonts w:ascii="Times New Roman" w:hAnsi="Times New Roman" w:cs="Times New Roman"/>
          <w:sz w:val="24"/>
          <w:szCs w:val="24"/>
        </w:rPr>
        <w:t xml:space="preserve"> self-efficacy scores when compared to the comparison group.</w:t>
      </w:r>
    </w:p>
    <w:p w14:paraId="5F977CF3" w14:textId="6CCD117C" w:rsidR="000975D9" w:rsidRDefault="00F4065A" w:rsidP="00A84AD7">
      <w:pPr>
        <w:spacing w:after="0" w:line="480" w:lineRule="auto"/>
        <w:rPr>
          <w:rFonts w:ascii="Times New Roman" w:hAnsi="Times New Roman" w:cs="Times New Roman"/>
          <w:sz w:val="24"/>
          <w:szCs w:val="24"/>
        </w:rPr>
      </w:pPr>
      <w:r>
        <w:rPr>
          <w:rFonts w:ascii="Times New Roman" w:hAnsi="Times New Roman" w:cs="Times New Roman"/>
          <w:sz w:val="24"/>
          <w:szCs w:val="24"/>
        </w:rPr>
        <w:t>Effect size was determined using the UCSF CTSI</w:t>
      </w:r>
      <w:r w:rsidR="000A1C63">
        <w:rPr>
          <w:rFonts w:ascii="Times New Roman" w:hAnsi="Times New Roman" w:cs="Times New Roman"/>
          <w:sz w:val="24"/>
          <w:szCs w:val="24"/>
        </w:rPr>
        <w:t xml:space="preserve"> paired t-test effect size calculator. The study will employ a two-tailed alpha of 0.05 and beta 0.2</w:t>
      </w:r>
      <w:r w:rsidR="002A2636">
        <w:rPr>
          <w:rFonts w:ascii="Times New Roman" w:hAnsi="Times New Roman" w:cs="Times New Roman"/>
          <w:sz w:val="24"/>
          <w:szCs w:val="24"/>
        </w:rPr>
        <w:t>, standard values utilized in comparable studies.</w:t>
      </w:r>
      <w:r w:rsidR="000A1C63">
        <w:rPr>
          <w:rFonts w:ascii="Times New Roman" w:hAnsi="Times New Roman" w:cs="Times New Roman"/>
          <w:sz w:val="24"/>
          <w:szCs w:val="24"/>
        </w:rPr>
        <w:t xml:space="preserve"> Sample size is predetermined by the database, which follows 1000 trauma patients over a</w:t>
      </w:r>
      <w:r w:rsidR="00E44272">
        <w:rPr>
          <w:rFonts w:ascii="Times New Roman" w:hAnsi="Times New Roman" w:cs="Times New Roman"/>
          <w:sz w:val="24"/>
          <w:szCs w:val="24"/>
        </w:rPr>
        <w:t xml:space="preserve">n </w:t>
      </w:r>
      <w:r w:rsidR="000A1C63">
        <w:rPr>
          <w:rFonts w:ascii="Times New Roman" w:hAnsi="Times New Roman" w:cs="Times New Roman"/>
          <w:sz w:val="24"/>
          <w:szCs w:val="24"/>
        </w:rPr>
        <w:t xml:space="preserve">8-year period, 200 of which have enrolled in the UCSF Wraparound Program. As inclusion </w:t>
      </w:r>
      <w:r w:rsidR="000A1C63">
        <w:rPr>
          <w:rFonts w:ascii="Times New Roman" w:hAnsi="Times New Roman" w:cs="Times New Roman"/>
          <w:sz w:val="24"/>
          <w:szCs w:val="24"/>
        </w:rPr>
        <w:lastRenderedPageBreak/>
        <w:t>criteria includes patients who have repeat measures in 1-year, we will estimate</w:t>
      </w:r>
      <w:r w:rsidR="002A2636">
        <w:rPr>
          <w:rFonts w:ascii="Times New Roman" w:hAnsi="Times New Roman" w:cs="Times New Roman"/>
          <w:sz w:val="24"/>
          <w:szCs w:val="24"/>
        </w:rPr>
        <w:t xml:space="preserve"> a conservative reduction in the relevant sample to ¼ of the </w:t>
      </w:r>
      <w:r w:rsidR="00591864">
        <w:rPr>
          <w:rFonts w:ascii="Times New Roman" w:hAnsi="Times New Roman" w:cs="Times New Roman"/>
          <w:sz w:val="24"/>
          <w:szCs w:val="24"/>
        </w:rPr>
        <w:t xml:space="preserve">original, anticipating 200 patients in the comparison group and 50 in the intervention group. Standard deviation of the </w:t>
      </w:r>
      <w:r w:rsidR="00A84AD7">
        <w:rPr>
          <w:rFonts w:ascii="Times New Roman" w:hAnsi="Times New Roman" w:cs="Times New Roman"/>
          <w:sz w:val="24"/>
          <w:szCs w:val="24"/>
        </w:rPr>
        <w:t xml:space="preserve">GSES </w:t>
      </w:r>
      <w:r w:rsidR="00591864">
        <w:rPr>
          <w:rFonts w:ascii="Times New Roman" w:hAnsi="Times New Roman" w:cs="Times New Roman"/>
          <w:sz w:val="24"/>
          <w:szCs w:val="24"/>
        </w:rPr>
        <w:t>was noted to be 5.13 in a sample of 1594 US American adults (Schwarzer, 2013).</w:t>
      </w:r>
      <w:r w:rsidR="00A84AD7">
        <w:rPr>
          <w:rFonts w:ascii="Times New Roman" w:hAnsi="Times New Roman" w:cs="Times New Roman"/>
          <w:sz w:val="24"/>
          <w:szCs w:val="24"/>
        </w:rPr>
        <w:t xml:space="preserve"> Standard deviation of the change in Self-Efficacy Scale is estimated to be 2 after </w:t>
      </w:r>
      <w:r w:rsidR="00E72D1A">
        <w:rPr>
          <w:rFonts w:ascii="Times New Roman" w:hAnsi="Times New Roman" w:cs="Times New Roman"/>
          <w:sz w:val="24"/>
          <w:szCs w:val="24"/>
        </w:rPr>
        <w:t>assuming within-subject correlation of 0.5, another conversative estimate after appreciating the wide range of r values appreciated in various GSES validation studies.</w:t>
      </w:r>
      <w:r w:rsidR="00CB5DA7">
        <w:rPr>
          <w:rFonts w:ascii="Times New Roman" w:hAnsi="Times New Roman" w:cs="Times New Roman"/>
          <w:sz w:val="24"/>
          <w:szCs w:val="24"/>
        </w:rPr>
        <w:t xml:space="preserve"> With these </w:t>
      </w:r>
      <w:r w:rsidR="00CE4105">
        <w:rPr>
          <w:rFonts w:ascii="Times New Roman" w:hAnsi="Times New Roman" w:cs="Times New Roman"/>
          <w:sz w:val="24"/>
          <w:szCs w:val="24"/>
        </w:rPr>
        <w:t>assumptions</w:t>
      </w:r>
      <w:r w:rsidR="00CB5DA7">
        <w:rPr>
          <w:rFonts w:ascii="Times New Roman" w:hAnsi="Times New Roman" w:cs="Times New Roman"/>
          <w:sz w:val="24"/>
          <w:szCs w:val="24"/>
        </w:rPr>
        <w:t xml:space="preserve">, the </w:t>
      </w:r>
      <w:r w:rsidR="00E44272">
        <w:rPr>
          <w:rFonts w:ascii="Times New Roman" w:hAnsi="Times New Roman" w:cs="Times New Roman"/>
          <w:sz w:val="24"/>
          <w:szCs w:val="24"/>
        </w:rPr>
        <w:t>study has</w:t>
      </w:r>
      <w:r w:rsidR="00CE4105">
        <w:rPr>
          <w:rFonts w:ascii="Times New Roman" w:hAnsi="Times New Roman" w:cs="Times New Roman"/>
          <w:sz w:val="24"/>
          <w:szCs w:val="24"/>
        </w:rPr>
        <w:t xml:space="preserve"> 80% power</w:t>
      </w:r>
      <w:r w:rsidR="00CB5DA7">
        <w:rPr>
          <w:rFonts w:ascii="Times New Roman" w:hAnsi="Times New Roman" w:cs="Times New Roman"/>
          <w:sz w:val="24"/>
          <w:szCs w:val="24"/>
        </w:rPr>
        <w:t xml:space="preserve"> to detect </w:t>
      </w:r>
      <w:r w:rsidR="00E44272">
        <w:rPr>
          <w:rFonts w:ascii="Times New Roman" w:hAnsi="Times New Roman" w:cs="Times New Roman"/>
          <w:sz w:val="24"/>
          <w:szCs w:val="24"/>
        </w:rPr>
        <w:t>a</w:t>
      </w:r>
      <w:r w:rsidR="004F5703">
        <w:rPr>
          <w:rFonts w:ascii="Times New Roman" w:hAnsi="Times New Roman" w:cs="Times New Roman"/>
          <w:sz w:val="24"/>
          <w:szCs w:val="24"/>
        </w:rPr>
        <w:t xml:space="preserve"> difference</w:t>
      </w:r>
      <w:r w:rsidR="00CB5DA7">
        <w:rPr>
          <w:rFonts w:ascii="Times New Roman" w:hAnsi="Times New Roman" w:cs="Times New Roman"/>
          <w:sz w:val="24"/>
          <w:szCs w:val="24"/>
        </w:rPr>
        <w:t xml:space="preserve"> of 0.36 </w:t>
      </w:r>
      <w:r w:rsidR="004F5703">
        <w:rPr>
          <w:rFonts w:ascii="Times New Roman" w:hAnsi="Times New Roman" w:cs="Times New Roman"/>
          <w:sz w:val="24"/>
          <w:szCs w:val="24"/>
        </w:rPr>
        <w:t xml:space="preserve">in </w:t>
      </w:r>
      <w:r w:rsidR="00CB5DA7">
        <w:rPr>
          <w:rFonts w:ascii="Times New Roman" w:hAnsi="Times New Roman" w:cs="Times New Roman"/>
          <w:sz w:val="24"/>
          <w:szCs w:val="24"/>
        </w:rPr>
        <w:t xml:space="preserve">change in self-efficacy </w:t>
      </w:r>
      <w:r w:rsidR="004F5703">
        <w:rPr>
          <w:rFonts w:ascii="Times New Roman" w:hAnsi="Times New Roman" w:cs="Times New Roman"/>
          <w:sz w:val="24"/>
          <w:szCs w:val="24"/>
        </w:rPr>
        <w:t>among</w:t>
      </w:r>
      <w:r w:rsidR="004F5703" w:rsidRPr="004F5703">
        <w:rPr>
          <w:rFonts w:ascii="Times New Roman" w:hAnsi="Times New Roman" w:cs="Times New Roman"/>
          <w:sz w:val="24"/>
          <w:szCs w:val="24"/>
        </w:rPr>
        <w:t xml:space="preserve"> </w:t>
      </w:r>
      <w:r w:rsidR="004F5703">
        <w:rPr>
          <w:rFonts w:ascii="Times New Roman" w:hAnsi="Times New Roman" w:cs="Times New Roman"/>
          <w:sz w:val="24"/>
          <w:szCs w:val="24"/>
        </w:rPr>
        <w:t xml:space="preserve">participants of the UCSF Wraparound Project </w:t>
      </w:r>
      <w:r w:rsidR="00CB5DA7">
        <w:rPr>
          <w:rFonts w:ascii="Times New Roman" w:hAnsi="Times New Roman" w:cs="Times New Roman"/>
          <w:sz w:val="24"/>
          <w:szCs w:val="24"/>
        </w:rPr>
        <w:t>compared t</w:t>
      </w:r>
      <w:r w:rsidR="00E44272">
        <w:rPr>
          <w:rFonts w:ascii="Times New Roman" w:hAnsi="Times New Roman" w:cs="Times New Roman"/>
          <w:sz w:val="24"/>
          <w:szCs w:val="24"/>
        </w:rPr>
        <w:t>o the control group.</w:t>
      </w:r>
    </w:p>
    <w:p w14:paraId="1224ABB3" w14:textId="6B12E70F" w:rsidR="00B70870" w:rsidRPr="00B70870" w:rsidRDefault="00B70870" w:rsidP="00A84AD7">
      <w:pPr>
        <w:spacing w:after="0" w:line="480" w:lineRule="auto"/>
        <w:rPr>
          <w:rFonts w:ascii="Times New Roman" w:hAnsi="Times New Roman" w:cs="Times New Roman"/>
          <w:b/>
          <w:bCs/>
          <w:sz w:val="24"/>
          <w:szCs w:val="24"/>
        </w:rPr>
      </w:pPr>
      <w:r w:rsidRPr="00B70870">
        <w:rPr>
          <w:rFonts w:ascii="Times New Roman" w:hAnsi="Times New Roman" w:cs="Times New Roman"/>
          <w:b/>
          <w:bCs/>
          <w:sz w:val="24"/>
          <w:szCs w:val="24"/>
        </w:rPr>
        <w:t>ENHANCING CAUSAL INFERENCE</w:t>
      </w:r>
    </w:p>
    <w:p w14:paraId="4F3726FB" w14:textId="6AEDC0D8" w:rsidR="00B70870" w:rsidRDefault="00B70870" w:rsidP="00A84AD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Possible confounders in this study include age, </w:t>
      </w:r>
      <w:r w:rsidR="00C33C55">
        <w:rPr>
          <w:rFonts w:ascii="Times New Roman" w:hAnsi="Times New Roman" w:cs="Times New Roman"/>
          <w:sz w:val="24"/>
          <w:szCs w:val="24"/>
        </w:rPr>
        <w:t>preferred language, housing, employment, and social support. One way to cope with these confounders to try to adjust for them in a multivariate logistic regression. Another is to change the design of the study to a randomized control trial for persons newly experiencing violent injury and randomly assign them to intervention or comparison groups in attempts to equally distribute these possible confounders between study arms. The initial approach is more practical as it allows us to use the extensive data already collected, though attempts to draw causal inference will be limited with this observational design.</w:t>
      </w:r>
    </w:p>
    <w:p w14:paraId="3E0C1B13" w14:textId="0F2851ED" w:rsidR="00C33C55" w:rsidRPr="00C33C55" w:rsidRDefault="00C33C55" w:rsidP="00A84AD7">
      <w:pPr>
        <w:spacing w:after="0" w:line="480" w:lineRule="auto"/>
        <w:rPr>
          <w:rFonts w:ascii="Times New Roman" w:hAnsi="Times New Roman" w:cs="Times New Roman"/>
          <w:b/>
          <w:bCs/>
          <w:sz w:val="24"/>
          <w:szCs w:val="24"/>
        </w:rPr>
      </w:pPr>
      <w:r w:rsidRPr="00C33C55">
        <w:rPr>
          <w:rFonts w:ascii="Times New Roman" w:hAnsi="Times New Roman" w:cs="Times New Roman"/>
          <w:b/>
          <w:bCs/>
          <w:sz w:val="24"/>
          <w:szCs w:val="24"/>
        </w:rPr>
        <w:t>STUDY INSTRUMENT</w:t>
      </w:r>
    </w:p>
    <w:p w14:paraId="18DBB4FC" w14:textId="7BA20DC1" w:rsidR="00C33C55" w:rsidRDefault="00C33C55" w:rsidP="00A84AD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questionnaire utilized to capture the primary outcome variable, change in self efficacy, is the </w:t>
      </w:r>
      <w:r>
        <w:rPr>
          <w:rFonts w:ascii="Times New Roman" w:hAnsi="Times New Roman" w:cs="Times New Roman"/>
          <w:sz w:val="24"/>
          <w:szCs w:val="24"/>
        </w:rPr>
        <w:t>General Self-Efficacy Scale (GSES),</w:t>
      </w:r>
      <w:r w:rsidRPr="00C33C55">
        <w:rPr>
          <w:rFonts w:ascii="Times New Roman" w:hAnsi="Times New Roman" w:cs="Times New Roman"/>
          <w:sz w:val="24"/>
          <w:szCs w:val="24"/>
        </w:rPr>
        <w:t xml:space="preserve"> </w:t>
      </w:r>
      <w:r w:rsidR="00B65D31">
        <w:rPr>
          <w:rFonts w:ascii="Times New Roman" w:hAnsi="Times New Roman" w:cs="Times New Roman"/>
          <w:sz w:val="24"/>
          <w:szCs w:val="24"/>
        </w:rPr>
        <w:t xml:space="preserve">developed in 1979 and </w:t>
      </w:r>
      <w:r w:rsidR="00035D76">
        <w:rPr>
          <w:rFonts w:ascii="Times New Roman" w:hAnsi="Times New Roman" w:cs="Times New Roman"/>
          <w:sz w:val="24"/>
          <w:szCs w:val="24"/>
        </w:rPr>
        <w:t xml:space="preserve">since then </w:t>
      </w:r>
      <w:r w:rsidR="00B65D31">
        <w:rPr>
          <w:rFonts w:ascii="Times New Roman" w:hAnsi="Times New Roman" w:cs="Times New Roman"/>
          <w:sz w:val="24"/>
          <w:szCs w:val="24"/>
        </w:rPr>
        <w:t>adapted into 33 languages. It has been validated in a wide range of study populations</w:t>
      </w:r>
      <w:r w:rsidR="00035D76">
        <w:rPr>
          <w:rFonts w:ascii="Times New Roman" w:hAnsi="Times New Roman" w:cs="Times New Roman"/>
          <w:sz w:val="24"/>
          <w:szCs w:val="24"/>
        </w:rPr>
        <w:t>,</w:t>
      </w:r>
      <w:r w:rsidR="00B65D31">
        <w:rPr>
          <w:rFonts w:ascii="Times New Roman" w:hAnsi="Times New Roman" w:cs="Times New Roman"/>
          <w:sz w:val="24"/>
          <w:szCs w:val="24"/>
        </w:rPr>
        <w:t xml:space="preserve"> globally</w:t>
      </w:r>
      <w:r w:rsidR="00035D76">
        <w:rPr>
          <w:rFonts w:ascii="Times New Roman" w:hAnsi="Times New Roman" w:cs="Times New Roman"/>
          <w:sz w:val="24"/>
          <w:szCs w:val="24"/>
        </w:rPr>
        <w:t xml:space="preserve">, from migrants, to university students, to patients enrolled in physical rehabilitation programs, and samples of </w:t>
      </w:r>
      <w:r w:rsidR="00035D76">
        <w:rPr>
          <w:rFonts w:ascii="Times New Roman" w:hAnsi="Times New Roman" w:cs="Times New Roman"/>
          <w:sz w:val="24"/>
          <w:szCs w:val="24"/>
        </w:rPr>
        <w:lastRenderedPageBreak/>
        <w:t>general adult populations at a country level.</w:t>
      </w:r>
      <w:r w:rsidR="00B65D31">
        <w:rPr>
          <w:rFonts w:ascii="Times New Roman" w:hAnsi="Times New Roman" w:cs="Times New Roman"/>
          <w:sz w:val="24"/>
          <w:szCs w:val="24"/>
        </w:rPr>
        <w:t xml:space="preserve"> </w:t>
      </w:r>
      <w:r w:rsidR="00B65D31">
        <w:rPr>
          <w:rFonts w:ascii="Times New Roman" w:hAnsi="Times New Roman" w:cs="Times New Roman"/>
          <w:sz w:val="24"/>
          <w:szCs w:val="24"/>
        </w:rPr>
        <w:t>(Schwarzer, 1995)</w:t>
      </w:r>
      <w:r w:rsidR="00035D76">
        <w:rPr>
          <w:rFonts w:ascii="Times New Roman" w:hAnsi="Times New Roman" w:cs="Times New Roman"/>
          <w:sz w:val="24"/>
          <w:szCs w:val="24"/>
        </w:rPr>
        <w:t xml:space="preserve"> The General Self-Efficacy Scale is correlated to emotion, optimism, and work satisfaction. </w:t>
      </w:r>
      <w:r w:rsidR="00035D76">
        <w:rPr>
          <w:rFonts w:ascii="Times New Roman" w:hAnsi="Times New Roman" w:cs="Times New Roman"/>
          <w:sz w:val="24"/>
          <w:szCs w:val="24"/>
        </w:rPr>
        <w:t>(Schwarzer, 1995)</w:t>
      </w:r>
      <w:r w:rsidR="00035D76">
        <w:rPr>
          <w:rFonts w:ascii="Times New Roman" w:hAnsi="Times New Roman" w:cs="Times New Roman"/>
          <w:sz w:val="24"/>
          <w:szCs w:val="24"/>
        </w:rPr>
        <w:t xml:space="preserve"> In additional to widespread use and availability, this questionnaire is optimal because it is relatively short (10 Likert scale questions). Please see Protocol Appendix for a copy of the questionnaire.</w:t>
      </w:r>
    </w:p>
    <w:p w14:paraId="3C9825B1" w14:textId="77777777" w:rsidR="00035D76" w:rsidRPr="00A84AD7" w:rsidRDefault="00035D76" w:rsidP="00A84AD7">
      <w:pPr>
        <w:spacing w:after="0" w:line="480" w:lineRule="auto"/>
        <w:rPr>
          <w:rFonts w:ascii="Times New Roman" w:hAnsi="Times New Roman" w:cs="Times New Roman"/>
          <w:sz w:val="24"/>
          <w:szCs w:val="24"/>
        </w:rPr>
      </w:pPr>
    </w:p>
    <w:p w14:paraId="01B5B603" w14:textId="77777777" w:rsidR="000975D9" w:rsidRDefault="000975D9">
      <w:pPr>
        <w:rPr>
          <w:rFonts w:ascii="Times New Roman" w:hAnsi="Times New Roman" w:cs="Times New Roman"/>
          <w:b/>
          <w:bCs/>
          <w:sz w:val="24"/>
          <w:szCs w:val="24"/>
        </w:rPr>
      </w:pPr>
      <w:r>
        <w:rPr>
          <w:rFonts w:ascii="Times New Roman" w:hAnsi="Times New Roman" w:cs="Times New Roman"/>
          <w:b/>
          <w:bCs/>
          <w:sz w:val="24"/>
          <w:szCs w:val="24"/>
        </w:rPr>
        <w:br w:type="page"/>
      </w:r>
    </w:p>
    <w:p w14:paraId="0D95DCCC" w14:textId="11AF0093" w:rsidR="007931E1" w:rsidRDefault="007931E1" w:rsidP="007931E1">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04862600" w14:textId="1046B358" w:rsidR="00F652E9" w:rsidRPr="005107F5" w:rsidRDefault="00F652E9" w:rsidP="007931E1">
      <w:pPr>
        <w:spacing w:after="0" w:line="276" w:lineRule="auto"/>
        <w:rPr>
          <w:rFonts w:ascii="Times New Roman" w:hAnsi="Times New Roman" w:cs="Times New Roman"/>
          <w:b/>
          <w:bCs/>
          <w:sz w:val="24"/>
          <w:szCs w:val="24"/>
        </w:rPr>
      </w:pPr>
      <w:r w:rsidRPr="00B65D31">
        <w:rPr>
          <w:rFonts w:ascii="Times New Roman" w:hAnsi="Times New Roman" w:cs="Times New Roman"/>
          <w:sz w:val="24"/>
          <w:szCs w:val="24"/>
        </w:rPr>
        <w:t>Centers for Disease Control and Prevention. WISQARS Cost of Injury Reports.</w:t>
      </w:r>
      <w:r w:rsidR="007931E1" w:rsidRPr="00B65D31">
        <w:rPr>
          <w:rFonts w:ascii="Times New Roman" w:hAnsi="Times New Roman" w:cs="Times New Roman"/>
          <w:sz w:val="24"/>
          <w:szCs w:val="24"/>
        </w:rPr>
        <w:t xml:space="preserve"> </w:t>
      </w:r>
      <w:hyperlink r:id="rId8" w:history="1">
        <w:r w:rsidR="007931E1" w:rsidRPr="005107F5">
          <w:rPr>
            <w:rStyle w:val="Hyperlink"/>
            <w:rFonts w:ascii="Times New Roman" w:hAnsi="Times New Roman" w:cs="Times New Roman"/>
            <w:color w:val="auto"/>
            <w:sz w:val="24"/>
            <w:szCs w:val="24"/>
          </w:rPr>
          <w:t>https://wisqars.cdc.gov:8443/costT</w:t>
        </w:r>
      </w:hyperlink>
    </w:p>
    <w:p w14:paraId="11AD12CB" w14:textId="2E849A68" w:rsidR="00F652E9" w:rsidRPr="005107F5" w:rsidRDefault="00F652E9" w:rsidP="007931E1">
      <w:pPr>
        <w:shd w:val="clear" w:color="auto" w:fill="FFFFFF"/>
        <w:spacing w:before="100" w:beforeAutospacing="1" w:after="100" w:afterAutospacing="1" w:line="276" w:lineRule="auto"/>
        <w:rPr>
          <w:rFonts w:ascii="Times New Roman" w:hAnsi="Times New Roman" w:cs="Times New Roman"/>
          <w:sz w:val="24"/>
          <w:szCs w:val="24"/>
        </w:rPr>
      </w:pPr>
      <w:r w:rsidRPr="005107F5">
        <w:rPr>
          <w:rFonts w:ascii="Times New Roman" w:hAnsi="Times New Roman" w:cs="Times New Roman"/>
          <w:sz w:val="24"/>
          <w:szCs w:val="24"/>
        </w:rPr>
        <w:t xml:space="preserve">Centers for Disease Control and Prevention. WISQARS Nonfatal Injury Data. </w:t>
      </w:r>
      <w:hyperlink r:id="rId9" w:history="1">
        <w:r w:rsidRPr="005107F5">
          <w:rPr>
            <w:rStyle w:val="Hyperlink"/>
            <w:rFonts w:ascii="Times New Roman" w:hAnsi="Times New Roman" w:cs="Times New Roman"/>
            <w:color w:val="auto"/>
            <w:sz w:val="24"/>
            <w:szCs w:val="24"/>
          </w:rPr>
          <w:t>http://www.cdc.gov/injury/wisqars/nonfatal.html</w:t>
        </w:r>
      </w:hyperlink>
      <w:r w:rsidRPr="005107F5">
        <w:rPr>
          <w:rFonts w:ascii="Times New Roman" w:hAnsi="Times New Roman" w:cs="Times New Roman"/>
          <w:sz w:val="24"/>
          <w:szCs w:val="24"/>
        </w:rPr>
        <w:t>.</w:t>
      </w:r>
    </w:p>
    <w:p w14:paraId="0E4B2835" w14:textId="77777777" w:rsidR="002631D6" w:rsidRPr="005107F5" w:rsidRDefault="00F652E9" w:rsidP="007931E1">
      <w:pPr>
        <w:shd w:val="clear" w:color="auto" w:fill="FFFFFF"/>
        <w:spacing w:before="100" w:beforeAutospacing="1" w:after="100" w:afterAutospacing="1" w:line="276" w:lineRule="auto"/>
        <w:rPr>
          <w:rFonts w:ascii="Times New Roman" w:hAnsi="Times New Roman" w:cs="Times New Roman"/>
          <w:sz w:val="24"/>
          <w:szCs w:val="24"/>
        </w:rPr>
      </w:pPr>
      <w:r w:rsidRPr="005107F5">
        <w:rPr>
          <w:rFonts w:ascii="Times New Roman" w:hAnsi="Times New Roman" w:cs="Times New Roman"/>
          <w:sz w:val="24"/>
          <w:szCs w:val="24"/>
        </w:rPr>
        <w:t xml:space="preserve">Greene MB. Repeat injuries, </w:t>
      </w:r>
      <w:proofErr w:type="gramStart"/>
      <w:r w:rsidRPr="005107F5">
        <w:rPr>
          <w:rFonts w:ascii="Times New Roman" w:hAnsi="Times New Roman" w:cs="Times New Roman"/>
          <w:sz w:val="24"/>
          <w:szCs w:val="24"/>
        </w:rPr>
        <w:t>variability</w:t>
      </w:r>
      <w:proofErr w:type="gramEnd"/>
      <w:r w:rsidRPr="005107F5">
        <w:rPr>
          <w:rFonts w:ascii="Times New Roman" w:hAnsi="Times New Roman" w:cs="Times New Roman"/>
          <w:sz w:val="24"/>
          <w:szCs w:val="24"/>
        </w:rPr>
        <w:t xml:space="preserve"> and recommended research guidelines. Presented at the: Healing Justice Alliance National Conference; August 22, 2016; Baltimore, MD.</w:t>
      </w:r>
      <w:r w:rsidR="002631D6" w:rsidRPr="005107F5">
        <w:rPr>
          <w:rFonts w:ascii="Times New Roman" w:hAnsi="Times New Roman" w:cs="Times New Roman"/>
          <w:sz w:val="24"/>
          <w:szCs w:val="24"/>
        </w:rPr>
        <w:t xml:space="preserve"> </w:t>
      </w:r>
    </w:p>
    <w:p w14:paraId="15077898" w14:textId="77777777" w:rsidR="008E54BA" w:rsidRPr="005107F5" w:rsidRDefault="002631D6" w:rsidP="007931E1">
      <w:pPr>
        <w:shd w:val="clear" w:color="auto" w:fill="FFFFFF"/>
        <w:spacing w:before="100" w:beforeAutospacing="1" w:after="100" w:afterAutospacing="1" w:line="276" w:lineRule="auto"/>
        <w:rPr>
          <w:rFonts w:ascii="Times New Roman" w:hAnsi="Times New Roman" w:cs="Times New Roman"/>
          <w:sz w:val="24"/>
          <w:szCs w:val="24"/>
        </w:rPr>
      </w:pPr>
      <w:r w:rsidRPr="005107F5">
        <w:rPr>
          <w:rFonts w:ascii="Times New Roman" w:hAnsi="Times New Roman" w:cs="Times New Roman"/>
          <w:sz w:val="24"/>
          <w:szCs w:val="24"/>
        </w:rPr>
        <w:t xml:space="preserve">Johansen VA, </w:t>
      </w:r>
      <w:proofErr w:type="spellStart"/>
      <w:r w:rsidRPr="005107F5">
        <w:rPr>
          <w:rFonts w:ascii="Times New Roman" w:hAnsi="Times New Roman" w:cs="Times New Roman"/>
          <w:sz w:val="24"/>
          <w:szCs w:val="24"/>
        </w:rPr>
        <w:t>Eilertsen</w:t>
      </w:r>
      <w:proofErr w:type="spellEnd"/>
      <w:r w:rsidRPr="005107F5">
        <w:rPr>
          <w:rFonts w:ascii="Times New Roman" w:hAnsi="Times New Roman" w:cs="Times New Roman"/>
          <w:sz w:val="24"/>
          <w:szCs w:val="24"/>
        </w:rPr>
        <w:t xml:space="preserve"> DE, </w:t>
      </w:r>
      <w:proofErr w:type="spellStart"/>
      <w:r w:rsidRPr="005107F5">
        <w:rPr>
          <w:rFonts w:ascii="Times New Roman" w:hAnsi="Times New Roman" w:cs="Times New Roman"/>
          <w:sz w:val="24"/>
          <w:szCs w:val="24"/>
        </w:rPr>
        <w:t>Nordanger</w:t>
      </w:r>
      <w:proofErr w:type="spellEnd"/>
      <w:r w:rsidRPr="005107F5">
        <w:rPr>
          <w:rFonts w:ascii="Times New Roman" w:hAnsi="Times New Roman" w:cs="Times New Roman"/>
          <w:sz w:val="24"/>
          <w:szCs w:val="24"/>
        </w:rPr>
        <w:t xml:space="preserve"> D, </w:t>
      </w:r>
      <w:proofErr w:type="spellStart"/>
      <w:r w:rsidRPr="005107F5">
        <w:rPr>
          <w:rFonts w:ascii="Times New Roman" w:hAnsi="Times New Roman" w:cs="Times New Roman"/>
          <w:sz w:val="24"/>
          <w:szCs w:val="24"/>
        </w:rPr>
        <w:t>Weisaeth</w:t>
      </w:r>
      <w:proofErr w:type="spellEnd"/>
      <w:r w:rsidRPr="005107F5">
        <w:rPr>
          <w:rFonts w:ascii="Times New Roman" w:hAnsi="Times New Roman" w:cs="Times New Roman"/>
          <w:sz w:val="24"/>
          <w:szCs w:val="24"/>
        </w:rPr>
        <w:t xml:space="preserve"> L. Prevalence, comorbidity and stability of post-traumatic stress disorder and anxiety and depression symptoms after exposure to physical assault: an 8-year prospective longitudinal study. Nord J Psychiatry. 2013;67(1):69-80.</w:t>
      </w:r>
      <w:r w:rsidR="008E54BA" w:rsidRPr="005107F5">
        <w:rPr>
          <w:rFonts w:ascii="Times New Roman" w:hAnsi="Times New Roman" w:cs="Times New Roman"/>
          <w:sz w:val="24"/>
          <w:szCs w:val="24"/>
        </w:rPr>
        <w:t xml:space="preserve"> </w:t>
      </w:r>
    </w:p>
    <w:p w14:paraId="4BCF6EFD" w14:textId="77777777" w:rsidR="008E54BA" w:rsidRPr="005107F5" w:rsidRDefault="008E54BA" w:rsidP="007931E1">
      <w:pPr>
        <w:shd w:val="clear" w:color="auto" w:fill="FFFFFF"/>
        <w:spacing w:before="100" w:beforeAutospacing="1" w:after="100" w:afterAutospacing="1" w:line="276" w:lineRule="auto"/>
        <w:rPr>
          <w:rFonts w:ascii="Times New Roman" w:hAnsi="Times New Roman" w:cs="Times New Roman"/>
          <w:sz w:val="24"/>
          <w:szCs w:val="24"/>
        </w:rPr>
      </w:pPr>
      <w:r w:rsidRPr="005107F5">
        <w:rPr>
          <w:rFonts w:ascii="Times New Roman" w:hAnsi="Times New Roman" w:cs="Times New Roman"/>
          <w:sz w:val="24"/>
          <w:szCs w:val="24"/>
        </w:rPr>
        <w:t xml:space="preserve">Cheng TL, Haynie D, Brenner R, Wright JL, Chung S-E, Simons-Morton B. Effectiveness of a mentor-implemented, violence prevention intervention for </w:t>
      </w:r>
      <w:proofErr w:type="spellStart"/>
      <w:r w:rsidRPr="005107F5">
        <w:rPr>
          <w:rFonts w:ascii="Times New Roman" w:hAnsi="Times New Roman" w:cs="Times New Roman"/>
          <w:sz w:val="24"/>
          <w:szCs w:val="24"/>
        </w:rPr>
        <w:t>assaultinjured</w:t>
      </w:r>
      <w:proofErr w:type="spellEnd"/>
      <w:r w:rsidRPr="005107F5">
        <w:rPr>
          <w:rFonts w:ascii="Times New Roman" w:hAnsi="Times New Roman" w:cs="Times New Roman"/>
          <w:sz w:val="24"/>
          <w:szCs w:val="24"/>
        </w:rPr>
        <w:t xml:space="preserve"> youths presenting to the emergency department: results of a randomized trial. Pediatrics. 2008;122(5):938-946. 60. </w:t>
      </w:r>
    </w:p>
    <w:p w14:paraId="413E10D2" w14:textId="77777777" w:rsidR="008E54BA" w:rsidRPr="005107F5" w:rsidRDefault="008E54BA" w:rsidP="007931E1">
      <w:pPr>
        <w:shd w:val="clear" w:color="auto" w:fill="FFFFFF"/>
        <w:spacing w:before="100" w:beforeAutospacing="1" w:after="100" w:afterAutospacing="1" w:line="276" w:lineRule="auto"/>
        <w:rPr>
          <w:rFonts w:ascii="Times New Roman" w:hAnsi="Times New Roman" w:cs="Times New Roman"/>
          <w:sz w:val="24"/>
          <w:szCs w:val="24"/>
        </w:rPr>
      </w:pPr>
      <w:r w:rsidRPr="005107F5">
        <w:rPr>
          <w:rFonts w:ascii="Times New Roman" w:hAnsi="Times New Roman" w:cs="Times New Roman"/>
          <w:sz w:val="24"/>
          <w:szCs w:val="24"/>
        </w:rPr>
        <w:t xml:space="preserve">Cooper C, Eslinger DM, </w:t>
      </w:r>
      <w:proofErr w:type="spellStart"/>
      <w:r w:rsidRPr="005107F5">
        <w:rPr>
          <w:rFonts w:ascii="Times New Roman" w:hAnsi="Times New Roman" w:cs="Times New Roman"/>
          <w:sz w:val="24"/>
          <w:szCs w:val="24"/>
        </w:rPr>
        <w:t>Stolley</w:t>
      </w:r>
      <w:proofErr w:type="spellEnd"/>
      <w:r w:rsidRPr="005107F5">
        <w:rPr>
          <w:rFonts w:ascii="Times New Roman" w:hAnsi="Times New Roman" w:cs="Times New Roman"/>
          <w:sz w:val="24"/>
          <w:szCs w:val="24"/>
        </w:rPr>
        <w:t xml:space="preserve"> PD. Hospital-based violence intervention programs work. J Trauma. 2006;61(3):534-537; discussion 537-540. 61. </w:t>
      </w:r>
    </w:p>
    <w:p w14:paraId="388388DD" w14:textId="1AC421F7" w:rsidR="00F652E9" w:rsidRPr="005107F5" w:rsidRDefault="008E54BA" w:rsidP="007931E1">
      <w:pPr>
        <w:shd w:val="clear" w:color="auto" w:fill="FFFFFF"/>
        <w:spacing w:before="100" w:beforeAutospacing="1" w:after="100" w:afterAutospacing="1" w:line="276" w:lineRule="auto"/>
        <w:rPr>
          <w:rFonts w:ascii="Times New Roman" w:hAnsi="Times New Roman" w:cs="Times New Roman"/>
          <w:sz w:val="24"/>
          <w:szCs w:val="24"/>
        </w:rPr>
      </w:pPr>
      <w:proofErr w:type="spellStart"/>
      <w:r w:rsidRPr="005107F5">
        <w:rPr>
          <w:rFonts w:ascii="Times New Roman" w:hAnsi="Times New Roman" w:cs="Times New Roman"/>
          <w:sz w:val="24"/>
          <w:szCs w:val="24"/>
        </w:rPr>
        <w:t>Zun</w:t>
      </w:r>
      <w:proofErr w:type="spellEnd"/>
      <w:r w:rsidRPr="005107F5">
        <w:rPr>
          <w:rFonts w:ascii="Times New Roman" w:hAnsi="Times New Roman" w:cs="Times New Roman"/>
          <w:sz w:val="24"/>
          <w:szCs w:val="24"/>
        </w:rPr>
        <w:t xml:space="preserve"> LS, Downey L, Rosen J. The effectiveness of an ED-based violence prevention program. Am J </w:t>
      </w:r>
      <w:proofErr w:type="spellStart"/>
      <w:r w:rsidRPr="005107F5">
        <w:rPr>
          <w:rFonts w:ascii="Times New Roman" w:hAnsi="Times New Roman" w:cs="Times New Roman"/>
          <w:sz w:val="24"/>
          <w:szCs w:val="24"/>
        </w:rPr>
        <w:t>Emerg</w:t>
      </w:r>
      <w:proofErr w:type="spellEnd"/>
      <w:r w:rsidRPr="005107F5">
        <w:rPr>
          <w:rFonts w:ascii="Times New Roman" w:hAnsi="Times New Roman" w:cs="Times New Roman"/>
          <w:sz w:val="24"/>
          <w:szCs w:val="24"/>
        </w:rPr>
        <w:t xml:space="preserve"> Med. 2006;24(1):8-13.</w:t>
      </w:r>
    </w:p>
    <w:p w14:paraId="5E425088" w14:textId="77777777" w:rsidR="00184A6C" w:rsidRPr="005107F5" w:rsidRDefault="00873698" w:rsidP="00184A6C">
      <w:pPr>
        <w:shd w:val="clear" w:color="auto" w:fill="FFFFFF"/>
        <w:spacing w:before="100" w:beforeAutospacing="1" w:after="100" w:afterAutospacing="1" w:line="276" w:lineRule="auto"/>
        <w:rPr>
          <w:rFonts w:ascii="Times New Roman" w:hAnsi="Times New Roman" w:cs="Times New Roman"/>
          <w:sz w:val="24"/>
          <w:szCs w:val="24"/>
        </w:rPr>
      </w:pPr>
      <w:proofErr w:type="spellStart"/>
      <w:r w:rsidRPr="005107F5">
        <w:rPr>
          <w:rFonts w:ascii="Times New Roman" w:hAnsi="Times New Roman" w:cs="Times New Roman"/>
          <w:sz w:val="24"/>
          <w:szCs w:val="24"/>
        </w:rPr>
        <w:t>Juillard</w:t>
      </w:r>
      <w:proofErr w:type="spellEnd"/>
      <w:r w:rsidRPr="005107F5">
        <w:rPr>
          <w:rFonts w:ascii="Times New Roman" w:hAnsi="Times New Roman" w:cs="Times New Roman"/>
          <w:sz w:val="24"/>
          <w:szCs w:val="24"/>
        </w:rPr>
        <w:t xml:space="preserve"> C, Cooperman L, Allen I, et al. A decade of hospital-based violence intervention: Benefits and shortcomings. J Trauma Acute Care Surg. 2016;81(6):1156-1161.</w:t>
      </w:r>
      <w:r w:rsidR="00184A6C" w:rsidRPr="005107F5">
        <w:rPr>
          <w:rFonts w:ascii="Times New Roman" w:hAnsi="Times New Roman" w:cs="Times New Roman"/>
          <w:sz w:val="24"/>
          <w:szCs w:val="24"/>
        </w:rPr>
        <w:t xml:space="preserve"> </w:t>
      </w:r>
    </w:p>
    <w:p w14:paraId="5BCA8B7A" w14:textId="5C8CB670" w:rsidR="00435BF7" w:rsidRPr="005107F5" w:rsidRDefault="00184A6C" w:rsidP="00184A6C">
      <w:pPr>
        <w:shd w:val="clear" w:color="auto" w:fill="FFFFFF"/>
        <w:spacing w:before="100" w:beforeAutospacing="1" w:after="100" w:afterAutospacing="1" w:line="276" w:lineRule="auto"/>
        <w:rPr>
          <w:rFonts w:ascii="Times New Roman" w:hAnsi="Times New Roman" w:cs="Times New Roman"/>
          <w:sz w:val="24"/>
          <w:szCs w:val="24"/>
        </w:rPr>
      </w:pPr>
      <w:r w:rsidRPr="005107F5">
        <w:rPr>
          <w:rFonts w:ascii="Times New Roman" w:hAnsi="Times New Roman" w:cs="Times New Roman"/>
          <w:sz w:val="24"/>
          <w:szCs w:val="24"/>
        </w:rPr>
        <w:t>Schwarzer, R, Jerusalem, M. (1995). Generalized Self-Efficacy scale. In J. Weinman, S. Wright, &amp; M. Johnston, Measures in health psychology: A user’s portfolio. Causal and control beliefs (pp. 35-37). Windsor, UK: NFER-NELSON.</w:t>
      </w:r>
    </w:p>
    <w:p w14:paraId="3B153D89" w14:textId="205FADCA" w:rsidR="000975D9" w:rsidRPr="005107F5" w:rsidRDefault="000975D9" w:rsidP="00184A6C">
      <w:pPr>
        <w:shd w:val="clear" w:color="auto" w:fill="FFFFFF"/>
        <w:spacing w:before="100" w:beforeAutospacing="1" w:after="100" w:afterAutospacing="1" w:line="276" w:lineRule="auto"/>
        <w:rPr>
          <w:rFonts w:ascii="Times New Roman" w:hAnsi="Times New Roman" w:cs="Times New Roman"/>
          <w:sz w:val="24"/>
          <w:szCs w:val="24"/>
        </w:rPr>
      </w:pPr>
      <w:r w:rsidRPr="005107F5">
        <w:rPr>
          <w:rFonts w:ascii="Times New Roman" w:hAnsi="Times New Roman" w:cs="Times New Roman"/>
          <w:sz w:val="24"/>
          <w:szCs w:val="24"/>
        </w:rPr>
        <w:t xml:space="preserve">Schwarzer, R, Jerusalem, M. (2013). General self-efficacy scale (GSE). Measurement Instrument Database for the Social Science. Retrieved from </w:t>
      </w:r>
      <w:hyperlink r:id="rId10" w:history="1">
        <w:r w:rsidR="00035D76" w:rsidRPr="005107F5">
          <w:rPr>
            <w:rStyle w:val="Hyperlink"/>
            <w:rFonts w:ascii="Times New Roman" w:hAnsi="Times New Roman" w:cs="Times New Roman"/>
            <w:color w:val="auto"/>
            <w:sz w:val="24"/>
            <w:szCs w:val="24"/>
          </w:rPr>
          <w:t>www.midss.ie</w:t>
        </w:r>
      </w:hyperlink>
    </w:p>
    <w:p w14:paraId="1E4C4F3A" w14:textId="12F68CBE" w:rsidR="00035D76" w:rsidRPr="005107F5" w:rsidRDefault="00035D76">
      <w:pPr>
        <w:rPr>
          <w:rFonts w:ascii="Times New Roman" w:hAnsi="Times New Roman" w:cs="Times New Roman"/>
          <w:sz w:val="24"/>
          <w:szCs w:val="24"/>
        </w:rPr>
      </w:pPr>
      <w:r w:rsidRPr="005107F5">
        <w:rPr>
          <w:rFonts w:ascii="Times New Roman" w:hAnsi="Times New Roman" w:cs="Times New Roman"/>
          <w:sz w:val="24"/>
          <w:szCs w:val="24"/>
        </w:rPr>
        <w:br w:type="page"/>
      </w:r>
    </w:p>
    <w:p w14:paraId="17821098" w14:textId="3244ECA2" w:rsidR="00035D76" w:rsidRPr="005107F5" w:rsidRDefault="00035D76" w:rsidP="00184A6C">
      <w:pPr>
        <w:shd w:val="clear" w:color="auto" w:fill="FFFFFF"/>
        <w:spacing w:before="100" w:beforeAutospacing="1" w:after="100" w:afterAutospacing="1" w:line="276" w:lineRule="auto"/>
        <w:rPr>
          <w:rFonts w:ascii="Times New Roman" w:hAnsi="Times New Roman" w:cs="Times New Roman"/>
          <w:b/>
          <w:bCs/>
          <w:sz w:val="24"/>
          <w:szCs w:val="24"/>
        </w:rPr>
      </w:pPr>
      <w:r w:rsidRPr="005107F5">
        <w:rPr>
          <w:rFonts w:ascii="Times New Roman" w:hAnsi="Times New Roman" w:cs="Times New Roman"/>
          <w:b/>
          <w:bCs/>
          <w:sz w:val="24"/>
          <w:szCs w:val="24"/>
        </w:rPr>
        <w:lastRenderedPageBreak/>
        <w:t>PROTOCOL APPENDIX</w:t>
      </w:r>
      <w:r w:rsidR="005107F5">
        <w:rPr>
          <w:rFonts w:ascii="Times New Roman" w:hAnsi="Times New Roman" w:cs="Times New Roman"/>
          <w:b/>
          <w:bCs/>
          <w:sz w:val="24"/>
          <w:szCs w:val="24"/>
        </w:rPr>
        <w:t xml:space="preserve"> - QUESTIONNAIRE</w:t>
      </w:r>
    </w:p>
    <w:p w14:paraId="16A78EF7" w14:textId="22772DC1" w:rsidR="00035D76" w:rsidRPr="00B65D31" w:rsidRDefault="00035D76" w:rsidP="005107F5">
      <w:pPr>
        <w:shd w:val="clear" w:color="auto" w:fill="FFFFFF"/>
        <w:spacing w:before="100" w:beforeAutospacing="1" w:after="100" w:afterAutospacing="1" w:line="276" w:lineRule="auto"/>
        <w:jc w:val="center"/>
        <w:rPr>
          <w:rFonts w:ascii="Times New Roman" w:hAnsi="Times New Roman" w:cs="Times New Roman"/>
          <w:sz w:val="24"/>
          <w:szCs w:val="24"/>
        </w:rPr>
      </w:pPr>
      <w:r>
        <w:rPr>
          <w:noProof/>
        </w:rPr>
        <w:drawing>
          <wp:inline distT="0" distB="0" distL="0" distR="0" wp14:anchorId="51230686" wp14:editId="14578601">
            <wp:extent cx="5463996" cy="530564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1237" t="23007" r="19144" b="8600"/>
                    <a:stretch/>
                  </pic:blipFill>
                  <pic:spPr bwMode="auto">
                    <a:xfrm>
                      <a:off x="0" y="0"/>
                      <a:ext cx="5481216" cy="5322368"/>
                    </a:xfrm>
                    <a:prstGeom prst="rect">
                      <a:avLst/>
                    </a:prstGeom>
                    <a:ln>
                      <a:noFill/>
                    </a:ln>
                    <a:extLst>
                      <a:ext uri="{53640926-AAD7-44D8-BBD7-CCE9431645EC}">
                        <a14:shadowObscured xmlns:a14="http://schemas.microsoft.com/office/drawing/2010/main"/>
                      </a:ext>
                    </a:extLst>
                  </pic:spPr>
                </pic:pic>
              </a:graphicData>
            </a:graphic>
          </wp:inline>
        </w:drawing>
      </w:r>
    </w:p>
    <w:sectPr w:rsidR="00035D76" w:rsidRPr="00B65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9ADFB" w14:textId="77777777" w:rsidR="00F111B1" w:rsidRDefault="00F111B1" w:rsidP="00A74B60">
      <w:pPr>
        <w:spacing w:after="0" w:line="240" w:lineRule="auto"/>
      </w:pPr>
      <w:r>
        <w:separator/>
      </w:r>
    </w:p>
  </w:endnote>
  <w:endnote w:type="continuationSeparator" w:id="0">
    <w:p w14:paraId="6943C6A5" w14:textId="77777777" w:rsidR="00F111B1" w:rsidRDefault="00F111B1" w:rsidP="00A74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F77E1" w14:textId="77777777" w:rsidR="00F111B1" w:rsidRDefault="00F111B1" w:rsidP="00A74B60">
      <w:pPr>
        <w:spacing w:after="0" w:line="240" w:lineRule="auto"/>
      </w:pPr>
      <w:r>
        <w:separator/>
      </w:r>
    </w:p>
  </w:footnote>
  <w:footnote w:type="continuationSeparator" w:id="0">
    <w:p w14:paraId="14BA24CF" w14:textId="77777777" w:rsidR="00F111B1" w:rsidRDefault="00F111B1" w:rsidP="00A74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07E"/>
    <w:multiLevelType w:val="multilevel"/>
    <w:tmpl w:val="1206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947E3"/>
    <w:multiLevelType w:val="multilevel"/>
    <w:tmpl w:val="3164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D6BFF"/>
    <w:multiLevelType w:val="multilevel"/>
    <w:tmpl w:val="CD7A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21FC7"/>
    <w:multiLevelType w:val="multilevel"/>
    <w:tmpl w:val="A0E8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16A0E"/>
    <w:multiLevelType w:val="multilevel"/>
    <w:tmpl w:val="DD8E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73D60"/>
    <w:multiLevelType w:val="hybridMultilevel"/>
    <w:tmpl w:val="3BC67E90"/>
    <w:lvl w:ilvl="0" w:tplc="96EC40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2343F"/>
    <w:multiLevelType w:val="hybridMultilevel"/>
    <w:tmpl w:val="13B8BBE0"/>
    <w:lvl w:ilvl="0" w:tplc="644891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63F69"/>
    <w:multiLevelType w:val="multilevel"/>
    <w:tmpl w:val="AA10B6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8D083D"/>
    <w:multiLevelType w:val="multilevel"/>
    <w:tmpl w:val="5888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B4A6D"/>
    <w:multiLevelType w:val="hybridMultilevel"/>
    <w:tmpl w:val="B72A5BBA"/>
    <w:lvl w:ilvl="0" w:tplc="777645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969C1"/>
    <w:multiLevelType w:val="multilevel"/>
    <w:tmpl w:val="B044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728C6"/>
    <w:multiLevelType w:val="multilevel"/>
    <w:tmpl w:val="E6562B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F320E5"/>
    <w:multiLevelType w:val="multilevel"/>
    <w:tmpl w:val="7584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9"/>
  </w:num>
  <w:num w:numId="4">
    <w:abstractNumId w:val="1"/>
  </w:num>
  <w:num w:numId="5">
    <w:abstractNumId w:val="10"/>
  </w:num>
  <w:num w:numId="6">
    <w:abstractNumId w:val="0"/>
  </w:num>
  <w:num w:numId="7">
    <w:abstractNumId w:val="12"/>
  </w:num>
  <w:num w:numId="8">
    <w:abstractNumId w:val="8"/>
  </w:num>
  <w:num w:numId="9">
    <w:abstractNumId w:val="2"/>
  </w:num>
  <w:num w:numId="10">
    <w:abstractNumId w:val="7"/>
  </w:num>
  <w:num w:numId="11">
    <w:abstractNumId w:val="4"/>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78"/>
    <w:rsid w:val="00035D76"/>
    <w:rsid w:val="000975D9"/>
    <w:rsid w:val="000A1C63"/>
    <w:rsid w:val="000E6BFD"/>
    <w:rsid w:val="00104445"/>
    <w:rsid w:val="00114CA4"/>
    <w:rsid w:val="00125CEA"/>
    <w:rsid w:val="00144B78"/>
    <w:rsid w:val="001568C1"/>
    <w:rsid w:val="00164258"/>
    <w:rsid w:val="00184A6C"/>
    <w:rsid w:val="00190BC9"/>
    <w:rsid w:val="001A5BB0"/>
    <w:rsid w:val="001B080E"/>
    <w:rsid w:val="001C720E"/>
    <w:rsid w:val="00215E78"/>
    <w:rsid w:val="00240824"/>
    <w:rsid w:val="002631D6"/>
    <w:rsid w:val="002705D3"/>
    <w:rsid w:val="00292E79"/>
    <w:rsid w:val="002A2636"/>
    <w:rsid w:val="002E51E2"/>
    <w:rsid w:val="00306B48"/>
    <w:rsid w:val="00312BB6"/>
    <w:rsid w:val="00312BD0"/>
    <w:rsid w:val="00325498"/>
    <w:rsid w:val="00343CF8"/>
    <w:rsid w:val="003949C7"/>
    <w:rsid w:val="003A246A"/>
    <w:rsid w:val="003C75B6"/>
    <w:rsid w:val="003D1172"/>
    <w:rsid w:val="003D297F"/>
    <w:rsid w:val="003D3414"/>
    <w:rsid w:val="003E7054"/>
    <w:rsid w:val="003E7A59"/>
    <w:rsid w:val="003F29BE"/>
    <w:rsid w:val="003F47E6"/>
    <w:rsid w:val="004041A4"/>
    <w:rsid w:val="00412191"/>
    <w:rsid w:val="00435BF7"/>
    <w:rsid w:val="00452747"/>
    <w:rsid w:val="004E5F60"/>
    <w:rsid w:val="004F5703"/>
    <w:rsid w:val="005107F5"/>
    <w:rsid w:val="00513674"/>
    <w:rsid w:val="005168F4"/>
    <w:rsid w:val="00522C4E"/>
    <w:rsid w:val="00547F7B"/>
    <w:rsid w:val="00555C85"/>
    <w:rsid w:val="00562563"/>
    <w:rsid w:val="00591864"/>
    <w:rsid w:val="0062432E"/>
    <w:rsid w:val="00635D2C"/>
    <w:rsid w:val="00644FCD"/>
    <w:rsid w:val="00690F78"/>
    <w:rsid w:val="006D2B57"/>
    <w:rsid w:val="007167DB"/>
    <w:rsid w:val="00782707"/>
    <w:rsid w:val="007931E1"/>
    <w:rsid w:val="007934BB"/>
    <w:rsid w:val="00794CAB"/>
    <w:rsid w:val="007B6932"/>
    <w:rsid w:val="007C414E"/>
    <w:rsid w:val="007F49DD"/>
    <w:rsid w:val="007F59B3"/>
    <w:rsid w:val="008009BD"/>
    <w:rsid w:val="008117A6"/>
    <w:rsid w:val="00822B0E"/>
    <w:rsid w:val="008506A4"/>
    <w:rsid w:val="0085073F"/>
    <w:rsid w:val="00873698"/>
    <w:rsid w:val="008C1A1D"/>
    <w:rsid w:val="008C3EA5"/>
    <w:rsid w:val="008E5048"/>
    <w:rsid w:val="008E54BA"/>
    <w:rsid w:val="0090338F"/>
    <w:rsid w:val="00971690"/>
    <w:rsid w:val="00976005"/>
    <w:rsid w:val="00A002FC"/>
    <w:rsid w:val="00A059AE"/>
    <w:rsid w:val="00A142B0"/>
    <w:rsid w:val="00A16DB7"/>
    <w:rsid w:val="00A24257"/>
    <w:rsid w:val="00A74B60"/>
    <w:rsid w:val="00A84AD7"/>
    <w:rsid w:val="00AC5113"/>
    <w:rsid w:val="00AD70D1"/>
    <w:rsid w:val="00AE7F3B"/>
    <w:rsid w:val="00B02FBF"/>
    <w:rsid w:val="00B03C54"/>
    <w:rsid w:val="00B37E0A"/>
    <w:rsid w:val="00B44FB8"/>
    <w:rsid w:val="00B54BF4"/>
    <w:rsid w:val="00B578CC"/>
    <w:rsid w:val="00B61A44"/>
    <w:rsid w:val="00B65D31"/>
    <w:rsid w:val="00B70870"/>
    <w:rsid w:val="00B7788B"/>
    <w:rsid w:val="00B82813"/>
    <w:rsid w:val="00B92F97"/>
    <w:rsid w:val="00B95A76"/>
    <w:rsid w:val="00B979D1"/>
    <w:rsid w:val="00BD499E"/>
    <w:rsid w:val="00BF5EAC"/>
    <w:rsid w:val="00C0183F"/>
    <w:rsid w:val="00C33C55"/>
    <w:rsid w:val="00C37C3A"/>
    <w:rsid w:val="00C45F0D"/>
    <w:rsid w:val="00C71FA2"/>
    <w:rsid w:val="00CA1FD6"/>
    <w:rsid w:val="00CA4EC8"/>
    <w:rsid w:val="00CA5BB5"/>
    <w:rsid w:val="00CB5DA7"/>
    <w:rsid w:val="00CC6941"/>
    <w:rsid w:val="00CE4105"/>
    <w:rsid w:val="00CF0BB3"/>
    <w:rsid w:val="00D4149D"/>
    <w:rsid w:val="00D42059"/>
    <w:rsid w:val="00D7011A"/>
    <w:rsid w:val="00D87F73"/>
    <w:rsid w:val="00DF3DE4"/>
    <w:rsid w:val="00E44272"/>
    <w:rsid w:val="00E54A20"/>
    <w:rsid w:val="00E55C60"/>
    <w:rsid w:val="00E60BA4"/>
    <w:rsid w:val="00E60D91"/>
    <w:rsid w:val="00E72D1A"/>
    <w:rsid w:val="00EA044F"/>
    <w:rsid w:val="00EA0C48"/>
    <w:rsid w:val="00EB6B03"/>
    <w:rsid w:val="00ED5535"/>
    <w:rsid w:val="00F111B1"/>
    <w:rsid w:val="00F142E0"/>
    <w:rsid w:val="00F37315"/>
    <w:rsid w:val="00F4065A"/>
    <w:rsid w:val="00F54450"/>
    <w:rsid w:val="00F61A23"/>
    <w:rsid w:val="00F652E9"/>
    <w:rsid w:val="00F97203"/>
    <w:rsid w:val="00F9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87A1D"/>
  <w15:docId w15:val="{F43A85DA-03AE-415E-8947-1ADEE4EF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C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E78"/>
    <w:pPr>
      <w:ind w:left="720"/>
      <w:contextualSpacing/>
    </w:pPr>
  </w:style>
  <w:style w:type="paragraph" w:styleId="EndnoteText">
    <w:name w:val="endnote text"/>
    <w:basedOn w:val="Normal"/>
    <w:link w:val="EndnoteTextChar"/>
    <w:uiPriority w:val="99"/>
    <w:semiHidden/>
    <w:unhideWhenUsed/>
    <w:rsid w:val="00A74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4B60"/>
    <w:rPr>
      <w:sz w:val="20"/>
      <w:szCs w:val="20"/>
    </w:rPr>
  </w:style>
  <w:style w:type="character" w:styleId="EndnoteReference">
    <w:name w:val="endnote reference"/>
    <w:basedOn w:val="DefaultParagraphFont"/>
    <w:uiPriority w:val="99"/>
    <w:semiHidden/>
    <w:unhideWhenUsed/>
    <w:rsid w:val="00A74B60"/>
    <w:rPr>
      <w:vertAlign w:val="superscript"/>
    </w:rPr>
  </w:style>
  <w:style w:type="character" w:customStyle="1" w:styleId="Heading1Char">
    <w:name w:val="Heading 1 Char"/>
    <w:basedOn w:val="DefaultParagraphFont"/>
    <w:link w:val="Heading1"/>
    <w:uiPriority w:val="9"/>
    <w:rsid w:val="00343CF8"/>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343CF8"/>
  </w:style>
  <w:style w:type="character" w:styleId="Hyperlink">
    <w:name w:val="Hyperlink"/>
    <w:basedOn w:val="DefaultParagraphFont"/>
    <w:uiPriority w:val="99"/>
    <w:unhideWhenUsed/>
    <w:rsid w:val="00F652E9"/>
    <w:rPr>
      <w:color w:val="0563C1" w:themeColor="hyperlink"/>
      <w:u w:val="single"/>
    </w:rPr>
  </w:style>
  <w:style w:type="character" w:styleId="UnresolvedMention">
    <w:name w:val="Unresolved Mention"/>
    <w:basedOn w:val="DefaultParagraphFont"/>
    <w:uiPriority w:val="99"/>
    <w:semiHidden/>
    <w:unhideWhenUsed/>
    <w:rsid w:val="00F652E9"/>
    <w:rPr>
      <w:color w:val="605E5C"/>
      <w:shd w:val="clear" w:color="auto" w:fill="E1DFDD"/>
    </w:rPr>
  </w:style>
  <w:style w:type="paragraph" w:styleId="NormalWeb">
    <w:name w:val="Normal (Web)"/>
    <w:basedOn w:val="Normal"/>
    <w:uiPriority w:val="99"/>
    <w:unhideWhenUsed/>
    <w:rsid w:val="007931E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2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747"/>
  </w:style>
  <w:style w:type="paragraph" w:styleId="Footer">
    <w:name w:val="footer"/>
    <w:basedOn w:val="Normal"/>
    <w:link w:val="FooterChar"/>
    <w:uiPriority w:val="99"/>
    <w:unhideWhenUsed/>
    <w:rsid w:val="00452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747"/>
  </w:style>
  <w:style w:type="character" w:styleId="CommentReference">
    <w:name w:val="annotation reference"/>
    <w:basedOn w:val="DefaultParagraphFont"/>
    <w:uiPriority w:val="99"/>
    <w:semiHidden/>
    <w:unhideWhenUsed/>
    <w:rsid w:val="00125CEA"/>
    <w:rPr>
      <w:sz w:val="16"/>
      <w:szCs w:val="16"/>
    </w:rPr>
  </w:style>
  <w:style w:type="paragraph" w:styleId="CommentText">
    <w:name w:val="annotation text"/>
    <w:basedOn w:val="Normal"/>
    <w:link w:val="CommentTextChar"/>
    <w:uiPriority w:val="99"/>
    <w:unhideWhenUsed/>
    <w:rsid w:val="00125CEA"/>
    <w:pPr>
      <w:spacing w:line="240" w:lineRule="auto"/>
    </w:pPr>
    <w:rPr>
      <w:sz w:val="20"/>
      <w:szCs w:val="20"/>
    </w:rPr>
  </w:style>
  <w:style w:type="character" w:customStyle="1" w:styleId="CommentTextChar">
    <w:name w:val="Comment Text Char"/>
    <w:basedOn w:val="DefaultParagraphFont"/>
    <w:link w:val="CommentText"/>
    <w:uiPriority w:val="99"/>
    <w:rsid w:val="00125CEA"/>
    <w:rPr>
      <w:sz w:val="20"/>
      <w:szCs w:val="20"/>
    </w:rPr>
  </w:style>
  <w:style w:type="paragraph" w:styleId="CommentSubject">
    <w:name w:val="annotation subject"/>
    <w:basedOn w:val="CommentText"/>
    <w:next w:val="CommentText"/>
    <w:link w:val="CommentSubjectChar"/>
    <w:uiPriority w:val="99"/>
    <w:semiHidden/>
    <w:unhideWhenUsed/>
    <w:rsid w:val="00125CEA"/>
    <w:rPr>
      <w:b/>
      <w:bCs/>
    </w:rPr>
  </w:style>
  <w:style w:type="character" w:customStyle="1" w:styleId="CommentSubjectChar">
    <w:name w:val="Comment Subject Char"/>
    <w:basedOn w:val="CommentTextChar"/>
    <w:link w:val="CommentSubject"/>
    <w:uiPriority w:val="99"/>
    <w:semiHidden/>
    <w:rsid w:val="00125CEA"/>
    <w:rPr>
      <w:b/>
      <w:bCs/>
      <w:sz w:val="20"/>
      <w:szCs w:val="20"/>
    </w:rPr>
  </w:style>
  <w:style w:type="character" w:styleId="Strong">
    <w:name w:val="Strong"/>
    <w:basedOn w:val="DefaultParagraphFont"/>
    <w:uiPriority w:val="22"/>
    <w:qFormat/>
    <w:rsid w:val="00522C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01998">
      <w:bodyDiv w:val="1"/>
      <w:marLeft w:val="0"/>
      <w:marRight w:val="0"/>
      <w:marTop w:val="0"/>
      <w:marBottom w:val="0"/>
      <w:divBdr>
        <w:top w:val="none" w:sz="0" w:space="0" w:color="auto"/>
        <w:left w:val="none" w:sz="0" w:space="0" w:color="auto"/>
        <w:bottom w:val="none" w:sz="0" w:space="0" w:color="auto"/>
        <w:right w:val="none" w:sz="0" w:space="0" w:color="auto"/>
      </w:divBdr>
    </w:div>
    <w:div w:id="239599893">
      <w:bodyDiv w:val="1"/>
      <w:marLeft w:val="0"/>
      <w:marRight w:val="0"/>
      <w:marTop w:val="0"/>
      <w:marBottom w:val="0"/>
      <w:divBdr>
        <w:top w:val="none" w:sz="0" w:space="0" w:color="auto"/>
        <w:left w:val="none" w:sz="0" w:space="0" w:color="auto"/>
        <w:bottom w:val="none" w:sz="0" w:space="0" w:color="auto"/>
        <w:right w:val="none" w:sz="0" w:space="0" w:color="auto"/>
      </w:divBdr>
    </w:div>
    <w:div w:id="360129796">
      <w:bodyDiv w:val="1"/>
      <w:marLeft w:val="0"/>
      <w:marRight w:val="0"/>
      <w:marTop w:val="0"/>
      <w:marBottom w:val="0"/>
      <w:divBdr>
        <w:top w:val="none" w:sz="0" w:space="0" w:color="auto"/>
        <w:left w:val="none" w:sz="0" w:space="0" w:color="auto"/>
        <w:bottom w:val="none" w:sz="0" w:space="0" w:color="auto"/>
        <w:right w:val="none" w:sz="0" w:space="0" w:color="auto"/>
      </w:divBdr>
    </w:div>
    <w:div w:id="430861742">
      <w:bodyDiv w:val="1"/>
      <w:marLeft w:val="0"/>
      <w:marRight w:val="0"/>
      <w:marTop w:val="0"/>
      <w:marBottom w:val="0"/>
      <w:divBdr>
        <w:top w:val="none" w:sz="0" w:space="0" w:color="auto"/>
        <w:left w:val="none" w:sz="0" w:space="0" w:color="auto"/>
        <w:bottom w:val="none" w:sz="0" w:space="0" w:color="auto"/>
        <w:right w:val="none" w:sz="0" w:space="0" w:color="auto"/>
      </w:divBdr>
    </w:div>
    <w:div w:id="442186021">
      <w:bodyDiv w:val="1"/>
      <w:marLeft w:val="0"/>
      <w:marRight w:val="0"/>
      <w:marTop w:val="0"/>
      <w:marBottom w:val="0"/>
      <w:divBdr>
        <w:top w:val="none" w:sz="0" w:space="0" w:color="auto"/>
        <w:left w:val="none" w:sz="0" w:space="0" w:color="auto"/>
        <w:bottom w:val="none" w:sz="0" w:space="0" w:color="auto"/>
        <w:right w:val="none" w:sz="0" w:space="0" w:color="auto"/>
      </w:divBdr>
    </w:div>
    <w:div w:id="458960375">
      <w:bodyDiv w:val="1"/>
      <w:marLeft w:val="0"/>
      <w:marRight w:val="0"/>
      <w:marTop w:val="0"/>
      <w:marBottom w:val="0"/>
      <w:divBdr>
        <w:top w:val="none" w:sz="0" w:space="0" w:color="auto"/>
        <w:left w:val="none" w:sz="0" w:space="0" w:color="auto"/>
        <w:bottom w:val="none" w:sz="0" w:space="0" w:color="auto"/>
        <w:right w:val="none" w:sz="0" w:space="0" w:color="auto"/>
      </w:divBdr>
    </w:div>
    <w:div w:id="526718509">
      <w:bodyDiv w:val="1"/>
      <w:marLeft w:val="0"/>
      <w:marRight w:val="0"/>
      <w:marTop w:val="0"/>
      <w:marBottom w:val="0"/>
      <w:divBdr>
        <w:top w:val="none" w:sz="0" w:space="0" w:color="auto"/>
        <w:left w:val="none" w:sz="0" w:space="0" w:color="auto"/>
        <w:bottom w:val="none" w:sz="0" w:space="0" w:color="auto"/>
        <w:right w:val="none" w:sz="0" w:space="0" w:color="auto"/>
      </w:divBdr>
    </w:div>
    <w:div w:id="552426592">
      <w:bodyDiv w:val="1"/>
      <w:marLeft w:val="0"/>
      <w:marRight w:val="0"/>
      <w:marTop w:val="0"/>
      <w:marBottom w:val="0"/>
      <w:divBdr>
        <w:top w:val="none" w:sz="0" w:space="0" w:color="auto"/>
        <w:left w:val="none" w:sz="0" w:space="0" w:color="auto"/>
        <w:bottom w:val="none" w:sz="0" w:space="0" w:color="auto"/>
        <w:right w:val="none" w:sz="0" w:space="0" w:color="auto"/>
      </w:divBdr>
    </w:div>
    <w:div w:id="647321116">
      <w:bodyDiv w:val="1"/>
      <w:marLeft w:val="0"/>
      <w:marRight w:val="0"/>
      <w:marTop w:val="0"/>
      <w:marBottom w:val="0"/>
      <w:divBdr>
        <w:top w:val="none" w:sz="0" w:space="0" w:color="auto"/>
        <w:left w:val="none" w:sz="0" w:space="0" w:color="auto"/>
        <w:bottom w:val="none" w:sz="0" w:space="0" w:color="auto"/>
        <w:right w:val="none" w:sz="0" w:space="0" w:color="auto"/>
      </w:divBdr>
    </w:div>
    <w:div w:id="679241800">
      <w:bodyDiv w:val="1"/>
      <w:marLeft w:val="0"/>
      <w:marRight w:val="0"/>
      <w:marTop w:val="0"/>
      <w:marBottom w:val="0"/>
      <w:divBdr>
        <w:top w:val="none" w:sz="0" w:space="0" w:color="auto"/>
        <w:left w:val="none" w:sz="0" w:space="0" w:color="auto"/>
        <w:bottom w:val="none" w:sz="0" w:space="0" w:color="auto"/>
        <w:right w:val="none" w:sz="0" w:space="0" w:color="auto"/>
      </w:divBdr>
    </w:div>
    <w:div w:id="704597414">
      <w:bodyDiv w:val="1"/>
      <w:marLeft w:val="0"/>
      <w:marRight w:val="0"/>
      <w:marTop w:val="0"/>
      <w:marBottom w:val="0"/>
      <w:divBdr>
        <w:top w:val="none" w:sz="0" w:space="0" w:color="auto"/>
        <w:left w:val="none" w:sz="0" w:space="0" w:color="auto"/>
        <w:bottom w:val="none" w:sz="0" w:space="0" w:color="auto"/>
        <w:right w:val="none" w:sz="0" w:space="0" w:color="auto"/>
      </w:divBdr>
    </w:div>
    <w:div w:id="825827142">
      <w:bodyDiv w:val="1"/>
      <w:marLeft w:val="0"/>
      <w:marRight w:val="0"/>
      <w:marTop w:val="0"/>
      <w:marBottom w:val="0"/>
      <w:divBdr>
        <w:top w:val="none" w:sz="0" w:space="0" w:color="auto"/>
        <w:left w:val="none" w:sz="0" w:space="0" w:color="auto"/>
        <w:bottom w:val="none" w:sz="0" w:space="0" w:color="auto"/>
        <w:right w:val="none" w:sz="0" w:space="0" w:color="auto"/>
      </w:divBdr>
    </w:div>
    <w:div w:id="1014453686">
      <w:bodyDiv w:val="1"/>
      <w:marLeft w:val="0"/>
      <w:marRight w:val="0"/>
      <w:marTop w:val="0"/>
      <w:marBottom w:val="0"/>
      <w:divBdr>
        <w:top w:val="none" w:sz="0" w:space="0" w:color="auto"/>
        <w:left w:val="none" w:sz="0" w:space="0" w:color="auto"/>
        <w:bottom w:val="none" w:sz="0" w:space="0" w:color="auto"/>
        <w:right w:val="none" w:sz="0" w:space="0" w:color="auto"/>
      </w:divBdr>
    </w:div>
    <w:div w:id="1047296962">
      <w:bodyDiv w:val="1"/>
      <w:marLeft w:val="0"/>
      <w:marRight w:val="0"/>
      <w:marTop w:val="0"/>
      <w:marBottom w:val="0"/>
      <w:divBdr>
        <w:top w:val="none" w:sz="0" w:space="0" w:color="auto"/>
        <w:left w:val="none" w:sz="0" w:space="0" w:color="auto"/>
        <w:bottom w:val="none" w:sz="0" w:space="0" w:color="auto"/>
        <w:right w:val="none" w:sz="0" w:space="0" w:color="auto"/>
      </w:divBdr>
    </w:div>
    <w:div w:id="1674184732">
      <w:bodyDiv w:val="1"/>
      <w:marLeft w:val="0"/>
      <w:marRight w:val="0"/>
      <w:marTop w:val="0"/>
      <w:marBottom w:val="0"/>
      <w:divBdr>
        <w:top w:val="none" w:sz="0" w:space="0" w:color="auto"/>
        <w:left w:val="none" w:sz="0" w:space="0" w:color="auto"/>
        <w:bottom w:val="none" w:sz="0" w:space="0" w:color="auto"/>
        <w:right w:val="none" w:sz="0" w:space="0" w:color="auto"/>
      </w:divBdr>
    </w:div>
    <w:div w:id="1708487246">
      <w:bodyDiv w:val="1"/>
      <w:marLeft w:val="0"/>
      <w:marRight w:val="0"/>
      <w:marTop w:val="0"/>
      <w:marBottom w:val="0"/>
      <w:divBdr>
        <w:top w:val="none" w:sz="0" w:space="0" w:color="auto"/>
        <w:left w:val="none" w:sz="0" w:space="0" w:color="auto"/>
        <w:bottom w:val="none" w:sz="0" w:space="0" w:color="auto"/>
        <w:right w:val="none" w:sz="0" w:space="0" w:color="auto"/>
      </w:divBdr>
    </w:div>
    <w:div w:id="1808621521">
      <w:bodyDiv w:val="1"/>
      <w:marLeft w:val="0"/>
      <w:marRight w:val="0"/>
      <w:marTop w:val="0"/>
      <w:marBottom w:val="0"/>
      <w:divBdr>
        <w:top w:val="none" w:sz="0" w:space="0" w:color="auto"/>
        <w:left w:val="none" w:sz="0" w:space="0" w:color="auto"/>
        <w:bottom w:val="none" w:sz="0" w:space="0" w:color="auto"/>
        <w:right w:val="none" w:sz="0" w:space="0" w:color="auto"/>
      </w:divBdr>
    </w:div>
    <w:div w:id="1923684936">
      <w:bodyDiv w:val="1"/>
      <w:marLeft w:val="0"/>
      <w:marRight w:val="0"/>
      <w:marTop w:val="0"/>
      <w:marBottom w:val="0"/>
      <w:divBdr>
        <w:top w:val="none" w:sz="0" w:space="0" w:color="auto"/>
        <w:left w:val="none" w:sz="0" w:space="0" w:color="auto"/>
        <w:bottom w:val="none" w:sz="0" w:space="0" w:color="auto"/>
        <w:right w:val="none" w:sz="0" w:space="0" w:color="auto"/>
      </w:divBdr>
    </w:div>
    <w:div w:id="1936593265">
      <w:bodyDiv w:val="1"/>
      <w:marLeft w:val="0"/>
      <w:marRight w:val="0"/>
      <w:marTop w:val="0"/>
      <w:marBottom w:val="0"/>
      <w:divBdr>
        <w:top w:val="none" w:sz="0" w:space="0" w:color="auto"/>
        <w:left w:val="none" w:sz="0" w:space="0" w:color="auto"/>
        <w:bottom w:val="none" w:sz="0" w:space="0" w:color="auto"/>
        <w:right w:val="none" w:sz="0" w:space="0" w:color="auto"/>
      </w:divBdr>
    </w:div>
    <w:div w:id="2083670988">
      <w:bodyDiv w:val="1"/>
      <w:marLeft w:val="0"/>
      <w:marRight w:val="0"/>
      <w:marTop w:val="0"/>
      <w:marBottom w:val="0"/>
      <w:divBdr>
        <w:top w:val="none" w:sz="0" w:space="0" w:color="auto"/>
        <w:left w:val="none" w:sz="0" w:space="0" w:color="auto"/>
        <w:bottom w:val="none" w:sz="0" w:space="0" w:color="auto"/>
        <w:right w:val="none" w:sz="0" w:space="0" w:color="auto"/>
      </w:divBdr>
    </w:div>
    <w:div w:id="2133554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isqars.cdc.gov:8443/cost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midss.ie" TargetMode="External"/><Relationship Id="rId4" Type="http://schemas.openxmlformats.org/officeDocument/2006/relationships/settings" Target="settings.xml"/><Relationship Id="rId9" Type="http://schemas.openxmlformats.org/officeDocument/2006/relationships/hyperlink" Target="http://www.cdc.gov/injury/wisqars/nonfat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Pre</b:Tag>
    <b:SourceType>InternetSite</b:SourceType>
    <b:Guid>{AE98D48E-C04F-4231-A3CA-20527A0C2C0E}</b:Guid>
    <b:Author>
      <b:Author>
        <b:NameList>
          <b:Person>
            <b:Last>CDC</b:Last>
          </b:Person>
        </b:NameList>
      </b:Author>
    </b:Author>
    <b:Year>2016</b:Year>
    <b:URL>https://wisqars.cdc.gov:8443/costT</b:URL>
    <b:InternetSiteTitle>WISQARS Cost of Injury Reports</b:InternetSiteTitle>
    <b:RefOrder>1</b:RefOrder>
  </b:Source>
  <b:Source>
    <b:Tag>CDC</b:Tag>
    <b:SourceType>InternetSite</b:SourceType>
    <b:Guid>{02D68E7E-1BBF-42D9-863F-FEFDF9B06B61}</b:Guid>
    <b:Author>
      <b:Author>
        <b:NameList>
          <b:Person>
            <b:Last>CDC</b:Last>
          </b:Person>
        </b:NameList>
      </b:Author>
    </b:Author>
    <b:URL>http://www.cdc.gov/injury/wisqars/nonfatal.html</b:URL>
    <b:Year>2015</b:Year>
    <b:InternetSiteTitle>WISQARS Nonfatal Injury Data</b:InternetSiteTitle>
    <b:RefOrder>2</b:RefOrder>
  </b:Source>
</b:Sources>
</file>

<file path=customXml/itemProps1.xml><?xml version="1.0" encoding="utf-8"?>
<ds:datastoreItem xmlns:ds="http://schemas.openxmlformats.org/officeDocument/2006/customXml" ds:itemID="{9322389C-0F94-4DCA-9C2E-CD097CBF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Choudhury, Asha</dc:creator>
  <cp:keywords/>
  <dc:description/>
  <cp:lastModifiedBy>Choudhury, Asha</cp:lastModifiedBy>
  <cp:revision>3</cp:revision>
  <dcterms:created xsi:type="dcterms:W3CDTF">2021-10-01T15:31:00Z</dcterms:created>
  <dcterms:modified xsi:type="dcterms:W3CDTF">2021-10-01T16:15:00Z</dcterms:modified>
</cp:coreProperties>
</file>