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686E6" w14:textId="77777777" w:rsidR="00D21FC4" w:rsidRPr="004A17A9" w:rsidRDefault="00D21FC4" w:rsidP="00D21FC4">
      <w:pPr>
        <w:rPr>
          <w:rFonts w:eastAsia="Times New Roman" w:cstheme="minorHAnsi"/>
          <w:b/>
          <w:bCs/>
          <w:color w:val="000000"/>
        </w:rPr>
      </w:pPr>
      <w:r w:rsidRPr="004A17A9">
        <w:rPr>
          <w:rFonts w:eastAsia="Times New Roman" w:cstheme="minorHAnsi"/>
          <w:b/>
          <w:bCs/>
          <w:color w:val="000000"/>
        </w:rPr>
        <w:t xml:space="preserve">Principal Investigators: </w:t>
      </w:r>
    </w:p>
    <w:p w14:paraId="65A1FB0C" w14:textId="77777777" w:rsidR="00D21FC4" w:rsidRPr="004A17A9" w:rsidRDefault="00D21FC4" w:rsidP="00D21FC4">
      <w:pPr>
        <w:ind w:left="720"/>
        <w:rPr>
          <w:rFonts w:eastAsia="Times New Roman" w:cstheme="minorHAnsi"/>
        </w:rPr>
      </w:pPr>
      <w:r w:rsidRPr="004A17A9">
        <w:rPr>
          <w:rFonts w:eastAsia="Times New Roman" w:cstheme="minorHAnsi"/>
        </w:rPr>
        <w:t xml:space="preserve">Jennifer Austin </w:t>
      </w:r>
      <w:proofErr w:type="spellStart"/>
      <w:r w:rsidRPr="004A17A9">
        <w:rPr>
          <w:rFonts w:eastAsia="Times New Roman" w:cstheme="minorHAnsi"/>
        </w:rPr>
        <w:t>Szwak</w:t>
      </w:r>
      <w:proofErr w:type="spellEnd"/>
      <w:r w:rsidRPr="004A17A9">
        <w:rPr>
          <w:rFonts w:eastAsia="Times New Roman" w:cstheme="minorHAnsi"/>
        </w:rPr>
        <w:t>, PharmD, BCPS</w:t>
      </w:r>
    </w:p>
    <w:p w14:paraId="1228DEDE" w14:textId="77777777" w:rsidR="00D21FC4" w:rsidRPr="004A17A9" w:rsidRDefault="00D21FC4" w:rsidP="00D21FC4">
      <w:pPr>
        <w:ind w:left="720"/>
        <w:rPr>
          <w:rFonts w:eastAsia="Times New Roman" w:cstheme="minorHAnsi"/>
        </w:rPr>
      </w:pPr>
      <w:r w:rsidRPr="004A17A9">
        <w:rPr>
          <w:rFonts w:eastAsia="Times New Roman" w:cstheme="minorHAnsi"/>
        </w:rPr>
        <w:t>Clinical Pharmacist Specialist, Internal Medicine</w:t>
      </w:r>
    </w:p>
    <w:p w14:paraId="44FAA684" w14:textId="77777777" w:rsidR="00D21FC4" w:rsidRPr="004A17A9" w:rsidRDefault="00D21FC4" w:rsidP="00D21FC4">
      <w:pPr>
        <w:ind w:left="720"/>
        <w:rPr>
          <w:rFonts w:eastAsia="Times New Roman" w:cstheme="minorHAnsi"/>
        </w:rPr>
      </w:pPr>
      <w:r w:rsidRPr="004A17A9">
        <w:rPr>
          <w:rFonts w:eastAsia="Times New Roman" w:cstheme="minorHAnsi"/>
        </w:rPr>
        <w:t>PGY2 Internal Medicine Residency Program Director</w:t>
      </w:r>
    </w:p>
    <w:p w14:paraId="5ED2F4D0" w14:textId="77777777" w:rsidR="00D21FC4" w:rsidRPr="004A17A9" w:rsidRDefault="00D21FC4" w:rsidP="00D21FC4">
      <w:pPr>
        <w:ind w:left="720"/>
        <w:rPr>
          <w:rFonts w:eastAsia="Times New Roman" w:cstheme="minorHAnsi"/>
        </w:rPr>
      </w:pPr>
      <w:proofErr w:type="spellStart"/>
      <w:r w:rsidRPr="004A17A9">
        <w:rPr>
          <w:rFonts w:eastAsia="Times New Roman" w:cstheme="minorHAnsi"/>
        </w:rPr>
        <w:t>UChicago</w:t>
      </w:r>
      <w:proofErr w:type="spellEnd"/>
      <w:r w:rsidRPr="004A17A9">
        <w:rPr>
          <w:rFonts w:eastAsia="Times New Roman" w:cstheme="minorHAnsi"/>
        </w:rPr>
        <w:t xml:space="preserve"> Medicine</w:t>
      </w:r>
    </w:p>
    <w:p w14:paraId="5E06A7C0" w14:textId="77777777" w:rsidR="00D21FC4" w:rsidRPr="004A17A9" w:rsidRDefault="00D21FC4" w:rsidP="00D21FC4">
      <w:pPr>
        <w:ind w:left="720"/>
        <w:rPr>
          <w:rFonts w:eastAsia="Times New Roman" w:cstheme="minorHAnsi"/>
          <w:color w:val="000000"/>
        </w:rPr>
      </w:pPr>
    </w:p>
    <w:p w14:paraId="405E68EF" w14:textId="77777777" w:rsidR="00D21FC4" w:rsidRPr="004A17A9" w:rsidRDefault="00D21FC4" w:rsidP="00D21FC4">
      <w:pPr>
        <w:ind w:left="720"/>
        <w:rPr>
          <w:rFonts w:cstheme="minorHAnsi"/>
          <w:shd w:val="clear" w:color="auto" w:fill="FAF9F8"/>
        </w:rPr>
      </w:pPr>
      <w:proofErr w:type="spellStart"/>
      <w:r w:rsidRPr="004A17A9">
        <w:rPr>
          <w:rFonts w:cstheme="minorHAnsi"/>
          <w:shd w:val="clear" w:color="auto" w:fill="FAF9F8"/>
        </w:rPr>
        <w:t>Jaekyu</w:t>
      </w:r>
      <w:proofErr w:type="spellEnd"/>
      <w:r w:rsidRPr="004A17A9">
        <w:rPr>
          <w:rFonts w:cstheme="minorHAnsi"/>
          <w:shd w:val="clear" w:color="auto" w:fill="FAF9F8"/>
        </w:rPr>
        <w:t xml:space="preserve"> Shin</w:t>
      </w:r>
    </w:p>
    <w:p w14:paraId="00EC8028" w14:textId="77777777" w:rsidR="00D21FC4" w:rsidRPr="004A17A9" w:rsidRDefault="00D21FC4" w:rsidP="00D21FC4">
      <w:pPr>
        <w:ind w:left="720"/>
        <w:rPr>
          <w:rFonts w:cstheme="minorHAnsi"/>
          <w:shd w:val="clear" w:color="auto" w:fill="FAF9F8"/>
        </w:rPr>
      </w:pPr>
      <w:r w:rsidRPr="004A17A9">
        <w:rPr>
          <w:rFonts w:cstheme="minorHAnsi"/>
          <w:shd w:val="clear" w:color="auto" w:fill="FAF9F8"/>
        </w:rPr>
        <w:t>Professor, Department of Clinical Pharmacy</w:t>
      </w:r>
    </w:p>
    <w:p w14:paraId="0BFD1E28" w14:textId="77777777" w:rsidR="00D21FC4" w:rsidRPr="004A17A9" w:rsidRDefault="00D21FC4" w:rsidP="00D21FC4">
      <w:pPr>
        <w:ind w:left="720"/>
        <w:rPr>
          <w:rFonts w:cstheme="minorHAnsi"/>
          <w:shd w:val="clear" w:color="auto" w:fill="FAF9F8"/>
        </w:rPr>
      </w:pPr>
      <w:r w:rsidRPr="004A17A9">
        <w:rPr>
          <w:rFonts w:cstheme="minorHAnsi"/>
          <w:shd w:val="clear" w:color="auto" w:fill="FAF9F8"/>
        </w:rPr>
        <w:t>UCSF School of Pharmacy</w:t>
      </w:r>
    </w:p>
    <w:p w14:paraId="087A8AAD" w14:textId="77777777" w:rsidR="00D21FC4" w:rsidRPr="004A17A9" w:rsidRDefault="00D21FC4" w:rsidP="00D21FC4">
      <w:pPr>
        <w:ind w:left="720"/>
        <w:rPr>
          <w:rFonts w:eastAsia="Times New Roman" w:cstheme="minorHAnsi"/>
          <w:color w:val="000000"/>
        </w:rPr>
      </w:pPr>
      <w:r w:rsidRPr="004A17A9">
        <w:rPr>
          <w:rFonts w:cstheme="minorHAnsi"/>
          <w:shd w:val="clear" w:color="auto" w:fill="FAF9F8"/>
        </w:rPr>
        <w:t>Jaekyu.Shin@ucsf.edu</w:t>
      </w:r>
    </w:p>
    <w:p w14:paraId="6026B8EB" w14:textId="77777777" w:rsidR="00D21FC4" w:rsidRPr="004A17A9" w:rsidRDefault="00D21FC4" w:rsidP="00D21FC4">
      <w:pPr>
        <w:rPr>
          <w:rFonts w:eastAsia="Times New Roman" w:cstheme="minorHAnsi"/>
        </w:rPr>
      </w:pPr>
    </w:p>
    <w:p w14:paraId="4890FC0E" w14:textId="77777777" w:rsidR="00D21FC4" w:rsidRPr="004A17A9" w:rsidRDefault="00D21FC4" w:rsidP="00D21FC4">
      <w:pPr>
        <w:rPr>
          <w:rFonts w:eastAsia="Times New Roman" w:cstheme="minorHAnsi"/>
          <w:color w:val="000000"/>
        </w:rPr>
      </w:pPr>
      <w:r w:rsidRPr="004A17A9">
        <w:rPr>
          <w:rFonts w:eastAsia="Times New Roman" w:cstheme="minorHAnsi"/>
          <w:b/>
          <w:bCs/>
          <w:color w:val="000000"/>
        </w:rPr>
        <w:t>Co-Investigators:</w:t>
      </w:r>
    </w:p>
    <w:p w14:paraId="7D227DCC" w14:textId="77777777" w:rsidR="00D21FC4" w:rsidRPr="004A17A9" w:rsidRDefault="00D21FC4" w:rsidP="00D21FC4">
      <w:pPr>
        <w:rPr>
          <w:rFonts w:eastAsia="Times New Roman" w:cstheme="minorHAnsi"/>
        </w:rPr>
      </w:pPr>
    </w:p>
    <w:p w14:paraId="2F40FDB6" w14:textId="77777777" w:rsidR="00D21FC4" w:rsidRPr="004A17A9" w:rsidRDefault="00D21FC4" w:rsidP="00D21FC4">
      <w:pPr>
        <w:ind w:left="720"/>
        <w:rPr>
          <w:rFonts w:eastAsia="Times New Roman" w:cstheme="minorHAnsi"/>
          <w:color w:val="000000"/>
        </w:rPr>
      </w:pPr>
      <w:r w:rsidRPr="004A17A9">
        <w:rPr>
          <w:rFonts w:eastAsia="Times New Roman" w:cstheme="minorHAnsi"/>
          <w:color w:val="000000"/>
        </w:rPr>
        <w:t>Resident Name Nancy Chukwumezie</w:t>
      </w:r>
    </w:p>
    <w:p w14:paraId="6B51F9AB" w14:textId="77777777" w:rsidR="00D21FC4" w:rsidRPr="004A17A9" w:rsidRDefault="00D21FC4" w:rsidP="00D21FC4">
      <w:pPr>
        <w:ind w:left="720"/>
        <w:rPr>
          <w:rFonts w:eastAsia="Times New Roman" w:cstheme="minorHAnsi"/>
          <w:color w:val="000000"/>
        </w:rPr>
      </w:pPr>
      <w:r w:rsidRPr="004A17A9">
        <w:rPr>
          <w:rFonts w:eastAsia="Times New Roman" w:cstheme="minorHAnsi"/>
          <w:color w:val="000000"/>
        </w:rPr>
        <w:t>Title: Pharmacy Resident</w:t>
      </w:r>
    </w:p>
    <w:p w14:paraId="42E40B0F" w14:textId="77777777" w:rsidR="00D21FC4" w:rsidRPr="004A17A9" w:rsidRDefault="00D21FC4" w:rsidP="00D21FC4">
      <w:pPr>
        <w:ind w:left="720"/>
        <w:rPr>
          <w:rFonts w:eastAsia="Times New Roman" w:cstheme="minorHAnsi"/>
          <w:color w:val="000000"/>
        </w:rPr>
      </w:pPr>
      <w:r w:rsidRPr="004A17A9">
        <w:rPr>
          <w:rFonts w:eastAsia="Times New Roman" w:cstheme="minorHAnsi"/>
          <w:color w:val="000000"/>
        </w:rPr>
        <w:t xml:space="preserve">Department: Pharmacy </w:t>
      </w:r>
    </w:p>
    <w:p w14:paraId="418914B1" w14:textId="77777777" w:rsidR="00D21FC4" w:rsidRPr="004A17A9" w:rsidRDefault="00D21FC4" w:rsidP="00D21FC4">
      <w:pPr>
        <w:ind w:left="720"/>
        <w:rPr>
          <w:rFonts w:eastAsia="Times New Roman" w:cstheme="minorHAnsi"/>
          <w:color w:val="000000"/>
        </w:rPr>
      </w:pPr>
      <w:r w:rsidRPr="004A17A9">
        <w:rPr>
          <w:rFonts w:eastAsia="Times New Roman" w:cstheme="minorHAnsi"/>
          <w:color w:val="000000"/>
        </w:rPr>
        <w:t>Email: Nancy.chukwumezie@ucsf.edu</w:t>
      </w:r>
    </w:p>
    <w:p w14:paraId="42EBA6C3" w14:textId="0E375B52" w:rsidR="00D21FC4" w:rsidRPr="004A17A9" w:rsidRDefault="00D21FC4" w:rsidP="00D21FC4">
      <w:pPr>
        <w:ind w:left="720"/>
        <w:rPr>
          <w:rFonts w:eastAsia="Times New Roman" w:cstheme="minorHAnsi"/>
          <w:color w:val="000000"/>
        </w:rPr>
      </w:pPr>
      <w:r w:rsidRPr="004A17A9">
        <w:rPr>
          <w:rFonts w:eastAsia="Times New Roman" w:cstheme="minorHAnsi"/>
          <w:color w:val="000000"/>
        </w:rPr>
        <w:t>Phone: 562-841-0051</w:t>
      </w:r>
    </w:p>
    <w:p w14:paraId="7CB71733" w14:textId="77777777" w:rsidR="00131E38" w:rsidRPr="004A17A9" w:rsidRDefault="00131E38" w:rsidP="00D21FC4">
      <w:pPr>
        <w:ind w:left="720"/>
        <w:rPr>
          <w:rFonts w:eastAsia="Times New Roman" w:cstheme="minorHAnsi"/>
          <w:color w:val="000000"/>
        </w:rPr>
      </w:pPr>
    </w:p>
    <w:p w14:paraId="388960BE" w14:textId="29AAAB5E" w:rsidR="006A7009" w:rsidRPr="004A17A9" w:rsidRDefault="00D21FC4">
      <w:pPr>
        <w:rPr>
          <w:rFonts w:cstheme="minorHAnsi"/>
          <w:b/>
          <w:bCs/>
        </w:rPr>
      </w:pPr>
      <w:r w:rsidRPr="004A17A9">
        <w:rPr>
          <w:rFonts w:cstheme="minorHAnsi"/>
          <w:b/>
          <w:bCs/>
        </w:rPr>
        <w:t xml:space="preserve">Abstract: </w:t>
      </w:r>
    </w:p>
    <w:p w14:paraId="3AC40A7C" w14:textId="036E6627" w:rsidR="00D21FC4" w:rsidRPr="004A17A9" w:rsidRDefault="00D21FC4" w:rsidP="00D21FC4">
      <w:pPr>
        <w:pStyle w:val="BlockText"/>
        <w:spacing w:before="0" w:after="0"/>
        <w:ind w:left="360" w:right="0" w:firstLine="360"/>
        <w:rPr>
          <w:rFonts w:asciiTheme="minorHAnsi" w:hAnsiTheme="minorHAnsi" w:cstheme="minorHAnsi"/>
          <w:i w:val="0"/>
          <w:szCs w:val="24"/>
        </w:rPr>
      </w:pPr>
      <w:r w:rsidRPr="004A17A9">
        <w:rPr>
          <w:rFonts w:asciiTheme="minorHAnsi" w:hAnsiTheme="minorHAnsi" w:cstheme="minorHAnsi"/>
          <w:i w:val="0"/>
          <w:szCs w:val="24"/>
        </w:rPr>
        <w:t>The prevalence of adults with a high body mass index (BMI) has been increasing over the past 20 years.</w:t>
      </w:r>
      <w:r w:rsidRPr="004A17A9">
        <w:rPr>
          <w:rFonts w:asciiTheme="minorHAnsi" w:hAnsiTheme="minorHAnsi" w:cstheme="minorHAnsi"/>
          <w:i w:val="0"/>
          <w:szCs w:val="24"/>
          <w:vertAlign w:val="superscript"/>
        </w:rPr>
        <w:t>1</w:t>
      </w:r>
      <w:r w:rsidRPr="004A17A9">
        <w:rPr>
          <w:rFonts w:asciiTheme="minorHAnsi" w:hAnsiTheme="minorHAnsi" w:cstheme="minorHAnsi"/>
          <w:i w:val="0"/>
          <w:szCs w:val="24"/>
        </w:rPr>
        <w:t xml:space="preserve"> Obesity is a risk factor for several indications for anticoagulation, such as venous thromboembolism (VTE) and atrial fibrillation, so it is imperative that our treatments for these disease states are effective in this patient population.</w:t>
      </w:r>
      <w:r w:rsidRPr="004A17A9">
        <w:rPr>
          <w:rFonts w:asciiTheme="minorHAnsi" w:hAnsiTheme="minorHAnsi" w:cstheme="minorHAnsi"/>
          <w:i w:val="0"/>
          <w:szCs w:val="24"/>
          <w:vertAlign w:val="superscript"/>
        </w:rPr>
        <w:t>2,3</w:t>
      </w:r>
      <w:r w:rsidRPr="004A17A9">
        <w:rPr>
          <w:rFonts w:asciiTheme="minorHAnsi" w:hAnsiTheme="minorHAnsi" w:cstheme="minorHAnsi"/>
          <w:i w:val="0"/>
          <w:szCs w:val="24"/>
        </w:rPr>
        <w:t xml:space="preserve"> Since the direct-acting oral anticoagulants (DOACs) were approved, they have become the preferred anticoagulants for the treatment of VTE due to their ease of administration and lack of frequent laboratory monitoring.</w:t>
      </w:r>
      <w:r w:rsidRPr="004A17A9">
        <w:rPr>
          <w:rFonts w:asciiTheme="minorHAnsi" w:hAnsiTheme="minorHAnsi" w:cstheme="minorHAnsi"/>
          <w:i w:val="0"/>
          <w:szCs w:val="24"/>
          <w:vertAlign w:val="superscript"/>
        </w:rPr>
        <w:t>4,5</w:t>
      </w:r>
      <w:r w:rsidRPr="004A17A9">
        <w:rPr>
          <w:rFonts w:asciiTheme="minorHAnsi" w:hAnsiTheme="minorHAnsi" w:cstheme="minorHAnsi"/>
          <w:i w:val="0"/>
          <w:szCs w:val="24"/>
        </w:rPr>
        <w:t xml:space="preserve"> However, these agents were approved based on data that did not include many patients over 120 kg or a BMI of greater than 40 kg/m</w:t>
      </w:r>
      <w:r w:rsidRPr="004A17A9">
        <w:rPr>
          <w:rFonts w:asciiTheme="minorHAnsi" w:hAnsiTheme="minorHAnsi" w:cstheme="minorHAnsi"/>
          <w:i w:val="0"/>
          <w:szCs w:val="24"/>
          <w:vertAlign w:val="superscript"/>
        </w:rPr>
        <w:t>2</w:t>
      </w:r>
      <w:r w:rsidRPr="004A17A9">
        <w:rPr>
          <w:rFonts w:asciiTheme="minorHAnsi" w:hAnsiTheme="minorHAnsi" w:cstheme="minorHAnsi"/>
          <w:i w:val="0"/>
          <w:szCs w:val="24"/>
        </w:rPr>
        <w:t>.</w:t>
      </w:r>
      <w:r w:rsidRPr="004A17A9">
        <w:rPr>
          <w:rFonts w:asciiTheme="minorHAnsi" w:hAnsiTheme="minorHAnsi" w:cstheme="minorHAnsi"/>
          <w:i w:val="0"/>
          <w:szCs w:val="24"/>
          <w:vertAlign w:val="superscript"/>
        </w:rPr>
        <w:t>6</w:t>
      </w:r>
      <w:r w:rsidRPr="004A17A9">
        <w:rPr>
          <w:rFonts w:asciiTheme="minorHAnsi" w:hAnsiTheme="minorHAnsi" w:cstheme="minorHAnsi"/>
          <w:i w:val="0"/>
          <w:szCs w:val="24"/>
        </w:rPr>
        <w:t xml:space="preserve"> There are significant pharmacokinetic implications observed in patients with high BMIs, including an alteration in their volume of distribution and less accurate estimates of excretion.</w:t>
      </w:r>
      <w:r w:rsidRPr="004A17A9">
        <w:rPr>
          <w:rFonts w:asciiTheme="minorHAnsi" w:hAnsiTheme="minorHAnsi" w:cstheme="minorHAnsi"/>
          <w:i w:val="0"/>
          <w:szCs w:val="24"/>
          <w:vertAlign w:val="superscript"/>
        </w:rPr>
        <w:t>7</w:t>
      </w:r>
      <w:r w:rsidRPr="004A17A9">
        <w:rPr>
          <w:rFonts w:asciiTheme="minorHAnsi" w:hAnsiTheme="minorHAnsi" w:cstheme="minorHAnsi"/>
          <w:i w:val="0"/>
          <w:szCs w:val="24"/>
        </w:rPr>
        <w:t xml:space="preserve"> The increasing use of DOACs, particularly apixaban and rivaroxaban, has led to an interest in confirming the safety and efficacy of these agents for this patient population.</w:t>
      </w:r>
      <w:r w:rsidRPr="004A17A9">
        <w:rPr>
          <w:rFonts w:asciiTheme="minorHAnsi" w:hAnsiTheme="minorHAnsi" w:cstheme="minorHAnsi"/>
          <w:i w:val="0"/>
          <w:szCs w:val="24"/>
        </w:rPr>
        <w:br/>
      </w:r>
    </w:p>
    <w:p w14:paraId="0F51A6F6" w14:textId="05F0D6D5" w:rsidR="00D21FC4" w:rsidRPr="004A17A9" w:rsidRDefault="00D21FC4" w:rsidP="00D21FC4">
      <w:pPr>
        <w:pStyle w:val="BlockText"/>
        <w:spacing w:before="0" w:after="0"/>
        <w:ind w:left="0" w:right="0" w:firstLine="360"/>
        <w:rPr>
          <w:rFonts w:asciiTheme="minorHAnsi" w:hAnsiTheme="minorHAnsi" w:cstheme="minorHAnsi"/>
          <w:b/>
          <w:bCs/>
          <w:i w:val="0"/>
          <w:szCs w:val="24"/>
        </w:rPr>
      </w:pPr>
      <w:r w:rsidRPr="004A17A9">
        <w:rPr>
          <w:rFonts w:asciiTheme="minorHAnsi" w:hAnsiTheme="minorHAnsi" w:cstheme="minorHAnsi"/>
          <w:b/>
          <w:bCs/>
          <w:i w:val="0"/>
          <w:szCs w:val="24"/>
        </w:rPr>
        <w:t xml:space="preserve">Specific Aims: </w:t>
      </w:r>
    </w:p>
    <w:p w14:paraId="31A8E2D8" w14:textId="77D9D9F1" w:rsidR="00D21FC4" w:rsidRPr="004A17A9" w:rsidRDefault="00D21FC4" w:rsidP="00D21FC4">
      <w:pPr>
        <w:pStyle w:val="BlockText"/>
        <w:spacing w:before="0" w:after="0"/>
        <w:ind w:left="360" w:right="0" w:firstLine="360"/>
        <w:rPr>
          <w:rFonts w:asciiTheme="minorHAnsi" w:hAnsiTheme="minorHAnsi" w:cstheme="minorHAnsi"/>
          <w:b/>
          <w:bCs/>
          <w:i w:val="0"/>
          <w:szCs w:val="24"/>
        </w:rPr>
      </w:pPr>
      <w:r w:rsidRPr="004A17A9">
        <w:rPr>
          <w:rFonts w:asciiTheme="minorHAnsi" w:hAnsiTheme="minorHAnsi" w:cstheme="minorHAnsi"/>
          <w:i w:val="0"/>
          <w:szCs w:val="24"/>
        </w:rPr>
        <w:t xml:space="preserve">Many of the studies that aim to clarify this clinical question are greatly underpowered to do so. The largest studies that have been completed are based on ICD codes and pharmacy claims.8 This study design is optimal for large patient </w:t>
      </w:r>
      <w:proofErr w:type="gramStart"/>
      <w:r w:rsidRPr="004A17A9">
        <w:rPr>
          <w:rFonts w:asciiTheme="minorHAnsi" w:hAnsiTheme="minorHAnsi" w:cstheme="minorHAnsi"/>
          <w:i w:val="0"/>
          <w:szCs w:val="24"/>
        </w:rPr>
        <w:t>enrollment</w:t>
      </w:r>
      <w:proofErr w:type="gramEnd"/>
      <w:r w:rsidRPr="004A17A9">
        <w:rPr>
          <w:rFonts w:asciiTheme="minorHAnsi" w:hAnsiTheme="minorHAnsi" w:cstheme="minorHAnsi"/>
          <w:i w:val="0"/>
          <w:szCs w:val="24"/>
        </w:rPr>
        <w:t xml:space="preserve"> but it has limited access to clinical data to ensure the medications are being appropriately utilized. Also, there is a low incidence of overall VTE events in these studies, the lowest only being 0.8%.8 This indicated that a larger sample size is needed to detect a difference between groups and minimize risk for type II error. A multicenter analysis may help obtain the number of patients needed to glean whether these agents are both safe and effective in this patient population.</w:t>
      </w:r>
      <w:r w:rsidRPr="004A17A9">
        <w:rPr>
          <w:rFonts w:asciiTheme="minorHAnsi" w:hAnsiTheme="minorHAnsi" w:cstheme="minorHAnsi"/>
          <w:i w:val="0"/>
          <w:szCs w:val="24"/>
        </w:rPr>
        <w:br/>
      </w:r>
      <w:r w:rsidRPr="004A17A9">
        <w:rPr>
          <w:rFonts w:asciiTheme="minorHAnsi" w:hAnsiTheme="minorHAnsi" w:cstheme="minorHAnsi"/>
          <w:i w:val="0"/>
          <w:szCs w:val="24"/>
        </w:rPr>
        <w:lastRenderedPageBreak/>
        <w:br/>
      </w:r>
      <w:r w:rsidRPr="004A17A9">
        <w:rPr>
          <w:rFonts w:asciiTheme="minorHAnsi" w:hAnsiTheme="minorHAnsi" w:cstheme="minorHAnsi"/>
          <w:b/>
          <w:bCs/>
          <w:i w:val="0"/>
          <w:szCs w:val="24"/>
        </w:rPr>
        <w:t>Significance:</w:t>
      </w:r>
    </w:p>
    <w:p w14:paraId="76B15552" w14:textId="22C98B57" w:rsidR="00D21FC4" w:rsidRPr="004A17A9" w:rsidRDefault="00D21FC4" w:rsidP="004A17A9">
      <w:pPr>
        <w:pStyle w:val="BlockText"/>
        <w:spacing w:before="0" w:after="0"/>
        <w:ind w:left="0" w:right="0" w:firstLine="360"/>
        <w:rPr>
          <w:rFonts w:asciiTheme="minorHAnsi" w:hAnsiTheme="minorHAnsi" w:cstheme="minorHAnsi"/>
          <w:b/>
          <w:bCs/>
          <w:i w:val="0"/>
          <w:szCs w:val="24"/>
        </w:rPr>
      </w:pPr>
      <w:r w:rsidRPr="004A17A9">
        <w:rPr>
          <w:rFonts w:asciiTheme="minorHAnsi" w:hAnsiTheme="minorHAnsi" w:cstheme="minorHAnsi"/>
          <w:i w:val="0"/>
          <w:szCs w:val="24"/>
        </w:rPr>
        <w:t>Currently published literature does not sufficiently guide the use of DOACs, particularly apixaban or rivaroxaban, in patients who have a BMI of greater than 40 kg/m2. This is largely due to current literature being underpowered. A multicenter analysis will assist in obtaining a larger sample size to potentially detect a difference, if any, between groups.</w:t>
      </w:r>
      <w:r w:rsidRPr="004A17A9">
        <w:rPr>
          <w:rFonts w:asciiTheme="minorHAnsi" w:hAnsiTheme="minorHAnsi" w:cstheme="minorHAnsi"/>
          <w:i w:val="0"/>
          <w:szCs w:val="24"/>
        </w:rPr>
        <w:br/>
      </w:r>
    </w:p>
    <w:p w14:paraId="137CEE06" w14:textId="4A4D51DC" w:rsidR="00D21FC4" w:rsidRPr="004A17A9" w:rsidRDefault="00D21FC4">
      <w:pPr>
        <w:rPr>
          <w:rFonts w:cstheme="minorHAnsi"/>
          <w:b/>
          <w:bCs/>
        </w:rPr>
      </w:pPr>
      <w:r w:rsidRPr="004A17A9">
        <w:rPr>
          <w:rFonts w:cstheme="minorHAnsi"/>
          <w:b/>
          <w:bCs/>
        </w:rPr>
        <w:t>Methods:</w:t>
      </w:r>
    </w:p>
    <w:p w14:paraId="7D034B95" w14:textId="77777777" w:rsidR="00D21FC4" w:rsidRPr="004A17A9" w:rsidRDefault="00D21FC4" w:rsidP="00D21FC4">
      <w:pPr>
        <w:rPr>
          <w:rFonts w:cstheme="minorHAnsi"/>
          <w:b/>
          <w:bCs/>
        </w:rPr>
      </w:pPr>
    </w:p>
    <w:p w14:paraId="4A33A7A8" w14:textId="1C6F830D" w:rsidR="00D21FC4" w:rsidRPr="004A17A9" w:rsidRDefault="00D21FC4" w:rsidP="00D21FC4">
      <w:pPr>
        <w:rPr>
          <w:rFonts w:cstheme="minorHAnsi"/>
        </w:rPr>
      </w:pPr>
      <w:r w:rsidRPr="004A17A9">
        <w:rPr>
          <w:rFonts w:cstheme="minorHAnsi"/>
        </w:rPr>
        <w:t>This retrospective, multicenter, observational study will evaluate the safety and efficacy of DOACS when utilized for the treatment of an acute VTE.  Patients will be stratified in groups according to BMI. Additionally, anti-</w:t>
      </w:r>
      <w:proofErr w:type="spellStart"/>
      <w:r w:rsidRPr="004A17A9">
        <w:rPr>
          <w:rFonts w:cstheme="minorHAnsi"/>
        </w:rPr>
        <w:t>xa</w:t>
      </w:r>
      <w:proofErr w:type="spellEnd"/>
      <w:r w:rsidRPr="004A17A9">
        <w:rPr>
          <w:rFonts w:cstheme="minorHAnsi"/>
        </w:rPr>
        <w:t xml:space="preserve"> levels, if obtained, will be described. The investigators at each site will retrospectively review the medical records of patients to obtain this data under affiliated IRBs. We will combine this de-identified data in a secure </w:t>
      </w:r>
      <w:proofErr w:type="spellStart"/>
      <w:r w:rsidRPr="004A17A9">
        <w:rPr>
          <w:rFonts w:cstheme="minorHAnsi"/>
        </w:rPr>
        <w:t>REDCap</w:t>
      </w:r>
      <w:proofErr w:type="spellEnd"/>
      <w:r w:rsidRPr="004A17A9">
        <w:rPr>
          <w:rFonts w:cstheme="minorHAnsi"/>
        </w:rPr>
        <w:t xml:space="preserve"> Cloud database owned by Vizient.</w:t>
      </w:r>
    </w:p>
    <w:p w14:paraId="3AB3B7CA" w14:textId="77777777" w:rsidR="00D21FC4" w:rsidRPr="004A17A9" w:rsidRDefault="00D21FC4" w:rsidP="00D21FC4">
      <w:pPr>
        <w:rPr>
          <w:rFonts w:cstheme="minorHAnsi"/>
        </w:rPr>
      </w:pPr>
    </w:p>
    <w:p w14:paraId="1B9E9F78" w14:textId="1D582C46" w:rsidR="00D21FC4" w:rsidRPr="004A17A9" w:rsidRDefault="00D21FC4" w:rsidP="00D21FC4">
      <w:pPr>
        <w:rPr>
          <w:rFonts w:cstheme="minorHAnsi"/>
          <w:color w:val="008000"/>
        </w:rPr>
      </w:pPr>
      <w:r w:rsidRPr="004A17A9">
        <w:rPr>
          <w:rFonts w:cstheme="minorHAnsi"/>
          <w:b/>
        </w:rPr>
        <w:t xml:space="preserve"> </w:t>
      </w:r>
      <w:bookmarkStart w:id="0" w:name="Type_of_Study"/>
      <w:r w:rsidRPr="004A17A9">
        <w:rPr>
          <w:rFonts w:cstheme="minorHAnsi"/>
          <w:b/>
        </w:rPr>
        <w:t xml:space="preserve">Type of Study </w:t>
      </w:r>
      <w:bookmarkEnd w:id="0"/>
    </w:p>
    <w:p w14:paraId="2F588554" w14:textId="1635FD40" w:rsidR="00D21FC4" w:rsidRPr="004A17A9" w:rsidRDefault="00D21FC4" w:rsidP="00D21FC4">
      <w:pPr>
        <w:ind w:left="720"/>
        <w:rPr>
          <w:rFonts w:cstheme="minorHAnsi"/>
        </w:rPr>
      </w:pPr>
      <w:r w:rsidRPr="004A17A9">
        <w:rPr>
          <w:rFonts w:cstheme="minorHAnsi"/>
        </w:rPr>
        <w:t>Retrospective, multicenter, observational study. Sites will be recruited through the Vizient community and Research Committee members.</w:t>
      </w:r>
      <w:r w:rsidRPr="004A17A9">
        <w:rPr>
          <w:rFonts w:cstheme="minorHAnsi"/>
        </w:rPr>
        <w:br/>
      </w:r>
    </w:p>
    <w:p w14:paraId="71FFACF9" w14:textId="11BCB6D9" w:rsidR="00D21FC4" w:rsidRPr="004A17A9" w:rsidRDefault="00D21FC4" w:rsidP="00D21FC4">
      <w:pPr>
        <w:rPr>
          <w:rFonts w:cstheme="minorHAnsi"/>
          <w:b/>
          <w:bCs/>
        </w:rPr>
      </w:pPr>
      <w:r w:rsidRPr="004A17A9">
        <w:rPr>
          <w:rFonts w:cstheme="minorHAnsi"/>
          <w:b/>
          <w:bCs/>
        </w:rPr>
        <w:t xml:space="preserve">Time Frame: </w:t>
      </w:r>
    </w:p>
    <w:p w14:paraId="0FBF5D81" w14:textId="30413C6B" w:rsidR="00D21FC4" w:rsidRPr="004A17A9" w:rsidRDefault="00D21FC4" w:rsidP="00D21FC4">
      <w:pPr>
        <w:ind w:left="720"/>
        <w:rPr>
          <w:rFonts w:cstheme="minorHAnsi"/>
          <w:color w:val="0070C0"/>
        </w:rPr>
      </w:pPr>
      <w:r w:rsidRPr="004A17A9">
        <w:rPr>
          <w:rFonts w:cstheme="minorHAnsi"/>
        </w:rPr>
        <w:t>January 1st</w:t>
      </w:r>
      <w:proofErr w:type="gramStart"/>
      <w:r w:rsidRPr="004A17A9">
        <w:rPr>
          <w:rFonts w:cstheme="minorHAnsi"/>
        </w:rPr>
        <w:t xml:space="preserve"> 2013</w:t>
      </w:r>
      <w:proofErr w:type="gramEnd"/>
      <w:r w:rsidRPr="004A17A9">
        <w:rPr>
          <w:rFonts w:cstheme="minorHAnsi"/>
        </w:rPr>
        <w:t xml:space="preserve"> to July 31st, 2020  </w:t>
      </w:r>
      <w:r w:rsidRPr="004A17A9">
        <w:rPr>
          <w:rFonts w:cstheme="minorHAnsi"/>
          <w:color w:val="0070C0"/>
        </w:rPr>
        <w:br/>
      </w:r>
    </w:p>
    <w:p w14:paraId="789BB4E7" w14:textId="77777777" w:rsidR="00D21FC4" w:rsidRPr="004A17A9" w:rsidRDefault="00D21FC4" w:rsidP="00D21FC4">
      <w:pPr>
        <w:rPr>
          <w:rFonts w:cstheme="minorHAnsi"/>
          <w:b/>
        </w:rPr>
      </w:pPr>
      <w:bookmarkStart w:id="1" w:name="Study_Population"/>
      <w:r w:rsidRPr="004A17A9">
        <w:rPr>
          <w:rFonts w:cstheme="minorHAnsi"/>
          <w:b/>
        </w:rPr>
        <w:t>Study Population</w:t>
      </w:r>
      <w:bookmarkEnd w:id="1"/>
    </w:p>
    <w:p w14:paraId="08780A37" w14:textId="77777777" w:rsidR="00D21FC4" w:rsidRPr="004A17A9" w:rsidRDefault="00D21FC4" w:rsidP="00D21FC4">
      <w:pPr>
        <w:pStyle w:val="ListParagraph"/>
        <w:rPr>
          <w:rFonts w:asciiTheme="minorHAnsi" w:hAnsiTheme="minorHAnsi" w:cstheme="minorHAnsi"/>
        </w:rPr>
      </w:pPr>
      <w:r w:rsidRPr="004A17A9">
        <w:rPr>
          <w:rFonts w:asciiTheme="minorHAnsi" w:hAnsiTheme="minorHAnsi" w:cstheme="minorHAnsi"/>
        </w:rPr>
        <w:t xml:space="preserve">The study will include patients admitted with medical record information already collected at one of the study sites. All included patients will have received a DOAC for the treatment of an acute VTE. </w:t>
      </w:r>
    </w:p>
    <w:p w14:paraId="002CA30C" w14:textId="77777777" w:rsidR="00D21FC4" w:rsidRPr="004A17A9" w:rsidRDefault="00D21FC4" w:rsidP="00D21FC4">
      <w:pPr>
        <w:pStyle w:val="ListParagraph"/>
        <w:rPr>
          <w:rFonts w:asciiTheme="minorHAnsi" w:hAnsiTheme="minorHAnsi" w:cstheme="minorHAnsi"/>
        </w:rPr>
      </w:pPr>
    </w:p>
    <w:p w14:paraId="4B77A647" w14:textId="77777777" w:rsidR="00D21FC4" w:rsidRPr="004A17A9" w:rsidRDefault="00D21FC4" w:rsidP="00D21FC4">
      <w:pPr>
        <w:pStyle w:val="ListParagraph"/>
        <w:rPr>
          <w:rFonts w:asciiTheme="minorHAnsi" w:hAnsiTheme="minorHAnsi" w:cstheme="minorHAnsi"/>
        </w:rPr>
      </w:pPr>
      <w:r w:rsidRPr="004A17A9">
        <w:rPr>
          <w:rFonts w:asciiTheme="minorHAnsi" w:hAnsiTheme="minorHAnsi" w:cstheme="minorHAnsi"/>
        </w:rPr>
        <w:t xml:space="preserve">Patients will be identified by each study site. De-identified data will be combined in a collective secure </w:t>
      </w:r>
      <w:proofErr w:type="spellStart"/>
      <w:r w:rsidRPr="004A17A9">
        <w:rPr>
          <w:rFonts w:asciiTheme="minorHAnsi" w:hAnsiTheme="minorHAnsi" w:cstheme="minorHAnsi"/>
        </w:rPr>
        <w:t>REDCap</w:t>
      </w:r>
      <w:proofErr w:type="spellEnd"/>
      <w:r w:rsidRPr="004A17A9">
        <w:rPr>
          <w:rFonts w:asciiTheme="minorHAnsi" w:hAnsiTheme="minorHAnsi" w:cstheme="minorHAnsi"/>
        </w:rPr>
        <w:t xml:space="preserve"> database to have a larger patient population to analyze. </w:t>
      </w:r>
    </w:p>
    <w:p w14:paraId="4832BDFF" w14:textId="77777777" w:rsidR="00D21FC4" w:rsidRPr="004A17A9" w:rsidRDefault="00D21FC4" w:rsidP="00D21FC4">
      <w:pPr>
        <w:pStyle w:val="CROMSInstructionalTextBullets"/>
        <w:numPr>
          <w:ilvl w:val="0"/>
          <w:numId w:val="0"/>
        </w:numPr>
        <w:spacing w:before="0" w:after="0"/>
        <w:ind w:left="720"/>
        <w:rPr>
          <w:rFonts w:asciiTheme="minorHAnsi" w:hAnsiTheme="minorHAnsi" w:cstheme="minorHAnsi"/>
          <w:i w:val="0"/>
          <w:iCs w:val="0"/>
          <w:color w:val="0070C0"/>
          <w:szCs w:val="24"/>
        </w:rPr>
      </w:pPr>
    </w:p>
    <w:p w14:paraId="5DAFBD72" w14:textId="6B4F9278" w:rsidR="00D21FC4" w:rsidRPr="004A17A9" w:rsidRDefault="00D21FC4" w:rsidP="00D21FC4">
      <w:pPr>
        <w:rPr>
          <w:rFonts w:cstheme="minorHAnsi"/>
          <w:b/>
        </w:rPr>
      </w:pPr>
      <w:bookmarkStart w:id="2" w:name="Duration_Study"/>
      <w:r w:rsidRPr="004A17A9">
        <w:rPr>
          <w:rFonts w:cstheme="minorHAnsi"/>
          <w:b/>
        </w:rPr>
        <w:t xml:space="preserve">Duration of Study </w:t>
      </w:r>
      <w:bookmarkEnd w:id="2"/>
    </w:p>
    <w:p w14:paraId="3A03A823" w14:textId="77777777" w:rsidR="00D21FC4" w:rsidRPr="004A17A9" w:rsidRDefault="00D21FC4" w:rsidP="00D21FC4">
      <w:pPr>
        <w:ind w:left="720"/>
        <w:rPr>
          <w:rFonts w:cstheme="minorHAnsi"/>
        </w:rPr>
      </w:pPr>
      <w:r w:rsidRPr="004A17A9">
        <w:rPr>
          <w:rFonts w:cstheme="minorHAnsi"/>
        </w:rPr>
        <w:t xml:space="preserve">No further data collection or chart review is necessary. Formation of a secure </w:t>
      </w:r>
      <w:proofErr w:type="spellStart"/>
      <w:r w:rsidRPr="004A17A9">
        <w:rPr>
          <w:rFonts w:cstheme="minorHAnsi"/>
        </w:rPr>
        <w:t>REDCap</w:t>
      </w:r>
      <w:proofErr w:type="spellEnd"/>
      <w:r w:rsidRPr="004A17A9">
        <w:rPr>
          <w:rFonts w:cstheme="minorHAnsi"/>
        </w:rPr>
        <w:t xml:space="preserve"> database through Vizient will begin immediately Institution Review Board approval. Data analysis is planned for July 2021.</w:t>
      </w:r>
    </w:p>
    <w:p w14:paraId="60C96FA1" w14:textId="77777777" w:rsidR="003679C3" w:rsidRPr="004A17A9" w:rsidRDefault="003679C3" w:rsidP="003679C3">
      <w:pPr>
        <w:ind w:firstLine="360"/>
        <w:rPr>
          <w:rFonts w:cstheme="minorHAnsi"/>
        </w:rPr>
      </w:pPr>
    </w:p>
    <w:p w14:paraId="2ACC5E7D" w14:textId="1C476FDA" w:rsidR="003679C3" w:rsidRPr="004A17A9" w:rsidRDefault="003679C3" w:rsidP="003679C3">
      <w:pPr>
        <w:rPr>
          <w:rFonts w:cstheme="minorHAnsi"/>
          <w:b/>
        </w:rPr>
      </w:pPr>
      <w:bookmarkStart w:id="3" w:name="Number_Subjects"/>
      <w:r w:rsidRPr="004A17A9">
        <w:rPr>
          <w:rFonts w:cstheme="minorHAnsi"/>
          <w:b/>
        </w:rPr>
        <w:t>Number of Subjects</w:t>
      </w:r>
      <w:bookmarkEnd w:id="3"/>
    </w:p>
    <w:p w14:paraId="3CC91232" w14:textId="77777777" w:rsidR="00131E38" w:rsidRPr="004A17A9" w:rsidRDefault="003679C3" w:rsidP="00131E38">
      <w:pPr>
        <w:pStyle w:val="ListParagraph"/>
        <w:numPr>
          <w:ilvl w:val="0"/>
          <w:numId w:val="6"/>
        </w:numPr>
        <w:rPr>
          <w:rFonts w:asciiTheme="minorHAnsi" w:hAnsiTheme="minorHAnsi" w:cstheme="minorHAnsi"/>
        </w:rPr>
      </w:pPr>
      <w:r w:rsidRPr="004A17A9">
        <w:rPr>
          <w:rFonts w:asciiTheme="minorHAnsi" w:hAnsiTheme="minorHAnsi" w:cstheme="minorHAnsi"/>
        </w:rPr>
        <w:t>All patients that meet inclusion criteria will be analyzed for the study. An estimate of the number of patients depends upon other institution’s willingness to collate their data for these purposes.</w:t>
      </w:r>
      <w:r w:rsidRPr="004A17A9">
        <w:rPr>
          <w:rFonts w:asciiTheme="minorHAnsi" w:hAnsiTheme="minorHAnsi" w:cstheme="minorHAnsi"/>
        </w:rPr>
        <w:t xml:space="preserve">  </w:t>
      </w:r>
      <w:r w:rsidRPr="004A17A9">
        <w:rPr>
          <w:rFonts w:asciiTheme="minorHAnsi" w:hAnsiTheme="minorHAnsi" w:cstheme="minorHAnsi"/>
        </w:rPr>
        <w:t xml:space="preserve">The study will include patients from all races, ethnicities, ages greater than 18 years, and genders reflecting the patient population treated at multiple institutions. No special considerations for gender, race, or ethnicity will be </w:t>
      </w:r>
      <w:r w:rsidRPr="004A17A9">
        <w:rPr>
          <w:rFonts w:asciiTheme="minorHAnsi" w:hAnsiTheme="minorHAnsi" w:cstheme="minorHAnsi"/>
        </w:rPr>
        <w:lastRenderedPageBreak/>
        <w:t>given.</w:t>
      </w:r>
      <w:r w:rsidR="00131E38" w:rsidRPr="004A17A9">
        <w:rPr>
          <w:rFonts w:asciiTheme="minorHAnsi" w:hAnsiTheme="minorHAnsi" w:cstheme="minorHAnsi"/>
        </w:rPr>
        <w:t xml:space="preserve"> </w:t>
      </w:r>
      <w:r w:rsidR="00131E38" w:rsidRPr="004A17A9">
        <w:rPr>
          <w:rFonts w:asciiTheme="minorHAnsi" w:hAnsiTheme="minorHAnsi" w:cstheme="minorHAnsi"/>
        </w:rPr>
        <w:t>Patients will be identified based on institution specific methodology for inclusion.</w:t>
      </w:r>
    </w:p>
    <w:p w14:paraId="4511B9E6" w14:textId="25E77D92" w:rsidR="00131E38" w:rsidRPr="004A17A9" w:rsidRDefault="00131E38" w:rsidP="00131E38">
      <w:pPr>
        <w:pStyle w:val="ListParagraph"/>
        <w:numPr>
          <w:ilvl w:val="0"/>
          <w:numId w:val="6"/>
        </w:numPr>
        <w:rPr>
          <w:rFonts w:asciiTheme="minorHAnsi" w:hAnsiTheme="minorHAnsi" w:cstheme="minorHAnsi"/>
        </w:rPr>
      </w:pPr>
      <w:r w:rsidRPr="004A17A9">
        <w:rPr>
          <w:rFonts w:asciiTheme="minorHAnsi" w:hAnsiTheme="minorHAnsi" w:cstheme="minorHAnsi"/>
        </w:rPr>
        <w:t>Data collection will be completed through a thorough chart review of enrolled patients to record the required data points including:</w:t>
      </w:r>
    </w:p>
    <w:p w14:paraId="541581F9"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Patient baseline demographic data (age, sex, weight, etc.)</w:t>
      </w:r>
    </w:p>
    <w:p w14:paraId="582809FE"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Pertinent past medical history</w:t>
      </w:r>
    </w:p>
    <w:p w14:paraId="13143BA1"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Anticoagulation use</w:t>
      </w:r>
    </w:p>
    <w:p w14:paraId="0A40479D"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Dosing of the DOAC</w:t>
      </w:r>
    </w:p>
    <w:p w14:paraId="5F080762"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Renal function (</w:t>
      </w:r>
      <w:proofErr w:type="spellStart"/>
      <w:r w:rsidRPr="004A17A9">
        <w:rPr>
          <w:rFonts w:asciiTheme="minorHAnsi" w:hAnsiTheme="minorHAnsi" w:cstheme="minorHAnsi"/>
        </w:rPr>
        <w:t>SCr</w:t>
      </w:r>
      <w:proofErr w:type="spellEnd"/>
      <w:r w:rsidRPr="004A17A9">
        <w:rPr>
          <w:rFonts w:asciiTheme="minorHAnsi" w:hAnsiTheme="minorHAnsi" w:cstheme="minorHAnsi"/>
        </w:rPr>
        <w:t>, ESRD status)</w:t>
      </w:r>
    </w:p>
    <w:p w14:paraId="52102107"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VTE events</w:t>
      </w:r>
    </w:p>
    <w:p w14:paraId="4FCFEEFF"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Any anti-</w:t>
      </w:r>
      <w:proofErr w:type="spellStart"/>
      <w:r w:rsidRPr="004A17A9">
        <w:rPr>
          <w:rFonts w:asciiTheme="minorHAnsi" w:hAnsiTheme="minorHAnsi" w:cstheme="minorHAnsi"/>
        </w:rPr>
        <w:t>xa</w:t>
      </w:r>
      <w:proofErr w:type="spellEnd"/>
      <w:r w:rsidRPr="004A17A9">
        <w:rPr>
          <w:rFonts w:asciiTheme="minorHAnsi" w:hAnsiTheme="minorHAnsi" w:cstheme="minorHAnsi"/>
        </w:rPr>
        <w:t xml:space="preserve"> levels of obtained and the timing of the levels</w:t>
      </w:r>
    </w:p>
    <w:p w14:paraId="7710843A" w14:textId="77777777" w:rsidR="00131E38" w:rsidRPr="004A17A9" w:rsidRDefault="00131E38" w:rsidP="00131E38">
      <w:pPr>
        <w:pStyle w:val="ListParagraph"/>
        <w:numPr>
          <w:ilvl w:val="1"/>
          <w:numId w:val="6"/>
        </w:numPr>
        <w:rPr>
          <w:rFonts w:asciiTheme="minorHAnsi" w:hAnsiTheme="minorHAnsi" w:cstheme="minorHAnsi"/>
        </w:rPr>
      </w:pPr>
      <w:r w:rsidRPr="004A17A9">
        <w:rPr>
          <w:rFonts w:asciiTheme="minorHAnsi" w:hAnsiTheme="minorHAnsi" w:cstheme="minorHAnsi"/>
        </w:rPr>
        <w:t>Bleeding complications</w:t>
      </w:r>
    </w:p>
    <w:p w14:paraId="4FAD8BDF" w14:textId="77777777" w:rsidR="00131E38" w:rsidRPr="004A17A9" w:rsidRDefault="00131E38" w:rsidP="00131E38">
      <w:pPr>
        <w:pStyle w:val="ListParagraph"/>
        <w:numPr>
          <w:ilvl w:val="0"/>
          <w:numId w:val="6"/>
        </w:numPr>
        <w:rPr>
          <w:rFonts w:asciiTheme="minorHAnsi" w:hAnsiTheme="minorHAnsi" w:cstheme="minorHAnsi"/>
        </w:rPr>
      </w:pPr>
      <w:r w:rsidRPr="004A17A9">
        <w:rPr>
          <w:rFonts w:asciiTheme="minorHAnsi" w:hAnsiTheme="minorHAnsi" w:cstheme="minorHAnsi"/>
        </w:rPr>
        <w:t xml:space="preserve">Data handling and record-keeping will be the sole responsibility of the study investigators. The data points described above will be transcribed into a data collection tool utilizing a secure </w:t>
      </w:r>
      <w:proofErr w:type="spellStart"/>
      <w:r w:rsidRPr="004A17A9">
        <w:rPr>
          <w:rFonts w:asciiTheme="minorHAnsi" w:hAnsiTheme="minorHAnsi" w:cstheme="minorHAnsi"/>
        </w:rPr>
        <w:t>REDCap</w:t>
      </w:r>
      <w:proofErr w:type="spellEnd"/>
      <w:r w:rsidRPr="004A17A9">
        <w:rPr>
          <w:rFonts w:asciiTheme="minorHAnsi" w:hAnsiTheme="minorHAnsi" w:cstheme="minorHAnsi"/>
        </w:rPr>
        <w:t xml:space="preserve"> database through </w:t>
      </w:r>
      <w:proofErr w:type="spellStart"/>
      <w:r w:rsidRPr="004A17A9">
        <w:rPr>
          <w:rFonts w:asciiTheme="minorHAnsi" w:hAnsiTheme="minorHAnsi" w:cstheme="minorHAnsi"/>
        </w:rPr>
        <w:t>REDCap</w:t>
      </w:r>
      <w:proofErr w:type="spellEnd"/>
      <w:r w:rsidRPr="004A17A9">
        <w:rPr>
          <w:rFonts w:asciiTheme="minorHAnsi" w:hAnsiTheme="minorHAnsi" w:cstheme="minorHAnsi"/>
        </w:rPr>
        <w:t xml:space="preserve"> Cloud. Assess to </w:t>
      </w:r>
      <w:proofErr w:type="spellStart"/>
      <w:r w:rsidRPr="004A17A9">
        <w:rPr>
          <w:rFonts w:asciiTheme="minorHAnsi" w:hAnsiTheme="minorHAnsi" w:cstheme="minorHAnsi"/>
        </w:rPr>
        <w:t>REDCap</w:t>
      </w:r>
      <w:proofErr w:type="spellEnd"/>
      <w:r w:rsidRPr="004A17A9">
        <w:rPr>
          <w:rFonts w:asciiTheme="minorHAnsi" w:hAnsiTheme="minorHAnsi" w:cstheme="minorHAnsi"/>
        </w:rPr>
        <w:t xml:space="preserve"> Cloud is provided by Vizient.</w:t>
      </w:r>
    </w:p>
    <w:p w14:paraId="66A2A384" w14:textId="4FDBCBF1" w:rsidR="003679C3" w:rsidRPr="004A17A9" w:rsidRDefault="003679C3" w:rsidP="003679C3">
      <w:pPr>
        <w:tabs>
          <w:tab w:val="left" w:pos="720"/>
        </w:tabs>
        <w:ind w:left="720"/>
        <w:rPr>
          <w:rFonts w:cstheme="minorHAnsi"/>
        </w:rPr>
      </w:pPr>
    </w:p>
    <w:p w14:paraId="0867E921" w14:textId="77777777" w:rsidR="003679C3" w:rsidRPr="004A17A9" w:rsidRDefault="003679C3" w:rsidP="003679C3">
      <w:pPr>
        <w:ind w:left="720"/>
        <w:rPr>
          <w:rFonts w:cstheme="minorHAnsi"/>
          <w:color w:val="0070C0"/>
        </w:rPr>
      </w:pPr>
    </w:p>
    <w:p w14:paraId="1567593A" w14:textId="33EB7BF8" w:rsidR="003679C3" w:rsidRPr="004A17A9" w:rsidRDefault="003679C3" w:rsidP="003679C3">
      <w:pPr>
        <w:ind w:firstLine="360"/>
        <w:rPr>
          <w:rFonts w:cstheme="minorHAnsi"/>
          <w:b/>
        </w:rPr>
      </w:pPr>
      <w:bookmarkStart w:id="4" w:name="Inclusion_Criteria"/>
      <w:r w:rsidRPr="004A17A9">
        <w:rPr>
          <w:rFonts w:cstheme="minorHAnsi"/>
          <w:b/>
        </w:rPr>
        <w:t>Inclusion Criteria</w:t>
      </w:r>
      <w:bookmarkEnd w:id="4"/>
    </w:p>
    <w:p w14:paraId="38D6CF6D" w14:textId="77777777" w:rsidR="003679C3" w:rsidRPr="004A17A9" w:rsidRDefault="003679C3" w:rsidP="003679C3">
      <w:pPr>
        <w:pStyle w:val="ListParagraph"/>
        <w:numPr>
          <w:ilvl w:val="0"/>
          <w:numId w:val="4"/>
        </w:numPr>
        <w:rPr>
          <w:rFonts w:asciiTheme="minorHAnsi" w:hAnsiTheme="minorHAnsi" w:cstheme="minorHAnsi"/>
        </w:rPr>
      </w:pPr>
      <w:r w:rsidRPr="004A17A9">
        <w:rPr>
          <w:rFonts w:asciiTheme="minorHAnsi" w:hAnsiTheme="minorHAnsi" w:cstheme="minorHAnsi"/>
        </w:rPr>
        <w:t>Age greater than 18 years</w:t>
      </w:r>
    </w:p>
    <w:p w14:paraId="23E05BC5" w14:textId="77777777" w:rsidR="003679C3" w:rsidRPr="004A17A9" w:rsidRDefault="003679C3" w:rsidP="003679C3">
      <w:pPr>
        <w:pStyle w:val="ListParagraph"/>
        <w:numPr>
          <w:ilvl w:val="0"/>
          <w:numId w:val="4"/>
        </w:numPr>
        <w:rPr>
          <w:rFonts w:asciiTheme="minorHAnsi" w:hAnsiTheme="minorHAnsi" w:cstheme="minorHAnsi"/>
        </w:rPr>
      </w:pPr>
      <w:r w:rsidRPr="004A17A9">
        <w:rPr>
          <w:rFonts w:asciiTheme="minorHAnsi" w:hAnsiTheme="minorHAnsi" w:cstheme="minorHAnsi"/>
        </w:rPr>
        <w:t>Receiving a DOAC for the treatment of an acute VTE</w:t>
      </w:r>
    </w:p>
    <w:p w14:paraId="712D5FDE" w14:textId="77777777" w:rsidR="003679C3" w:rsidRPr="004A17A9" w:rsidRDefault="003679C3" w:rsidP="003679C3">
      <w:pPr>
        <w:ind w:firstLine="360"/>
        <w:rPr>
          <w:rFonts w:cstheme="minorHAnsi"/>
        </w:rPr>
      </w:pPr>
    </w:p>
    <w:p w14:paraId="74C3B68A" w14:textId="148B7D97" w:rsidR="003679C3" w:rsidRPr="004A17A9" w:rsidRDefault="003679C3" w:rsidP="003679C3">
      <w:pPr>
        <w:ind w:firstLine="360"/>
        <w:rPr>
          <w:rFonts w:cstheme="minorHAnsi"/>
          <w:b/>
        </w:rPr>
      </w:pPr>
      <w:bookmarkStart w:id="5" w:name="Exclusion_Criteria"/>
      <w:r w:rsidRPr="004A17A9">
        <w:rPr>
          <w:rFonts w:cstheme="minorHAnsi"/>
          <w:b/>
        </w:rPr>
        <w:t>Exclusion Criteria</w:t>
      </w:r>
      <w:bookmarkEnd w:id="5"/>
    </w:p>
    <w:p w14:paraId="133EC5BF" w14:textId="77777777" w:rsidR="003679C3" w:rsidRPr="004A17A9" w:rsidRDefault="003679C3" w:rsidP="003679C3">
      <w:pPr>
        <w:pStyle w:val="ListParagraph"/>
        <w:numPr>
          <w:ilvl w:val="0"/>
          <w:numId w:val="3"/>
        </w:numPr>
        <w:rPr>
          <w:rFonts w:asciiTheme="minorHAnsi" w:hAnsiTheme="minorHAnsi" w:cstheme="minorHAnsi"/>
        </w:rPr>
      </w:pPr>
      <w:r w:rsidRPr="004A17A9">
        <w:rPr>
          <w:rFonts w:asciiTheme="minorHAnsi" w:hAnsiTheme="minorHAnsi" w:cstheme="minorHAnsi"/>
        </w:rPr>
        <w:t>Patients less than 18 years of age</w:t>
      </w:r>
    </w:p>
    <w:p w14:paraId="6A34DC5E" w14:textId="77777777" w:rsidR="003679C3" w:rsidRPr="004A17A9" w:rsidRDefault="003679C3" w:rsidP="003679C3">
      <w:pPr>
        <w:pStyle w:val="ListParagraph"/>
        <w:numPr>
          <w:ilvl w:val="0"/>
          <w:numId w:val="3"/>
        </w:numPr>
        <w:rPr>
          <w:rFonts w:asciiTheme="minorHAnsi" w:hAnsiTheme="minorHAnsi" w:cstheme="minorHAnsi"/>
        </w:rPr>
      </w:pPr>
      <w:r w:rsidRPr="004A17A9">
        <w:rPr>
          <w:rFonts w:asciiTheme="minorHAnsi" w:hAnsiTheme="minorHAnsi" w:cstheme="minorHAnsi"/>
        </w:rPr>
        <w:t>Treatment for recurrent VTE or failure of another agent</w:t>
      </w:r>
    </w:p>
    <w:p w14:paraId="233E6CC3" w14:textId="77777777" w:rsidR="00A278D3" w:rsidRPr="004A17A9" w:rsidRDefault="00A278D3">
      <w:pPr>
        <w:rPr>
          <w:rFonts w:cstheme="minorHAnsi"/>
          <w:b/>
          <w:bCs/>
        </w:rPr>
      </w:pPr>
    </w:p>
    <w:p w14:paraId="1A4E5586" w14:textId="161448ED" w:rsidR="00D21FC4" w:rsidRPr="004A17A9" w:rsidRDefault="003679C3">
      <w:pPr>
        <w:rPr>
          <w:rFonts w:cstheme="minorHAnsi"/>
          <w:b/>
          <w:bCs/>
        </w:rPr>
      </w:pPr>
      <w:r w:rsidRPr="004A17A9">
        <w:rPr>
          <w:rFonts w:cstheme="minorHAnsi"/>
          <w:b/>
          <w:bCs/>
        </w:rPr>
        <w:t>Measurements</w:t>
      </w:r>
    </w:p>
    <w:p w14:paraId="25891437" w14:textId="2EA82D1C" w:rsidR="003679C3" w:rsidRPr="004A17A9" w:rsidRDefault="003679C3" w:rsidP="00A278D3">
      <w:pPr>
        <w:ind w:firstLine="720"/>
        <w:rPr>
          <w:rFonts w:cstheme="minorHAnsi"/>
        </w:rPr>
      </w:pPr>
      <w:r w:rsidRPr="004A17A9">
        <w:rPr>
          <w:rFonts w:cstheme="minorHAnsi"/>
        </w:rPr>
        <w:t>Predictor will be BMI</w:t>
      </w:r>
      <w:r w:rsidR="00555D0D" w:rsidRPr="004A17A9">
        <w:rPr>
          <w:rFonts w:cstheme="minorHAnsi"/>
        </w:rPr>
        <w:t xml:space="preserve"> </w:t>
      </w:r>
      <w:r w:rsidR="00A278D3" w:rsidRPr="004A17A9">
        <w:rPr>
          <w:rFonts w:cstheme="minorHAnsi"/>
        </w:rPr>
        <w:br/>
      </w:r>
    </w:p>
    <w:p w14:paraId="33B30BA3" w14:textId="04D76816" w:rsidR="00A278D3" w:rsidRPr="004A17A9" w:rsidRDefault="00A278D3" w:rsidP="00A278D3">
      <w:pPr>
        <w:rPr>
          <w:rFonts w:cstheme="minorHAnsi"/>
          <w:b/>
          <w:bCs/>
        </w:rPr>
      </w:pPr>
      <w:r w:rsidRPr="004A17A9">
        <w:rPr>
          <w:rFonts w:cstheme="minorHAnsi"/>
          <w:b/>
          <w:bCs/>
        </w:rPr>
        <w:t>Statistical Issues</w:t>
      </w:r>
    </w:p>
    <w:p w14:paraId="56C0D075" w14:textId="693C45C0" w:rsidR="00A278D3" w:rsidRPr="004A17A9" w:rsidRDefault="00A278D3" w:rsidP="00A278D3">
      <w:pPr>
        <w:pStyle w:val="BlockText"/>
        <w:numPr>
          <w:ilvl w:val="0"/>
          <w:numId w:val="5"/>
        </w:numPr>
        <w:spacing w:before="0" w:after="0"/>
        <w:rPr>
          <w:rFonts w:asciiTheme="minorHAnsi" w:hAnsiTheme="minorHAnsi" w:cstheme="minorHAnsi"/>
          <w:i w:val="0"/>
          <w:szCs w:val="24"/>
        </w:rPr>
      </w:pPr>
      <w:r w:rsidRPr="004A17A9">
        <w:rPr>
          <w:rFonts w:asciiTheme="minorHAnsi" w:hAnsiTheme="minorHAnsi" w:cstheme="minorHAnsi"/>
          <w:i w:val="0"/>
          <w:color w:val="000000"/>
          <w:szCs w:val="24"/>
        </w:rPr>
        <w:t>There is no difference between DOAC efficacy and safety in treatment of acute VTE in obese patients (BMI &gt; 40kg/m</w:t>
      </w:r>
      <w:r w:rsidRPr="004A17A9">
        <w:rPr>
          <w:rFonts w:asciiTheme="minorHAnsi" w:hAnsiTheme="minorHAnsi" w:cstheme="minorHAnsi"/>
          <w:i w:val="0"/>
          <w:color w:val="000000"/>
          <w:szCs w:val="24"/>
          <w:vertAlign w:val="superscript"/>
        </w:rPr>
        <w:t>2</w:t>
      </w:r>
      <w:r w:rsidRPr="004A17A9">
        <w:rPr>
          <w:rFonts w:asciiTheme="minorHAnsi" w:hAnsiTheme="minorHAnsi" w:cstheme="minorHAnsi"/>
          <w:i w:val="0"/>
          <w:color w:val="000000"/>
          <w:szCs w:val="24"/>
        </w:rPr>
        <w:t>) versus non-obese patient.</w:t>
      </w:r>
      <w:r w:rsidRPr="004A17A9">
        <w:rPr>
          <w:rFonts w:asciiTheme="minorHAnsi" w:hAnsiTheme="minorHAnsi" w:cstheme="minorHAnsi"/>
          <w:i w:val="0"/>
          <w:color w:val="000000"/>
          <w:szCs w:val="24"/>
        </w:rPr>
        <w:t xml:space="preserve"> </w:t>
      </w:r>
      <w:r w:rsidRPr="004A17A9">
        <w:rPr>
          <w:rFonts w:asciiTheme="minorHAnsi" w:hAnsiTheme="minorHAnsi" w:cstheme="minorHAnsi"/>
          <w:i w:val="0"/>
          <w:szCs w:val="24"/>
        </w:rPr>
        <w:t>Patients will be stratified in groups according to BMI.</w:t>
      </w:r>
      <w:r w:rsidRPr="004A17A9">
        <w:rPr>
          <w:rFonts w:asciiTheme="minorHAnsi" w:hAnsiTheme="minorHAnsi" w:cstheme="minorHAnsi"/>
          <w:i w:val="0"/>
          <w:szCs w:val="24"/>
        </w:rPr>
        <w:t xml:space="preserve"> </w:t>
      </w:r>
      <w:r w:rsidRPr="004A17A9">
        <w:rPr>
          <w:rFonts w:asciiTheme="minorHAnsi" w:hAnsiTheme="minorHAnsi" w:cstheme="minorHAnsi"/>
          <w:i w:val="0"/>
          <w:szCs w:val="24"/>
        </w:rPr>
        <w:t xml:space="preserve"> Additionally, anti-</w:t>
      </w:r>
      <w:proofErr w:type="spellStart"/>
      <w:r w:rsidRPr="004A17A9">
        <w:rPr>
          <w:rFonts w:asciiTheme="minorHAnsi" w:hAnsiTheme="minorHAnsi" w:cstheme="minorHAnsi"/>
          <w:i w:val="0"/>
          <w:szCs w:val="24"/>
        </w:rPr>
        <w:t>xa</w:t>
      </w:r>
      <w:proofErr w:type="spellEnd"/>
      <w:r w:rsidRPr="004A17A9">
        <w:rPr>
          <w:rFonts w:asciiTheme="minorHAnsi" w:hAnsiTheme="minorHAnsi" w:cstheme="minorHAnsi"/>
          <w:i w:val="0"/>
          <w:szCs w:val="24"/>
        </w:rPr>
        <w:t xml:space="preserve"> levels, if obtained, will be described. </w:t>
      </w:r>
      <w:r w:rsidRPr="004A17A9">
        <w:rPr>
          <w:rFonts w:asciiTheme="minorHAnsi" w:hAnsiTheme="minorHAnsi" w:cstheme="minorHAnsi"/>
          <w:i w:val="0"/>
          <w:szCs w:val="24"/>
        </w:rPr>
        <w:t>T</w:t>
      </w:r>
      <w:r w:rsidRPr="004A17A9">
        <w:rPr>
          <w:rFonts w:asciiTheme="minorHAnsi" w:hAnsiTheme="minorHAnsi" w:cstheme="minorHAnsi"/>
          <w:i w:val="0"/>
          <w:szCs w:val="24"/>
        </w:rPr>
        <w:t>he investigators at each site will retrospectively review the medical records of patients between January 1</w:t>
      </w:r>
      <w:r w:rsidRPr="004A17A9">
        <w:rPr>
          <w:rFonts w:asciiTheme="minorHAnsi" w:hAnsiTheme="minorHAnsi" w:cstheme="minorHAnsi"/>
          <w:i w:val="0"/>
          <w:szCs w:val="24"/>
          <w:vertAlign w:val="superscript"/>
        </w:rPr>
        <w:t>st</w:t>
      </w:r>
      <w:r w:rsidRPr="004A17A9">
        <w:rPr>
          <w:rFonts w:asciiTheme="minorHAnsi" w:hAnsiTheme="minorHAnsi" w:cstheme="minorHAnsi"/>
          <w:i w:val="0"/>
          <w:szCs w:val="24"/>
        </w:rPr>
        <w:t xml:space="preserve"> 2013 to July 31</w:t>
      </w:r>
      <w:r w:rsidRPr="004A17A9">
        <w:rPr>
          <w:rFonts w:asciiTheme="minorHAnsi" w:hAnsiTheme="minorHAnsi" w:cstheme="minorHAnsi"/>
          <w:i w:val="0"/>
          <w:szCs w:val="24"/>
          <w:vertAlign w:val="superscript"/>
        </w:rPr>
        <w:t>st</w:t>
      </w:r>
      <w:r w:rsidRPr="004A17A9">
        <w:rPr>
          <w:rFonts w:asciiTheme="minorHAnsi" w:hAnsiTheme="minorHAnsi" w:cstheme="minorHAnsi"/>
          <w:i w:val="0"/>
          <w:szCs w:val="24"/>
        </w:rPr>
        <w:t xml:space="preserve">, </w:t>
      </w:r>
      <w:proofErr w:type="gramStart"/>
      <w:r w:rsidRPr="004A17A9">
        <w:rPr>
          <w:rFonts w:asciiTheme="minorHAnsi" w:hAnsiTheme="minorHAnsi" w:cstheme="minorHAnsi"/>
          <w:i w:val="0"/>
          <w:szCs w:val="24"/>
        </w:rPr>
        <w:t>2020  to</w:t>
      </w:r>
      <w:proofErr w:type="gramEnd"/>
      <w:r w:rsidRPr="004A17A9">
        <w:rPr>
          <w:rFonts w:asciiTheme="minorHAnsi" w:hAnsiTheme="minorHAnsi" w:cstheme="minorHAnsi"/>
          <w:i w:val="0"/>
          <w:szCs w:val="24"/>
        </w:rPr>
        <w:t xml:space="preserve"> obtain this data under affiliated IRBs. We will combine this de-identified data in a secure </w:t>
      </w:r>
      <w:proofErr w:type="spellStart"/>
      <w:r w:rsidRPr="004A17A9">
        <w:rPr>
          <w:rFonts w:asciiTheme="minorHAnsi" w:hAnsiTheme="minorHAnsi" w:cstheme="minorHAnsi"/>
          <w:i w:val="0"/>
          <w:szCs w:val="24"/>
        </w:rPr>
        <w:t>REDCap</w:t>
      </w:r>
      <w:proofErr w:type="spellEnd"/>
      <w:r w:rsidRPr="004A17A9">
        <w:rPr>
          <w:rFonts w:asciiTheme="minorHAnsi" w:hAnsiTheme="minorHAnsi" w:cstheme="minorHAnsi"/>
          <w:i w:val="0"/>
          <w:szCs w:val="24"/>
        </w:rPr>
        <w:t xml:space="preserve"> Cloud database owned by Vizient. </w:t>
      </w:r>
    </w:p>
    <w:p w14:paraId="484CBF89" w14:textId="695524F6" w:rsidR="00A278D3" w:rsidRPr="004A17A9" w:rsidRDefault="00A278D3" w:rsidP="00A278D3">
      <w:pPr>
        <w:pStyle w:val="BlockText"/>
        <w:spacing w:before="0" w:after="0"/>
        <w:rPr>
          <w:rFonts w:asciiTheme="minorHAnsi" w:hAnsiTheme="minorHAnsi" w:cstheme="minorHAnsi"/>
          <w:i w:val="0"/>
          <w:szCs w:val="24"/>
        </w:rPr>
      </w:pPr>
    </w:p>
    <w:p w14:paraId="4C47D90F" w14:textId="77777777" w:rsidR="00131E38" w:rsidRPr="004A17A9" w:rsidRDefault="00131E38" w:rsidP="00131E38">
      <w:pPr>
        <w:rPr>
          <w:rFonts w:eastAsia="Times New Roman" w:cstheme="minorHAnsi"/>
          <w:color w:val="000000"/>
        </w:rPr>
      </w:pPr>
      <w:r w:rsidRPr="004A17A9">
        <w:rPr>
          <w:rFonts w:eastAsia="Times New Roman" w:cstheme="minorHAnsi"/>
          <w:b/>
          <w:bCs/>
          <w:color w:val="000000"/>
        </w:rPr>
        <w:t>Sample Size Calculation:</w:t>
      </w:r>
    </w:p>
    <w:p w14:paraId="01FFD8F2" w14:textId="09703D06" w:rsidR="00131E38" w:rsidRPr="004A17A9" w:rsidRDefault="00131E38" w:rsidP="00131E38">
      <w:pPr>
        <w:pStyle w:val="BlockText"/>
        <w:numPr>
          <w:ilvl w:val="0"/>
          <w:numId w:val="7"/>
        </w:numPr>
        <w:spacing w:before="0" w:after="0"/>
        <w:ind w:right="0"/>
        <w:rPr>
          <w:rFonts w:asciiTheme="minorHAnsi" w:hAnsiTheme="minorHAnsi" w:cstheme="minorHAnsi"/>
          <w:i w:val="0"/>
          <w:szCs w:val="24"/>
        </w:rPr>
      </w:pPr>
      <w:r w:rsidRPr="004A17A9">
        <w:rPr>
          <w:rFonts w:asciiTheme="minorHAnsi" w:hAnsiTheme="minorHAnsi" w:cstheme="minorHAnsi"/>
          <w:i w:val="0"/>
          <w:szCs w:val="24"/>
        </w:rPr>
        <w:t>We plan to c</w:t>
      </w:r>
      <w:r w:rsidRPr="004A17A9">
        <w:rPr>
          <w:rFonts w:asciiTheme="minorHAnsi" w:hAnsiTheme="minorHAnsi" w:cstheme="minorHAnsi"/>
          <w:i w:val="0"/>
          <w:szCs w:val="24"/>
        </w:rPr>
        <w:t>ollect subjects that meet inclusion criteria from January 1</w:t>
      </w:r>
      <w:r w:rsidRPr="004A17A9">
        <w:rPr>
          <w:rFonts w:asciiTheme="minorHAnsi" w:hAnsiTheme="minorHAnsi" w:cstheme="minorHAnsi"/>
          <w:i w:val="0"/>
          <w:szCs w:val="24"/>
          <w:vertAlign w:val="superscript"/>
        </w:rPr>
        <w:t>st</w:t>
      </w:r>
      <w:r w:rsidRPr="004A17A9">
        <w:rPr>
          <w:rFonts w:asciiTheme="minorHAnsi" w:hAnsiTheme="minorHAnsi" w:cstheme="minorHAnsi"/>
          <w:i w:val="0"/>
          <w:szCs w:val="24"/>
        </w:rPr>
        <w:t xml:space="preserve"> 2013 to July 31</w:t>
      </w:r>
      <w:r w:rsidRPr="004A17A9">
        <w:rPr>
          <w:rFonts w:asciiTheme="minorHAnsi" w:hAnsiTheme="minorHAnsi" w:cstheme="minorHAnsi"/>
          <w:i w:val="0"/>
          <w:szCs w:val="24"/>
          <w:vertAlign w:val="superscript"/>
        </w:rPr>
        <w:t>st</w:t>
      </w:r>
      <w:r w:rsidRPr="004A17A9">
        <w:rPr>
          <w:rFonts w:asciiTheme="minorHAnsi" w:hAnsiTheme="minorHAnsi" w:cstheme="minorHAnsi"/>
          <w:i w:val="0"/>
          <w:szCs w:val="24"/>
        </w:rPr>
        <w:t xml:space="preserve">, </w:t>
      </w:r>
      <w:proofErr w:type="gramStart"/>
      <w:r w:rsidRPr="004A17A9">
        <w:rPr>
          <w:rFonts w:asciiTheme="minorHAnsi" w:hAnsiTheme="minorHAnsi" w:cstheme="minorHAnsi"/>
          <w:i w:val="0"/>
          <w:szCs w:val="24"/>
        </w:rPr>
        <w:t>2020  Estimate</w:t>
      </w:r>
      <w:proofErr w:type="gramEnd"/>
      <w:r w:rsidRPr="004A17A9">
        <w:rPr>
          <w:rFonts w:asciiTheme="minorHAnsi" w:hAnsiTheme="minorHAnsi" w:cstheme="minorHAnsi"/>
          <w:i w:val="0"/>
          <w:szCs w:val="24"/>
        </w:rPr>
        <w:t xml:space="preserve"> the number of subjects: 398 (199 in each group)</w:t>
      </w:r>
      <w:r w:rsidRPr="004A17A9">
        <w:rPr>
          <w:rFonts w:asciiTheme="minorHAnsi" w:hAnsiTheme="minorHAnsi" w:cstheme="minorHAnsi"/>
          <w:i w:val="0"/>
          <w:szCs w:val="24"/>
        </w:rPr>
        <w:t xml:space="preserve"> based on the s</w:t>
      </w:r>
      <w:r w:rsidRPr="004A17A9">
        <w:rPr>
          <w:rFonts w:asciiTheme="minorHAnsi" w:hAnsiTheme="minorHAnsi" w:cstheme="minorHAnsi"/>
          <w:i w:val="0"/>
          <w:szCs w:val="24"/>
        </w:rPr>
        <w:t xml:space="preserve">ample Size calculation </w:t>
      </w:r>
      <w:r w:rsidRPr="004A17A9">
        <w:rPr>
          <w:rFonts w:asciiTheme="minorHAnsi" w:hAnsiTheme="minorHAnsi" w:cstheme="minorHAnsi"/>
          <w:i w:val="0"/>
          <w:szCs w:val="24"/>
        </w:rPr>
        <w:t>via</w:t>
      </w:r>
      <w:r w:rsidRPr="004A17A9">
        <w:rPr>
          <w:rFonts w:asciiTheme="minorHAnsi" w:hAnsiTheme="minorHAnsi" w:cstheme="minorHAnsi"/>
          <w:i w:val="0"/>
          <w:szCs w:val="24"/>
        </w:rPr>
        <w:t xml:space="preserve"> </w:t>
      </w:r>
      <w:proofErr w:type="spellStart"/>
      <w:r w:rsidRPr="004A17A9">
        <w:rPr>
          <w:rFonts w:asciiTheme="minorHAnsi" w:hAnsiTheme="minorHAnsi" w:cstheme="minorHAnsi"/>
          <w:i w:val="0"/>
          <w:szCs w:val="24"/>
        </w:rPr>
        <w:t>Pearsons</w:t>
      </w:r>
      <w:proofErr w:type="spellEnd"/>
      <w:r w:rsidRPr="004A17A9">
        <w:rPr>
          <w:rFonts w:asciiTheme="minorHAnsi" w:hAnsiTheme="minorHAnsi" w:cstheme="minorHAnsi"/>
          <w:i w:val="0"/>
          <w:szCs w:val="24"/>
        </w:rPr>
        <w:t xml:space="preserve"> Chi-squared test</w:t>
      </w:r>
    </w:p>
    <w:p w14:paraId="0277E2E3" w14:textId="77777777" w:rsidR="00131E38" w:rsidRPr="004A17A9" w:rsidRDefault="00131E38" w:rsidP="00A278D3">
      <w:pPr>
        <w:pStyle w:val="BlockText"/>
        <w:spacing w:before="0" w:after="0"/>
        <w:rPr>
          <w:rFonts w:asciiTheme="minorHAnsi" w:hAnsiTheme="minorHAnsi" w:cstheme="minorHAnsi"/>
          <w:i w:val="0"/>
          <w:szCs w:val="24"/>
        </w:rPr>
      </w:pPr>
    </w:p>
    <w:p w14:paraId="5BF4A38E" w14:textId="53335BF2" w:rsidR="00A278D3" w:rsidRPr="004A17A9" w:rsidRDefault="00A278D3" w:rsidP="00A278D3">
      <w:pPr>
        <w:pStyle w:val="BlockText"/>
        <w:spacing w:before="0" w:after="0"/>
        <w:rPr>
          <w:rFonts w:asciiTheme="minorHAnsi" w:hAnsiTheme="minorHAnsi" w:cstheme="minorHAnsi"/>
          <w:i w:val="0"/>
          <w:szCs w:val="24"/>
        </w:rPr>
      </w:pPr>
    </w:p>
    <w:p w14:paraId="745B3930" w14:textId="69F5896E" w:rsidR="00A278D3" w:rsidRPr="004A17A9" w:rsidRDefault="00A278D3" w:rsidP="00131E38">
      <w:pPr>
        <w:pStyle w:val="BlockText"/>
        <w:spacing w:before="0" w:after="0"/>
        <w:ind w:left="0"/>
        <w:rPr>
          <w:rFonts w:asciiTheme="minorHAnsi" w:hAnsiTheme="minorHAnsi" w:cstheme="minorHAnsi"/>
          <w:b/>
          <w:bCs/>
          <w:i w:val="0"/>
          <w:szCs w:val="24"/>
        </w:rPr>
      </w:pPr>
      <w:r w:rsidRPr="004A17A9">
        <w:rPr>
          <w:rFonts w:asciiTheme="minorHAnsi" w:hAnsiTheme="minorHAnsi" w:cstheme="minorHAnsi"/>
          <w:b/>
          <w:bCs/>
          <w:i w:val="0"/>
          <w:szCs w:val="24"/>
        </w:rPr>
        <w:t xml:space="preserve">Ethical Considerations: </w:t>
      </w:r>
      <w:r w:rsidRPr="004A17A9">
        <w:rPr>
          <w:rFonts w:asciiTheme="minorHAnsi" w:hAnsiTheme="minorHAnsi" w:cstheme="minorHAnsi"/>
          <w:b/>
          <w:bCs/>
          <w:i w:val="0"/>
          <w:szCs w:val="24"/>
        </w:rPr>
        <w:br/>
      </w:r>
    </w:p>
    <w:p w14:paraId="5FC54AAD" w14:textId="77777777" w:rsidR="00A278D3" w:rsidRPr="004A17A9" w:rsidRDefault="00A278D3" w:rsidP="00A278D3">
      <w:pPr>
        <w:ind w:left="720"/>
        <w:rPr>
          <w:rFonts w:cstheme="minorHAnsi"/>
        </w:rPr>
      </w:pPr>
      <w:r w:rsidRPr="004A17A9">
        <w:rPr>
          <w:rFonts w:cstheme="minorHAnsi"/>
        </w:rPr>
        <w:t>This study is to be conducted according to US and international standards of Good Clinical Practice, applicable government regulations and Institutional research policies and procedures. As this study is a retrospective study, there will be minimal risk to the study subjects. No data will be shared outside of the listed collaborators.</w:t>
      </w:r>
    </w:p>
    <w:p w14:paraId="2ECEAC49" w14:textId="77777777" w:rsidR="00A278D3" w:rsidRPr="004A17A9" w:rsidRDefault="00A278D3" w:rsidP="00A278D3">
      <w:pPr>
        <w:rPr>
          <w:rFonts w:cstheme="minorHAnsi"/>
        </w:rPr>
      </w:pPr>
    </w:p>
    <w:p w14:paraId="49B43367" w14:textId="17020B7F" w:rsidR="00A278D3" w:rsidRPr="004A17A9" w:rsidRDefault="00A278D3" w:rsidP="00A278D3">
      <w:pPr>
        <w:ind w:left="720"/>
        <w:rPr>
          <w:rFonts w:cstheme="minorHAnsi"/>
        </w:rPr>
      </w:pPr>
      <w:r w:rsidRPr="004A17A9">
        <w:rPr>
          <w:rFonts w:cstheme="minorHAnsi"/>
        </w:rPr>
        <w:t xml:space="preserve">This protocol and any amendments will be submitted to the Institutional Review Board (IRB), in agreement with local legal prescriptions, for formal approval of the study conduct. The decision of the IRB concerning the approval of the study will be made in writing to the investigator and a copy of this decision will be provided to the sponsor and funding agency before commencement of this study. </w:t>
      </w:r>
    </w:p>
    <w:p w14:paraId="447FC64D" w14:textId="74E75687" w:rsidR="00131E38" w:rsidRPr="004A17A9" w:rsidRDefault="00131E38" w:rsidP="00A278D3">
      <w:pPr>
        <w:ind w:left="720"/>
        <w:rPr>
          <w:rFonts w:cstheme="minorHAnsi"/>
        </w:rPr>
      </w:pPr>
    </w:p>
    <w:p w14:paraId="54D6F14F" w14:textId="04B0A1C8" w:rsidR="00131E38" w:rsidRPr="004A17A9" w:rsidRDefault="00131E38" w:rsidP="00131E38">
      <w:pPr>
        <w:rPr>
          <w:rFonts w:cstheme="minorHAnsi"/>
          <w:b/>
          <w:bCs/>
        </w:rPr>
      </w:pPr>
      <w:r w:rsidRPr="004A17A9">
        <w:rPr>
          <w:rFonts w:cstheme="minorHAnsi"/>
          <w:b/>
          <w:bCs/>
        </w:rPr>
        <w:t>References:</w:t>
      </w:r>
    </w:p>
    <w:p w14:paraId="27FCAB77" w14:textId="77777777" w:rsidR="00131E38" w:rsidRPr="004A17A9" w:rsidRDefault="00131E38" w:rsidP="00131E38">
      <w:pPr>
        <w:numPr>
          <w:ilvl w:val="0"/>
          <w:numId w:val="8"/>
        </w:numPr>
        <w:rPr>
          <w:rFonts w:cstheme="minorHAnsi"/>
        </w:rPr>
      </w:pPr>
      <w:r w:rsidRPr="004A17A9">
        <w:rPr>
          <w:rFonts w:cstheme="minorHAnsi"/>
        </w:rPr>
        <w:t>Hales CM, et al. Prevalence of obesity among adults and youth: United States, 2015-2016. NCHS Data Brief No. 288.</w:t>
      </w:r>
    </w:p>
    <w:p w14:paraId="234AC00F" w14:textId="77777777" w:rsidR="00131E38" w:rsidRPr="004A17A9" w:rsidRDefault="00131E38" w:rsidP="00131E38">
      <w:pPr>
        <w:numPr>
          <w:ilvl w:val="0"/>
          <w:numId w:val="8"/>
        </w:numPr>
        <w:rPr>
          <w:rFonts w:cstheme="minorHAnsi"/>
          <w:b/>
          <w:smallCaps/>
        </w:rPr>
      </w:pPr>
      <w:proofErr w:type="spellStart"/>
      <w:r w:rsidRPr="004A17A9">
        <w:rPr>
          <w:rFonts w:cstheme="minorHAnsi"/>
        </w:rPr>
        <w:t>Ageno</w:t>
      </w:r>
      <w:proofErr w:type="spellEnd"/>
      <w:r w:rsidRPr="004A17A9">
        <w:rPr>
          <w:rFonts w:cstheme="minorHAnsi"/>
        </w:rPr>
        <w:t xml:space="preserve"> W, et al. Cardiovascular risk factors and venous thromboembolism: a meta-analysis. Circulation. </w:t>
      </w:r>
      <w:proofErr w:type="gramStart"/>
      <w:r w:rsidRPr="004A17A9">
        <w:rPr>
          <w:rFonts w:cstheme="minorHAnsi"/>
        </w:rPr>
        <w:t>2008;117:93</w:t>
      </w:r>
      <w:proofErr w:type="gramEnd"/>
      <w:r w:rsidRPr="004A17A9">
        <w:rPr>
          <w:rFonts w:cstheme="minorHAnsi"/>
        </w:rPr>
        <w:t xml:space="preserve">-102. </w:t>
      </w:r>
    </w:p>
    <w:p w14:paraId="05B6D266" w14:textId="77777777" w:rsidR="00131E38" w:rsidRPr="004A17A9" w:rsidRDefault="00131E38" w:rsidP="00131E38">
      <w:pPr>
        <w:numPr>
          <w:ilvl w:val="0"/>
          <w:numId w:val="8"/>
        </w:numPr>
        <w:rPr>
          <w:rFonts w:cstheme="minorHAnsi"/>
        </w:rPr>
      </w:pPr>
      <w:proofErr w:type="spellStart"/>
      <w:r w:rsidRPr="004A17A9">
        <w:rPr>
          <w:rFonts w:cstheme="minorHAnsi"/>
        </w:rPr>
        <w:t>Wanahita</w:t>
      </w:r>
      <w:proofErr w:type="spellEnd"/>
      <w:r w:rsidRPr="004A17A9">
        <w:rPr>
          <w:rFonts w:cstheme="minorHAnsi"/>
        </w:rPr>
        <w:t xml:space="preserve"> N, et al. Atrial fibrillation and obesity—results of a meta-analysis. Am Heart J. </w:t>
      </w:r>
      <w:proofErr w:type="gramStart"/>
      <w:r w:rsidRPr="004A17A9">
        <w:rPr>
          <w:rFonts w:cstheme="minorHAnsi"/>
        </w:rPr>
        <w:t>2008;155:310</w:t>
      </w:r>
      <w:proofErr w:type="gramEnd"/>
      <w:r w:rsidRPr="004A17A9">
        <w:rPr>
          <w:rFonts w:cstheme="minorHAnsi"/>
        </w:rPr>
        <w:t>-315.</w:t>
      </w:r>
    </w:p>
    <w:p w14:paraId="51B24974" w14:textId="77777777" w:rsidR="00131E38" w:rsidRPr="004A17A9" w:rsidRDefault="00131E38" w:rsidP="00131E38">
      <w:pPr>
        <w:numPr>
          <w:ilvl w:val="0"/>
          <w:numId w:val="8"/>
        </w:numPr>
        <w:rPr>
          <w:rFonts w:cstheme="minorHAnsi"/>
        </w:rPr>
      </w:pPr>
      <w:r w:rsidRPr="004A17A9">
        <w:rPr>
          <w:rFonts w:cstheme="minorHAnsi"/>
        </w:rPr>
        <w:t xml:space="preserve">Kearon C, et al. Antithrombotic therapy for VTE disease: CHEST Guideline and Expert Panel Report. Chest. </w:t>
      </w:r>
      <w:proofErr w:type="gramStart"/>
      <w:r w:rsidRPr="004A17A9">
        <w:rPr>
          <w:rFonts w:cstheme="minorHAnsi"/>
        </w:rPr>
        <w:t>2016;149:315</w:t>
      </w:r>
      <w:proofErr w:type="gramEnd"/>
      <w:r w:rsidRPr="004A17A9">
        <w:rPr>
          <w:rFonts w:cstheme="minorHAnsi"/>
        </w:rPr>
        <w:t>-352.</w:t>
      </w:r>
    </w:p>
    <w:p w14:paraId="3FB8BC09" w14:textId="77777777" w:rsidR="00131E38" w:rsidRPr="004A17A9" w:rsidRDefault="00131E38" w:rsidP="00131E38">
      <w:pPr>
        <w:numPr>
          <w:ilvl w:val="0"/>
          <w:numId w:val="8"/>
        </w:numPr>
        <w:rPr>
          <w:rFonts w:cstheme="minorHAnsi"/>
        </w:rPr>
      </w:pPr>
      <w:r w:rsidRPr="004A17A9">
        <w:rPr>
          <w:rFonts w:cstheme="minorHAnsi"/>
        </w:rPr>
        <w:t xml:space="preserve">January CT, et al. 2019 AHA/ACC/HRS focused update of the 2014 AHA/ACC/HRS guideline for the management of patients with atrial fibrillation: a report of the American College of Cardiology/American Heart Association Task Force on Clinical Practice Guidelines and the Heart Rhythm Society. J Am Coll </w:t>
      </w:r>
      <w:proofErr w:type="spellStart"/>
      <w:r w:rsidRPr="004A17A9">
        <w:rPr>
          <w:rFonts w:cstheme="minorHAnsi"/>
        </w:rPr>
        <w:t>Cardiol</w:t>
      </w:r>
      <w:proofErr w:type="spellEnd"/>
      <w:r w:rsidRPr="004A17A9">
        <w:rPr>
          <w:rFonts w:cstheme="minorHAnsi"/>
        </w:rPr>
        <w:t xml:space="preserve">. </w:t>
      </w:r>
      <w:proofErr w:type="gramStart"/>
      <w:r w:rsidRPr="004A17A9">
        <w:rPr>
          <w:rFonts w:cstheme="minorHAnsi"/>
        </w:rPr>
        <w:t>2019;74:104</w:t>
      </w:r>
      <w:proofErr w:type="gramEnd"/>
      <w:r w:rsidRPr="004A17A9">
        <w:rPr>
          <w:rFonts w:cstheme="minorHAnsi"/>
        </w:rPr>
        <w:t>-132.</w:t>
      </w:r>
    </w:p>
    <w:p w14:paraId="2D127764" w14:textId="77777777" w:rsidR="00131E38" w:rsidRPr="004A17A9" w:rsidRDefault="00131E38" w:rsidP="00131E38">
      <w:pPr>
        <w:numPr>
          <w:ilvl w:val="0"/>
          <w:numId w:val="8"/>
        </w:numPr>
        <w:rPr>
          <w:rFonts w:cstheme="minorHAnsi"/>
        </w:rPr>
      </w:pPr>
      <w:r w:rsidRPr="004A17A9">
        <w:rPr>
          <w:rFonts w:cstheme="minorHAnsi"/>
        </w:rPr>
        <w:t xml:space="preserve">Martin K, et al. Use of the direct oral anticoagulants in obese patients: guidance from the SSC of the ISTH. J </w:t>
      </w:r>
      <w:proofErr w:type="spellStart"/>
      <w:r w:rsidRPr="004A17A9">
        <w:rPr>
          <w:rFonts w:cstheme="minorHAnsi"/>
        </w:rPr>
        <w:t>Thromb</w:t>
      </w:r>
      <w:proofErr w:type="spellEnd"/>
      <w:r w:rsidRPr="004A17A9">
        <w:rPr>
          <w:rFonts w:cstheme="minorHAnsi"/>
        </w:rPr>
        <w:t xml:space="preserve"> </w:t>
      </w:r>
      <w:proofErr w:type="spellStart"/>
      <w:r w:rsidRPr="004A17A9">
        <w:rPr>
          <w:rFonts w:cstheme="minorHAnsi"/>
        </w:rPr>
        <w:t>Haemost</w:t>
      </w:r>
      <w:proofErr w:type="spellEnd"/>
      <w:r w:rsidRPr="004A17A9">
        <w:rPr>
          <w:rFonts w:cstheme="minorHAnsi"/>
        </w:rPr>
        <w:t> 2016;14:1308-13</w:t>
      </w:r>
    </w:p>
    <w:p w14:paraId="387B142A" w14:textId="77777777" w:rsidR="00131E38" w:rsidRPr="004A17A9" w:rsidRDefault="00131E38" w:rsidP="00131E38">
      <w:pPr>
        <w:numPr>
          <w:ilvl w:val="0"/>
          <w:numId w:val="8"/>
        </w:numPr>
        <w:rPr>
          <w:rFonts w:cstheme="minorHAnsi"/>
        </w:rPr>
      </w:pPr>
      <w:r w:rsidRPr="004A17A9">
        <w:rPr>
          <w:rFonts w:cstheme="minorHAnsi"/>
        </w:rPr>
        <w:t xml:space="preserve">Jain R, et al. Implications of obesity for drug therapy: limitations and challenges. Clin </w:t>
      </w:r>
      <w:proofErr w:type="spellStart"/>
      <w:r w:rsidRPr="004A17A9">
        <w:rPr>
          <w:rFonts w:cstheme="minorHAnsi"/>
        </w:rPr>
        <w:t>Pharmacol</w:t>
      </w:r>
      <w:proofErr w:type="spellEnd"/>
      <w:r w:rsidRPr="004A17A9">
        <w:rPr>
          <w:rFonts w:cstheme="minorHAnsi"/>
        </w:rPr>
        <w:t xml:space="preserve"> </w:t>
      </w:r>
      <w:proofErr w:type="spellStart"/>
      <w:r w:rsidRPr="004A17A9">
        <w:rPr>
          <w:rFonts w:cstheme="minorHAnsi"/>
        </w:rPr>
        <w:t>Ther</w:t>
      </w:r>
      <w:proofErr w:type="spellEnd"/>
      <w:r w:rsidRPr="004A17A9">
        <w:rPr>
          <w:rFonts w:cstheme="minorHAnsi"/>
        </w:rPr>
        <w:t xml:space="preserve">. </w:t>
      </w:r>
      <w:proofErr w:type="gramStart"/>
      <w:r w:rsidRPr="004A17A9">
        <w:rPr>
          <w:rFonts w:cstheme="minorHAnsi"/>
        </w:rPr>
        <w:t>2011;90:77</w:t>
      </w:r>
      <w:proofErr w:type="gramEnd"/>
      <w:r w:rsidRPr="004A17A9">
        <w:rPr>
          <w:rFonts w:cstheme="minorHAnsi"/>
        </w:rPr>
        <w:t>-89.</w:t>
      </w:r>
    </w:p>
    <w:p w14:paraId="64C16B1E" w14:textId="77777777" w:rsidR="00131E38" w:rsidRPr="004A17A9" w:rsidRDefault="00131E38" w:rsidP="00131E38">
      <w:pPr>
        <w:numPr>
          <w:ilvl w:val="0"/>
          <w:numId w:val="8"/>
        </w:numPr>
        <w:rPr>
          <w:rFonts w:cstheme="minorHAnsi"/>
          <w:smallCaps/>
        </w:rPr>
      </w:pPr>
      <w:proofErr w:type="spellStart"/>
      <w:r w:rsidRPr="004A17A9">
        <w:rPr>
          <w:rFonts w:cstheme="minorHAnsi"/>
        </w:rPr>
        <w:t>Sebaaly</w:t>
      </w:r>
      <w:proofErr w:type="spellEnd"/>
      <w:r w:rsidRPr="004A17A9">
        <w:rPr>
          <w:rFonts w:cstheme="minorHAnsi"/>
        </w:rPr>
        <w:t xml:space="preserve"> J, Kelley D. Direct Oral Anticoagulants in Obesity: An Updated Literature Review. Ann </w:t>
      </w:r>
      <w:proofErr w:type="spellStart"/>
      <w:r w:rsidRPr="004A17A9">
        <w:rPr>
          <w:rFonts w:cstheme="minorHAnsi"/>
        </w:rPr>
        <w:t>Pharmacother</w:t>
      </w:r>
      <w:proofErr w:type="spellEnd"/>
      <w:r w:rsidRPr="004A17A9">
        <w:rPr>
          <w:rFonts w:cstheme="minorHAnsi"/>
        </w:rPr>
        <w:t>. 2020 Nov;54(11):1144-1158.</w:t>
      </w:r>
    </w:p>
    <w:p w14:paraId="1CBB7D5E" w14:textId="77777777" w:rsidR="00A278D3" w:rsidRPr="004A17A9" w:rsidRDefault="00A278D3" w:rsidP="00131E38">
      <w:pPr>
        <w:pStyle w:val="BlockText"/>
        <w:spacing w:before="0" w:after="0"/>
        <w:ind w:left="0"/>
        <w:rPr>
          <w:rFonts w:asciiTheme="minorHAnsi" w:hAnsiTheme="minorHAnsi" w:cstheme="minorHAnsi"/>
          <w:i w:val="0"/>
          <w:szCs w:val="24"/>
        </w:rPr>
      </w:pPr>
    </w:p>
    <w:sectPr w:rsidR="00A278D3" w:rsidRPr="004A17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E5B60" w14:textId="77777777" w:rsidR="00095E13" w:rsidRDefault="00095E13" w:rsidP="00D21FC4">
      <w:r>
        <w:separator/>
      </w:r>
    </w:p>
  </w:endnote>
  <w:endnote w:type="continuationSeparator" w:id="0">
    <w:p w14:paraId="2082BA41" w14:textId="77777777" w:rsidR="00095E13" w:rsidRDefault="00095E13" w:rsidP="00D2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A600" w14:textId="77777777" w:rsidR="00095E13" w:rsidRDefault="00095E13" w:rsidP="00D21FC4">
      <w:r>
        <w:separator/>
      </w:r>
    </w:p>
  </w:footnote>
  <w:footnote w:type="continuationSeparator" w:id="0">
    <w:p w14:paraId="7FC40A4C" w14:textId="77777777" w:rsidR="00095E13" w:rsidRDefault="00095E13" w:rsidP="00D2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1B4BC" w14:textId="0F6CD4FC" w:rsidR="00D21FC4" w:rsidRDefault="00D21FC4" w:rsidP="00D21FC4">
    <w:pPr>
      <w:pStyle w:val="Header"/>
      <w:ind w:left="6480"/>
    </w:pPr>
    <w:r>
      <w:rPr>
        <w:b/>
        <w:bCs/>
      </w:rPr>
      <w:t xml:space="preserve">Name: </w:t>
    </w:r>
    <w:r>
      <w:t xml:space="preserve">Nancy Chukwumezie </w:t>
    </w:r>
  </w:p>
  <w:p w14:paraId="6162A2AE" w14:textId="77777777" w:rsidR="00D21FC4" w:rsidRDefault="00D21FC4" w:rsidP="00D21FC4">
    <w:pPr>
      <w:pStyle w:val="Header"/>
      <w:ind w:left="6480"/>
    </w:pPr>
    <w:r>
      <w:rPr>
        <w:b/>
        <w:bCs/>
      </w:rPr>
      <w:t xml:space="preserve">Section Leader: </w:t>
    </w:r>
    <w:r>
      <w:t>Scott Bauer</w:t>
    </w:r>
  </w:p>
  <w:p w14:paraId="0F1E421A" w14:textId="3D8B5CE6" w:rsidR="00D21FC4" w:rsidRDefault="00D21FC4" w:rsidP="00D21FC4">
    <w:pPr>
      <w:pStyle w:val="Header"/>
      <w:ind w:left="6480"/>
    </w:pPr>
    <w:r w:rsidRPr="00D21FC4">
      <w:rPr>
        <w:b/>
        <w:bCs/>
      </w:rPr>
      <w:t>Written Feedback</w:t>
    </w:r>
    <w:r>
      <w:t xml:space="preserve">: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B26"/>
    <w:multiLevelType w:val="multilevel"/>
    <w:tmpl w:val="4C22396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D21207A"/>
    <w:multiLevelType w:val="hybridMultilevel"/>
    <w:tmpl w:val="2020D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7D7131"/>
    <w:multiLevelType w:val="hybridMultilevel"/>
    <w:tmpl w:val="61C42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71310F"/>
    <w:multiLevelType w:val="multilevel"/>
    <w:tmpl w:val="CE367546"/>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8E944C2"/>
    <w:multiLevelType w:val="hybridMultilevel"/>
    <w:tmpl w:val="5BA8B0BC"/>
    <w:lvl w:ilvl="0" w:tplc="898AE00C">
      <w:start w:val="1"/>
      <w:numFmt w:val="bullet"/>
      <w:pStyle w:val="CROMSInstructionalTextBullets"/>
      <w:lvlText w:val=""/>
      <w:lvlJc w:val="left"/>
      <w:pPr>
        <w:ind w:left="720" w:hanging="360"/>
      </w:pPr>
      <w:rPr>
        <w:rFonts w:ascii="Symbol" w:hAnsi="Symbol" w:hint="default"/>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5" w15:restartNumberingAfterBreak="0">
    <w:nsid w:val="4F357906"/>
    <w:multiLevelType w:val="hybridMultilevel"/>
    <w:tmpl w:val="897A8B20"/>
    <w:lvl w:ilvl="0" w:tplc="C9008BCC">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B5357"/>
    <w:multiLevelType w:val="hybridMultilevel"/>
    <w:tmpl w:val="FCC00F36"/>
    <w:lvl w:ilvl="0" w:tplc="D4A08C0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F2052"/>
    <w:multiLevelType w:val="hybridMultilevel"/>
    <w:tmpl w:val="260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7"/>
  </w:num>
  <w:num w:numId="4">
    <w:abstractNumId w:val="2"/>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D0"/>
    <w:rsid w:val="00072F1F"/>
    <w:rsid w:val="00095E13"/>
    <w:rsid w:val="00131E38"/>
    <w:rsid w:val="003679C3"/>
    <w:rsid w:val="004A17A9"/>
    <w:rsid w:val="004B4A25"/>
    <w:rsid w:val="00555D0D"/>
    <w:rsid w:val="006A7009"/>
    <w:rsid w:val="00A278D3"/>
    <w:rsid w:val="00D21FC4"/>
    <w:rsid w:val="00ED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B87B"/>
  <w15:chartTrackingRefBased/>
  <w15:docId w15:val="{9106DE49-AB7B-42B1-9663-AE771F9D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C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FC4"/>
    <w:pPr>
      <w:tabs>
        <w:tab w:val="center" w:pos="4680"/>
        <w:tab w:val="right" w:pos="9360"/>
      </w:tabs>
    </w:pPr>
  </w:style>
  <w:style w:type="character" w:customStyle="1" w:styleId="HeaderChar">
    <w:name w:val="Header Char"/>
    <w:basedOn w:val="DefaultParagraphFont"/>
    <w:link w:val="Header"/>
    <w:uiPriority w:val="99"/>
    <w:rsid w:val="00D21FC4"/>
  </w:style>
  <w:style w:type="paragraph" w:styleId="Footer">
    <w:name w:val="footer"/>
    <w:basedOn w:val="Normal"/>
    <w:link w:val="FooterChar"/>
    <w:uiPriority w:val="99"/>
    <w:unhideWhenUsed/>
    <w:rsid w:val="00D21FC4"/>
    <w:pPr>
      <w:tabs>
        <w:tab w:val="center" w:pos="4680"/>
        <w:tab w:val="right" w:pos="9360"/>
      </w:tabs>
    </w:pPr>
  </w:style>
  <w:style w:type="character" w:customStyle="1" w:styleId="FooterChar">
    <w:name w:val="Footer Char"/>
    <w:basedOn w:val="DefaultParagraphFont"/>
    <w:link w:val="Footer"/>
    <w:uiPriority w:val="99"/>
    <w:rsid w:val="00D21FC4"/>
  </w:style>
  <w:style w:type="paragraph" w:styleId="BlockText">
    <w:name w:val="Block Text"/>
    <w:basedOn w:val="Normal"/>
    <w:link w:val="BlockTextChar"/>
    <w:uiPriority w:val="99"/>
    <w:rsid w:val="00D21FC4"/>
    <w:pPr>
      <w:spacing w:before="120" w:after="120"/>
      <w:ind w:left="720" w:right="720"/>
    </w:pPr>
    <w:rPr>
      <w:rFonts w:ascii="Times New Roman" w:eastAsia="Times New Roman" w:hAnsi="Times New Roman" w:cs="Times New Roman"/>
      <w:i/>
      <w:szCs w:val="20"/>
    </w:rPr>
  </w:style>
  <w:style w:type="character" w:customStyle="1" w:styleId="BlockTextChar">
    <w:name w:val="Block Text Char"/>
    <w:link w:val="BlockText"/>
    <w:uiPriority w:val="99"/>
    <w:locked/>
    <w:rsid w:val="00D21FC4"/>
    <w:rPr>
      <w:rFonts w:ascii="Times New Roman" w:eastAsia="Times New Roman" w:hAnsi="Times New Roman" w:cs="Times New Roman"/>
      <w:i/>
      <w:sz w:val="24"/>
      <w:szCs w:val="20"/>
    </w:rPr>
  </w:style>
  <w:style w:type="paragraph" w:customStyle="1" w:styleId="CROMSInstructionalTextBullets">
    <w:name w:val="CROMS_Instructional Text_Bullets"/>
    <w:basedOn w:val="Normal"/>
    <w:qFormat/>
    <w:rsid w:val="00D21FC4"/>
    <w:pPr>
      <w:numPr>
        <w:numId w:val="1"/>
      </w:numPr>
      <w:spacing w:before="120" w:after="120"/>
    </w:pPr>
    <w:rPr>
      <w:rFonts w:ascii="Arial" w:eastAsia="Times New Roman" w:hAnsi="Arial" w:cs="Times New Roman"/>
      <w:i/>
      <w:iCs/>
      <w:color w:val="1F497D"/>
      <w:szCs w:val="20"/>
    </w:rPr>
  </w:style>
  <w:style w:type="paragraph" w:styleId="ListParagraph">
    <w:name w:val="List Paragraph"/>
    <w:basedOn w:val="Normal"/>
    <w:uiPriority w:val="34"/>
    <w:qFormat/>
    <w:rsid w:val="00D21FC4"/>
    <w:pPr>
      <w:ind w:left="720"/>
      <w:contextualSpacing/>
    </w:pPr>
    <w:rPr>
      <w:rFonts w:ascii="Times New Roman" w:eastAsia="Times New Roman" w:hAnsi="Times New Roman" w:cs="Times New Roman"/>
    </w:rPr>
  </w:style>
  <w:style w:type="character" w:styleId="Hyperlink">
    <w:name w:val="Hyperlink"/>
    <w:rsid w:val="00367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Chukwumezie, Nancy</dc:creator>
  <cp:keywords/>
  <dc:description/>
  <cp:lastModifiedBy>Chukwumezie, Nancy</cp:lastModifiedBy>
  <cp:revision>2</cp:revision>
  <dcterms:created xsi:type="dcterms:W3CDTF">2021-10-01T23:32:00Z</dcterms:created>
  <dcterms:modified xsi:type="dcterms:W3CDTF">2021-10-01T23:32:00Z</dcterms:modified>
</cp:coreProperties>
</file>