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DF" w:rsidRDefault="002431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D84CBF" w:rsidRPr="00D84CBF" w:rsidTr="00D84CBF">
        <w:trPr>
          <w:trHeight w:val="746"/>
        </w:trPr>
        <w:tc>
          <w:tcPr>
            <w:tcW w:w="7308" w:type="dxa"/>
            <w:gridSpan w:val="3"/>
          </w:tcPr>
          <w:p w:rsidR="00D84CBF" w:rsidRPr="00D84CBF" w:rsidRDefault="00D84CBF">
            <w:pPr>
              <w:rPr>
                <w:b/>
              </w:rPr>
            </w:pPr>
            <w:r w:rsidRPr="00D84CBF">
              <w:rPr>
                <w:b/>
              </w:rPr>
              <w:t>Problem:</w:t>
            </w:r>
            <w:r>
              <w:t xml:space="preserve"> The adoption of using genetic testing for determining treatment decisio</w:t>
            </w:r>
            <w:r w:rsidR="009D21E5">
              <w:t xml:space="preserve">ns for patients is not as widespread as hoped. </w:t>
            </w:r>
          </w:p>
        </w:tc>
        <w:tc>
          <w:tcPr>
            <w:tcW w:w="7308" w:type="dxa"/>
            <w:gridSpan w:val="3"/>
          </w:tcPr>
          <w:p w:rsidR="00D84CBF" w:rsidRPr="009D21E5" w:rsidRDefault="00D84CBF" w:rsidP="009D21E5">
            <w:r w:rsidRPr="00D84CBF">
              <w:rPr>
                <w:b/>
              </w:rPr>
              <w:t>Program:</w:t>
            </w:r>
            <w:r w:rsidR="009D21E5">
              <w:rPr>
                <w:b/>
              </w:rPr>
              <w:t xml:space="preserve"> </w:t>
            </w:r>
            <w:r w:rsidR="009D21E5">
              <w:t xml:space="preserve">Give providers training that gives them confidence, skills, and knowledge to use genetic testing for pharmacogenomics.  </w:t>
            </w:r>
          </w:p>
        </w:tc>
      </w:tr>
      <w:tr w:rsidR="00D84CBF" w:rsidRPr="00D84CBF" w:rsidTr="00D84CBF">
        <w:tc>
          <w:tcPr>
            <w:tcW w:w="2436" w:type="dxa"/>
            <w:vMerge w:val="restart"/>
            <w:tcBorders>
              <w:bottom w:val="nil"/>
            </w:tcBorders>
          </w:tcPr>
          <w:p w:rsidR="00D84CBF" w:rsidRPr="00D84CBF" w:rsidRDefault="00D84CBF" w:rsidP="00D84CBF">
            <w:pPr>
              <w:jc w:val="center"/>
              <w:rPr>
                <w:b/>
              </w:rPr>
            </w:pPr>
            <w:r w:rsidRPr="00D84CBF">
              <w:rPr>
                <w:b/>
              </w:rPr>
              <w:t>Inputs</w:t>
            </w:r>
          </w:p>
        </w:tc>
        <w:tc>
          <w:tcPr>
            <w:tcW w:w="4872" w:type="dxa"/>
            <w:gridSpan w:val="2"/>
            <w:tcBorders>
              <w:bottom w:val="single" w:sz="4" w:space="0" w:color="auto"/>
            </w:tcBorders>
          </w:tcPr>
          <w:p w:rsidR="00D84CBF" w:rsidRPr="00D84CBF" w:rsidRDefault="00D84CBF" w:rsidP="00D84CBF">
            <w:pPr>
              <w:jc w:val="center"/>
              <w:rPr>
                <w:b/>
              </w:rPr>
            </w:pPr>
            <w:r w:rsidRPr="00D84CBF">
              <w:rPr>
                <w:b/>
              </w:rPr>
              <w:t>Outputs</w:t>
            </w:r>
          </w:p>
        </w:tc>
        <w:tc>
          <w:tcPr>
            <w:tcW w:w="7308" w:type="dxa"/>
            <w:gridSpan w:val="3"/>
            <w:tcBorders>
              <w:bottom w:val="single" w:sz="4" w:space="0" w:color="auto"/>
            </w:tcBorders>
          </w:tcPr>
          <w:p w:rsidR="00D84CBF" w:rsidRPr="00D84CBF" w:rsidRDefault="00D84CBF" w:rsidP="00D84CBF">
            <w:pPr>
              <w:jc w:val="center"/>
              <w:rPr>
                <w:b/>
              </w:rPr>
            </w:pPr>
            <w:r w:rsidRPr="00D84CBF">
              <w:rPr>
                <w:b/>
              </w:rPr>
              <w:t>Outcomes</w:t>
            </w:r>
          </w:p>
        </w:tc>
      </w:tr>
      <w:tr w:rsidR="00D84CBF" w:rsidRPr="00D84CBF" w:rsidTr="00D84CBF">
        <w:tc>
          <w:tcPr>
            <w:tcW w:w="2436" w:type="dxa"/>
            <w:vMerge/>
            <w:tcBorders>
              <w:bottom w:val="nil"/>
            </w:tcBorders>
          </w:tcPr>
          <w:p w:rsidR="00D84CBF" w:rsidRPr="00D84CBF" w:rsidRDefault="00D84CBF" w:rsidP="00D84CBF">
            <w:pPr>
              <w:jc w:val="center"/>
              <w:rPr>
                <w:b/>
              </w:rPr>
            </w:pPr>
          </w:p>
        </w:tc>
        <w:tc>
          <w:tcPr>
            <w:tcW w:w="2436" w:type="dxa"/>
            <w:tcBorders>
              <w:bottom w:val="nil"/>
            </w:tcBorders>
          </w:tcPr>
          <w:p w:rsidR="00D84CBF" w:rsidRPr="00D84CBF" w:rsidRDefault="00D84CBF" w:rsidP="00D84CBF">
            <w:pPr>
              <w:jc w:val="center"/>
              <w:rPr>
                <w:b/>
              </w:rPr>
            </w:pPr>
            <w:r w:rsidRPr="00D84CBF">
              <w:rPr>
                <w:b/>
              </w:rPr>
              <w:t>Activities</w:t>
            </w:r>
          </w:p>
        </w:tc>
        <w:tc>
          <w:tcPr>
            <w:tcW w:w="2436" w:type="dxa"/>
            <w:tcBorders>
              <w:bottom w:val="nil"/>
            </w:tcBorders>
          </w:tcPr>
          <w:p w:rsidR="00D84CBF" w:rsidRPr="00D84CBF" w:rsidRDefault="00D84CBF" w:rsidP="00D84CBF">
            <w:pPr>
              <w:jc w:val="center"/>
              <w:rPr>
                <w:b/>
              </w:rPr>
            </w:pPr>
            <w:r w:rsidRPr="00D84CBF">
              <w:rPr>
                <w:b/>
              </w:rPr>
              <w:t>Participation</w:t>
            </w:r>
          </w:p>
        </w:tc>
        <w:tc>
          <w:tcPr>
            <w:tcW w:w="2436" w:type="dxa"/>
            <w:tcBorders>
              <w:bottom w:val="nil"/>
            </w:tcBorders>
          </w:tcPr>
          <w:p w:rsidR="00D84CBF" w:rsidRPr="00D84CBF" w:rsidRDefault="00D84CBF" w:rsidP="00D84CBF">
            <w:pPr>
              <w:jc w:val="center"/>
              <w:rPr>
                <w:b/>
              </w:rPr>
            </w:pPr>
            <w:r w:rsidRPr="00D84CBF">
              <w:rPr>
                <w:b/>
              </w:rPr>
              <w:t>Short-term</w:t>
            </w:r>
          </w:p>
        </w:tc>
        <w:tc>
          <w:tcPr>
            <w:tcW w:w="2436" w:type="dxa"/>
            <w:tcBorders>
              <w:bottom w:val="nil"/>
            </w:tcBorders>
          </w:tcPr>
          <w:p w:rsidR="00D84CBF" w:rsidRPr="00D84CBF" w:rsidRDefault="00D84CBF" w:rsidP="00D84CBF">
            <w:pPr>
              <w:jc w:val="center"/>
              <w:rPr>
                <w:b/>
              </w:rPr>
            </w:pPr>
            <w:r w:rsidRPr="00D84CBF">
              <w:rPr>
                <w:b/>
              </w:rPr>
              <w:t>Intermediate</w:t>
            </w:r>
          </w:p>
        </w:tc>
        <w:tc>
          <w:tcPr>
            <w:tcW w:w="2436" w:type="dxa"/>
            <w:tcBorders>
              <w:bottom w:val="nil"/>
            </w:tcBorders>
          </w:tcPr>
          <w:p w:rsidR="00D84CBF" w:rsidRPr="00D84CBF" w:rsidRDefault="00D84CBF" w:rsidP="00D84CBF">
            <w:pPr>
              <w:jc w:val="center"/>
              <w:rPr>
                <w:b/>
              </w:rPr>
            </w:pPr>
            <w:r w:rsidRPr="00D84CBF">
              <w:rPr>
                <w:b/>
              </w:rPr>
              <w:t>Long-term</w:t>
            </w:r>
          </w:p>
        </w:tc>
      </w:tr>
      <w:tr w:rsidR="00D84CBF" w:rsidRPr="00D84CBF" w:rsidTr="003E7330">
        <w:trPr>
          <w:trHeight w:val="5913"/>
        </w:trPr>
        <w:tc>
          <w:tcPr>
            <w:tcW w:w="2436" w:type="dxa"/>
            <w:tcBorders>
              <w:top w:val="nil"/>
            </w:tcBorders>
          </w:tcPr>
          <w:p w:rsidR="00D84CBF" w:rsidRDefault="009D21E5" w:rsidP="009D21E5">
            <w:pPr>
              <w:pStyle w:val="ListParagraph"/>
              <w:numPr>
                <w:ilvl w:val="0"/>
                <w:numId w:val="2"/>
              </w:numPr>
              <w:ind w:left="180" w:hanging="180"/>
            </w:pPr>
            <w:r w:rsidRPr="009D21E5">
              <w:t>Training staff</w:t>
            </w:r>
            <w:r>
              <w:t xml:space="preserve"> that will present seminars /workshops, </w:t>
            </w:r>
            <w:proofErr w:type="spellStart"/>
            <w:r>
              <w:t>etc</w:t>
            </w:r>
            <w:proofErr w:type="spellEnd"/>
            <w:r>
              <w:t xml:space="preserve"> for providers</w:t>
            </w:r>
          </w:p>
          <w:p w:rsidR="009D21E5" w:rsidRDefault="009D21E5" w:rsidP="009D21E5">
            <w:pPr>
              <w:pStyle w:val="ListParagraph"/>
              <w:numPr>
                <w:ilvl w:val="0"/>
                <w:numId w:val="2"/>
              </w:numPr>
              <w:ind w:left="180" w:hanging="180"/>
            </w:pPr>
            <w:r>
              <w:t>Grant funding (to be determined)</w:t>
            </w:r>
          </w:p>
          <w:p w:rsidR="009D21E5" w:rsidRDefault="009D21E5" w:rsidP="009D21E5">
            <w:pPr>
              <w:pStyle w:val="ListParagraph"/>
              <w:numPr>
                <w:ilvl w:val="0"/>
                <w:numId w:val="2"/>
              </w:numPr>
              <w:ind w:left="180" w:hanging="180"/>
            </w:pPr>
            <w:r>
              <w:t xml:space="preserve">Literature review from the field of pharmacogenomics </w:t>
            </w:r>
          </w:p>
          <w:p w:rsidR="003E7330" w:rsidRDefault="003E7330" w:rsidP="009D21E5">
            <w:pPr>
              <w:pStyle w:val="ListParagraph"/>
              <w:numPr>
                <w:ilvl w:val="0"/>
                <w:numId w:val="2"/>
              </w:numPr>
              <w:ind w:left="180" w:hanging="180"/>
            </w:pPr>
            <w:r>
              <w:t>Participation and/or support from stakeholders: health system administrators, providers, laboratory director</w:t>
            </w:r>
          </w:p>
          <w:p w:rsidR="009D21E5" w:rsidRPr="009D21E5" w:rsidRDefault="009D21E5" w:rsidP="003E7330">
            <w:pPr>
              <w:pStyle w:val="ListParagraph"/>
              <w:ind w:left="180"/>
            </w:pPr>
          </w:p>
        </w:tc>
        <w:tc>
          <w:tcPr>
            <w:tcW w:w="2436" w:type="dxa"/>
            <w:tcBorders>
              <w:top w:val="nil"/>
            </w:tcBorders>
          </w:tcPr>
          <w:p w:rsidR="00D84CBF" w:rsidRDefault="003E7330" w:rsidP="003E7330">
            <w:pPr>
              <w:pStyle w:val="ListParagraph"/>
              <w:numPr>
                <w:ilvl w:val="0"/>
                <w:numId w:val="2"/>
              </w:numPr>
              <w:ind w:left="180" w:hanging="180"/>
            </w:pPr>
            <w:r w:rsidRPr="003E7330">
              <w:t>Seminars/workshops</w:t>
            </w:r>
            <w:r>
              <w:t xml:space="preserve"> regarding use and interpretation of genetic data as how to discuss genetic data with patients</w:t>
            </w:r>
          </w:p>
          <w:p w:rsidR="003E7330" w:rsidRDefault="003E7330" w:rsidP="003E7330">
            <w:pPr>
              <w:pStyle w:val="ListParagraph"/>
              <w:numPr>
                <w:ilvl w:val="0"/>
                <w:numId w:val="2"/>
              </w:numPr>
              <w:ind w:left="180" w:hanging="180"/>
            </w:pPr>
            <w:r>
              <w:t>Regular sessions where providers discuss their experiences with using genetic data</w:t>
            </w:r>
          </w:p>
          <w:p w:rsidR="003E7330" w:rsidRDefault="003E7330" w:rsidP="003E7330">
            <w:pPr>
              <w:pStyle w:val="ListParagraph"/>
              <w:numPr>
                <w:ilvl w:val="0"/>
                <w:numId w:val="2"/>
              </w:numPr>
              <w:ind w:left="180" w:hanging="180"/>
            </w:pPr>
            <w:r>
              <w:t>Survey providers to understand their level of confidence and knowledge with genetic data before and after training</w:t>
            </w:r>
          </w:p>
          <w:p w:rsidR="003E7330" w:rsidRPr="003E7330" w:rsidRDefault="003E7330" w:rsidP="003E7330">
            <w:pPr>
              <w:pStyle w:val="ListParagraph"/>
              <w:numPr>
                <w:ilvl w:val="0"/>
                <w:numId w:val="2"/>
              </w:numPr>
              <w:ind w:left="180" w:hanging="180"/>
            </w:pPr>
            <w:r>
              <w:t>Survey patients to determine how genetic data should be best presented to patients</w:t>
            </w:r>
          </w:p>
        </w:tc>
        <w:tc>
          <w:tcPr>
            <w:tcW w:w="2436" w:type="dxa"/>
            <w:tcBorders>
              <w:top w:val="nil"/>
            </w:tcBorders>
          </w:tcPr>
          <w:p w:rsidR="00D84CBF" w:rsidRPr="003E7330" w:rsidRDefault="003E7330" w:rsidP="003E7330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>
              <w:t>Physicians</w:t>
            </w:r>
          </w:p>
          <w:p w:rsidR="003E7330" w:rsidRPr="003E7330" w:rsidRDefault="003E7330" w:rsidP="003E7330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>
              <w:t>Nurses</w:t>
            </w:r>
          </w:p>
          <w:p w:rsidR="003E7330" w:rsidRPr="003E7330" w:rsidRDefault="003E7330" w:rsidP="003E7330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>
              <w:t>Patient population/ community</w:t>
            </w:r>
          </w:p>
        </w:tc>
        <w:tc>
          <w:tcPr>
            <w:tcW w:w="2436" w:type="dxa"/>
            <w:tcBorders>
              <w:top w:val="nil"/>
            </w:tcBorders>
          </w:tcPr>
          <w:p w:rsidR="00D84CBF" w:rsidRPr="003E7330" w:rsidRDefault="009D21E5" w:rsidP="009D21E5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 w:rsidRPr="009D21E5">
              <w:t>Training</w:t>
            </w:r>
            <w:r>
              <w:t xml:space="preserve"> materials: lecture slides, case vignettes </w:t>
            </w:r>
          </w:p>
          <w:p w:rsidR="003E7330" w:rsidRPr="003E7330" w:rsidRDefault="003E7330" w:rsidP="009D21E5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>
              <w:t>Analysis of provider survey pre-training and post-training</w:t>
            </w:r>
          </w:p>
          <w:p w:rsidR="003E7330" w:rsidRPr="003E7330" w:rsidRDefault="003E7330" w:rsidP="009D21E5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>
              <w:t>Attendance at trainings</w:t>
            </w:r>
          </w:p>
          <w:p w:rsidR="003E7330" w:rsidRPr="009D21E5" w:rsidRDefault="003E7330" w:rsidP="009D21E5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>
              <w:t>Analysis of patient surveys</w:t>
            </w:r>
          </w:p>
        </w:tc>
        <w:tc>
          <w:tcPr>
            <w:tcW w:w="2436" w:type="dxa"/>
            <w:tcBorders>
              <w:top w:val="nil"/>
            </w:tcBorders>
          </w:tcPr>
          <w:p w:rsidR="00D84CBF" w:rsidRPr="003E7330" w:rsidRDefault="003E7330" w:rsidP="003E7330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>
              <w:t>Implementation</w:t>
            </w:r>
            <w:r>
              <w:t xml:space="preserve"> of personalized medicine by prescribing treatment</w:t>
            </w:r>
            <w:r>
              <w:t xml:space="preserve"> to patients based on their genetic profiles</w:t>
            </w:r>
          </w:p>
          <w:p w:rsidR="003E7330" w:rsidRPr="00D84CBF" w:rsidRDefault="003E7330" w:rsidP="00122428">
            <w:pPr>
              <w:pStyle w:val="ListParagraph"/>
              <w:ind w:left="180"/>
              <w:rPr>
                <w:b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D84CBF" w:rsidRDefault="003E7330" w:rsidP="003E7330">
            <w:pPr>
              <w:pStyle w:val="ListParagraph"/>
              <w:numPr>
                <w:ilvl w:val="0"/>
                <w:numId w:val="2"/>
              </w:numPr>
              <w:ind w:left="180" w:hanging="180"/>
            </w:pPr>
            <w:r>
              <w:t xml:space="preserve">Better treatment efficacy </w:t>
            </w:r>
          </w:p>
          <w:p w:rsidR="00122428" w:rsidRDefault="003E7330" w:rsidP="003E7330">
            <w:pPr>
              <w:pStyle w:val="ListParagraph"/>
              <w:numPr>
                <w:ilvl w:val="0"/>
                <w:numId w:val="2"/>
              </w:numPr>
              <w:ind w:left="180" w:hanging="180"/>
            </w:pPr>
            <w:r>
              <w:t>Improved survival for patients with chronic diseases such as cancer and heart disease</w:t>
            </w:r>
            <w:r w:rsidR="00122428">
              <w:t xml:space="preserve"> </w:t>
            </w:r>
          </w:p>
          <w:p w:rsidR="003E7330" w:rsidRPr="003E7330" w:rsidRDefault="00122428" w:rsidP="003E7330">
            <w:pPr>
              <w:pStyle w:val="ListParagraph"/>
              <w:numPr>
                <w:ilvl w:val="0"/>
                <w:numId w:val="2"/>
              </w:numPr>
              <w:ind w:left="180" w:hanging="180"/>
            </w:pPr>
            <w:r>
              <w:t>Increased patient satisfaction</w:t>
            </w:r>
          </w:p>
        </w:tc>
      </w:tr>
      <w:tr w:rsidR="00D84CBF" w:rsidRPr="00D84CBF" w:rsidTr="00122428">
        <w:trPr>
          <w:trHeight w:val="2204"/>
        </w:trPr>
        <w:tc>
          <w:tcPr>
            <w:tcW w:w="7308" w:type="dxa"/>
            <w:gridSpan w:val="3"/>
          </w:tcPr>
          <w:p w:rsidR="00D84CBF" w:rsidRDefault="00D84CBF">
            <w:pPr>
              <w:rPr>
                <w:b/>
              </w:rPr>
            </w:pPr>
            <w:r w:rsidRPr="00D84CBF">
              <w:rPr>
                <w:b/>
              </w:rPr>
              <w:t>Program Assumptions</w:t>
            </w:r>
            <w:r>
              <w:rPr>
                <w:b/>
              </w:rPr>
              <w:t>:</w:t>
            </w:r>
          </w:p>
          <w:p w:rsidR="00122428" w:rsidRPr="00122428" w:rsidRDefault="00122428" w:rsidP="0012242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 w:rsidRPr="00122428">
              <w:t>Implementation of personalized medicine is</w:t>
            </w:r>
            <w:r>
              <w:t xml:space="preserve"> beneficial for patients</w:t>
            </w:r>
          </w:p>
          <w:p w:rsidR="00122428" w:rsidRPr="00122428" w:rsidRDefault="00122428" w:rsidP="0012242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>
              <w:t xml:space="preserve">There is consensus on at least some genetic markers important for determining treatment (although not all genetic markers have consensus, we can at least start training and implementing practice </w:t>
            </w:r>
            <w:r w:rsidRPr="00122428">
              <w:t xml:space="preserve">of </w:t>
            </w:r>
            <w:r>
              <w:t xml:space="preserve">using </w:t>
            </w:r>
            <w:r w:rsidRPr="00122428">
              <w:t>those with consensus)</w:t>
            </w:r>
          </w:p>
          <w:p w:rsidR="00122428" w:rsidRPr="00D84CBF" w:rsidRDefault="00122428" w:rsidP="0012242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>
              <w:t>Pharmaceutical companies will continue to contributed to</w:t>
            </w:r>
            <w:bookmarkStart w:id="0" w:name="_GoBack"/>
            <w:bookmarkEnd w:id="0"/>
            <w:r>
              <w:t xml:space="preserve"> the science of pharmacogenomics as part of their drug development </w:t>
            </w:r>
          </w:p>
        </w:tc>
        <w:tc>
          <w:tcPr>
            <w:tcW w:w="7308" w:type="dxa"/>
            <w:gridSpan w:val="3"/>
          </w:tcPr>
          <w:p w:rsidR="00D84CBF" w:rsidRDefault="00D84CBF">
            <w:pPr>
              <w:rPr>
                <w:b/>
              </w:rPr>
            </w:pPr>
            <w:r w:rsidRPr="00D84CBF">
              <w:rPr>
                <w:b/>
              </w:rPr>
              <w:t>Environmental Factors</w:t>
            </w:r>
            <w:r>
              <w:rPr>
                <w:b/>
              </w:rPr>
              <w:t>:</w:t>
            </w:r>
          </w:p>
          <w:p w:rsidR="00122428" w:rsidRPr="00122428" w:rsidRDefault="00122428" w:rsidP="0012242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 w:rsidRPr="00122428">
              <w:t>Changing science of genetic testing and pharmacogenomics</w:t>
            </w:r>
          </w:p>
          <w:p w:rsidR="00122428" w:rsidRPr="00D84CBF" w:rsidRDefault="00122428" w:rsidP="0012242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b/>
              </w:rPr>
            </w:pPr>
            <w:r>
              <w:t>Ethical concerns surrounding use of genetic data that may impact political arena and result in new legislation about genetic data</w:t>
            </w:r>
          </w:p>
        </w:tc>
      </w:tr>
    </w:tbl>
    <w:p w:rsidR="00D84CBF" w:rsidRDefault="00D84CBF"/>
    <w:p w:rsidR="00D84CBF" w:rsidRDefault="00D84CBF"/>
    <w:sectPr w:rsidR="00D84CBF" w:rsidSect="00D84CBF">
      <w:headerReference w:type="default" r:id="rId8"/>
      <w:pgSz w:w="15840" w:h="12240" w:orient="landscape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4F" w:rsidRDefault="004D7B4F" w:rsidP="00D84CBF">
      <w:pPr>
        <w:spacing w:after="0" w:line="240" w:lineRule="auto"/>
      </w:pPr>
      <w:r>
        <w:separator/>
      </w:r>
    </w:p>
  </w:endnote>
  <w:endnote w:type="continuationSeparator" w:id="0">
    <w:p w:rsidR="004D7B4F" w:rsidRDefault="004D7B4F" w:rsidP="00D8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4F" w:rsidRDefault="004D7B4F" w:rsidP="00D84CBF">
      <w:pPr>
        <w:spacing w:after="0" w:line="240" w:lineRule="auto"/>
      </w:pPr>
      <w:r>
        <w:separator/>
      </w:r>
    </w:p>
  </w:footnote>
  <w:footnote w:type="continuationSeparator" w:id="0">
    <w:p w:rsidR="004D7B4F" w:rsidRDefault="004D7B4F" w:rsidP="00D8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BF" w:rsidRDefault="00D84CBF">
    <w:pPr>
      <w:pStyle w:val="Header"/>
    </w:pPr>
    <w:r>
      <w:t>Caroline Tai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36B"/>
    <w:multiLevelType w:val="hybridMultilevel"/>
    <w:tmpl w:val="7964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C3AE2"/>
    <w:multiLevelType w:val="hybridMultilevel"/>
    <w:tmpl w:val="987C54EA"/>
    <w:lvl w:ilvl="0" w:tplc="0B9CE2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BF"/>
    <w:rsid w:val="00122428"/>
    <w:rsid w:val="002431DF"/>
    <w:rsid w:val="003E7330"/>
    <w:rsid w:val="004D7B4F"/>
    <w:rsid w:val="009D21E5"/>
    <w:rsid w:val="00D8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BF"/>
  </w:style>
  <w:style w:type="paragraph" w:styleId="Footer">
    <w:name w:val="footer"/>
    <w:basedOn w:val="Normal"/>
    <w:link w:val="FooterChar"/>
    <w:uiPriority w:val="99"/>
    <w:unhideWhenUsed/>
    <w:rsid w:val="00D8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BF"/>
  </w:style>
  <w:style w:type="table" w:styleId="TableGrid">
    <w:name w:val="Table Grid"/>
    <w:basedOn w:val="TableNormal"/>
    <w:uiPriority w:val="59"/>
    <w:rsid w:val="00D8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2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BF"/>
  </w:style>
  <w:style w:type="paragraph" w:styleId="Footer">
    <w:name w:val="footer"/>
    <w:basedOn w:val="Normal"/>
    <w:link w:val="FooterChar"/>
    <w:uiPriority w:val="99"/>
    <w:unhideWhenUsed/>
    <w:rsid w:val="00D8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BF"/>
  </w:style>
  <w:style w:type="table" w:styleId="TableGrid">
    <w:name w:val="Table Grid"/>
    <w:basedOn w:val="TableNormal"/>
    <w:uiPriority w:val="59"/>
    <w:rsid w:val="00D8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1</cp:revision>
  <dcterms:created xsi:type="dcterms:W3CDTF">2013-11-20T23:08:00Z</dcterms:created>
  <dcterms:modified xsi:type="dcterms:W3CDTF">2013-11-20T23:43:00Z</dcterms:modified>
</cp:coreProperties>
</file>