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2FF90" w14:textId="06842872" w:rsidR="00863CDB" w:rsidRDefault="00863CDB" w:rsidP="009E2E92">
      <w:pPr>
        <w:rPr>
          <w:rFonts w:ascii="Helvetica" w:eastAsia="Times New Roman" w:hAnsi="Helvetica" w:cs="Times New Roman"/>
          <w:b/>
          <w:sz w:val="22"/>
          <w:szCs w:val="22"/>
        </w:rPr>
      </w:pPr>
      <w:r>
        <w:rPr>
          <w:rFonts w:ascii="Helvetica" w:eastAsia="Times New Roman" w:hAnsi="Helvetica" w:cs="Times New Roman"/>
          <w:b/>
          <w:sz w:val="22"/>
          <w:szCs w:val="22"/>
        </w:rPr>
        <w:t>Logic Model for program evaluation</w:t>
      </w:r>
      <w:r w:rsidR="00387BBF">
        <w:rPr>
          <w:rFonts w:ascii="Helvetica" w:eastAsia="Times New Roman" w:hAnsi="Helvetica" w:cs="Times New Roman"/>
          <w:b/>
          <w:sz w:val="22"/>
          <w:szCs w:val="22"/>
        </w:rPr>
        <w:t xml:space="preserve"> (Nov 21, 2013)</w:t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</w:r>
      <w:r w:rsidR="001A51C2">
        <w:rPr>
          <w:rFonts w:ascii="Helvetica" w:eastAsia="Times New Roman" w:hAnsi="Helvetica" w:cs="Times New Roman"/>
          <w:b/>
          <w:sz w:val="22"/>
          <w:szCs w:val="22"/>
        </w:rPr>
        <w:tab/>
        <w:t>Joelle Brown</w:t>
      </w:r>
    </w:p>
    <w:p w14:paraId="31BDBE03" w14:textId="77777777" w:rsidR="00863CDB" w:rsidRDefault="00863CDB" w:rsidP="009E2E92">
      <w:pPr>
        <w:rPr>
          <w:rFonts w:ascii="Helvetica" w:eastAsia="Times New Roman" w:hAnsi="Helvetica" w:cs="Times New Roman"/>
          <w:b/>
          <w:sz w:val="22"/>
          <w:szCs w:val="22"/>
        </w:rPr>
      </w:pPr>
    </w:p>
    <w:p w14:paraId="4F022655" w14:textId="6C631F89" w:rsidR="002D3636" w:rsidRPr="00863CDB" w:rsidRDefault="009E2E92" w:rsidP="009E2E92">
      <w:pPr>
        <w:rPr>
          <w:rFonts w:ascii="Helvetica" w:eastAsia="Times New Roman" w:hAnsi="Helvetica" w:cs="Times New Roman"/>
          <w:b/>
          <w:sz w:val="22"/>
          <w:szCs w:val="22"/>
        </w:rPr>
      </w:pPr>
      <w:r w:rsidRPr="009E2E92">
        <w:rPr>
          <w:rFonts w:ascii="Helvetica" w:eastAsia="Times New Roman" w:hAnsi="Helvetica" w:cs="Times New Roman"/>
          <w:b/>
          <w:sz w:val="22"/>
          <w:szCs w:val="22"/>
        </w:rPr>
        <w:t>Title</w:t>
      </w:r>
      <w:r w:rsidR="002D3636" w:rsidRPr="00602D32">
        <w:rPr>
          <w:rFonts w:ascii="Helvetica" w:eastAsia="Times New Roman" w:hAnsi="Helvetica" w:cs="Times New Roman"/>
          <w:b/>
          <w:sz w:val="22"/>
          <w:szCs w:val="22"/>
        </w:rPr>
        <w:t>:</w:t>
      </w:r>
      <w:r w:rsidR="002D3636">
        <w:rPr>
          <w:rFonts w:ascii="Helvetica" w:eastAsia="Times New Roman" w:hAnsi="Helvetica" w:cs="Times New Roman"/>
          <w:sz w:val="22"/>
          <w:szCs w:val="22"/>
        </w:rPr>
        <w:t xml:space="preserve">  An evaluation of </w:t>
      </w:r>
      <w:r w:rsidR="006F250C">
        <w:rPr>
          <w:rFonts w:ascii="Helvetica" w:eastAsia="Times New Roman" w:hAnsi="Helvetica" w:cs="Times New Roman"/>
          <w:sz w:val="22"/>
          <w:szCs w:val="22"/>
        </w:rPr>
        <w:t>the S</w:t>
      </w:r>
      <w:r w:rsidR="002D3636">
        <w:rPr>
          <w:rFonts w:ascii="Helvetica" w:eastAsia="Times New Roman" w:hAnsi="Helvetica" w:cs="Times New Roman"/>
          <w:sz w:val="22"/>
          <w:szCs w:val="22"/>
        </w:rPr>
        <w:t xml:space="preserve">afer </w:t>
      </w:r>
      <w:r w:rsidR="006F250C">
        <w:rPr>
          <w:rFonts w:ascii="Helvetica" w:eastAsia="Times New Roman" w:hAnsi="Helvetica" w:cs="Times New Roman"/>
          <w:sz w:val="22"/>
          <w:szCs w:val="22"/>
        </w:rPr>
        <w:t>C</w:t>
      </w:r>
      <w:r w:rsidR="002D3636">
        <w:rPr>
          <w:rFonts w:ascii="Helvetica" w:eastAsia="Times New Roman" w:hAnsi="Helvetica" w:cs="Times New Roman"/>
          <w:sz w:val="22"/>
          <w:szCs w:val="22"/>
        </w:rPr>
        <w:t>onception program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 (SAFER)</w:t>
      </w:r>
      <w:r w:rsidR="002D3636">
        <w:rPr>
          <w:rFonts w:ascii="Helvetica" w:eastAsia="Times New Roman" w:hAnsi="Helvetica" w:cs="Times New Roman"/>
          <w:sz w:val="22"/>
          <w:szCs w:val="22"/>
        </w:rPr>
        <w:t xml:space="preserve"> in Kisumu, Kenya between January 2015 - 2017 </w:t>
      </w:r>
    </w:p>
    <w:p w14:paraId="3B2D5938" w14:textId="77777777" w:rsidR="002D3636" w:rsidRDefault="002D3636" w:rsidP="009E2E92">
      <w:pPr>
        <w:rPr>
          <w:rFonts w:ascii="Helvetica" w:eastAsia="Times New Roman" w:hAnsi="Helvetica" w:cs="Times New Roman"/>
          <w:sz w:val="22"/>
          <w:szCs w:val="22"/>
        </w:rPr>
      </w:pPr>
    </w:p>
    <w:p w14:paraId="0A20CE01" w14:textId="50E5FE51" w:rsidR="00602D32" w:rsidRPr="00FF4EB1" w:rsidRDefault="009E2E92" w:rsidP="009E2E92">
      <w:pPr>
        <w:rPr>
          <w:rFonts w:ascii="Helvetica" w:eastAsia="Times New Roman" w:hAnsi="Helvetica" w:cs="Times New Roman"/>
          <w:b/>
          <w:sz w:val="22"/>
          <w:szCs w:val="22"/>
        </w:rPr>
      </w:pPr>
      <w:r w:rsidRPr="009E2E92">
        <w:rPr>
          <w:rFonts w:ascii="Helvetica" w:eastAsia="Times New Roman" w:hAnsi="Helvetica" w:cs="Times New Roman"/>
          <w:b/>
          <w:sz w:val="22"/>
          <w:szCs w:val="22"/>
        </w:rPr>
        <w:t xml:space="preserve">Intended use and users: </w:t>
      </w:r>
      <w:r w:rsidR="00FF4EB1">
        <w:rPr>
          <w:rFonts w:ascii="Helvetica" w:eastAsia="Times New Roman" w:hAnsi="Helvetica" w:cs="Times New Roman"/>
          <w:b/>
          <w:sz w:val="22"/>
          <w:szCs w:val="22"/>
        </w:rPr>
        <w:t xml:space="preserve"> </w:t>
      </w:r>
      <w:r w:rsidR="00602D32">
        <w:rPr>
          <w:rFonts w:ascii="Helvetica" w:eastAsia="Times New Roman" w:hAnsi="Helvetica" w:cs="Times New Roman"/>
          <w:sz w:val="22"/>
          <w:szCs w:val="22"/>
        </w:rPr>
        <w:t>The purpose of the evaluation is to inform Ministry of Health, and health policy makers in Kenya, and other c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ountries in sub-Saharan Africa </w:t>
      </w:r>
      <w:r w:rsidR="00602D32">
        <w:rPr>
          <w:rFonts w:ascii="Helvetica" w:eastAsia="Times New Roman" w:hAnsi="Helvetica" w:cs="Times New Roman"/>
          <w:sz w:val="22"/>
          <w:szCs w:val="22"/>
        </w:rPr>
        <w:t>about the short</w:t>
      </w:r>
      <w:r w:rsidR="00471A64">
        <w:rPr>
          <w:rFonts w:ascii="Helvetica" w:eastAsia="Times New Roman" w:hAnsi="Helvetica" w:cs="Times New Roman"/>
          <w:sz w:val="22"/>
          <w:szCs w:val="22"/>
        </w:rPr>
        <w:t>, medium and long-</w:t>
      </w:r>
      <w:r w:rsidR="00602D32">
        <w:rPr>
          <w:rFonts w:ascii="Helvetica" w:eastAsia="Times New Roman" w:hAnsi="Helvetica" w:cs="Times New Roman"/>
          <w:sz w:val="22"/>
          <w:szCs w:val="22"/>
        </w:rPr>
        <w:t xml:space="preserve">term </w:t>
      </w:r>
      <w:r w:rsidR="00471A64">
        <w:rPr>
          <w:rFonts w:ascii="Helvetica" w:eastAsia="Times New Roman" w:hAnsi="Helvetica" w:cs="Times New Roman"/>
          <w:sz w:val="22"/>
          <w:szCs w:val="22"/>
        </w:rPr>
        <w:t>outcomes</w:t>
      </w:r>
      <w:r w:rsidR="00602D32">
        <w:rPr>
          <w:rFonts w:ascii="Helvetica" w:eastAsia="Times New Roman" w:hAnsi="Helvetica" w:cs="Times New Roman"/>
          <w:sz w:val="22"/>
          <w:szCs w:val="22"/>
        </w:rPr>
        <w:t xml:space="preserve">, impact and cost-effectiveness of providing safer conception strategies to HIV-serodiscordant couples who desire conception. Results will also be made available to researchers and program planners. </w:t>
      </w:r>
    </w:p>
    <w:p w14:paraId="055DE4F1" w14:textId="77777777" w:rsidR="002D3636" w:rsidRDefault="002D3636" w:rsidP="009E2E92">
      <w:pPr>
        <w:rPr>
          <w:rFonts w:ascii="Helvetica" w:eastAsia="Times New Roman" w:hAnsi="Helvetica" w:cs="Times New Roman"/>
          <w:sz w:val="22"/>
          <w:szCs w:val="22"/>
        </w:rPr>
      </w:pPr>
    </w:p>
    <w:p w14:paraId="70B29058" w14:textId="548AF7BB" w:rsidR="00170280" w:rsidRDefault="009E2E92" w:rsidP="005F6E74">
      <w:pPr>
        <w:rPr>
          <w:rFonts w:ascii="Helvetica" w:eastAsia="Times New Roman" w:hAnsi="Helvetica" w:cs="Times New Roman"/>
          <w:sz w:val="22"/>
          <w:szCs w:val="22"/>
        </w:rPr>
      </w:pPr>
      <w:r w:rsidRPr="009E2E92">
        <w:rPr>
          <w:rFonts w:ascii="Helvetica" w:eastAsia="Times New Roman" w:hAnsi="Helvetica" w:cs="Times New Roman"/>
          <w:b/>
          <w:sz w:val="22"/>
          <w:szCs w:val="22"/>
        </w:rPr>
        <w:t>Program description</w:t>
      </w:r>
      <w:r w:rsidR="00237BD3">
        <w:rPr>
          <w:rFonts w:ascii="Helvetica" w:eastAsia="Times New Roman" w:hAnsi="Helvetica" w:cs="Times New Roman"/>
          <w:b/>
          <w:sz w:val="22"/>
          <w:szCs w:val="22"/>
        </w:rPr>
        <w:t xml:space="preserve">: </w:t>
      </w:r>
      <w:r w:rsidR="005F6E74">
        <w:rPr>
          <w:rFonts w:ascii="Helvetica" w:eastAsia="Times New Roman" w:hAnsi="Helvetica" w:cs="Times New Roman"/>
          <w:sz w:val="22"/>
          <w:szCs w:val="22"/>
        </w:rPr>
        <w:t>I am</w:t>
      </w:r>
      <w:r w:rsidR="002E5FAA">
        <w:rPr>
          <w:rFonts w:ascii="Helvetica" w:eastAsia="Times New Roman" w:hAnsi="Helvetica" w:cs="Times New Roman"/>
          <w:sz w:val="22"/>
          <w:szCs w:val="22"/>
        </w:rPr>
        <w:t xml:space="preserve"> planning to develop, implement, and evaluate a Safer Conception program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(SAFER) </w:t>
      </w:r>
      <w:r w:rsidR="002E5FAA">
        <w:rPr>
          <w:rFonts w:ascii="Helvetica" w:eastAsia="Times New Roman" w:hAnsi="Helvetica" w:cs="Times New Roman"/>
          <w:sz w:val="22"/>
          <w:szCs w:val="22"/>
        </w:rPr>
        <w:t>for Ministry of Health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 (MOH)</w:t>
      </w:r>
      <w:r w:rsidR="002E5FAA">
        <w:rPr>
          <w:rFonts w:ascii="Helvetica" w:eastAsia="Times New Roman" w:hAnsi="Helvetica" w:cs="Times New Roman"/>
          <w:sz w:val="22"/>
          <w:szCs w:val="22"/>
        </w:rPr>
        <w:t xml:space="preserve"> clinics in </w:t>
      </w:r>
      <w:r w:rsidR="00F14D0A">
        <w:rPr>
          <w:rFonts w:ascii="Helvetica" w:eastAsia="Times New Roman" w:hAnsi="Helvetica" w:cs="Times New Roman"/>
          <w:sz w:val="22"/>
          <w:szCs w:val="22"/>
        </w:rPr>
        <w:t>Nyanza</w:t>
      </w:r>
      <w:r w:rsidR="002E5FAA">
        <w:rPr>
          <w:rFonts w:ascii="Helvetica" w:eastAsia="Times New Roman" w:hAnsi="Helvetica" w:cs="Times New Roman"/>
          <w:sz w:val="22"/>
          <w:szCs w:val="22"/>
        </w:rPr>
        <w:t>, Kenya.</w:t>
      </w:r>
      <w:r w:rsidR="005F6E74" w:rsidRPr="005F6E74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 I am doing this work in collaboration with MOH-FACES clinics in </w:t>
      </w:r>
      <w:r w:rsidR="00F14D0A">
        <w:rPr>
          <w:rFonts w:ascii="Helvetica" w:eastAsia="Times New Roman" w:hAnsi="Helvetica" w:cs="Times New Roman"/>
          <w:sz w:val="22"/>
          <w:szCs w:val="22"/>
        </w:rPr>
        <w:t>Nyanza Province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. 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The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main 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research question of the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SAFER 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program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of research 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is to </w:t>
      </w:r>
      <w:r w:rsidR="00170280">
        <w:rPr>
          <w:rFonts w:ascii="Arial" w:hAnsi="Arial" w:cs="Arial"/>
          <w:sz w:val="22"/>
          <w:szCs w:val="22"/>
        </w:rPr>
        <w:t xml:space="preserve">estimate </w:t>
      </w:r>
      <w:r w:rsidR="00170280" w:rsidRPr="00B0493B">
        <w:rPr>
          <w:rFonts w:ascii="Arial" w:hAnsi="Arial" w:cs="Arial"/>
          <w:sz w:val="22"/>
          <w:szCs w:val="22"/>
        </w:rPr>
        <w:t>the</w:t>
      </w:r>
      <w:r w:rsidR="00170280">
        <w:rPr>
          <w:rFonts w:ascii="Arial" w:hAnsi="Arial" w:cs="Arial"/>
          <w:sz w:val="22"/>
          <w:szCs w:val="22"/>
        </w:rPr>
        <w:t xml:space="preserve"> potential</w:t>
      </w:r>
      <w:r w:rsidR="00170280" w:rsidRPr="00B0493B">
        <w:rPr>
          <w:rFonts w:ascii="Arial" w:hAnsi="Arial" w:cs="Arial"/>
          <w:sz w:val="22"/>
          <w:szCs w:val="22"/>
        </w:rPr>
        <w:t xml:space="preserve"> impact </w:t>
      </w:r>
      <w:r w:rsidR="00170280">
        <w:rPr>
          <w:rFonts w:ascii="Arial" w:hAnsi="Arial" w:cs="Arial"/>
          <w:sz w:val="22"/>
          <w:szCs w:val="22"/>
        </w:rPr>
        <w:t xml:space="preserve">and cost-effectiveness </w:t>
      </w:r>
      <w:r w:rsidR="00170280" w:rsidRPr="00B0493B">
        <w:rPr>
          <w:rFonts w:ascii="Arial" w:hAnsi="Arial" w:cs="Arial"/>
          <w:sz w:val="22"/>
          <w:szCs w:val="22"/>
        </w:rPr>
        <w:t>of combination prevention strategies for safer concept</w:t>
      </w:r>
      <w:r w:rsidR="00170280">
        <w:rPr>
          <w:rFonts w:ascii="Arial" w:hAnsi="Arial" w:cs="Arial"/>
          <w:sz w:val="22"/>
          <w:szCs w:val="22"/>
        </w:rPr>
        <w:t>ion among HIV discordant couples</w:t>
      </w:r>
      <w:r w:rsidR="00170280" w:rsidRPr="00B0493B">
        <w:rPr>
          <w:rFonts w:ascii="Arial" w:hAnsi="Arial" w:cs="Arial"/>
          <w:sz w:val="22"/>
          <w:szCs w:val="22"/>
        </w:rPr>
        <w:t xml:space="preserve">.  By safer conception I mean strategies that </w:t>
      </w:r>
      <w:r w:rsidR="00170280">
        <w:rPr>
          <w:rFonts w:ascii="Arial" w:hAnsi="Arial" w:cs="Arial"/>
          <w:sz w:val="22"/>
          <w:szCs w:val="22"/>
        </w:rPr>
        <w:t xml:space="preserve">HIV discordant </w:t>
      </w:r>
      <w:r w:rsidR="00170280" w:rsidRPr="00B0493B">
        <w:rPr>
          <w:rFonts w:ascii="Arial" w:hAnsi="Arial" w:cs="Arial"/>
          <w:sz w:val="22"/>
          <w:szCs w:val="22"/>
        </w:rPr>
        <w:t>couples can adopt to prevent HIV transmission while allowing conception (e.g. early anti-retroviral therap</w:t>
      </w:r>
      <w:r w:rsidR="00170280">
        <w:rPr>
          <w:rFonts w:ascii="Arial" w:hAnsi="Arial" w:cs="Arial"/>
          <w:sz w:val="22"/>
          <w:szCs w:val="22"/>
        </w:rPr>
        <w:t xml:space="preserve">y in the HIV positive partner, </w:t>
      </w:r>
      <w:r w:rsidR="00170280" w:rsidRPr="00B0493B">
        <w:rPr>
          <w:rFonts w:ascii="Arial" w:hAnsi="Arial" w:cs="Arial"/>
          <w:sz w:val="22"/>
          <w:szCs w:val="22"/>
        </w:rPr>
        <w:t xml:space="preserve">timed unprotected intercourse during the fertile period, pre-exposure prophylaxis in the HIV negative partner, </w:t>
      </w:r>
      <w:r w:rsidR="00170280">
        <w:rPr>
          <w:rFonts w:ascii="Arial" w:hAnsi="Arial" w:cs="Arial"/>
          <w:sz w:val="22"/>
          <w:szCs w:val="22"/>
        </w:rPr>
        <w:t xml:space="preserve">male circumcision, </w:t>
      </w:r>
      <w:r w:rsidR="00170280" w:rsidRPr="00B0493B">
        <w:rPr>
          <w:rFonts w:ascii="Arial" w:hAnsi="Arial" w:cs="Arial"/>
          <w:sz w:val="22"/>
          <w:szCs w:val="22"/>
        </w:rPr>
        <w:t xml:space="preserve">screening and treatment for sexually transmitted </w:t>
      </w:r>
      <w:r w:rsidR="00170280">
        <w:rPr>
          <w:rFonts w:ascii="Arial" w:hAnsi="Arial" w:cs="Arial"/>
          <w:sz w:val="22"/>
          <w:szCs w:val="22"/>
        </w:rPr>
        <w:t>infections</w:t>
      </w:r>
      <w:r w:rsidR="00170280" w:rsidRPr="00B0493B">
        <w:rPr>
          <w:rFonts w:ascii="Arial" w:hAnsi="Arial" w:cs="Arial"/>
          <w:sz w:val="22"/>
          <w:szCs w:val="22"/>
        </w:rPr>
        <w:t>).</w:t>
      </w:r>
      <w:r w:rsidR="002E5FAA">
        <w:rPr>
          <w:rFonts w:ascii="Helvetica" w:eastAsia="Times New Roman" w:hAnsi="Helvetica" w:cs="Times New Roman"/>
          <w:sz w:val="22"/>
          <w:szCs w:val="22"/>
        </w:rPr>
        <w:t xml:space="preserve"> </w:t>
      </w:r>
    </w:p>
    <w:p w14:paraId="242CF5F3" w14:textId="77777777" w:rsidR="0079265E" w:rsidRDefault="0079265E" w:rsidP="005F6E74">
      <w:pPr>
        <w:rPr>
          <w:rFonts w:ascii="Helvetica" w:eastAsia="Times New Roman" w:hAnsi="Helvetica" w:cs="Times New Roman"/>
          <w:sz w:val="22"/>
          <w:szCs w:val="22"/>
        </w:rPr>
      </w:pPr>
    </w:p>
    <w:p w14:paraId="30C7FC53" w14:textId="05E6504F" w:rsidR="0079265E" w:rsidRDefault="0079265E" w:rsidP="0079265E">
      <w:pPr>
        <w:rPr>
          <w:rFonts w:ascii="Arial" w:hAnsi="Arial" w:cs="Arial"/>
          <w:sz w:val="22"/>
          <w:szCs w:val="22"/>
        </w:rPr>
      </w:pPr>
      <w:r>
        <w:rPr>
          <w:rFonts w:ascii="Helvetica" w:eastAsia="Times New Roman" w:hAnsi="Helvetica" w:cs="Times New Roman"/>
          <w:sz w:val="22"/>
          <w:szCs w:val="22"/>
        </w:rPr>
        <w:t>The SAFER program will begin by developing a Safer Conception Toolkit. This Toolkit will be used to t</w:t>
      </w:r>
      <w:r w:rsidRPr="00682EDD">
        <w:rPr>
          <w:rFonts w:ascii="Arial" w:hAnsi="Arial" w:cs="Arial"/>
          <w:sz w:val="22"/>
          <w:szCs w:val="22"/>
        </w:rPr>
        <w:t xml:space="preserve">rain health care providers and patients </w:t>
      </w:r>
      <w:r>
        <w:rPr>
          <w:rFonts w:ascii="Arial" w:hAnsi="Arial" w:cs="Arial"/>
          <w:sz w:val="22"/>
          <w:szCs w:val="22"/>
        </w:rPr>
        <w:t xml:space="preserve">in Kenya </w:t>
      </w:r>
      <w:r w:rsidRPr="00682EDD">
        <w:rPr>
          <w:rFonts w:ascii="Arial" w:hAnsi="Arial" w:cs="Arial"/>
          <w:sz w:val="22"/>
          <w:szCs w:val="22"/>
        </w:rPr>
        <w:t>on safer c</w:t>
      </w:r>
      <w:r>
        <w:rPr>
          <w:rFonts w:ascii="Arial" w:hAnsi="Arial" w:cs="Arial"/>
          <w:sz w:val="22"/>
          <w:szCs w:val="22"/>
        </w:rPr>
        <w:t xml:space="preserve">onception options. The Toolkit will consist of </w:t>
      </w:r>
      <w:r w:rsidR="009E29E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1) training curriculum for </w:t>
      </w:r>
      <w:r w:rsidR="00187184">
        <w:rPr>
          <w:rFonts w:ascii="Arial" w:hAnsi="Arial" w:cs="Arial"/>
          <w:sz w:val="22"/>
          <w:szCs w:val="22"/>
        </w:rPr>
        <w:t>providers</w:t>
      </w:r>
      <w:r>
        <w:rPr>
          <w:rFonts w:ascii="Arial" w:hAnsi="Arial" w:cs="Arial"/>
          <w:sz w:val="22"/>
          <w:szCs w:val="22"/>
        </w:rPr>
        <w:t xml:space="preserve">, 2) decision tree for </w:t>
      </w:r>
      <w:r w:rsidR="00187184">
        <w:rPr>
          <w:rFonts w:ascii="Arial" w:hAnsi="Arial" w:cs="Arial"/>
          <w:sz w:val="22"/>
          <w:szCs w:val="22"/>
        </w:rPr>
        <w:t>providers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 xml:space="preserve">3) counseling guide for </w:t>
      </w:r>
      <w:r w:rsidR="00187184">
        <w:rPr>
          <w:rFonts w:ascii="Arial" w:hAnsi="Arial" w:cs="Arial"/>
          <w:sz w:val="22"/>
          <w:szCs w:val="22"/>
        </w:rPr>
        <w:t>providers</w:t>
      </w:r>
      <w:r>
        <w:rPr>
          <w:rFonts w:ascii="Arial" w:hAnsi="Arial" w:cs="Arial"/>
          <w:sz w:val="22"/>
          <w:szCs w:val="22"/>
        </w:rPr>
        <w:t>,</w:t>
      </w:r>
      <w:r w:rsidR="00C86840">
        <w:rPr>
          <w:rFonts w:ascii="Arial" w:hAnsi="Arial" w:cs="Arial"/>
          <w:sz w:val="22"/>
          <w:szCs w:val="22"/>
        </w:rPr>
        <w:t xml:space="preserve"> 4) pictorial brochures for patients</w:t>
      </w:r>
      <w:proofErr w:type="gramEnd"/>
      <w:r w:rsidR="00C868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Toolkit will be evaluated through quantitative and qualitative methods, directly observed counseling sessions between patients and providers, and questionnaires to assess knowledge, skills, self-efficacy</w:t>
      </w:r>
      <w:r w:rsidR="00C86840">
        <w:rPr>
          <w:rFonts w:ascii="Arial" w:hAnsi="Arial" w:cs="Arial"/>
          <w:sz w:val="22"/>
          <w:szCs w:val="22"/>
        </w:rPr>
        <w:t>, and intended use</w:t>
      </w:r>
      <w:r>
        <w:rPr>
          <w:rFonts w:ascii="Arial" w:hAnsi="Arial" w:cs="Arial"/>
          <w:sz w:val="22"/>
          <w:szCs w:val="22"/>
        </w:rPr>
        <w:t xml:space="preserve"> among patients and </w:t>
      </w:r>
      <w:r w:rsidR="00187184">
        <w:rPr>
          <w:rFonts w:ascii="Arial" w:hAnsi="Arial" w:cs="Arial"/>
          <w:sz w:val="22"/>
          <w:szCs w:val="22"/>
        </w:rPr>
        <w:t>providers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2ECC65" w14:textId="77777777" w:rsidR="0079265E" w:rsidRDefault="0079265E" w:rsidP="0079265E">
      <w:pPr>
        <w:rPr>
          <w:rFonts w:ascii="Arial" w:hAnsi="Arial" w:cs="Arial"/>
          <w:sz w:val="22"/>
          <w:szCs w:val="22"/>
        </w:rPr>
      </w:pPr>
    </w:p>
    <w:p w14:paraId="7A54CA6F" w14:textId="4900102F" w:rsidR="0079265E" w:rsidRDefault="0079265E" w:rsidP="007926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next step will be to conduct a </w:t>
      </w:r>
      <w:r w:rsidR="00630924">
        <w:rPr>
          <w:rFonts w:ascii="Arial" w:hAnsi="Arial" w:cs="Arial"/>
          <w:sz w:val="22"/>
          <w:szCs w:val="22"/>
        </w:rPr>
        <w:t xml:space="preserve">small </w:t>
      </w:r>
      <w:r w:rsidRPr="0090315A">
        <w:rPr>
          <w:rFonts w:ascii="Arial" w:hAnsi="Arial" w:cs="Arial"/>
          <w:sz w:val="22"/>
          <w:szCs w:val="22"/>
        </w:rPr>
        <w:t xml:space="preserve">2-year </w:t>
      </w:r>
      <w:r w:rsidR="00630924">
        <w:rPr>
          <w:rFonts w:ascii="Arial" w:hAnsi="Arial" w:cs="Arial"/>
          <w:sz w:val="22"/>
          <w:szCs w:val="22"/>
        </w:rPr>
        <w:t>clinical d</w:t>
      </w:r>
      <w:r w:rsidRPr="0090315A">
        <w:rPr>
          <w:rFonts w:ascii="Arial" w:hAnsi="Arial" w:cs="Arial"/>
          <w:sz w:val="22"/>
          <w:szCs w:val="22"/>
        </w:rPr>
        <w:t xml:space="preserve">emonstration study </w:t>
      </w:r>
      <w:r>
        <w:rPr>
          <w:rFonts w:ascii="Arial" w:hAnsi="Arial" w:cs="Arial"/>
          <w:sz w:val="22"/>
          <w:szCs w:val="22"/>
        </w:rPr>
        <w:t>at FACES-</w:t>
      </w:r>
      <w:proofErr w:type="spellStart"/>
      <w:r>
        <w:rPr>
          <w:rFonts w:ascii="Arial" w:hAnsi="Arial" w:cs="Arial"/>
          <w:sz w:val="22"/>
          <w:szCs w:val="22"/>
        </w:rPr>
        <w:t>MoH</w:t>
      </w:r>
      <w:proofErr w:type="spellEnd"/>
      <w:r>
        <w:rPr>
          <w:rFonts w:ascii="Arial" w:hAnsi="Arial" w:cs="Arial"/>
          <w:sz w:val="22"/>
          <w:szCs w:val="22"/>
        </w:rPr>
        <w:t xml:space="preserve"> clinics </w:t>
      </w:r>
      <w:r w:rsidRPr="0090315A">
        <w:rPr>
          <w:rFonts w:ascii="Arial" w:hAnsi="Arial" w:cs="Arial"/>
          <w:sz w:val="22"/>
          <w:szCs w:val="22"/>
        </w:rPr>
        <w:t>offering discordant couples (n=80) combination safer conception methods and measure uptake, adherence, sexual behaviors, clinical outcomes (e.g. pregnancy</w:t>
      </w:r>
      <w:r>
        <w:rPr>
          <w:rFonts w:ascii="Arial" w:hAnsi="Arial" w:cs="Arial"/>
          <w:sz w:val="22"/>
          <w:szCs w:val="22"/>
        </w:rPr>
        <w:t xml:space="preserve"> and </w:t>
      </w:r>
      <w:r w:rsidRPr="0090315A">
        <w:rPr>
          <w:rFonts w:ascii="Arial" w:hAnsi="Arial" w:cs="Arial"/>
          <w:sz w:val="22"/>
          <w:szCs w:val="22"/>
        </w:rPr>
        <w:t>HIV</w:t>
      </w:r>
      <w:r>
        <w:rPr>
          <w:rFonts w:ascii="Arial" w:hAnsi="Arial" w:cs="Arial"/>
          <w:sz w:val="22"/>
          <w:szCs w:val="22"/>
        </w:rPr>
        <w:t xml:space="preserve"> incidence</w:t>
      </w:r>
      <w:r w:rsidRPr="0090315A">
        <w:rPr>
          <w:rFonts w:ascii="Arial" w:hAnsi="Arial" w:cs="Arial"/>
          <w:sz w:val="22"/>
          <w:szCs w:val="22"/>
        </w:rPr>
        <w:t>, obstetric outcomes), patient-satisfaction,</w:t>
      </w:r>
      <w:r>
        <w:rPr>
          <w:rFonts w:ascii="Arial" w:hAnsi="Arial" w:cs="Arial"/>
          <w:sz w:val="22"/>
          <w:szCs w:val="22"/>
        </w:rPr>
        <w:t xml:space="preserve"> provider satisfaction,</w:t>
      </w:r>
      <w:r w:rsidRPr="0090315A">
        <w:rPr>
          <w:rFonts w:ascii="Arial" w:hAnsi="Arial" w:cs="Arial"/>
          <w:sz w:val="22"/>
          <w:szCs w:val="22"/>
        </w:rPr>
        <w:t xml:space="preserve"> and cost</w:t>
      </w:r>
      <w:r w:rsidR="0063092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We will also conduct </w:t>
      </w:r>
      <w:r w:rsidRPr="0090315A">
        <w:rPr>
          <w:rFonts w:ascii="Arial" w:hAnsi="Arial" w:cs="Arial"/>
          <w:sz w:val="22"/>
          <w:szCs w:val="22"/>
        </w:rPr>
        <w:t xml:space="preserve">qualitative </w:t>
      </w:r>
      <w:r>
        <w:rPr>
          <w:rFonts w:ascii="Arial" w:hAnsi="Arial" w:cs="Arial"/>
          <w:sz w:val="22"/>
          <w:szCs w:val="22"/>
        </w:rPr>
        <w:t xml:space="preserve">in-depth </w:t>
      </w:r>
      <w:r w:rsidRPr="0090315A">
        <w:rPr>
          <w:rFonts w:ascii="Arial" w:hAnsi="Arial" w:cs="Arial"/>
          <w:sz w:val="22"/>
          <w:szCs w:val="22"/>
        </w:rPr>
        <w:t xml:space="preserve">interviews with </w:t>
      </w:r>
      <w:r>
        <w:rPr>
          <w:rFonts w:ascii="Arial" w:hAnsi="Arial" w:cs="Arial"/>
          <w:sz w:val="22"/>
          <w:szCs w:val="22"/>
        </w:rPr>
        <w:t xml:space="preserve">30 </w:t>
      </w:r>
      <w:r w:rsidRPr="0090315A">
        <w:rPr>
          <w:rFonts w:ascii="Arial" w:hAnsi="Arial" w:cs="Arial"/>
          <w:sz w:val="22"/>
          <w:szCs w:val="22"/>
        </w:rPr>
        <w:t xml:space="preserve">participants and </w:t>
      </w:r>
      <w:r w:rsidR="0063092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 </w:t>
      </w:r>
      <w:r w:rsidR="00187184">
        <w:rPr>
          <w:rFonts w:ascii="Arial" w:hAnsi="Arial" w:cs="Arial"/>
          <w:sz w:val="22"/>
          <w:szCs w:val="22"/>
        </w:rPr>
        <w:t>providers</w:t>
      </w:r>
      <w:r w:rsidRPr="0090315A">
        <w:rPr>
          <w:rFonts w:ascii="Arial" w:hAnsi="Arial" w:cs="Arial"/>
          <w:sz w:val="22"/>
          <w:szCs w:val="22"/>
        </w:rPr>
        <w:t xml:space="preserve"> in the demonstration pilot study to better understand attitudes towards and barriers to safer conception us</w:t>
      </w:r>
      <w:r>
        <w:rPr>
          <w:rFonts w:ascii="Arial" w:hAnsi="Arial" w:cs="Arial"/>
          <w:sz w:val="22"/>
          <w:szCs w:val="22"/>
        </w:rPr>
        <w:t xml:space="preserve">e. Finally, we will </w:t>
      </w:r>
      <w:r w:rsidRPr="0090315A">
        <w:rPr>
          <w:rFonts w:ascii="Arial" w:hAnsi="Arial" w:cs="Arial"/>
          <w:sz w:val="22"/>
          <w:szCs w:val="22"/>
        </w:rPr>
        <w:t xml:space="preserve">carry out a modeling study designed to estimate the </w:t>
      </w:r>
      <w:r>
        <w:rPr>
          <w:rFonts w:ascii="Arial" w:hAnsi="Arial" w:cs="Arial"/>
          <w:sz w:val="22"/>
          <w:szCs w:val="22"/>
        </w:rPr>
        <w:t>impact and cost-effectiveness</w:t>
      </w:r>
      <w:r w:rsidRPr="0090315A">
        <w:rPr>
          <w:rFonts w:ascii="Arial" w:hAnsi="Arial" w:cs="Arial"/>
          <w:sz w:val="22"/>
          <w:szCs w:val="22"/>
        </w:rPr>
        <w:t xml:space="preserve"> of strategies alone and in combination (using data from </w:t>
      </w:r>
      <w:r w:rsidR="00630924">
        <w:rPr>
          <w:rFonts w:ascii="Arial" w:hAnsi="Arial" w:cs="Arial"/>
          <w:sz w:val="22"/>
          <w:szCs w:val="22"/>
        </w:rPr>
        <w:t xml:space="preserve">the clinical </w:t>
      </w:r>
      <w:r>
        <w:rPr>
          <w:rFonts w:ascii="Arial" w:hAnsi="Arial" w:cs="Arial"/>
          <w:sz w:val="22"/>
          <w:szCs w:val="22"/>
        </w:rPr>
        <w:t>demonstration study</w:t>
      </w:r>
      <w:r w:rsidRPr="0090315A">
        <w:rPr>
          <w:rFonts w:ascii="Arial" w:hAnsi="Arial" w:cs="Arial"/>
          <w:sz w:val="22"/>
          <w:szCs w:val="22"/>
        </w:rPr>
        <w:t xml:space="preserve"> and appropriate historical data).  </w:t>
      </w:r>
    </w:p>
    <w:p w14:paraId="1479A97E" w14:textId="7226E26E" w:rsidR="00170280" w:rsidRDefault="00170280" w:rsidP="009E2E92">
      <w:pPr>
        <w:rPr>
          <w:rFonts w:ascii="Helvetica" w:eastAsia="Times New Roman" w:hAnsi="Helvetica" w:cs="Times New Roman"/>
          <w:sz w:val="22"/>
          <w:szCs w:val="22"/>
        </w:rPr>
      </w:pPr>
    </w:p>
    <w:p w14:paraId="5F1AFF1A" w14:textId="2D7AB635" w:rsidR="002D3636" w:rsidRDefault="00C01B39">
      <w:pPr>
        <w:rPr>
          <w:rFonts w:ascii="Helvetica" w:eastAsia="Times New Roman" w:hAnsi="Helvetica" w:cs="Times New Roman"/>
          <w:sz w:val="22"/>
          <w:szCs w:val="22"/>
        </w:rPr>
      </w:pPr>
      <w:r>
        <w:rPr>
          <w:rFonts w:ascii="Helvetica" w:eastAsia="Times New Roman" w:hAnsi="Helvetica" w:cs="Times New Roman"/>
          <w:sz w:val="22"/>
          <w:szCs w:val="22"/>
        </w:rPr>
        <w:t xml:space="preserve">Based on the cumulative findings of the above studies, we will refine </w:t>
      </w:r>
      <w:r w:rsidR="00630924">
        <w:rPr>
          <w:rFonts w:ascii="Helvetica" w:eastAsia="Times New Roman" w:hAnsi="Helvetica" w:cs="Times New Roman"/>
          <w:sz w:val="22"/>
          <w:szCs w:val="22"/>
        </w:rPr>
        <w:t xml:space="preserve">the </w:t>
      </w:r>
      <w:r>
        <w:rPr>
          <w:rFonts w:ascii="Helvetica" w:eastAsia="Times New Roman" w:hAnsi="Helvetica" w:cs="Times New Roman"/>
          <w:sz w:val="22"/>
          <w:szCs w:val="22"/>
        </w:rPr>
        <w:t xml:space="preserve">SAFER intervention and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conduct a much larger </w:t>
      </w:r>
      <w:r w:rsidR="003A5323">
        <w:rPr>
          <w:rFonts w:ascii="Helvetica" w:eastAsia="Times New Roman" w:hAnsi="Helvetica" w:cs="Times New Roman"/>
          <w:sz w:val="22"/>
          <w:szCs w:val="22"/>
        </w:rPr>
        <w:t>implementation</w:t>
      </w:r>
      <w:r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study </w:t>
      </w:r>
      <w:r w:rsidR="00170280">
        <w:rPr>
          <w:rFonts w:ascii="Helvetica" w:eastAsia="Times New Roman" w:hAnsi="Helvetica" w:cs="Times New Roman"/>
          <w:sz w:val="22"/>
          <w:szCs w:val="22"/>
        </w:rPr>
        <w:t>(e.g. stepped wedge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 or interrupted time series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)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of the SAFER intervention </w:t>
      </w:r>
      <w:r w:rsidR="00170280">
        <w:rPr>
          <w:rFonts w:ascii="Helvetica" w:eastAsia="Times New Roman" w:hAnsi="Helvetica" w:cs="Times New Roman"/>
          <w:sz w:val="22"/>
          <w:szCs w:val="22"/>
        </w:rPr>
        <w:t xml:space="preserve">while monitoring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its </w:t>
      </w:r>
      <w:r w:rsidR="005F6E74">
        <w:rPr>
          <w:rFonts w:ascii="Helvetica" w:eastAsia="Times New Roman" w:hAnsi="Helvetica" w:cs="Times New Roman"/>
          <w:sz w:val="22"/>
          <w:szCs w:val="22"/>
        </w:rPr>
        <w:t>implementation</w:t>
      </w:r>
      <w:r w:rsidR="006F250C">
        <w:rPr>
          <w:rFonts w:ascii="Helvetica" w:eastAsia="Times New Roman" w:hAnsi="Helvetica" w:cs="Times New Roman"/>
          <w:sz w:val="22"/>
          <w:szCs w:val="22"/>
        </w:rPr>
        <w:t>, cost-effectiveness, and impact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. 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The 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long-term goal </w:t>
      </w:r>
      <w:r w:rsidR="00A657CB">
        <w:rPr>
          <w:rFonts w:ascii="Helvetica" w:eastAsia="Times New Roman" w:hAnsi="Helvetica" w:cs="Times New Roman"/>
          <w:sz w:val="22"/>
          <w:szCs w:val="22"/>
        </w:rPr>
        <w:t xml:space="preserve">is 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to monitor and evaluate the roll out of the </w:t>
      </w:r>
      <w:r w:rsidR="006F250C">
        <w:rPr>
          <w:rFonts w:ascii="Helvetica" w:eastAsia="Times New Roman" w:hAnsi="Helvetica" w:cs="Times New Roman"/>
          <w:sz w:val="22"/>
          <w:szCs w:val="22"/>
        </w:rPr>
        <w:t xml:space="preserve">SAFER 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intervention out across </w:t>
      </w:r>
      <w:r w:rsidR="00630924">
        <w:rPr>
          <w:rFonts w:ascii="Helvetica" w:eastAsia="Times New Roman" w:hAnsi="Helvetica" w:cs="Times New Roman"/>
          <w:sz w:val="22"/>
          <w:szCs w:val="22"/>
        </w:rPr>
        <w:t xml:space="preserve">MOH </w:t>
      </w:r>
      <w:r w:rsidR="005F6E74">
        <w:rPr>
          <w:rFonts w:ascii="Helvetica" w:eastAsia="Times New Roman" w:hAnsi="Helvetica" w:cs="Times New Roman"/>
          <w:sz w:val="22"/>
          <w:szCs w:val="22"/>
        </w:rPr>
        <w:t xml:space="preserve">clinics in Kenya. </w:t>
      </w:r>
      <w:r w:rsidR="00C36C09">
        <w:rPr>
          <w:rFonts w:ascii="Helvetica" w:eastAsia="Times New Roman" w:hAnsi="Helvetica" w:cs="Times New Roman"/>
          <w:sz w:val="22"/>
          <w:szCs w:val="22"/>
        </w:rPr>
        <w:t xml:space="preserve"> Therefore, I would like to think about what variables we will need to evaluat</w:t>
      </w:r>
      <w:r w:rsidR="00713DFA">
        <w:rPr>
          <w:rFonts w:ascii="Helvetica" w:eastAsia="Times New Roman" w:hAnsi="Helvetica" w:cs="Times New Roman"/>
          <w:sz w:val="22"/>
          <w:szCs w:val="22"/>
        </w:rPr>
        <w:t>e</w:t>
      </w:r>
      <w:r w:rsidR="00C36C09">
        <w:rPr>
          <w:rFonts w:ascii="Helvetica" w:eastAsia="Times New Roman" w:hAnsi="Helvetica" w:cs="Times New Roman"/>
          <w:sz w:val="22"/>
          <w:szCs w:val="22"/>
        </w:rPr>
        <w:t xml:space="preserve"> in the long-term so that these can be explored now during the research phase, and incorporated in</w:t>
      </w:r>
      <w:r w:rsidR="00713DFA">
        <w:rPr>
          <w:rFonts w:ascii="Helvetica" w:eastAsia="Times New Roman" w:hAnsi="Helvetica" w:cs="Times New Roman"/>
          <w:sz w:val="22"/>
          <w:szCs w:val="22"/>
        </w:rPr>
        <w:t>to</w:t>
      </w:r>
      <w:r w:rsidR="00C36C09">
        <w:rPr>
          <w:rFonts w:ascii="Helvetica" w:eastAsia="Times New Roman" w:hAnsi="Helvetica" w:cs="Times New Roman"/>
          <w:sz w:val="22"/>
          <w:szCs w:val="22"/>
        </w:rPr>
        <w:t xml:space="preserve"> the electronic medical records at the MOH clinics. </w:t>
      </w:r>
    </w:p>
    <w:p w14:paraId="09A82FDE" w14:textId="77777777" w:rsidR="00C01B39" w:rsidRDefault="00C01B39">
      <w:pPr>
        <w:rPr>
          <w:rFonts w:ascii="Helvetica" w:eastAsia="Times New Roman" w:hAnsi="Helvetica" w:cs="Times New Roman"/>
          <w:sz w:val="22"/>
          <w:szCs w:val="22"/>
        </w:rPr>
      </w:pPr>
    </w:p>
    <w:p w14:paraId="039DA3AF" w14:textId="77777777" w:rsidR="000A4F47" w:rsidRDefault="00C01B39">
      <w:pPr>
        <w:rPr>
          <w:rFonts w:ascii="Helvetica" w:eastAsia="Times New Roman" w:hAnsi="Helvetica" w:cs="Times New Roman"/>
          <w:sz w:val="22"/>
          <w:szCs w:val="22"/>
        </w:rPr>
      </w:pPr>
      <w:r>
        <w:rPr>
          <w:rFonts w:ascii="Helvetica" w:eastAsia="Times New Roman" w:hAnsi="Helvetica" w:cs="Times New Roman"/>
          <w:sz w:val="22"/>
          <w:szCs w:val="22"/>
        </w:rPr>
        <w:t>Below is a draft Logic Model for the SAFER program</w:t>
      </w:r>
      <w:r w:rsidR="003A2D3C">
        <w:rPr>
          <w:rFonts w:ascii="Helvetica" w:eastAsia="Times New Roman" w:hAnsi="Helvetica" w:cs="Times New Roman"/>
          <w:sz w:val="22"/>
          <w:szCs w:val="22"/>
        </w:rPr>
        <w:t xml:space="preserve">.  </w:t>
      </w:r>
      <w:proofErr w:type="gramStart"/>
      <w:r w:rsidR="003A2D3C">
        <w:rPr>
          <w:rFonts w:ascii="Helvetica" w:eastAsia="Times New Roman" w:hAnsi="Helvetica" w:cs="Times New Roman"/>
          <w:sz w:val="22"/>
          <w:szCs w:val="22"/>
        </w:rPr>
        <w:t xml:space="preserve">The table is stratified by </w:t>
      </w:r>
      <w:r w:rsidR="00137133" w:rsidRPr="00137133">
        <w:rPr>
          <w:rFonts w:ascii="Helvetica" w:eastAsia="Times New Roman" w:hAnsi="Helvetica" w:cs="Times New Roman"/>
          <w:color w:val="FF0000"/>
          <w:sz w:val="22"/>
          <w:szCs w:val="22"/>
        </w:rPr>
        <w:t>environmental/</w:t>
      </w:r>
      <w:r w:rsidR="003A2D3C" w:rsidRPr="00713DFA">
        <w:rPr>
          <w:rFonts w:ascii="Helvetica" w:eastAsia="Times New Roman" w:hAnsi="Helvetica" w:cs="Times New Roman"/>
          <w:color w:val="FF0000"/>
          <w:sz w:val="22"/>
          <w:szCs w:val="22"/>
        </w:rPr>
        <w:t>organizational (red)</w:t>
      </w:r>
      <w:r w:rsidR="003A2D3C">
        <w:rPr>
          <w:rFonts w:ascii="Helvetica" w:eastAsia="Times New Roman" w:hAnsi="Helvetica" w:cs="Times New Roman"/>
          <w:sz w:val="22"/>
          <w:szCs w:val="22"/>
        </w:rPr>
        <w:t xml:space="preserve">, </w:t>
      </w:r>
      <w:r w:rsidR="003A2D3C" w:rsidRPr="00713DFA">
        <w:rPr>
          <w:rFonts w:ascii="Helvetica" w:eastAsia="Times New Roman" w:hAnsi="Helvetica" w:cs="Times New Roman"/>
          <w:color w:val="008000"/>
          <w:sz w:val="22"/>
          <w:szCs w:val="22"/>
        </w:rPr>
        <w:t>provider (green),</w:t>
      </w:r>
      <w:r w:rsidR="003A2D3C">
        <w:rPr>
          <w:rFonts w:ascii="Helvetica" w:eastAsia="Times New Roman" w:hAnsi="Helvetica" w:cs="Times New Roman"/>
          <w:sz w:val="22"/>
          <w:szCs w:val="22"/>
        </w:rPr>
        <w:t xml:space="preserve"> and </w:t>
      </w:r>
      <w:r w:rsidR="003A2D3C" w:rsidRPr="00713DFA">
        <w:rPr>
          <w:rFonts w:ascii="Helvetica" w:eastAsia="Times New Roman" w:hAnsi="Helvetica" w:cs="Times New Roman"/>
          <w:color w:val="0000FF"/>
          <w:sz w:val="22"/>
          <w:szCs w:val="22"/>
        </w:rPr>
        <w:t>patient (blue)-</w:t>
      </w:r>
      <w:r w:rsidR="003A2D3C">
        <w:rPr>
          <w:rFonts w:ascii="Helvetica" w:eastAsia="Times New Roman" w:hAnsi="Helvetica" w:cs="Times New Roman"/>
          <w:sz w:val="22"/>
          <w:szCs w:val="22"/>
        </w:rPr>
        <w:t>level factors</w:t>
      </w:r>
      <w:proofErr w:type="gramEnd"/>
      <w:r w:rsidR="003A2D3C">
        <w:rPr>
          <w:rFonts w:ascii="Helvetica" w:eastAsia="Times New Roman" w:hAnsi="Helvetica" w:cs="Times New Roman"/>
          <w:sz w:val="22"/>
          <w:szCs w:val="22"/>
        </w:rPr>
        <w:t xml:space="preserve">.  </w:t>
      </w:r>
    </w:p>
    <w:p w14:paraId="136BC4AF" w14:textId="77777777" w:rsidR="000A4F47" w:rsidRDefault="000A4F47">
      <w:pPr>
        <w:rPr>
          <w:rFonts w:ascii="Helvetica" w:eastAsia="Times New Roman" w:hAnsi="Helvetica" w:cs="Times New Roman"/>
          <w:sz w:val="22"/>
          <w:szCs w:val="22"/>
        </w:rPr>
      </w:pPr>
    </w:p>
    <w:p w14:paraId="587E464A" w14:textId="1E260817" w:rsidR="00E558E3" w:rsidRDefault="0027296A">
      <w:pPr>
        <w:rPr>
          <w:rFonts w:ascii="Helvetica" w:eastAsia="Times New Roman" w:hAnsi="Helvetica" w:cs="Times New Roman"/>
          <w:sz w:val="22"/>
          <w:szCs w:val="22"/>
        </w:rPr>
      </w:pPr>
      <w:r>
        <w:rPr>
          <w:rFonts w:ascii="Helvetica" w:eastAsia="Times New Roman" w:hAnsi="Helvetica" w:cs="Times New Roman"/>
          <w:sz w:val="22"/>
          <w:szCs w:val="22"/>
        </w:rPr>
        <w:t xml:space="preserve">This model is informed </w:t>
      </w:r>
      <w:r w:rsidR="000A4F47">
        <w:rPr>
          <w:rFonts w:ascii="Helvetica" w:eastAsia="Times New Roman" w:hAnsi="Helvetica" w:cs="Times New Roman"/>
          <w:sz w:val="22"/>
          <w:szCs w:val="22"/>
        </w:rPr>
        <w:t xml:space="preserve">by Social Cognitive theory and we will </w:t>
      </w:r>
      <w:r w:rsidR="00845330">
        <w:rPr>
          <w:rFonts w:ascii="Helvetica" w:eastAsia="Times New Roman" w:hAnsi="Helvetica" w:cs="Times New Roman"/>
          <w:sz w:val="22"/>
          <w:szCs w:val="22"/>
        </w:rPr>
        <w:t xml:space="preserve">incorporate </w:t>
      </w:r>
      <w:r w:rsidR="000A4F47">
        <w:rPr>
          <w:rFonts w:ascii="Helvetica" w:eastAsia="Times New Roman" w:hAnsi="Helvetica" w:cs="Times New Roman"/>
          <w:sz w:val="22"/>
          <w:szCs w:val="22"/>
        </w:rPr>
        <w:t>measure</w:t>
      </w:r>
      <w:r w:rsidR="00845330">
        <w:rPr>
          <w:rFonts w:ascii="Helvetica" w:eastAsia="Times New Roman" w:hAnsi="Helvetica" w:cs="Times New Roman"/>
          <w:sz w:val="22"/>
          <w:szCs w:val="22"/>
        </w:rPr>
        <w:t xml:space="preserve">s of </w:t>
      </w:r>
      <w:r w:rsidR="00C6472F">
        <w:rPr>
          <w:rFonts w:ascii="Helvetica" w:eastAsia="Times New Roman" w:hAnsi="Helvetica" w:cs="Times New Roman"/>
          <w:sz w:val="22"/>
          <w:szCs w:val="22"/>
        </w:rPr>
        <w:t>provider</w:t>
      </w:r>
      <w:r w:rsidR="00845330">
        <w:rPr>
          <w:rFonts w:ascii="Helvetica" w:eastAsia="Times New Roman" w:hAnsi="Helvetica" w:cs="Times New Roman"/>
          <w:sz w:val="22"/>
          <w:szCs w:val="22"/>
        </w:rPr>
        <w:t xml:space="preserve"> and </w:t>
      </w:r>
      <w:r w:rsidR="00C6472F">
        <w:rPr>
          <w:rFonts w:ascii="Helvetica" w:eastAsia="Times New Roman" w:hAnsi="Helvetica" w:cs="Times New Roman"/>
          <w:sz w:val="22"/>
          <w:szCs w:val="22"/>
        </w:rPr>
        <w:t>patient</w:t>
      </w:r>
      <w:r w:rsidR="00845330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0A4F47">
        <w:rPr>
          <w:rFonts w:ascii="Helvetica" w:eastAsia="Times New Roman" w:hAnsi="Helvetica" w:cs="Times New Roman"/>
          <w:sz w:val="22"/>
          <w:szCs w:val="22"/>
        </w:rPr>
        <w:t>behavior</w:t>
      </w:r>
      <w:r w:rsidR="00964578">
        <w:rPr>
          <w:rFonts w:ascii="Helvetica" w:eastAsia="Times New Roman" w:hAnsi="Helvetica" w:cs="Times New Roman"/>
          <w:sz w:val="22"/>
          <w:szCs w:val="22"/>
        </w:rPr>
        <w:t>s</w:t>
      </w:r>
      <w:bookmarkStart w:id="0" w:name="_GoBack"/>
      <w:bookmarkEnd w:id="0"/>
      <w:r w:rsidR="00FC7E7B">
        <w:rPr>
          <w:rFonts w:ascii="Helvetica" w:eastAsia="Times New Roman" w:hAnsi="Helvetica" w:cs="Times New Roman"/>
          <w:sz w:val="22"/>
          <w:szCs w:val="22"/>
        </w:rPr>
        <w:t>, outcome expectations,</w:t>
      </w:r>
      <w:r w:rsidR="000A4F47">
        <w:rPr>
          <w:rFonts w:ascii="Helvetica" w:eastAsia="Times New Roman" w:hAnsi="Helvetica" w:cs="Times New Roman"/>
          <w:sz w:val="22"/>
          <w:szCs w:val="22"/>
        </w:rPr>
        <w:t xml:space="preserve"> and self-efficacy. </w:t>
      </w:r>
      <w:r w:rsidR="00602D32">
        <w:rPr>
          <w:rFonts w:ascii="Helvetica" w:eastAsia="Times New Roman" w:hAnsi="Helvetica" w:cs="Times New Roman"/>
          <w:sz w:val="22"/>
          <w:szCs w:val="22"/>
        </w:rPr>
        <w:br w:type="page"/>
      </w:r>
    </w:p>
    <w:tbl>
      <w:tblPr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481"/>
      </w:tblGrid>
      <w:tr w:rsidR="00E558E3" w:rsidRPr="00DE50EE" w14:paraId="34277187" w14:textId="77777777" w:rsidTr="00C86840">
        <w:trPr>
          <w:trHeight w:val="285"/>
        </w:trPr>
        <w:tc>
          <w:tcPr>
            <w:tcW w:w="14481" w:type="dxa"/>
            <w:shd w:val="clear" w:color="auto" w:fill="auto"/>
            <w:vAlign w:val="center"/>
          </w:tcPr>
          <w:p w14:paraId="7F5B5A5F" w14:textId="2EF6D718" w:rsidR="00E558E3" w:rsidRPr="00DE50EE" w:rsidRDefault="00E558E3" w:rsidP="00C86840">
            <w:pPr>
              <w:pStyle w:val="FootnoteText"/>
              <w:jc w:val="center"/>
              <w:rPr>
                <w:rFonts w:asciiTheme="minorHAnsi" w:hAnsiTheme="minorHAnsi" w:cs="Arial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lastRenderedPageBreak/>
              <w:t xml:space="preserve">SAFER </w:t>
            </w:r>
            <w:r w:rsidRPr="00DE50EE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Five Year Logic Model</w:t>
            </w:r>
            <w:r w:rsidR="00A34834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 xml:space="preserve"> – </w:t>
            </w:r>
            <w:r w:rsidR="00A34834" w:rsidRPr="001E4DA9">
              <w:rPr>
                <w:rFonts w:asciiTheme="minorHAnsi" w:hAnsiTheme="minorHAnsi" w:cs="Arial"/>
                <w:b/>
                <w:noProof/>
                <w:color w:val="4F81BD" w:themeColor="accent1"/>
                <w:sz w:val="22"/>
                <w:szCs w:val="22"/>
              </w:rPr>
              <w:t>Individual</w:t>
            </w:r>
            <w:r w:rsidR="00A34834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 xml:space="preserve">, </w:t>
            </w:r>
            <w:r w:rsidR="00A34834" w:rsidRPr="001E4DA9">
              <w:rPr>
                <w:rFonts w:asciiTheme="minorHAnsi" w:hAnsiTheme="minorHAnsi" w:cs="Arial"/>
                <w:b/>
                <w:noProof/>
                <w:color w:val="9BBB59" w:themeColor="accent3"/>
                <w:sz w:val="22"/>
                <w:szCs w:val="22"/>
              </w:rPr>
              <w:t>provider,</w:t>
            </w:r>
            <w:r w:rsidR="00A34834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 xml:space="preserve"> and </w:t>
            </w:r>
            <w:r w:rsidR="00A34834" w:rsidRPr="001E4DA9">
              <w:rPr>
                <w:rFonts w:asciiTheme="minorHAnsi" w:hAnsiTheme="minorHAnsi" w:cs="Arial"/>
                <w:b/>
                <w:noProof/>
                <w:color w:val="C0504D" w:themeColor="accent2"/>
                <w:sz w:val="22"/>
                <w:szCs w:val="22"/>
              </w:rPr>
              <w:t>organizational</w:t>
            </w:r>
            <w:r w:rsidR="00A34834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 xml:space="preserve"> level evaluation</w:t>
            </w:r>
          </w:p>
          <w:p w14:paraId="16938379" w14:textId="25562D17" w:rsidR="00E558E3" w:rsidRPr="00DE50EE" w:rsidRDefault="00E558E3" w:rsidP="000E5C96">
            <w:pPr>
              <w:pStyle w:val="FootnoteText"/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DE50EE"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Purpose:</w:t>
            </w:r>
            <w:r w:rsidRPr="00DE50EE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To strengthen the capacity of the HIV prevention workforce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in Kenya to </w:t>
            </w:r>
            <w:r w:rsidRPr="00DE50EE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implement, and sustain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safer conception strategies to</w:t>
            </w:r>
            <w:r w:rsidRPr="00DE50EE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reduce HIV infections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among HIV-serodiscordant couples who desire conception. </w:t>
            </w:r>
          </w:p>
        </w:tc>
      </w:tr>
    </w:tbl>
    <w:p w14:paraId="683B2733" w14:textId="77777777" w:rsidR="00E558E3" w:rsidRPr="00C92B90" w:rsidRDefault="00E558E3" w:rsidP="00E558E3">
      <w:pPr>
        <w:pStyle w:val="FootnoteText"/>
        <w:rPr>
          <w:rFonts w:asciiTheme="minorHAnsi" w:hAnsiTheme="minorHAnsi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267"/>
        <w:gridCol w:w="2044"/>
        <w:gridCol w:w="2133"/>
        <w:gridCol w:w="236"/>
        <w:gridCol w:w="2878"/>
        <w:gridCol w:w="1327"/>
        <w:gridCol w:w="806"/>
        <w:gridCol w:w="1867"/>
      </w:tblGrid>
      <w:tr w:rsidR="00E558E3" w:rsidRPr="005124E3" w14:paraId="1C4F74B3" w14:textId="77777777" w:rsidTr="009E41A2">
        <w:trPr>
          <w:cantSplit/>
          <w:trHeight w:val="215"/>
        </w:trPr>
        <w:tc>
          <w:tcPr>
            <w:tcW w:w="27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BC397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b/>
                <w:noProof/>
                <w:sz w:val="18"/>
                <w:szCs w:val="18"/>
              </w:rPr>
            </w:pPr>
            <w:r w:rsidRPr="00B96652">
              <w:rPr>
                <w:rFonts w:ascii="Calibri" w:hAnsi="Calibri" w:cs="Arial"/>
                <w:b/>
                <w:noProof/>
                <w:sz w:val="18"/>
                <w:szCs w:val="18"/>
              </w:rPr>
              <w:t>Resources/Inputs</w:t>
            </w:r>
          </w:p>
        </w:tc>
        <w:tc>
          <w:tcPr>
            <w:tcW w:w="2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6B5F8F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noProof/>
                <w:sz w:val="18"/>
                <w:szCs w:val="18"/>
              </w:rPr>
            </w:pPr>
            <w:r w:rsidRPr="00B96652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26A29" wp14:editId="166F633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93345" cy="365760"/>
                      <wp:effectExtent l="48260" t="47625" r="48895" b="5651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-3.15pt;margin-top:.75pt;width:7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"/>
                  </w:pict>
                </mc:Fallback>
              </mc:AlternateConten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B36A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96652">
              <w:rPr>
                <w:rFonts w:ascii="Calibri" w:hAnsi="Calibri" w:cs="Arial"/>
                <w:b/>
                <w:sz w:val="18"/>
                <w:szCs w:val="18"/>
              </w:rPr>
              <w:t>Activities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A168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96652">
              <w:rPr>
                <w:rFonts w:ascii="Calibri" w:hAnsi="Calibri" w:cs="Arial"/>
                <w:b/>
                <w:sz w:val="18"/>
                <w:szCs w:val="18"/>
              </w:rPr>
              <w:t>Outputs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4D997" w14:textId="77777777" w:rsidR="00E558E3" w:rsidRPr="00B96652" w:rsidRDefault="00E558E3" w:rsidP="00C86840">
            <w:pPr>
              <w:pStyle w:val="Heading3"/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D38F9" wp14:editId="29BF91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5080</wp:posOffset>
                      </wp:positionV>
                      <wp:extent cx="86995" cy="365760"/>
                      <wp:effectExtent l="53340" t="55880" r="50165" b="482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-3.75pt;margin-top:.4pt;width:6.8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"/>
                  </w:pict>
                </mc:Fallback>
              </mc:AlternateConten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C4DBF" w14:textId="77777777" w:rsidR="00E558E3" w:rsidRPr="00B96652" w:rsidRDefault="00E558E3" w:rsidP="00C86840">
            <w:pPr>
              <w:pStyle w:val="Heading1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96652">
              <w:rPr>
                <w:rFonts w:ascii="Calibri" w:hAnsi="Calibri"/>
                <w:bCs/>
                <w:sz w:val="18"/>
                <w:szCs w:val="18"/>
              </w:rPr>
              <w:t>Outcomes</w:t>
            </w:r>
          </w:p>
        </w:tc>
      </w:tr>
      <w:tr w:rsidR="00E558E3" w:rsidRPr="005124E3" w14:paraId="4A0EE6AF" w14:textId="77777777" w:rsidTr="009E41A2">
        <w:trPr>
          <w:cantSplit/>
          <w:trHeight w:val="397"/>
        </w:trPr>
        <w:tc>
          <w:tcPr>
            <w:tcW w:w="277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3CC87A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E3B4CE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1D6D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A939" w14:textId="77777777" w:rsidR="00E558E3" w:rsidRPr="00B96652" w:rsidRDefault="00E558E3" w:rsidP="00C86840">
            <w:pPr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5EC9D" w14:textId="77777777" w:rsidR="00E558E3" w:rsidRPr="00B96652" w:rsidRDefault="00E558E3" w:rsidP="00C8684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31501" w14:textId="77777777" w:rsidR="00E558E3" w:rsidRPr="00B96652" w:rsidRDefault="00E558E3" w:rsidP="00C86840">
            <w:pPr>
              <w:pStyle w:val="Heading5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sz w:val="18"/>
                <w:szCs w:val="18"/>
              </w:rPr>
              <w:t>Short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9BCA0" w14:textId="77777777" w:rsidR="00E558E3" w:rsidRPr="00B96652" w:rsidRDefault="00E558E3" w:rsidP="00C86840">
            <w:pPr>
              <w:pStyle w:val="Heading5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sz w:val="18"/>
                <w:szCs w:val="18"/>
              </w:rPr>
              <w:t xml:space="preserve">           Medium      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2A3B" w14:textId="77777777" w:rsidR="00E558E3" w:rsidRPr="00B96652" w:rsidRDefault="00E558E3" w:rsidP="00C86840">
            <w:pPr>
              <w:pStyle w:val="Heading5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sz w:val="18"/>
                <w:szCs w:val="18"/>
              </w:rPr>
              <w:t xml:space="preserve">         Long</w:t>
            </w:r>
          </w:p>
        </w:tc>
      </w:tr>
      <w:tr w:rsidR="00E558E3" w:rsidRPr="005124E3" w14:paraId="42EDE798" w14:textId="77777777" w:rsidTr="009E41A2">
        <w:trPr>
          <w:cantSplit/>
          <w:trHeight w:val="6050"/>
        </w:trPr>
        <w:tc>
          <w:tcPr>
            <w:tcW w:w="2773" w:type="dxa"/>
            <w:tcBorders>
              <w:left w:val="single" w:sz="4" w:space="0" w:color="auto"/>
            </w:tcBorders>
            <w:shd w:val="clear" w:color="auto" w:fill="auto"/>
          </w:tcPr>
          <w:p w14:paraId="38B4ABD4" w14:textId="6784E186" w:rsidR="00E558E3" w:rsidRPr="00B96652" w:rsidRDefault="00E558E3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NIH K01 and </w:t>
            </w:r>
            <w:r w:rsidR="00A4707F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MOH-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FACES Funding</w:t>
            </w:r>
          </w:p>
          <w:p w14:paraId="0630BF35" w14:textId="77777777" w:rsidR="00E558E3" w:rsidRPr="00B96652" w:rsidRDefault="00E558E3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MOH-FACES Clinic staff</w:t>
            </w:r>
          </w:p>
          <w:p w14:paraId="172409E8" w14:textId="61015D2E" w:rsidR="00E558E3" w:rsidRPr="00B96652" w:rsidRDefault="00E558E3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15+ years of experience building capacity at clinics in Kenya</w:t>
            </w:r>
            <w:r w:rsidR="00A4707F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with training 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&amp; TA</w:t>
            </w:r>
          </w:p>
          <w:p w14:paraId="5C9CBEDB" w14:textId="77777777" w:rsidR="00E558E3" w:rsidRPr="00B96652" w:rsidRDefault="00E558E3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Experience supporting the implementation of evidence-based prevention strategies</w:t>
            </w:r>
          </w:p>
          <w:p w14:paraId="405ED552" w14:textId="112A71C0" w:rsidR="00F96DE6" w:rsidRPr="00B96652" w:rsidRDefault="00F96DE6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Existing Electronic Medical Record (EMR)</w:t>
            </w:r>
          </w:p>
          <w:p w14:paraId="0452AC88" w14:textId="77777777" w:rsidR="00E558E3" w:rsidRPr="00B96652" w:rsidRDefault="00E558E3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Management infrastructure</w:t>
            </w:r>
          </w:p>
          <w:p w14:paraId="20F34112" w14:textId="77777777" w:rsidR="00E558E3" w:rsidRPr="00B96652" w:rsidRDefault="00E558E3" w:rsidP="00E558E3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Existing relationships with local NGOs</w:t>
            </w:r>
          </w:p>
          <w:p w14:paraId="0BF936D1" w14:textId="004AD59E" w:rsidR="004E6001" w:rsidRPr="00B96652" w:rsidRDefault="00E558E3" w:rsidP="00D92EB9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Existing </w:t>
            </w:r>
            <w:r w:rsidR="004E6001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evidence </w:t>
            </w:r>
            <w:proofErr w:type="gramStart"/>
            <w:r w:rsidR="004E6001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base </w:t>
            </w:r>
            <w:r w:rsidR="00D92EB9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and</w:t>
            </w:r>
            <w:proofErr w:type="gramEnd"/>
            <w:r w:rsidR="00D92EB9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consensus statement </w:t>
            </w:r>
            <w:r w:rsidR="004E6001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for safer conception</w:t>
            </w:r>
            <w:r w:rsidR="00537F57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in low-resource settings</w:t>
            </w:r>
          </w:p>
          <w:p w14:paraId="1F77ABB3" w14:textId="77777777" w:rsidR="008B170B" w:rsidRPr="00B96652" w:rsidRDefault="00DB478E" w:rsidP="008B170B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Clinic leaders are supportive and eager to implement safer conception</w:t>
            </w:r>
            <w:r w:rsidR="008B170B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</w:t>
            </w:r>
          </w:p>
          <w:p w14:paraId="48DC9D1E" w14:textId="2C97AF84" w:rsidR="00DB478E" w:rsidRPr="00B96652" w:rsidRDefault="008B170B" w:rsidP="00913CDA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Partners (local, state, regional, &amp; national)</w:t>
            </w:r>
          </w:p>
          <w:p w14:paraId="3C58310D" w14:textId="1EC17E09" w:rsidR="00B96652" w:rsidRPr="00B96652" w:rsidRDefault="000F54E3" w:rsidP="00913CDA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MOH p</w:t>
            </w:r>
            <w:r w:rsidR="00B96652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roviders trained in HIV prevention</w:t>
            </w:r>
            <w:r w:rsidR="003436C9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, care and treatment including many strategies that can be used for safer conception (e.g. ART)</w:t>
            </w:r>
          </w:p>
          <w:p w14:paraId="445FE0F2" w14:textId="2CDD4254" w:rsidR="00B96652" w:rsidRPr="00B96652" w:rsidRDefault="00647865" w:rsidP="00913CDA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HIV-affected couples d</w:t>
            </w:r>
            <w:r w:rsidR="00B96652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esire conception</w:t>
            </w:r>
          </w:p>
          <w:p w14:paraId="4A25D575" w14:textId="14B2CE8B" w:rsidR="008F11A0" w:rsidRPr="00B96652" w:rsidRDefault="006263FD" w:rsidP="0064478F">
            <w:pPr>
              <w:pStyle w:val="FootnoteText"/>
              <w:numPr>
                <w:ilvl w:val="0"/>
                <w:numId w:val="1"/>
              </w:numPr>
              <w:rPr>
                <w:rFonts w:ascii="Calibri" w:hAnsi="Calibri" w:cs="Arial"/>
                <w:sz w:val="18"/>
                <w:szCs w:val="18"/>
              </w:rPr>
            </w:pPr>
            <w:r w:rsidRPr="006263FD">
              <w:rPr>
                <w:rFonts w:ascii="Calibri" w:hAnsi="Calibri" w:cs="Arial"/>
                <w:sz w:val="18"/>
                <w:szCs w:val="18"/>
              </w:rPr>
              <w:t>GAPS</w:t>
            </w:r>
            <w:r w:rsidR="00112BFD" w:rsidRPr="006263FD">
              <w:rPr>
                <w:rFonts w:ascii="Calibri" w:hAnsi="Calibri" w:cs="Arial"/>
                <w:sz w:val="18"/>
                <w:szCs w:val="18"/>
              </w:rPr>
              <w:t>:</w:t>
            </w:r>
            <w:r w:rsidR="00112BFD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</w:t>
            </w:r>
            <w:r w:rsidR="00187184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Providers</w:t>
            </w:r>
            <w:r w:rsidR="00112BFD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are not currently being trained, </w:t>
            </w:r>
            <w:r w:rsidR="00112BFD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and patients a</w:t>
            </w:r>
            <w:r w:rsidR="003335B2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re not currently being offered s</w:t>
            </w:r>
            <w:r w:rsidR="00112BFD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afer conception</w:t>
            </w:r>
            <w:r w:rsidR="003335B2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 strategies</w:t>
            </w:r>
            <w:r w:rsidR="00913CDA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, and </w:t>
            </w:r>
            <w:r w:rsidR="00913CDA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the EMR is not tracking </w:t>
            </w:r>
            <w:r w:rsidR="00DF6310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use of </w:t>
            </w:r>
            <w:r w:rsidR="00913CDA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safer conceptio</w:t>
            </w:r>
            <w:r w:rsidR="00775D84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n</w:t>
            </w:r>
          </w:p>
          <w:p w14:paraId="2E207DFD" w14:textId="65628E10" w:rsidR="00E558E3" w:rsidRPr="00B96652" w:rsidRDefault="00E558E3" w:rsidP="00775D84">
            <w:pPr>
              <w:pStyle w:val="FootnoteText"/>
              <w:ind w:left="21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  <w:shd w:val="clear" w:color="auto" w:fill="auto"/>
          </w:tcPr>
          <w:p w14:paraId="2F8E1B84" w14:textId="77777777" w:rsidR="00E558E3" w:rsidRPr="00B96652" w:rsidRDefault="00E558E3" w:rsidP="00C86840">
            <w:pPr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2CB5CE" wp14:editId="0F47730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1684020</wp:posOffset>
                      </wp:positionV>
                      <wp:extent cx="93345" cy="365760"/>
                      <wp:effectExtent l="45720" t="45720" r="51435" b="4572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3" style="position:absolute;margin-left:-3.35pt;margin-top:132.6pt;width:7.3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"/>
                  </w:pict>
                </mc:Fallback>
              </mc:AlternateContent>
            </w:r>
            <w:r w:rsidRPr="00B96652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3DF08" wp14:editId="6C5FFE6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3541395</wp:posOffset>
                      </wp:positionV>
                      <wp:extent cx="93345" cy="365760"/>
                      <wp:effectExtent l="55245" t="48895" r="54610" b="5524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3" style="position:absolute;margin-left:-2.6pt;margin-top:278.85pt;width:7.3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"/>
                  </w:pict>
                </mc:Fallback>
              </mc:AlternateConten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C2712A" w14:textId="2E63EAE7" w:rsidR="00E558E3" w:rsidRPr="00B96652" w:rsidRDefault="00E558E3" w:rsidP="00E558E3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Create Safer conception Toolkit with input from </w:t>
            </w:r>
            <w:r w:rsidR="00187184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stakeholders, 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community, patients, </w:t>
            </w:r>
            <w:r w:rsidR="00187184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provider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s: </w:t>
            </w:r>
          </w:p>
          <w:p w14:paraId="337C4CC6" w14:textId="4D35A56D" w:rsidR="00E558E3" w:rsidRPr="00B96652" w:rsidRDefault="00E558E3" w:rsidP="00C86840">
            <w:pPr>
              <w:ind w:left="216"/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1) Training curriculum for </w:t>
            </w:r>
            <w:r w:rsidR="00187184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providers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, </w:t>
            </w:r>
          </w:p>
          <w:p w14:paraId="429A0CCA" w14:textId="1EB55975" w:rsidR="00E558E3" w:rsidRPr="00B96652" w:rsidRDefault="00E558E3" w:rsidP="00C86840">
            <w:pPr>
              <w:ind w:left="216"/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2) Decision tree for </w:t>
            </w:r>
            <w:r w:rsidR="00187184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providers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; </w:t>
            </w:r>
          </w:p>
          <w:p w14:paraId="2AE97873" w14:textId="59638F35" w:rsidR="00E558E3" w:rsidRPr="00B96652" w:rsidRDefault="00E558E3" w:rsidP="00C86840">
            <w:pPr>
              <w:ind w:left="216"/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3) Counseling guide for </w:t>
            </w:r>
            <w:r w:rsidR="00187184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providers</w:t>
            </w:r>
          </w:p>
          <w:p w14:paraId="3FA5885B" w14:textId="77777777" w:rsidR="00191626" w:rsidRPr="00B96652" w:rsidRDefault="00E558E3" w:rsidP="00191626">
            <w:pPr>
              <w:ind w:left="216"/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4) Pictorial brochures for patients. </w:t>
            </w:r>
          </w:p>
          <w:p w14:paraId="05884068" w14:textId="77777777" w:rsidR="00191626" w:rsidRPr="00B96652" w:rsidRDefault="00191626" w:rsidP="006D7F3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3C3A471F" w14:textId="77777777" w:rsidR="006D7F36" w:rsidRPr="00B96652" w:rsidRDefault="006D7F36" w:rsidP="006D7F36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Inclusion of safer conception endpoints in EMR</w:t>
            </w:r>
          </w:p>
          <w:p w14:paraId="3E68E375" w14:textId="77777777" w:rsidR="007F57B7" w:rsidRPr="00B96652" w:rsidRDefault="007F57B7" w:rsidP="007F57B7">
            <w:pPr>
              <w:ind w:left="216"/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4F5D0D0C" w14:textId="7EAE2904" w:rsidR="00F96DE6" w:rsidRPr="00B96652" w:rsidRDefault="007F57B7" w:rsidP="00B630D0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Train clinic staff to use and complete data for EMR. </w:t>
            </w:r>
          </w:p>
          <w:p w14:paraId="3FCA63B2" w14:textId="77777777" w:rsidR="00F96DE6" w:rsidRPr="00B96652" w:rsidRDefault="00F96DE6" w:rsidP="00B630D0">
            <w:p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56F49436" w14:textId="06F98D2F" w:rsidR="00E558E3" w:rsidRPr="00B96652" w:rsidRDefault="00E558E3" w:rsidP="00775D84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Train </w:t>
            </w:r>
            <w:r w:rsidR="00187184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providers</w:t>
            </w:r>
            <w:r w:rsidR="00D92EB9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at multiple MOH </w:t>
            </w: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clinics using the </w:t>
            </w:r>
            <w:r w:rsidR="0008462A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Safer Conception </w:t>
            </w: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Tool</w:t>
            </w:r>
            <w:r w:rsidR="00775D84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kit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3EFD8" w14:textId="70127385" w:rsidR="00D92EB9" w:rsidRPr="00B96652" w:rsidRDefault="00D92EB9" w:rsidP="00AD55E8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Acceptable and effective Toolkit</w:t>
            </w:r>
          </w:p>
          <w:p w14:paraId="7FE6B694" w14:textId="01F16662" w:rsidR="00E558E3" w:rsidRPr="00B96652" w:rsidRDefault="00D92EB9" w:rsidP="008F11A0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Number of Toolkit trainings conducted</w:t>
            </w:r>
          </w:p>
          <w:p w14:paraId="01B2CAA7" w14:textId="00B3814C" w:rsidR="00D92EB9" w:rsidRPr="00B96652" w:rsidRDefault="00E558E3" w:rsidP="00D92EB9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Number and proportion of clinics receiving </w:t>
            </w:r>
            <w:r w:rsidR="00D92EB9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training </w:t>
            </w:r>
          </w:p>
          <w:p w14:paraId="15038FCF" w14:textId="77777777" w:rsidR="00B630D0" w:rsidRPr="00B96652" w:rsidRDefault="00E558E3" w:rsidP="00B630D0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Number of clinics providing safer conception </w:t>
            </w:r>
            <w:r w:rsidR="00D92EB9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according to Toolkit</w:t>
            </w:r>
          </w:p>
          <w:p w14:paraId="779B5A10" w14:textId="464BCDA5" w:rsidR="00B630D0" w:rsidRPr="00B96652" w:rsidRDefault="00B630D0" w:rsidP="00B630D0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Proportion of clinics</w:t>
            </w:r>
            <w:r w:rsidR="00F96DE6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including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 safer conception endpoints in EMR</w:t>
            </w:r>
          </w:p>
          <w:p w14:paraId="1829467B" w14:textId="77777777" w:rsidR="00C8322B" w:rsidRDefault="00C8322B" w:rsidP="00F96DE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209540B9" w14:textId="77777777" w:rsidR="00F83695" w:rsidRDefault="00F83695" w:rsidP="00F96DE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18E0C869" w14:textId="77777777" w:rsidR="00F83695" w:rsidRDefault="00F83695" w:rsidP="00F96DE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02751766" w14:textId="77777777" w:rsidR="00F83695" w:rsidRDefault="00F83695" w:rsidP="00F96DE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44186798" w14:textId="77777777" w:rsidR="002A4AB2" w:rsidRDefault="002A4AB2" w:rsidP="00F96DE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3F13101A" w14:textId="77777777" w:rsidR="00F83695" w:rsidRPr="00B96652" w:rsidRDefault="00F83695" w:rsidP="00F96DE6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25CE97B0" w14:textId="200EA5FC" w:rsidR="00D44049" w:rsidRPr="00B96652" w:rsidRDefault="008F11A0" w:rsidP="00D44049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Number and proportion of </w:t>
            </w:r>
            <w:r w:rsidR="00744965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health care</w:t>
            </w: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personnel trained in Toolkit</w:t>
            </w:r>
          </w:p>
          <w:p w14:paraId="615F52EE" w14:textId="77777777" w:rsidR="005F485D" w:rsidRPr="00B96652" w:rsidRDefault="005F485D" w:rsidP="005F485D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0623B55B" w14:textId="71894C91" w:rsidR="005F485D" w:rsidRPr="00B96652" w:rsidRDefault="00F96DE6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Proportion of providers </w:t>
            </w:r>
            <w:r w:rsidR="00742713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who </w:t>
            </w:r>
            <w:r w:rsidR="000E45E4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counsel</w:t>
            </w:r>
            <w:r w:rsidR="005F485D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eligible patients about </w:t>
            </w: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safer conception</w:t>
            </w:r>
          </w:p>
          <w:p w14:paraId="4F8F57D6" w14:textId="77777777" w:rsidR="008B170B" w:rsidRPr="00B96652" w:rsidRDefault="008B170B" w:rsidP="005F485D">
            <w:p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5B6AEA5B" w14:textId="0C27F893" w:rsidR="00D44049" w:rsidRPr="00B96652" w:rsidRDefault="00F96DE6" w:rsidP="00C2339C">
            <w:pPr>
              <w:numPr>
                <w:ilvl w:val="0"/>
                <w:numId w:val="1"/>
              </w:numPr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 </w:t>
            </w:r>
            <w:r w:rsidR="005F485D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Proportion of eligible patients </w:t>
            </w:r>
            <w:r w:rsidR="00C2339C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that are </w:t>
            </w:r>
            <w:r w:rsidR="005F485D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counseled about safer conceptio</w:t>
            </w:r>
            <w:r w:rsidR="00775D84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AD8FD5" w14:textId="77777777" w:rsidR="00E558E3" w:rsidRPr="00B96652" w:rsidRDefault="00E558E3" w:rsidP="00C86840">
            <w:pPr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B0E1EF" wp14:editId="51D860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1678940</wp:posOffset>
                      </wp:positionV>
                      <wp:extent cx="93345" cy="365760"/>
                      <wp:effectExtent l="53340" t="53340" r="56515" b="5080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3" style="position:absolute;margin-left:-3.75pt;margin-top:132.2pt;width:7.3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"/>
                  </w:pict>
                </mc:Fallback>
              </mc:AlternateContent>
            </w:r>
            <w:r w:rsidRPr="00B96652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EE435C" wp14:editId="739B164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3534410</wp:posOffset>
                      </wp:positionV>
                      <wp:extent cx="93345" cy="365760"/>
                      <wp:effectExtent l="45720" t="54610" r="51435" b="4953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3" style="position:absolute;margin-left:-3.35pt;margin-top:278.3pt;width:7.3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"/>
                  </w:pict>
                </mc:Fallback>
              </mc:AlternateConten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3B200" w14:textId="64732A8F" w:rsidR="00E558E3" w:rsidRPr="00B96652" w:rsidRDefault="00C336D3" w:rsidP="00C336D3">
            <w:pPr>
              <w:numPr>
                <w:ilvl w:val="0"/>
                <w:numId w:val="2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Increased utilization of Toolkit by clinics, resulting in improved ability to offer specific safer conception strategies </w:t>
            </w:r>
            <w:r w:rsidR="00E558E3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(PREP, ART, STI screening, </w:t>
            </w:r>
            <w:proofErr w:type="spellStart"/>
            <w:r w:rsidR="00E558E3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etc</w:t>
            </w:r>
            <w:proofErr w:type="spellEnd"/>
            <w:r w:rsidR="00E558E3"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)</w:t>
            </w:r>
          </w:p>
          <w:p w14:paraId="763623D5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1609A701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0B589853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60D85C27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67542041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21664085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6AC5FF29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0C2CD98E" w14:textId="77777777" w:rsidR="008F11A0" w:rsidRPr="00B96652" w:rsidRDefault="008F11A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64004E18" w14:textId="77777777" w:rsidR="00191626" w:rsidRPr="00B96652" w:rsidRDefault="00191626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3A10B84C" w14:textId="77777777" w:rsidR="008B170B" w:rsidRDefault="008B170B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595D82B2" w14:textId="77777777" w:rsidR="00F83695" w:rsidRDefault="00F83695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736BCAEA" w14:textId="77777777" w:rsidR="00F83695" w:rsidRDefault="00F83695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09547490" w14:textId="77777777" w:rsidR="00F83695" w:rsidRDefault="00F83695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08086E0A" w14:textId="77777777" w:rsidR="00F83695" w:rsidRDefault="00F83695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41A0AE41" w14:textId="77777777" w:rsidR="00C8322B" w:rsidRDefault="00C8322B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35DAC196" w14:textId="77777777" w:rsidR="00BB5090" w:rsidRPr="00B96652" w:rsidRDefault="00BB5090" w:rsidP="008F11A0">
            <w:p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</w:p>
          <w:p w14:paraId="618078BF" w14:textId="795B210D" w:rsidR="00E558E3" w:rsidRPr="00B96652" w:rsidRDefault="00E558E3" w:rsidP="00E558E3">
            <w:pPr>
              <w:numPr>
                <w:ilvl w:val="0"/>
                <w:numId w:val="2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Increased number of </w:t>
            </w:r>
            <w:r w:rsidR="00187184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providers</w:t>
            </w: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trained</w:t>
            </w:r>
            <w:r w:rsidR="008B7911"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 in Safer Conception </w:t>
            </w:r>
          </w:p>
          <w:p w14:paraId="7888B715" w14:textId="77777777" w:rsidR="008F11A0" w:rsidRPr="00B96652" w:rsidRDefault="008F11A0" w:rsidP="008F11A0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18A533EC" w14:textId="77777777" w:rsidR="00E558E3" w:rsidRDefault="00E558E3" w:rsidP="00E558E3">
            <w:pPr>
              <w:numPr>
                <w:ilvl w:val="0"/>
                <w:numId w:val="2"/>
              </w:numPr>
              <w:rPr>
                <w:rFonts w:ascii="Calibri" w:hAnsi="Calibri" w:cs="Arial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 xml:space="preserve">Improved capacity of clinical personnel to implement </w:t>
            </w: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br/>
              <w:t>safer conception counseling, defined as increases in knowledge, skills, self-efficacy, confidence &amp; intended use</w:t>
            </w:r>
            <w:r w:rsidRPr="00B96652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72010488" w14:textId="77777777" w:rsidR="005F485D" w:rsidRPr="00B96652" w:rsidRDefault="005F485D" w:rsidP="00FD5464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7AC668C9" w14:textId="77777777" w:rsidR="00E558E3" w:rsidRPr="00B96652" w:rsidRDefault="00E558E3" w:rsidP="00E558E3">
            <w:pPr>
              <w:numPr>
                <w:ilvl w:val="0"/>
                <w:numId w:val="2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Increased number of patients being offered safer conception counseling</w:t>
            </w:r>
          </w:p>
          <w:p w14:paraId="28AEEF9E" w14:textId="77777777" w:rsidR="00E558E3" w:rsidRPr="00B96652" w:rsidRDefault="00E558E3" w:rsidP="00C8684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37331" w14:textId="77777777" w:rsidR="005F485D" w:rsidRPr="00B96652" w:rsidRDefault="00771CB5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Policy changes at MOH-FACES clinics to include Safer conception strategies </w:t>
            </w:r>
          </w:p>
          <w:p w14:paraId="2C17C893" w14:textId="4D26E216" w:rsidR="005F485D" w:rsidRPr="00B96652" w:rsidRDefault="005F485D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Costs of providing safer conception</w:t>
            </w:r>
          </w:p>
          <w:p w14:paraId="277669EC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04CA5742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61822E41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5A35650E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4D72A413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420D4C83" w14:textId="066AA76D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133D0EBE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sz w:val="18"/>
                <w:szCs w:val="18"/>
              </w:rPr>
            </w:pPr>
          </w:p>
          <w:p w14:paraId="286B37A3" w14:textId="77777777" w:rsidR="005F485D" w:rsidRPr="00B96652" w:rsidRDefault="005F485D" w:rsidP="008F11A0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05CE27CB" w14:textId="77777777" w:rsidR="008B170B" w:rsidRDefault="008B170B" w:rsidP="008F11A0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27ABD1AF" w14:textId="77777777" w:rsidR="00F83695" w:rsidRDefault="00F83695" w:rsidP="008F11A0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0597EE36" w14:textId="77777777" w:rsidR="00F83695" w:rsidRDefault="00F83695" w:rsidP="008F11A0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452B1186" w14:textId="77777777" w:rsidR="00C8322B" w:rsidRPr="00B96652" w:rsidRDefault="00C8322B" w:rsidP="008B170B">
            <w:p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05B46776" w14:textId="3EBA2299" w:rsidR="005F485D" w:rsidRDefault="008B170B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Clinician satisfaction</w:t>
            </w:r>
          </w:p>
          <w:p w14:paraId="5C02323D" w14:textId="035ABA53" w:rsidR="00534A1F" w:rsidRDefault="00534A1F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Increase in positive outcome expectations for safer conception strategies</w:t>
            </w:r>
          </w:p>
          <w:p w14:paraId="74F1D4D5" w14:textId="7D8B4FE3" w:rsidR="005F485D" w:rsidRDefault="00E76332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E7633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Clinician burden</w:t>
            </w:r>
          </w:p>
          <w:p w14:paraId="44FC8CA1" w14:textId="51521AFD" w:rsidR="00F83695" w:rsidRDefault="00E76332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  <w:r w:rsidRPr="00E76332">
              <w:rPr>
                <w:rFonts w:ascii="Calibri" w:hAnsi="Calibri" w:cs="Arial"/>
                <w:color w:val="9BBB59" w:themeColor="accent3"/>
                <w:sz w:val="18"/>
                <w:szCs w:val="18"/>
              </w:rPr>
              <w:t>Pharmacist burden</w:t>
            </w:r>
          </w:p>
          <w:p w14:paraId="6676B456" w14:textId="77777777" w:rsidR="00700BC6" w:rsidRPr="00E01940" w:rsidRDefault="00700BC6" w:rsidP="00700BC6">
            <w:pPr>
              <w:ind w:left="216"/>
              <w:rPr>
                <w:rFonts w:ascii="Calibri" w:hAnsi="Calibri" w:cs="Arial"/>
                <w:color w:val="9BBB59" w:themeColor="accent3"/>
                <w:sz w:val="18"/>
                <w:szCs w:val="18"/>
              </w:rPr>
            </w:pPr>
          </w:p>
          <w:p w14:paraId="20590CF6" w14:textId="77777777" w:rsidR="008F11A0" w:rsidRPr="00B96652" w:rsidRDefault="008F11A0" w:rsidP="008F11A0">
            <w:pPr>
              <w:numPr>
                <w:ilvl w:val="0"/>
                <w:numId w:val="1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Patient satisfaction</w:t>
            </w:r>
          </w:p>
          <w:p w14:paraId="32AAD474" w14:textId="1998743C" w:rsidR="002B7757" w:rsidRPr="00B96652" w:rsidRDefault="008F11A0" w:rsidP="002B7757">
            <w:pPr>
              <w:numPr>
                <w:ilvl w:val="0"/>
                <w:numId w:val="1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Increased uptake of safer conception strategies by patients</w:t>
            </w:r>
          </w:p>
          <w:p w14:paraId="6481BF33" w14:textId="77777777" w:rsidR="00E558E3" w:rsidRDefault="00771CB5" w:rsidP="005F485D">
            <w:pPr>
              <w:numPr>
                <w:ilvl w:val="0"/>
                <w:numId w:val="1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Increased adherence to safer conception strategies by patients</w:t>
            </w:r>
          </w:p>
          <w:p w14:paraId="65E0C850" w14:textId="10CA528B" w:rsidR="000A4F47" w:rsidRPr="00B96652" w:rsidRDefault="000A4F47" w:rsidP="00FD5AFD">
            <w:pPr>
              <w:numPr>
                <w:ilvl w:val="0"/>
                <w:numId w:val="1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Increased self-efficacy among patients</w:t>
            </w:r>
            <w:r w:rsidR="00E01940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="00FD5AFD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vis</w:t>
            </w:r>
            <w:proofErr w:type="spellEnd"/>
            <w:r w:rsidR="00FD5AFD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 a </w:t>
            </w:r>
            <w:proofErr w:type="spellStart"/>
            <w:r w:rsidR="00FD5AFD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vis</w:t>
            </w:r>
            <w:proofErr w:type="spellEnd"/>
            <w:r w:rsidR="00FD5AFD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 using</w:t>
            </w:r>
            <w:r w:rsidR="00E01940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 safer conception strategies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819C5" w14:textId="77777777" w:rsidR="0045593E" w:rsidRPr="00B96652" w:rsidRDefault="0045593E" w:rsidP="0045593E">
            <w:pPr>
              <w:numPr>
                <w:ilvl w:val="0"/>
                <w:numId w:val="2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Effective integration of safer conception within service systems</w:t>
            </w:r>
          </w:p>
          <w:p w14:paraId="42193270" w14:textId="6E0EEFA0" w:rsidR="0045593E" w:rsidRPr="00B96652" w:rsidRDefault="00E558E3" w:rsidP="0045593E">
            <w:pPr>
              <w:numPr>
                <w:ilvl w:val="0"/>
                <w:numId w:val="2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Increased capacity of clinics to successfully plan, implement, and sustain safer conception strategies </w:t>
            </w:r>
          </w:p>
          <w:p w14:paraId="2A6ADBFF" w14:textId="7457B534" w:rsidR="00B630D0" w:rsidRPr="00B96652" w:rsidRDefault="00B630D0" w:rsidP="0045593E">
            <w:pPr>
              <w:numPr>
                <w:ilvl w:val="0"/>
                <w:numId w:val="2"/>
              </w:numPr>
              <w:rPr>
                <w:rFonts w:ascii="Calibri" w:hAnsi="Calibri" w:cs="Arial"/>
                <w:color w:val="C0504D" w:themeColor="accent2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Complete and accurate entry of safer conception </w:t>
            </w:r>
            <w:r w:rsidR="00406DB4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 xml:space="preserve">use and outcomes </w:t>
            </w:r>
            <w:r w:rsidRPr="00B96652">
              <w:rPr>
                <w:rFonts w:ascii="Calibri" w:hAnsi="Calibri" w:cs="Arial"/>
                <w:color w:val="C0504D" w:themeColor="accent2"/>
                <w:sz w:val="18"/>
                <w:szCs w:val="18"/>
              </w:rPr>
              <w:t>in EMR</w:t>
            </w:r>
          </w:p>
          <w:p w14:paraId="651787DF" w14:textId="77777777" w:rsidR="002B7757" w:rsidRPr="00B96652" w:rsidRDefault="002B7757" w:rsidP="002B77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2C465BB" w14:textId="77777777" w:rsidR="002B7757" w:rsidRPr="00B96652" w:rsidRDefault="002B7757" w:rsidP="002B77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D402DDA" w14:textId="77777777" w:rsidR="00BE5AA4" w:rsidRPr="00B96652" w:rsidRDefault="00BE5AA4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250882FC" w14:textId="77777777" w:rsidR="000057A0" w:rsidRPr="00B96652" w:rsidRDefault="000057A0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5295D5D0" w14:textId="77777777" w:rsidR="000057A0" w:rsidRPr="00B96652" w:rsidRDefault="000057A0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310050C6" w14:textId="77777777" w:rsidR="000057A0" w:rsidRDefault="000057A0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1AD7B40D" w14:textId="77777777" w:rsidR="001E4DA9" w:rsidRDefault="001E4DA9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43DDD8B7" w14:textId="77777777" w:rsidR="006041D4" w:rsidRDefault="006041D4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3615B632" w14:textId="77777777" w:rsidR="006202C7" w:rsidRDefault="006202C7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33B3F3BA" w14:textId="77777777" w:rsidR="00196AD3" w:rsidRPr="00B96652" w:rsidRDefault="00196AD3" w:rsidP="002B7757">
            <w:p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</w:p>
          <w:p w14:paraId="3917037F" w14:textId="61CAC98F" w:rsidR="00E558E3" w:rsidRPr="00B96652" w:rsidRDefault="00E82ACE" w:rsidP="005F485D">
            <w:pPr>
              <w:numPr>
                <w:ilvl w:val="0"/>
                <w:numId w:val="2"/>
              </w:numPr>
              <w:rPr>
                <w:rFonts w:ascii="Calibri" w:hAnsi="Calibri" w:cs="Arial"/>
                <w:color w:val="4F81BD" w:themeColor="accent1"/>
                <w:sz w:val="18"/>
                <w:szCs w:val="18"/>
              </w:rPr>
            </w:pPr>
            <w:r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 xml:space="preserve">Increased number of HIV-free conceptions </w:t>
            </w:r>
            <w:r w:rsidR="00E558E3" w:rsidRPr="00B96652">
              <w:rPr>
                <w:rFonts w:ascii="Calibri" w:hAnsi="Calibri" w:cs="Arial"/>
                <w:color w:val="4F81BD" w:themeColor="accent1"/>
                <w:sz w:val="18"/>
                <w:szCs w:val="18"/>
              </w:rPr>
              <w:t>among HIV-discordant couples</w:t>
            </w:r>
          </w:p>
        </w:tc>
      </w:tr>
      <w:tr w:rsidR="00E558E3" w:rsidRPr="005124E3" w14:paraId="0E45FB32" w14:textId="77777777" w:rsidTr="009E41A2">
        <w:trPr>
          <w:cantSplit/>
          <w:trHeight w:val="591"/>
        </w:trPr>
        <w:tc>
          <w:tcPr>
            <w:tcW w:w="14328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A7E7F" w14:textId="611566FF" w:rsidR="00E558E3" w:rsidRPr="00280629" w:rsidRDefault="00E558E3" w:rsidP="00C8684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80629">
              <w:rPr>
                <w:rFonts w:ascii="Calibri" w:hAnsi="Calibri" w:cs="Arial"/>
                <w:b/>
                <w:sz w:val="22"/>
                <w:szCs w:val="22"/>
              </w:rPr>
              <w:t>Impacts</w:t>
            </w:r>
          </w:p>
          <w:p w14:paraId="4833A487" w14:textId="77777777" w:rsidR="00E558E3" w:rsidRPr="00CF79B3" w:rsidRDefault="00E558E3" w:rsidP="00E558E3">
            <w:pPr>
              <w:numPr>
                <w:ilvl w:val="0"/>
                <w:numId w:val="3"/>
              </w:numPr>
              <w:jc w:val="center"/>
              <w:rPr>
                <w:rFonts w:ascii="Calibri" w:hAnsi="Calibri" w:cs="Arial"/>
                <w:color w:val="0000FF"/>
                <w:sz w:val="22"/>
                <w:szCs w:val="22"/>
              </w:rPr>
            </w:pPr>
            <w:r w:rsidRPr="00CF79B3">
              <w:rPr>
                <w:rFonts w:ascii="Calibri" w:hAnsi="Calibri" w:cs="Arial"/>
                <w:color w:val="0000FF"/>
                <w:sz w:val="22"/>
                <w:szCs w:val="22"/>
              </w:rPr>
              <w:t>Reduced HIV-incidence related to conception attempts among HIV-discordant couples</w:t>
            </w:r>
          </w:p>
          <w:p w14:paraId="003BB972" w14:textId="77777777" w:rsidR="00E558E3" w:rsidRPr="00CF79B3" w:rsidRDefault="00E558E3" w:rsidP="00E558E3">
            <w:pPr>
              <w:numPr>
                <w:ilvl w:val="0"/>
                <w:numId w:val="3"/>
              </w:numPr>
              <w:jc w:val="center"/>
              <w:rPr>
                <w:rFonts w:ascii="Calibri" w:hAnsi="Calibri" w:cs="Arial"/>
                <w:color w:val="0000FF"/>
                <w:sz w:val="22"/>
                <w:szCs w:val="22"/>
              </w:rPr>
            </w:pPr>
            <w:r w:rsidRPr="00CF79B3">
              <w:rPr>
                <w:rFonts w:ascii="Calibri" w:hAnsi="Calibri" w:cs="Arial"/>
                <w:color w:val="0000FF"/>
                <w:sz w:val="22"/>
                <w:szCs w:val="22"/>
              </w:rPr>
              <w:t>Improved community and population health due to decreases in community HIV infection rates</w:t>
            </w:r>
          </w:p>
        </w:tc>
      </w:tr>
    </w:tbl>
    <w:p w14:paraId="2DCCF8B0" w14:textId="77777777" w:rsidR="002D3636" w:rsidRDefault="002D3636" w:rsidP="009E41A2"/>
    <w:sectPr w:rsidR="002D3636" w:rsidSect="00BE3F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7B1"/>
    <w:multiLevelType w:val="hybridMultilevel"/>
    <w:tmpl w:val="ADF65AFA"/>
    <w:lvl w:ilvl="0" w:tplc="BC6AA4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B51372"/>
    <w:multiLevelType w:val="hybridMultilevel"/>
    <w:tmpl w:val="C924F4DA"/>
    <w:lvl w:ilvl="0" w:tplc="BC6AA4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A579D"/>
    <w:multiLevelType w:val="hybridMultilevel"/>
    <w:tmpl w:val="D45C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F5AB0"/>
    <w:multiLevelType w:val="hybridMultilevel"/>
    <w:tmpl w:val="3746C904"/>
    <w:lvl w:ilvl="0" w:tplc="BC6AA4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92"/>
    <w:rsid w:val="000057A0"/>
    <w:rsid w:val="00077756"/>
    <w:rsid w:val="0008462A"/>
    <w:rsid w:val="000847B2"/>
    <w:rsid w:val="000A4F47"/>
    <w:rsid w:val="000D35B0"/>
    <w:rsid w:val="000E45E4"/>
    <w:rsid w:val="000E5C96"/>
    <w:rsid w:val="000E7745"/>
    <w:rsid w:val="000F54E3"/>
    <w:rsid w:val="00112BFD"/>
    <w:rsid w:val="00135A32"/>
    <w:rsid w:val="00137133"/>
    <w:rsid w:val="00170280"/>
    <w:rsid w:val="00187184"/>
    <w:rsid w:val="00191626"/>
    <w:rsid w:val="00196AD3"/>
    <w:rsid w:val="001A1240"/>
    <w:rsid w:val="001A51C2"/>
    <w:rsid w:val="001E4DA9"/>
    <w:rsid w:val="00237BD3"/>
    <w:rsid w:val="00240790"/>
    <w:rsid w:val="0027296A"/>
    <w:rsid w:val="002A4AB2"/>
    <w:rsid w:val="002B7757"/>
    <w:rsid w:val="002D3636"/>
    <w:rsid w:val="002D4F2D"/>
    <w:rsid w:val="002E1BFC"/>
    <w:rsid w:val="002E5FAA"/>
    <w:rsid w:val="0030294F"/>
    <w:rsid w:val="00307D78"/>
    <w:rsid w:val="003335B2"/>
    <w:rsid w:val="003436C9"/>
    <w:rsid w:val="003735B1"/>
    <w:rsid w:val="00387BBF"/>
    <w:rsid w:val="003A2D3C"/>
    <w:rsid w:val="003A5323"/>
    <w:rsid w:val="00406DB4"/>
    <w:rsid w:val="0045593E"/>
    <w:rsid w:val="00471A64"/>
    <w:rsid w:val="004E6001"/>
    <w:rsid w:val="00534A1F"/>
    <w:rsid w:val="00537F57"/>
    <w:rsid w:val="005F14F2"/>
    <w:rsid w:val="005F485D"/>
    <w:rsid w:val="005F6E74"/>
    <w:rsid w:val="00600CC2"/>
    <w:rsid w:val="00602D32"/>
    <w:rsid w:val="006041D4"/>
    <w:rsid w:val="006202C7"/>
    <w:rsid w:val="006263FD"/>
    <w:rsid w:val="00630924"/>
    <w:rsid w:val="0064478F"/>
    <w:rsid w:val="00647865"/>
    <w:rsid w:val="006B2194"/>
    <w:rsid w:val="006D7F36"/>
    <w:rsid w:val="006F250C"/>
    <w:rsid w:val="00700BC6"/>
    <w:rsid w:val="00713DFA"/>
    <w:rsid w:val="00725F60"/>
    <w:rsid w:val="00736CF4"/>
    <w:rsid w:val="00742713"/>
    <w:rsid w:val="00744965"/>
    <w:rsid w:val="00771CB5"/>
    <w:rsid w:val="00775D84"/>
    <w:rsid w:val="0079265E"/>
    <w:rsid w:val="007E4406"/>
    <w:rsid w:val="007F57B7"/>
    <w:rsid w:val="00845330"/>
    <w:rsid w:val="00863CDB"/>
    <w:rsid w:val="008B170B"/>
    <w:rsid w:val="008B48C6"/>
    <w:rsid w:val="008B7911"/>
    <w:rsid w:val="008C2CE1"/>
    <w:rsid w:val="008E568A"/>
    <w:rsid w:val="008F11A0"/>
    <w:rsid w:val="00905283"/>
    <w:rsid w:val="00913CDA"/>
    <w:rsid w:val="00964578"/>
    <w:rsid w:val="009E29EC"/>
    <w:rsid w:val="009E2E92"/>
    <w:rsid w:val="009E41A2"/>
    <w:rsid w:val="00A23E8A"/>
    <w:rsid w:val="00A34834"/>
    <w:rsid w:val="00A42373"/>
    <w:rsid w:val="00A4707F"/>
    <w:rsid w:val="00A657CB"/>
    <w:rsid w:val="00A76790"/>
    <w:rsid w:val="00A77A42"/>
    <w:rsid w:val="00A941F2"/>
    <w:rsid w:val="00AB297D"/>
    <w:rsid w:val="00AB6513"/>
    <w:rsid w:val="00AD55E8"/>
    <w:rsid w:val="00B42E88"/>
    <w:rsid w:val="00B630D0"/>
    <w:rsid w:val="00B96652"/>
    <w:rsid w:val="00BA40CD"/>
    <w:rsid w:val="00BB04AC"/>
    <w:rsid w:val="00BB5090"/>
    <w:rsid w:val="00BE3FB8"/>
    <w:rsid w:val="00BE5AA4"/>
    <w:rsid w:val="00C01B39"/>
    <w:rsid w:val="00C2339C"/>
    <w:rsid w:val="00C255F6"/>
    <w:rsid w:val="00C336D3"/>
    <w:rsid w:val="00C3541D"/>
    <w:rsid w:val="00C36C09"/>
    <w:rsid w:val="00C6472F"/>
    <w:rsid w:val="00C732FA"/>
    <w:rsid w:val="00C8322B"/>
    <w:rsid w:val="00C86840"/>
    <w:rsid w:val="00CD3DB0"/>
    <w:rsid w:val="00CF79B3"/>
    <w:rsid w:val="00D44049"/>
    <w:rsid w:val="00D65B6E"/>
    <w:rsid w:val="00D8550F"/>
    <w:rsid w:val="00D92EB9"/>
    <w:rsid w:val="00DB478E"/>
    <w:rsid w:val="00DD2C3C"/>
    <w:rsid w:val="00DF6310"/>
    <w:rsid w:val="00E01940"/>
    <w:rsid w:val="00E558E3"/>
    <w:rsid w:val="00E56C59"/>
    <w:rsid w:val="00E76332"/>
    <w:rsid w:val="00E82ACE"/>
    <w:rsid w:val="00E85C43"/>
    <w:rsid w:val="00F14D0A"/>
    <w:rsid w:val="00F83695"/>
    <w:rsid w:val="00F96DE6"/>
    <w:rsid w:val="00FB7A01"/>
    <w:rsid w:val="00FC7E7B"/>
    <w:rsid w:val="00FD5464"/>
    <w:rsid w:val="00FD5AFD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68ED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58E3"/>
    <w:pPr>
      <w:keepNext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E558E3"/>
    <w:pPr>
      <w:keepNext/>
      <w:jc w:val="center"/>
      <w:outlineLvl w:val="2"/>
    </w:pPr>
    <w:rPr>
      <w:rFonts w:ascii="Garamond" w:eastAsia="Times New Roman" w:hAnsi="Garamond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E558E3"/>
    <w:pPr>
      <w:keepNext/>
      <w:outlineLvl w:val="4"/>
    </w:pPr>
    <w:rPr>
      <w:rFonts w:ascii="Garamond" w:eastAsia="Times New Roman" w:hAnsi="Garamond" w:cs="Times New Roman"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8E3"/>
    <w:rPr>
      <w:rFonts w:ascii="Arial" w:eastAsia="Times New Roman" w:hAnsi="Arial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E558E3"/>
    <w:rPr>
      <w:rFonts w:ascii="Garamond" w:eastAsia="Times New Roman" w:hAnsi="Garamond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E558E3"/>
    <w:rPr>
      <w:rFonts w:ascii="Garamond" w:eastAsia="Times New Roman" w:hAnsi="Garamond" w:cs="Times New Roman"/>
      <w:i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E558E3"/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58E3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91626"/>
    <w:pPr>
      <w:ind w:left="720"/>
      <w:contextualSpacing/>
    </w:pPr>
  </w:style>
  <w:style w:type="table" w:styleId="TableGrid">
    <w:name w:val="Table Grid"/>
    <w:basedOn w:val="TableNormal"/>
    <w:uiPriority w:val="59"/>
    <w:rsid w:val="00C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58E3"/>
    <w:pPr>
      <w:keepNext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E558E3"/>
    <w:pPr>
      <w:keepNext/>
      <w:jc w:val="center"/>
      <w:outlineLvl w:val="2"/>
    </w:pPr>
    <w:rPr>
      <w:rFonts w:ascii="Garamond" w:eastAsia="Times New Roman" w:hAnsi="Garamond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E558E3"/>
    <w:pPr>
      <w:keepNext/>
      <w:outlineLvl w:val="4"/>
    </w:pPr>
    <w:rPr>
      <w:rFonts w:ascii="Garamond" w:eastAsia="Times New Roman" w:hAnsi="Garamond" w:cs="Times New Roman"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8E3"/>
    <w:rPr>
      <w:rFonts w:ascii="Arial" w:eastAsia="Times New Roman" w:hAnsi="Arial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E558E3"/>
    <w:rPr>
      <w:rFonts w:ascii="Garamond" w:eastAsia="Times New Roman" w:hAnsi="Garamond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E558E3"/>
    <w:rPr>
      <w:rFonts w:ascii="Garamond" w:eastAsia="Times New Roman" w:hAnsi="Garamond" w:cs="Times New Roman"/>
      <w:i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E558E3"/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58E3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91626"/>
    <w:pPr>
      <w:ind w:left="720"/>
      <w:contextualSpacing/>
    </w:pPr>
  </w:style>
  <w:style w:type="table" w:styleId="TableGrid">
    <w:name w:val="Table Grid"/>
    <w:basedOn w:val="TableNormal"/>
    <w:uiPriority w:val="59"/>
    <w:rsid w:val="00C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5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13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5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0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96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8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6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4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9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9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6327</Characters>
  <Application>Microsoft Macintosh Word</Application>
  <DocSecurity>0</DocSecurity>
  <Lines>52</Lines>
  <Paragraphs>14</Paragraphs>
  <ScaleCrop>false</ScaleCrop>
  <Company>UCSF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Brown</dc:creator>
  <cp:keywords/>
  <dc:description/>
  <cp:lastModifiedBy>Joelle Brown</cp:lastModifiedBy>
  <cp:revision>2</cp:revision>
  <dcterms:created xsi:type="dcterms:W3CDTF">2013-11-22T00:10:00Z</dcterms:created>
  <dcterms:modified xsi:type="dcterms:W3CDTF">2013-11-22T00:10:00Z</dcterms:modified>
</cp:coreProperties>
</file>