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28"/>
          <w:highlight w:val="white"/>
          <w:rtl w:val="0"/>
        </w:rPr>
        <w:t xml:space="preserve">Translating Evidence into Policy</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28"/>
          <w:highlight w:val="white"/>
          <w:rtl w:val="0"/>
        </w:rPr>
        <w:t xml:space="preserve">Homework #2</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28"/>
          <w:highlight w:val="white"/>
          <w:rtl w:val="0"/>
        </w:rPr>
        <w:t xml:space="preserve">Reaching Policymakers Through the Media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8"/>
          <w:highlight w:val="white"/>
          <w:rtl w:val="0"/>
        </w:rPr>
        <w:t xml:space="preserve">Novel breakthrough in HIV lab</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8"/>
          <w:highlight w:val="white"/>
          <w:rtl w:val="0"/>
        </w:rPr>
        <w:t xml:space="preserve">Following the investigation of majority of the Biosafety Level 2 labs in USA, researchers at CPMCRI, for the first time, comprehensively defined the detailed reasons for the need of  standardization of HIV-1 neutralizing assay using CD4+ lymphocytic cells instead of PBMC or TZM-bl assays. This innovative standarization idea takes the HIV research one step closer to development of a new vaccine for the prevention and treatment of HIV.</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8"/>
          <w:highlight w:val="white"/>
          <w:rtl w:val="0"/>
        </w:rPr>
        <w:t xml:space="preserve">After 25 years of efforts, 12 billion dollars and around 16,000 published papers on HIV vaccine, there is no HIV vaccine as yet. The emphasis recently renewed on developing neutralizing antibodies for therapy and prevention of HIV. It is recognized that vaccine ­induced antibody performance, as assessed in the available neutralizing assays, may well serve as “gatekeeper” for HIV­1 subunit vaccine prioritization and advancement. As a result, development of a standardized platform for reproducible measurement of neutralizing antibodies has received considerable attention.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8"/>
          <w:highlight w:val="white"/>
          <w:rtl w:val="0"/>
        </w:rPr>
        <w:t xml:space="preserve">Some investigators in the field of HIV vaccine research and development have perceived two neutralization assay formats as a traditional primary cell neutralization assay and the newer, more standardized TZM­bl reporter cell line assay. The problem with these two assays was that the traditional PBMC assay shows a  lot of variation and the TMZ-bl assay uses a “pseudovirus” which is artificially created.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8"/>
          <w:highlight w:val="white"/>
          <w:rtl w:val="0"/>
        </w:rPr>
        <w:t xml:space="preserve">Now, to further maximize assay performance, a more committed, reliable, reproducible, physiologically and pathologically relevant assay which is, to a far greater extent, a mimetic of in vivo situation, CD4+ lymphocytic cell neutralizing assay will get the research a robust uplift. This assay could be used as an alternative endpoint neutralization assay for the assessment of pre-clinical and clinical trial samples by laboratories and very soon millions of people would be able to get effectively treated.</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assignment #2.docx</dc:title>
</cp:coreProperties>
</file>